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86.xml" ContentType="application/vnd.openxmlformats-officedocument.wordprocessingml.foot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89.xml" ContentType="application/vnd.openxmlformats-officedocument.wordprocessingml.foot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header293.xml" ContentType="application/vnd.openxmlformats-officedocument.wordprocessingml.header+xml"/>
  <Override PartName="/word/footer292.xml" ContentType="application/vnd.openxmlformats-officedocument.wordprocessingml.foot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295.xml" ContentType="application/vnd.openxmlformats-officedocument.wordprocessingml.foot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header299.xml" ContentType="application/vnd.openxmlformats-officedocument.wordprocessingml.header+xml"/>
  <Override PartName="/word/footer298.xml" ContentType="application/vnd.openxmlformats-officedocument.wordprocessingml.foot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301.xml" ContentType="application/vnd.openxmlformats-officedocument.wordprocessingml.foot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header305.xml" ContentType="application/vnd.openxmlformats-officedocument.wordprocessingml.header+xml"/>
  <Override PartName="/word/footer304.xml" ContentType="application/vnd.openxmlformats-officedocument.wordprocessingml.foot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footer307.xml" ContentType="application/vnd.openxmlformats-officedocument.wordprocessingml.foot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header311.xml" ContentType="application/vnd.openxmlformats-officedocument.wordprocessingml.header+xml"/>
  <Override PartName="/word/footer310.xml" ContentType="application/vnd.openxmlformats-officedocument.wordprocessingml.foot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header314.xml" ContentType="application/vnd.openxmlformats-officedocument.wordprocessingml.header+xml"/>
  <Override PartName="/word/footer313.xml" ContentType="application/vnd.openxmlformats-officedocument.wordprocessingml.foot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header317.xml" ContentType="application/vnd.openxmlformats-officedocument.wordprocessingml.header+xml"/>
  <Override PartName="/word/footer316.xml" ContentType="application/vnd.openxmlformats-officedocument.wordprocessingml.foot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footer319.xml" ContentType="application/vnd.openxmlformats-officedocument.wordprocessingml.foot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header323.xml" ContentType="application/vnd.openxmlformats-officedocument.wordprocessingml.header+xml"/>
  <Override PartName="/word/footer322.xml" ContentType="application/vnd.openxmlformats-officedocument.wordprocessingml.foot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34CE1A" w14:textId="3531625A" w:rsidR="00D65CB4" w:rsidRPr="00BC4EE7" w:rsidRDefault="00567EFF" w:rsidP="00567EFF">
      <w:pPr>
        <w:pStyle w:val="Pagedecouverture"/>
        <w:rPr>
          <w:noProof/>
        </w:rPr>
      </w:pPr>
      <w:bookmarkStart w:id="0" w:name="DW_BM_COVERPAGE"/>
      <w:bookmarkStart w:id="1" w:name="LW_BM_COVERPAGE"/>
      <w:r>
        <w:rPr>
          <w:noProof/>
        </w:rPr>
        <w:pict w14:anchorId="6E03EC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DE344103-9E23-4ECB-94C7-5D8DD79E1E8C" style="width:455.25pt;height:410.25pt">
            <v:imagedata r:id="rId8" o:title=""/>
          </v:shape>
        </w:pict>
      </w:r>
    </w:p>
    <w:bookmarkEnd w:id="1"/>
    <w:p w14:paraId="526C6B7F" w14:textId="77777777" w:rsidR="00D65CB4" w:rsidRPr="00BC4EE7" w:rsidRDefault="00D65CB4">
      <w:pPr>
        <w:rPr>
          <w:rFonts w:ascii="Times New Roman" w:hAnsi="Times New Roman" w:cs="Times New Roman"/>
          <w:noProof/>
        </w:rPr>
        <w:sectPr w:rsidR="00D65CB4" w:rsidRPr="00BC4EE7" w:rsidSect="00567EFF">
          <w:headerReference w:type="even" r:id="rId9"/>
          <w:headerReference w:type="default" r:id="rId10"/>
          <w:footerReference w:type="even" r:id="rId11"/>
          <w:footerReference w:type="default" r:id="rId12"/>
          <w:headerReference w:type="first" r:id="rId13"/>
          <w:footerReference w:type="first" r:id="rId14"/>
          <w:pgSz w:w="11907" w:h="16839"/>
          <w:pgMar w:top="1134" w:right="1417" w:bottom="1134" w:left="1417" w:header="709" w:footer="709" w:gutter="0"/>
          <w:pgNumType w:start="0"/>
          <w:cols w:space="720"/>
          <w:docGrid w:linePitch="360"/>
        </w:sectPr>
      </w:pPr>
    </w:p>
    <w:p w14:paraId="7FA88332" w14:textId="770697C0" w:rsidR="00D65CB4" w:rsidRPr="00BC4EE7" w:rsidRDefault="00572307">
      <w:pPr>
        <w:spacing w:before="120" w:after="120" w:line="240" w:lineRule="auto"/>
        <w:jc w:val="center"/>
        <w:rPr>
          <w:rFonts w:ascii="Times New Roman" w:hAnsi="Times New Roman" w:cs="Times New Roman"/>
          <w:b/>
          <w:noProof/>
          <w:sz w:val="28"/>
        </w:rPr>
      </w:pPr>
      <w:bookmarkStart w:id="2" w:name="_GoBack"/>
      <w:bookmarkEnd w:id="0"/>
      <w:bookmarkEnd w:id="2"/>
      <w:r w:rsidRPr="00BC4EE7">
        <w:rPr>
          <w:rFonts w:ascii="Times New Roman" w:hAnsi="Times New Roman" w:cs="Times New Roman"/>
          <w:b/>
          <w:noProof/>
          <w:sz w:val="28"/>
        </w:rPr>
        <w:lastRenderedPageBreak/>
        <w:t>MELLÉKLET</w:t>
      </w:r>
      <w:r w:rsidRPr="00BC4EE7">
        <w:rPr>
          <w:rFonts w:ascii="Times New Roman" w:hAnsi="Times New Roman" w:cs="Times New Roman"/>
          <w:noProof/>
        </w:rPr>
        <w:t xml:space="preserve"> </w:t>
      </w:r>
      <w:r w:rsidRPr="00BC4EE7">
        <w:rPr>
          <w:rFonts w:ascii="Times New Roman" w:hAnsi="Times New Roman" w:cs="Times New Roman"/>
          <w:noProof/>
        </w:rPr>
        <w:br/>
      </w:r>
    </w:p>
    <w:p w14:paraId="21F95161" w14:textId="77777777" w:rsidR="00D65CB4" w:rsidRPr="00BC4EE7" w:rsidRDefault="00572307">
      <w:pPr>
        <w:pStyle w:val="P68B1DB1-Normal1"/>
        <w:spacing w:before="120" w:after="120" w:line="240" w:lineRule="auto"/>
        <w:jc w:val="both"/>
        <w:rPr>
          <w:rFonts w:cs="Times New Roman"/>
          <w:noProof/>
        </w:rPr>
      </w:pPr>
      <w:r w:rsidRPr="00BC4EE7">
        <w:rPr>
          <w:rFonts w:cs="Times New Roman"/>
          <w:noProof/>
        </w:rPr>
        <w:t>1. SZAKASZ: A HELYREÁLLÍTÁSI ÉS REZILIENCIAÉPÍTÉSI TERVBEN FOGLALT REFORMOK ÉS BERUHÁZÁSOK</w:t>
      </w:r>
    </w:p>
    <w:p w14:paraId="5DAB6C7B" w14:textId="77777777" w:rsidR="00D65CB4" w:rsidRPr="00BC4EE7" w:rsidRDefault="00D65CB4">
      <w:pPr>
        <w:spacing w:before="120" w:after="120" w:line="240" w:lineRule="auto"/>
        <w:jc w:val="both"/>
        <w:rPr>
          <w:rFonts w:ascii="Times New Roman" w:hAnsi="Times New Roman" w:cs="Times New Roman"/>
          <w:noProof/>
          <w:sz w:val="28"/>
        </w:rPr>
      </w:pPr>
    </w:p>
    <w:p w14:paraId="7965D8B9" w14:textId="77777777" w:rsidR="00D65CB4" w:rsidRPr="00BC4EE7" w:rsidRDefault="00572307">
      <w:pPr>
        <w:pStyle w:val="P68B1DB1-Normal1"/>
        <w:numPr>
          <w:ilvl w:val="0"/>
          <w:numId w:val="191"/>
        </w:numPr>
        <w:spacing w:before="120" w:after="120" w:line="240" w:lineRule="auto"/>
        <w:jc w:val="both"/>
        <w:rPr>
          <w:rFonts w:cs="Times New Roman"/>
          <w:noProof/>
        </w:rPr>
      </w:pPr>
      <w:r w:rsidRPr="00BC4EE7">
        <w:rPr>
          <w:rFonts w:cs="Times New Roman"/>
          <w:noProof/>
        </w:rPr>
        <w:t xml:space="preserve">A reformok és beruházások ismertetése </w:t>
      </w:r>
    </w:p>
    <w:p w14:paraId="60E6C9D1" w14:textId="77777777" w:rsidR="00D65CB4" w:rsidRPr="00BC4EE7" w:rsidRDefault="00572307">
      <w:pPr>
        <w:pStyle w:val="P68B1DB1-Heading12"/>
        <w:rPr>
          <w:rFonts w:cs="Times New Roman"/>
          <w:noProof/>
        </w:rPr>
      </w:pPr>
      <w:r w:rsidRPr="00BC4EE7">
        <w:rPr>
          <w:rFonts w:cs="Times New Roman"/>
          <w:noProof/>
        </w:rPr>
        <w:t xml:space="preserve">A. 01. KOMPONENS: FENNTARTHATÓ, BIZTONSÁGOS ÉS ÖSSZEKAPCSOLT MOBILITÁSI SOKKTERV VÁROSI ÉS NAGYVÁROSI KÖRNYEZETBEN </w:t>
      </w:r>
    </w:p>
    <w:p w14:paraId="155EA4AC"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spanyol helyreállítási és rezilienciaépítési terv ezen komponense a levegőminőséggel kapcsolatos kihívásokkal foglalkozik, amelyek főként a nagyvárosi területeket érintik, és 2018-ban több mint 20000 korai halálesethez vezettek Spanyolországban. Az e komponenst érintő reformok és beruházások átfogó célja a tiszta, biztonságos és intelligens városi mobilitás felé való elmozdulás. Az ezen alkotóelem által követett konkrét célkitűzések a következők:</w:t>
      </w:r>
    </w:p>
    <w:p w14:paraId="7292808A" w14:textId="3FB5A64D" w:rsidR="00D65CB4" w:rsidRPr="00BC4EE7" w:rsidRDefault="00572307">
      <w:pPr>
        <w:spacing w:before="120" w:after="120" w:line="240" w:lineRule="auto"/>
        <w:jc w:val="both"/>
        <w:rPr>
          <w:rFonts w:ascii="Times New Roman" w:hAnsi="Times New Roman" w:cs="Times New Roman"/>
          <w:noProof/>
          <w:sz w:val="24"/>
        </w:rPr>
      </w:pPr>
      <w:r w:rsidRPr="00BC4EE7">
        <w:rPr>
          <w:rFonts w:ascii="Times New Roman" w:hAnsi="Times New Roman" w:cs="Times New Roman"/>
          <w:noProof/>
          <w:sz w:val="24"/>
        </w:rPr>
        <w:t>•</w:t>
      </w:r>
      <w:r w:rsidRPr="00BC4EE7">
        <w:rPr>
          <w:rFonts w:ascii="Times New Roman" w:hAnsi="Times New Roman" w:cs="Times New Roman"/>
          <w:noProof/>
        </w:rPr>
        <w:t xml:space="preserve"> </w:t>
      </w:r>
      <w:r w:rsidRPr="00BC4EE7">
        <w:rPr>
          <w:rFonts w:ascii="Times New Roman" w:hAnsi="Times New Roman" w:cs="Times New Roman"/>
          <w:noProof/>
          <w:sz w:val="24"/>
        </w:rPr>
        <w:t>gyorsítsa fel az alacsony kibocsátású övezetek megvalósítását a több mint 50000 lakosú településeken és a tartományok fővárosaiban, valamint az elektromos mobilitás térnyerését;</w:t>
      </w:r>
    </w:p>
    <w:p w14:paraId="795A19F4" w14:textId="77777777" w:rsidR="00D65CB4" w:rsidRPr="00BC4EE7" w:rsidRDefault="00572307">
      <w:pPr>
        <w:spacing w:before="120" w:after="120" w:line="240" w:lineRule="auto"/>
        <w:jc w:val="both"/>
        <w:rPr>
          <w:rFonts w:ascii="Times New Roman" w:hAnsi="Times New Roman" w:cs="Times New Roman"/>
          <w:noProof/>
          <w:sz w:val="24"/>
        </w:rPr>
      </w:pPr>
      <w:r w:rsidRPr="00BC4EE7">
        <w:rPr>
          <w:rFonts w:ascii="Times New Roman" w:hAnsi="Times New Roman" w:cs="Times New Roman"/>
          <w:noProof/>
          <w:sz w:val="24"/>
        </w:rPr>
        <w:t>•</w:t>
      </w:r>
      <w:r w:rsidRPr="00BC4EE7">
        <w:rPr>
          <w:rFonts w:ascii="Times New Roman" w:hAnsi="Times New Roman" w:cs="Times New Roman"/>
          <w:noProof/>
        </w:rPr>
        <w:t xml:space="preserve"> </w:t>
      </w:r>
      <w:r w:rsidRPr="00BC4EE7">
        <w:rPr>
          <w:rFonts w:ascii="Times New Roman" w:hAnsi="Times New Roman" w:cs="Times New Roman"/>
          <w:noProof/>
          <w:sz w:val="24"/>
        </w:rPr>
        <w:t xml:space="preserve">mozdítsák elő az aktív mobilitást, valamint a személygépkocsi-használat csökkentését elősegítő egyéb intézkedéseket; </w:t>
      </w:r>
    </w:p>
    <w:p w14:paraId="10A28E2B" w14:textId="77777777" w:rsidR="00D65CB4" w:rsidRPr="00BC4EE7" w:rsidRDefault="00572307">
      <w:pPr>
        <w:spacing w:before="120" w:after="120" w:line="240" w:lineRule="auto"/>
        <w:jc w:val="both"/>
        <w:rPr>
          <w:rFonts w:ascii="Times New Roman" w:hAnsi="Times New Roman" w:cs="Times New Roman"/>
          <w:noProof/>
          <w:sz w:val="24"/>
        </w:rPr>
      </w:pPr>
      <w:r w:rsidRPr="00BC4EE7">
        <w:rPr>
          <w:rFonts w:ascii="Times New Roman" w:hAnsi="Times New Roman" w:cs="Times New Roman"/>
          <w:noProof/>
          <w:sz w:val="24"/>
        </w:rPr>
        <w:t>•</w:t>
      </w:r>
      <w:r w:rsidRPr="00BC4EE7">
        <w:rPr>
          <w:rFonts w:ascii="Times New Roman" w:hAnsi="Times New Roman" w:cs="Times New Roman"/>
          <w:noProof/>
        </w:rPr>
        <w:t xml:space="preserve"> </w:t>
      </w:r>
      <w:r w:rsidRPr="00BC4EE7">
        <w:rPr>
          <w:rFonts w:ascii="Times New Roman" w:hAnsi="Times New Roman" w:cs="Times New Roman"/>
          <w:noProof/>
          <w:sz w:val="24"/>
        </w:rPr>
        <w:t>a tömegközlekedési ágazat digitális és fenntartható átalakítása a magángépjárművek használatának valódi alternatívájaként;</w:t>
      </w:r>
    </w:p>
    <w:p w14:paraId="4734CA15" w14:textId="77777777" w:rsidR="00D65CB4" w:rsidRPr="00BC4EE7" w:rsidRDefault="00572307">
      <w:pPr>
        <w:spacing w:before="120" w:after="120" w:line="240" w:lineRule="auto"/>
        <w:jc w:val="both"/>
        <w:rPr>
          <w:rFonts w:ascii="Times New Roman" w:hAnsi="Times New Roman" w:cs="Times New Roman"/>
          <w:noProof/>
          <w:sz w:val="24"/>
        </w:rPr>
      </w:pPr>
      <w:r w:rsidRPr="00BC4EE7">
        <w:rPr>
          <w:rFonts w:ascii="Times New Roman" w:hAnsi="Times New Roman" w:cs="Times New Roman"/>
          <w:noProof/>
          <w:sz w:val="24"/>
        </w:rPr>
        <w:t>•</w:t>
      </w:r>
      <w:r w:rsidRPr="00BC4EE7">
        <w:rPr>
          <w:rFonts w:ascii="Times New Roman" w:hAnsi="Times New Roman" w:cs="Times New Roman"/>
          <w:noProof/>
        </w:rPr>
        <w:t xml:space="preserve"> </w:t>
      </w:r>
      <w:r w:rsidRPr="00BC4EE7">
        <w:rPr>
          <w:rFonts w:ascii="Times New Roman" w:hAnsi="Times New Roman" w:cs="Times New Roman"/>
          <w:noProof/>
          <w:sz w:val="24"/>
        </w:rPr>
        <w:t>a rövid távú vasúti szolgáltatások minőségének és megbízhatóságának javítása a nagyvárosi környezetben való hatékony használat növelése érdekében, a magánjárművek kárára;</w:t>
      </w:r>
    </w:p>
    <w:p w14:paraId="2AE469A1" w14:textId="77777777" w:rsidR="00D65CB4" w:rsidRPr="00BC4EE7" w:rsidRDefault="00572307">
      <w:pPr>
        <w:spacing w:before="120" w:after="120" w:line="240" w:lineRule="auto"/>
        <w:jc w:val="both"/>
        <w:rPr>
          <w:rFonts w:ascii="Times New Roman" w:hAnsi="Times New Roman" w:cs="Times New Roman"/>
          <w:noProof/>
          <w:sz w:val="24"/>
        </w:rPr>
      </w:pPr>
      <w:r w:rsidRPr="00BC4EE7">
        <w:rPr>
          <w:rFonts w:ascii="Times New Roman" w:hAnsi="Times New Roman" w:cs="Times New Roman"/>
          <w:noProof/>
          <w:sz w:val="24"/>
        </w:rPr>
        <w:t>•</w:t>
      </w:r>
      <w:r w:rsidRPr="00BC4EE7">
        <w:rPr>
          <w:rFonts w:ascii="Times New Roman" w:hAnsi="Times New Roman" w:cs="Times New Roman"/>
          <w:noProof/>
        </w:rPr>
        <w:t xml:space="preserve"> </w:t>
      </w:r>
      <w:r w:rsidRPr="00BC4EE7">
        <w:rPr>
          <w:rFonts w:ascii="Times New Roman" w:hAnsi="Times New Roman" w:cs="Times New Roman"/>
          <w:noProof/>
          <w:sz w:val="24"/>
        </w:rPr>
        <w:t>a közlekedésirányítás optimalizálása és a döntéshozatal megkönnyítése a tisztább mobilitás előmozdítása érdekében.</w:t>
      </w:r>
    </w:p>
    <w:p w14:paraId="21A64CB2" w14:textId="6060F0E6" w:rsidR="00D65CB4" w:rsidRPr="00BC4EE7" w:rsidRDefault="00572307">
      <w:pPr>
        <w:pStyle w:val="P68B1DB1-Normal4"/>
        <w:spacing w:before="120" w:after="120" w:line="240" w:lineRule="auto"/>
        <w:jc w:val="both"/>
        <w:rPr>
          <w:rFonts w:cs="Times New Roman"/>
          <w:noProof/>
        </w:rPr>
      </w:pPr>
      <w:r w:rsidRPr="00BC4EE7">
        <w:rPr>
          <w:rFonts w:cs="Times New Roman"/>
          <w:noProof/>
        </w:rPr>
        <w:t>A komponens a zöld és digitális átállást és a fenntartható közlekedést előmozdító köz- és magánberuházások előmozdításáról (2020. évi 3. országspecifikus ajánlás), az innovációba, az energiahatékonyságba és a vasúti árufuvarozási infrastruktúrába történő beruházások előmozdításáról (2019. évi 3. országspecifikus ajánlás), valamint a kormányzati szintű együttműködés megerősítéséről szóló országspecifikus ajánlásokkal foglalkozik (2019. évi 4. országspecifikus ajánlás).</w:t>
      </w:r>
    </w:p>
    <w:p w14:paraId="5E64A5E4" w14:textId="77E09C16"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Az ebben a komponensben szereplő egyetlen intézkedés sem sérti jelentősen a környezeti célkitűzéseket az (EU) 2020/852 rendelet 17. cikke értelmében, figyelembe véve a helyreállítási és rezilienciaépítési tervben a jelentős károkozás elkerülését célzó technikai iránymutatással (2021/C58/01) összhangban meghatározott intézkedések és enyhítő lépések leírását.  </w:t>
      </w:r>
    </w:p>
    <w:p w14:paraId="0C520A87" w14:textId="7CC6A4CA" w:rsidR="00D65CB4" w:rsidRPr="00BC4EE7" w:rsidRDefault="00D65CB4">
      <w:pPr>
        <w:spacing w:before="120" w:after="120" w:line="240" w:lineRule="auto"/>
        <w:jc w:val="both"/>
        <w:rPr>
          <w:rFonts w:ascii="Times New Roman" w:hAnsi="Times New Roman" w:cs="Times New Roman"/>
          <w:noProof/>
          <w:sz w:val="24"/>
        </w:rPr>
      </w:pPr>
    </w:p>
    <w:p w14:paraId="047A2FE4" w14:textId="77777777" w:rsidR="00D65CB4" w:rsidRPr="00BC4EE7" w:rsidRDefault="00572307">
      <w:pPr>
        <w:spacing w:before="120" w:after="120" w:line="240" w:lineRule="auto"/>
        <w:ind w:left="709"/>
        <w:jc w:val="both"/>
        <w:rPr>
          <w:rFonts w:ascii="Times New Roman" w:hAnsi="Times New Roman" w:cs="Times New Roman"/>
          <w:b/>
          <w:i/>
          <w:noProof/>
          <w:sz w:val="24"/>
        </w:rPr>
      </w:pPr>
      <w:bookmarkStart w:id="3" w:name="_Hlk138340506"/>
      <w:r w:rsidRPr="00BC4EE7">
        <w:rPr>
          <w:rFonts w:ascii="Times New Roman" w:hAnsi="Times New Roman" w:cs="Times New Roman"/>
          <w:b/>
          <w:noProof/>
          <w:sz w:val="24"/>
          <w:u w:val="single"/>
        </w:rPr>
        <w:t xml:space="preserve">A.1.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Vissza nem térítendő pénzügyi támogatás – a reformok és beruházások ismertetése</w:t>
      </w:r>
    </w:p>
    <w:p w14:paraId="483637DE"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Reform (C1.R1) – Az elektromos járművek infrastruktúrájának feltöltésére és fellendítésére vonatkozó kiépítési terv</w:t>
      </w:r>
      <w:bookmarkEnd w:id="3"/>
      <w:r w:rsidRPr="00BC4EE7">
        <w:rPr>
          <w:rFonts w:cs="Times New Roman"/>
          <w:noProof/>
        </w:rPr>
        <w:t xml:space="preserve"> </w:t>
      </w:r>
    </w:p>
    <w:p w14:paraId="5613BC71" w14:textId="3E92A87B"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Ezen intézkedés célja az elektromos járművek használatának fellendítése érdekében a töltőinfrastruktúra kiépítését megkönnyítő működési és szabályozási keret megerősítése. </w:t>
      </w:r>
    </w:p>
    <w:p w14:paraId="385D7B78"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reform a következő szabályozási keret elfogadásából áll, amelynek célja a töltőállomások elterjedését jelenleg gátló akadályok felszámolása: </w:t>
      </w:r>
    </w:p>
    <w:p w14:paraId="41C362C6" w14:textId="77777777" w:rsidR="00D65CB4" w:rsidRPr="00BC4EE7" w:rsidRDefault="00572307">
      <w:pPr>
        <w:pStyle w:val="P68B1DB1-Normal4"/>
        <w:numPr>
          <w:ilvl w:val="0"/>
          <w:numId w:val="296"/>
        </w:numPr>
        <w:spacing w:before="120" w:after="120" w:line="240" w:lineRule="auto"/>
        <w:jc w:val="both"/>
        <w:rPr>
          <w:rFonts w:cs="Times New Roman"/>
          <w:noProof/>
        </w:rPr>
      </w:pPr>
      <w:r w:rsidRPr="00BC4EE7">
        <w:rPr>
          <w:rFonts w:cs="Times New Roman"/>
          <w:noProof/>
        </w:rPr>
        <w:t>A nyilvánosan hozzáférhető töltési szolgáltatásokat szabályozó és a telepített pontok megfelelő és megbízható működését biztosító királyi rendelet;</w:t>
      </w:r>
    </w:p>
    <w:p w14:paraId="3C6F59B2" w14:textId="77777777" w:rsidR="00D65CB4" w:rsidRPr="00BC4EE7" w:rsidRDefault="00572307">
      <w:pPr>
        <w:pStyle w:val="P68B1DB1-Normal4"/>
        <w:numPr>
          <w:ilvl w:val="0"/>
          <w:numId w:val="296"/>
        </w:numPr>
        <w:spacing w:before="120" w:after="120" w:line="240" w:lineRule="auto"/>
        <w:jc w:val="both"/>
        <w:rPr>
          <w:rFonts w:cs="Times New Roman"/>
          <w:noProof/>
        </w:rPr>
      </w:pPr>
      <w:r w:rsidRPr="00BC4EE7">
        <w:rPr>
          <w:rFonts w:cs="Times New Roman"/>
          <w:noProof/>
        </w:rPr>
        <w:t xml:space="preserve">A 2020. június 23-i 23/2020. sz. királyi törvényerejű rendelet, amely hozzájárul az elektromos töltőinfrastruktúra feldolgozásának felgyorsításához azáltal, hogy a 250 kW-nál nagyobb teljesítményű töltőberendezéseket közhasznúnak nyilvánítja; </w:t>
      </w:r>
    </w:p>
    <w:p w14:paraId="0FFB3C08" w14:textId="77777777" w:rsidR="00D65CB4" w:rsidRPr="00BC4EE7" w:rsidRDefault="00572307">
      <w:pPr>
        <w:pStyle w:val="P68B1DB1-Normal4"/>
        <w:numPr>
          <w:ilvl w:val="0"/>
          <w:numId w:val="296"/>
        </w:numPr>
        <w:spacing w:before="120" w:after="120" w:line="240" w:lineRule="auto"/>
        <w:jc w:val="both"/>
        <w:rPr>
          <w:rFonts w:eastAsia="Arial" w:cs="Times New Roman"/>
          <w:noProof/>
        </w:rPr>
      </w:pPr>
      <w:r w:rsidRPr="00BC4EE7">
        <w:rPr>
          <w:rFonts w:cs="Times New Roman"/>
          <w:noProof/>
        </w:rPr>
        <w:t>A TMA/178/2020 rendelet, amely csökkenti az üzemanyagtöltő állomásokon a villamosenergia-töltőberendezések jóváhagyásával és telepítésével kapcsolatos adminisztratív terheket;</w:t>
      </w:r>
    </w:p>
    <w:p w14:paraId="7822F39A" w14:textId="77777777" w:rsidR="00D65CB4" w:rsidRPr="00BC4EE7" w:rsidRDefault="00572307">
      <w:pPr>
        <w:pStyle w:val="P68B1DB1-Normal4"/>
        <w:numPr>
          <w:ilvl w:val="0"/>
          <w:numId w:val="296"/>
        </w:numPr>
        <w:spacing w:before="120" w:after="120" w:line="240" w:lineRule="auto"/>
        <w:jc w:val="both"/>
        <w:rPr>
          <w:rFonts w:cs="Times New Roman"/>
          <w:noProof/>
        </w:rPr>
      </w:pPr>
      <w:r w:rsidRPr="00BC4EE7">
        <w:rPr>
          <w:rFonts w:cs="Times New Roman"/>
          <w:noProof/>
        </w:rPr>
        <w:t>Módosított műszaki építési szabályzat, amely mind a lakó-, mind a harmadlagos parkolókban növeli az elektromos járművek töltésére szolgáló infrastruktúra minimális mennyiségét, meghaladva az épületek energiahatékonyságáról szóló irányelv minimumkövetelményeit; és</w:t>
      </w:r>
    </w:p>
    <w:p w14:paraId="45BFDD5B" w14:textId="77777777" w:rsidR="00D65CB4" w:rsidRPr="00BC4EE7" w:rsidRDefault="00572307">
      <w:pPr>
        <w:pStyle w:val="P68B1DB1-Normal4"/>
        <w:numPr>
          <w:ilvl w:val="0"/>
          <w:numId w:val="296"/>
        </w:numPr>
        <w:spacing w:before="120" w:after="120" w:line="240" w:lineRule="auto"/>
        <w:jc w:val="both"/>
        <w:rPr>
          <w:rFonts w:cs="Times New Roman"/>
          <w:noProof/>
        </w:rPr>
      </w:pPr>
      <w:r w:rsidRPr="00BC4EE7">
        <w:rPr>
          <w:rFonts w:cs="Times New Roman"/>
          <w:noProof/>
        </w:rPr>
        <w:t>Módosított kisfeszültségű elektrotechnikai rendelet, amely az épülethez nem kapcsolódó parkolók töltőinfrastruktúrájára vonatkozó kötelezettségeket tartalmaz.</w:t>
      </w:r>
    </w:p>
    <w:p w14:paraId="2C641F87"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reform végrehajtását 2022. június 30-ig be kell fejezni.</w:t>
      </w:r>
    </w:p>
    <w:p w14:paraId="6C6834B7" w14:textId="02067FD3" w:rsidR="00D65CB4" w:rsidRPr="00BC4EE7" w:rsidRDefault="00572307">
      <w:pPr>
        <w:pStyle w:val="P68B1DB1-Normal5"/>
        <w:spacing w:before="120" w:after="120" w:line="240" w:lineRule="auto"/>
        <w:jc w:val="both"/>
        <w:rPr>
          <w:rFonts w:cs="Times New Roman"/>
          <w:noProof/>
        </w:rPr>
      </w:pPr>
      <w:r w:rsidRPr="00BC4EE7">
        <w:rPr>
          <w:rFonts w:cs="Times New Roman"/>
          <w:noProof/>
        </w:rPr>
        <w:t xml:space="preserve">Reform (C1.R2) – Mobilitási jogszabály </w:t>
      </w:r>
    </w:p>
    <w:p w14:paraId="4FCCBF4A" w14:textId="7E46C380"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Ezen, törvény útján végrehajtott intézkedés célja, hogy megteremtse a javított fenntarthatóságon és digitális dimenzión alapuló, megújított spanyolországi mobilitási politikát alátámasztó szabályozási keretet. </w:t>
      </w:r>
    </w:p>
    <w:p w14:paraId="740490EB" w14:textId="31AF4E87" w:rsidR="00D65CB4" w:rsidRPr="00BC4EE7" w:rsidRDefault="00572307">
      <w:pPr>
        <w:pStyle w:val="P68B1DB1-Normal4"/>
        <w:spacing w:before="120" w:after="120" w:line="240" w:lineRule="auto"/>
        <w:jc w:val="both"/>
        <w:rPr>
          <w:rFonts w:cs="Times New Roman"/>
          <w:noProof/>
        </w:rPr>
      </w:pPr>
      <w:r w:rsidRPr="00BC4EE7">
        <w:rPr>
          <w:rFonts w:cs="Times New Roman"/>
          <w:noProof/>
        </w:rPr>
        <w:t>A törvény legalább a következőket írja elő:</w:t>
      </w:r>
    </w:p>
    <w:p w14:paraId="58678A40" w14:textId="40259FFD" w:rsidR="00D65CB4" w:rsidRPr="00BC4EE7" w:rsidRDefault="00572307">
      <w:pPr>
        <w:pStyle w:val="P68B1DB1-ListParagraph6"/>
        <w:numPr>
          <w:ilvl w:val="0"/>
          <w:numId w:val="5"/>
        </w:numPr>
        <w:spacing w:before="120" w:after="120" w:line="240" w:lineRule="auto"/>
        <w:jc w:val="both"/>
        <w:rPr>
          <w:rFonts w:cs="Times New Roman"/>
          <w:noProof/>
          <w:sz w:val="18"/>
        </w:rPr>
      </w:pPr>
      <w:r w:rsidRPr="00BC4EE7">
        <w:rPr>
          <w:rFonts w:cs="Times New Roman"/>
          <w:noProof/>
        </w:rPr>
        <w:t xml:space="preserve">A vasúti árufuvarozást előmozdító egyedi intézkedések, amelyek hozzájárulnak a szárazföldi árufuvarozásból származó globális kibocsátások csökkentéséhez, beleértve a következőket: </w:t>
      </w:r>
    </w:p>
    <w:p w14:paraId="0AF94759" w14:textId="14048C2A" w:rsidR="00D65CB4" w:rsidRPr="00BC4EE7" w:rsidRDefault="00572307">
      <w:pPr>
        <w:pStyle w:val="P68B1DB1-ListParagraph6"/>
        <w:numPr>
          <w:ilvl w:val="1"/>
          <w:numId w:val="5"/>
        </w:numPr>
        <w:spacing w:before="120" w:after="120" w:line="240" w:lineRule="auto"/>
        <w:jc w:val="both"/>
        <w:rPr>
          <w:rFonts w:eastAsia="Times New Roman" w:cs="Times New Roman"/>
          <w:noProof/>
        </w:rPr>
      </w:pPr>
      <w:r w:rsidRPr="00BC4EE7">
        <w:rPr>
          <w:rFonts w:cs="Times New Roman"/>
          <w:noProof/>
        </w:rPr>
        <w:t>a gördülő autópályák megvalósítására irányuló program kidolgozásának kötelezettsége azokon a folyosókon, ahol az megvalósítható, és ahol üzleti érdek fűződik a fejlesztéshez;</w:t>
      </w:r>
    </w:p>
    <w:p w14:paraId="3460F64C" w14:textId="2F8DCDE7" w:rsidR="00D65CB4" w:rsidRPr="00BC4EE7" w:rsidRDefault="00572307">
      <w:pPr>
        <w:pStyle w:val="P68B1DB1-ListParagraph6"/>
        <w:numPr>
          <w:ilvl w:val="1"/>
          <w:numId w:val="5"/>
        </w:numPr>
        <w:spacing w:before="120" w:after="120" w:line="240" w:lineRule="auto"/>
        <w:jc w:val="both"/>
        <w:rPr>
          <w:rFonts w:eastAsia="Times New Roman" w:cs="Times New Roman"/>
          <w:noProof/>
        </w:rPr>
      </w:pPr>
      <w:r w:rsidRPr="00BC4EE7">
        <w:rPr>
          <w:rFonts w:cs="Times New Roman"/>
          <w:noProof/>
        </w:rPr>
        <w:t>a teherforgalomra vonatkozó vasúti díjbónuszok legalább 5 éven keresztül;</w:t>
      </w:r>
    </w:p>
    <w:p w14:paraId="39B7275B" w14:textId="7858A0AE" w:rsidR="00D65CB4" w:rsidRPr="00BC4EE7" w:rsidRDefault="00572307">
      <w:pPr>
        <w:pStyle w:val="P68B1DB1-ListParagraph6"/>
        <w:numPr>
          <w:ilvl w:val="1"/>
          <w:numId w:val="5"/>
        </w:numPr>
        <w:spacing w:before="120" w:after="120" w:line="240" w:lineRule="auto"/>
        <w:jc w:val="both"/>
        <w:rPr>
          <w:rFonts w:cs="Times New Roman"/>
          <w:noProof/>
        </w:rPr>
      </w:pPr>
      <w:r w:rsidRPr="00BC4EE7">
        <w:rPr>
          <w:rFonts w:cs="Times New Roman"/>
          <w:noProof/>
        </w:rPr>
        <w:t>a vasúti árufuvarozást támogató program, beleértve a közúti szállításról a vasútra történő modális váltást, valamint a vasúti közlekedési ágazat korszerűsítését és innovációját előmozdító ösztönzőket;</w:t>
      </w:r>
    </w:p>
    <w:p w14:paraId="29C468E9" w14:textId="58B44112" w:rsidR="00D65CB4" w:rsidRPr="00BC4EE7" w:rsidRDefault="00572307">
      <w:pPr>
        <w:pStyle w:val="P68B1DB1-ListParagraph6"/>
        <w:numPr>
          <w:ilvl w:val="0"/>
          <w:numId w:val="5"/>
        </w:numPr>
        <w:spacing w:before="120" w:after="120" w:line="240" w:lineRule="auto"/>
        <w:jc w:val="both"/>
        <w:rPr>
          <w:rFonts w:cs="Times New Roman"/>
          <w:noProof/>
        </w:rPr>
      </w:pPr>
      <w:r w:rsidRPr="00BC4EE7">
        <w:rPr>
          <w:rFonts w:cs="Times New Roman"/>
          <w:noProof/>
        </w:rPr>
        <w:t xml:space="preserve">bizonyos méretű önkormányzatokra és vállalkozásokra alkalmazandó számos kötelezettség és módszertani útmutató a fenntartható városi mobilitási terv, illetve a munkával kapcsolatos fenntartható mobilitási programok végrehajtásának ösztönzése érdekében; </w:t>
      </w:r>
    </w:p>
    <w:p w14:paraId="570063C2" w14:textId="33E02F6F" w:rsidR="00D65CB4" w:rsidRPr="00BC4EE7" w:rsidRDefault="00572307">
      <w:pPr>
        <w:pStyle w:val="P68B1DB1-ListParagraph6"/>
        <w:numPr>
          <w:ilvl w:val="0"/>
          <w:numId w:val="5"/>
        </w:numPr>
        <w:spacing w:before="120" w:after="120" w:line="240" w:lineRule="auto"/>
        <w:jc w:val="both"/>
        <w:rPr>
          <w:rFonts w:cs="Times New Roman"/>
          <w:noProof/>
        </w:rPr>
      </w:pPr>
      <w:r w:rsidRPr="00BC4EE7">
        <w:rPr>
          <w:rFonts w:cs="Times New Roman"/>
          <w:noProof/>
        </w:rPr>
        <w:t xml:space="preserve">mechanizmus létrehozása az infrastruktúra-tervezés szigorának növelésére a független költségvetési hatóság (Autoridad Independiente de Responsabilidad Fiscal, AIReF) ajánlásaival összhangban, a fenntarthatósággal és a társadalmi költség-haszon elemzéssel kapcsolatos megfontolások figyelembevételével; </w:t>
      </w:r>
    </w:p>
    <w:p w14:paraId="08E8E098" w14:textId="32C3B305" w:rsidR="00D65CB4" w:rsidRPr="00BC4EE7" w:rsidRDefault="00572307">
      <w:pPr>
        <w:pStyle w:val="P68B1DB1-ListParagraph6"/>
        <w:numPr>
          <w:ilvl w:val="0"/>
          <w:numId w:val="5"/>
        </w:numPr>
        <w:spacing w:before="120" w:after="120" w:line="240" w:lineRule="auto"/>
        <w:jc w:val="both"/>
        <w:rPr>
          <w:rFonts w:cs="Times New Roman"/>
          <w:noProof/>
        </w:rPr>
      </w:pPr>
      <w:r w:rsidRPr="00BC4EE7">
        <w:rPr>
          <w:rFonts w:cs="Times New Roman"/>
          <w:noProof/>
        </w:rPr>
        <w:t xml:space="preserve">a városi közlekedés kiszámítható finanszírozási rendszerének létrehozása az ország településein, az állami források egységes elosztási kritériumai alapján; </w:t>
      </w:r>
    </w:p>
    <w:p w14:paraId="4C0DDC69" w14:textId="06685730" w:rsidR="00D65CB4" w:rsidRPr="00BC4EE7" w:rsidRDefault="00572307">
      <w:pPr>
        <w:pStyle w:val="P68B1DB1-ListParagraph6"/>
        <w:numPr>
          <w:ilvl w:val="0"/>
          <w:numId w:val="5"/>
        </w:numPr>
        <w:spacing w:before="120" w:after="120" w:line="240" w:lineRule="auto"/>
        <w:jc w:val="both"/>
        <w:rPr>
          <w:rFonts w:cs="Times New Roman"/>
          <w:noProof/>
        </w:rPr>
      </w:pPr>
      <w:r w:rsidRPr="00BC4EE7">
        <w:rPr>
          <w:rFonts w:cs="Times New Roman"/>
          <w:noProof/>
        </w:rPr>
        <w:t>szabályozói tesztkörnyezet bevezetése, amely elősegíti az innovációt a mobilitási és a közlekedési ágazatban, valamint azok piacra lépését;</w:t>
      </w:r>
    </w:p>
    <w:p w14:paraId="58B38EEC" w14:textId="262E1CD2" w:rsidR="00D65CB4" w:rsidRPr="00BC4EE7" w:rsidRDefault="00572307">
      <w:pPr>
        <w:pStyle w:val="P68B1DB1-ListParagraph6"/>
        <w:numPr>
          <w:ilvl w:val="0"/>
          <w:numId w:val="5"/>
        </w:numPr>
        <w:spacing w:before="120" w:after="120" w:line="240" w:lineRule="auto"/>
        <w:jc w:val="both"/>
        <w:rPr>
          <w:rFonts w:cs="Times New Roman"/>
          <w:noProof/>
        </w:rPr>
      </w:pPr>
      <w:r w:rsidRPr="00BC4EE7">
        <w:rPr>
          <w:rFonts w:cs="Times New Roman"/>
          <w:noProof/>
        </w:rPr>
        <w:t xml:space="preserve">az irányítás javítása az AIReF ajánlásaival összhangban a következők létrehozása révén: nemzeti mobilitási rendszer a közlekedésért és mobilitásért felelős három területi önkormányzat közötti koordináció és együttműködés előmozdítására; a Közlekedési és Mobilitási Főtanács, amely a termelő ágazatokat, a tudományos köröket és a civil társadalmat tanácsokkal látja el, megvitatja és bevonja őket a közlekedési és mobilitási politikák meghatározásába; valamint iii. integrált közlekedési és mobilitási információs platform, amely integrálja a közlekedéssel és a mobilitással kapcsolatos, különböző közigazgatási szervektől és külső forrásokból származó információkat. Ez lehetővé teszi a közigazgatási szervek számára, hogy optimalizálják a közpolitikák kialakítását, és javítsák a válságokra és vészhelyzetekre való reagálási képességüket. </w:t>
      </w:r>
    </w:p>
    <w:p w14:paraId="2E45AE45" w14:textId="7B1926D2" w:rsidR="00D65CB4" w:rsidRPr="00BC4EE7" w:rsidRDefault="00572307">
      <w:pPr>
        <w:pStyle w:val="P68B1DB1-Normal4"/>
        <w:spacing w:after="0" w:line="240" w:lineRule="auto"/>
        <w:jc w:val="both"/>
        <w:rPr>
          <w:rFonts w:cs="Times New Roman"/>
          <w:noProof/>
        </w:rPr>
      </w:pPr>
      <w:r w:rsidRPr="00BC4EE7">
        <w:rPr>
          <w:rFonts w:cs="Times New Roman"/>
          <w:noProof/>
        </w:rPr>
        <w:t>A fent ismertetett új törvényen túlmenően az intézkedésnek magában kell foglalnia a) a különböző közlekedési módokra irányuló infrastrukturális beruházások költség-haszon elemzésének végrehajtására szolgáló szoftveralkalmazás kifejlesztését, összhangban a fenntartható mobilitásról szóló jogszabályban előírt hivatalos módszertanban meghatározott fenntarthatósági, társadalmi és környezetvédelmi megfontolásokkal; és b) a közlekedési minisztérium szervezeti felépítését kidolgozó királyi rendelet hatálybalépése és kihirdetése, amely meghatározza a Sandbox Office konkrét hatásköreit.</w:t>
      </w:r>
    </w:p>
    <w:p w14:paraId="3924B57A" w14:textId="77777777" w:rsidR="00D65CB4" w:rsidRPr="00BC4EE7" w:rsidRDefault="00D65CB4">
      <w:pPr>
        <w:spacing w:after="0" w:line="240" w:lineRule="auto"/>
        <w:jc w:val="both"/>
        <w:rPr>
          <w:rFonts w:ascii="Times New Roman" w:hAnsi="Times New Roman" w:cs="Times New Roman"/>
          <w:noProof/>
          <w:sz w:val="24"/>
        </w:rPr>
      </w:pPr>
    </w:p>
    <w:p w14:paraId="1831BE70" w14:textId="2B7F3139" w:rsidR="00D65CB4" w:rsidRPr="00BC4EE7" w:rsidRDefault="00572307">
      <w:pPr>
        <w:pStyle w:val="P68B1DB1-Normal4"/>
        <w:spacing w:after="0" w:line="240" w:lineRule="auto"/>
        <w:jc w:val="both"/>
        <w:rPr>
          <w:rFonts w:cs="Times New Roman"/>
          <w:noProof/>
        </w:rPr>
      </w:pPr>
      <w:r w:rsidRPr="00BC4EE7">
        <w:rPr>
          <w:rFonts w:cs="Times New Roman"/>
          <w:noProof/>
        </w:rPr>
        <w:t>A reform végrehajtását 2026. június 30-ig be kell fejezni.</w:t>
      </w:r>
    </w:p>
    <w:p w14:paraId="276691B0" w14:textId="65262441" w:rsidR="00D65CB4" w:rsidRPr="00BC4EE7" w:rsidRDefault="00D65CB4">
      <w:pPr>
        <w:spacing w:before="120" w:after="120" w:line="240" w:lineRule="auto"/>
        <w:jc w:val="both"/>
        <w:rPr>
          <w:rFonts w:ascii="Times New Roman" w:hAnsi="Times New Roman" w:cs="Times New Roman"/>
          <w:noProof/>
          <w:sz w:val="24"/>
        </w:rPr>
      </w:pPr>
    </w:p>
    <w:p w14:paraId="69ACC4C4" w14:textId="77777777" w:rsidR="00D65CB4" w:rsidRPr="00BC4EE7" w:rsidRDefault="00572307">
      <w:pPr>
        <w:pStyle w:val="P68B1DB1-Normal5"/>
        <w:spacing w:line="240" w:lineRule="auto"/>
        <w:rPr>
          <w:rFonts w:cs="Times New Roman"/>
          <w:noProof/>
        </w:rPr>
      </w:pPr>
      <w:r w:rsidRPr="00BC4EE7">
        <w:rPr>
          <w:rFonts w:cs="Times New Roman"/>
          <w:noProof/>
        </w:rPr>
        <w:t>Beruházás (C1.I1) – Alacsony kibocsátású területek, valamint a városi és nagyvárosi közlekedés átalakítása</w:t>
      </w:r>
    </w:p>
    <w:p w14:paraId="10BD2E5A"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Ezen intézkedés célja a közlekedési szolgáltatások fenntartható és digitális átalakításának előmozdítása azzal a céllal, hogy 2030-ig 35%-kal csökkenjen a magángépjárművek városi környezetben való használata. Az intézkedésnek ki kell terjednie a szállítási szolgáltatásokat nyújtó vállalatok tisztább személy- és teherszállító flottáira való átállás ösztönzőire is. Ezt a beruházást a helyi hatóságok, az autonóm közösségek és a Közlekedési, Mobilitáspolitikai és Városfejlesztési Minisztérium (MITMA) hajtják végre. </w:t>
      </w:r>
    </w:p>
    <w:p w14:paraId="08D5899F" w14:textId="5990C230" w:rsidR="00D65CB4" w:rsidRPr="00BC4EE7" w:rsidRDefault="00572307">
      <w:pPr>
        <w:pStyle w:val="P68B1DB1-Normal7"/>
        <w:spacing w:before="120" w:after="120" w:line="240" w:lineRule="auto"/>
        <w:jc w:val="both"/>
        <w:rPr>
          <w:rFonts w:cs="Times New Roman"/>
          <w:noProof/>
          <w:sz w:val="24"/>
        </w:rPr>
      </w:pPr>
      <w:r w:rsidRPr="00BC4EE7">
        <w:rPr>
          <w:rFonts w:cs="Times New Roman"/>
          <w:noProof/>
          <w:sz w:val="24"/>
        </w:rPr>
        <w:t>Az autonóm közösségek által megvalósítandó beruházási projektek a következőkhöz kapcsolódhatnak: a) tömegközlekedési flották átalakítása a tiszta járművekről szóló irányelv célkitűzéseinek elérése érdekében és</w:t>
      </w:r>
      <w:r w:rsidRPr="00BC4EE7">
        <w:rPr>
          <w:rFonts w:cs="Times New Roman"/>
          <w:noProof/>
          <w:sz w:val="20"/>
        </w:rPr>
        <w:t xml:space="preserve"> </w:t>
      </w:r>
      <w:r w:rsidRPr="00BC4EE7">
        <w:rPr>
          <w:rFonts w:cs="Times New Roman"/>
          <w:noProof/>
          <w:sz w:val="24"/>
        </w:rPr>
        <w:t>a jelentős károkozás elkerülését célzó műszaki iránymutatásnak (2021/C58/01) megfelelően; az alacsony kibocsátású övezetek (LEZ-ek) megvalósítása és kezelése; a tömegközlekedés digitalizálása, adminisztratív irányítása és hozzáférhetőségének javítása; d) a közösségi közlekedés és az aktív mobilitás előtérbe helyezésére irányuló intézkedések, beleértve a kerékpáros infrastruktúrát és a gyalogossávokat; e) az új kibocsátásmentes technológiák térnyerésének ösztönzése Spanyolországban a közlekedésben; az e településeken és a tartomány fővárosain kívül található, elrettentésre szolgáló parkolók a városközpontba érkező forgalom csökkentése érdekében, és a vasúti közlekedési rendszer (pl. metrók vagy vasút) bővítése vagy korszerűsítése; H) a fenntartható mobilitást támogató intézkedéseket kiegészítő digitalizációs projektek, beleértve a tömegközlekedési szolgáltatásokra vonatkozó valós idejű információs rendszereket, a mobilitást mint szolgáltatást, az intermodális vagy szolgáltatásközi jegyértékesítés javítását célzó projekteket, a forgalom- és mobilitásirányítást támogató projekteket és az információelemzést a közlekedési rendszer hatékonyságának növelése érdekében; bármely más projekt, amely: i. hozzájárulás a levegőminőség javításához, különösen a városi területeken; ii. a magánközlekedés használatának csökkentése a városi és nagyvárosi területeken iii. a tömegközlekedés használatának ösztönzése vagy iv. az aktív és egészséges mobilitás ösztönzése.</w:t>
      </w:r>
    </w:p>
    <w:p w14:paraId="0DC7F4CD" w14:textId="7E76A81A"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helyi hatóságok projektjei például a </w:t>
      </w:r>
      <w:r w:rsidRPr="00BC4EE7">
        <w:rPr>
          <w:rFonts w:cs="Times New Roman"/>
          <w:noProof/>
          <w:shd w:val="clear" w:color="auto" w:fill="FFFFFF" w:themeFill="background1"/>
        </w:rPr>
        <w:t>következőkből</w:t>
      </w:r>
      <w:r w:rsidRPr="00BC4EE7">
        <w:rPr>
          <w:rFonts w:cs="Times New Roman"/>
          <w:noProof/>
        </w:rPr>
        <w:t xml:space="preserve"> állnak: a) tömegközlekedési flották átalakítása a tiszta járművekről szóló irányelv célkitűzéseinek elérése érdekében és a jelentős károkozás elkerülését célzó műszaki iránymutatásnak (2021/C58/01) megfelelően; az alacsony kibocsátású övezetek (LEZ-ek) megvalósítása és kezelése; a tömegközlekedés digitalizálása, adminisztratív irányítása és hozzáférhetőségének javítása; valamint d) a közösségi közlekedés és az aktív mobilitás ösztönzését és rangsorolását célzó intézkedések </w:t>
      </w:r>
    </w:p>
    <w:p w14:paraId="1EAD0E8C"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Ezt a támogatást az 50000 főnél több lakosú településeknek és a tartományok fővárosainak kell odaítélni, és bizonyos feltételek mellett 20000 és 50000 lakos közötti településeknek is odaítélhető. </w:t>
      </w:r>
    </w:p>
    <w:p w14:paraId="24027B18" w14:textId="77777777" w:rsidR="00D65CB4" w:rsidRPr="00BC4EE7" w:rsidRDefault="00572307">
      <w:pPr>
        <w:pStyle w:val="P68B1DB1-Normal4"/>
        <w:spacing w:after="160" w:line="259" w:lineRule="auto"/>
        <w:ind w:left="2"/>
        <w:jc w:val="both"/>
        <w:rPr>
          <w:rFonts w:cs="Times New Roman"/>
          <w:noProof/>
        </w:rPr>
      </w:pPr>
      <w:r w:rsidRPr="00BC4EE7">
        <w:rPr>
          <w:rFonts w:cs="Times New Roman"/>
          <w:noProof/>
        </w:rPr>
        <w:t xml:space="preserve">A MITMA beruházási projektek a felelősségi körébe tartozó városi utak forgalmának humánussá tételére és szervezésére irányulnak. A beruházásoknak hozzá kell járulniuk a gyalogosok és a kerékpárosok, valamint a mobilitás egyéb új formái (robogók) mobilitásának előmozdításához, a gépkocsiterek csökkentéséhez és a járművek sebességének csökkentéséhez, a levegő- és a zajszennyezés csökkentése céljából. </w:t>
      </w:r>
    </w:p>
    <w:p w14:paraId="3BB8BED0" w14:textId="77777777" w:rsidR="00D65CB4" w:rsidRPr="00BC4EE7" w:rsidRDefault="00572307">
      <w:pPr>
        <w:pStyle w:val="P68B1DB1-Normal4"/>
        <w:spacing w:after="160" w:line="259" w:lineRule="auto"/>
        <w:ind w:left="2"/>
        <w:jc w:val="both"/>
        <w:rPr>
          <w:rFonts w:cs="Times New Roman"/>
          <w:noProof/>
        </w:rPr>
      </w:pPr>
      <w:r w:rsidRPr="00BC4EE7">
        <w:rPr>
          <w:rFonts w:cs="Times New Roman"/>
          <w:noProof/>
        </w:rPr>
        <w:t xml:space="preserve">A fuvarozó társaságok személy- és áruflottáinak átalakítására irányuló ösztönzők a következő támogatási vonalakon alapulnak: kibocsátásmentes és alacsony kibocsátású személy- és teherszállító járművek beszerzéséhez nyújtott támogatás; a haszongépjárművek alternatív üzemanyaggal (elektromos, LNG, CNG és biometán) való töltésére szolgáló infrastruktúra kiépítéséhez nyújtott támogatás; C) pótkocsik és félpótkocsik beszerzésére vagy intermodális szállításra való átalakítására irányuló vállalkozásoknak nyújtott támogatás; és d) a régi járművek leselejtezésére irányuló vállalkozásoknak nyújtott támogatás. </w:t>
      </w:r>
    </w:p>
    <w:p w14:paraId="457BA409" w14:textId="77777777" w:rsidR="00D65CB4" w:rsidRPr="00BC4EE7" w:rsidRDefault="00572307">
      <w:pPr>
        <w:pStyle w:val="P68B1DB1-Normal4"/>
        <w:spacing w:after="160" w:line="259" w:lineRule="auto"/>
        <w:ind w:left="2"/>
        <w:jc w:val="both"/>
        <w:rPr>
          <w:rFonts w:cs="Times New Roman"/>
          <w:noProof/>
        </w:rPr>
      </w:pPr>
      <w:r w:rsidRPr="00BC4EE7">
        <w:rPr>
          <w:rFonts w:cs="Times New Roman"/>
          <w:noProof/>
        </w:rPr>
        <w:t>Az intézkedés várhatóan nem sérti jelentősen az (EU) 2020/852 rendelet 17. cikke szerinti környezetvédelmi célkitűzéseket, figyelembe véve az intézkedés leírását és a helyreállítási és rezilienciaépítési tervben meghatározott enyhítő lépéseket a jelentős károkozás elkerülését célzó elvről szóló technikai iránymutatásnak (2021/C58/01) megfelelően. Különösen az a) segélyvonal támogatása csak az elektromos és hidrogénnel „alacsony padlójú” autóbuszokra terjed ki (M2 és M3 kategóriájú, jellemzően városi és elővárosi autóbuszok); az EURO VI-E (M2 és M3 kategóriák, jellemzően helyközi távolsági autóbuszok) megfelelő „magas padlós” autóbuszok, beleértve az LNG/CNG, a hibrid, az elektromos és a hidrogén (M2 és M3 kategóriájú, jellemzően helyközi távolsági autóbuszok); valamint a bioüzemanyagokkal</w:t>
      </w:r>
      <w:r w:rsidRPr="00BC4EE7">
        <w:rPr>
          <w:rFonts w:cs="Times New Roman"/>
          <w:noProof/>
        </w:rPr>
        <w:footnoteReference w:id="2"/>
      </w:r>
      <w:r w:rsidRPr="00BC4EE7">
        <w:rPr>
          <w:rFonts w:cs="Times New Roman"/>
          <w:noProof/>
        </w:rPr>
        <w:t>, folyékony bio-energiahordozókkal</w:t>
      </w:r>
      <w:r w:rsidRPr="00BC4EE7">
        <w:rPr>
          <w:rFonts w:cs="Times New Roman"/>
          <w:noProof/>
        </w:rPr>
        <w:footnoteReference w:id="3"/>
      </w:r>
      <w:r w:rsidRPr="00BC4EE7">
        <w:rPr>
          <w:rFonts w:cs="Times New Roman"/>
          <w:noProof/>
        </w:rPr>
        <w:t xml:space="preserve"> és biomasszából előállított üzemanyagokkal működő kibocsátásmentes, alacsony kibocsátású és LNG/CNG tehergépjárművek</w:t>
      </w:r>
      <w:r w:rsidRPr="00BC4EE7">
        <w:rPr>
          <w:rFonts w:cs="Times New Roman"/>
          <w:noProof/>
        </w:rPr>
        <w:footnoteReference w:id="4"/>
      </w:r>
      <w:r w:rsidRPr="00BC4EE7">
        <w:rPr>
          <w:rFonts w:cs="Times New Roman"/>
          <w:noProof/>
        </w:rPr>
        <w:t>. A b) támogatási sor esetében a haszongépjárművek üzemanyagtöltő infrastruktúrájának meg kell felelnie a bioüzemanyagokra, folyékony bio-energiahordozókra és biomasszából előállított üzemanyagokra vonatkozó feltételeknek</w:t>
      </w:r>
      <w:r w:rsidRPr="00BC4EE7">
        <w:rPr>
          <w:rFonts w:cs="Times New Roman"/>
          <w:noProof/>
        </w:rPr>
        <w:footnoteReference w:id="5"/>
      </w:r>
      <w:r w:rsidRPr="00BC4EE7">
        <w:rPr>
          <w:rFonts w:cs="Times New Roman"/>
          <w:noProof/>
        </w:rPr>
        <w:t>.</w:t>
      </w:r>
    </w:p>
    <w:p w14:paraId="1D6D1FC1" w14:textId="77777777" w:rsidR="00D65CB4" w:rsidRPr="00BC4EE7" w:rsidRDefault="00572307">
      <w:pPr>
        <w:pStyle w:val="P68B1DB1-Normal4"/>
        <w:spacing w:after="160" w:line="259" w:lineRule="auto"/>
        <w:ind w:left="2"/>
        <w:jc w:val="both"/>
        <w:rPr>
          <w:rFonts w:cs="Times New Roman"/>
          <w:noProof/>
        </w:rPr>
      </w:pPr>
      <w:r w:rsidRPr="00BC4EE7">
        <w:rPr>
          <w:rFonts w:cs="Times New Roman"/>
          <w:noProof/>
        </w:rPr>
        <w:t xml:space="preserve">A kiválasztási kritériumoknak biztosítaniuk kell, hogy a Helyreállítási és Rezilienciaépítési Eszközről szóló (EU) 2021/241 rendelet VI. mellékletével összhangban legalább 310 000 000 EUR 100%-os éghajlati együtthatóval, legalább 2 195 000 000 EUR pedig 40%-os éghajlati együtthatóval járuljon hozzá az éghajlat-változási célkitűzésekhez. </w:t>
      </w:r>
    </w:p>
    <w:p w14:paraId="43F0DAF8"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Az ezen intézkedés szerinti beruházásokat 2025. december 31-ig végre kell hajtani.</w:t>
      </w:r>
    </w:p>
    <w:p w14:paraId="778F7F4E"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(C1.I2) – A töltőállomások telepítésére, az elektromos és üzemanyagcellás járművek beszerzésére, valamint az elektromobilitással, az elektromos töltéssel és a zöld hidrogénnel kapcsolatos innovációra irányuló ösztönző rendszer</w:t>
      </w:r>
    </w:p>
    <w:p w14:paraId="28FDED2F" w14:textId="325FB056" w:rsidR="00D65CB4" w:rsidRPr="00BC4EE7" w:rsidRDefault="00572307">
      <w:pPr>
        <w:pStyle w:val="P68B1DB1-Normal4"/>
        <w:spacing w:before="120" w:after="120" w:line="240" w:lineRule="auto"/>
        <w:jc w:val="both"/>
        <w:rPr>
          <w:rFonts w:cs="Times New Roman"/>
          <w:noProof/>
        </w:rPr>
      </w:pPr>
      <w:r w:rsidRPr="00BC4EE7">
        <w:rPr>
          <w:rFonts w:cs="Times New Roman"/>
          <w:noProof/>
        </w:rPr>
        <w:t>Ezen intézkedés célja a közlekedésben használt alternatív energia spanyol nemzeti keretrendszerének való megfelelés támogatása, a nemzeti integrált energia- és klímaterv végrehajtásának felgyorsítása és a területi kohézió támogatása a mobilitás vidéki területeken történő villamosítása révén. A beruházás különböző támogatási programokba illeszkedik, amelyek ösztönzik az elektromos járművek és üzemanyagcellás járművek elterjedését, miközben ösztönzik az elektromos közlekedéshez, az értéklánchoz és a járműállomány megújításához kapcsolódó egyedi innovációs projekteket, beleértve a zöld hidrogéntechnológia kiaknázását is. A beruházásnak magában kell foglalnia a közcélú töltőállomások lakóövezetekben és a nemzeti közúthálózaton történő telepítését is. A pályázati felhívásokban a támogatási programok elosztására alkalmazott kiválasztási szempontok a következőket foglalják magukban: i. a környezeti hatás csökkentése, ii. műszaki-gazdasági életképesség, iii. a technológiai fejlődés és innováció szintje, iv. megismételhetőség és méretezhetőség, v. a projekthez kapcsolódó munkahelyteremtés, közvetlen és közvetett hatás és vi. az értékláncra gyakorolt hatás és a más ágazatokkal, főként az iparral való szinergia.</w:t>
      </w:r>
    </w:p>
    <w:p w14:paraId="2238E079" w14:textId="00792EB5"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Ezt a beruházást 2025. december 31-ig végre kell hajtani. </w:t>
      </w:r>
    </w:p>
    <w:p w14:paraId="26190310" w14:textId="77777777" w:rsidR="00D65CB4" w:rsidRPr="00BC4EE7" w:rsidRDefault="00572307">
      <w:pPr>
        <w:pStyle w:val="P68B1DB1-Normal5"/>
        <w:keepNext/>
        <w:spacing w:before="120" w:after="120" w:line="240" w:lineRule="auto"/>
        <w:jc w:val="both"/>
        <w:rPr>
          <w:rFonts w:cs="Times New Roman"/>
          <w:noProof/>
        </w:rPr>
      </w:pPr>
      <w:r w:rsidRPr="00BC4EE7">
        <w:rPr>
          <w:rFonts w:cs="Times New Roman"/>
          <w:noProof/>
        </w:rPr>
        <w:t xml:space="preserve">Beruházás (C1.I3) – A vasúti szállítási szolgáltatások minőségének és megbízhatóságának javítását célzó intézkedések </w:t>
      </w:r>
    </w:p>
    <w:p w14:paraId="267B0B95" w14:textId="77777777" w:rsidR="00D65CB4" w:rsidRPr="00BC4EE7" w:rsidRDefault="00572307">
      <w:pPr>
        <w:pStyle w:val="P68B1DB1-Normal4"/>
        <w:keepNext/>
        <w:spacing w:before="120" w:after="120" w:line="240" w:lineRule="auto"/>
        <w:jc w:val="both"/>
        <w:rPr>
          <w:rFonts w:cs="Times New Roman"/>
          <w:noProof/>
        </w:rPr>
      </w:pPr>
      <w:r w:rsidRPr="00BC4EE7">
        <w:rPr>
          <w:rFonts w:cs="Times New Roman"/>
          <w:noProof/>
        </w:rPr>
        <w:t xml:space="preserve">Ezen intézkedés célja a közcélú rövid távú vasúti hálózat (az úgynevezett Cercanías) vonzerejének és hozzáférhetőségének javítása annak érdekében, </w:t>
      </w:r>
      <w:r w:rsidRPr="00BC4EE7">
        <w:rPr>
          <w:rFonts w:cs="Times New Roman"/>
          <w:i/>
          <w:noProof/>
        </w:rPr>
        <w:t>hogy</w:t>
      </w:r>
      <w:r w:rsidRPr="00BC4EE7">
        <w:rPr>
          <w:rFonts w:cs="Times New Roman"/>
          <w:noProof/>
        </w:rPr>
        <w:t>az a városi területeken a mobilitás gerincévé váljon, és felváltsa a nagyvárosi területeken a magángépjárművek használatát. A projekteket az ADIF (vasúti pályahálózat-működtető) és a RENFE (közszolgáltatási kötelezettséggel rendelkező vasúti szolgáltató) hajtja végre.</w:t>
      </w:r>
    </w:p>
    <w:p w14:paraId="2836AAAE"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Az ADIF infrastrukturális beruházásokat hajt végre a </w:t>
      </w:r>
      <w:r w:rsidRPr="00BC4EE7">
        <w:rPr>
          <w:rFonts w:cs="Times New Roman"/>
          <w:i/>
          <w:noProof/>
        </w:rPr>
        <w:t>Cercanías</w:t>
      </w:r>
      <w:r w:rsidRPr="00BC4EE7">
        <w:rPr>
          <w:rFonts w:cs="Times New Roman"/>
          <w:noProof/>
        </w:rPr>
        <w:t xml:space="preserve"> vasúton, beleértve a pályafelújítást, az állomások korszerűsítését, valamint a villamosítási és jelzőrendszer fejlesztését. A RENFE felelős továbbá a vasúti tömegközlekedés irányításának korszerűsítésére irányuló beruházások végrehajtásáért. A beruházásoknak elsősorban öt dimenzióra kell kiterjedniük: a) a állomások biztonsági rendszereinek digitalizálása; b) utasinformációs rendszerek; C) a belépés-ellenőrzés javítása; d) az önértékesítő gépek új technológiákhoz való igazítása; és e) a Cercanías- </w:t>
      </w:r>
      <w:r w:rsidRPr="00BC4EE7">
        <w:rPr>
          <w:rFonts w:cs="Times New Roman"/>
          <w:i/>
          <w:noProof/>
        </w:rPr>
        <w:t>hálózat</w:t>
      </w:r>
      <w:r w:rsidRPr="00BC4EE7">
        <w:rPr>
          <w:rFonts w:cs="Times New Roman"/>
          <w:noProof/>
        </w:rPr>
        <w:t xml:space="preserve"> állomásainak berendezése. </w:t>
      </w:r>
    </w:p>
    <w:p w14:paraId="221B1391"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végrehajtást 2026. június 30-ig be kell fejezni. </w:t>
      </w:r>
    </w:p>
    <w:p w14:paraId="1195E51F" w14:textId="77777777" w:rsidR="00D65CB4" w:rsidRPr="00BC4EE7" w:rsidRDefault="00D65CB4">
      <w:pPr>
        <w:spacing w:before="120" w:after="120" w:line="240" w:lineRule="auto"/>
        <w:jc w:val="both"/>
        <w:rPr>
          <w:rFonts w:ascii="Times New Roman" w:hAnsi="Times New Roman" w:cs="Times New Roman"/>
          <w:noProof/>
          <w:sz w:val="24"/>
        </w:rPr>
      </w:pPr>
    </w:p>
    <w:p w14:paraId="3C632623" w14:textId="5A815EEC" w:rsidR="00D65CB4" w:rsidRPr="00BC4EE7" w:rsidRDefault="00572307">
      <w:pPr>
        <w:spacing w:before="120" w:after="120" w:line="240" w:lineRule="auto"/>
        <w:jc w:val="both"/>
        <w:rPr>
          <w:rFonts w:ascii="Times New Roman" w:hAnsi="Times New Roman" w:cs="Times New Roman"/>
          <w:b/>
          <w:noProof/>
          <w:sz w:val="24"/>
          <w:u w:val="single"/>
        </w:rPr>
      </w:pPr>
      <w:r w:rsidRPr="00BC4EE7">
        <w:rPr>
          <w:rFonts w:ascii="Times New Roman" w:hAnsi="Times New Roman" w:cs="Times New Roman"/>
          <w:b/>
          <w:noProof/>
          <w:sz w:val="24"/>
          <w:u w:val="single"/>
        </w:rPr>
        <w:t xml:space="preserve">A.2.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Vissza nem térítendő pénzügyi támogatás – a végrehajtáshoz és a nyomon követéshez kapcsolódó mérföldkövek, célok, mutatók és ütemterv</w:t>
      </w:r>
    </w:p>
    <w:p w14:paraId="6DED728A" w14:textId="77777777" w:rsidR="00D65CB4" w:rsidRPr="00BC4EE7" w:rsidRDefault="00572307">
      <w:pPr>
        <w:pStyle w:val="P68B1DB1-Normal4"/>
        <w:spacing w:before="120" w:after="120" w:line="240" w:lineRule="auto"/>
        <w:jc w:val="both"/>
        <w:rPr>
          <w:rFonts w:cs="Times New Roman"/>
          <w:noProof/>
        </w:rPr>
      </w:pPr>
      <w:r w:rsidRPr="00BC4EE7">
        <w:rPr>
          <w:rFonts w:cs="Times New Roman"/>
          <w:i/>
          <w:noProof/>
        </w:rPr>
        <w:t>Táblázat alább.</w:t>
      </w:r>
      <w:r w:rsidRPr="00BC4EE7">
        <w:rPr>
          <w:rFonts w:cs="Times New Roman"/>
          <w:noProof/>
        </w:rPr>
        <w:t xml:space="preserve"> </w:t>
      </w:r>
      <w:r w:rsidRPr="00BC4EE7">
        <w:rPr>
          <w:rFonts w:cs="Times New Roman"/>
          <w:i/>
          <w:noProof/>
        </w:rPr>
        <w:t>Az összes mutató esetében az alapforgatókönyv időpontja 2020. február 1., kivéve, ha az intézkedés leírása ettől eltérően rendelkezik. A táblázatban szereplő összegek nem tartalmazzák a héát.</w:t>
      </w:r>
    </w:p>
    <w:p w14:paraId="02EB378F" w14:textId="77777777" w:rsidR="00D65CB4" w:rsidRPr="00BC4EE7" w:rsidRDefault="00D65CB4">
      <w:pPr>
        <w:spacing w:before="120" w:after="120" w:line="240" w:lineRule="auto"/>
        <w:jc w:val="both"/>
        <w:rPr>
          <w:rFonts w:ascii="Times New Roman" w:hAnsi="Times New Roman" w:cs="Times New Roman"/>
          <w:noProof/>
          <w:sz w:val="24"/>
        </w:rPr>
      </w:pPr>
    </w:p>
    <w:p w14:paraId="6A05A809" w14:textId="77777777" w:rsidR="00D65CB4" w:rsidRPr="00BC4EE7" w:rsidRDefault="00D65CB4">
      <w:pPr>
        <w:spacing w:before="120" w:after="120" w:line="240" w:lineRule="auto"/>
        <w:jc w:val="both"/>
        <w:rPr>
          <w:rFonts w:ascii="Times New Roman" w:hAnsi="Times New Roman" w:cs="Times New Roman"/>
          <w:noProof/>
          <w:sz w:val="24"/>
        </w:rPr>
        <w:sectPr w:rsidR="00D65CB4" w:rsidRPr="00BC4EE7" w:rsidSect="00B511EF">
          <w:headerReference w:type="even" r:id="rId15"/>
          <w:headerReference w:type="default" r:id="rId16"/>
          <w:footerReference w:type="even" r:id="rId17"/>
          <w:footerReference w:type="default" r:id="rId18"/>
          <w:headerReference w:type="first" r:id="rId19"/>
          <w:footerReference w:type="first" r:id="rId20"/>
          <w:pgSz w:w="11907" w:h="16839"/>
          <w:pgMar w:top="1134" w:right="1134" w:bottom="1134" w:left="1134" w:header="567" w:footer="567" w:gutter="0"/>
          <w:cols w:space="720"/>
          <w:docGrid w:linePitch="360"/>
        </w:sectPr>
      </w:pPr>
    </w:p>
    <w:tbl>
      <w:tblPr>
        <w:tblW w:w="15168"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96"/>
        <w:gridCol w:w="1006"/>
        <w:gridCol w:w="992"/>
        <w:gridCol w:w="2410"/>
        <w:gridCol w:w="1285"/>
        <w:gridCol w:w="834"/>
        <w:gridCol w:w="972"/>
        <w:gridCol w:w="728"/>
        <w:gridCol w:w="417"/>
        <w:gridCol w:w="556"/>
        <w:gridCol w:w="5272"/>
      </w:tblGrid>
      <w:tr w:rsidR="00D65CB4" w:rsidRPr="00BC4EE7" w14:paraId="1C90EE20" w14:textId="77777777" w:rsidTr="00BA5F87">
        <w:trPr>
          <w:trHeight w:val="309"/>
          <w:tblHeader/>
        </w:trPr>
        <w:tc>
          <w:tcPr>
            <w:tcW w:w="696" w:type="dxa"/>
            <w:tcBorders>
              <w:bottom w:val="nil"/>
            </w:tcBorders>
            <w:shd w:val="clear" w:color="auto" w:fill="C6D9F1" w:themeFill="text2" w:themeFillTint="33"/>
            <w:noWrap/>
            <w:vAlign w:val="center"/>
          </w:tcPr>
          <w:p w14:paraId="616C3DC1"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Szám</w:t>
            </w:r>
          </w:p>
        </w:tc>
        <w:tc>
          <w:tcPr>
            <w:tcW w:w="1006" w:type="dxa"/>
            <w:tcBorders>
              <w:bottom w:val="nil"/>
            </w:tcBorders>
            <w:shd w:val="clear" w:color="auto" w:fill="C6D9F1" w:themeFill="text2" w:themeFillTint="33"/>
            <w:noWrap/>
            <w:vAlign w:val="center"/>
          </w:tcPr>
          <w:p w14:paraId="108A00CA"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Intézkedés</w:t>
            </w:r>
          </w:p>
        </w:tc>
        <w:tc>
          <w:tcPr>
            <w:tcW w:w="992" w:type="dxa"/>
            <w:tcBorders>
              <w:bottom w:val="nil"/>
            </w:tcBorders>
            <w:shd w:val="clear" w:color="auto" w:fill="C6D9F1" w:themeFill="text2" w:themeFillTint="33"/>
            <w:noWrap/>
            <w:vAlign w:val="center"/>
          </w:tcPr>
          <w:p w14:paraId="194CF989" w14:textId="77777777" w:rsidR="00D65CB4" w:rsidRPr="00BC4EE7" w:rsidRDefault="00572307">
            <w:pPr>
              <w:spacing w:after="0" w:line="240" w:lineRule="auto"/>
              <w:jc w:val="center"/>
              <w:rPr>
                <w:rFonts w:ascii="Times New Roman" w:hAnsi="Times New Roman" w:cs="Times New Roman"/>
                <w:b/>
                <w:noProof/>
                <w:sz w:val="18"/>
              </w:rPr>
            </w:pPr>
            <w:r w:rsidRPr="00BC4EE7">
              <w:rPr>
                <w:rFonts w:ascii="Times New Roman" w:hAnsi="Times New Roman" w:cs="Times New Roman"/>
                <w:b/>
                <w:noProof/>
                <w:sz w:val="18"/>
              </w:rPr>
              <w:t>Mérföldkő</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b/>
                <w:noProof/>
                <w:sz w:val="18"/>
              </w:rPr>
              <w:t xml:space="preserve"> /Cél</w:t>
            </w:r>
          </w:p>
        </w:tc>
        <w:tc>
          <w:tcPr>
            <w:tcW w:w="2410" w:type="dxa"/>
            <w:tcBorders>
              <w:bottom w:val="nil"/>
            </w:tcBorders>
            <w:shd w:val="clear" w:color="auto" w:fill="C6D9F1" w:themeFill="text2" w:themeFillTint="33"/>
            <w:noWrap/>
            <w:vAlign w:val="center"/>
          </w:tcPr>
          <w:p w14:paraId="390DC06E"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Név</w:t>
            </w:r>
          </w:p>
        </w:tc>
        <w:tc>
          <w:tcPr>
            <w:tcW w:w="1285" w:type="dxa"/>
            <w:tcBorders>
              <w:bottom w:val="nil"/>
            </w:tcBorders>
            <w:shd w:val="clear" w:color="auto" w:fill="C6D9F1" w:themeFill="text2" w:themeFillTint="33"/>
            <w:noWrap/>
            <w:vAlign w:val="center"/>
          </w:tcPr>
          <w:p w14:paraId="5F9C169F"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mérföldkövek minőségi mutatója</w:t>
            </w:r>
          </w:p>
        </w:tc>
        <w:tc>
          <w:tcPr>
            <w:tcW w:w="2534" w:type="dxa"/>
            <w:gridSpan w:val="3"/>
            <w:shd w:val="clear" w:color="auto" w:fill="C6D9F1" w:themeFill="text2" w:themeFillTint="33"/>
            <w:noWrap/>
            <w:vAlign w:val="center"/>
          </w:tcPr>
          <w:p w14:paraId="021CC9BA"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célérték mennyiségi mutatója</w:t>
            </w:r>
          </w:p>
        </w:tc>
        <w:tc>
          <w:tcPr>
            <w:tcW w:w="973" w:type="dxa"/>
            <w:gridSpan w:val="2"/>
            <w:shd w:val="clear" w:color="auto" w:fill="C6D9F1" w:themeFill="text2" w:themeFillTint="33"/>
            <w:noWrap/>
            <w:vAlign w:val="center"/>
          </w:tcPr>
          <w:p w14:paraId="257390A1"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Idő</w:t>
            </w:r>
          </w:p>
        </w:tc>
        <w:tc>
          <w:tcPr>
            <w:tcW w:w="5272" w:type="dxa"/>
            <w:tcBorders>
              <w:bottom w:val="nil"/>
            </w:tcBorders>
            <w:shd w:val="clear" w:color="auto" w:fill="C6D9F1" w:themeFill="text2" w:themeFillTint="33"/>
            <w:noWrap/>
            <w:vAlign w:val="center"/>
          </w:tcPr>
          <w:p w14:paraId="5D8042D6"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Az egyes mérföldkövek és célértékek leírása</w:t>
            </w:r>
          </w:p>
        </w:tc>
      </w:tr>
      <w:tr w:rsidR="00D65CB4" w:rsidRPr="00BC4EE7" w14:paraId="32FCF7DB" w14:textId="77777777" w:rsidTr="00BA5F87">
        <w:trPr>
          <w:trHeight w:val="309"/>
          <w:tblHeader/>
        </w:trPr>
        <w:tc>
          <w:tcPr>
            <w:tcW w:w="696" w:type="dxa"/>
            <w:tcBorders>
              <w:top w:val="nil"/>
            </w:tcBorders>
            <w:shd w:val="clear" w:color="auto" w:fill="C6D9F1" w:themeFill="text2" w:themeFillTint="33"/>
            <w:noWrap/>
          </w:tcPr>
          <w:p w14:paraId="7F0C080E" w14:textId="77777777" w:rsidR="00D65CB4" w:rsidRPr="00BC4EE7" w:rsidRDefault="00D65CB4">
            <w:pPr>
              <w:spacing w:after="0" w:line="240" w:lineRule="auto"/>
              <w:jc w:val="center"/>
              <w:rPr>
                <w:rFonts w:ascii="Times New Roman" w:hAnsi="Times New Roman" w:cs="Times New Roman"/>
                <w:b/>
                <w:noProof/>
                <w:sz w:val="18"/>
              </w:rPr>
            </w:pPr>
          </w:p>
        </w:tc>
        <w:tc>
          <w:tcPr>
            <w:tcW w:w="1006" w:type="dxa"/>
            <w:tcBorders>
              <w:top w:val="nil"/>
            </w:tcBorders>
            <w:shd w:val="clear" w:color="auto" w:fill="C6D9F1" w:themeFill="text2" w:themeFillTint="33"/>
            <w:noWrap/>
          </w:tcPr>
          <w:p w14:paraId="0B9DF767" w14:textId="77777777" w:rsidR="00D65CB4" w:rsidRPr="00BC4EE7" w:rsidRDefault="00D65CB4">
            <w:pPr>
              <w:spacing w:after="0" w:line="240" w:lineRule="auto"/>
              <w:jc w:val="center"/>
              <w:rPr>
                <w:rFonts w:ascii="Times New Roman" w:hAnsi="Times New Roman" w:cs="Times New Roman"/>
                <w:b/>
                <w:noProof/>
                <w:sz w:val="18"/>
              </w:rPr>
            </w:pPr>
          </w:p>
        </w:tc>
        <w:tc>
          <w:tcPr>
            <w:tcW w:w="992" w:type="dxa"/>
            <w:tcBorders>
              <w:top w:val="nil"/>
            </w:tcBorders>
            <w:shd w:val="clear" w:color="auto" w:fill="C6D9F1" w:themeFill="text2" w:themeFillTint="33"/>
            <w:noWrap/>
          </w:tcPr>
          <w:p w14:paraId="4628D6B3" w14:textId="77777777" w:rsidR="00D65CB4" w:rsidRPr="00BC4EE7" w:rsidRDefault="00D65CB4">
            <w:pPr>
              <w:spacing w:after="0" w:line="240" w:lineRule="auto"/>
              <w:jc w:val="center"/>
              <w:rPr>
                <w:rFonts w:ascii="Times New Roman" w:hAnsi="Times New Roman" w:cs="Times New Roman"/>
                <w:b/>
                <w:noProof/>
                <w:sz w:val="18"/>
              </w:rPr>
            </w:pPr>
          </w:p>
        </w:tc>
        <w:tc>
          <w:tcPr>
            <w:tcW w:w="2410" w:type="dxa"/>
            <w:tcBorders>
              <w:top w:val="nil"/>
            </w:tcBorders>
            <w:shd w:val="clear" w:color="auto" w:fill="C6D9F1" w:themeFill="text2" w:themeFillTint="33"/>
            <w:noWrap/>
          </w:tcPr>
          <w:p w14:paraId="27C17848" w14:textId="77777777" w:rsidR="00D65CB4" w:rsidRPr="00BC4EE7" w:rsidRDefault="00D65CB4">
            <w:pPr>
              <w:spacing w:after="0" w:line="240" w:lineRule="auto"/>
              <w:rPr>
                <w:rFonts w:ascii="Times New Roman" w:hAnsi="Times New Roman" w:cs="Times New Roman"/>
                <w:b/>
                <w:noProof/>
                <w:sz w:val="18"/>
              </w:rPr>
            </w:pPr>
          </w:p>
        </w:tc>
        <w:tc>
          <w:tcPr>
            <w:tcW w:w="1285" w:type="dxa"/>
            <w:tcBorders>
              <w:top w:val="nil"/>
            </w:tcBorders>
            <w:shd w:val="clear" w:color="auto" w:fill="C6D9F1" w:themeFill="text2" w:themeFillTint="33"/>
            <w:noWrap/>
          </w:tcPr>
          <w:p w14:paraId="4430212C" w14:textId="77777777" w:rsidR="00D65CB4" w:rsidRPr="00BC4EE7" w:rsidRDefault="00D65CB4">
            <w:pPr>
              <w:spacing w:after="0" w:line="240" w:lineRule="auto"/>
              <w:jc w:val="center"/>
              <w:rPr>
                <w:rFonts w:ascii="Times New Roman" w:hAnsi="Times New Roman" w:cs="Times New Roman"/>
                <w:b/>
                <w:noProof/>
                <w:sz w:val="18"/>
              </w:rPr>
            </w:pPr>
          </w:p>
        </w:tc>
        <w:tc>
          <w:tcPr>
            <w:tcW w:w="834" w:type="dxa"/>
            <w:shd w:val="clear" w:color="auto" w:fill="C6D9F1" w:themeFill="text2" w:themeFillTint="33"/>
            <w:noWrap/>
          </w:tcPr>
          <w:p w14:paraId="0575659C"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Egység</w:t>
            </w:r>
          </w:p>
        </w:tc>
        <w:tc>
          <w:tcPr>
            <w:tcW w:w="972" w:type="dxa"/>
            <w:shd w:val="clear" w:color="auto" w:fill="C6D9F1" w:themeFill="text2" w:themeFillTint="33"/>
            <w:noWrap/>
          </w:tcPr>
          <w:p w14:paraId="03C7D63C" w14:textId="3EB3D036" w:rsidR="00D65CB4" w:rsidRPr="00BC4EE7" w:rsidRDefault="00572307">
            <w:pPr>
              <w:pStyle w:val="P68B1DB1-Normal8"/>
              <w:spacing w:after="0" w:line="240" w:lineRule="auto"/>
              <w:jc w:val="center"/>
              <w:rPr>
                <w:rFonts w:cs="Times New Roman"/>
                <w:noProof/>
              </w:rPr>
            </w:pPr>
            <w:r w:rsidRPr="00BC4EE7">
              <w:rPr>
                <w:rFonts w:cs="Times New Roman"/>
                <w:noProof/>
              </w:rPr>
              <w:t>Kiindulási</w:t>
            </w:r>
          </w:p>
        </w:tc>
        <w:tc>
          <w:tcPr>
            <w:tcW w:w="728" w:type="dxa"/>
            <w:shd w:val="clear" w:color="auto" w:fill="C6D9F1" w:themeFill="text2" w:themeFillTint="33"/>
            <w:noWrap/>
          </w:tcPr>
          <w:p w14:paraId="247276FE"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Cél</w:t>
            </w:r>
          </w:p>
        </w:tc>
        <w:tc>
          <w:tcPr>
            <w:tcW w:w="417" w:type="dxa"/>
            <w:shd w:val="clear" w:color="auto" w:fill="C6D9F1" w:themeFill="text2" w:themeFillTint="33"/>
            <w:noWrap/>
          </w:tcPr>
          <w:p w14:paraId="564BB4C8"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Q</w:t>
            </w:r>
          </w:p>
        </w:tc>
        <w:tc>
          <w:tcPr>
            <w:tcW w:w="556" w:type="dxa"/>
            <w:shd w:val="clear" w:color="auto" w:fill="C6D9F1" w:themeFill="text2" w:themeFillTint="33"/>
            <w:noWrap/>
          </w:tcPr>
          <w:p w14:paraId="31633393"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Éve</w:t>
            </w:r>
          </w:p>
        </w:tc>
        <w:tc>
          <w:tcPr>
            <w:tcW w:w="5272" w:type="dxa"/>
            <w:tcBorders>
              <w:top w:val="nil"/>
            </w:tcBorders>
            <w:shd w:val="clear" w:color="auto" w:fill="C6D9F1" w:themeFill="text2" w:themeFillTint="33"/>
            <w:noWrap/>
          </w:tcPr>
          <w:p w14:paraId="45BE5CDA" w14:textId="77777777" w:rsidR="00D65CB4" w:rsidRPr="00BC4EE7" w:rsidRDefault="00D65CB4">
            <w:pPr>
              <w:spacing w:after="0" w:line="240" w:lineRule="auto"/>
              <w:rPr>
                <w:rFonts w:ascii="Times New Roman" w:hAnsi="Times New Roman" w:cs="Times New Roman"/>
                <w:b/>
                <w:noProof/>
                <w:sz w:val="18"/>
              </w:rPr>
            </w:pPr>
          </w:p>
        </w:tc>
      </w:tr>
      <w:tr w:rsidR="00D65CB4" w:rsidRPr="00BC4EE7" w14:paraId="22538EF1" w14:textId="77777777" w:rsidTr="00BA5F87">
        <w:trPr>
          <w:trHeight w:val="309"/>
        </w:trPr>
        <w:tc>
          <w:tcPr>
            <w:tcW w:w="696" w:type="dxa"/>
            <w:shd w:val="clear" w:color="auto" w:fill="C6EFCE"/>
            <w:noWrap/>
          </w:tcPr>
          <w:p w14:paraId="2DBD4C2D"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1</w:t>
            </w:r>
          </w:p>
        </w:tc>
        <w:tc>
          <w:tcPr>
            <w:tcW w:w="1006" w:type="dxa"/>
            <w:shd w:val="clear" w:color="auto" w:fill="C6EFCE"/>
            <w:noWrap/>
          </w:tcPr>
          <w:p w14:paraId="522015FD"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C1.R1</w:t>
            </w:r>
          </w:p>
        </w:tc>
        <w:tc>
          <w:tcPr>
            <w:tcW w:w="992" w:type="dxa"/>
            <w:shd w:val="clear" w:color="auto" w:fill="C6EFCE"/>
            <w:noWrap/>
          </w:tcPr>
          <w:p w14:paraId="33F87B3B"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M</w:t>
            </w:r>
          </w:p>
        </w:tc>
        <w:tc>
          <w:tcPr>
            <w:tcW w:w="2410" w:type="dxa"/>
            <w:shd w:val="clear" w:color="auto" w:fill="C6EFCE"/>
            <w:noWrap/>
          </w:tcPr>
          <w:p w14:paraId="5E9C449F" w14:textId="77777777" w:rsidR="00D65CB4" w:rsidRPr="00BC4EE7" w:rsidRDefault="00572307">
            <w:pPr>
              <w:pStyle w:val="P68B1DB1-Normal12"/>
              <w:spacing w:after="0" w:line="240" w:lineRule="auto"/>
              <w:rPr>
                <w:rFonts w:eastAsia="MS Mincho" w:cs="Times New Roman"/>
                <w:noProof/>
              </w:rPr>
            </w:pPr>
            <w:r w:rsidRPr="00BC4EE7">
              <w:rPr>
                <w:rFonts w:cs="Times New Roman"/>
                <w:noProof/>
              </w:rPr>
              <w:t>A TMA/178/2020 rendelet és a 23/2020. sz. királyi törvényerejű rendelet</w:t>
            </w:r>
          </w:p>
        </w:tc>
        <w:tc>
          <w:tcPr>
            <w:tcW w:w="1285" w:type="dxa"/>
            <w:shd w:val="clear" w:color="auto" w:fill="C6EFCE"/>
            <w:noWrap/>
          </w:tcPr>
          <w:p w14:paraId="2C017ED3"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 xml:space="preserve">A rendelet és a királyi törvényerejű rendelet hatályba lépését feltüntető rendelkezés </w:t>
            </w:r>
          </w:p>
        </w:tc>
        <w:tc>
          <w:tcPr>
            <w:tcW w:w="834" w:type="dxa"/>
            <w:shd w:val="clear" w:color="auto" w:fill="C6EFCE"/>
            <w:noWrap/>
          </w:tcPr>
          <w:p w14:paraId="506B302E"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972" w:type="dxa"/>
            <w:shd w:val="clear" w:color="auto" w:fill="C6EFCE"/>
            <w:noWrap/>
          </w:tcPr>
          <w:p w14:paraId="3B243226"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728" w:type="dxa"/>
            <w:shd w:val="clear" w:color="auto" w:fill="C6EFCE"/>
            <w:noWrap/>
          </w:tcPr>
          <w:p w14:paraId="76A4A2AF"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417" w:type="dxa"/>
            <w:shd w:val="clear" w:color="auto" w:fill="C6EFCE"/>
            <w:noWrap/>
          </w:tcPr>
          <w:p w14:paraId="25020D56"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Q4</w:t>
            </w:r>
          </w:p>
        </w:tc>
        <w:tc>
          <w:tcPr>
            <w:tcW w:w="556" w:type="dxa"/>
            <w:shd w:val="clear" w:color="auto" w:fill="C6EFCE"/>
            <w:noWrap/>
          </w:tcPr>
          <w:p w14:paraId="5AC65629"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2020</w:t>
            </w:r>
          </w:p>
        </w:tc>
        <w:tc>
          <w:tcPr>
            <w:tcW w:w="5272" w:type="dxa"/>
            <w:shd w:val="clear" w:color="auto" w:fill="C6EFCE"/>
            <w:noWrap/>
          </w:tcPr>
          <w:p w14:paraId="05E44C66" w14:textId="44018555" w:rsidR="00D65CB4" w:rsidRPr="00BC4EE7" w:rsidRDefault="00572307">
            <w:pPr>
              <w:pStyle w:val="P68B1DB1-Normal12"/>
              <w:spacing w:after="0" w:line="240" w:lineRule="auto"/>
              <w:rPr>
                <w:rFonts w:eastAsia="MS Mincho" w:cs="Times New Roman"/>
                <w:noProof/>
              </w:rPr>
            </w:pPr>
            <w:r w:rsidRPr="00BC4EE7">
              <w:rPr>
                <w:rFonts w:cs="Times New Roman"/>
                <w:noProof/>
              </w:rPr>
              <w:t>I. az elektromos töltőberendezések üzemanyagtöltő állomásokon történő telepítésével járó adminisztratív terhek csökkentéséről és az infrastruktúra ártalmatlanításához szükséges idő meghatározásáról szóló TMA/178/2020 rendelet, ii. a 250 kW-nál nagyobb teljesítményű elektromos töltőinfrastruktúrának az ilyen típusú létesítmények kiépítésének felgyorsítása érdekében közműnek nyilvánító, június 23-i 23/2020. sz. királyi törvényerejű rendelet hatálybalépése</w:t>
            </w:r>
          </w:p>
        </w:tc>
      </w:tr>
      <w:tr w:rsidR="00D65CB4" w:rsidRPr="00BC4EE7" w14:paraId="197A472F" w14:textId="77777777" w:rsidTr="00BA5F87">
        <w:trPr>
          <w:trHeight w:val="309"/>
        </w:trPr>
        <w:tc>
          <w:tcPr>
            <w:tcW w:w="696" w:type="dxa"/>
            <w:shd w:val="clear" w:color="auto" w:fill="C6EFCE"/>
            <w:noWrap/>
          </w:tcPr>
          <w:p w14:paraId="7A9F7BA1"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2</w:t>
            </w:r>
          </w:p>
        </w:tc>
        <w:tc>
          <w:tcPr>
            <w:tcW w:w="1006" w:type="dxa"/>
            <w:shd w:val="clear" w:color="auto" w:fill="C6EFCE"/>
            <w:noWrap/>
          </w:tcPr>
          <w:p w14:paraId="5356C5A6"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C1.R1</w:t>
            </w:r>
          </w:p>
        </w:tc>
        <w:tc>
          <w:tcPr>
            <w:tcW w:w="992" w:type="dxa"/>
            <w:shd w:val="clear" w:color="auto" w:fill="C6EFCE"/>
            <w:noWrap/>
          </w:tcPr>
          <w:p w14:paraId="42E95C61"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M</w:t>
            </w:r>
          </w:p>
        </w:tc>
        <w:tc>
          <w:tcPr>
            <w:tcW w:w="2410" w:type="dxa"/>
            <w:shd w:val="clear" w:color="auto" w:fill="C6EFCE"/>
            <w:noWrap/>
          </w:tcPr>
          <w:p w14:paraId="0D89BE5F" w14:textId="0964F4D6" w:rsidR="00D65CB4" w:rsidRPr="00BC4EE7" w:rsidRDefault="00572307">
            <w:pPr>
              <w:pStyle w:val="P68B1DB1-Normal12"/>
              <w:spacing w:after="0" w:line="240" w:lineRule="auto"/>
              <w:rPr>
                <w:rFonts w:eastAsia="MS Mincho" w:cs="Times New Roman"/>
                <w:noProof/>
              </w:rPr>
            </w:pPr>
            <w:r w:rsidRPr="00BC4EE7">
              <w:rPr>
                <w:rFonts w:cs="Times New Roman"/>
                <w:noProof/>
              </w:rPr>
              <w:t>A műszaki építési szabályzat (megerősítendő) és a kisfeszültségű elektrotechnikai szabályzat (LVER) módosításai és a nyilvános elektromos töltési szolgáltatások szabályozásáról szóló királyi rendelet jóváhagyása</w:t>
            </w:r>
          </w:p>
        </w:tc>
        <w:tc>
          <w:tcPr>
            <w:tcW w:w="1285" w:type="dxa"/>
            <w:shd w:val="clear" w:color="auto" w:fill="C6EFCE"/>
            <w:noWrap/>
          </w:tcPr>
          <w:p w14:paraId="785900C6"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 xml:space="preserve">A törvénykönyv, a rendelet és a királyi rendelet hatályba lépését jelző rendelkezés </w:t>
            </w:r>
          </w:p>
        </w:tc>
        <w:tc>
          <w:tcPr>
            <w:tcW w:w="834" w:type="dxa"/>
            <w:shd w:val="clear" w:color="auto" w:fill="C6EFCE"/>
            <w:noWrap/>
          </w:tcPr>
          <w:p w14:paraId="097FA9F6"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972" w:type="dxa"/>
            <w:shd w:val="clear" w:color="auto" w:fill="C6EFCE"/>
            <w:noWrap/>
          </w:tcPr>
          <w:p w14:paraId="01A809EE"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728" w:type="dxa"/>
            <w:shd w:val="clear" w:color="auto" w:fill="C6EFCE"/>
            <w:noWrap/>
          </w:tcPr>
          <w:p w14:paraId="26918E7C"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417" w:type="dxa"/>
            <w:shd w:val="clear" w:color="auto" w:fill="C6EFCE"/>
            <w:noWrap/>
          </w:tcPr>
          <w:p w14:paraId="3913E62B"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Q2</w:t>
            </w:r>
          </w:p>
        </w:tc>
        <w:tc>
          <w:tcPr>
            <w:tcW w:w="556" w:type="dxa"/>
            <w:shd w:val="clear" w:color="auto" w:fill="C6EFCE"/>
            <w:noWrap/>
          </w:tcPr>
          <w:p w14:paraId="4B71CAA9"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2022</w:t>
            </w:r>
          </w:p>
        </w:tc>
        <w:tc>
          <w:tcPr>
            <w:tcW w:w="5272" w:type="dxa"/>
            <w:shd w:val="clear" w:color="auto" w:fill="C6EFCE"/>
            <w:noWrap/>
          </w:tcPr>
          <w:p w14:paraId="67789F0B" w14:textId="77777777" w:rsidR="00D65CB4" w:rsidRPr="00BC4EE7" w:rsidRDefault="00572307">
            <w:pPr>
              <w:spacing w:after="0" w:line="240" w:lineRule="auto"/>
              <w:rPr>
                <w:rFonts w:ascii="Times New Roman" w:eastAsia="MS Mincho" w:hAnsi="Times New Roman" w:cs="Times New Roman"/>
                <w:noProof/>
                <w:sz w:val="18"/>
              </w:rPr>
            </w:pPr>
            <w:r w:rsidRPr="00BC4EE7">
              <w:rPr>
                <w:rFonts w:ascii="Times New Roman" w:hAnsi="Times New Roman" w:cs="Times New Roman"/>
                <w:noProof/>
                <w:sz w:val="18"/>
              </w:rPr>
              <w:t>Hatálybalépés:</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i. a műszaki építési szabályzat módosításai (megerősítendő) a következők előírása érdekében: a) a lakóépületekben az új parkolóhelyek 100%-ában és a kereskedelmi és egyéb épületekben az új parkolóhelyek 20%-ában a töltőállomások előzetes telepítésének kötelezettsége, b) minden 40 új parkolóhelyre (és az általános államigazgatási épületekben minden 20 parkolóhelyre egyet) egy töltőpont létesítése, és c) a korábban már meglévő, 20 parkolóhelynél több parkolóhelyet tartalmazó nem lakáscélú parkolók azon kötelezettsége, hogy alkalmazkodjanak a fenti követelményhez (azaz minden 40 parkolóhelyre egy töltőpontot kell felállítani);</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 kisfeszültségű elektrotechnikai szabályzat (LVER) módosításai, hogy az magában foglalja az épülethez nem kapcsolódó parkolók töltőinfrastruktúrájára vonatkozó kötelezettségeket; és</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 nyilvános elektromos töltési szolgáltatások szabályozásáról szóló királyi rendelet, beleértve a szolgáltatásnyújtásban részt vevő alanyok (töltőállomás-üzemeltetők, elektromos mobilitási szolgáltatók) kapcsolatát, valamint jogaikat és kötelezettségeiket</w:t>
            </w:r>
          </w:p>
        </w:tc>
      </w:tr>
      <w:tr w:rsidR="00D65CB4" w:rsidRPr="00BC4EE7" w14:paraId="6BCD592A" w14:textId="77777777" w:rsidTr="00BA5F87">
        <w:trPr>
          <w:trHeight w:val="309"/>
        </w:trPr>
        <w:tc>
          <w:tcPr>
            <w:tcW w:w="696" w:type="dxa"/>
            <w:shd w:val="clear" w:color="auto" w:fill="C6EFCE"/>
            <w:noWrap/>
          </w:tcPr>
          <w:p w14:paraId="030995EB"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3</w:t>
            </w:r>
          </w:p>
        </w:tc>
        <w:tc>
          <w:tcPr>
            <w:tcW w:w="1006" w:type="dxa"/>
            <w:shd w:val="clear" w:color="auto" w:fill="C6EFCE"/>
            <w:noWrap/>
          </w:tcPr>
          <w:p w14:paraId="21C9028F"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C1.R2</w:t>
            </w:r>
          </w:p>
        </w:tc>
        <w:tc>
          <w:tcPr>
            <w:tcW w:w="992" w:type="dxa"/>
            <w:shd w:val="clear" w:color="auto" w:fill="C6EFCE"/>
            <w:noWrap/>
          </w:tcPr>
          <w:p w14:paraId="3773E58B"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M</w:t>
            </w:r>
          </w:p>
        </w:tc>
        <w:tc>
          <w:tcPr>
            <w:tcW w:w="2410" w:type="dxa"/>
            <w:shd w:val="clear" w:color="auto" w:fill="C6EFCE"/>
            <w:noWrap/>
          </w:tcPr>
          <w:p w14:paraId="7439DBD0" w14:textId="0111645A" w:rsidR="00D65CB4" w:rsidRPr="00BC4EE7" w:rsidRDefault="00572307">
            <w:pPr>
              <w:pStyle w:val="P68B1DB1-Normal12"/>
              <w:spacing w:after="0" w:line="240" w:lineRule="auto"/>
              <w:rPr>
                <w:rFonts w:eastAsia="MS Mincho" w:cs="Times New Roman"/>
                <w:noProof/>
              </w:rPr>
            </w:pPr>
            <w:r w:rsidRPr="00BC4EE7">
              <w:rPr>
                <w:rFonts w:cs="Times New Roman"/>
                <w:noProof/>
              </w:rPr>
              <w:t xml:space="preserve">A fenntartható mobilitásról szóló törvény elfogadása </w:t>
            </w:r>
          </w:p>
        </w:tc>
        <w:tc>
          <w:tcPr>
            <w:tcW w:w="1285" w:type="dxa"/>
            <w:shd w:val="clear" w:color="auto" w:fill="C6EFCE"/>
            <w:noWrap/>
          </w:tcPr>
          <w:p w14:paraId="6AB29DFD"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A jogszabály hatálybalépésére vonatkozó rendelkezés a jogszabályban</w:t>
            </w:r>
          </w:p>
        </w:tc>
        <w:tc>
          <w:tcPr>
            <w:tcW w:w="834" w:type="dxa"/>
            <w:shd w:val="clear" w:color="auto" w:fill="C6EFCE"/>
            <w:noWrap/>
          </w:tcPr>
          <w:p w14:paraId="6163F49C"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972" w:type="dxa"/>
            <w:shd w:val="clear" w:color="auto" w:fill="C6EFCE"/>
            <w:noWrap/>
          </w:tcPr>
          <w:p w14:paraId="52ABEE9F"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728" w:type="dxa"/>
            <w:shd w:val="clear" w:color="auto" w:fill="C6EFCE"/>
            <w:noWrap/>
          </w:tcPr>
          <w:p w14:paraId="28EE1D75"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417" w:type="dxa"/>
            <w:shd w:val="clear" w:color="auto" w:fill="C6EFCE"/>
            <w:noWrap/>
          </w:tcPr>
          <w:p w14:paraId="51ECE739"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Q4</w:t>
            </w:r>
          </w:p>
        </w:tc>
        <w:tc>
          <w:tcPr>
            <w:tcW w:w="556" w:type="dxa"/>
            <w:shd w:val="clear" w:color="auto" w:fill="C6EFCE"/>
            <w:noWrap/>
          </w:tcPr>
          <w:p w14:paraId="086F47C2" w14:textId="1343836D"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2024</w:t>
            </w:r>
          </w:p>
        </w:tc>
        <w:tc>
          <w:tcPr>
            <w:tcW w:w="5272" w:type="dxa"/>
            <w:shd w:val="clear" w:color="auto" w:fill="C6EFCE"/>
            <w:noWrap/>
          </w:tcPr>
          <w:p w14:paraId="76486FD9" w14:textId="2780E8EF" w:rsidR="00D65CB4" w:rsidRPr="00BC4EE7" w:rsidRDefault="00572307">
            <w:pPr>
              <w:pStyle w:val="P68B1DB1-Normal12"/>
              <w:spacing w:after="0" w:line="240" w:lineRule="auto"/>
              <w:rPr>
                <w:rFonts w:cs="Times New Roman"/>
                <w:noProof/>
              </w:rPr>
            </w:pPr>
            <w:r w:rsidRPr="00BC4EE7">
              <w:rPr>
                <w:rFonts w:cs="Times New Roman"/>
                <w:noProof/>
              </w:rPr>
              <w:t>A fenntartható mobilitásról szóló törvény hatálybalépése, amely javítja a tömegközlekedési politikák tervezését, összehangolását és hatékonyságát, valamint támogatja a közlekedés digitalizálását és a tömegközlekedés használatát.  Tartalmaznia kell továbbá a vasúti árufuvarozás előmozdítására irányuló konkrét intézkedéseket, amelyek hozzájárulnak a szárazföldi árufuvarozásból származó globális kibocsátások csökkentéséhez, beleértve a következőket:</w:t>
            </w:r>
          </w:p>
          <w:p w14:paraId="4D910211" w14:textId="145DEA7E" w:rsidR="00D65CB4" w:rsidRPr="00BC4EE7" w:rsidRDefault="00D65CB4">
            <w:pPr>
              <w:spacing w:after="0" w:line="240" w:lineRule="auto"/>
              <w:rPr>
                <w:rFonts w:ascii="Times New Roman" w:hAnsi="Times New Roman" w:cs="Times New Roman"/>
                <w:noProof/>
                <w:sz w:val="18"/>
              </w:rPr>
            </w:pPr>
          </w:p>
          <w:p w14:paraId="4393133D" w14:textId="056F8717" w:rsidR="00D65CB4" w:rsidRPr="00BC4EE7" w:rsidRDefault="00572307">
            <w:pPr>
              <w:pStyle w:val="P68B1DB1-ListParagraph13"/>
              <w:numPr>
                <w:ilvl w:val="0"/>
                <w:numId w:val="4"/>
              </w:numPr>
              <w:spacing w:after="0" w:line="240" w:lineRule="auto"/>
              <w:rPr>
                <w:rFonts w:eastAsia="Times New Roman" w:cs="Times New Roman"/>
                <w:noProof/>
              </w:rPr>
            </w:pPr>
            <w:r w:rsidRPr="00BC4EE7">
              <w:rPr>
                <w:rFonts w:cs="Times New Roman"/>
                <w:noProof/>
              </w:rPr>
              <w:t>A gördülő autópályák megvalósítására irányuló program kidolgozásának kötelezettsége azokon a folyosókon, ahol az megvalósítható, és ahol üzleti érdek fűződik a fejlesztéshez.</w:t>
            </w:r>
          </w:p>
          <w:p w14:paraId="7E82E417" w14:textId="3F60EBCC" w:rsidR="00D65CB4" w:rsidRPr="00BC4EE7" w:rsidRDefault="00572307">
            <w:pPr>
              <w:pStyle w:val="P68B1DB1-ListParagraph13"/>
              <w:numPr>
                <w:ilvl w:val="0"/>
                <w:numId w:val="4"/>
              </w:numPr>
              <w:spacing w:after="0" w:line="240" w:lineRule="auto"/>
              <w:rPr>
                <w:rFonts w:eastAsia="Times New Roman" w:cs="Times New Roman"/>
                <w:noProof/>
              </w:rPr>
            </w:pPr>
            <w:r w:rsidRPr="00BC4EE7">
              <w:rPr>
                <w:rFonts w:cs="Times New Roman"/>
                <w:noProof/>
              </w:rPr>
              <w:t>Vasúti díjbónuszok a teherforgalomért legalább 5 éven keresztül.</w:t>
            </w:r>
          </w:p>
          <w:p w14:paraId="30208CFB" w14:textId="26F2AD83" w:rsidR="00D65CB4" w:rsidRPr="00BC4EE7" w:rsidRDefault="00572307">
            <w:pPr>
              <w:pStyle w:val="P68B1DB1-ListParagraph13"/>
              <w:numPr>
                <w:ilvl w:val="0"/>
                <w:numId w:val="4"/>
              </w:numPr>
              <w:spacing w:after="0" w:line="240" w:lineRule="auto"/>
              <w:rPr>
                <w:rFonts w:cs="Times New Roman"/>
                <w:noProof/>
              </w:rPr>
            </w:pPr>
            <w:r w:rsidRPr="00BC4EE7">
              <w:rPr>
                <w:rFonts w:cs="Times New Roman"/>
                <w:noProof/>
              </w:rPr>
              <w:t>A vasúti árufuvarozást támogató program, beleértve a közúti szállításról a vasútra történő modális váltást elősegítő ösztönzőket, valamint a vasúti közlekedési ágazat korszerűsítését és innovációját.</w:t>
            </w:r>
          </w:p>
        </w:tc>
      </w:tr>
      <w:tr w:rsidR="00D65CB4" w:rsidRPr="00BC4EE7" w14:paraId="6F2EDAC1" w14:textId="77777777" w:rsidTr="00BA5F87">
        <w:trPr>
          <w:trHeight w:val="309"/>
        </w:trPr>
        <w:tc>
          <w:tcPr>
            <w:tcW w:w="696" w:type="dxa"/>
            <w:shd w:val="clear" w:color="auto" w:fill="C6EFCE"/>
            <w:noWrap/>
          </w:tcPr>
          <w:p w14:paraId="4632EFF2" w14:textId="7CC22680" w:rsidR="00D65CB4" w:rsidRPr="00BC4EE7" w:rsidRDefault="00572307">
            <w:pPr>
              <w:pStyle w:val="P68B1DB1-Normal12"/>
              <w:spacing w:after="0" w:line="240" w:lineRule="auto"/>
              <w:jc w:val="center"/>
              <w:rPr>
                <w:rFonts w:cs="Times New Roman"/>
                <w:noProof/>
              </w:rPr>
            </w:pPr>
            <w:r w:rsidRPr="00BC4EE7">
              <w:rPr>
                <w:rFonts w:cs="Times New Roman"/>
                <w:noProof/>
              </w:rPr>
              <w:t>417</w:t>
            </w:r>
          </w:p>
        </w:tc>
        <w:tc>
          <w:tcPr>
            <w:tcW w:w="1006" w:type="dxa"/>
            <w:shd w:val="clear" w:color="auto" w:fill="C6EFCE"/>
            <w:noWrap/>
          </w:tcPr>
          <w:p w14:paraId="2B2BEF68" w14:textId="12EE464D" w:rsidR="00D65CB4" w:rsidRPr="00BC4EE7" w:rsidRDefault="00572307">
            <w:pPr>
              <w:pStyle w:val="P68B1DB1-Normal12"/>
              <w:spacing w:after="0" w:line="240" w:lineRule="auto"/>
              <w:jc w:val="center"/>
              <w:rPr>
                <w:rFonts w:cs="Times New Roman"/>
                <w:noProof/>
              </w:rPr>
            </w:pPr>
            <w:r w:rsidRPr="00BC4EE7">
              <w:rPr>
                <w:rFonts w:cs="Times New Roman"/>
                <w:noProof/>
              </w:rPr>
              <w:t>C1.R2</w:t>
            </w:r>
          </w:p>
        </w:tc>
        <w:tc>
          <w:tcPr>
            <w:tcW w:w="992" w:type="dxa"/>
            <w:shd w:val="clear" w:color="auto" w:fill="C6EFCE"/>
            <w:noWrap/>
          </w:tcPr>
          <w:p w14:paraId="4F8C301D" w14:textId="0098C8C5" w:rsidR="00D65CB4" w:rsidRPr="00BC4EE7" w:rsidRDefault="00572307">
            <w:pPr>
              <w:pStyle w:val="P68B1DB1-Normal12"/>
              <w:spacing w:after="0" w:line="240" w:lineRule="auto"/>
              <w:jc w:val="center"/>
              <w:rPr>
                <w:rFonts w:cs="Times New Roman"/>
                <w:noProof/>
              </w:rPr>
            </w:pPr>
            <w:r w:rsidRPr="00BC4EE7">
              <w:rPr>
                <w:rFonts w:cs="Times New Roman"/>
                <w:noProof/>
              </w:rPr>
              <w:t>M</w:t>
            </w:r>
          </w:p>
        </w:tc>
        <w:tc>
          <w:tcPr>
            <w:tcW w:w="2410" w:type="dxa"/>
            <w:shd w:val="clear" w:color="auto" w:fill="C6EFCE"/>
            <w:noWrap/>
          </w:tcPr>
          <w:p w14:paraId="1272B76D" w14:textId="1BE6B932" w:rsidR="00D65CB4" w:rsidRPr="00BC4EE7" w:rsidRDefault="00572307">
            <w:pPr>
              <w:pStyle w:val="P68B1DB1-Normal12"/>
              <w:spacing w:after="0" w:line="240" w:lineRule="auto"/>
              <w:rPr>
                <w:rFonts w:cs="Times New Roman"/>
                <w:noProof/>
              </w:rPr>
            </w:pPr>
            <w:r w:rsidRPr="00BC4EE7">
              <w:rPr>
                <w:rFonts w:cs="Times New Roman"/>
                <w:noProof/>
              </w:rPr>
              <w:t xml:space="preserve">Szoftveralkalmazás kifejlesztése a közlekedési infrastrukturális beruházások költség-haszon elemzésének végrehajtásához </w:t>
            </w:r>
          </w:p>
          <w:p w14:paraId="501E9F60" w14:textId="77777777" w:rsidR="00D65CB4" w:rsidRPr="00BC4EE7" w:rsidRDefault="00D65CB4">
            <w:pPr>
              <w:spacing w:after="0" w:line="240" w:lineRule="auto"/>
              <w:rPr>
                <w:rFonts w:ascii="Times New Roman" w:hAnsi="Times New Roman" w:cs="Times New Roman"/>
                <w:noProof/>
                <w:sz w:val="18"/>
              </w:rPr>
            </w:pPr>
          </w:p>
        </w:tc>
        <w:tc>
          <w:tcPr>
            <w:tcW w:w="1285" w:type="dxa"/>
            <w:shd w:val="clear" w:color="auto" w:fill="C6EFCE"/>
            <w:noWrap/>
          </w:tcPr>
          <w:p w14:paraId="41D513B8" w14:textId="46F7528E" w:rsidR="00D65CB4" w:rsidRPr="00BC4EE7" w:rsidRDefault="00572307">
            <w:pPr>
              <w:pStyle w:val="P68B1DB1-Normal12"/>
              <w:spacing w:after="0" w:line="240" w:lineRule="auto"/>
              <w:jc w:val="center"/>
              <w:rPr>
                <w:rFonts w:cs="Times New Roman"/>
                <w:noProof/>
              </w:rPr>
            </w:pPr>
            <w:r w:rsidRPr="00BC4EE7">
              <w:rPr>
                <w:rFonts w:cs="Times New Roman"/>
                <w:noProof/>
              </w:rPr>
              <w:t xml:space="preserve">Az eszköz rendelkezésre állása egy hivatalos weboldalon </w:t>
            </w:r>
          </w:p>
        </w:tc>
        <w:tc>
          <w:tcPr>
            <w:tcW w:w="834" w:type="dxa"/>
            <w:shd w:val="clear" w:color="auto" w:fill="C6EFCE"/>
            <w:noWrap/>
          </w:tcPr>
          <w:p w14:paraId="26625EA0" w14:textId="77777777" w:rsidR="00D65CB4" w:rsidRPr="00BC4EE7" w:rsidRDefault="00D65CB4">
            <w:pPr>
              <w:spacing w:after="0" w:line="240" w:lineRule="auto"/>
              <w:jc w:val="right"/>
              <w:rPr>
                <w:rFonts w:ascii="Times New Roman" w:hAnsi="Times New Roman" w:cs="Times New Roman"/>
                <w:noProof/>
                <w:sz w:val="18"/>
              </w:rPr>
            </w:pPr>
          </w:p>
        </w:tc>
        <w:tc>
          <w:tcPr>
            <w:tcW w:w="972" w:type="dxa"/>
            <w:shd w:val="clear" w:color="auto" w:fill="C6EFCE"/>
            <w:noWrap/>
          </w:tcPr>
          <w:p w14:paraId="26D4DF5E" w14:textId="77777777" w:rsidR="00D65CB4" w:rsidRPr="00BC4EE7" w:rsidRDefault="00D65CB4">
            <w:pPr>
              <w:spacing w:after="0" w:line="240" w:lineRule="auto"/>
              <w:jc w:val="right"/>
              <w:rPr>
                <w:rFonts w:ascii="Times New Roman" w:hAnsi="Times New Roman" w:cs="Times New Roman"/>
                <w:noProof/>
                <w:sz w:val="18"/>
              </w:rPr>
            </w:pPr>
          </w:p>
        </w:tc>
        <w:tc>
          <w:tcPr>
            <w:tcW w:w="728" w:type="dxa"/>
            <w:shd w:val="clear" w:color="auto" w:fill="C6EFCE"/>
            <w:noWrap/>
          </w:tcPr>
          <w:p w14:paraId="4F89D850" w14:textId="77777777" w:rsidR="00D65CB4" w:rsidRPr="00BC4EE7" w:rsidRDefault="00D65CB4">
            <w:pPr>
              <w:spacing w:after="0" w:line="240" w:lineRule="auto"/>
              <w:jc w:val="right"/>
              <w:rPr>
                <w:rFonts w:ascii="Times New Roman" w:hAnsi="Times New Roman" w:cs="Times New Roman"/>
                <w:noProof/>
                <w:sz w:val="18"/>
              </w:rPr>
            </w:pPr>
          </w:p>
        </w:tc>
        <w:tc>
          <w:tcPr>
            <w:tcW w:w="417" w:type="dxa"/>
            <w:shd w:val="clear" w:color="auto" w:fill="C6EFCE"/>
            <w:noWrap/>
          </w:tcPr>
          <w:p w14:paraId="763C539E" w14:textId="22B7C416"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556" w:type="dxa"/>
            <w:shd w:val="clear" w:color="auto" w:fill="C6EFCE"/>
            <w:noWrap/>
          </w:tcPr>
          <w:p w14:paraId="0360DD72" w14:textId="2A04E70D" w:rsidR="00D65CB4" w:rsidRPr="00BC4EE7" w:rsidRDefault="00572307">
            <w:pPr>
              <w:pStyle w:val="P68B1DB1-Normal12"/>
              <w:spacing w:after="0" w:line="240" w:lineRule="auto"/>
              <w:jc w:val="center"/>
              <w:rPr>
                <w:rFonts w:cs="Times New Roman"/>
                <w:noProof/>
              </w:rPr>
            </w:pPr>
            <w:r w:rsidRPr="00BC4EE7">
              <w:rPr>
                <w:rFonts w:cs="Times New Roman"/>
                <w:noProof/>
              </w:rPr>
              <w:t>2025</w:t>
            </w:r>
          </w:p>
        </w:tc>
        <w:tc>
          <w:tcPr>
            <w:tcW w:w="5272" w:type="dxa"/>
            <w:shd w:val="clear" w:color="auto" w:fill="C6EFCE"/>
            <w:noWrap/>
          </w:tcPr>
          <w:p w14:paraId="361C1A6F" w14:textId="7887931C" w:rsidR="00D65CB4" w:rsidRPr="00BC4EE7" w:rsidRDefault="00572307">
            <w:pPr>
              <w:pStyle w:val="P68B1DB1-Normal12"/>
              <w:spacing w:after="0" w:line="240" w:lineRule="auto"/>
              <w:rPr>
                <w:rFonts w:cs="Times New Roman"/>
                <w:noProof/>
              </w:rPr>
            </w:pPr>
            <w:r w:rsidRPr="00BC4EE7">
              <w:rPr>
                <w:rFonts w:cs="Times New Roman"/>
                <w:noProof/>
              </w:rPr>
              <w:t xml:space="preserve">Szoftveralkalmazás kifejlesztése és rendelkezésre állása egy hivatalos weboldalon a különböző közlekedési módokra irányuló infrastrukturális beruházások költség-haszon elemzésének végrehajtására, összhangban a fenntartható mobilitásról szóló jogszabályban előírt hivatalos módszertanban meghatározott fenntarthatósági, társadalmi és környezetvédelmi megfontolásokkal. </w:t>
            </w:r>
          </w:p>
        </w:tc>
      </w:tr>
      <w:tr w:rsidR="00D65CB4" w:rsidRPr="00BC4EE7" w14:paraId="7331B854" w14:textId="77777777" w:rsidTr="00BA5F87">
        <w:trPr>
          <w:trHeight w:val="309"/>
        </w:trPr>
        <w:tc>
          <w:tcPr>
            <w:tcW w:w="696" w:type="dxa"/>
            <w:shd w:val="clear" w:color="auto" w:fill="C6EFCE"/>
            <w:noWrap/>
          </w:tcPr>
          <w:p w14:paraId="1DF356B6" w14:textId="61411F79" w:rsidR="00D65CB4" w:rsidRPr="00BC4EE7" w:rsidRDefault="00572307">
            <w:pPr>
              <w:pStyle w:val="P68B1DB1-Normal12"/>
              <w:spacing w:after="0" w:line="240" w:lineRule="auto"/>
              <w:jc w:val="center"/>
              <w:rPr>
                <w:rFonts w:cs="Times New Roman"/>
                <w:noProof/>
              </w:rPr>
            </w:pPr>
            <w:r w:rsidRPr="00BC4EE7">
              <w:rPr>
                <w:rFonts w:cs="Times New Roman"/>
                <w:noProof/>
              </w:rPr>
              <w:t>418</w:t>
            </w:r>
          </w:p>
        </w:tc>
        <w:tc>
          <w:tcPr>
            <w:tcW w:w="1006" w:type="dxa"/>
            <w:shd w:val="clear" w:color="auto" w:fill="C6EFCE"/>
            <w:noWrap/>
          </w:tcPr>
          <w:p w14:paraId="1B523965" w14:textId="6C36E10A" w:rsidR="00D65CB4" w:rsidRPr="00BC4EE7" w:rsidRDefault="00572307">
            <w:pPr>
              <w:pStyle w:val="P68B1DB1-Normal12"/>
              <w:spacing w:after="0" w:line="240" w:lineRule="auto"/>
              <w:jc w:val="center"/>
              <w:rPr>
                <w:rFonts w:cs="Times New Roman"/>
                <w:noProof/>
              </w:rPr>
            </w:pPr>
            <w:r w:rsidRPr="00BC4EE7">
              <w:rPr>
                <w:rFonts w:cs="Times New Roman"/>
                <w:noProof/>
              </w:rPr>
              <w:t>C1.R2</w:t>
            </w:r>
          </w:p>
        </w:tc>
        <w:tc>
          <w:tcPr>
            <w:tcW w:w="992" w:type="dxa"/>
            <w:shd w:val="clear" w:color="auto" w:fill="C6EFCE"/>
            <w:noWrap/>
          </w:tcPr>
          <w:p w14:paraId="3C7090CA" w14:textId="019ED562" w:rsidR="00D65CB4" w:rsidRPr="00BC4EE7" w:rsidRDefault="00572307">
            <w:pPr>
              <w:pStyle w:val="P68B1DB1-Normal12"/>
              <w:spacing w:after="0" w:line="240" w:lineRule="auto"/>
              <w:jc w:val="center"/>
              <w:rPr>
                <w:rFonts w:cs="Times New Roman"/>
                <w:noProof/>
              </w:rPr>
            </w:pPr>
            <w:r w:rsidRPr="00BC4EE7">
              <w:rPr>
                <w:rFonts w:cs="Times New Roman"/>
                <w:noProof/>
              </w:rPr>
              <w:t>M</w:t>
            </w:r>
          </w:p>
        </w:tc>
        <w:tc>
          <w:tcPr>
            <w:tcW w:w="2410" w:type="dxa"/>
            <w:shd w:val="clear" w:color="auto" w:fill="C6EFCE"/>
            <w:noWrap/>
          </w:tcPr>
          <w:p w14:paraId="456F5898" w14:textId="3BD09882" w:rsidR="00D65CB4" w:rsidRPr="00BC4EE7" w:rsidRDefault="00572307">
            <w:pPr>
              <w:pStyle w:val="P68B1DB1-Normal12"/>
              <w:spacing w:after="0" w:line="240" w:lineRule="auto"/>
              <w:rPr>
                <w:rFonts w:cs="Times New Roman"/>
                <w:noProof/>
              </w:rPr>
            </w:pPr>
            <w:r w:rsidRPr="00BC4EE7">
              <w:rPr>
                <w:rFonts w:cs="Times New Roman"/>
                <w:noProof/>
              </w:rPr>
              <w:t>Tesztkörnyezeti iroda</w:t>
            </w:r>
          </w:p>
        </w:tc>
        <w:tc>
          <w:tcPr>
            <w:tcW w:w="1285" w:type="dxa"/>
            <w:shd w:val="clear" w:color="auto" w:fill="C6EFCE"/>
            <w:noWrap/>
          </w:tcPr>
          <w:p w14:paraId="5BA6966F" w14:textId="59EFBF3B" w:rsidR="00D65CB4" w:rsidRPr="00BC4EE7" w:rsidRDefault="00572307">
            <w:pPr>
              <w:pStyle w:val="P68B1DB1-Normal12"/>
              <w:spacing w:after="0" w:line="240" w:lineRule="auto"/>
              <w:jc w:val="center"/>
              <w:rPr>
                <w:rFonts w:cs="Times New Roman"/>
                <w:noProof/>
              </w:rPr>
            </w:pPr>
            <w:r w:rsidRPr="00BC4EE7">
              <w:rPr>
                <w:rFonts w:cs="Times New Roman"/>
                <w:noProof/>
              </w:rPr>
              <w:t>A hatálybalépést jelző rendelkezések</w:t>
            </w:r>
          </w:p>
        </w:tc>
        <w:tc>
          <w:tcPr>
            <w:tcW w:w="834" w:type="dxa"/>
            <w:shd w:val="clear" w:color="auto" w:fill="C6EFCE"/>
            <w:noWrap/>
          </w:tcPr>
          <w:p w14:paraId="20E60AA6" w14:textId="77777777" w:rsidR="00D65CB4" w:rsidRPr="00BC4EE7" w:rsidRDefault="00D65CB4">
            <w:pPr>
              <w:spacing w:after="0" w:line="240" w:lineRule="auto"/>
              <w:jc w:val="right"/>
              <w:rPr>
                <w:rFonts w:ascii="Times New Roman" w:hAnsi="Times New Roman" w:cs="Times New Roman"/>
                <w:noProof/>
                <w:sz w:val="18"/>
              </w:rPr>
            </w:pPr>
          </w:p>
        </w:tc>
        <w:tc>
          <w:tcPr>
            <w:tcW w:w="972" w:type="dxa"/>
            <w:shd w:val="clear" w:color="auto" w:fill="C6EFCE"/>
            <w:noWrap/>
          </w:tcPr>
          <w:p w14:paraId="3433527B" w14:textId="77777777" w:rsidR="00D65CB4" w:rsidRPr="00BC4EE7" w:rsidRDefault="00D65CB4">
            <w:pPr>
              <w:spacing w:after="0" w:line="240" w:lineRule="auto"/>
              <w:jc w:val="right"/>
              <w:rPr>
                <w:rFonts w:ascii="Times New Roman" w:hAnsi="Times New Roman" w:cs="Times New Roman"/>
                <w:noProof/>
                <w:sz w:val="18"/>
              </w:rPr>
            </w:pPr>
          </w:p>
        </w:tc>
        <w:tc>
          <w:tcPr>
            <w:tcW w:w="728" w:type="dxa"/>
            <w:shd w:val="clear" w:color="auto" w:fill="C6EFCE"/>
            <w:noWrap/>
          </w:tcPr>
          <w:p w14:paraId="2FEFF9CC" w14:textId="77777777" w:rsidR="00D65CB4" w:rsidRPr="00BC4EE7" w:rsidRDefault="00D65CB4">
            <w:pPr>
              <w:spacing w:after="0" w:line="240" w:lineRule="auto"/>
              <w:jc w:val="right"/>
              <w:rPr>
                <w:rFonts w:ascii="Times New Roman" w:hAnsi="Times New Roman" w:cs="Times New Roman"/>
                <w:noProof/>
                <w:sz w:val="18"/>
              </w:rPr>
            </w:pPr>
          </w:p>
        </w:tc>
        <w:tc>
          <w:tcPr>
            <w:tcW w:w="417" w:type="dxa"/>
            <w:shd w:val="clear" w:color="auto" w:fill="C6EFCE"/>
            <w:noWrap/>
          </w:tcPr>
          <w:p w14:paraId="244EDB08" w14:textId="7E667CC6"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556" w:type="dxa"/>
            <w:shd w:val="clear" w:color="auto" w:fill="C6EFCE"/>
            <w:noWrap/>
          </w:tcPr>
          <w:p w14:paraId="0035862C" w14:textId="37E7F7F9" w:rsidR="00D65CB4" w:rsidRPr="00BC4EE7" w:rsidRDefault="00572307">
            <w:pPr>
              <w:pStyle w:val="P68B1DB1-Normal12"/>
              <w:spacing w:after="0" w:line="240" w:lineRule="auto"/>
              <w:jc w:val="center"/>
              <w:rPr>
                <w:rFonts w:cs="Times New Roman"/>
                <w:noProof/>
              </w:rPr>
            </w:pPr>
            <w:r w:rsidRPr="00BC4EE7">
              <w:rPr>
                <w:rFonts w:cs="Times New Roman"/>
                <w:noProof/>
              </w:rPr>
              <w:t>2026</w:t>
            </w:r>
          </w:p>
        </w:tc>
        <w:tc>
          <w:tcPr>
            <w:tcW w:w="5272" w:type="dxa"/>
            <w:shd w:val="clear" w:color="auto" w:fill="C6EFCE"/>
            <w:noWrap/>
          </w:tcPr>
          <w:p w14:paraId="2068E54F" w14:textId="79EBA46A" w:rsidR="00D65CB4" w:rsidRPr="00BC4EE7" w:rsidRDefault="00572307">
            <w:pPr>
              <w:pStyle w:val="P68B1DB1-Normal12"/>
              <w:spacing w:after="0" w:line="240" w:lineRule="auto"/>
              <w:rPr>
                <w:rFonts w:eastAsia="Times New Roman" w:cs="Times New Roman"/>
                <w:noProof/>
              </w:rPr>
            </w:pPr>
            <w:r w:rsidRPr="00BC4EE7">
              <w:rPr>
                <w:rFonts w:cs="Times New Roman"/>
                <w:noProof/>
              </w:rPr>
              <w:t>A közlekedési minisztérium szervezeti felépítését kidolgozó királyi rendelet kihirdetése és hatálybalépése, amely meghatározza a Sandbox Office konkrét hatásköreit.</w:t>
            </w:r>
          </w:p>
        </w:tc>
      </w:tr>
      <w:tr w:rsidR="00D65CB4" w:rsidRPr="00BC4EE7" w14:paraId="08D28B29" w14:textId="77777777" w:rsidTr="00BA5F87">
        <w:trPr>
          <w:trHeight w:val="309"/>
        </w:trPr>
        <w:tc>
          <w:tcPr>
            <w:tcW w:w="696" w:type="dxa"/>
            <w:shd w:val="clear" w:color="auto" w:fill="C6EFCE"/>
            <w:noWrap/>
          </w:tcPr>
          <w:p w14:paraId="3FE2943F" w14:textId="4632317B"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4</w:t>
            </w:r>
          </w:p>
        </w:tc>
        <w:tc>
          <w:tcPr>
            <w:tcW w:w="1006" w:type="dxa"/>
            <w:shd w:val="clear" w:color="auto" w:fill="C6EFCE"/>
            <w:noWrap/>
          </w:tcPr>
          <w:p w14:paraId="725E159E"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C1.I1</w:t>
            </w:r>
          </w:p>
        </w:tc>
        <w:tc>
          <w:tcPr>
            <w:tcW w:w="992" w:type="dxa"/>
            <w:shd w:val="clear" w:color="auto" w:fill="C6EFCE"/>
            <w:noWrap/>
          </w:tcPr>
          <w:p w14:paraId="1E703B59"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T</w:t>
            </w:r>
          </w:p>
        </w:tc>
        <w:tc>
          <w:tcPr>
            <w:tcW w:w="2410" w:type="dxa"/>
            <w:shd w:val="clear" w:color="auto" w:fill="C6EFCE"/>
            <w:noWrap/>
          </w:tcPr>
          <w:p w14:paraId="52A17D01" w14:textId="77777777" w:rsidR="00D65CB4" w:rsidRPr="00BC4EE7" w:rsidRDefault="00572307">
            <w:pPr>
              <w:pStyle w:val="P68B1DB1-Normal12"/>
              <w:spacing w:after="0" w:line="240" w:lineRule="auto"/>
              <w:rPr>
                <w:rFonts w:eastAsia="MS Mincho" w:cs="Times New Roman"/>
                <w:noProof/>
              </w:rPr>
            </w:pPr>
            <w:r w:rsidRPr="00BC4EE7">
              <w:rPr>
                <w:rFonts w:cs="Times New Roman"/>
                <w:noProof/>
              </w:rPr>
              <w:t>A fenntartható mobilitás előmozdítását célzó beszerzésekre fordított vagy az önkormányzatok által odaítélt költségvetés</w:t>
            </w:r>
          </w:p>
        </w:tc>
        <w:tc>
          <w:tcPr>
            <w:tcW w:w="1285" w:type="dxa"/>
            <w:shd w:val="clear" w:color="auto" w:fill="C6EFCE"/>
            <w:noWrap/>
          </w:tcPr>
          <w:p w14:paraId="184567A2"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 xml:space="preserve"> </w:t>
            </w:r>
          </w:p>
        </w:tc>
        <w:tc>
          <w:tcPr>
            <w:tcW w:w="834" w:type="dxa"/>
            <w:shd w:val="clear" w:color="auto" w:fill="C6EFCE"/>
            <w:noWrap/>
          </w:tcPr>
          <w:p w14:paraId="39A56447"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Millió EUR</w:t>
            </w:r>
          </w:p>
        </w:tc>
        <w:tc>
          <w:tcPr>
            <w:tcW w:w="972" w:type="dxa"/>
            <w:shd w:val="clear" w:color="auto" w:fill="C6EFCE"/>
            <w:noWrap/>
          </w:tcPr>
          <w:p w14:paraId="1904DB00"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0</w:t>
            </w:r>
          </w:p>
        </w:tc>
        <w:tc>
          <w:tcPr>
            <w:tcW w:w="728" w:type="dxa"/>
            <w:shd w:val="clear" w:color="auto" w:fill="C6EFCE"/>
            <w:noWrap/>
          </w:tcPr>
          <w:p w14:paraId="6A52555B"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400</w:t>
            </w:r>
          </w:p>
        </w:tc>
        <w:tc>
          <w:tcPr>
            <w:tcW w:w="417" w:type="dxa"/>
            <w:shd w:val="clear" w:color="auto" w:fill="C6EFCE"/>
            <w:noWrap/>
          </w:tcPr>
          <w:p w14:paraId="73A17366"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Q4</w:t>
            </w:r>
          </w:p>
        </w:tc>
        <w:tc>
          <w:tcPr>
            <w:tcW w:w="556" w:type="dxa"/>
            <w:shd w:val="clear" w:color="auto" w:fill="C6EFCE"/>
            <w:noWrap/>
          </w:tcPr>
          <w:p w14:paraId="13D50D1D"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2022</w:t>
            </w:r>
          </w:p>
        </w:tc>
        <w:tc>
          <w:tcPr>
            <w:tcW w:w="5272" w:type="dxa"/>
            <w:shd w:val="clear" w:color="auto" w:fill="C6EFCE"/>
            <w:noWrap/>
          </w:tcPr>
          <w:p w14:paraId="6F64CB27" w14:textId="77777777" w:rsidR="00D65CB4" w:rsidRPr="00BC4EE7" w:rsidRDefault="00572307">
            <w:pPr>
              <w:spacing w:after="0" w:line="240" w:lineRule="auto"/>
              <w:rPr>
                <w:rFonts w:ascii="Times New Roman" w:eastAsia="MS Mincho" w:hAnsi="Times New Roman" w:cs="Times New Roman"/>
                <w:noProof/>
                <w:sz w:val="18"/>
              </w:rPr>
            </w:pPr>
            <w:r w:rsidRPr="00BC4EE7">
              <w:rPr>
                <w:rFonts w:ascii="Times New Roman" w:hAnsi="Times New Roman" w:cs="Times New Roman"/>
                <w:noProof/>
              </w:rPr>
              <w:t>A projekt vagy a támogatások odaítélésének</w:t>
            </w:r>
            <w:r w:rsidRPr="00BC4EE7">
              <w:rPr>
                <w:rFonts w:ascii="Times New Roman" w:hAnsi="Times New Roman" w:cs="Times New Roman"/>
                <w:noProof/>
                <w:sz w:val="18"/>
              </w:rPr>
              <w:t>közzététele a Hivatalos Lapban vagy a közbeszerzési platformon, illetve az önkormányzatok beszerzéseivel kapcsolatos kiadások végrehajtása, amelyek hozzájárulnak a fenntartható mobilitás előmozdításához a tartomány több mint 50000 lakosával és fővárosával rendelkező településeken, és bizonyos feltételek mellett 20000 és 50000 lakos közötti településekre is kioszthatók. A projekteknek az alábbi esetekben kell támogatást nyújtaniuk: a) tömegközlekedési flották átalakítása a tiszta járművekről szóló irányelv célkitűzéseinek elérése érdekében és a jelentős károkozás elkerülését célzó műszaki iránymutatásnak (2021/C58/01) megfelelően; az alacsony kibocsátású övezetek (LEZ-ek) megvalósítása és kezelése; a tömegközlekedés digitalizálása, adminisztratív irányítása és hozzáférhetőségének javítása; d) a közösségi közlekedést és az aktív mobilitást ösztönző és előnyben részesítő intézkedések.</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A kiválasztási kritériumoknak biztosítaniuk kell, hogy az 1 500 000 000 EUR összegű teljes végleges költségvetésből legalább 310 000 000 EUR 100%-os éghajlati együtthatóval, legalább 1 190 000 000 EUR pedig 40%-os éghajlati együtthatóval járuljon hozzá az éghajlat-változási célkitűzésekhez, a Helyreállítási és Rezilienciaépítési Eszközről szóló rendelet VI. mellékletével összhangban. </w:t>
            </w:r>
          </w:p>
        </w:tc>
      </w:tr>
      <w:tr w:rsidR="00D65CB4" w:rsidRPr="00BC4EE7" w14:paraId="6450CA45" w14:textId="77777777" w:rsidTr="00BA5F87">
        <w:trPr>
          <w:trHeight w:val="309"/>
        </w:trPr>
        <w:tc>
          <w:tcPr>
            <w:tcW w:w="696" w:type="dxa"/>
            <w:shd w:val="clear" w:color="auto" w:fill="C6EFCE"/>
            <w:noWrap/>
          </w:tcPr>
          <w:p w14:paraId="10315E44"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5</w:t>
            </w:r>
          </w:p>
        </w:tc>
        <w:tc>
          <w:tcPr>
            <w:tcW w:w="1006" w:type="dxa"/>
            <w:shd w:val="clear" w:color="auto" w:fill="C6EFCE"/>
            <w:noWrap/>
          </w:tcPr>
          <w:p w14:paraId="50FA1D49"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C1.I1</w:t>
            </w:r>
          </w:p>
        </w:tc>
        <w:tc>
          <w:tcPr>
            <w:tcW w:w="992" w:type="dxa"/>
            <w:shd w:val="clear" w:color="auto" w:fill="C6EFCE"/>
            <w:noWrap/>
          </w:tcPr>
          <w:p w14:paraId="26425768"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T</w:t>
            </w:r>
          </w:p>
        </w:tc>
        <w:tc>
          <w:tcPr>
            <w:tcW w:w="2410" w:type="dxa"/>
            <w:shd w:val="clear" w:color="auto" w:fill="C6EFCE"/>
            <w:noWrap/>
          </w:tcPr>
          <w:p w14:paraId="5A1FFB1C" w14:textId="77777777" w:rsidR="00D65CB4" w:rsidRPr="00BC4EE7" w:rsidRDefault="00572307">
            <w:pPr>
              <w:pStyle w:val="P68B1DB1-Normal12"/>
              <w:spacing w:after="0" w:line="240" w:lineRule="auto"/>
              <w:rPr>
                <w:rFonts w:eastAsia="MS Mincho" w:cs="Times New Roman"/>
                <w:noProof/>
              </w:rPr>
            </w:pPr>
            <w:r w:rsidRPr="00BC4EE7">
              <w:rPr>
                <w:rFonts w:cs="Times New Roman"/>
                <w:noProof/>
              </w:rPr>
              <w:t xml:space="preserve">Az autonóm közösségek által vásárolt vagy odaítélt, legalább 900 millió EUR összegű költségvetés a fenntartható mobilitás előmozdítása érdekében </w:t>
            </w:r>
          </w:p>
        </w:tc>
        <w:tc>
          <w:tcPr>
            <w:tcW w:w="1285" w:type="dxa"/>
            <w:shd w:val="clear" w:color="auto" w:fill="C6EFCE"/>
            <w:noWrap/>
          </w:tcPr>
          <w:p w14:paraId="17F14235" w14:textId="77777777" w:rsidR="00D65CB4" w:rsidRPr="00BC4EE7" w:rsidRDefault="00D65CB4">
            <w:pPr>
              <w:spacing w:after="0" w:line="240" w:lineRule="auto"/>
              <w:jc w:val="center"/>
              <w:rPr>
                <w:rFonts w:ascii="Times New Roman" w:eastAsia="MS Mincho" w:hAnsi="Times New Roman" w:cs="Times New Roman"/>
                <w:noProof/>
                <w:sz w:val="18"/>
              </w:rPr>
            </w:pPr>
          </w:p>
        </w:tc>
        <w:tc>
          <w:tcPr>
            <w:tcW w:w="834" w:type="dxa"/>
            <w:shd w:val="clear" w:color="auto" w:fill="C6EFCE"/>
            <w:noWrap/>
          </w:tcPr>
          <w:p w14:paraId="1D85A759"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Millió EUR</w:t>
            </w:r>
          </w:p>
        </w:tc>
        <w:tc>
          <w:tcPr>
            <w:tcW w:w="972" w:type="dxa"/>
            <w:shd w:val="clear" w:color="auto" w:fill="C6EFCE"/>
            <w:noWrap/>
          </w:tcPr>
          <w:p w14:paraId="2B71CEBC"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0</w:t>
            </w:r>
          </w:p>
        </w:tc>
        <w:tc>
          <w:tcPr>
            <w:tcW w:w="728" w:type="dxa"/>
            <w:shd w:val="clear" w:color="auto" w:fill="C6EFCE"/>
            <w:noWrap/>
          </w:tcPr>
          <w:p w14:paraId="4814CE20"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900</w:t>
            </w:r>
          </w:p>
        </w:tc>
        <w:tc>
          <w:tcPr>
            <w:tcW w:w="417" w:type="dxa"/>
            <w:shd w:val="clear" w:color="auto" w:fill="C6EFCE"/>
            <w:noWrap/>
          </w:tcPr>
          <w:p w14:paraId="61347492"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Q4</w:t>
            </w:r>
          </w:p>
        </w:tc>
        <w:tc>
          <w:tcPr>
            <w:tcW w:w="556" w:type="dxa"/>
            <w:shd w:val="clear" w:color="auto" w:fill="C6EFCE"/>
            <w:noWrap/>
          </w:tcPr>
          <w:p w14:paraId="3468E1CD"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2023</w:t>
            </w:r>
          </w:p>
        </w:tc>
        <w:tc>
          <w:tcPr>
            <w:tcW w:w="5272" w:type="dxa"/>
            <w:shd w:val="clear" w:color="auto" w:fill="C6EFCE"/>
            <w:noWrap/>
          </w:tcPr>
          <w:p w14:paraId="36AB4A5E" w14:textId="77777777" w:rsidR="00D65CB4" w:rsidRPr="00BC4EE7" w:rsidRDefault="00572307">
            <w:pPr>
              <w:spacing w:after="0" w:line="240" w:lineRule="auto"/>
              <w:rPr>
                <w:rFonts w:ascii="Times New Roman" w:eastAsia="MS Mincho" w:hAnsi="Times New Roman" w:cs="Times New Roman"/>
                <w:noProof/>
                <w:sz w:val="18"/>
              </w:rPr>
            </w:pPr>
            <w:r w:rsidRPr="00BC4EE7">
              <w:rPr>
                <w:rFonts w:ascii="Times New Roman" w:hAnsi="Times New Roman" w:cs="Times New Roman"/>
                <w:noProof/>
              </w:rPr>
              <w:t>A projekt vagy támogatás odaítélésének</w:t>
            </w:r>
            <w:r w:rsidRPr="00BC4EE7">
              <w:rPr>
                <w:rFonts w:ascii="Times New Roman" w:hAnsi="Times New Roman" w:cs="Times New Roman"/>
                <w:noProof/>
                <w:sz w:val="18"/>
              </w:rPr>
              <w:t>közzététele a Hivatalos Lapban vagy a közbeszerzési platformon, illetve az autonóm közösségek beszerzéseivel kapcsolatos kiadások végrehajtása. Az autonóm közösségek által odaítélt projektek és támogatások, valamint beszerzések:</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1. hozzájárulás a fenntartható mobilitás előmozdításához azáltal, hogy támogatást nyújt a magánvállalatoknak a) a régi nehézgépjárművek leselejtezéséhez, b) a nehéz személy- és teherflottáik tisztább járművekkel történő megújításához, c) pótkocsijuk vagy félpótkocsiik intermodális szállítás céljából történő megvásárlásához vagy átalakításához, vagy d) alternatív üzemanyagokkal (elektromos, LNG-, CNG- és biometán) működő elektromos és egyéb töltőállomások telepítéséhez; A támogatásokat a jelentős károkozás elkerülését célzó technikai iránymutatással (2021/C58/01) összhangban kell nyújtani; </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vagy</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xml:space="preserve">2. hozzájárulás a fenntartható mobilitás előmozdításához a tartomány több mint 50000 lakosával és fővárosával rendelkező településeken azáltal, hogy támogatja a) a tömegközlekedési flották átalakítását a tiszta járművekről szóló irányelv célkitűzéseinek elérése érdekében és a jelentős károkozás elkerülését célzó műszaki iránymutatásnak (2021/C58/01) megfelelően; az alacsony kibocsátású övezetek (LEZ-ek) megvalósítása és kezelése; a tömegközlekedés digitalizálása, adminisztratív irányítása és hozzáférhetőségének javítása; d) a közösségi közlekedés és az aktív mobilitás előtérbe helyezésére irányuló intézkedések, beleértve a kerékpáros infrastruktúrát és a gyalogossávokat; e) az új kibocsátásmentes technológiák térnyerésének ösztönzése Spanyolországban a közlekedésben; az e településeken és a tartomány fővárosain kívül található elrettentési célú parkolás a városközpontba érkező forgalom csökkentése érdekében; g) a vasúti közlekedési rendszer, például a metrók vagy a vasutak bővítése vagy korszerűsítése;h) a fenntartható mobilitást támogató intézkedéseket kiegészítő digitalizációs projektek, beleértve a tömegközlekedési szolgáltatásokra vonatkozó valós idejű információs rendszereket, a mobilitást mint szolgáltatást, az intermodális vagy szolgáltatásközi jegyértékesítés javítását célzó projekteket, a forgalom- és mobilitásirányítást támogató projekteket és az információelemzést a közlekedési rendszer hatékonyságának növelése érdekében, valamint i. egyéb olyan projektek, amelyek: I. Hozzájárulás a levegőminőség javításához, különösen a városi területeken ii. Ösztönözzék a magánközlekedés használatának csökkentését a városi és nagyvárosi területeken iii. A tömegközlekedés használatának ösztönzése vagy iv. Az aktív és egészséges mobilitás ösztönzése.  </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 kiválasztási kritériumoknak biztosítaniuk kell, hogy a Helyreállítási és Rezilienciaépítési Eszközről szóló (EU) 2021/241 rendelet VI. mellékletével összhangban legalább 900 000 000 EUR 40%-os éghajlati együtthatóval járuljon hozzá az éghajlat-változási célkitűzésekhez.</w:t>
            </w:r>
          </w:p>
        </w:tc>
      </w:tr>
      <w:tr w:rsidR="00D65CB4" w:rsidRPr="00BC4EE7" w14:paraId="437C6033" w14:textId="77777777" w:rsidTr="00BA5F87">
        <w:trPr>
          <w:trHeight w:val="309"/>
        </w:trPr>
        <w:tc>
          <w:tcPr>
            <w:tcW w:w="696" w:type="dxa"/>
            <w:shd w:val="clear" w:color="auto" w:fill="C6EFCE"/>
            <w:noWrap/>
          </w:tcPr>
          <w:p w14:paraId="0A6C95E8"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6</w:t>
            </w:r>
          </w:p>
        </w:tc>
        <w:tc>
          <w:tcPr>
            <w:tcW w:w="1006" w:type="dxa"/>
            <w:shd w:val="clear" w:color="auto" w:fill="C6EFCE"/>
            <w:noWrap/>
          </w:tcPr>
          <w:p w14:paraId="02BF9AC9"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C1.I1</w:t>
            </w:r>
          </w:p>
        </w:tc>
        <w:tc>
          <w:tcPr>
            <w:tcW w:w="992" w:type="dxa"/>
            <w:shd w:val="clear" w:color="auto" w:fill="C6EFCE"/>
            <w:noWrap/>
          </w:tcPr>
          <w:p w14:paraId="0BA1B8A9"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T</w:t>
            </w:r>
          </w:p>
        </w:tc>
        <w:tc>
          <w:tcPr>
            <w:tcW w:w="2410" w:type="dxa"/>
            <w:shd w:val="clear" w:color="auto" w:fill="C6EFCE"/>
            <w:noWrap/>
          </w:tcPr>
          <w:p w14:paraId="5635E23E" w14:textId="5F2DFCAE" w:rsidR="00D65CB4" w:rsidRPr="00BC4EE7" w:rsidRDefault="00572307">
            <w:pPr>
              <w:pStyle w:val="P68B1DB1-Normal12"/>
              <w:spacing w:after="0" w:line="240" w:lineRule="auto"/>
              <w:rPr>
                <w:rFonts w:eastAsia="MS Mincho" w:cs="Times New Roman"/>
                <w:noProof/>
              </w:rPr>
            </w:pPr>
            <w:r w:rsidRPr="00BC4EE7">
              <w:rPr>
                <w:rFonts w:cs="Times New Roman"/>
                <w:noProof/>
              </w:rPr>
              <w:t xml:space="preserve">A fenntartható mobilitás előmozdítását célzó, befejezett projektek, többek között városi és nagyvárosi területeken </w:t>
            </w:r>
          </w:p>
        </w:tc>
        <w:tc>
          <w:tcPr>
            <w:tcW w:w="1285" w:type="dxa"/>
            <w:shd w:val="clear" w:color="auto" w:fill="C6EFCE"/>
            <w:noWrap/>
          </w:tcPr>
          <w:p w14:paraId="6C3553DB" w14:textId="77777777" w:rsidR="00D65CB4" w:rsidRPr="00BC4EE7" w:rsidRDefault="00D65CB4">
            <w:pPr>
              <w:spacing w:after="0" w:line="240" w:lineRule="auto"/>
              <w:jc w:val="center"/>
              <w:rPr>
                <w:rFonts w:ascii="Times New Roman" w:eastAsia="MS Mincho" w:hAnsi="Times New Roman" w:cs="Times New Roman"/>
                <w:noProof/>
                <w:sz w:val="18"/>
              </w:rPr>
            </w:pPr>
          </w:p>
        </w:tc>
        <w:tc>
          <w:tcPr>
            <w:tcW w:w="834" w:type="dxa"/>
            <w:shd w:val="clear" w:color="auto" w:fill="C6EFCE"/>
            <w:noWrap/>
          </w:tcPr>
          <w:p w14:paraId="54DEE654"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Szám</w:t>
            </w:r>
          </w:p>
        </w:tc>
        <w:tc>
          <w:tcPr>
            <w:tcW w:w="972" w:type="dxa"/>
            <w:shd w:val="clear" w:color="auto" w:fill="C6EFCE"/>
            <w:noWrap/>
          </w:tcPr>
          <w:p w14:paraId="06370268"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0</w:t>
            </w:r>
          </w:p>
        </w:tc>
        <w:tc>
          <w:tcPr>
            <w:tcW w:w="728" w:type="dxa"/>
            <w:shd w:val="clear" w:color="auto" w:fill="C6EFCE"/>
            <w:noWrap/>
          </w:tcPr>
          <w:p w14:paraId="0763F3C0"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25</w:t>
            </w:r>
          </w:p>
        </w:tc>
        <w:tc>
          <w:tcPr>
            <w:tcW w:w="417" w:type="dxa"/>
            <w:shd w:val="clear" w:color="auto" w:fill="C6EFCE"/>
            <w:noWrap/>
          </w:tcPr>
          <w:p w14:paraId="208AC76C"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Q4</w:t>
            </w:r>
          </w:p>
        </w:tc>
        <w:tc>
          <w:tcPr>
            <w:tcW w:w="556" w:type="dxa"/>
            <w:shd w:val="clear" w:color="auto" w:fill="C6EFCE"/>
            <w:noWrap/>
          </w:tcPr>
          <w:p w14:paraId="07113655"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2023</w:t>
            </w:r>
          </w:p>
        </w:tc>
        <w:tc>
          <w:tcPr>
            <w:tcW w:w="5272" w:type="dxa"/>
            <w:shd w:val="clear" w:color="auto" w:fill="C6EFCE"/>
            <w:noWrap/>
          </w:tcPr>
          <w:p w14:paraId="3A5E01EB" w14:textId="77777777" w:rsidR="00D65CB4" w:rsidRPr="00BC4EE7" w:rsidRDefault="00572307">
            <w:pPr>
              <w:spacing w:after="0" w:line="240" w:lineRule="auto"/>
              <w:rPr>
                <w:rFonts w:ascii="Times New Roman" w:eastAsia="MS Mincho" w:hAnsi="Times New Roman" w:cs="Times New Roman"/>
                <w:noProof/>
                <w:sz w:val="18"/>
              </w:rPr>
            </w:pPr>
            <w:r w:rsidRPr="00BC4EE7">
              <w:rPr>
                <w:rFonts w:ascii="Times New Roman" w:hAnsi="Times New Roman" w:cs="Times New Roman"/>
                <w:noProof/>
                <w:sz w:val="18"/>
              </w:rPr>
              <w:t>Legalább 25 projekt valósult meg a fenntartható mobilitás előmozdítására, 150, több mint 50000 lakosú városi és nagyvárosi területen, és bizonyos feltételek mellett a 20000 és 50000 lakos közötti városi területeken.</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 fenntartható mobilitást előmozdító projektek a következők:</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I. Az önkormányzatok által kidolgozott projektek, amelyek hozzájárulnak a fenntartható mobilitás előmozdításához a tartomány több mint 50000 lakosával és fővárosával rendelkező településeken, és bizonyos feltételek mellett 20000 és 50000 lakos közötti települések számára is odaítélhetők. A projekteknek az alábbi esetekben kell támogatást nyújtaniuk: a) tömegközlekedési flották átalakítása a tiszta járművekről szóló irányelv célkitűzéseinek elérése érdekében és a jelentős károkozás elkerülését célzó műszaki iránymutatásnak (2021/C58/01) megfelelően; az alacsony kibocsátású övezetek (LEZ-ek) megvalósítása és kezelése; a tömegközlekedés digitalizálása, adminisztratív irányítása és hozzáférhetőségének javítása; d) a közösségi közlekedést és az aktív mobilitást ösztönző és előnyben részesítő intézkedések. A projekt meghatározott, egymással összefüggő és összehangolt tevékenységek összessége, amelyeket közös céllal, bizonyos határidőn belül és költségvetési korlátok között hajtanak végre, és amelyekhez támogatást igényelnek. Egy település egynél több projektet is kidolgozhat.</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II. Az autonóm közösségek által kidolgozott, a fenntartható mobilitást előmozdító projektek a városi és nagyvárosi területeken. Ez a C1.I1. beruházásban meghatározott a)–i) tipológiákra vonatkozik. A városi és nagyvárosi területek a több mint 50000 lakosú települések, a tartományok fővárosai és – bizonyos feltételek mellett – a 20000 főnél több lakosú települések. Minden autonóm közösség egynél több projektet is kidolgozhat.</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III. Magánvállalkozásoknak támogatást nyújtó projektek a) a régi nehézgépjárművek leselejtezéséhez, b) nehéz- és teherflottáik tisztább járművekkel történő megújításához, c) pótkocsijuk vagy félpótkocsiik intermodális szállítás céljából történő megvásárlásához vagy átalakításához, vagy d) alternatív üzemanyagokkal (elektromos, LNG-, CNG- és biometán) működő töltőállomások telepítéséhez. Legalább 3000 nehézgépjárművet vagy üzemanyagtöltő állomást kell támogatni annak érdekében, hogy egy, a fenntartható mobilitást előmozdító projekt befejeződhessen. A támogatásokat a jelentős károkozás elkerülését célzó technikai iránymutatással (2021/C58/01) összhangban kell nyújtani.</w:t>
            </w:r>
          </w:p>
        </w:tc>
      </w:tr>
      <w:tr w:rsidR="00D65CB4" w:rsidRPr="00BC4EE7" w14:paraId="6CFEF6B8" w14:textId="77777777" w:rsidTr="00BA5F87">
        <w:trPr>
          <w:trHeight w:val="309"/>
        </w:trPr>
        <w:tc>
          <w:tcPr>
            <w:tcW w:w="696" w:type="dxa"/>
            <w:shd w:val="clear" w:color="auto" w:fill="C6EFCE"/>
            <w:noWrap/>
          </w:tcPr>
          <w:p w14:paraId="1583577A"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7</w:t>
            </w:r>
          </w:p>
        </w:tc>
        <w:tc>
          <w:tcPr>
            <w:tcW w:w="1006" w:type="dxa"/>
            <w:shd w:val="clear" w:color="auto" w:fill="C6EFCE"/>
            <w:noWrap/>
          </w:tcPr>
          <w:p w14:paraId="6ABF99B7"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C1.I1</w:t>
            </w:r>
          </w:p>
        </w:tc>
        <w:tc>
          <w:tcPr>
            <w:tcW w:w="992" w:type="dxa"/>
            <w:shd w:val="clear" w:color="auto" w:fill="C6EFCE"/>
            <w:noWrap/>
          </w:tcPr>
          <w:p w14:paraId="5378FCBD"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T</w:t>
            </w:r>
          </w:p>
        </w:tc>
        <w:tc>
          <w:tcPr>
            <w:tcW w:w="2410" w:type="dxa"/>
            <w:shd w:val="clear" w:color="auto" w:fill="C6EFCE"/>
            <w:noWrap/>
          </w:tcPr>
          <w:p w14:paraId="6384B0C8" w14:textId="77777777" w:rsidR="00D65CB4" w:rsidRPr="00BC4EE7" w:rsidRDefault="00572307">
            <w:pPr>
              <w:pStyle w:val="P68B1DB1-Normal12"/>
              <w:spacing w:after="0" w:line="240" w:lineRule="auto"/>
              <w:rPr>
                <w:rFonts w:eastAsia="MS Mincho" w:cs="Times New Roman"/>
                <w:noProof/>
              </w:rPr>
            </w:pPr>
            <w:r w:rsidRPr="00BC4EE7">
              <w:rPr>
                <w:rFonts w:cs="Times New Roman"/>
                <w:noProof/>
              </w:rPr>
              <w:t>A fenntartható mobilitás előmozdítását célzó beszerzésekre fordított vagy az önkormányzatok által odaítélt költségvetés</w:t>
            </w:r>
          </w:p>
        </w:tc>
        <w:tc>
          <w:tcPr>
            <w:tcW w:w="1285" w:type="dxa"/>
            <w:shd w:val="clear" w:color="auto" w:fill="C6EFCE"/>
            <w:noWrap/>
          </w:tcPr>
          <w:p w14:paraId="747EC57D"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 xml:space="preserve"> </w:t>
            </w:r>
          </w:p>
        </w:tc>
        <w:tc>
          <w:tcPr>
            <w:tcW w:w="834" w:type="dxa"/>
            <w:shd w:val="clear" w:color="auto" w:fill="C6EFCE"/>
            <w:noWrap/>
          </w:tcPr>
          <w:p w14:paraId="3E6B4EA3"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Millió EUR</w:t>
            </w:r>
          </w:p>
        </w:tc>
        <w:tc>
          <w:tcPr>
            <w:tcW w:w="972" w:type="dxa"/>
            <w:shd w:val="clear" w:color="auto" w:fill="C6EFCE"/>
            <w:noWrap/>
          </w:tcPr>
          <w:p w14:paraId="35B4915E"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400</w:t>
            </w:r>
          </w:p>
        </w:tc>
        <w:tc>
          <w:tcPr>
            <w:tcW w:w="728" w:type="dxa"/>
            <w:shd w:val="clear" w:color="auto" w:fill="C6EFCE"/>
            <w:noWrap/>
          </w:tcPr>
          <w:p w14:paraId="6B3987EE"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1 500</w:t>
            </w:r>
          </w:p>
        </w:tc>
        <w:tc>
          <w:tcPr>
            <w:tcW w:w="417" w:type="dxa"/>
            <w:shd w:val="clear" w:color="auto" w:fill="C6EFCE"/>
            <w:noWrap/>
          </w:tcPr>
          <w:p w14:paraId="1920ABED"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Q4</w:t>
            </w:r>
          </w:p>
        </w:tc>
        <w:tc>
          <w:tcPr>
            <w:tcW w:w="556" w:type="dxa"/>
            <w:shd w:val="clear" w:color="auto" w:fill="C6EFCE"/>
            <w:noWrap/>
          </w:tcPr>
          <w:p w14:paraId="15705D52"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2024</w:t>
            </w:r>
          </w:p>
        </w:tc>
        <w:tc>
          <w:tcPr>
            <w:tcW w:w="5272" w:type="dxa"/>
            <w:shd w:val="clear" w:color="auto" w:fill="C6EFCE"/>
            <w:noWrap/>
          </w:tcPr>
          <w:p w14:paraId="12B8CB70" w14:textId="77777777" w:rsidR="00D65CB4" w:rsidRPr="00BC4EE7" w:rsidRDefault="00572307">
            <w:pPr>
              <w:spacing w:after="0" w:line="240" w:lineRule="auto"/>
              <w:rPr>
                <w:rFonts w:ascii="Times New Roman" w:hAnsi="Times New Roman" w:cs="Times New Roman"/>
                <w:noProof/>
                <w:sz w:val="18"/>
              </w:rPr>
            </w:pPr>
            <w:r w:rsidRPr="00BC4EE7">
              <w:rPr>
                <w:rFonts w:ascii="Times New Roman" w:hAnsi="Times New Roman" w:cs="Times New Roman"/>
                <w:noProof/>
              </w:rPr>
              <w:t>A projekt vagy a támogatások odaítélésének</w:t>
            </w:r>
            <w:r w:rsidRPr="00BC4EE7">
              <w:rPr>
                <w:rFonts w:ascii="Times New Roman" w:hAnsi="Times New Roman" w:cs="Times New Roman"/>
                <w:noProof/>
                <w:sz w:val="18"/>
              </w:rPr>
              <w:t>közzététele a Hivatalos Lapban vagy a közbeszerzési platformon, illetve az önkormányzatok beszerzéseivel kapcsolatos kiadások végrehajtása, amelyek hozzájárulnak a fenntartható mobilitás előmozdításához a tartomány több mint 50000 lakosával és fővárosával rendelkező településeken, és bizonyos feltételek mellett 20000 és 50000 lakos közötti településekre is kioszthatók. A projekteknek az alábbi esetekben kell támogatást nyújtaniuk: a) tömegközlekedési flották átalakítása a tiszta járművekről szóló irányelv célkitűzéseinek elérése érdekében és a jelentős károkozás elkerülését célzó műszaki iránymutatásnak (2021/C58/01) megfelelően; az alacsony kibocsátású övezetek (LEZ-ek) megvalósítása és kezelése; a tömegközlekedés digitalizálása, adminisztratív irányítása és hozzáférhetőségének javítása; d) a közösségi közlekedést és az aktív mobilitást ösztönző és előnyben részesítő intézkedések.</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 kiválasztási kritériumoknak biztosítaniuk kell, hogy a Helyreállítási és Rezilienciaépítési Eszközről szóló (EU) 2021/241 rendelet VI. mellékletével összhangban legalább 310 000 000 EUR 100%-os éghajlati együtthatóval, legalább 1 190 000 000 EUR pedig 40%-os éghajlati együtthatóval járuljon hozzá az éghajlat-változási célkitűzésekhez.</w:t>
            </w:r>
          </w:p>
          <w:p w14:paraId="56614773" w14:textId="77777777" w:rsidR="00D65CB4" w:rsidRPr="00BC4EE7" w:rsidRDefault="00572307">
            <w:pPr>
              <w:pStyle w:val="P68B1DB1-Normal12"/>
              <w:spacing w:after="0" w:line="240" w:lineRule="auto"/>
              <w:rPr>
                <w:rFonts w:eastAsia="MS Mincho" w:cs="Times New Roman"/>
                <w:noProof/>
              </w:rPr>
            </w:pPr>
            <w:r w:rsidRPr="00BC4EE7">
              <w:rPr>
                <w:rFonts w:cs="Times New Roman"/>
                <w:noProof/>
              </w:rPr>
              <w:t>(Alapforgatókönyv: 2022. december 31.)</w:t>
            </w:r>
          </w:p>
        </w:tc>
      </w:tr>
      <w:tr w:rsidR="00D65CB4" w:rsidRPr="00BC4EE7" w14:paraId="2B46CC03" w14:textId="77777777" w:rsidTr="00BA5F87">
        <w:trPr>
          <w:trHeight w:val="309"/>
        </w:trPr>
        <w:tc>
          <w:tcPr>
            <w:tcW w:w="696" w:type="dxa"/>
            <w:shd w:val="clear" w:color="auto" w:fill="C6EFCE"/>
            <w:noWrap/>
          </w:tcPr>
          <w:p w14:paraId="0C4BD8EC" w14:textId="6A94380F"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8</w:t>
            </w:r>
          </w:p>
        </w:tc>
        <w:tc>
          <w:tcPr>
            <w:tcW w:w="1006" w:type="dxa"/>
            <w:shd w:val="clear" w:color="auto" w:fill="C6EFCE"/>
            <w:noWrap/>
          </w:tcPr>
          <w:p w14:paraId="54CD94C0"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C1.I1</w:t>
            </w:r>
          </w:p>
        </w:tc>
        <w:tc>
          <w:tcPr>
            <w:tcW w:w="992" w:type="dxa"/>
            <w:shd w:val="clear" w:color="auto" w:fill="C6EFCE"/>
            <w:noWrap/>
          </w:tcPr>
          <w:p w14:paraId="6DD05A5F"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T</w:t>
            </w:r>
          </w:p>
        </w:tc>
        <w:tc>
          <w:tcPr>
            <w:tcW w:w="2410" w:type="dxa"/>
            <w:shd w:val="clear" w:color="auto" w:fill="C6EFCE"/>
            <w:noWrap/>
          </w:tcPr>
          <w:p w14:paraId="6D27D96F" w14:textId="47D88A46" w:rsidR="00D65CB4" w:rsidRPr="00BC4EE7" w:rsidRDefault="00572307">
            <w:pPr>
              <w:pStyle w:val="P68B1DB1-Normal12"/>
              <w:spacing w:after="0" w:line="240" w:lineRule="auto"/>
              <w:rPr>
                <w:rFonts w:eastAsia="MS Mincho" w:cs="Times New Roman"/>
                <w:noProof/>
              </w:rPr>
            </w:pPr>
            <w:r w:rsidRPr="00BC4EE7">
              <w:rPr>
                <w:rFonts w:cs="Times New Roman"/>
                <w:noProof/>
              </w:rPr>
              <w:t xml:space="preserve">A városi területeken az állami közutak javítására odaítélt szerződések vagy egyéb jogi eszközök </w:t>
            </w:r>
          </w:p>
        </w:tc>
        <w:tc>
          <w:tcPr>
            <w:tcW w:w="1285" w:type="dxa"/>
            <w:shd w:val="clear" w:color="auto" w:fill="C6EFCE"/>
            <w:noWrap/>
          </w:tcPr>
          <w:p w14:paraId="2CCD58F5"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 xml:space="preserve"> </w:t>
            </w:r>
          </w:p>
        </w:tc>
        <w:tc>
          <w:tcPr>
            <w:tcW w:w="834" w:type="dxa"/>
            <w:shd w:val="clear" w:color="auto" w:fill="C6EFCE"/>
            <w:noWrap/>
          </w:tcPr>
          <w:p w14:paraId="5CDA7C8E" w14:textId="1B68720A"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Szerződés vagy egyéb jogi eszköz</w:t>
            </w:r>
          </w:p>
        </w:tc>
        <w:tc>
          <w:tcPr>
            <w:tcW w:w="972" w:type="dxa"/>
            <w:shd w:val="clear" w:color="auto" w:fill="C6EFCE"/>
            <w:noWrap/>
          </w:tcPr>
          <w:p w14:paraId="44E92D5A"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0</w:t>
            </w:r>
          </w:p>
        </w:tc>
        <w:tc>
          <w:tcPr>
            <w:tcW w:w="728" w:type="dxa"/>
            <w:shd w:val="clear" w:color="auto" w:fill="C6EFCE"/>
            <w:noWrap/>
          </w:tcPr>
          <w:p w14:paraId="407DA066" w14:textId="5B6916BA"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35</w:t>
            </w:r>
          </w:p>
        </w:tc>
        <w:tc>
          <w:tcPr>
            <w:tcW w:w="417" w:type="dxa"/>
            <w:shd w:val="clear" w:color="auto" w:fill="C6EFCE"/>
            <w:noWrap/>
          </w:tcPr>
          <w:p w14:paraId="2E7F4691"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Q4</w:t>
            </w:r>
          </w:p>
        </w:tc>
        <w:tc>
          <w:tcPr>
            <w:tcW w:w="556" w:type="dxa"/>
            <w:shd w:val="clear" w:color="auto" w:fill="C6EFCE"/>
            <w:noWrap/>
          </w:tcPr>
          <w:p w14:paraId="63C2F686"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2024</w:t>
            </w:r>
          </w:p>
        </w:tc>
        <w:tc>
          <w:tcPr>
            <w:tcW w:w="5272" w:type="dxa"/>
            <w:shd w:val="clear" w:color="auto" w:fill="C6EFCE"/>
            <w:noWrap/>
          </w:tcPr>
          <w:p w14:paraId="49786851" w14:textId="7D84FE19" w:rsidR="00D65CB4" w:rsidRPr="00BC4EE7" w:rsidRDefault="00572307">
            <w:pPr>
              <w:pStyle w:val="P68B1DB1-Normal12"/>
              <w:spacing w:after="0" w:line="240" w:lineRule="auto"/>
              <w:rPr>
                <w:rFonts w:eastAsia="MS Mincho" w:cs="Times New Roman"/>
                <w:noProof/>
              </w:rPr>
            </w:pPr>
            <w:r w:rsidRPr="00BC4EE7">
              <w:rPr>
                <w:rFonts w:cs="Times New Roman"/>
                <w:noProof/>
              </w:rPr>
              <w:t xml:space="preserve">Legalább 35 szerződést vagy más jogi eszközt ítéltek oda városi területeken az állami közutak fejlesztésére. A projektek új kerékpárutak építéséből, a gyalogosterületek bővítéséből, a parkolóhelyek csökkentéséből vagy az átkelések biztonságának javításából állnak. </w:t>
            </w:r>
          </w:p>
        </w:tc>
      </w:tr>
      <w:tr w:rsidR="00D65CB4" w:rsidRPr="00BC4EE7" w14:paraId="6E445ACD" w14:textId="77777777" w:rsidTr="00BA5F87">
        <w:trPr>
          <w:trHeight w:val="309"/>
        </w:trPr>
        <w:tc>
          <w:tcPr>
            <w:tcW w:w="696" w:type="dxa"/>
            <w:shd w:val="clear" w:color="auto" w:fill="C6EFCE"/>
            <w:noWrap/>
          </w:tcPr>
          <w:p w14:paraId="560D47BC"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9</w:t>
            </w:r>
          </w:p>
        </w:tc>
        <w:tc>
          <w:tcPr>
            <w:tcW w:w="1006" w:type="dxa"/>
            <w:shd w:val="clear" w:color="auto" w:fill="C6EFCE"/>
            <w:noWrap/>
          </w:tcPr>
          <w:p w14:paraId="5685DD6C"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C1.I1</w:t>
            </w:r>
          </w:p>
        </w:tc>
        <w:tc>
          <w:tcPr>
            <w:tcW w:w="992" w:type="dxa"/>
            <w:shd w:val="clear" w:color="auto" w:fill="C6EFCE"/>
            <w:noWrap/>
          </w:tcPr>
          <w:p w14:paraId="688C682D"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T</w:t>
            </w:r>
          </w:p>
        </w:tc>
        <w:tc>
          <w:tcPr>
            <w:tcW w:w="2410" w:type="dxa"/>
            <w:shd w:val="clear" w:color="auto" w:fill="C6EFCE"/>
            <w:noWrap/>
          </w:tcPr>
          <w:p w14:paraId="6D856E6C" w14:textId="77777777" w:rsidR="00D65CB4" w:rsidRPr="00BC4EE7" w:rsidRDefault="00572307">
            <w:pPr>
              <w:pStyle w:val="P68B1DB1-Normal12"/>
              <w:spacing w:after="0" w:line="240" w:lineRule="auto"/>
              <w:rPr>
                <w:rFonts w:eastAsia="MS Mincho" w:cs="Times New Roman"/>
                <w:noProof/>
              </w:rPr>
            </w:pPr>
            <w:r w:rsidRPr="00BC4EE7">
              <w:rPr>
                <w:rFonts w:cs="Times New Roman"/>
                <w:noProof/>
              </w:rPr>
              <w:t>A fenntartható mobilitás előmozdítását célzó, befejezett projektek, többek között városi és nagyvárosi területeken</w:t>
            </w:r>
          </w:p>
        </w:tc>
        <w:tc>
          <w:tcPr>
            <w:tcW w:w="1285" w:type="dxa"/>
            <w:shd w:val="clear" w:color="auto" w:fill="C6EFCE"/>
            <w:noWrap/>
          </w:tcPr>
          <w:p w14:paraId="32EA0A8A"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 xml:space="preserve"> </w:t>
            </w:r>
          </w:p>
        </w:tc>
        <w:tc>
          <w:tcPr>
            <w:tcW w:w="834" w:type="dxa"/>
            <w:shd w:val="clear" w:color="auto" w:fill="C6EFCE"/>
            <w:noWrap/>
          </w:tcPr>
          <w:p w14:paraId="57A319C9"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Szám</w:t>
            </w:r>
          </w:p>
        </w:tc>
        <w:tc>
          <w:tcPr>
            <w:tcW w:w="972" w:type="dxa"/>
            <w:shd w:val="clear" w:color="auto" w:fill="C6EFCE"/>
            <w:noWrap/>
          </w:tcPr>
          <w:p w14:paraId="27212311"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25</w:t>
            </w:r>
          </w:p>
        </w:tc>
        <w:tc>
          <w:tcPr>
            <w:tcW w:w="728" w:type="dxa"/>
            <w:shd w:val="clear" w:color="auto" w:fill="C6EFCE"/>
            <w:noWrap/>
          </w:tcPr>
          <w:p w14:paraId="3D4AFDFF"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280</w:t>
            </w:r>
          </w:p>
        </w:tc>
        <w:tc>
          <w:tcPr>
            <w:tcW w:w="417" w:type="dxa"/>
            <w:shd w:val="clear" w:color="auto" w:fill="C6EFCE"/>
            <w:noWrap/>
          </w:tcPr>
          <w:p w14:paraId="00FEE9AC"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Q4</w:t>
            </w:r>
          </w:p>
        </w:tc>
        <w:tc>
          <w:tcPr>
            <w:tcW w:w="556" w:type="dxa"/>
            <w:shd w:val="clear" w:color="auto" w:fill="C6EFCE"/>
            <w:noWrap/>
          </w:tcPr>
          <w:p w14:paraId="4E570A48"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2025</w:t>
            </w:r>
          </w:p>
        </w:tc>
        <w:tc>
          <w:tcPr>
            <w:tcW w:w="5272" w:type="dxa"/>
            <w:shd w:val="clear" w:color="auto" w:fill="C6EFCE"/>
            <w:noWrap/>
          </w:tcPr>
          <w:p w14:paraId="7C3238BB" w14:textId="77777777" w:rsidR="00D65CB4" w:rsidRPr="00BC4EE7" w:rsidRDefault="00572307">
            <w:pPr>
              <w:spacing w:after="0" w:line="240" w:lineRule="auto"/>
              <w:rPr>
                <w:rFonts w:ascii="Times New Roman" w:hAnsi="Times New Roman" w:cs="Times New Roman"/>
                <w:noProof/>
                <w:sz w:val="18"/>
              </w:rPr>
            </w:pPr>
            <w:r w:rsidRPr="00BC4EE7">
              <w:rPr>
                <w:rFonts w:ascii="Times New Roman" w:hAnsi="Times New Roman" w:cs="Times New Roman"/>
                <w:noProof/>
                <w:sz w:val="18"/>
              </w:rPr>
              <w:t>Legalább 280 projekt valósult meg a fenntartható mobilitás előmozdítására, többek között a városi és nagyvárosi területeken, amelyek célja, hogy hozzájáruljanak a fenntartható mobilitáshoz a több mint 50000 lakosú 150 városi területen, és bizonyos feltételek mellett a 20000 és 50000 lakos közötti városi területeken.</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 fenntartható mobilitást előmozdító projektek a következők:</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I. Az önkormányzatok által kidolgozott projektek, amelyek hozzájárulnak a fenntartható mobilitás előmozdításához a tartomány több mint 50000 lakosával és fővárosával rendelkező településeken, és bizonyos feltételek mellett 20000 és 50000 lakos közötti települések számára is odaítélhetők. A projekteknek az alábbi esetekben kell támogatást nyújtaniuk: a) tömegközlekedési flották átalakítása a tiszta járművekről szóló irányelv célkitűzéseinek elérése érdekében és a jelentős károkozás elkerülését célzó műszaki iránymutatásnak (2021/C58/01) megfelelően; az alacsony kibocsátású övezetek (LEZ-ek) megvalósítása és kezelése; a tömegközlekedés digitalizálása, adminisztratív irányítása és hozzáférhetőségének javítása; d) a közösségi közlekedést és az aktív mobilitást ösztönző és előnyben részesítő intézkedések. A projekt meghatározott, egymással összefüggő és összehangolt tevékenységek összessége, amelyeket közös céllal, bizonyos határidőn belül és költségvetési korlátok között hajtanak végre, és amelyekhez támogatást igényelnek. Egy település egynél több projektet is kidolgozhat.</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II. Az autonóm közösségek által kidolgozott, a fenntartható mobilitást előmozdító projektek a városi és nagyvárosi területeken. Ez a C1.I1. beruházásban meghatározott a)–i) tipológiákra vonatkozik. A városi és nagyvárosi területek az 50000 főnél több lakosú települések, a tartomány fővárosai és bizonyos feltételek mellett több mint 20000 fővel rendelkező települések. Minden autonóm közösség egynél több projektet is kidolgozhat. </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III. Magánvállalkozásoknak támogatást nyújtó projektek a) a régi nehézgépjárművek leselejtezéséhez, b) nehéz- és teherflottáik tisztább járművekkel történő megújításához, c) pótkocsijuk vagy félpótkocsiik intermodális szállítás céljából történő megvásárlásához vagy átalakításához, vagy d) alternatív üzemanyagokkal (elektromos, LNG-, CNG- és biometán) működő töltőállomások telepítéséhez. Legalább 3000 nehézgépjárművet, illetve töltőállomást vagy töltőállomást kell támogatni annak érdekében, hogy úgy lehessen tekinteni, hogy egy, a fenntartható mobilitást előmozdító projekt megvalósult. A támogatásokat a jelentős károkozás elkerülését célzó technikai iránymutatással (2021/C58/01) összhangban kell nyújtani.</w:t>
            </w:r>
          </w:p>
          <w:p w14:paraId="2DB75BAA" w14:textId="77777777" w:rsidR="00D65CB4" w:rsidRPr="00BC4EE7" w:rsidRDefault="00572307">
            <w:pPr>
              <w:pStyle w:val="P68B1DB1-Normal12"/>
              <w:spacing w:after="0" w:line="240" w:lineRule="auto"/>
              <w:rPr>
                <w:rFonts w:eastAsia="MS Mincho" w:cs="Times New Roman"/>
                <w:noProof/>
              </w:rPr>
            </w:pPr>
            <w:r w:rsidRPr="00BC4EE7">
              <w:rPr>
                <w:rFonts w:cs="Times New Roman"/>
                <w:noProof/>
              </w:rPr>
              <w:t>(Alapforgatókönyv: 2023. december 31.)</w:t>
            </w:r>
          </w:p>
        </w:tc>
      </w:tr>
      <w:tr w:rsidR="00D65CB4" w:rsidRPr="00BC4EE7" w14:paraId="3BE7E18D" w14:textId="77777777" w:rsidTr="00BA5F87">
        <w:trPr>
          <w:trHeight w:val="309"/>
        </w:trPr>
        <w:tc>
          <w:tcPr>
            <w:tcW w:w="696" w:type="dxa"/>
            <w:shd w:val="clear" w:color="auto" w:fill="C6EFCE"/>
            <w:noWrap/>
          </w:tcPr>
          <w:p w14:paraId="4F5C66B4"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10</w:t>
            </w:r>
          </w:p>
        </w:tc>
        <w:tc>
          <w:tcPr>
            <w:tcW w:w="1006" w:type="dxa"/>
            <w:shd w:val="clear" w:color="auto" w:fill="C6EFCE"/>
            <w:noWrap/>
          </w:tcPr>
          <w:p w14:paraId="26DCE787"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C1.I1</w:t>
            </w:r>
          </w:p>
        </w:tc>
        <w:tc>
          <w:tcPr>
            <w:tcW w:w="992" w:type="dxa"/>
            <w:shd w:val="clear" w:color="auto" w:fill="C6EFCE"/>
            <w:noWrap/>
          </w:tcPr>
          <w:p w14:paraId="03AADB3F"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2410" w:type="dxa"/>
            <w:shd w:val="clear" w:color="auto" w:fill="C6EFCE"/>
            <w:noWrap/>
          </w:tcPr>
          <w:p w14:paraId="4CA9B203" w14:textId="77777777" w:rsidR="00D65CB4" w:rsidRPr="00BC4EE7" w:rsidRDefault="00572307">
            <w:pPr>
              <w:pStyle w:val="P68B1DB1-Normal12"/>
              <w:spacing w:after="0" w:line="240" w:lineRule="auto"/>
              <w:rPr>
                <w:rFonts w:cs="Times New Roman"/>
                <w:noProof/>
              </w:rPr>
            </w:pPr>
            <w:r w:rsidRPr="00BC4EE7">
              <w:rPr>
                <w:rFonts w:cs="Times New Roman"/>
                <w:noProof/>
              </w:rPr>
              <w:t>A városi területeken az állami utak fejlesztése a mobilitás új formáinak előmozdítása érdekében</w:t>
            </w:r>
          </w:p>
        </w:tc>
        <w:tc>
          <w:tcPr>
            <w:tcW w:w="1285" w:type="dxa"/>
            <w:shd w:val="clear" w:color="auto" w:fill="C6EFCE"/>
            <w:noWrap/>
          </w:tcPr>
          <w:p w14:paraId="251F0AC9"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 xml:space="preserve"> </w:t>
            </w:r>
          </w:p>
        </w:tc>
        <w:tc>
          <w:tcPr>
            <w:tcW w:w="834" w:type="dxa"/>
            <w:shd w:val="clear" w:color="auto" w:fill="C6EFCE"/>
            <w:noWrap/>
          </w:tcPr>
          <w:p w14:paraId="32ED97DD"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Szám </w:t>
            </w:r>
          </w:p>
        </w:tc>
        <w:tc>
          <w:tcPr>
            <w:tcW w:w="972" w:type="dxa"/>
            <w:shd w:val="clear" w:color="auto" w:fill="C6EFCE"/>
            <w:noWrap/>
          </w:tcPr>
          <w:p w14:paraId="5FE7C0C4"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0</w:t>
            </w:r>
          </w:p>
        </w:tc>
        <w:tc>
          <w:tcPr>
            <w:tcW w:w="728" w:type="dxa"/>
            <w:shd w:val="clear" w:color="auto" w:fill="C6EFCE"/>
            <w:noWrap/>
          </w:tcPr>
          <w:p w14:paraId="58DB03FB"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34</w:t>
            </w:r>
          </w:p>
        </w:tc>
        <w:tc>
          <w:tcPr>
            <w:tcW w:w="417" w:type="dxa"/>
            <w:shd w:val="clear" w:color="auto" w:fill="C6EFCE"/>
            <w:noWrap/>
          </w:tcPr>
          <w:p w14:paraId="653499C9"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556" w:type="dxa"/>
            <w:shd w:val="clear" w:color="auto" w:fill="C6EFCE"/>
            <w:noWrap/>
          </w:tcPr>
          <w:p w14:paraId="2DFC998C"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2025</w:t>
            </w:r>
          </w:p>
        </w:tc>
        <w:tc>
          <w:tcPr>
            <w:tcW w:w="5272" w:type="dxa"/>
            <w:shd w:val="clear" w:color="auto" w:fill="C6EFCE"/>
            <w:noWrap/>
          </w:tcPr>
          <w:p w14:paraId="4E9B6E6B" w14:textId="77777777" w:rsidR="00D65CB4" w:rsidRPr="00BC4EE7" w:rsidRDefault="00572307">
            <w:pPr>
              <w:spacing w:after="0" w:line="240" w:lineRule="auto"/>
              <w:rPr>
                <w:rFonts w:ascii="Times New Roman" w:hAnsi="Times New Roman" w:cs="Times New Roman"/>
                <w:noProof/>
                <w:sz w:val="18"/>
              </w:rPr>
            </w:pPr>
            <w:r w:rsidRPr="00BC4EE7">
              <w:rPr>
                <w:rFonts w:ascii="Times New Roman" w:hAnsi="Times New Roman" w:cs="Times New Roman"/>
                <w:noProof/>
                <w:sz w:val="18"/>
              </w:rPr>
              <w:t>A városi területeken legalább 34 állami út javult új kerékpársávok építésével, a gyalogosterületek bővítésével, a parkolóhelyek csökkentésével vagy az átjárók biztonságának javításával.</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Ezt a beruházást a Közlekedési, Mobilitásügyi és Városfejlesztési Minisztérium hajtja végre a városi területeken található utakon.</w:t>
            </w:r>
          </w:p>
        </w:tc>
      </w:tr>
      <w:tr w:rsidR="00D65CB4" w:rsidRPr="00BC4EE7" w14:paraId="1865056C" w14:textId="77777777" w:rsidTr="00BA5F87">
        <w:trPr>
          <w:trHeight w:val="309"/>
        </w:trPr>
        <w:tc>
          <w:tcPr>
            <w:tcW w:w="696" w:type="dxa"/>
            <w:shd w:val="clear" w:color="auto" w:fill="C6EFCE"/>
            <w:noWrap/>
          </w:tcPr>
          <w:p w14:paraId="49C4C087"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11</w:t>
            </w:r>
          </w:p>
        </w:tc>
        <w:tc>
          <w:tcPr>
            <w:tcW w:w="1006" w:type="dxa"/>
            <w:shd w:val="clear" w:color="auto" w:fill="C6EFCE"/>
            <w:noWrap/>
          </w:tcPr>
          <w:p w14:paraId="1C1AE0DF"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C1.I2.</w:t>
            </w:r>
          </w:p>
        </w:tc>
        <w:tc>
          <w:tcPr>
            <w:tcW w:w="992" w:type="dxa"/>
            <w:shd w:val="clear" w:color="auto" w:fill="C6EFCE"/>
            <w:noWrap/>
          </w:tcPr>
          <w:p w14:paraId="4E319F15"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2410" w:type="dxa"/>
            <w:shd w:val="clear" w:color="auto" w:fill="C6EFCE"/>
            <w:noWrap/>
          </w:tcPr>
          <w:p w14:paraId="60B0BAD3" w14:textId="77777777" w:rsidR="00D65CB4" w:rsidRPr="00BC4EE7" w:rsidRDefault="00572307">
            <w:pPr>
              <w:pStyle w:val="P68B1DB1-Normal12"/>
              <w:spacing w:after="0" w:line="240" w:lineRule="auto"/>
              <w:rPr>
                <w:rFonts w:cs="Times New Roman"/>
                <w:noProof/>
              </w:rPr>
            </w:pPr>
            <w:r w:rsidRPr="00BC4EE7">
              <w:rPr>
                <w:rFonts w:cs="Times New Roman"/>
                <w:noProof/>
              </w:rPr>
              <w:t xml:space="preserve">Az elektromos közlekedést előmozdító innovatív projektek odaítélése </w:t>
            </w:r>
          </w:p>
        </w:tc>
        <w:tc>
          <w:tcPr>
            <w:tcW w:w="1285" w:type="dxa"/>
            <w:shd w:val="clear" w:color="auto" w:fill="C6EFCE"/>
            <w:noWrap/>
          </w:tcPr>
          <w:p w14:paraId="76FC1474"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 xml:space="preserve"> </w:t>
            </w:r>
          </w:p>
        </w:tc>
        <w:tc>
          <w:tcPr>
            <w:tcW w:w="834" w:type="dxa"/>
            <w:shd w:val="clear" w:color="auto" w:fill="C6EFCE"/>
            <w:noWrap/>
          </w:tcPr>
          <w:p w14:paraId="3FA9A43F"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Millió EUR</w:t>
            </w:r>
          </w:p>
        </w:tc>
        <w:tc>
          <w:tcPr>
            <w:tcW w:w="972" w:type="dxa"/>
            <w:shd w:val="clear" w:color="auto" w:fill="C6EFCE"/>
            <w:noWrap/>
          </w:tcPr>
          <w:p w14:paraId="6A0ED356"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0</w:t>
            </w:r>
          </w:p>
        </w:tc>
        <w:tc>
          <w:tcPr>
            <w:tcW w:w="728" w:type="dxa"/>
            <w:shd w:val="clear" w:color="auto" w:fill="C6EFCE"/>
            <w:noWrap/>
          </w:tcPr>
          <w:p w14:paraId="55CE6AE6"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250</w:t>
            </w:r>
          </w:p>
        </w:tc>
        <w:tc>
          <w:tcPr>
            <w:tcW w:w="417" w:type="dxa"/>
            <w:shd w:val="clear" w:color="auto" w:fill="C6EFCE"/>
            <w:noWrap/>
          </w:tcPr>
          <w:p w14:paraId="6AE7DF88"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556" w:type="dxa"/>
            <w:shd w:val="clear" w:color="auto" w:fill="C6EFCE"/>
            <w:noWrap/>
          </w:tcPr>
          <w:p w14:paraId="5C774669"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2023</w:t>
            </w:r>
          </w:p>
        </w:tc>
        <w:tc>
          <w:tcPr>
            <w:tcW w:w="5272" w:type="dxa"/>
            <w:shd w:val="clear" w:color="auto" w:fill="C6EFCE"/>
            <w:noWrap/>
          </w:tcPr>
          <w:p w14:paraId="66D51A76" w14:textId="6E009872" w:rsidR="00D65CB4" w:rsidRPr="00BC4EE7" w:rsidRDefault="00572307">
            <w:pPr>
              <w:pStyle w:val="P68B1DB1-Normal12"/>
              <w:spacing w:after="0" w:line="240" w:lineRule="auto"/>
              <w:rPr>
                <w:rFonts w:cs="Times New Roman"/>
                <w:noProof/>
              </w:rPr>
            </w:pPr>
            <w:r w:rsidRPr="00BC4EE7">
              <w:rPr>
                <w:rFonts w:cs="Times New Roman"/>
                <w:noProof/>
              </w:rPr>
              <w:t>Legalább 250 millió EUR összegű díj közzététele az elektromos közlekedést előmozdító innovatív projekteket támogató pályázati felhívásokban. A pályázati felhívásokban a támogatási programok elosztására alkalmazott kiválasztási szempontok a következőket foglalják magukban: i. a környezeti hatás csökkentése, ii. műszaki-gazdasági életképesség, iii. a technológiai fejlődés és innováció szintje, iv. megismételhetőség és méretezhetőség, v. a projekthez kapcsolódó munkahelyteremtés, közvetlen és közvetett hatás és vi. az értékláncra gyakorolt hatás és a más ágazatokkal, főként az iparral való szinergia.</w:t>
            </w:r>
          </w:p>
        </w:tc>
      </w:tr>
      <w:tr w:rsidR="00D65CB4" w:rsidRPr="00BC4EE7" w14:paraId="3D285064" w14:textId="77777777" w:rsidTr="00BA5F87">
        <w:trPr>
          <w:trHeight w:val="309"/>
        </w:trPr>
        <w:tc>
          <w:tcPr>
            <w:tcW w:w="696" w:type="dxa"/>
            <w:shd w:val="clear" w:color="auto" w:fill="C6EFCE"/>
            <w:noWrap/>
          </w:tcPr>
          <w:p w14:paraId="768DD0EE"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12</w:t>
            </w:r>
          </w:p>
        </w:tc>
        <w:tc>
          <w:tcPr>
            <w:tcW w:w="1006" w:type="dxa"/>
            <w:shd w:val="clear" w:color="auto" w:fill="C6EFCE"/>
            <w:noWrap/>
          </w:tcPr>
          <w:p w14:paraId="39952C5A"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C1.I2.</w:t>
            </w:r>
          </w:p>
        </w:tc>
        <w:tc>
          <w:tcPr>
            <w:tcW w:w="992" w:type="dxa"/>
            <w:shd w:val="clear" w:color="auto" w:fill="C6EFCE"/>
            <w:noWrap/>
          </w:tcPr>
          <w:p w14:paraId="2AD35622"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2410" w:type="dxa"/>
            <w:shd w:val="clear" w:color="auto" w:fill="C6EFCE"/>
            <w:noWrap/>
          </w:tcPr>
          <w:p w14:paraId="089C1D3D" w14:textId="45979E08" w:rsidR="00D65CB4" w:rsidRPr="00BC4EE7" w:rsidRDefault="00572307">
            <w:pPr>
              <w:pStyle w:val="P68B1DB1-Normal12"/>
              <w:spacing w:after="0" w:line="240" w:lineRule="auto"/>
              <w:rPr>
                <w:rFonts w:cs="Times New Roman"/>
                <w:noProof/>
              </w:rPr>
            </w:pPr>
            <w:r w:rsidRPr="00BC4EE7">
              <w:rPr>
                <w:rFonts w:cs="Times New Roman"/>
                <w:noProof/>
              </w:rPr>
              <w:t xml:space="preserve">Az elektromos járművekre és az elektromos töltőpontokra vonatkozó támogatási kérelmek nyilvántartásba vétele </w:t>
            </w:r>
          </w:p>
        </w:tc>
        <w:tc>
          <w:tcPr>
            <w:tcW w:w="1285" w:type="dxa"/>
            <w:shd w:val="clear" w:color="auto" w:fill="C6EFCE"/>
            <w:noWrap/>
          </w:tcPr>
          <w:p w14:paraId="681A5A31"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 xml:space="preserve"> </w:t>
            </w:r>
          </w:p>
        </w:tc>
        <w:tc>
          <w:tcPr>
            <w:tcW w:w="834" w:type="dxa"/>
            <w:shd w:val="clear" w:color="auto" w:fill="C6EFCE"/>
            <w:noWrap/>
          </w:tcPr>
          <w:p w14:paraId="5602EA02"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Szám</w:t>
            </w:r>
          </w:p>
        </w:tc>
        <w:tc>
          <w:tcPr>
            <w:tcW w:w="972" w:type="dxa"/>
            <w:shd w:val="clear" w:color="auto" w:fill="C6EFCE"/>
            <w:noWrap/>
          </w:tcPr>
          <w:p w14:paraId="48D83142"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0</w:t>
            </w:r>
          </w:p>
        </w:tc>
        <w:tc>
          <w:tcPr>
            <w:tcW w:w="728" w:type="dxa"/>
            <w:shd w:val="clear" w:color="auto" w:fill="C6EFCE"/>
            <w:noWrap/>
          </w:tcPr>
          <w:p w14:paraId="28E68559"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238 000</w:t>
            </w:r>
          </w:p>
        </w:tc>
        <w:tc>
          <w:tcPr>
            <w:tcW w:w="417" w:type="dxa"/>
            <w:shd w:val="clear" w:color="auto" w:fill="C6EFCE"/>
            <w:noWrap/>
          </w:tcPr>
          <w:p w14:paraId="2E966F0A"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556" w:type="dxa"/>
            <w:shd w:val="clear" w:color="auto" w:fill="C6EFCE"/>
            <w:noWrap/>
          </w:tcPr>
          <w:p w14:paraId="5C2EA5F4"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2023</w:t>
            </w:r>
          </w:p>
        </w:tc>
        <w:tc>
          <w:tcPr>
            <w:tcW w:w="5272" w:type="dxa"/>
            <w:shd w:val="clear" w:color="auto" w:fill="C6EFCE"/>
            <w:noWrap/>
          </w:tcPr>
          <w:p w14:paraId="04A15AE2" w14:textId="3290915B" w:rsidR="00D65CB4" w:rsidRPr="00BC4EE7" w:rsidRDefault="00572307">
            <w:pPr>
              <w:pStyle w:val="P68B1DB1-Normal12"/>
              <w:spacing w:after="0" w:line="240" w:lineRule="auto"/>
              <w:rPr>
                <w:rFonts w:eastAsia="Times New Roman" w:cs="Times New Roman"/>
                <w:noProof/>
              </w:rPr>
            </w:pPr>
            <w:r w:rsidRPr="00BC4EE7">
              <w:rPr>
                <w:rFonts w:cs="Times New Roman"/>
                <w:noProof/>
              </w:rPr>
              <w:t>Legalább 238000 elektromos járműre (BEV, REEV, PHEV vagy FCEV) és elektromos töltőpontra vonatkozó támogatási kérelmek nyilvántartásba vétele, beleértve többek között a lakóövezetekben és a nemzeti közúthálózaton használt nyilvános elektromos töltőpontokat is, függetlenül attól, hogy azok elektromos járművekből és/vagy elektromos töltőállomásokból állnak.</w:t>
            </w:r>
          </w:p>
        </w:tc>
      </w:tr>
      <w:tr w:rsidR="00D65CB4" w:rsidRPr="00BC4EE7" w14:paraId="1FAA9ED6" w14:textId="77777777" w:rsidTr="00BA5F87">
        <w:trPr>
          <w:trHeight w:val="300"/>
        </w:trPr>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1EDF6B60" w14:textId="3343F026" w:rsidR="00D65CB4" w:rsidRPr="00BC4EE7" w:rsidRDefault="00572307">
            <w:pPr>
              <w:pStyle w:val="P68B1DB1-Normal12"/>
              <w:spacing w:after="0" w:line="240" w:lineRule="auto"/>
              <w:jc w:val="center"/>
              <w:rPr>
                <w:rFonts w:cs="Times New Roman"/>
                <w:noProof/>
              </w:rPr>
            </w:pPr>
            <w:r w:rsidRPr="00BC4EE7">
              <w:rPr>
                <w:rFonts w:cs="Times New Roman"/>
                <w:noProof/>
              </w:rPr>
              <w:t>419</w:t>
            </w:r>
          </w:p>
        </w:tc>
        <w:tc>
          <w:tcPr>
            <w:tcW w:w="1006" w:type="dxa"/>
            <w:tcBorders>
              <w:top w:val="single" w:sz="4" w:space="0" w:color="auto"/>
              <w:left w:val="single" w:sz="4" w:space="0" w:color="auto"/>
              <w:bottom w:val="single" w:sz="4" w:space="0" w:color="auto"/>
              <w:right w:val="single" w:sz="4" w:space="0" w:color="auto"/>
            </w:tcBorders>
            <w:shd w:val="clear" w:color="auto" w:fill="C6EFCE"/>
            <w:noWrap/>
          </w:tcPr>
          <w:p w14:paraId="7C270981" w14:textId="0A184257" w:rsidR="00D65CB4" w:rsidRPr="00BC4EE7" w:rsidRDefault="00572307">
            <w:pPr>
              <w:pStyle w:val="P68B1DB1-Normal12"/>
              <w:spacing w:after="0" w:line="240" w:lineRule="auto"/>
              <w:jc w:val="center"/>
              <w:rPr>
                <w:rFonts w:cs="Times New Roman"/>
                <w:noProof/>
              </w:rPr>
            </w:pPr>
            <w:r w:rsidRPr="00BC4EE7">
              <w:rPr>
                <w:rFonts w:cs="Times New Roman"/>
                <w:noProof/>
              </w:rPr>
              <w:t>C1.I2.</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00A48C95" w14:textId="67603249"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2410" w:type="dxa"/>
            <w:tcBorders>
              <w:top w:val="single" w:sz="4" w:space="0" w:color="auto"/>
              <w:left w:val="single" w:sz="4" w:space="0" w:color="auto"/>
              <w:bottom w:val="single" w:sz="4" w:space="0" w:color="auto"/>
              <w:right w:val="single" w:sz="4" w:space="0" w:color="auto"/>
            </w:tcBorders>
            <w:shd w:val="clear" w:color="auto" w:fill="C6EFCE"/>
            <w:noWrap/>
          </w:tcPr>
          <w:p w14:paraId="43B1E734" w14:textId="0759EA40" w:rsidR="00D65CB4" w:rsidRPr="00BC4EE7" w:rsidRDefault="00572307">
            <w:pPr>
              <w:pStyle w:val="P68B1DB1-Normal12"/>
              <w:spacing w:after="0" w:line="240" w:lineRule="auto"/>
              <w:rPr>
                <w:rFonts w:cs="Times New Roman"/>
                <w:noProof/>
              </w:rPr>
            </w:pPr>
            <w:r w:rsidRPr="00BC4EE7">
              <w:rPr>
                <w:rFonts w:cs="Times New Roman"/>
                <w:noProof/>
              </w:rPr>
              <w:t>Elektromos járművek és elektromos töltőállomások kiépítése</w:t>
            </w:r>
          </w:p>
        </w:tc>
        <w:tc>
          <w:tcPr>
            <w:tcW w:w="1285" w:type="dxa"/>
            <w:tcBorders>
              <w:top w:val="single" w:sz="4" w:space="0" w:color="auto"/>
              <w:left w:val="single" w:sz="4" w:space="0" w:color="auto"/>
              <w:bottom w:val="single" w:sz="4" w:space="0" w:color="auto"/>
              <w:right w:val="single" w:sz="4" w:space="0" w:color="auto"/>
            </w:tcBorders>
            <w:shd w:val="clear" w:color="auto" w:fill="C6EFCE"/>
            <w:noWrap/>
          </w:tcPr>
          <w:p w14:paraId="1AFF7CC7" w14:textId="77777777" w:rsidR="00D65CB4" w:rsidRPr="00BC4EE7" w:rsidRDefault="00D65CB4">
            <w:pPr>
              <w:spacing w:after="0" w:line="240" w:lineRule="auto"/>
              <w:jc w:val="center"/>
              <w:rPr>
                <w:rFonts w:ascii="Times New Roman" w:hAnsi="Times New Roman" w:cs="Times New Roman"/>
                <w:noProof/>
                <w:sz w:val="18"/>
              </w:rPr>
            </w:pPr>
          </w:p>
        </w:tc>
        <w:tc>
          <w:tcPr>
            <w:tcW w:w="834" w:type="dxa"/>
            <w:tcBorders>
              <w:top w:val="single" w:sz="4" w:space="0" w:color="auto"/>
              <w:left w:val="single" w:sz="4" w:space="0" w:color="auto"/>
              <w:bottom w:val="single" w:sz="4" w:space="0" w:color="auto"/>
              <w:right w:val="single" w:sz="4" w:space="0" w:color="auto"/>
            </w:tcBorders>
            <w:shd w:val="clear" w:color="auto" w:fill="C6EFCE"/>
            <w:noWrap/>
          </w:tcPr>
          <w:p w14:paraId="566296CA" w14:textId="01AE32C3" w:rsidR="00D65CB4" w:rsidRPr="00BC4EE7" w:rsidRDefault="00572307">
            <w:pPr>
              <w:pStyle w:val="P68B1DB1-Normal12"/>
              <w:spacing w:after="0" w:line="240" w:lineRule="auto"/>
              <w:jc w:val="right"/>
              <w:rPr>
                <w:rFonts w:cs="Times New Roman"/>
                <w:noProof/>
              </w:rPr>
            </w:pPr>
            <w:r w:rsidRPr="00BC4EE7">
              <w:rPr>
                <w:rFonts w:cs="Times New Roman"/>
                <w:noProof/>
              </w:rPr>
              <w:t xml:space="preserve">Szám </w:t>
            </w:r>
          </w:p>
        </w:tc>
        <w:tc>
          <w:tcPr>
            <w:tcW w:w="972" w:type="dxa"/>
            <w:tcBorders>
              <w:top w:val="single" w:sz="4" w:space="0" w:color="auto"/>
              <w:left w:val="single" w:sz="4" w:space="0" w:color="auto"/>
              <w:bottom w:val="single" w:sz="4" w:space="0" w:color="auto"/>
              <w:right w:val="single" w:sz="4" w:space="0" w:color="auto"/>
            </w:tcBorders>
            <w:shd w:val="clear" w:color="auto" w:fill="C6EFCE"/>
            <w:noWrap/>
          </w:tcPr>
          <w:p w14:paraId="1F3F9B93" w14:textId="6B0B41F7" w:rsidR="00D65CB4" w:rsidRPr="00BC4EE7" w:rsidRDefault="00572307">
            <w:pPr>
              <w:pStyle w:val="P68B1DB1-Normal12"/>
              <w:spacing w:after="0" w:line="240" w:lineRule="auto"/>
              <w:jc w:val="right"/>
              <w:rPr>
                <w:rFonts w:cs="Times New Roman"/>
                <w:noProof/>
              </w:rPr>
            </w:pPr>
            <w:r w:rsidRPr="00BC4EE7">
              <w:rPr>
                <w:rFonts w:cs="Times New Roman"/>
                <w:noProof/>
              </w:rPr>
              <w:t>0</w:t>
            </w:r>
          </w:p>
        </w:tc>
        <w:tc>
          <w:tcPr>
            <w:tcW w:w="728" w:type="dxa"/>
            <w:tcBorders>
              <w:top w:val="single" w:sz="4" w:space="0" w:color="auto"/>
              <w:left w:val="single" w:sz="4" w:space="0" w:color="auto"/>
              <w:bottom w:val="single" w:sz="4" w:space="0" w:color="auto"/>
              <w:right w:val="single" w:sz="4" w:space="0" w:color="auto"/>
            </w:tcBorders>
            <w:shd w:val="clear" w:color="auto" w:fill="C6EFCE"/>
            <w:noWrap/>
          </w:tcPr>
          <w:p w14:paraId="66402839" w14:textId="363F3FC3" w:rsidR="00D65CB4" w:rsidRPr="00BC4EE7" w:rsidRDefault="00572307">
            <w:pPr>
              <w:pStyle w:val="P68B1DB1-Normal12"/>
              <w:spacing w:after="0" w:line="240" w:lineRule="auto"/>
              <w:jc w:val="right"/>
              <w:rPr>
                <w:rFonts w:cs="Times New Roman"/>
                <w:noProof/>
              </w:rPr>
            </w:pPr>
            <w:r w:rsidRPr="00BC4EE7">
              <w:rPr>
                <w:rFonts w:cs="Times New Roman"/>
                <w:noProof/>
              </w:rPr>
              <w:t>238 000</w:t>
            </w:r>
          </w:p>
        </w:tc>
        <w:tc>
          <w:tcPr>
            <w:tcW w:w="417" w:type="dxa"/>
            <w:tcBorders>
              <w:top w:val="single" w:sz="4" w:space="0" w:color="auto"/>
              <w:left w:val="single" w:sz="4" w:space="0" w:color="auto"/>
              <w:bottom w:val="single" w:sz="4" w:space="0" w:color="auto"/>
              <w:right w:val="single" w:sz="4" w:space="0" w:color="auto"/>
            </w:tcBorders>
            <w:shd w:val="clear" w:color="auto" w:fill="C6EFCE"/>
            <w:noWrap/>
          </w:tcPr>
          <w:p w14:paraId="4653FA08" w14:textId="61D19117"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556" w:type="dxa"/>
            <w:tcBorders>
              <w:top w:val="single" w:sz="4" w:space="0" w:color="auto"/>
              <w:left w:val="single" w:sz="4" w:space="0" w:color="auto"/>
              <w:bottom w:val="single" w:sz="4" w:space="0" w:color="auto"/>
              <w:right w:val="single" w:sz="4" w:space="0" w:color="auto"/>
            </w:tcBorders>
            <w:shd w:val="clear" w:color="auto" w:fill="C6EFCE"/>
            <w:noWrap/>
          </w:tcPr>
          <w:p w14:paraId="1EABF141" w14:textId="7AA392A8" w:rsidR="00D65CB4" w:rsidRPr="00BC4EE7" w:rsidRDefault="00572307">
            <w:pPr>
              <w:pStyle w:val="P68B1DB1-Normal12"/>
              <w:spacing w:after="0" w:line="240" w:lineRule="auto"/>
              <w:jc w:val="center"/>
              <w:rPr>
                <w:rFonts w:cs="Times New Roman"/>
                <w:noProof/>
              </w:rPr>
            </w:pPr>
            <w:r w:rsidRPr="00BC4EE7">
              <w:rPr>
                <w:rFonts w:cs="Times New Roman"/>
                <w:noProof/>
              </w:rPr>
              <w:t>2025</w:t>
            </w:r>
          </w:p>
        </w:tc>
        <w:tc>
          <w:tcPr>
            <w:tcW w:w="5272" w:type="dxa"/>
            <w:tcBorders>
              <w:top w:val="single" w:sz="4" w:space="0" w:color="auto"/>
              <w:left w:val="single" w:sz="4" w:space="0" w:color="auto"/>
              <w:bottom w:val="single" w:sz="4" w:space="0" w:color="auto"/>
              <w:right w:val="single" w:sz="4" w:space="0" w:color="auto"/>
            </w:tcBorders>
            <w:shd w:val="clear" w:color="auto" w:fill="C6EFCE"/>
            <w:noWrap/>
          </w:tcPr>
          <w:p w14:paraId="4553171D" w14:textId="7D07CDC7" w:rsidR="00D65CB4" w:rsidRPr="00BC4EE7" w:rsidRDefault="00572307">
            <w:pPr>
              <w:pStyle w:val="P68B1DB1-Normal12"/>
              <w:spacing w:after="0" w:line="240" w:lineRule="auto"/>
              <w:rPr>
                <w:rFonts w:cs="Times New Roman"/>
                <w:noProof/>
              </w:rPr>
            </w:pPr>
            <w:r w:rsidRPr="00BC4EE7">
              <w:rPr>
                <w:rFonts w:cs="Times New Roman"/>
                <w:noProof/>
              </w:rPr>
              <w:t>Legalább 238000 elektromos jármű (BEV, REEV, PHEV vagy FCEV) és elektromos töltőpont, beleértve többek között a lakóövezetekben és a kiépített nemzeti közúthálózaton található nyilvános elektromos töltőpontokat.</w:t>
            </w:r>
          </w:p>
        </w:tc>
      </w:tr>
      <w:tr w:rsidR="00D65CB4" w:rsidRPr="00BC4EE7" w14:paraId="2670B1F8" w14:textId="77777777" w:rsidTr="00BA5F87">
        <w:trPr>
          <w:trHeight w:val="309"/>
        </w:trPr>
        <w:tc>
          <w:tcPr>
            <w:tcW w:w="696" w:type="dxa"/>
            <w:shd w:val="clear" w:color="auto" w:fill="C6EFCE"/>
            <w:noWrap/>
          </w:tcPr>
          <w:p w14:paraId="4EA0E052"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13</w:t>
            </w:r>
          </w:p>
        </w:tc>
        <w:tc>
          <w:tcPr>
            <w:tcW w:w="1006" w:type="dxa"/>
            <w:shd w:val="clear" w:color="auto" w:fill="C6EFCE"/>
            <w:noWrap/>
          </w:tcPr>
          <w:p w14:paraId="0CCA9B62"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C1.I2.</w:t>
            </w:r>
          </w:p>
        </w:tc>
        <w:tc>
          <w:tcPr>
            <w:tcW w:w="992" w:type="dxa"/>
            <w:shd w:val="clear" w:color="auto" w:fill="C6EFCE"/>
            <w:noWrap/>
          </w:tcPr>
          <w:p w14:paraId="53B7C02A"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2410" w:type="dxa"/>
            <w:shd w:val="clear" w:color="auto" w:fill="C6EFCE"/>
            <w:noWrap/>
          </w:tcPr>
          <w:p w14:paraId="4B53E2A0" w14:textId="0CF9AE93" w:rsidR="00D65CB4" w:rsidRPr="00BC4EE7" w:rsidRDefault="00572307">
            <w:pPr>
              <w:pStyle w:val="P68B1DB1-Normal12"/>
              <w:spacing w:after="0" w:line="240" w:lineRule="auto"/>
              <w:rPr>
                <w:rFonts w:cs="Times New Roman"/>
                <w:noProof/>
              </w:rPr>
            </w:pPr>
            <w:r w:rsidRPr="00BC4EE7">
              <w:rPr>
                <w:rFonts w:cs="Times New Roman"/>
                <w:noProof/>
              </w:rPr>
              <w:t>Az elektromos közlekedést előmozdító innovatív projektek lezárása</w:t>
            </w:r>
          </w:p>
        </w:tc>
        <w:tc>
          <w:tcPr>
            <w:tcW w:w="1285" w:type="dxa"/>
            <w:shd w:val="clear" w:color="auto" w:fill="C6EFCE"/>
            <w:noWrap/>
          </w:tcPr>
          <w:p w14:paraId="6C29E605"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 xml:space="preserve"> </w:t>
            </w:r>
          </w:p>
        </w:tc>
        <w:tc>
          <w:tcPr>
            <w:tcW w:w="834" w:type="dxa"/>
            <w:shd w:val="clear" w:color="auto" w:fill="C6EFCE"/>
            <w:noWrap/>
          </w:tcPr>
          <w:p w14:paraId="1E6A3C1D"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Szám </w:t>
            </w:r>
          </w:p>
        </w:tc>
        <w:tc>
          <w:tcPr>
            <w:tcW w:w="972" w:type="dxa"/>
            <w:shd w:val="clear" w:color="auto" w:fill="C6EFCE"/>
            <w:noWrap/>
          </w:tcPr>
          <w:p w14:paraId="6C90E665"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0</w:t>
            </w:r>
          </w:p>
        </w:tc>
        <w:tc>
          <w:tcPr>
            <w:tcW w:w="728" w:type="dxa"/>
            <w:shd w:val="clear" w:color="auto" w:fill="C6EFCE"/>
            <w:noWrap/>
          </w:tcPr>
          <w:p w14:paraId="0DE3A3EF"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85</w:t>
            </w:r>
          </w:p>
        </w:tc>
        <w:tc>
          <w:tcPr>
            <w:tcW w:w="417" w:type="dxa"/>
            <w:shd w:val="clear" w:color="auto" w:fill="C6EFCE"/>
            <w:noWrap/>
          </w:tcPr>
          <w:p w14:paraId="7114C962"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556" w:type="dxa"/>
            <w:shd w:val="clear" w:color="auto" w:fill="C6EFCE"/>
            <w:noWrap/>
          </w:tcPr>
          <w:p w14:paraId="457EB255"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2025</w:t>
            </w:r>
          </w:p>
        </w:tc>
        <w:tc>
          <w:tcPr>
            <w:tcW w:w="5272" w:type="dxa"/>
            <w:shd w:val="clear" w:color="auto" w:fill="C6EFCE"/>
            <w:noWrap/>
          </w:tcPr>
          <w:p w14:paraId="288C38ED" w14:textId="77777777" w:rsidR="00D65CB4" w:rsidRPr="00BC4EE7" w:rsidRDefault="00572307">
            <w:pPr>
              <w:pStyle w:val="P68B1DB1-Normal12"/>
              <w:spacing w:after="0" w:line="240" w:lineRule="auto"/>
              <w:rPr>
                <w:rFonts w:cs="Times New Roman"/>
                <w:noProof/>
              </w:rPr>
            </w:pPr>
            <w:r w:rsidRPr="00BC4EE7">
              <w:rPr>
                <w:rFonts w:cs="Times New Roman"/>
                <w:noProof/>
              </w:rPr>
              <w:t xml:space="preserve">Az elektromobilitással kapcsolatos innovációs projekteket támogató program (MOVES Singulares) keretében megvalósított legalább 85 projekt lezárása. </w:t>
            </w:r>
          </w:p>
        </w:tc>
      </w:tr>
      <w:tr w:rsidR="00D65CB4" w:rsidRPr="00BC4EE7" w14:paraId="35CBA65C" w14:textId="77777777" w:rsidTr="00BA5F87">
        <w:trPr>
          <w:trHeight w:val="309"/>
        </w:trPr>
        <w:tc>
          <w:tcPr>
            <w:tcW w:w="696" w:type="dxa"/>
            <w:shd w:val="clear" w:color="auto" w:fill="C6EFCE"/>
            <w:noWrap/>
          </w:tcPr>
          <w:p w14:paraId="4C6830B7"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14</w:t>
            </w:r>
          </w:p>
        </w:tc>
        <w:tc>
          <w:tcPr>
            <w:tcW w:w="1006" w:type="dxa"/>
            <w:shd w:val="clear" w:color="auto" w:fill="C6EFCE"/>
            <w:noWrap/>
          </w:tcPr>
          <w:p w14:paraId="5421AA1B"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C1.I3</w:t>
            </w:r>
          </w:p>
        </w:tc>
        <w:tc>
          <w:tcPr>
            <w:tcW w:w="992" w:type="dxa"/>
            <w:shd w:val="clear" w:color="auto" w:fill="C6EFCE"/>
            <w:noWrap/>
          </w:tcPr>
          <w:p w14:paraId="2A87AE8B"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2410" w:type="dxa"/>
            <w:shd w:val="clear" w:color="auto" w:fill="C6EFCE"/>
            <w:noWrap/>
          </w:tcPr>
          <w:p w14:paraId="323FD114" w14:textId="77777777" w:rsidR="00D65CB4" w:rsidRPr="00BC4EE7" w:rsidRDefault="00572307">
            <w:pPr>
              <w:pStyle w:val="P68B1DB1-Normal12"/>
              <w:spacing w:after="0" w:line="240" w:lineRule="auto"/>
              <w:rPr>
                <w:rFonts w:cs="Times New Roman"/>
                <w:noProof/>
              </w:rPr>
            </w:pPr>
            <w:r w:rsidRPr="00BC4EE7">
              <w:rPr>
                <w:rFonts w:cs="Times New Roman"/>
                <w:noProof/>
              </w:rPr>
              <w:t xml:space="preserve">Rövid távolságú (Cercanías) vasútvonalak </w:t>
            </w:r>
          </w:p>
        </w:tc>
        <w:tc>
          <w:tcPr>
            <w:tcW w:w="1285" w:type="dxa"/>
            <w:shd w:val="clear" w:color="auto" w:fill="C6EFCE"/>
            <w:noWrap/>
          </w:tcPr>
          <w:p w14:paraId="5544CA26"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 xml:space="preserve"> </w:t>
            </w:r>
          </w:p>
        </w:tc>
        <w:tc>
          <w:tcPr>
            <w:tcW w:w="834" w:type="dxa"/>
            <w:shd w:val="clear" w:color="auto" w:fill="C6EFCE"/>
            <w:noWrap/>
          </w:tcPr>
          <w:p w14:paraId="4B0C047F"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Szám (km)</w:t>
            </w:r>
          </w:p>
        </w:tc>
        <w:tc>
          <w:tcPr>
            <w:tcW w:w="972" w:type="dxa"/>
            <w:shd w:val="clear" w:color="auto" w:fill="C6EFCE"/>
            <w:noWrap/>
          </w:tcPr>
          <w:p w14:paraId="27155D2C"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0</w:t>
            </w:r>
          </w:p>
        </w:tc>
        <w:tc>
          <w:tcPr>
            <w:tcW w:w="728" w:type="dxa"/>
            <w:shd w:val="clear" w:color="auto" w:fill="C6EFCE"/>
            <w:noWrap/>
          </w:tcPr>
          <w:p w14:paraId="79A41D13"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200</w:t>
            </w:r>
          </w:p>
        </w:tc>
        <w:tc>
          <w:tcPr>
            <w:tcW w:w="417" w:type="dxa"/>
            <w:shd w:val="clear" w:color="auto" w:fill="C6EFCE"/>
            <w:noWrap/>
          </w:tcPr>
          <w:p w14:paraId="27FC55AB"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556" w:type="dxa"/>
            <w:shd w:val="clear" w:color="auto" w:fill="C6EFCE"/>
            <w:noWrap/>
          </w:tcPr>
          <w:p w14:paraId="166F4D07"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2023</w:t>
            </w:r>
          </w:p>
        </w:tc>
        <w:tc>
          <w:tcPr>
            <w:tcW w:w="5272" w:type="dxa"/>
            <w:shd w:val="clear" w:color="auto" w:fill="C6EFCE"/>
            <w:noWrap/>
          </w:tcPr>
          <w:p w14:paraId="46EAB918" w14:textId="77777777" w:rsidR="00D65CB4" w:rsidRPr="00BC4EE7" w:rsidRDefault="00572307">
            <w:pPr>
              <w:spacing w:after="0" w:line="240" w:lineRule="auto"/>
              <w:rPr>
                <w:rFonts w:ascii="Times New Roman" w:hAnsi="Times New Roman" w:cs="Times New Roman"/>
                <w:noProof/>
                <w:sz w:val="18"/>
              </w:rPr>
            </w:pPr>
            <w:r w:rsidRPr="00BC4EE7">
              <w:rPr>
                <w:rFonts w:ascii="Times New Roman" w:hAnsi="Times New Roman" w:cs="Times New Roman"/>
                <w:noProof/>
                <w:sz w:val="18"/>
              </w:rPr>
              <w:t>Legalább 200 km rövid távolságú vasútvonal, amelyet bármely alrendszerben korszerűsítettek: peron-, vágány-, villamosítási, biztonsági és kommunikációs/jelző berendezések.</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A korszerűsítés alatt álló rövid távolságú vasútvonalak hosszát azon városi vagy nagyvárosi területeken található hossz alapján kell értelmezni, ahol olyan jelentős beavatkozást hajtottak végre, amely nem felel meg a kivitelezési vagy javítási összegnek. A beavatkozások magukban foglalhatják a villamosítást, a pálya felújítását, a jelző- és biztonsági rendszerek javítását, valamint az állomások fejlesztését, amelyek túlmutatnak a karbantartáson és javításon, és amelyeket az ország egész területén végre kell hajtani a Cercanías Ferroviarias szolgáltatásaival rendelkező valamennyi lakossági központban.  </w:t>
            </w:r>
          </w:p>
        </w:tc>
      </w:tr>
      <w:tr w:rsidR="00D65CB4" w:rsidRPr="00BC4EE7" w14:paraId="79F8DAAD" w14:textId="77777777" w:rsidTr="00BA5F87">
        <w:trPr>
          <w:trHeight w:val="309"/>
        </w:trPr>
        <w:tc>
          <w:tcPr>
            <w:tcW w:w="696" w:type="dxa"/>
            <w:shd w:val="clear" w:color="auto" w:fill="C6EFCE"/>
            <w:noWrap/>
          </w:tcPr>
          <w:p w14:paraId="60B9ECB0"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15</w:t>
            </w:r>
          </w:p>
        </w:tc>
        <w:tc>
          <w:tcPr>
            <w:tcW w:w="1006" w:type="dxa"/>
            <w:shd w:val="clear" w:color="auto" w:fill="C6EFCE"/>
            <w:noWrap/>
          </w:tcPr>
          <w:p w14:paraId="57BA10E6"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C1.I3</w:t>
            </w:r>
          </w:p>
        </w:tc>
        <w:tc>
          <w:tcPr>
            <w:tcW w:w="992" w:type="dxa"/>
            <w:shd w:val="clear" w:color="auto" w:fill="C6EFCE"/>
            <w:noWrap/>
          </w:tcPr>
          <w:p w14:paraId="18273627"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2410" w:type="dxa"/>
            <w:shd w:val="clear" w:color="auto" w:fill="C6EFCE"/>
            <w:noWrap/>
          </w:tcPr>
          <w:p w14:paraId="33552D8B" w14:textId="77777777" w:rsidR="00D65CB4" w:rsidRPr="00BC4EE7" w:rsidRDefault="00572307">
            <w:pPr>
              <w:pStyle w:val="P68B1DB1-Normal12"/>
              <w:spacing w:after="0" w:line="240" w:lineRule="auto"/>
              <w:rPr>
                <w:rFonts w:cs="Times New Roman"/>
                <w:noProof/>
              </w:rPr>
            </w:pPr>
            <w:r w:rsidRPr="00BC4EE7">
              <w:rPr>
                <w:rFonts w:cs="Times New Roman"/>
                <w:noProof/>
              </w:rPr>
              <w:t xml:space="preserve">Az állomások fejlesztése a digitalizációval </w:t>
            </w:r>
          </w:p>
        </w:tc>
        <w:tc>
          <w:tcPr>
            <w:tcW w:w="1285" w:type="dxa"/>
            <w:shd w:val="clear" w:color="auto" w:fill="C6EFCE"/>
            <w:noWrap/>
          </w:tcPr>
          <w:p w14:paraId="65C0E9E3"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 xml:space="preserve"> </w:t>
            </w:r>
          </w:p>
        </w:tc>
        <w:tc>
          <w:tcPr>
            <w:tcW w:w="834" w:type="dxa"/>
            <w:shd w:val="clear" w:color="auto" w:fill="C6EFCE"/>
            <w:noWrap/>
          </w:tcPr>
          <w:p w14:paraId="34D992BD"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Szám</w:t>
            </w:r>
          </w:p>
        </w:tc>
        <w:tc>
          <w:tcPr>
            <w:tcW w:w="972" w:type="dxa"/>
            <w:shd w:val="clear" w:color="auto" w:fill="C6EFCE"/>
            <w:noWrap/>
          </w:tcPr>
          <w:p w14:paraId="19DF3E5F"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0</w:t>
            </w:r>
          </w:p>
        </w:tc>
        <w:tc>
          <w:tcPr>
            <w:tcW w:w="728" w:type="dxa"/>
            <w:shd w:val="clear" w:color="auto" w:fill="C6EFCE"/>
            <w:noWrap/>
          </w:tcPr>
          <w:p w14:paraId="24687098"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420</w:t>
            </w:r>
          </w:p>
        </w:tc>
        <w:tc>
          <w:tcPr>
            <w:tcW w:w="417" w:type="dxa"/>
            <w:shd w:val="clear" w:color="auto" w:fill="C6EFCE"/>
            <w:noWrap/>
          </w:tcPr>
          <w:p w14:paraId="55B445E4"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556" w:type="dxa"/>
            <w:shd w:val="clear" w:color="auto" w:fill="C6EFCE"/>
            <w:noWrap/>
          </w:tcPr>
          <w:p w14:paraId="7FEA3163"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2023</w:t>
            </w:r>
          </w:p>
        </w:tc>
        <w:tc>
          <w:tcPr>
            <w:tcW w:w="5272" w:type="dxa"/>
            <w:shd w:val="clear" w:color="auto" w:fill="C6EFCE"/>
            <w:noWrap/>
          </w:tcPr>
          <w:p w14:paraId="5675A2F1" w14:textId="77777777" w:rsidR="00D65CB4" w:rsidRPr="00BC4EE7" w:rsidRDefault="00572307">
            <w:pPr>
              <w:spacing w:after="0" w:line="240" w:lineRule="auto"/>
              <w:rPr>
                <w:rFonts w:ascii="Times New Roman" w:hAnsi="Times New Roman" w:cs="Times New Roman"/>
                <w:noProof/>
                <w:sz w:val="18"/>
              </w:rPr>
            </w:pPr>
            <w:r w:rsidRPr="00BC4EE7">
              <w:rPr>
                <w:rFonts w:ascii="Times New Roman" w:hAnsi="Times New Roman" w:cs="Times New Roman"/>
                <w:noProof/>
                <w:sz w:val="18"/>
              </w:rPr>
              <w:t xml:space="preserve">Legalább 420 állomást fejlesztettek ki a RENFE által SPO-üzemeltetőként kidolgozott projektek összességével vagy egy részével, a következő felsorolásban: </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A állomások biztonsági rendszereinek digitalizálása (például intelligens videoelemzés, kiberbiztonság és csalásellenőrzés)</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Utasinformációs rendszerek</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Az állomásokra való belépés ellenőrzésének javítása</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Jegyértékesítő automatákkal kapcsolatos projektek</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xml:space="preserve">• A létesítmények átalakítása </w:t>
            </w:r>
          </w:p>
        </w:tc>
      </w:tr>
      <w:tr w:rsidR="00D65CB4" w:rsidRPr="00BC4EE7" w14:paraId="6DCC179C" w14:textId="77777777" w:rsidTr="00BA5F87">
        <w:trPr>
          <w:trHeight w:val="309"/>
        </w:trPr>
        <w:tc>
          <w:tcPr>
            <w:tcW w:w="696" w:type="dxa"/>
            <w:shd w:val="clear" w:color="auto" w:fill="C6EFCE"/>
            <w:noWrap/>
          </w:tcPr>
          <w:p w14:paraId="5AEA2AF6"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16</w:t>
            </w:r>
          </w:p>
        </w:tc>
        <w:tc>
          <w:tcPr>
            <w:tcW w:w="1006" w:type="dxa"/>
            <w:shd w:val="clear" w:color="auto" w:fill="C6EFCE"/>
            <w:noWrap/>
          </w:tcPr>
          <w:p w14:paraId="647F12FB"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C1.I3</w:t>
            </w:r>
          </w:p>
        </w:tc>
        <w:tc>
          <w:tcPr>
            <w:tcW w:w="992" w:type="dxa"/>
            <w:shd w:val="clear" w:color="auto" w:fill="C6EFCE"/>
            <w:noWrap/>
          </w:tcPr>
          <w:p w14:paraId="7A080B6F"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2410" w:type="dxa"/>
            <w:shd w:val="clear" w:color="auto" w:fill="C6EFCE"/>
            <w:noWrap/>
          </w:tcPr>
          <w:p w14:paraId="21ABA2E1" w14:textId="77777777" w:rsidR="00D65CB4" w:rsidRPr="00BC4EE7" w:rsidRDefault="00572307">
            <w:pPr>
              <w:pStyle w:val="P68B1DB1-Normal12"/>
              <w:spacing w:after="0" w:line="240" w:lineRule="auto"/>
              <w:rPr>
                <w:rFonts w:cs="Times New Roman"/>
                <w:noProof/>
              </w:rPr>
            </w:pPr>
            <w:r w:rsidRPr="00BC4EE7">
              <w:rPr>
                <w:rFonts w:cs="Times New Roman"/>
                <w:noProof/>
              </w:rPr>
              <w:t xml:space="preserve">Továbbfejlesztett „Cercanías” állomások </w:t>
            </w:r>
          </w:p>
        </w:tc>
        <w:tc>
          <w:tcPr>
            <w:tcW w:w="1285" w:type="dxa"/>
            <w:shd w:val="clear" w:color="auto" w:fill="C6EFCE"/>
            <w:noWrap/>
          </w:tcPr>
          <w:p w14:paraId="50944776"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 xml:space="preserve"> </w:t>
            </w:r>
          </w:p>
        </w:tc>
        <w:tc>
          <w:tcPr>
            <w:tcW w:w="834" w:type="dxa"/>
            <w:shd w:val="clear" w:color="auto" w:fill="C6EFCE"/>
            <w:noWrap/>
          </w:tcPr>
          <w:p w14:paraId="63865CC5"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Szám</w:t>
            </w:r>
          </w:p>
        </w:tc>
        <w:tc>
          <w:tcPr>
            <w:tcW w:w="972" w:type="dxa"/>
            <w:shd w:val="clear" w:color="auto" w:fill="C6EFCE"/>
            <w:noWrap/>
          </w:tcPr>
          <w:p w14:paraId="34A1E8C7"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0</w:t>
            </w:r>
          </w:p>
        </w:tc>
        <w:tc>
          <w:tcPr>
            <w:tcW w:w="728" w:type="dxa"/>
            <w:shd w:val="clear" w:color="auto" w:fill="C6EFCE"/>
            <w:noWrap/>
          </w:tcPr>
          <w:p w14:paraId="426BF3C2"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20</w:t>
            </w:r>
          </w:p>
        </w:tc>
        <w:tc>
          <w:tcPr>
            <w:tcW w:w="417" w:type="dxa"/>
            <w:shd w:val="clear" w:color="auto" w:fill="C6EFCE"/>
            <w:noWrap/>
          </w:tcPr>
          <w:p w14:paraId="42732EAC"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556" w:type="dxa"/>
            <w:shd w:val="clear" w:color="auto" w:fill="C6EFCE"/>
            <w:noWrap/>
          </w:tcPr>
          <w:p w14:paraId="57D2441D"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2023</w:t>
            </w:r>
          </w:p>
        </w:tc>
        <w:tc>
          <w:tcPr>
            <w:tcW w:w="5272" w:type="dxa"/>
            <w:shd w:val="clear" w:color="auto" w:fill="C6EFCE"/>
            <w:noWrap/>
          </w:tcPr>
          <w:p w14:paraId="388BFF40" w14:textId="77777777" w:rsidR="00D65CB4" w:rsidRPr="00BC4EE7" w:rsidRDefault="00572307">
            <w:pPr>
              <w:pStyle w:val="P68B1DB1-Normal12"/>
              <w:spacing w:after="0" w:line="240" w:lineRule="auto"/>
              <w:rPr>
                <w:rFonts w:cs="Times New Roman"/>
                <w:noProof/>
              </w:rPr>
            </w:pPr>
            <w:r w:rsidRPr="00BC4EE7">
              <w:rPr>
                <w:rFonts w:cs="Times New Roman"/>
                <w:noProof/>
              </w:rPr>
              <w:t xml:space="preserve">Legalább 20 „Cercanías” állomást fejlesztettek ki az ADIF által, főként a hozzáférhetőségi munkák és az új vagy felújított vasúti vágányok tekintetében </w:t>
            </w:r>
          </w:p>
        </w:tc>
      </w:tr>
      <w:tr w:rsidR="00D65CB4" w:rsidRPr="00BC4EE7" w14:paraId="44008BF5" w14:textId="77777777" w:rsidTr="00BA5F87">
        <w:trPr>
          <w:trHeight w:val="309"/>
        </w:trPr>
        <w:tc>
          <w:tcPr>
            <w:tcW w:w="696" w:type="dxa"/>
            <w:shd w:val="clear" w:color="auto" w:fill="C6EFCE"/>
            <w:noWrap/>
          </w:tcPr>
          <w:p w14:paraId="49B2A1F3"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17</w:t>
            </w:r>
          </w:p>
        </w:tc>
        <w:tc>
          <w:tcPr>
            <w:tcW w:w="1006" w:type="dxa"/>
            <w:shd w:val="clear" w:color="auto" w:fill="C6EFCE"/>
            <w:noWrap/>
          </w:tcPr>
          <w:p w14:paraId="64FBBEDE"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C1.I3</w:t>
            </w:r>
          </w:p>
        </w:tc>
        <w:tc>
          <w:tcPr>
            <w:tcW w:w="992" w:type="dxa"/>
            <w:shd w:val="clear" w:color="auto" w:fill="C6EFCE"/>
            <w:noWrap/>
          </w:tcPr>
          <w:p w14:paraId="28D63174"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2410" w:type="dxa"/>
            <w:shd w:val="clear" w:color="auto" w:fill="C6EFCE"/>
            <w:noWrap/>
          </w:tcPr>
          <w:p w14:paraId="3C33EAB6" w14:textId="283C376A" w:rsidR="00D65CB4" w:rsidRPr="00BC4EE7" w:rsidRDefault="00572307">
            <w:pPr>
              <w:pStyle w:val="P68B1DB1-Normal12"/>
              <w:spacing w:after="0" w:line="240" w:lineRule="auto"/>
              <w:rPr>
                <w:rFonts w:cs="Times New Roman"/>
                <w:noProof/>
              </w:rPr>
            </w:pPr>
            <w:r w:rsidRPr="00BC4EE7">
              <w:rPr>
                <w:rFonts w:cs="Times New Roman"/>
                <w:noProof/>
              </w:rPr>
              <w:t xml:space="preserve">Rövid távolságú vasútvonalakba történő beruházásokra odaítélt szerződések vagy egyéb jogi eszközök </w:t>
            </w:r>
          </w:p>
        </w:tc>
        <w:tc>
          <w:tcPr>
            <w:tcW w:w="1285" w:type="dxa"/>
            <w:shd w:val="clear" w:color="auto" w:fill="C6EFCE"/>
            <w:noWrap/>
          </w:tcPr>
          <w:p w14:paraId="2EC00B1B" w14:textId="2F97D700" w:rsidR="00D65CB4" w:rsidRPr="00BC4EE7" w:rsidRDefault="00572307">
            <w:pPr>
              <w:pStyle w:val="P68B1DB1-Normal12"/>
              <w:spacing w:after="0" w:line="240" w:lineRule="auto"/>
              <w:jc w:val="center"/>
              <w:rPr>
                <w:rFonts w:cs="Times New Roman"/>
                <w:noProof/>
              </w:rPr>
            </w:pPr>
            <w:r w:rsidRPr="00BC4EE7">
              <w:rPr>
                <w:rFonts w:cs="Times New Roman"/>
                <w:noProof/>
              </w:rPr>
              <w:t xml:space="preserve"> </w:t>
            </w:r>
          </w:p>
        </w:tc>
        <w:tc>
          <w:tcPr>
            <w:tcW w:w="834" w:type="dxa"/>
            <w:shd w:val="clear" w:color="auto" w:fill="C6EFCE"/>
            <w:noWrap/>
          </w:tcPr>
          <w:p w14:paraId="1876CD1F" w14:textId="7A14181F" w:rsidR="00D65CB4" w:rsidRPr="00BC4EE7" w:rsidRDefault="00572307">
            <w:pPr>
              <w:pStyle w:val="P68B1DB1-Normal12"/>
              <w:spacing w:after="0" w:line="240" w:lineRule="auto"/>
              <w:jc w:val="right"/>
              <w:rPr>
                <w:rFonts w:cs="Times New Roman"/>
                <w:noProof/>
              </w:rPr>
            </w:pPr>
            <w:r w:rsidRPr="00BC4EE7">
              <w:rPr>
                <w:rFonts w:cs="Times New Roman"/>
                <w:noProof/>
              </w:rPr>
              <w:t>Szerződés vagy egyéb jogi eszköz</w:t>
            </w:r>
          </w:p>
        </w:tc>
        <w:tc>
          <w:tcPr>
            <w:tcW w:w="972" w:type="dxa"/>
            <w:shd w:val="clear" w:color="auto" w:fill="C6EFCE"/>
            <w:noWrap/>
          </w:tcPr>
          <w:p w14:paraId="20A7EE96"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0</w:t>
            </w:r>
          </w:p>
        </w:tc>
        <w:tc>
          <w:tcPr>
            <w:tcW w:w="728" w:type="dxa"/>
            <w:shd w:val="clear" w:color="auto" w:fill="C6EFCE"/>
            <w:noWrap/>
          </w:tcPr>
          <w:p w14:paraId="6578BF8A" w14:textId="0E7C77C6" w:rsidR="00D65CB4" w:rsidRPr="00BC4EE7" w:rsidRDefault="00572307">
            <w:pPr>
              <w:pStyle w:val="P68B1DB1-Normal12"/>
              <w:spacing w:after="0" w:line="240" w:lineRule="auto"/>
              <w:jc w:val="right"/>
              <w:rPr>
                <w:rFonts w:cs="Times New Roman"/>
                <w:noProof/>
              </w:rPr>
            </w:pPr>
            <w:r w:rsidRPr="00BC4EE7">
              <w:rPr>
                <w:rFonts w:cs="Times New Roman"/>
                <w:noProof/>
              </w:rPr>
              <w:t>288</w:t>
            </w:r>
          </w:p>
        </w:tc>
        <w:tc>
          <w:tcPr>
            <w:tcW w:w="417" w:type="dxa"/>
            <w:shd w:val="clear" w:color="auto" w:fill="C6EFCE"/>
            <w:noWrap/>
          </w:tcPr>
          <w:p w14:paraId="6459032C"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556" w:type="dxa"/>
            <w:shd w:val="clear" w:color="auto" w:fill="C6EFCE"/>
            <w:noWrap/>
          </w:tcPr>
          <w:p w14:paraId="45DB9A5B"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2024</w:t>
            </w:r>
          </w:p>
        </w:tc>
        <w:tc>
          <w:tcPr>
            <w:tcW w:w="5272" w:type="dxa"/>
            <w:shd w:val="clear" w:color="auto" w:fill="C6EFCE"/>
            <w:noWrap/>
          </w:tcPr>
          <w:p w14:paraId="14BD7A11" w14:textId="6D1061F3" w:rsidR="00D65CB4" w:rsidRPr="00BC4EE7" w:rsidRDefault="00572307">
            <w:pPr>
              <w:pStyle w:val="P68B1DB1-Normal12"/>
              <w:spacing w:after="0" w:line="240" w:lineRule="auto"/>
              <w:rPr>
                <w:rFonts w:cs="Times New Roman"/>
                <w:noProof/>
              </w:rPr>
            </w:pPr>
            <w:r w:rsidRPr="00BC4EE7">
              <w:rPr>
                <w:rFonts w:cs="Times New Roman"/>
                <w:noProof/>
              </w:rPr>
              <w:t>Legalább 288 olyan szerződés vagy más jogi eszköz, amelyet az ország egész területén ítéltek oda a rövid távolságú vasútvonalakba történő beruházásokhoz kapcsolódóan.</w:t>
            </w:r>
          </w:p>
        </w:tc>
      </w:tr>
      <w:tr w:rsidR="00D65CB4" w:rsidRPr="00BC4EE7" w14:paraId="3112A574" w14:textId="77777777" w:rsidTr="00BA5F87">
        <w:trPr>
          <w:trHeight w:val="309"/>
        </w:trPr>
        <w:tc>
          <w:tcPr>
            <w:tcW w:w="696" w:type="dxa"/>
            <w:shd w:val="clear" w:color="auto" w:fill="C6EFCE"/>
            <w:noWrap/>
          </w:tcPr>
          <w:p w14:paraId="64060F2B"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18</w:t>
            </w:r>
          </w:p>
        </w:tc>
        <w:tc>
          <w:tcPr>
            <w:tcW w:w="1006" w:type="dxa"/>
            <w:shd w:val="clear" w:color="auto" w:fill="C6EFCE"/>
            <w:noWrap/>
          </w:tcPr>
          <w:p w14:paraId="5780C44E"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C1.I3</w:t>
            </w:r>
          </w:p>
        </w:tc>
        <w:tc>
          <w:tcPr>
            <w:tcW w:w="992" w:type="dxa"/>
            <w:shd w:val="clear" w:color="auto" w:fill="C6EFCE"/>
            <w:noWrap/>
          </w:tcPr>
          <w:p w14:paraId="01F7BC75"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2410" w:type="dxa"/>
            <w:shd w:val="clear" w:color="auto" w:fill="C6EFCE"/>
            <w:noWrap/>
          </w:tcPr>
          <w:p w14:paraId="180578FF" w14:textId="77777777" w:rsidR="00D65CB4" w:rsidRPr="00BC4EE7" w:rsidRDefault="00572307">
            <w:pPr>
              <w:pStyle w:val="P68B1DB1-Normal12"/>
              <w:spacing w:after="0" w:line="240" w:lineRule="auto"/>
              <w:rPr>
                <w:rFonts w:cs="Times New Roman"/>
                <w:noProof/>
              </w:rPr>
            </w:pPr>
            <w:r w:rsidRPr="00BC4EE7">
              <w:rPr>
                <w:rFonts w:cs="Times New Roman"/>
                <w:noProof/>
              </w:rPr>
              <w:t xml:space="preserve">Korszerűsített rövid távolságú (Cercanías) vasútvonalak </w:t>
            </w:r>
          </w:p>
        </w:tc>
        <w:tc>
          <w:tcPr>
            <w:tcW w:w="1285" w:type="dxa"/>
            <w:shd w:val="clear" w:color="auto" w:fill="C6EFCE"/>
            <w:noWrap/>
          </w:tcPr>
          <w:p w14:paraId="24FF93BA"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 xml:space="preserve"> </w:t>
            </w:r>
          </w:p>
        </w:tc>
        <w:tc>
          <w:tcPr>
            <w:tcW w:w="834" w:type="dxa"/>
            <w:shd w:val="clear" w:color="auto" w:fill="C6EFCE"/>
            <w:noWrap/>
          </w:tcPr>
          <w:p w14:paraId="7BD2FCD1"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Szám (km)</w:t>
            </w:r>
          </w:p>
        </w:tc>
        <w:tc>
          <w:tcPr>
            <w:tcW w:w="972" w:type="dxa"/>
            <w:shd w:val="clear" w:color="auto" w:fill="C6EFCE"/>
            <w:noWrap/>
          </w:tcPr>
          <w:p w14:paraId="6839CB3E"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200</w:t>
            </w:r>
          </w:p>
        </w:tc>
        <w:tc>
          <w:tcPr>
            <w:tcW w:w="728" w:type="dxa"/>
            <w:shd w:val="clear" w:color="auto" w:fill="C6EFCE"/>
            <w:noWrap/>
          </w:tcPr>
          <w:p w14:paraId="0C370A54"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700</w:t>
            </w:r>
          </w:p>
        </w:tc>
        <w:tc>
          <w:tcPr>
            <w:tcW w:w="417" w:type="dxa"/>
            <w:shd w:val="clear" w:color="auto" w:fill="C6EFCE"/>
            <w:noWrap/>
          </w:tcPr>
          <w:p w14:paraId="3693F535"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556" w:type="dxa"/>
            <w:shd w:val="clear" w:color="auto" w:fill="C6EFCE"/>
            <w:noWrap/>
          </w:tcPr>
          <w:p w14:paraId="6532D109"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2026</w:t>
            </w:r>
          </w:p>
        </w:tc>
        <w:tc>
          <w:tcPr>
            <w:tcW w:w="5272" w:type="dxa"/>
            <w:shd w:val="clear" w:color="auto" w:fill="C6EFCE"/>
            <w:noWrap/>
          </w:tcPr>
          <w:p w14:paraId="698A3DDA" w14:textId="77777777" w:rsidR="00D65CB4" w:rsidRPr="00BC4EE7" w:rsidRDefault="00572307">
            <w:pPr>
              <w:spacing w:after="0" w:line="240" w:lineRule="auto"/>
              <w:rPr>
                <w:rFonts w:ascii="Times New Roman" w:hAnsi="Times New Roman" w:cs="Times New Roman"/>
                <w:noProof/>
                <w:sz w:val="18"/>
              </w:rPr>
            </w:pPr>
            <w:r w:rsidRPr="00BC4EE7">
              <w:rPr>
                <w:rFonts w:ascii="Times New Roman" w:hAnsi="Times New Roman" w:cs="Times New Roman"/>
                <w:noProof/>
                <w:sz w:val="18"/>
              </w:rPr>
              <w:t>Legalább 700 km rövid távolságú vasútvonal, amelyet bármely alrendszerben korszerűsítettek: peron-, vágány-, villamosítási, biztonsági és kommunikációs/jelző berendezések.</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A korszerűsítés alatt álló rövid távolságú vasútvonalak hosszát azon városi vagy nagyvárosi területeken található hossz alapján kell értelmezni, ahol olyan jelentős beavatkozást hajtottak végre, amely nem felel meg a kivitelezési vagy javítási összegnek. A beavatkozások magukban foglalhatják a villamosítást, a pálya felújítását, a jelző- és biztonsági rendszerek javítását, valamint az állomások fejlesztését, amelyek túlmutatnak a karbantartáson és javításon, és amelyeket az ország egész területén végre kell hajtani a Cercanías Ferroviarias szolgáltatásaival rendelkező valamennyi lakossági központban.  </w:t>
            </w:r>
          </w:p>
          <w:p w14:paraId="7773D080" w14:textId="77777777" w:rsidR="00D65CB4" w:rsidRPr="00BC4EE7" w:rsidRDefault="00572307">
            <w:pPr>
              <w:pStyle w:val="P68B1DB1-Normal12"/>
              <w:spacing w:after="0" w:line="240" w:lineRule="auto"/>
              <w:rPr>
                <w:rFonts w:cs="Times New Roman"/>
                <w:noProof/>
              </w:rPr>
            </w:pPr>
            <w:r w:rsidRPr="00BC4EE7">
              <w:rPr>
                <w:rFonts w:cs="Times New Roman"/>
                <w:noProof/>
              </w:rPr>
              <w:t>(Alapforgatókönyv: 2023. december 31.)</w:t>
            </w:r>
          </w:p>
        </w:tc>
      </w:tr>
      <w:tr w:rsidR="00D65CB4" w:rsidRPr="00BC4EE7" w14:paraId="39CEA4D1" w14:textId="77777777" w:rsidTr="00BA5F87">
        <w:trPr>
          <w:trHeight w:val="309"/>
        </w:trPr>
        <w:tc>
          <w:tcPr>
            <w:tcW w:w="696" w:type="dxa"/>
            <w:shd w:val="clear" w:color="auto" w:fill="C6EFCE"/>
            <w:noWrap/>
          </w:tcPr>
          <w:p w14:paraId="33621CCC"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19</w:t>
            </w:r>
          </w:p>
        </w:tc>
        <w:tc>
          <w:tcPr>
            <w:tcW w:w="1006" w:type="dxa"/>
            <w:shd w:val="clear" w:color="auto" w:fill="C6EFCE"/>
            <w:noWrap/>
          </w:tcPr>
          <w:p w14:paraId="55F786CA"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C1.I3</w:t>
            </w:r>
          </w:p>
        </w:tc>
        <w:tc>
          <w:tcPr>
            <w:tcW w:w="992" w:type="dxa"/>
            <w:shd w:val="clear" w:color="auto" w:fill="C6EFCE"/>
            <w:noWrap/>
          </w:tcPr>
          <w:p w14:paraId="13FAD491"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2410" w:type="dxa"/>
            <w:shd w:val="clear" w:color="auto" w:fill="C6EFCE"/>
            <w:noWrap/>
          </w:tcPr>
          <w:p w14:paraId="18B988B5" w14:textId="77777777" w:rsidR="00D65CB4" w:rsidRPr="00BC4EE7" w:rsidRDefault="00572307">
            <w:pPr>
              <w:pStyle w:val="P68B1DB1-Normal12"/>
              <w:spacing w:after="0" w:line="240" w:lineRule="auto"/>
              <w:rPr>
                <w:rFonts w:cs="Times New Roman"/>
                <w:noProof/>
              </w:rPr>
            </w:pPr>
            <w:r w:rsidRPr="00BC4EE7">
              <w:rPr>
                <w:rFonts w:cs="Times New Roman"/>
                <w:noProof/>
              </w:rPr>
              <w:t xml:space="preserve">Az állomások fejlesztése a digitalizációval </w:t>
            </w:r>
          </w:p>
        </w:tc>
        <w:tc>
          <w:tcPr>
            <w:tcW w:w="1285" w:type="dxa"/>
            <w:shd w:val="clear" w:color="auto" w:fill="C6EFCE"/>
            <w:noWrap/>
          </w:tcPr>
          <w:p w14:paraId="20BE4CEA"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 xml:space="preserve"> </w:t>
            </w:r>
          </w:p>
        </w:tc>
        <w:tc>
          <w:tcPr>
            <w:tcW w:w="834" w:type="dxa"/>
            <w:shd w:val="clear" w:color="auto" w:fill="C6EFCE"/>
            <w:noWrap/>
          </w:tcPr>
          <w:p w14:paraId="3F997996"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Szám</w:t>
            </w:r>
          </w:p>
        </w:tc>
        <w:tc>
          <w:tcPr>
            <w:tcW w:w="972" w:type="dxa"/>
            <w:shd w:val="clear" w:color="auto" w:fill="C6EFCE"/>
            <w:noWrap/>
          </w:tcPr>
          <w:p w14:paraId="7DDA3B64"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420</w:t>
            </w:r>
          </w:p>
        </w:tc>
        <w:tc>
          <w:tcPr>
            <w:tcW w:w="728" w:type="dxa"/>
            <w:shd w:val="clear" w:color="auto" w:fill="C6EFCE"/>
            <w:noWrap/>
          </w:tcPr>
          <w:p w14:paraId="38256B9B"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850</w:t>
            </w:r>
          </w:p>
        </w:tc>
        <w:tc>
          <w:tcPr>
            <w:tcW w:w="417" w:type="dxa"/>
            <w:shd w:val="clear" w:color="auto" w:fill="C6EFCE"/>
            <w:noWrap/>
          </w:tcPr>
          <w:p w14:paraId="0E9DF1F4"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556" w:type="dxa"/>
            <w:shd w:val="clear" w:color="auto" w:fill="C6EFCE"/>
            <w:noWrap/>
          </w:tcPr>
          <w:p w14:paraId="5C57CC8B"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2026</w:t>
            </w:r>
          </w:p>
        </w:tc>
        <w:tc>
          <w:tcPr>
            <w:tcW w:w="5272" w:type="dxa"/>
            <w:shd w:val="clear" w:color="auto" w:fill="C6EFCE"/>
            <w:noWrap/>
          </w:tcPr>
          <w:p w14:paraId="2F4EE576" w14:textId="0D7494D4" w:rsidR="00D65CB4" w:rsidRPr="00BC4EE7" w:rsidRDefault="00572307">
            <w:pPr>
              <w:spacing w:after="0" w:line="240" w:lineRule="auto"/>
              <w:rPr>
                <w:rFonts w:ascii="Times New Roman" w:hAnsi="Times New Roman" w:cs="Times New Roman"/>
                <w:noProof/>
                <w:sz w:val="18"/>
              </w:rPr>
            </w:pPr>
            <w:r w:rsidRPr="00BC4EE7">
              <w:rPr>
                <w:rFonts w:ascii="Times New Roman" w:hAnsi="Times New Roman" w:cs="Times New Roman"/>
                <w:noProof/>
                <w:sz w:val="18"/>
              </w:rPr>
              <w:t xml:space="preserve">Legalább 850 állomást fejlesztettek ki a RENFE által SPO-üzemeltetőként kidolgozott projektek összességével vagy egy részével, a következő felsorolásban: </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A állomások biztonsági rendszereinek digitalizálása (például intelligens videoelemzés, kiberbiztonság és csalásellenőrzés)</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Utasinformációs rendszerek</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Az állomásokra való belépés ellenőrzésének javítása</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Jegyértékesítő automatákkal kapcsolatos projektek</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xml:space="preserve">• A létesítmények átalakítása </w:t>
            </w:r>
          </w:p>
          <w:p w14:paraId="00C5A81A" w14:textId="77777777" w:rsidR="00D65CB4" w:rsidRPr="00BC4EE7" w:rsidRDefault="00572307">
            <w:pPr>
              <w:pStyle w:val="P68B1DB1-Normal12"/>
              <w:spacing w:after="0" w:line="240" w:lineRule="auto"/>
              <w:rPr>
                <w:rFonts w:cs="Times New Roman"/>
                <w:noProof/>
              </w:rPr>
            </w:pPr>
            <w:r w:rsidRPr="00BC4EE7">
              <w:rPr>
                <w:rFonts w:cs="Times New Roman"/>
                <w:noProof/>
              </w:rPr>
              <w:t>(Alapforgatókönyv: 2023. december 31.)</w:t>
            </w:r>
          </w:p>
        </w:tc>
      </w:tr>
      <w:tr w:rsidR="00D65CB4" w:rsidRPr="00BC4EE7" w14:paraId="0E532E14" w14:textId="77777777" w:rsidTr="00BA5F87">
        <w:trPr>
          <w:trHeight w:val="309"/>
        </w:trPr>
        <w:tc>
          <w:tcPr>
            <w:tcW w:w="696" w:type="dxa"/>
            <w:shd w:val="clear" w:color="auto" w:fill="C6EFCE"/>
            <w:noWrap/>
          </w:tcPr>
          <w:p w14:paraId="4795C8AF"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w:t>
            </w:r>
          </w:p>
        </w:tc>
        <w:tc>
          <w:tcPr>
            <w:tcW w:w="1006" w:type="dxa"/>
            <w:shd w:val="clear" w:color="auto" w:fill="C6EFCE"/>
            <w:noWrap/>
          </w:tcPr>
          <w:p w14:paraId="5840AFF3"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C1.I3</w:t>
            </w:r>
          </w:p>
        </w:tc>
        <w:tc>
          <w:tcPr>
            <w:tcW w:w="992" w:type="dxa"/>
            <w:shd w:val="clear" w:color="auto" w:fill="C6EFCE"/>
            <w:noWrap/>
          </w:tcPr>
          <w:p w14:paraId="44AAD6F7"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2410" w:type="dxa"/>
            <w:shd w:val="clear" w:color="auto" w:fill="C6EFCE"/>
            <w:noWrap/>
          </w:tcPr>
          <w:p w14:paraId="6905ABD4" w14:textId="77777777" w:rsidR="00D65CB4" w:rsidRPr="00BC4EE7" w:rsidRDefault="00572307">
            <w:pPr>
              <w:pStyle w:val="P68B1DB1-Normal12"/>
              <w:spacing w:after="0" w:line="240" w:lineRule="auto"/>
              <w:rPr>
                <w:rFonts w:cs="Times New Roman"/>
                <w:noProof/>
              </w:rPr>
            </w:pPr>
            <w:r w:rsidRPr="00BC4EE7">
              <w:rPr>
                <w:rFonts w:cs="Times New Roman"/>
                <w:noProof/>
              </w:rPr>
              <w:t xml:space="preserve">Továbbfejlesztett „Cercanías” állomások </w:t>
            </w:r>
          </w:p>
        </w:tc>
        <w:tc>
          <w:tcPr>
            <w:tcW w:w="1285" w:type="dxa"/>
            <w:shd w:val="clear" w:color="auto" w:fill="C6EFCE"/>
            <w:noWrap/>
          </w:tcPr>
          <w:p w14:paraId="199DC5A6"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 xml:space="preserve"> </w:t>
            </w:r>
          </w:p>
        </w:tc>
        <w:tc>
          <w:tcPr>
            <w:tcW w:w="834" w:type="dxa"/>
            <w:shd w:val="clear" w:color="auto" w:fill="C6EFCE"/>
            <w:noWrap/>
          </w:tcPr>
          <w:p w14:paraId="54B43EC8"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Szám</w:t>
            </w:r>
          </w:p>
        </w:tc>
        <w:tc>
          <w:tcPr>
            <w:tcW w:w="972" w:type="dxa"/>
            <w:shd w:val="clear" w:color="auto" w:fill="C6EFCE"/>
            <w:noWrap/>
          </w:tcPr>
          <w:p w14:paraId="21D95174"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20</w:t>
            </w:r>
          </w:p>
        </w:tc>
        <w:tc>
          <w:tcPr>
            <w:tcW w:w="728" w:type="dxa"/>
            <w:shd w:val="clear" w:color="auto" w:fill="C6EFCE"/>
            <w:noWrap/>
          </w:tcPr>
          <w:p w14:paraId="29169DF8"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70</w:t>
            </w:r>
          </w:p>
        </w:tc>
        <w:tc>
          <w:tcPr>
            <w:tcW w:w="417" w:type="dxa"/>
            <w:shd w:val="clear" w:color="auto" w:fill="C6EFCE"/>
            <w:noWrap/>
          </w:tcPr>
          <w:p w14:paraId="63B6E9DD"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556" w:type="dxa"/>
            <w:shd w:val="clear" w:color="auto" w:fill="C6EFCE"/>
            <w:noWrap/>
          </w:tcPr>
          <w:p w14:paraId="7B36BB04"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2026</w:t>
            </w:r>
          </w:p>
        </w:tc>
        <w:tc>
          <w:tcPr>
            <w:tcW w:w="5272" w:type="dxa"/>
            <w:shd w:val="clear" w:color="auto" w:fill="C6EFCE"/>
            <w:noWrap/>
          </w:tcPr>
          <w:p w14:paraId="7DB192B1" w14:textId="58E06F9D" w:rsidR="00D65CB4" w:rsidRPr="00BC4EE7" w:rsidRDefault="00572307">
            <w:pPr>
              <w:pStyle w:val="P68B1DB1-Normal12"/>
              <w:spacing w:after="0" w:line="240" w:lineRule="auto"/>
              <w:rPr>
                <w:rFonts w:cs="Times New Roman"/>
                <w:noProof/>
              </w:rPr>
            </w:pPr>
            <w:r w:rsidRPr="00BC4EE7">
              <w:rPr>
                <w:rFonts w:cs="Times New Roman"/>
                <w:noProof/>
              </w:rPr>
              <w:t>Legalább 70 „Cercanías” állomást fejlesztettek ki az ADIF által, főként a hozzáférhetőségi munkák, valamint az új vagy felújított vasúti vágányok tekintetében</w:t>
            </w:r>
          </w:p>
          <w:p w14:paraId="20559573" w14:textId="77777777" w:rsidR="00D65CB4" w:rsidRPr="00BC4EE7" w:rsidRDefault="00572307">
            <w:pPr>
              <w:pStyle w:val="P68B1DB1-Normal12"/>
              <w:spacing w:after="0" w:line="240" w:lineRule="auto"/>
              <w:rPr>
                <w:rFonts w:cs="Times New Roman"/>
                <w:noProof/>
              </w:rPr>
            </w:pPr>
            <w:r w:rsidRPr="00BC4EE7">
              <w:rPr>
                <w:rFonts w:cs="Times New Roman"/>
                <w:noProof/>
              </w:rPr>
              <w:t>(Alapforgatókönyv: 2023. december 31.)</w:t>
            </w:r>
          </w:p>
        </w:tc>
      </w:tr>
    </w:tbl>
    <w:p w14:paraId="4EDD7DA2" w14:textId="1CB3545C" w:rsidR="00D65CB4" w:rsidRPr="00BC4EE7" w:rsidRDefault="00D65CB4">
      <w:pPr>
        <w:rPr>
          <w:rFonts w:ascii="Times New Roman" w:hAnsi="Times New Roman" w:cs="Times New Roman"/>
          <w:noProof/>
        </w:rPr>
      </w:pPr>
    </w:p>
    <w:p w14:paraId="1367D495" w14:textId="77777777" w:rsidR="00D65CB4" w:rsidRPr="00BC4EE7" w:rsidRDefault="00D65CB4">
      <w:pPr>
        <w:rPr>
          <w:rFonts w:ascii="Times New Roman" w:hAnsi="Times New Roman" w:cs="Times New Roman"/>
          <w:noProof/>
        </w:rPr>
      </w:pPr>
    </w:p>
    <w:p w14:paraId="69DAA9C7" w14:textId="6DF030F0" w:rsidR="00D65CB4" w:rsidRPr="00BC4EE7" w:rsidRDefault="00D65CB4">
      <w:pPr>
        <w:rPr>
          <w:rFonts w:ascii="Times New Roman" w:hAnsi="Times New Roman" w:cs="Times New Roman"/>
          <w:noProof/>
        </w:rPr>
      </w:pPr>
    </w:p>
    <w:p w14:paraId="5BB82DF8" w14:textId="6DF030F0" w:rsidR="00D65CB4" w:rsidRPr="00BC4EE7" w:rsidRDefault="00D65CB4">
      <w:pPr>
        <w:rPr>
          <w:rFonts w:ascii="Times New Roman" w:hAnsi="Times New Roman" w:cs="Times New Roman"/>
          <w:noProof/>
          <w:sz w:val="24"/>
        </w:rPr>
      </w:pPr>
    </w:p>
    <w:p w14:paraId="1BC42712" w14:textId="77777777" w:rsidR="00D65CB4" w:rsidRPr="00BC4EE7" w:rsidRDefault="00D65CB4">
      <w:pPr>
        <w:rPr>
          <w:rFonts w:ascii="Times New Roman" w:hAnsi="Times New Roman" w:cs="Times New Roman"/>
          <w:noProof/>
          <w:sz w:val="24"/>
        </w:rPr>
        <w:sectPr w:rsidR="00D65CB4" w:rsidRPr="00BC4EE7" w:rsidSect="00B511EF">
          <w:headerReference w:type="even" r:id="rId21"/>
          <w:headerReference w:type="default" r:id="rId22"/>
          <w:footerReference w:type="even" r:id="rId23"/>
          <w:footerReference w:type="default" r:id="rId24"/>
          <w:headerReference w:type="first" r:id="rId25"/>
          <w:footerReference w:type="first" r:id="rId26"/>
          <w:pgSz w:w="16839" w:h="11907" w:orient="landscape"/>
          <w:pgMar w:top="1134" w:right="1134" w:bottom="1134" w:left="1134" w:header="567" w:footer="567" w:gutter="0"/>
          <w:cols w:space="720"/>
          <w:docGrid w:linePitch="360"/>
        </w:sectPr>
      </w:pPr>
    </w:p>
    <w:p w14:paraId="6EB2900A" w14:textId="51884807" w:rsidR="00D65CB4" w:rsidRPr="00BC4EE7" w:rsidRDefault="00572307">
      <w:pPr>
        <w:spacing w:before="120" w:after="120" w:line="240" w:lineRule="auto"/>
        <w:jc w:val="both"/>
        <w:rPr>
          <w:rFonts w:ascii="Times New Roman" w:hAnsi="Times New Roman" w:cs="Times New Roman"/>
          <w:b/>
          <w:noProof/>
          <w:sz w:val="24"/>
          <w:u w:val="single"/>
        </w:rPr>
      </w:pPr>
      <w:r w:rsidRPr="00BC4EE7">
        <w:rPr>
          <w:rFonts w:ascii="Times New Roman" w:hAnsi="Times New Roman" w:cs="Times New Roman"/>
          <w:b/>
          <w:noProof/>
          <w:sz w:val="24"/>
          <w:u w:val="single"/>
        </w:rPr>
        <w:t xml:space="preserve">A.4.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A hiteltámogatással kapcsolatos reformok és beruházások ismertetése</w:t>
      </w:r>
    </w:p>
    <w:p w14:paraId="6080E2C9" w14:textId="46FBA745" w:rsidR="00D65CB4" w:rsidRPr="00BC4EE7" w:rsidRDefault="00572307">
      <w:pPr>
        <w:pStyle w:val="P68B1DB1-Normal5"/>
        <w:spacing w:before="120" w:after="120" w:line="240" w:lineRule="auto"/>
        <w:jc w:val="both"/>
        <w:rPr>
          <w:rFonts w:cs="Times New Roman"/>
          <w:noProof/>
        </w:rPr>
      </w:pPr>
      <w:r w:rsidRPr="00BC4EE7">
        <w:rPr>
          <w:rFonts w:cs="Times New Roman"/>
          <w:noProof/>
        </w:rPr>
        <w:t>Reform (C1.R3) – Az alacsony kibocsátású zónákra vonatkozó minimumkövetelményeket szabályozó királyi rendelet</w:t>
      </w:r>
    </w:p>
    <w:p w14:paraId="5FFDA65D" w14:textId="133FB426"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 reform célja, hogy hatályba lépjen a december 27-i 1052/2022. sz. királyi rendelet, amely a május 20-i 7/2021. sz. törvény 14. cikkének (3) bekezdésében meghatározott jogi követelményekkel összhangban meghatározza a helyi hatóságok által a több mint 50000 lakosú településeken és a szigeti területeken létrehozott alacsony kibocsátású övezetekre vonatkozó minimumkövetelményeket. </w:t>
      </w:r>
    </w:p>
    <w:p w14:paraId="3821A1C6" w14:textId="45AC0A32"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királyi rendeletben meghatározott minimumkövetelmények a következőkre terjednek ki: </w:t>
      </w:r>
    </w:p>
    <w:p w14:paraId="331A4407" w14:textId="103345F9" w:rsidR="00D65CB4" w:rsidRPr="00BC4EE7" w:rsidRDefault="00572307">
      <w:pPr>
        <w:pStyle w:val="P68B1DB1-Normal4"/>
        <w:spacing w:before="120" w:after="120" w:line="240" w:lineRule="auto"/>
        <w:jc w:val="both"/>
        <w:rPr>
          <w:rFonts w:cs="Times New Roman"/>
          <w:noProof/>
        </w:rPr>
      </w:pPr>
      <w:r w:rsidRPr="00BC4EE7">
        <w:rPr>
          <w:rFonts w:cs="Times New Roman"/>
          <w:noProof/>
        </w:rPr>
        <w:t>– a helyi hatóságok azon kötelezettsége, hogy meghatározzák a LEZ-ek célkitűzéseinek elérése érdekében végrehajtandó konkrét intézkedéseket, amelyek a levegőminőség javítására és az éghajlatváltozás hatásainak enyhítésére, valamint a zajjal, a fenntartható mobilitással és az energiahatékonysággal kapcsolatos célkitűzéseknek a közlekedési eszközök használata során való betartásának előmozdítására irányulnak. Ezen intézkedések célja a fenntarthatóbb közlekedési módokra való modális váltás ösztönzése, előnyben részesítve az aktív mobilitást és a tömegközlekedést.</w:t>
      </w:r>
    </w:p>
    <w:p w14:paraId="4B535B1A" w14:textId="3AB8A5F8"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 Az LEZ-ek meghatározására vonatkozó kötelezettség azon utazások kiindulási és célállomása tekintetében, amelyek esetében szükségesnek ítélték a modális váltás vagy az utazások csökkentésének ösztönzése révén történő beavatkozást. </w:t>
      </w:r>
    </w:p>
    <w:p w14:paraId="65D0042B" w14:textId="3C11E84F"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 A LEZ-ek területének megfelelőnek és elégségesnek kell lennie a megállapított célkitűzések teljesítéséhez, és arányosnak kell lennie azokkal. A királyi rendelet a helyi hatóságok döntése alapján lehetőséget teremt arra, hogy a nagyobb városokban és a szigeti területeken több LEZ-t alakítsanak ki. </w:t>
      </w:r>
    </w:p>
    <w:p w14:paraId="0A17EE4E" w14:textId="2C33315A" w:rsidR="00D65CB4" w:rsidRPr="00BC4EE7" w:rsidRDefault="00572307">
      <w:pPr>
        <w:pStyle w:val="P68B1DB1-Normal4"/>
        <w:spacing w:before="120" w:after="120" w:line="240" w:lineRule="auto"/>
        <w:jc w:val="both"/>
        <w:rPr>
          <w:rFonts w:cs="Times New Roman"/>
          <w:noProof/>
        </w:rPr>
      </w:pPr>
      <w:r w:rsidRPr="00BC4EE7">
        <w:rPr>
          <w:rFonts w:cs="Times New Roman"/>
          <w:noProof/>
        </w:rPr>
        <w:t>– A számszerűsíthető levegőminőségi célkitűzések meghatározása, amelyek javulást eredményeznek az alacsony kibocsátási övezetek nélküli kiindulási helyzethez képest. A LEZ-ek emellett hozzájárulnak az Egészségügyi Világszervezet levegőminőségi irányelveiben meghatározott irányadó értékek eléréséhez.</w:t>
      </w:r>
    </w:p>
    <w:p w14:paraId="0C6247AF" w14:textId="718EA12D"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 Az alacsony kibocsátási övezetekre vonatkozó projektnek mérhető és számszerűsíthető célokat kell tartalmaznia az üvegházhatású gázok kibocsátásának 2030-ig történő csökkentésére vonatkozóan, összhangban a nemzeti integrált energia- és éghajlat-politikai tervben (PNIEC) meghatározott célkitűzésekkel, különösen azzal a célkitűzéssel, hogy csökkenteni kell a magángépjárművek használatát más közlekedési módokhoz képest. </w:t>
      </w:r>
    </w:p>
    <w:p w14:paraId="17220018" w14:textId="105E6062"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 A járművekbe való belépésre, közlekedésre és parkolásra vonatkozó tilalmak vagy korlátozások, azok szennyező potenciáljától függően. </w:t>
      </w:r>
    </w:p>
    <w:p w14:paraId="49F755DC" w14:textId="6FEB6BD5" w:rsidR="00D65CB4" w:rsidRPr="00BC4EE7" w:rsidRDefault="00572307">
      <w:pPr>
        <w:pStyle w:val="P68B1DB1-Normal4"/>
        <w:spacing w:before="120" w:after="120" w:line="240" w:lineRule="auto"/>
        <w:jc w:val="both"/>
        <w:rPr>
          <w:rFonts w:cs="Times New Roman"/>
          <w:noProof/>
        </w:rPr>
      </w:pPr>
      <w:r w:rsidRPr="00BC4EE7">
        <w:rPr>
          <w:rFonts w:cs="Times New Roman"/>
          <w:noProof/>
        </w:rPr>
        <w:t>A királyi rendelet az 1052/2022. sz. királyi rendelet jóváhagyása előtt létrehozott, már meglévő LEZ-ek számára 18 hónapos átmeneti időszakot biztosít az említett minimumkövetelményekhez való alkalmazkodásra.</w:t>
      </w:r>
    </w:p>
    <w:p w14:paraId="5A9B3D10" w14:textId="35F924EE" w:rsidR="00D65CB4" w:rsidRPr="00BC4EE7" w:rsidRDefault="00572307">
      <w:pPr>
        <w:pStyle w:val="P68B1DB1-Normal4"/>
        <w:spacing w:after="0"/>
        <w:rPr>
          <w:rFonts w:cs="Times New Roman"/>
          <w:noProof/>
        </w:rPr>
      </w:pPr>
      <w:r w:rsidRPr="00BC4EE7">
        <w:rPr>
          <w:rFonts w:cs="Times New Roman"/>
          <w:noProof/>
        </w:rPr>
        <w:t xml:space="preserve">Az intézkedés végrehajtását 2022 decemberéig be kell fejezni. </w:t>
      </w:r>
    </w:p>
    <w:p w14:paraId="7FBD4578" w14:textId="3C3D3D0F" w:rsidR="00D65CB4" w:rsidRPr="00BC4EE7" w:rsidRDefault="00D65CB4">
      <w:pPr>
        <w:spacing w:before="120" w:after="120" w:line="240" w:lineRule="auto"/>
        <w:rPr>
          <w:rFonts w:ascii="Times New Roman" w:eastAsia="Times New Roman" w:hAnsi="Times New Roman" w:cs="Times New Roman"/>
          <w:noProof/>
          <w:sz w:val="24"/>
        </w:rPr>
      </w:pPr>
    </w:p>
    <w:p w14:paraId="01CE9A3D" w14:textId="0CC93156" w:rsidR="00D65CB4" w:rsidRPr="00BC4EE7" w:rsidRDefault="00572307">
      <w:pPr>
        <w:spacing w:before="120" w:after="120" w:line="240" w:lineRule="auto"/>
        <w:ind w:left="720"/>
        <w:jc w:val="both"/>
        <w:rPr>
          <w:rFonts w:ascii="Times New Roman" w:hAnsi="Times New Roman" w:cs="Times New Roman"/>
          <w:b/>
          <w:noProof/>
          <w:sz w:val="24"/>
          <w:u w:val="single"/>
        </w:rPr>
      </w:pPr>
      <w:r w:rsidRPr="00BC4EE7">
        <w:rPr>
          <w:rFonts w:ascii="Times New Roman" w:hAnsi="Times New Roman" w:cs="Times New Roman"/>
          <w:b/>
          <w:noProof/>
          <w:sz w:val="24"/>
          <w:u w:val="single"/>
        </w:rPr>
        <w:t xml:space="preserve">A.5.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A hiteltámogatás nyomon követésére és végrehajtására vonatkozó mérföldkövek, célok, mutatók és ütemterv</w:t>
      </w:r>
    </w:p>
    <w:p w14:paraId="25E41C73" w14:textId="7A957642" w:rsidR="00D65CB4" w:rsidRPr="00BC4EE7" w:rsidRDefault="00572307">
      <w:pPr>
        <w:pStyle w:val="P68B1DB1-Normal4"/>
        <w:spacing w:before="120" w:after="120" w:line="240" w:lineRule="auto"/>
        <w:jc w:val="both"/>
        <w:rPr>
          <w:rFonts w:cs="Times New Roman"/>
          <w:i/>
          <w:noProof/>
        </w:rPr>
        <w:sectPr w:rsidR="00D65CB4" w:rsidRPr="00BC4EE7" w:rsidSect="00B511EF">
          <w:headerReference w:type="even" r:id="rId27"/>
          <w:headerReference w:type="default" r:id="rId28"/>
          <w:footerReference w:type="even" r:id="rId29"/>
          <w:footerReference w:type="default" r:id="rId30"/>
          <w:headerReference w:type="first" r:id="rId31"/>
          <w:footerReference w:type="first" r:id="rId32"/>
          <w:pgSz w:w="11907" w:h="16839"/>
          <w:pgMar w:top="1134" w:right="1134" w:bottom="1134" w:left="1134" w:header="567" w:footer="567" w:gutter="0"/>
          <w:cols w:space="720"/>
          <w:docGrid w:linePitch="360"/>
        </w:sectPr>
      </w:pPr>
      <w:r w:rsidRPr="00BC4EE7">
        <w:rPr>
          <w:rFonts w:cs="Times New Roman"/>
          <w:i/>
          <w:noProof/>
        </w:rPr>
        <w:t>Táblázat alább.</w:t>
      </w:r>
      <w:r w:rsidRPr="00BC4EE7">
        <w:rPr>
          <w:rFonts w:cs="Times New Roman"/>
          <w:noProof/>
        </w:rPr>
        <w:t xml:space="preserve"> </w:t>
      </w:r>
      <w:r w:rsidRPr="00BC4EE7">
        <w:rPr>
          <w:rFonts w:cs="Times New Roman"/>
          <w:i/>
          <w:noProof/>
        </w:rPr>
        <w:t>Az összes mutató esetében az alapforgatókönyv időpontja 2020. február 1., kivéve, ha az intézkedés leírása ettől eltérően rendelkezik. A táblázatban szereplő összegek nem tartalmazzák a héát</w:t>
      </w:r>
    </w:p>
    <w:p w14:paraId="3592CA0E" w14:textId="7BF58D31" w:rsidR="00D65CB4" w:rsidRPr="00BC4EE7" w:rsidRDefault="00D65CB4">
      <w:pPr>
        <w:spacing w:before="120" w:after="120" w:line="240" w:lineRule="auto"/>
        <w:jc w:val="both"/>
        <w:rPr>
          <w:rFonts w:ascii="Times New Roman" w:hAnsi="Times New Roman" w:cs="Times New Roman"/>
          <w:i/>
          <w:noProof/>
          <w:sz w:val="24"/>
        </w:rPr>
      </w:pPr>
    </w:p>
    <w:tbl>
      <w:tblPr>
        <w:tblW w:w="15310"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32"/>
        <w:gridCol w:w="1012"/>
        <w:gridCol w:w="992"/>
        <w:gridCol w:w="2410"/>
        <w:gridCol w:w="1239"/>
        <w:gridCol w:w="829"/>
        <w:gridCol w:w="966"/>
        <w:gridCol w:w="828"/>
        <w:gridCol w:w="415"/>
        <w:gridCol w:w="553"/>
        <w:gridCol w:w="5234"/>
      </w:tblGrid>
      <w:tr w:rsidR="00D65CB4" w:rsidRPr="00BC4EE7" w14:paraId="6BD95B45" w14:textId="77777777" w:rsidTr="00BA5F87">
        <w:trPr>
          <w:trHeight w:val="309"/>
          <w:tblHeader/>
        </w:trPr>
        <w:tc>
          <w:tcPr>
            <w:tcW w:w="832" w:type="dxa"/>
            <w:tcBorders>
              <w:bottom w:val="nil"/>
            </w:tcBorders>
            <w:shd w:val="clear" w:color="auto" w:fill="C6D9F1" w:themeFill="text2" w:themeFillTint="33"/>
            <w:noWrap/>
          </w:tcPr>
          <w:p w14:paraId="1AACD3FD"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Szám</w:t>
            </w:r>
          </w:p>
        </w:tc>
        <w:tc>
          <w:tcPr>
            <w:tcW w:w="1012" w:type="dxa"/>
            <w:tcBorders>
              <w:bottom w:val="nil"/>
            </w:tcBorders>
            <w:shd w:val="clear" w:color="auto" w:fill="C6D9F1" w:themeFill="text2" w:themeFillTint="33"/>
            <w:noWrap/>
          </w:tcPr>
          <w:p w14:paraId="734D5A56"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Intézkedés</w:t>
            </w:r>
          </w:p>
        </w:tc>
        <w:tc>
          <w:tcPr>
            <w:tcW w:w="992" w:type="dxa"/>
            <w:tcBorders>
              <w:bottom w:val="nil"/>
            </w:tcBorders>
            <w:shd w:val="clear" w:color="auto" w:fill="C6D9F1" w:themeFill="text2" w:themeFillTint="33"/>
            <w:noWrap/>
          </w:tcPr>
          <w:p w14:paraId="798F95BE" w14:textId="77777777" w:rsidR="00D65CB4" w:rsidRPr="00BC4EE7" w:rsidRDefault="00572307">
            <w:pPr>
              <w:spacing w:after="0" w:line="240" w:lineRule="auto"/>
              <w:jc w:val="center"/>
              <w:rPr>
                <w:rFonts w:ascii="Times New Roman" w:hAnsi="Times New Roman" w:cs="Times New Roman"/>
                <w:b/>
                <w:noProof/>
                <w:sz w:val="18"/>
              </w:rPr>
            </w:pPr>
            <w:r w:rsidRPr="00BC4EE7">
              <w:rPr>
                <w:rFonts w:ascii="Times New Roman" w:hAnsi="Times New Roman" w:cs="Times New Roman"/>
                <w:b/>
                <w:noProof/>
                <w:sz w:val="18"/>
              </w:rPr>
              <w:t>Mérföldkő</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b/>
                <w:noProof/>
                <w:sz w:val="18"/>
              </w:rPr>
              <w:t xml:space="preserve"> /Cél</w:t>
            </w:r>
          </w:p>
        </w:tc>
        <w:tc>
          <w:tcPr>
            <w:tcW w:w="2410" w:type="dxa"/>
            <w:tcBorders>
              <w:bottom w:val="nil"/>
            </w:tcBorders>
            <w:shd w:val="clear" w:color="auto" w:fill="C6D9F1" w:themeFill="text2" w:themeFillTint="33"/>
            <w:noWrap/>
          </w:tcPr>
          <w:p w14:paraId="147087A6"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Név</w:t>
            </w:r>
          </w:p>
        </w:tc>
        <w:tc>
          <w:tcPr>
            <w:tcW w:w="1239" w:type="dxa"/>
            <w:tcBorders>
              <w:bottom w:val="nil"/>
            </w:tcBorders>
            <w:shd w:val="clear" w:color="auto" w:fill="C6D9F1" w:themeFill="text2" w:themeFillTint="33"/>
            <w:noWrap/>
          </w:tcPr>
          <w:p w14:paraId="3C1094E4"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mérföldkövek minőségi mutatója</w:t>
            </w:r>
          </w:p>
        </w:tc>
        <w:tc>
          <w:tcPr>
            <w:tcW w:w="2623" w:type="dxa"/>
            <w:gridSpan w:val="3"/>
            <w:shd w:val="clear" w:color="auto" w:fill="C6D9F1" w:themeFill="text2" w:themeFillTint="33"/>
            <w:noWrap/>
          </w:tcPr>
          <w:p w14:paraId="632CC166"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célérték mennyiségi mutatója</w:t>
            </w:r>
          </w:p>
        </w:tc>
        <w:tc>
          <w:tcPr>
            <w:tcW w:w="968" w:type="dxa"/>
            <w:gridSpan w:val="2"/>
            <w:shd w:val="clear" w:color="auto" w:fill="C6D9F1" w:themeFill="text2" w:themeFillTint="33"/>
            <w:noWrap/>
          </w:tcPr>
          <w:p w14:paraId="47044656"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Idő</w:t>
            </w:r>
          </w:p>
        </w:tc>
        <w:tc>
          <w:tcPr>
            <w:tcW w:w="5234" w:type="dxa"/>
            <w:tcBorders>
              <w:bottom w:val="nil"/>
            </w:tcBorders>
            <w:shd w:val="clear" w:color="auto" w:fill="C6D9F1" w:themeFill="text2" w:themeFillTint="33"/>
            <w:noWrap/>
          </w:tcPr>
          <w:p w14:paraId="0A0B3ABF"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Az egyes mérföldkövek és célértékek leírása</w:t>
            </w:r>
          </w:p>
        </w:tc>
      </w:tr>
      <w:tr w:rsidR="00D65CB4" w:rsidRPr="00BC4EE7" w14:paraId="148BE033" w14:textId="77777777" w:rsidTr="00BA5F87">
        <w:trPr>
          <w:trHeight w:val="309"/>
          <w:tblHeader/>
        </w:trPr>
        <w:tc>
          <w:tcPr>
            <w:tcW w:w="832" w:type="dxa"/>
            <w:tcBorders>
              <w:top w:val="nil"/>
            </w:tcBorders>
            <w:shd w:val="clear" w:color="auto" w:fill="C6D9F1" w:themeFill="text2" w:themeFillTint="33"/>
            <w:noWrap/>
          </w:tcPr>
          <w:p w14:paraId="0C8F5484" w14:textId="77777777" w:rsidR="00D65CB4" w:rsidRPr="00BC4EE7" w:rsidRDefault="00D65CB4">
            <w:pPr>
              <w:spacing w:after="0" w:line="240" w:lineRule="auto"/>
              <w:jc w:val="center"/>
              <w:rPr>
                <w:rFonts w:ascii="Times New Roman" w:hAnsi="Times New Roman" w:cs="Times New Roman"/>
                <w:b/>
                <w:noProof/>
                <w:sz w:val="18"/>
              </w:rPr>
            </w:pPr>
          </w:p>
        </w:tc>
        <w:tc>
          <w:tcPr>
            <w:tcW w:w="1012" w:type="dxa"/>
            <w:tcBorders>
              <w:top w:val="nil"/>
            </w:tcBorders>
            <w:shd w:val="clear" w:color="auto" w:fill="C6D9F1" w:themeFill="text2" w:themeFillTint="33"/>
            <w:noWrap/>
          </w:tcPr>
          <w:p w14:paraId="71A9F589" w14:textId="77777777" w:rsidR="00D65CB4" w:rsidRPr="00BC4EE7" w:rsidRDefault="00D65CB4">
            <w:pPr>
              <w:spacing w:after="0" w:line="240" w:lineRule="auto"/>
              <w:jc w:val="center"/>
              <w:rPr>
                <w:rFonts w:ascii="Times New Roman" w:hAnsi="Times New Roman" w:cs="Times New Roman"/>
                <w:b/>
                <w:noProof/>
                <w:sz w:val="18"/>
              </w:rPr>
            </w:pPr>
          </w:p>
        </w:tc>
        <w:tc>
          <w:tcPr>
            <w:tcW w:w="992" w:type="dxa"/>
            <w:tcBorders>
              <w:top w:val="nil"/>
            </w:tcBorders>
            <w:shd w:val="clear" w:color="auto" w:fill="C6D9F1" w:themeFill="text2" w:themeFillTint="33"/>
            <w:noWrap/>
          </w:tcPr>
          <w:p w14:paraId="203D81B5" w14:textId="77777777" w:rsidR="00D65CB4" w:rsidRPr="00BC4EE7" w:rsidRDefault="00D65CB4">
            <w:pPr>
              <w:spacing w:after="0" w:line="240" w:lineRule="auto"/>
              <w:jc w:val="center"/>
              <w:rPr>
                <w:rFonts w:ascii="Times New Roman" w:hAnsi="Times New Roman" w:cs="Times New Roman"/>
                <w:b/>
                <w:noProof/>
                <w:sz w:val="18"/>
              </w:rPr>
            </w:pPr>
          </w:p>
        </w:tc>
        <w:tc>
          <w:tcPr>
            <w:tcW w:w="2410" w:type="dxa"/>
            <w:tcBorders>
              <w:top w:val="nil"/>
            </w:tcBorders>
            <w:shd w:val="clear" w:color="auto" w:fill="C6D9F1" w:themeFill="text2" w:themeFillTint="33"/>
            <w:noWrap/>
          </w:tcPr>
          <w:p w14:paraId="72A5B6D2" w14:textId="77777777" w:rsidR="00D65CB4" w:rsidRPr="00BC4EE7" w:rsidRDefault="00D65CB4">
            <w:pPr>
              <w:spacing w:after="0" w:line="240" w:lineRule="auto"/>
              <w:rPr>
                <w:rFonts w:ascii="Times New Roman" w:hAnsi="Times New Roman" w:cs="Times New Roman"/>
                <w:b/>
                <w:noProof/>
                <w:sz w:val="18"/>
              </w:rPr>
            </w:pPr>
          </w:p>
        </w:tc>
        <w:tc>
          <w:tcPr>
            <w:tcW w:w="1239" w:type="dxa"/>
            <w:tcBorders>
              <w:top w:val="nil"/>
            </w:tcBorders>
            <w:shd w:val="clear" w:color="auto" w:fill="C6D9F1" w:themeFill="text2" w:themeFillTint="33"/>
            <w:noWrap/>
          </w:tcPr>
          <w:p w14:paraId="5A638DB9" w14:textId="77777777" w:rsidR="00D65CB4" w:rsidRPr="00BC4EE7" w:rsidRDefault="00D65CB4">
            <w:pPr>
              <w:spacing w:after="0" w:line="240" w:lineRule="auto"/>
              <w:jc w:val="center"/>
              <w:rPr>
                <w:rFonts w:ascii="Times New Roman" w:hAnsi="Times New Roman" w:cs="Times New Roman"/>
                <w:b/>
                <w:noProof/>
                <w:sz w:val="18"/>
              </w:rPr>
            </w:pPr>
          </w:p>
        </w:tc>
        <w:tc>
          <w:tcPr>
            <w:tcW w:w="829" w:type="dxa"/>
            <w:shd w:val="clear" w:color="auto" w:fill="C6D9F1" w:themeFill="text2" w:themeFillTint="33"/>
            <w:noWrap/>
          </w:tcPr>
          <w:p w14:paraId="3840E0BA"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Egység</w:t>
            </w:r>
          </w:p>
        </w:tc>
        <w:tc>
          <w:tcPr>
            <w:tcW w:w="966" w:type="dxa"/>
            <w:shd w:val="clear" w:color="auto" w:fill="C6D9F1" w:themeFill="text2" w:themeFillTint="33"/>
            <w:noWrap/>
          </w:tcPr>
          <w:p w14:paraId="2BFA1657" w14:textId="13477B04" w:rsidR="00D65CB4" w:rsidRPr="00BC4EE7" w:rsidRDefault="00572307">
            <w:pPr>
              <w:pStyle w:val="P68B1DB1-Normal8"/>
              <w:spacing w:after="0" w:line="240" w:lineRule="auto"/>
              <w:jc w:val="center"/>
              <w:rPr>
                <w:rFonts w:cs="Times New Roman"/>
                <w:noProof/>
              </w:rPr>
            </w:pPr>
            <w:r w:rsidRPr="00BC4EE7">
              <w:rPr>
                <w:rFonts w:cs="Times New Roman"/>
                <w:noProof/>
              </w:rPr>
              <w:t>Kiindulási</w:t>
            </w:r>
          </w:p>
        </w:tc>
        <w:tc>
          <w:tcPr>
            <w:tcW w:w="828" w:type="dxa"/>
            <w:shd w:val="clear" w:color="auto" w:fill="C6D9F1" w:themeFill="text2" w:themeFillTint="33"/>
            <w:noWrap/>
          </w:tcPr>
          <w:p w14:paraId="3437C81F"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Cél</w:t>
            </w:r>
          </w:p>
        </w:tc>
        <w:tc>
          <w:tcPr>
            <w:tcW w:w="415" w:type="dxa"/>
            <w:shd w:val="clear" w:color="auto" w:fill="C6D9F1" w:themeFill="text2" w:themeFillTint="33"/>
            <w:noWrap/>
          </w:tcPr>
          <w:p w14:paraId="5B050FCC"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Q</w:t>
            </w:r>
          </w:p>
        </w:tc>
        <w:tc>
          <w:tcPr>
            <w:tcW w:w="553" w:type="dxa"/>
            <w:shd w:val="clear" w:color="auto" w:fill="C6D9F1" w:themeFill="text2" w:themeFillTint="33"/>
            <w:noWrap/>
          </w:tcPr>
          <w:p w14:paraId="6C3BEA56"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Éve</w:t>
            </w:r>
          </w:p>
        </w:tc>
        <w:tc>
          <w:tcPr>
            <w:tcW w:w="5234" w:type="dxa"/>
            <w:tcBorders>
              <w:top w:val="nil"/>
            </w:tcBorders>
            <w:shd w:val="clear" w:color="auto" w:fill="C6D9F1" w:themeFill="text2" w:themeFillTint="33"/>
            <w:noWrap/>
          </w:tcPr>
          <w:p w14:paraId="5199CE4A" w14:textId="77777777" w:rsidR="00D65CB4" w:rsidRPr="00BC4EE7" w:rsidRDefault="00D65CB4">
            <w:pPr>
              <w:spacing w:after="0" w:line="240" w:lineRule="auto"/>
              <w:rPr>
                <w:rFonts w:ascii="Times New Roman" w:hAnsi="Times New Roman" w:cs="Times New Roman"/>
                <w:b/>
                <w:noProof/>
                <w:sz w:val="18"/>
              </w:rPr>
            </w:pPr>
          </w:p>
        </w:tc>
      </w:tr>
      <w:tr w:rsidR="00D65CB4" w:rsidRPr="00BC4EE7" w14:paraId="3E464E53" w14:textId="77777777" w:rsidTr="00BA5F87">
        <w:trPr>
          <w:trHeight w:val="1382"/>
        </w:trPr>
        <w:tc>
          <w:tcPr>
            <w:tcW w:w="832" w:type="dxa"/>
            <w:shd w:val="clear" w:color="auto" w:fill="C6EFCE"/>
            <w:noWrap/>
          </w:tcPr>
          <w:p w14:paraId="5524CCE8" w14:textId="42F22272" w:rsidR="00D65CB4" w:rsidRPr="00BC4EE7" w:rsidRDefault="00572307">
            <w:pPr>
              <w:spacing w:after="0" w:line="240" w:lineRule="auto"/>
              <w:jc w:val="center"/>
              <w:rPr>
                <w:rFonts w:ascii="Times New Roman" w:eastAsia="MS Mincho" w:hAnsi="Times New Roman" w:cs="Times New Roman"/>
                <w:noProof/>
                <w:sz w:val="18"/>
              </w:rPr>
            </w:pPr>
            <w:r w:rsidRPr="00BC4EE7">
              <w:rPr>
                <w:rFonts w:ascii="Times New Roman" w:hAnsi="Times New Roman" w:cs="Times New Roman"/>
                <w:noProof/>
                <w:sz w:val="18"/>
              </w:rPr>
              <w:t>L1</w:t>
            </w:r>
            <w:r w:rsidRPr="00BC4EE7">
              <w:rPr>
                <w:rFonts w:ascii="Times New Roman" w:hAnsi="Times New Roman" w:cs="Times New Roman"/>
                <w:b/>
                <w:noProof/>
                <w:sz w:val="48"/>
              </w:rPr>
              <w:t xml:space="preserve"> </w:t>
            </w:r>
            <w:r w:rsidRPr="00BC4EE7">
              <w:rPr>
                <w:rFonts w:ascii="Times New Roman" w:hAnsi="Times New Roman" w:cs="Times New Roman"/>
                <w:noProof/>
              </w:rPr>
              <w:tab/>
            </w:r>
            <w:r w:rsidRPr="00BC4EE7">
              <w:rPr>
                <w:rFonts w:ascii="Times New Roman" w:hAnsi="Times New Roman" w:cs="Times New Roman"/>
                <w:noProof/>
              </w:rPr>
              <w:tab/>
            </w:r>
            <w:r w:rsidRPr="00BC4EE7">
              <w:rPr>
                <w:rFonts w:ascii="Times New Roman" w:hAnsi="Times New Roman" w:cs="Times New Roman"/>
                <w:noProof/>
              </w:rPr>
              <w:tab/>
            </w:r>
          </w:p>
        </w:tc>
        <w:tc>
          <w:tcPr>
            <w:tcW w:w="1012" w:type="dxa"/>
            <w:shd w:val="clear" w:color="auto" w:fill="C6EFCE"/>
            <w:noWrap/>
          </w:tcPr>
          <w:p w14:paraId="7FD5CBF3" w14:textId="6A46C06E"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C1.R3</w:t>
            </w:r>
          </w:p>
        </w:tc>
        <w:tc>
          <w:tcPr>
            <w:tcW w:w="992" w:type="dxa"/>
            <w:shd w:val="clear" w:color="auto" w:fill="C6EFCE"/>
            <w:noWrap/>
          </w:tcPr>
          <w:p w14:paraId="47FE2A27"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M</w:t>
            </w:r>
          </w:p>
        </w:tc>
        <w:tc>
          <w:tcPr>
            <w:tcW w:w="2410" w:type="dxa"/>
            <w:shd w:val="clear" w:color="auto" w:fill="C6EFCE"/>
            <w:noWrap/>
          </w:tcPr>
          <w:p w14:paraId="7CA40430" w14:textId="6B532929" w:rsidR="00D65CB4" w:rsidRPr="00BC4EE7" w:rsidRDefault="00572307">
            <w:pPr>
              <w:pStyle w:val="P68B1DB1-Normal12"/>
              <w:spacing w:after="0" w:line="240" w:lineRule="auto"/>
              <w:rPr>
                <w:rFonts w:eastAsia="MS Mincho" w:cs="Times New Roman"/>
                <w:noProof/>
              </w:rPr>
            </w:pPr>
            <w:r w:rsidRPr="00BC4EE7">
              <w:rPr>
                <w:rFonts w:cs="Times New Roman"/>
                <w:noProof/>
              </w:rPr>
              <w:t>Az alacsony kibocsátású zónákat szabályozó királyi rendelet hatálybalépése</w:t>
            </w:r>
          </w:p>
        </w:tc>
        <w:tc>
          <w:tcPr>
            <w:tcW w:w="1239" w:type="dxa"/>
            <w:shd w:val="clear" w:color="auto" w:fill="C6EFCE"/>
            <w:noWrap/>
          </w:tcPr>
          <w:p w14:paraId="3B41A677" w14:textId="0A7A99E8"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A királyi törvényerejű rendelet hatálybalépését feltüntető rendelkezés</w:t>
            </w:r>
          </w:p>
        </w:tc>
        <w:tc>
          <w:tcPr>
            <w:tcW w:w="829" w:type="dxa"/>
            <w:shd w:val="clear" w:color="auto" w:fill="C6EFCE"/>
            <w:noWrap/>
          </w:tcPr>
          <w:p w14:paraId="609BF4FA"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966" w:type="dxa"/>
            <w:shd w:val="clear" w:color="auto" w:fill="C6EFCE"/>
            <w:noWrap/>
          </w:tcPr>
          <w:p w14:paraId="5A11FB2D"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828" w:type="dxa"/>
            <w:shd w:val="clear" w:color="auto" w:fill="C6EFCE"/>
            <w:noWrap/>
          </w:tcPr>
          <w:p w14:paraId="7EDDDDD0"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415" w:type="dxa"/>
            <w:shd w:val="clear" w:color="auto" w:fill="C6EFCE"/>
            <w:noWrap/>
          </w:tcPr>
          <w:p w14:paraId="2093670E"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Q4</w:t>
            </w:r>
          </w:p>
        </w:tc>
        <w:tc>
          <w:tcPr>
            <w:tcW w:w="553" w:type="dxa"/>
            <w:shd w:val="clear" w:color="auto" w:fill="C6EFCE"/>
            <w:noWrap/>
          </w:tcPr>
          <w:p w14:paraId="51E54C8A" w14:textId="6B1993A0"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2022</w:t>
            </w:r>
          </w:p>
        </w:tc>
        <w:tc>
          <w:tcPr>
            <w:tcW w:w="5234" w:type="dxa"/>
            <w:shd w:val="clear" w:color="auto" w:fill="C6EFCE"/>
            <w:noWrap/>
          </w:tcPr>
          <w:p w14:paraId="64B63CC5" w14:textId="32E6CE3F" w:rsidR="00D65CB4" w:rsidRPr="00BC4EE7" w:rsidRDefault="00572307">
            <w:pPr>
              <w:pStyle w:val="P68B1DB1-Normal12"/>
              <w:spacing w:after="0" w:line="240" w:lineRule="auto"/>
              <w:rPr>
                <w:rFonts w:eastAsia="MS Mincho" w:cs="Times New Roman"/>
                <w:noProof/>
              </w:rPr>
            </w:pPr>
            <w:r w:rsidRPr="00BC4EE7">
              <w:rPr>
                <w:rFonts w:cs="Times New Roman"/>
                <w:noProof/>
              </w:rPr>
              <w:t>Az alacsony kibocsátású zónákat szabályozó, december 27-i 1052/2022. sz. királyi rendelet hatálybalépése</w:t>
            </w:r>
          </w:p>
        </w:tc>
      </w:tr>
    </w:tbl>
    <w:p w14:paraId="308E1221" w14:textId="77777777" w:rsidR="00D65CB4" w:rsidRPr="00BC4EE7" w:rsidRDefault="00D65CB4">
      <w:pPr>
        <w:spacing w:before="120" w:after="120" w:line="240" w:lineRule="auto"/>
        <w:jc w:val="both"/>
        <w:rPr>
          <w:rFonts w:ascii="Times New Roman" w:hAnsi="Times New Roman" w:cs="Times New Roman"/>
          <w:i/>
          <w:noProof/>
          <w:sz w:val="24"/>
        </w:rPr>
      </w:pPr>
    </w:p>
    <w:p w14:paraId="1FC01242" w14:textId="77777777" w:rsidR="00D65CB4" w:rsidRPr="00BC4EE7" w:rsidRDefault="00D65CB4">
      <w:pPr>
        <w:spacing w:before="120" w:after="120" w:line="240" w:lineRule="auto"/>
        <w:jc w:val="both"/>
        <w:rPr>
          <w:rFonts w:ascii="Times New Roman" w:hAnsi="Times New Roman" w:cs="Times New Roman"/>
          <w:i/>
          <w:noProof/>
          <w:sz w:val="24"/>
        </w:rPr>
      </w:pPr>
    </w:p>
    <w:p w14:paraId="7A221F47" w14:textId="77777777" w:rsidR="00D65CB4" w:rsidRPr="00BC4EE7" w:rsidRDefault="00D65CB4">
      <w:pPr>
        <w:spacing w:before="120" w:after="120" w:line="240" w:lineRule="auto"/>
        <w:jc w:val="both"/>
        <w:rPr>
          <w:rFonts w:ascii="Times New Roman" w:hAnsi="Times New Roman" w:cs="Times New Roman"/>
          <w:i/>
          <w:noProof/>
          <w:sz w:val="24"/>
        </w:rPr>
      </w:pPr>
    </w:p>
    <w:p w14:paraId="2AC58087" w14:textId="77777777" w:rsidR="00D65CB4" w:rsidRPr="00BC4EE7" w:rsidRDefault="00D65CB4">
      <w:pPr>
        <w:spacing w:before="120" w:after="120" w:line="240" w:lineRule="auto"/>
        <w:jc w:val="both"/>
        <w:rPr>
          <w:rFonts w:ascii="Times New Roman" w:hAnsi="Times New Roman" w:cs="Times New Roman"/>
          <w:i/>
          <w:noProof/>
          <w:sz w:val="24"/>
        </w:rPr>
      </w:pPr>
    </w:p>
    <w:p w14:paraId="40B73690" w14:textId="77777777" w:rsidR="00D65CB4" w:rsidRPr="00BC4EE7" w:rsidRDefault="00D65CB4">
      <w:pPr>
        <w:spacing w:before="120" w:after="120" w:line="240" w:lineRule="auto"/>
        <w:jc w:val="both"/>
        <w:rPr>
          <w:rFonts w:ascii="Times New Roman" w:hAnsi="Times New Roman" w:cs="Times New Roman"/>
          <w:i/>
          <w:noProof/>
          <w:sz w:val="24"/>
        </w:rPr>
      </w:pPr>
    </w:p>
    <w:p w14:paraId="3FB8C7C8" w14:textId="77777777" w:rsidR="00D65CB4" w:rsidRPr="00BC4EE7" w:rsidRDefault="00D65CB4">
      <w:pPr>
        <w:spacing w:before="120" w:after="120" w:line="240" w:lineRule="auto"/>
        <w:jc w:val="both"/>
        <w:rPr>
          <w:rFonts w:ascii="Times New Roman" w:hAnsi="Times New Roman" w:cs="Times New Roman"/>
          <w:i/>
          <w:noProof/>
          <w:sz w:val="24"/>
        </w:rPr>
      </w:pPr>
    </w:p>
    <w:p w14:paraId="5810D5C0" w14:textId="77777777" w:rsidR="00D65CB4" w:rsidRPr="00BC4EE7" w:rsidRDefault="00D65CB4">
      <w:pPr>
        <w:spacing w:before="120" w:after="120" w:line="240" w:lineRule="auto"/>
        <w:jc w:val="both"/>
        <w:rPr>
          <w:rFonts w:ascii="Times New Roman" w:hAnsi="Times New Roman" w:cs="Times New Roman"/>
          <w:i/>
          <w:noProof/>
          <w:sz w:val="24"/>
        </w:rPr>
      </w:pPr>
    </w:p>
    <w:p w14:paraId="4FA6A412" w14:textId="77777777" w:rsidR="00D65CB4" w:rsidRPr="00BC4EE7" w:rsidRDefault="00D65CB4">
      <w:pPr>
        <w:spacing w:before="120" w:after="120" w:line="240" w:lineRule="auto"/>
        <w:jc w:val="both"/>
        <w:rPr>
          <w:rFonts w:ascii="Times New Roman" w:hAnsi="Times New Roman" w:cs="Times New Roman"/>
          <w:i/>
          <w:noProof/>
          <w:sz w:val="24"/>
        </w:rPr>
      </w:pPr>
    </w:p>
    <w:p w14:paraId="432AC264" w14:textId="77777777" w:rsidR="00D65CB4" w:rsidRPr="00BC4EE7" w:rsidRDefault="00D65CB4">
      <w:pPr>
        <w:spacing w:before="120" w:after="120" w:line="240" w:lineRule="auto"/>
        <w:jc w:val="both"/>
        <w:rPr>
          <w:rFonts w:ascii="Times New Roman" w:hAnsi="Times New Roman" w:cs="Times New Roman"/>
          <w:i/>
          <w:noProof/>
          <w:sz w:val="24"/>
        </w:rPr>
      </w:pPr>
    </w:p>
    <w:p w14:paraId="207B81E9" w14:textId="77777777" w:rsidR="00D65CB4" w:rsidRPr="00BC4EE7" w:rsidRDefault="00D65CB4">
      <w:pPr>
        <w:spacing w:before="120" w:after="120" w:line="240" w:lineRule="auto"/>
        <w:jc w:val="both"/>
        <w:rPr>
          <w:rFonts w:ascii="Times New Roman" w:hAnsi="Times New Roman" w:cs="Times New Roman"/>
          <w:i/>
          <w:noProof/>
          <w:sz w:val="24"/>
        </w:rPr>
      </w:pPr>
    </w:p>
    <w:p w14:paraId="717E2139" w14:textId="2EE809B8" w:rsidR="00D65CB4" w:rsidRPr="00BC4EE7" w:rsidRDefault="00D65CB4">
      <w:pPr>
        <w:spacing w:before="120" w:after="120" w:line="240" w:lineRule="auto"/>
        <w:jc w:val="both"/>
        <w:rPr>
          <w:rFonts w:ascii="Times New Roman" w:hAnsi="Times New Roman" w:cs="Times New Roman"/>
          <w:i/>
          <w:noProof/>
          <w:sz w:val="24"/>
        </w:rPr>
        <w:sectPr w:rsidR="00D65CB4" w:rsidRPr="00BC4EE7" w:rsidSect="00B511EF">
          <w:headerReference w:type="even" r:id="rId33"/>
          <w:headerReference w:type="default" r:id="rId34"/>
          <w:footerReference w:type="even" r:id="rId35"/>
          <w:footerReference w:type="default" r:id="rId36"/>
          <w:headerReference w:type="first" r:id="rId37"/>
          <w:footerReference w:type="first" r:id="rId38"/>
          <w:pgSz w:w="16839" w:h="11907" w:orient="landscape"/>
          <w:pgMar w:top="1134" w:right="1134" w:bottom="1134" w:left="1134" w:header="567" w:footer="567" w:gutter="0"/>
          <w:cols w:space="720"/>
          <w:docGrid w:linePitch="360"/>
        </w:sectPr>
      </w:pPr>
    </w:p>
    <w:p w14:paraId="771F135C" w14:textId="06E4743F" w:rsidR="00D65CB4" w:rsidRPr="00BC4EE7" w:rsidRDefault="00572307">
      <w:pPr>
        <w:pStyle w:val="P68B1DB1-Heading12"/>
        <w:rPr>
          <w:rFonts w:cs="Times New Roman"/>
          <w:b w:val="0"/>
          <w:smallCaps w:val="0"/>
          <w:noProof/>
          <w:sz w:val="22"/>
        </w:rPr>
      </w:pPr>
      <w:r w:rsidRPr="00BC4EE7">
        <w:rPr>
          <w:rFonts w:cs="Times New Roman"/>
          <w:noProof/>
        </w:rPr>
        <w:t>B. 02. KOMPONENS: A spanyol városfejlesztési menetrend végrehajtása: Városi rehabilitációs és rehabilitációs terv</w:t>
      </w:r>
    </w:p>
    <w:p w14:paraId="4711963D"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spanyol helyreállítási és rezilienciaépítési terv ezen komponense az épületek energetikai rehabilitációjával, dekarbonizációjával, valamint minőségének és kényelmének javításával foglalkozik. Foglalkoznia kell továbbá a szociális bérlakások kérdésével, növelve azok állományát, valamint méltányosabb és inkluzívabb helyreállítást biztosítva. Emellett a komponens célja az energiaszegénység kezelése a szociális vagy megfizethető bérlakások támogatása révén. Ide tartoznak a digitalizációs tevékenységek is. A spanyol helyreállítási és rezilienciaépítési terv ezen komponense támogatja Spanyolország nemzeti energia- és klímatervének (NEKT) végrehajtását, amely 2030-ig 1200000 lakóépület, valamint évente átlagosan 300000 lakóépület fűtési és hűtési rendszerének felújítását irányozza elő. Ezzel összefüggésben Spanyolország a következőket javasolja:</w:t>
      </w:r>
    </w:p>
    <w:p w14:paraId="69D11A7C" w14:textId="77777777" w:rsidR="00D65CB4" w:rsidRPr="00BC4EE7" w:rsidRDefault="00572307">
      <w:pPr>
        <w:pStyle w:val="P68B1DB1-Normal4"/>
        <w:numPr>
          <w:ilvl w:val="0"/>
          <w:numId w:val="68"/>
        </w:numPr>
        <w:spacing w:before="120" w:after="0" w:line="240" w:lineRule="auto"/>
        <w:ind w:left="709" w:hanging="357"/>
        <w:contextualSpacing/>
        <w:jc w:val="both"/>
        <w:rPr>
          <w:rFonts w:cs="Times New Roman"/>
          <w:noProof/>
        </w:rPr>
      </w:pPr>
      <w:r w:rsidRPr="00BC4EE7">
        <w:rPr>
          <w:rFonts w:cs="Times New Roman"/>
          <w:noProof/>
        </w:rPr>
        <w:t>Reformintézkedések kidolgozása és végrehajtása, beleértve a spanyol városfejlesztési menetrendet, Spanyolország hosszú távú felújítási stratégiáját, a lakásügyi törvényt, az építészeti környezet javítását célzó törvényt és az épületek felújítására szolgáló egyablakos ügyintézési pontok létrehozását;</w:t>
      </w:r>
    </w:p>
    <w:p w14:paraId="3972EFB7" w14:textId="2C54E070" w:rsidR="00D65CB4" w:rsidRPr="00BC4EE7" w:rsidRDefault="00572307">
      <w:pPr>
        <w:pStyle w:val="P68B1DB1-Normal4"/>
        <w:numPr>
          <w:ilvl w:val="0"/>
          <w:numId w:val="68"/>
        </w:numPr>
        <w:spacing w:before="120" w:after="0" w:line="240" w:lineRule="auto"/>
        <w:ind w:left="709" w:hanging="357"/>
        <w:contextualSpacing/>
        <w:jc w:val="both"/>
        <w:rPr>
          <w:rFonts w:cs="Times New Roman"/>
          <w:noProof/>
        </w:rPr>
      </w:pPr>
      <w:r w:rsidRPr="00BC4EE7">
        <w:rPr>
          <w:rFonts w:cs="Times New Roman"/>
          <w:noProof/>
        </w:rPr>
        <w:t xml:space="preserve">legalább 285000 egyedi lakóépület felújítása legalább 410000 felújítási intézkedés keretében, 2026-ig legalább 600 hektár városi terület, legalább 40000 lakóépületnek és 690 000 m 2 nem </w:t>
      </w:r>
      <w:bookmarkStart w:id="4" w:name="_Hlk145083957"/>
      <w:r w:rsidRPr="00BC4EE7">
        <w:rPr>
          <w:rFonts w:cs="Times New Roman"/>
          <w:noProof/>
        </w:rPr>
        <w:t>lakáscélú épületnek, legalább 4300</w:t>
      </w:r>
      <w:bookmarkEnd w:id="4"/>
      <w:r w:rsidRPr="00BC4EE7">
        <w:rPr>
          <w:rFonts w:cs="Times New Roman"/>
          <w:noProof/>
          <w:vertAlign w:val="superscript"/>
        </w:rPr>
        <w:t>lakóépületnek</w:t>
      </w:r>
      <w:r w:rsidRPr="00BC4EE7">
        <w:rPr>
          <w:rFonts w:cs="Times New Roman"/>
          <w:noProof/>
        </w:rPr>
        <w:t xml:space="preserve"> és 230 000 m 2 nem lakáscélú épületnek felel meg az 5000 főnél kevesebb lakosú</w:t>
      </w:r>
      <w:r w:rsidRPr="00BC4EE7">
        <w:rPr>
          <w:rFonts w:cs="Times New Roman"/>
          <w:noProof/>
          <w:vertAlign w:val="superscript"/>
        </w:rPr>
        <w:t>településeken</w:t>
      </w:r>
      <w:r w:rsidRPr="00BC4EE7">
        <w:rPr>
          <w:rFonts w:cs="Times New Roman"/>
          <w:noProof/>
        </w:rPr>
        <w:t xml:space="preserve"> és városi területeken, valamint legalább 1 230 000 m 2 középület felújítása, amely</w:t>
      </w:r>
      <w:r w:rsidRPr="00BC4EE7">
        <w:rPr>
          <w:rFonts w:cs="Times New Roman"/>
          <w:noProof/>
          <w:vertAlign w:val="superscript"/>
        </w:rPr>
        <w:t>átlagosan</w:t>
      </w:r>
      <w:r w:rsidRPr="00BC4EE7">
        <w:rPr>
          <w:rFonts w:cs="Times New Roman"/>
          <w:noProof/>
        </w:rPr>
        <w:t xml:space="preserve"> több mint 30%-os primerenergia-megtakarítást ér el, többek között a fűtési és hűtési rendszerek felújítása és korszerűsítése révén;</w:t>
      </w:r>
    </w:p>
    <w:p w14:paraId="5283C3B9" w14:textId="245BE2FF" w:rsidR="00D65CB4" w:rsidRPr="00BC4EE7" w:rsidRDefault="00572307">
      <w:pPr>
        <w:pStyle w:val="P68B1DB1-Normal4"/>
        <w:numPr>
          <w:ilvl w:val="0"/>
          <w:numId w:val="68"/>
        </w:numPr>
        <w:spacing w:before="120" w:after="0" w:line="240" w:lineRule="auto"/>
        <w:ind w:left="709" w:hanging="357"/>
        <w:contextualSpacing/>
        <w:jc w:val="both"/>
        <w:rPr>
          <w:rFonts w:cs="Times New Roman"/>
          <w:noProof/>
        </w:rPr>
      </w:pPr>
      <w:r w:rsidRPr="00BC4EE7">
        <w:rPr>
          <w:rFonts w:cs="Times New Roman"/>
          <w:noProof/>
        </w:rPr>
        <w:t xml:space="preserve">legalább 20000 új lakás építése szociális bérleti célokra vagy megfizethető áron, amelyek primerenergia-igénye legalább 20%-kal alacsonyabb a közel nulla energiaigényű épületekre vonatkozó követelményeknél; </w:t>
      </w:r>
    </w:p>
    <w:p w14:paraId="24DE2C23" w14:textId="77777777" w:rsidR="00D65CB4" w:rsidRPr="00BC4EE7" w:rsidRDefault="00572307">
      <w:pPr>
        <w:pStyle w:val="P68B1DB1-Normal4"/>
        <w:numPr>
          <w:ilvl w:val="0"/>
          <w:numId w:val="68"/>
        </w:numPr>
        <w:spacing w:before="120" w:after="0" w:line="240" w:lineRule="auto"/>
        <w:ind w:left="709" w:hanging="357"/>
        <w:contextualSpacing/>
        <w:jc w:val="both"/>
        <w:rPr>
          <w:rFonts w:cs="Times New Roman"/>
          <w:noProof/>
        </w:rPr>
      </w:pPr>
      <w:r w:rsidRPr="00BC4EE7">
        <w:rPr>
          <w:rFonts w:cs="Times New Roman"/>
          <w:noProof/>
        </w:rPr>
        <w:t>legalább 100 olyan helyi szintű kísérleti projekt végrehajtása, amelyek támogatják az energiahatékonyságot és a spanyol városfejlesztési menetrend végrehajtását; és</w:t>
      </w:r>
    </w:p>
    <w:p w14:paraId="61840508" w14:textId="228203DC" w:rsidR="00D65CB4" w:rsidRPr="00BC4EE7" w:rsidRDefault="00572307">
      <w:pPr>
        <w:pStyle w:val="P68B1DB1-Normal4"/>
        <w:numPr>
          <w:ilvl w:val="0"/>
          <w:numId w:val="68"/>
        </w:numPr>
        <w:spacing w:before="120" w:after="0" w:line="240" w:lineRule="auto"/>
        <w:ind w:left="709" w:hanging="357"/>
        <w:contextualSpacing/>
        <w:jc w:val="both"/>
        <w:rPr>
          <w:rFonts w:eastAsia="@MS Mincho" w:cs="Times New Roman"/>
          <w:noProof/>
        </w:rPr>
      </w:pPr>
      <w:r w:rsidRPr="00BC4EE7">
        <w:rPr>
          <w:rFonts w:cs="Times New Roman"/>
          <w:noProof/>
        </w:rPr>
        <w:t>javítsa az energiahatékony szociális és megfizethető lakások építéséhez és felújításához szükséges finanszírozáshoz való hozzáférést, és fejlessze a tőkepiacokat ezeken a területeken.</w:t>
      </w:r>
    </w:p>
    <w:p w14:paraId="362D962F" w14:textId="5283A432"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spanyol helyreállítási és rezilienciaépítési terv ezen komponense hozzájárul a 2023. és a 2022. évi 3. országspecifikus ajánlás teljesítéséhez, amelynek célja, hogy többek között felújítás révén növelje az energiahatékony szociális és megfizethető lakhatás rendelkezésre állását. Támogatja továbbá a zöld átállást (1., 2023., 1., 2022. és 3. országspecifikus ajánlás) és különösen az energiahatékonyság javítását (2020. évi 3. országspecifikus ajánlás). Javítja továbbá a családoknak nyújtott támogatást (2019. évi 2. országspecifikus ajánlás; A 2020. évi 2. országspecifikus ajánlás), valamint segíti a kiforrott közberuházási projektek előreütemezését és a magánberuházások előmozdítását a gazdasági fellendülés előmozdítása érdekében (2020. évi 3. országspecifikus ajánlás). </w:t>
      </w:r>
    </w:p>
    <w:p w14:paraId="55DEF04E"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jelentős károkozás elkerülését célzó elvről szóló technikai iránymutatásnak (2021/C58/01) megfelelően a helyreállítási és rezilienciaépítési tervben meghatározott intézkedések leírását és a helyreállítási és rezilienciaépítési tervben meghatározott enyhítő lépéseket figyelembe véve ebben a komponensben várhatóan egyetlen intézkedés sem sérti jelentős mértékben az (EU) 2020/852 rendelet 17. cikke szerinti környezeti célkitűzéseket.  </w:t>
      </w:r>
    </w:p>
    <w:p w14:paraId="31040EEE" w14:textId="77777777" w:rsidR="00D65CB4" w:rsidRPr="00BC4EE7" w:rsidRDefault="00D65CB4">
      <w:pPr>
        <w:spacing w:before="120" w:after="120" w:line="240" w:lineRule="auto"/>
        <w:jc w:val="both"/>
        <w:rPr>
          <w:rFonts w:ascii="Times New Roman" w:hAnsi="Times New Roman" w:cs="Times New Roman"/>
          <w:noProof/>
          <w:sz w:val="24"/>
        </w:rPr>
      </w:pPr>
    </w:p>
    <w:p w14:paraId="19CC405F" w14:textId="77777777" w:rsidR="00D65CB4" w:rsidRPr="00BC4EE7" w:rsidRDefault="00D65CB4">
      <w:pPr>
        <w:spacing w:before="120" w:after="120" w:line="240" w:lineRule="auto"/>
        <w:ind w:left="709"/>
        <w:jc w:val="both"/>
        <w:rPr>
          <w:rFonts w:ascii="Times New Roman" w:hAnsi="Times New Roman" w:cs="Times New Roman"/>
          <w:b/>
          <w:noProof/>
          <w:sz w:val="24"/>
          <w:u w:val="single"/>
        </w:rPr>
        <w:sectPr w:rsidR="00D65CB4" w:rsidRPr="00BC4EE7" w:rsidSect="00B511EF">
          <w:headerReference w:type="even" r:id="rId39"/>
          <w:headerReference w:type="default" r:id="rId40"/>
          <w:footerReference w:type="even" r:id="rId41"/>
          <w:footerReference w:type="default" r:id="rId42"/>
          <w:headerReference w:type="first" r:id="rId43"/>
          <w:footerReference w:type="first" r:id="rId44"/>
          <w:pgSz w:w="11907" w:h="16839"/>
          <w:pgMar w:top="1134" w:right="1134" w:bottom="1134" w:left="1134" w:header="567" w:footer="567" w:gutter="0"/>
          <w:cols w:space="720"/>
          <w:docGrid w:linePitch="360"/>
        </w:sectPr>
      </w:pPr>
    </w:p>
    <w:p w14:paraId="4BDAA7F8" w14:textId="77777777" w:rsidR="00D65CB4" w:rsidRPr="00BC4EE7" w:rsidRDefault="00572307">
      <w:pPr>
        <w:spacing w:before="120" w:after="120" w:line="240" w:lineRule="auto"/>
        <w:ind w:left="709"/>
        <w:jc w:val="both"/>
        <w:rPr>
          <w:rFonts w:ascii="Times New Roman" w:hAnsi="Times New Roman" w:cs="Times New Roman"/>
          <w:b/>
          <w:i/>
          <w:noProof/>
          <w:sz w:val="24"/>
        </w:rPr>
      </w:pPr>
      <w:r w:rsidRPr="00BC4EE7">
        <w:rPr>
          <w:rFonts w:ascii="Times New Roman" w:hAnsi="Times New Roman" w:cs="Times New Roman"/>
          <w:b/>
          <w:noProof/>
          <w:sz w:val="24"/>
          <w:u w:val="single"/>
        </w:rPr>
        <w:t xml:space="preserve">B.1.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Vissza nem térítendő pénzügyi támogatás – a reformok és beruházások ismertetése</w:t>
      </w:r>
    </w:p>
    <w:p w14:paraId="5DD41E6E"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Reform (C2.R1) – A spanyol városfejlesztési menetrend (és a kapcsolódó cselekvési terv) végrehajtása</w:t>
      </w:r>
    </w:p>
    <w:p w14:paraId="606349AF"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Ennek az intézkedésnek a célja a spanyol városfejlesztési menetrend előkészítése és jóváhagyása, amely stratégiai és nem szabályozási jellegű dokumentum, amely a fenntarthatóságot beépíti a városfejlesztési politikába. Emellett munkamódszernek kell lennie, amely az összes köz- és magánszférabeli érdekelt felet arra ösztönzi, hogy saját területükön méltányos, tisztességes és fenntartható fejlődést érjenek el, és a helyi közigazgatást, a városokat és a falvakat szolgálja, népességük méretétől függetlenül, stratégiai, integrált és átfogó perspektívával rendelkező eszközként, amint azt az uniós városfejlesztési menetrend és az Új Lipcsei Charta is megköveteli. </w:t>
      </w:r>
    </w:p>
    <w:p w14:paraId="4DA86DCA"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spanyol városfejlesztési menetrendnek tartalmaznia kell a spanyol városok és falvak előtt álló gyengeségek és kihívások diagnosztizálását annak érdekében, hogy környezeti szempontból fenntartható, társadalmilag összetartó és gazdaságilag megvalósítható városfejlesztés valósuljon meg. A stratégia a következő tíz stratégiai kihívás köré szerveződő stratégiai keretet tartalmaz: demográfiai; környezetvédelem; gazdasági és társadalmi; az épületállomány jelenlegi helyzete; az éghajlatváltozás káros hatásaival szembeni sebezhetőség; az idegenforgalomtól való (magas) függés; valamint a szennyezéssel kapcsolatos kockázatok. </w:t>
      </w:r>
    </w:p>
    <w:p w14:paraId="6A741BC3"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városfejlesztési menetrendnek a nemzeti közigazgatásra vonatkozó egyedi cselekvési tervet is tartalmaznia kell, és iránymutatást kell tartalmaznia annak érdekében, hogy támogassa a helyi önkormányzatokat saját helyi cselekvési terveik kidolgozásában az általános államigazgatás által javasolt módszertannak megfelelően, kötelezettséget vállalva az állami és a köz- és magánszféra irányításának javítására. A 6. beruházás ezt a reformot legalább 100 helyi cselekvési terv elkészítésének támogatásával egészíti ki.</w:t>
      </w:r>
    </w:p>
    <w:p w14:paraId="29A1F400"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városfejlesztési menetrend részeként, valamint az épületek energiahatékonyságáról és az energiahatékonyságról szóló (EU) 2018/844 irányelvnek való megfelelés szükségessége részeként Spanyolország hosszú távú felújítási stratégiát dolgoz ki a lakó- és nem lakáscélú épületek nemzeti állománya felújításának támogatása érdekében. Ennek magában kell foglalnia mind a köz-, mind a magánépületeket, és 2050-ig rendkívül energiahatékony és dekarbonizált épületállományt kell elérnie, megkönnyítve a meglévő épületek közel nulla energiaigényű épületekké való költséghatékony átalakítását.</w:t>
      </w:r>
    </w:p>
    <w:p w14:paraId="34A65850"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Az intézkedés végrehajtását 2020. június 30-ig be kell fejezni.</w:t>
      </w:r>
    </w:p>
    <w:p w14:paraId="4D7A5946"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Reform (C2.R2) – A spanyol hosszú távú felújítási stratégia és a kapcsolódó cselekvési terv 2020. évi aktualizálása</w:t>
      </w:r>
    </w:p>
    <w:p w14:paraId="448BED53"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Ezen intézkedés célja a hosszú távú felújítási stratégia (ERESEE) végrehajtása. Ez magában foglalja a hosszú távú felújítási stratégia cselekvési tervének előkészítésére és megvitatására, valamint a stratégiai dokumentum jóváhagyására és terjesztésére irányuló intézkedéseket. A cselekvési tervnek összhangban kell lennie az ERESEE-ben foglalt intézkedésekkel. Az ERESEE végrehajtása érdekében több munkacsoportot kell létrehozni a városi rehabilitációra és rehabilitációra vonatkozó cselekvési terv végrehajtására vonatkozó egyértelmű ajánlások kidolgozása érdekében. A munkacsoportok ajánlásait tartalmazó jelentéseket közzé kell tenni.</w:t>
      </w:r>
    </w:p>
    <w:p w14:paraId="5B3DA269" w14:textId="77777777" w:rsidR="00D65CB4" w:rsidRPr="00BC4EE7" w:rsidRDefault="00572307">
      <w:pPr>
        <w:pStyle w:val="P68B1DB1-xmsonormal14"/>
        <w:jc w:val="both"/>
        <w:rPr>
          <w:rFonts w:cs="Times New Roman"/>
          <w:noProof/>
        </w:rPr>
      </w:pPr>
      <w:r w:rsidRPr="00BC4EE7">
        <w:rPr>
          <w:rFonts w:cs="Times New Roman"/>
          <w:noProof/>
        </w:rPr>
        <w:t>Az ERESEE „Végrehajtás” című III. részében az ERESEE-nek intézkedéscsomagot kell tartalmaznia, amelyek között a városrehabilitációt és -megújulást, valamint a zöld és digitális átállást előmozdító ütemterv részeként reformcsomag szerepel. Az ütemtervnek az irányítás, a szabályozás és a finanszírozás javítását célzó tizenegy tengely és intézkedés köré kell épülnie. Ezt az ütemtervet az ERESEE megvalósítása felé tett fő lépésként bele kell foglalni a stratégiai dokumentumba. A legfontosabb intézkedések a következők:</w:t>
      </w:r>
    </w:p>
    <w:p w14:paraId="04819348" w14:textId="77777777" w:rsidR="00D65CB4" w:rsidRPr="00BC4EE7" w:rsidRDefault="00572307">
      <w:pPr>
        <w:pStyle w:val="P68B1DB1-Normal4"/>
        <w:numPr>
          <w:ilvl w:val="0"/>
          <w:numId w:val="273"/>
        </w:numPr>
        <w:spacing w:before="120" w:after="160" w:line="259" w:lineRule="auto"/>
        <w:contextualSpacing/>
        <w:jc w:val="both"/>
        <w:rPr>
          <w:rFonts w:cs="Times New Roman"/>
          <w:noProof/>
        </w:rPr>
      </w:pPr>
      <w:r w:rsidRPr="00BC4EE7">
        <w:rPr>
          <w:rFonts w:cs="Times New Roman"/>
          <w:noProof/>
        </w:rPr>
        <w:t>A közigazgatási épületek felújítása (összhangban a spanyol helyreállítási és rezilienciaépítési terv 11. komponensével);</w:t>
      </w:r>
    </w:p>
    <w:p w14:paraId="4BB0FB6D" w14:textId="77777777" w:rsidR="00D65CB4" w:rsidRPr="00BC4EE7" w:rsidRDefault="00572307">
      <w:pPr>
        <w:pStyle w:val="P68B1DB1-Normal4"/>
        <w:numPr>
          <w:ilvl w:val="0"/>
          <w:numId w:val="273"/>
        </w:numPr>
        <w:spacing w:before="120" w:after="160" w:line="259" w:lineRule="auto"/>
        <w:contextualSpacing/>
        <w:jc w:val="both"/>
        <w:rPr>
          <w:rFonts w:cs="Times New Roman"/>
          <w:noProof/>
        </w:rPr>
      </w:pPr>
      <w:r w:rsidRPr="00BC4EE7">
        <w:rPr>
          <w:rFonts w:cs="Times New Roman"/>
          <w:noProof/>
        </w:rPr>
        <w:t>a fejlesztésre szoruló területek finanszírozása, beleértve a felújításnak kedvező új adózást, mind a lakossági, mind a szolgáltatási ágazatban;</w:t>
      </w:r>
    </w:p>
    <w:p w14:paraId="3B0DE689" w14:textId="77777777" w:rsidR="00D65CB4" w:rsidRPr="00BC4EE7" w:rsidRDefault="00572307">
      <w:pPr>
        <w:pStyle w:val="P68B1DB1-Normal4"/>
        <w:numPr>
          <w:ilvl w:val="0"/>
          <w:numId w:val="273"/>
        </w:numPr>
        <w:spacing w:before="120" w:after="160" w:line="259" w:lineRule="auto"/>
        <w:contextualSpacing/>
        <w:jc w:val="both"/>
        <w:rPr>
          <w:rFonts w:cs="Times New Roman"/>
          <w:noProof/>
        </w:rPr>
      </w:pPr>
      <w:r w:rsidRPr="00BC4EE7">
        <w:rPr>
          <w:rFonts w:cs="Times New Roman"/>
          <w:noProof/>
        </w:rPr>
        <w:t>a magánfinanszírozás előmozdítása és mozgósítása;</w:t>
      </w:r>
    </w:p>
    <w:p w14:paraId="07868898" w14:textId="77777777" w:rsidR="00D65CB4" w:rsidRPr="00BC4EE7" w:rsidRDefault="00572307">
      <w:pPr>
        <w:pStyle w:val="P68B1DB1-Normal4"/>
        <w:numPr>
          <w:ilvl w:val="0"/>
          <w:numId w:val="273"/>
        </w:numPr>
        <w:spacing w:before="120" w:after="160" w:line="259" w:lineRule="auto"/>
        <w:contextualSpacing/>
        <w:jc w:val="both"/>
        <w:rPr>
          <w:rFonts w:cs="Times New Roman"/>
          <w:noProof/>
        </w:rPr>
      </w:pPr>
      <w:r w:rsidRPr="00BC4EE7">
        <w:rPr>
          <w:rFonts w:cs="Times New Roman"/>
          <w:noProof/>
        </w:rPr>
        <w:t>az energiaszegénység elleni küzdelem;</w:t>
      </w:r>
    </w:p>
    <w:p w14:paraId="4474F65F" w14:textId="77777777" w:rsidR="00D65CB4" w:rsidRPr="00BC4EE7" w:rsidRDefault="00572307">
      <w:pPr>
        <w:pStyle w:val="P68B1DB1-Normal4"/>
        <w:numPr>
          <w:ilvl w:val="0"/>
          <w:numId w:val="273"/>
        </w:numPr>
        <w:spacing w:before="120" w:after="160" w:line="259" w:lineRule="auto"/>
        <w:contextualSpacing/>
        <w:jc w:val="both"/>
        <w:rPr>
          <w:rFonts w:cs="Times New Roman"/>
          <w:noProof/>
        </w:rPr>
      </w:pPr>
      <w:r w:rsidRPr="00BC4EE7">
        <w:rPr>
          <w:rFonts w:cs="Times New Roman"/>
          <w:noProof/>
        </w:rPr>
        <w:t>új energiamodell bevezetése az építőiparban, az épületek megújulóenergia-fogyasztásának ösztönzése érdekében;</w:t>
      </w:r>
    </w:p>
    <w:p w14:paraId="53D558B3" w14:textId="77777777" w:rsidR="00D65CB4" w:rsidRPr="00BC4EE7" w:rsidRDefault="00572307">
      <w:pPr>
        <w:pStyle w:val="P68B1DB1-Normal4"/>
        <w:numPr>
          <w:ilvl w:val="0"/>
          <w:numId w:val="273"/>
        </w:numPr>
        <w:spacing w:before="120" w:after="160" w:line="259" w:lineRule="auto"/>
        <w:contextualSpacing/>
        <w:jc w:val="both"/>
        <w:rPr>
          <w:rFonts w:cs="Times New Roman"/>
          <w:noProof/>
        </w:rPr>
      </w:pPr>
      <w:r w:rsidRPr="00BC4EE7">
        <w:rPr>
          <w:rFonts w:cs="Times New Roman"/>
          <w:noProof/>
        </w:rPr>
        <w:t>a rehabilitáció iránti igény aktiválása és összesítése;</w:t>
      </w:r>
    </w:p>
    <w:p w14:paraId="6F15193D" w14:textId="77777777" w:rsidR="00D65CB4" w:rsidRPr="00BC4EE7" w:rsidRDefault="00572307">
      <w:pPr>
        <w:pStyle w:val="P68B1DB1-Normal4"/>
        <w:numPr>
          <w:ilvl w:val="0"/>
          <w:numId w:val="273"/>
        </w:numPr>
        <w:spacing w:before="120" w:after="160" w:line="259" w:lineRule="auto"/>
        <w:contextualSpacing/>
        <w:jc w:val="both"/>
        <w:rPr>
          <w:rFonts w:cs="Times New Roman"/>
          <w:noProof/>
        </w:rPr>
      </w:pPr>
      <w:r w:rsidRPr="00BC4EE7">
        <w:rPr>
          <w:rFonts w:cs="Times New Roman"/>
          <w:noProof/>
        </w:rPr>
        <w:t>javítsa a kínálati oldal feltételeit a rehabilitációs ágazat korszerűsítésének a kutatás, fejlesztés és innováció, a digitalizáció és a nyomon követés, valamint a készségek és a képzések megerősítése révén történő fellendítése révén;</w:t>
      </w:r>
    </w:p>
    <w:p w14:paraId="5EDE96A4" w14:textId="77777777" w:rsidR="00D65CB4" w:rsidRPr="00BC4EE7" w:rsidRDefault="00572307">
      <w:pPr>
        <w:pStyle w:val="P68B1DB1-Normal4"/>
        <w:numPr>
          <w:ilvl w:val="0"/>
          <w:numId w:val="273"/>
        </w:numPr>
        <w:spacing w:before="120" w:after="160" w:line="259" w:lineRule="auto"/>
        <w:contextualSpacing/>
        <w:jc w:val="both"/>
        <w:rPr>
          <w:rFonts w:cs="Times New Roman"/>
          <w:noProof/>
        </w:rPr>
      </w:pPr>
      <w:r w:rsidRPr="00BC4EE7">
        <w:rPr>
          <w:rFonts w:cs="Times New Roman"/>
          <w:noProof/>
        </w:rPr>
        <w:t>az információk terjesztése a polgárok és a vállalkozások körében, valamint a bevált gyakorlatok közigazgatási szervek közötti cseréje; és</w:t>
      </w:r>
    </w:p>
    <w:p w14:paraId="671356B3" w14:textId="77777777" w:rsidR="00D65CB4" w:rsidRPr="00BC4EE7" w:rsidRDefault="00572307">
      <w:pPr>
        <w:pStyle w:val="P68B1DB1-Normal4"/>
        <w:numPr>
          <w:ilvl w:val="0"/>
          <w:numId w:val="273"/>
        </w:numPr>
        <w:spacing w:before="120" w:after="120" w:line="259" w:lineRule="auto"/>
        <w:jc w:val="both"/>
        <w:rPr>
          <w:rFonts w:eastAsia="Arial" w:cs="Times New Roman"/>
          <w:noProof/>
        </w:rPr>
      </w:pPr>
      <w:r w:rsidRPr="00BC4EE7">
        <w:rPr>
          <w:rFonts w:cs="Times New Roman"/>
          <w:noProof/>
        </w:rPr>
        <w:t>az államilag finanszírozott fellépések nyomon követésére szolgáló statisztikák és mutatók kidolgozása a közpolitikák megfelelő értékelése érdekében.</w:t>
      </w:r>
    </w:p>
    <w:p w14:paraId="44527D69"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Ez a stratégiai dokumentum lehetővé teszi az ERESEE végrehajtását a spanyol városfejlesztési menetrend keretében, integrálva a különböző (központi, regionális és helyi) közigazgatási szerveket.</w:t>
      </w:r>
    </w:p>
    <w:p w14:paraId="31BABA68"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Az intézkedés végrehajtását 2023. június 30-ig be kell fejezni.</w:t>
      </w:r>
    </w:p>
    <w:p w14:paraId="01CD77D3" w14:textId="362BFD12" w:rsidR="00D65CB4" w:rsidRPr="00BC4EE7" w:rsidRDefault="00572307">
      <w:pPr>
        <w:pStyle w:val="P68B1DB1-Normal5"/>
        <w:spacing w:before="120" w:after="120" w:line="240" w:lineRule="auto"/>
        <w:jc w:val="both"/>
        <w:rPr>
          <w:rFonts w:cs="Times New Roman"/>
          <w:noProof/>
        </w:rPr>
      </w:pPr>
      <w:r w:rsidRPr="00BC4EE7">
        <w:rPr>
          <w:rFonts w:cs="Times New Roman"/>
          <w:noProof/>
        </w:rPr>
        <w:t>Reform (C2.R3) – Lakásjog</w:t>
      </w:r>
    </w:p>
    <w:p w14:paraId="35AEF606"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Ezen intézkedés célja, hogy a lakásügyi törvény révén végrehajtsa az első ilyen jellegű rendeletet Spanyolországban, hogy foglalkozzon a tisztességes és megfelelő lakhatáshoz való jog támogatását célzó, már meglévő különböző állami tervezési, programozási és együttműködési eszközökkel. Az életminőség javítása érdekében foglalkozni kell a meglévő magán- és állami lakásállomány rehabilitációjával és javításával, valamint az elhelyezkedésük szerinti lakókörnyezetek rehabilitációjával és megújításával. A törvény a bérelhető ingatlanok megfelelő szintű, megfizethető áron rendelkezésre álló lakásállományának elérésével foglalkozik.</w:t>
      </w:r>
    </w:p>
    <w:p w14:paraId="1522B52E"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jogszabályoknak foglalkozniuk kell a különböző tervezési, programozási és együttműködési eszközökkel a tisztességes és megfelelő lakhatáshoz való jog érvényesítésének biztosítása érdekében, beleértve – egyik prioritásként – a meglévő lakásállomány helyreállítását és javítását, valamint azon lakókörnyezetek helyreállítását és felújítását, amelyekben találhatók. </w:t>
      </w:r>
    </w:p>
    <w:p w14:paraId="153EC4BA" w14:textId="025A7751" w:rsidR="00D65CB4" w:rsidRPr="00BC4EE7" w:rsidRDefault="00572307">
      <w:pPr>
        <w:pStyle w:val="P68B1DB1-Normal4"/>
        <w:spacing w:before="120" w:after="120" w:line="240" w:lineRule="auto"/>
        <w:jc w:val="both"/>
        <w:rPr>
          <w:rFonts w:cs="Times New Roman"/>
          <w:noProof/>
        </w:rPr>
      </w:pPr>
      <w:r w:rsidRPr="00BC4EE7">
        <w:rPr>
          <w:rFonts w:cs="Times New Roman"/>
          <w:noProof/>
        </w:rPr>
        <w:t>Emellett a törvénynek ösztönöznie kell a megfizethető és szociális lakások kínálatának növelését azáltal, hogy biztosítja a közel nulla energiaigényű épületekre vonatkozóan a műszaki építési szabályzat (CTE) energiamegtakarítási alapdokumentuma (DB-HE) szerint jelenleg meghatározott követelményeknek való megfelelést, és elkerüli az olyan intézkedéseket, amelyek középtávon akadályozhatják a lakáskínálatot.</w:t>
      </w:r>
    </w:p>
    <w:p w14:paraId="20C995A0"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reform végrehajtását 2022. szeptember 30-ig be kell fejezni.</w:t>
      </w:r>
    </w:p>
    <w:p w14:paraId="4C37D3DE" w14:textId="50987288" w:rsidR="00D65CB4" w:rsidRPr="00BC4EE7" w:rsidRDefault="00572307">
      <w:pPr>
        <w:pStyle w:val="P68B1DB1-Normal5"/>
        <w:spacing w:before="120" w:after="120" w:line="240" w:lineRule="auto"/>
        <w:jc w:val="both"/>
        <w:rPr>
          <w:rFonts w:cs="Times New Roman"/>
          <w:noProof/>
        </w:rPr>
      </w:pPr>
      <w:r w:rsidRPr="00BC4EE7">
        <w:rPr>
          <w:rFonts w:cs="Times New Roman"/>
          <w:noProof/>
        </w:rPr>
        <w:t>Reform (C2.R4) – Az építészeti és építési környezet minőségéről szóló törvény és az új nemzeti építészeti stratégia</w:t>
      </w:r>
    </w:p>
    <w:p w14:paraId="430C635A"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 törvény célja, hogy az építészet és az épületek minőségét közjónak nyilvánítsa, javítsa az életminőséget, előmozdítsa az építészet társadalmi gyökereit, előmozdítsa a városi területek és csomópontok fenntartható fejlődését, hozzájáruljon a gazdasági és társadalmi fejlődéshez, valamint védje és védje a kulturális és természeti örökséget.</w:t>
      </w:r>
    </w:p>
    <w:p w14:paraId="2D3C58D9"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 célból a törvénynek foglalkoznia kell a spanyol helyreállítási és rezilienciaépítési terv ezen elemén belüli helyreállítási és rehabilitációs programokhoz szorosan kapcsolódó különböző kezdeményezésekkel és intézkedésekkel. A törvény különösen a következőket szabályozza: i. közigazgatási együttműködési intézkedések az építészeti, mérnöki és várostervezési projektek és építési beruházások közbeszerzése terén; a bevált gyakorlatok terjesztésére szolgáló eszközök, valamint a támogatás, a képzés és a köz- és magánszféra közötti partnerségek; és iii. a rehabilitáció előmozdítása átfogó szemszögből, a fent leírthoz hasonló módon. </w:t>
      </w:r>
    </w:p>
    <w:p w14:paraId="419B85C4"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reform végrehajtását 2022. szeptember 30-ig be kell fejezni.</w:t>
      </w:r>
    </w:p>
    <w:p w14:paraId="549C398D" w14:textId="036EA0D4" w:rsidR="00D65CB4" w:rsidRPr="00BC4EE7" w:rsidRDefault="00572307">
      <w:pPr>
        <w:pStyle w:val="P68B1DB1-Normal5"/>
        <w:spacing w:before="120" w:after="120" w:line="240" w:lineRule="auto"/>
        <w:jc w:val="both"/>
        <w:rPr>
          <w:rFonts w:cs="Times New Roman"/>
          <w:noProof/>
        </w:rPr>
      </w:pPr>
      <w:r w:rsidRPr="00BC4EE7">
        <w:rPr>
          <w:rFonts w:cs="Times New Roman"/>
          <w:noProof/>
        </w:rPr>
        <w:t>Reform (C2.R5) – Felújító irodák („egyablakos ügyintézés”)</w:t>
      </w:r>
    </w:p>
    <w:p w14:paraId="7B668DD1"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Ezen intézkedés célja, hogy ösztönözze és kiterjessze az egyes településeken létrehozott helyi felújítási irodákat, hogy azok támogassák a háztartásokat és a tulajdonosok közösségeit a lakóépületek rehabilitációjának rendkívül összetett feladataiban.</w:t>
      </w:r>
    </w:p>
    <w:p w14:paraId="03EB3CFC"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 célból ez az intézkedés tovább ösztönzi és kiterjeszti ezt a megközelítést egy olyan folyamat létrehozásával, amely biztosítja a központi, regionális és/vagy helyi önkormányzatok közötti hatékony együttműködést és együttműködést. Ez magában foglalja az összes állami támogatás koordinációjának megerősítését (központi, regionális vagy helyi szinten). A felújítási intézkedések hatékonyságának maximalizálása érdekében minden kormányzati szintet be kell vonni ezekben az egyablakos ügyintézési pontokban.</w:t>
      </w:r>
    </w:p>
    <w:p w14:paraId="643CD522" w14:textId="77777777" w:rsidR="00D65CB4" w:rsidRPr="00BC4EE7" w:rsidRDefault="00572307">
      <w:pPr>
        <w:pStyle w:val="P68B1DB1-Normal4"/>
        <w:rPr>
          <w:rFonts w:cs="Times New Roman"/>
          <w:noProof/>
        </w:rPr>
      </w:pPr>
      <w:r w:rsidRPr="00BC4EE7">
        <w:rPr>
          <w:rFonts w:cs="Times New Roman"/>
          <w:noProof/>
        </w:rPr>
        <w:t>A reform végrehajtását 2021. szeptember 30-ig be kell fejezni.</w:t>
      </w:r>
    </w:p>
    <w:p w14:paraId="47FCDE60" w14:textId="461C9B30" w:rsidR="00D65CB4" w:rsidRPr="00BC4EE7" w:rsidRDefault="00572307">
      <w:pPr>
        <w:pStyle w:val="P68B1DB1-Normal5"/>
        <w:spacing w:before="120" w:after="120" w:line="240" w:lineRule="auto"/>
        <w:jc w:val="both"/>
        <w:rPr>
          <w:rFonts w:cs="Times New Roman"/>
          <w:noProof/>
        </w:rPr>
      </w:pPr>
      <w:r w:rsidRPr="00BC4EE7">
        <w:rPr>
          <w:rFonts w:cs="Times New Roman"/>
          <w:noProof/>
        </w:rPr>
        <w:t>Reform (C2.R6) – A felújítási tevékenységek finanszírozásának javítása</w:t>
      </w:r>
    </w:p>
    <w:p w14:paraId="2B8E3D1A"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Ezen intézkedés célja, hogy kezelje a felújítási tevékenység elindításának egyik fő akadályát, nevezetesen a kedvező feltételek melletti finanszírozáshoz való hozzáférést. A felújítási kölcsön jóváhagyásához időnként egyéni kölcsönt kell nyújtani az épület minden egyes tulajdonosának. Ez akadályozza az épületek mélyreható és integrált felújítását.</w:t>
      </w:r>
    </w:p>
    <w:p w14:paraId="7029A272"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 probléma megoldása érdekében az intézkedés:</w:t>
      </w:r>
    </w:p>
    <w:p w14:paraId="424D4897" w14:textId="77777777" w:rsidR="00D65CB4" w:rsidRPr="00BC4EE7" w:rsidRDefault="00572307">
      <w:pPr>
        <w:pStyle w:val="P68B1DB1-Normal4"/>
        <w:numPr>
          <w:ilvl w:val="0"/>
          <w:numId w:val="274"/>
        </w:numPr>
        <w:autoSpaceDE w:val="0"/>
        <w:autoSpaceDN w:val="0"/>
        <w:adjustRightInd w:val="0"/>
        <w:spacing w:before="120" w:after="120" w:line="240" w:lineRule="auto"/>
        <w:contextualSpacing/>
        <w:jc w:val="both"/>
        <w:rPr>
          <w:rFonts w:eastAsia="Arial" w:cs="Times New Roman"/>
          <w:noProof/>
        </w:rPr>
      </w:pPr>
      <w:r w:rsidRPr="00BC4EE7">
        <w:rPr>
          <w:rFonts w:cs="Times New Roman"/>
          <w:noProof/>
        </w:rPr>
        <w:t xml:space="preserve">Új garanciakeretet hoz létre az </w:t>
      </w:r>
      <w:r w:rsidRPr="00BC4EE7">
        <w:rPr>
          <w:rFonts w:cs="Times New Roman"/>
          <w:i/>
          <w:noProof/>
        </w:rPr>
        <w:t>Instituto de Crédito Oficial</w:t>
      </w:r>
      <w:r w:rsidRPr="00BC4EE7">
        <w:rPr>
          <w:rFonts w:cs="Times New Roman"/>
          <w:noProof/>
        </w:rPr>
        <w:t xml:space="preserve"> (ICO) számára, amely részben fedezi a magán pénzügyi intézmények által lakóépületek felújítására nyújtott hitelek kockázatát;</w:t>
      </w:r>
    </w:p>
    <w:p w14:paraId="00BDEC3B" w14:textId="77777777" w:rsidR="00D65CB4" w:rsidRPr="00BC4EE7" w:rsidRDefault="00572307">
      <w:pPr>
        <w:pStyle w:val="P68B1DB1-Normal4"/>
        <w:numPr>
          <w:ilvl w:val="0"/>
          <w:numId w:val="274"/>
        </w:numPr>
        <w:autoSpaceDE w:val="0"/>
        <w:autoSpaceDN w:val="0"/>
        <w:adjustRightInd w:val="0"/>
        <w:spacing w:before="120" w:after="120" w:line="240" w:lineRule="auto"/>
        <w:contextualSpacing/>
        <w:jc w:val="both"/>
        <w:rPr>
          <w:rFonts w:eastAsia="Arial" w:cs="Times New Roman"/>
          <w:noProof/>
        </w:rPr>
      </w:pPr>
      <w:r w:rsidRPr="00BC4EE7">
        <w:rPr>
          <w:rFonts w:cs="Times New Roman"/>
          <w:noProof/>
        </w:rPr>
        <w:t>támogatja konkrét szabályozási rendelkezések elfogadását, beleértve a horizontális tulajdonjogi törvény reformját is, a tulajdonosközösségek finanszírozáshoz való hozzáférésének javítása érdekében; és</w:t>
      </w:r>
    </w:p>
    <w:p w14:paraId="00F6EF93" w14:textId="77777777" w:rsidR="00D65CB4" w:rsidRPr="00BC4EE7" w:rsidRDefault="00572307">
      <w:pPr>
        <w:pStyle w:val="P68B1DB1-Normal4"/>
        <w:numPr>
          <w:ilvl w:val="0"/>
          <w:numId w:val="274"/>
        </w:numPr>
        <w:autoSpaceDE w:val="0"/>
        <w:autoSpaceDN w:val="0"/>
        <w:adjustRightInd w:val="0"/>
        <w:spacing w:before="120" w:after="120" w:line="240" w:lineRule="auto"/>
        <w:jc w:val="both"/>
        <w:rPr>
          <w:rFonts w:eastAsia="Arial" w:cs="Times New Roman"/>
          <w:noProof/>
        </w:rPr>
      </w:pPr>
      <w:r w:rsidRPr="00BC4EE7">
        <w:rPr>
          <w:rFonts w:cs="Times New Roman"/>
          <w:noProof/>
        </w:rPr>
        <w:t>ösztönzi, hogy a pénzügyi intézmények vezessék be a zöld finanszírozást.</w:t>
      </w:r>
    </w:p>
    <w:p w14:paraId="29520B70" w14:textId="77777777" w:rsidR="00D65CB4" w:rsidRPr="00BC4EE7" w:rsidRDefault="00572307">
      <w:pPr>
        <w:pStyle w:val="P68B1DB1-Normal4"/>
        <w:autoSpaceDE w:val="0"/>
        <w:autoSpaceDN w:val="0"/>
        <w:adjustRightInd w:val="0"/>
        <w:spacing w:before="120" w:after="120" w:line="240" w:lineRule="auto"/>
        <w:jc w:val="both"/>
        <w:rPr>
          <w:rFonts w:eastAsia="Arial" w:cs="Times New Roman"/>
          <w:noProof/>
        </w:rPr>
      </w:pPr>
      <w:r w:rsidRPr="00BC4EE7">
        <w:rPr>
          <w:rFonts w:cs="Times New Roman"/>
          <w:noProof/>
        </w:rPr>
        <w:t>A reform végrehajtását 2022. szeptember 30-ig be kell fejezni.</w:t>
      </w:r>
    </w:p>
    <w:p w14:paraId="56F6608F" w14:textId="08AC5CE0"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(C2.I1) – Rehabilitációs program a lakókörnyezetek gazdasági és társadalmi helyreállítására</w:t>
      </w:r>
    </w:p>
    <w:p w14:paraId="2C53FCFF" w14:textId="719056C0" w:rsidR="00D65CB4" w:rsidRPr="00BC4EE7" w:rsidRDefault="00572307">
      <w:pPr>
        <w:pStyle w:val="P68B1DB1-Normal4"/>
        <w:spacing w:before="120" w:after="120" w:line="240" w:lineRule="auto"/>
        <w:jc w:val="both"/>
        <w:rPr>
          <w:rFonts w:cs="Times New Roman"/>
          <w:noProof/>
        </w:rPr>
      </w:pPr>
      <w:r w:rsidRPr="00BC4EE7">
        <w:rPr>
          <w:rFonts w:cs="Times New Roman"/>
          <w:noProof/>
        </w:rPr>
        <w:t>Ezen intézkedés célja a lakóépületek és lakónegyedek energiahatékonysági felújításának támogatása. Az ezen intézkedés keretében végrehajtott intézkedéseknek legalább 410000 felújítási intézkedést kell végrehajtaniuk legalább 285000 egyedi lakásban, és az energiahatékonysági tanúsítványokkal igazolt primerenergia-kereslet átlagosan legalább 30%-os csökkentését kell elérniük. A következő intézkedéseket kell támogatni:</w:t>
      </w:r>
    </w:p>
    <w:p w14:paraId="304FC7A1" w14:textId="495CE96D" w:rsidR="00D65CB4" w:rsidRPr="00BC4EE7" w:rsidRDefault="00572307">
      <w:pPr>
        <w:pStyle w:val="P68B1DB1-Normal4"/>
        <w:numPr>
          <w:ilvl w:val="0"/>
          <w:numId w:val="69"/>
        </w:numPr>
        <w:spacing w:before="120" w:after="120" w:line="240" w:lineRule="auto"/>
        <w:ind w:left="714" w:hanging="357"/>
        <w:contextualSpacing/>
        <w:jc w:val="both"/>
        <w:rPr>
          <w:rFonts w:cs="Times New Roman"/>
          <w:noProof/>
        </w:rPr>
      </w:pPr>
      <w:r w:rsidRPr="00BC4EE7">
        <w:rPr>
          <w:rFonts w:cs="Times New Roman"/>
          <w:noProof/>
        </w:rPr>
        <w:t xml:space="preserve">A szomszédsági szintű energetikai felújításokat támogató program. A programnak legalább 600 hektár városi területet kell felújítania, és el kell érnie az energiahatékonysági tanúsítványokkal igazolt, átlagosan legalább 30%-os primerenergia-igénycsökkentést. Az intézkedések közé tartozik az energiahatékonyság javítása, az elektromos mobilitást szolgáló infrastruktúra kiépítése, az épületek akadálymentességének javítása és a veszélyes anyagok eltávolítása. Az intézkedés legfeljebb 15%-át a városnegyedek szintjén megvalósítandó fejlesztésekre, például a kültéri világítás, a kerékpárutak, a zöld infrastruktúra és a vízelvezető rendszerek fejlesztésére kell fordítani, figyelembe véve a szomszédság társadalmi-gazdasági jellemzőit. </w:t>
      </w:r>
    </w:p>
    <w:p w14:paraId="3C7153CC" w14:textId="55783E07" w:rsidR="00D65CB4" w:rsidRPr="00BC4EE7" w:rsidRDefault="00572307">
      <w:pPr>
        <w:pStyle w:val="P68B1DB1-Normal4"/>
        <w:numPr>
          <w:ilvl w:val="0"/>
          <w:numId w:val="69"/>
        </w:numPr>
        <w:spacing w:before="120" w:after="120" w:line="240" w:lineRule="auto"/>
        <w:ind w:left="714" w:hanging="357"/>
        <w:contextualSpacing/>
        <w:jc w:val="both"/>
        <w:rPr>
          <w:rFonts w:cs="Times New Roman"/>
          <w:noProof/>
        </w:rPr>
      </w:pPr>
      <w:r w:rsidRPr="00BC4EE7">
        <w:rPr>
          <w:rFonts w:cs="Times New Roman"/>
          <w:noProof/>
        </w:rPr>
        <w:t xml:space="preserve">A lakóépületek energetikai felújítását támogató program. A támogatás szintje magasabb azon intézkedések esetében, amelyeknél a primerenergia-kereslet csökkenése magasabb, valamint az alacsony jövedelmű háztartások esetében. Az intézkedések közé tartozik az energiahatékonyság javítása, az elektromos mobilitást szolgáló infrastruktúra kiépítése, az épületek akadálymentességének javítása és a veszélyes anyagok </w:t>
      </w:r>
      <w:bookmarkStart w:id="5" w:name="_Hlk145665613"/>
      <w:r w:rsidRPr="00BC4EE7">
        <w:rPr>
          <w:rFonts w:cs="Times New Roman"/>
          <w:noProof/>
        </w:rPr>
        <w:t>eltávolítása</w:t>
      </w:r>
      <w:bookmarkEnd w:id="5"/>
      <w:r w:rsidRPr="00BC4EE7">
        <w:rPr>
          <w:rFonts w:cs="Times New Roman"/>
          <w:noProof/>
        </w:rPr>
        <w:t>.</w:t>
      </w:r>
    </w:p>
    <w:p w14:paraId="213E32C8" w14:textId="77777777" w:rsidR="00D65CB4" w:rsidRPr="00BC4EE7" w:rsidRDefault="00572307">
      <w:pPr>
        <w:pStyle w:val="P68B1DB1-Normal4"/>
        <w:numPr>
          <w:ilvl w:val="0"/>
          <w:numId w:val="69"/>
        </w:numPr>
        <w:spacing w:before="120" w:after="120" w:line="240" w:lineRule="auto"/>
        <w:ind w:left="709"/>
        <w:jc w:val="both"/>
        <w:rPr>
          <w:rFonts w:cs="Times New Roman"/>
          <w:noProof/>
        </w:rPr>
      </w:pPr>
      <w:r w:rsidRPr="00BC4EE7">
        <w:rPr>
          <w:rFonts w:cs="Times New Roman"/>
          <w:noProof/>
        </w:rPr>
        <w:t>Számos tevékenység foglalkozik az energetikai felújítások ösztönzőivel. Ez magában foglalja többek között i. a felújítások személyi jövedelemadóból történő levonásának lehetőségét, amennyiben a primerenergia-kereslet legalább 30%-kal csökken, valamint ii. a finanszírozási keret javítása a köz- és magánszféra közötti partnerségek ösztönzése révén.</w:t>
      </w:r>
    </w:p>
    <w:p w14:paraId="65EBC0B5"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Királyi rendelet állapítja meg azokat a műszaki követelményeket, amelyek biztosítják a primerenergia-igény 30%-os átlagos csökkentésének való megfelelést. A személyi jövedelemadó módosításait a királyi törvényerejű rendelet hagyja jóvá, és céljuk az energiahatékonyság javítása érdekében az épületfelújítási tevékenységekhez szükséges adókedvezmények meghatározása.</w:t>
      </w:r>
    </w:p>
    <w:p w14:paraId="5AFC7AC4"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beruházás végrehajtását 2026. június 30-ig be kell fejezni.</w:t>
      </w:r>
    </w:p>
    <w:p w14:paraId="507FD263"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(C2.I2) – A szociális bérlakások energiahatékony épületekben történő építésére irányuló program</w:t>
      </w:r>
    </w:p>
    <w:p w14:paraId="22FD70AB"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Ezen intézkedés célja legalább 20000 új lakás építése szociális bérlakás céljára vagy az energiahatékonyság kritériumainak megfelelő, megfizethető áron. Ezeket különösen azokon a területeken kell megépíteni, ahol a szociális lakások jelenleg nem elégségesek, valamint az állami tulajdonban lévő földterületeken.</w:t>
      </w:r>
    </w:p>
    <w:p w14:paraId="67B4BC21"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szociális lakások primerenergia-igényének legalább 20%-kal alacsonyabbnak kell lennie a közel nulla energiaigényű épületekre vonatkozó követelményektől. E célból királyi rendelet állapítja meg a műszaki építési szabályzat (CTE) energiamegtakarítási alapdokumentumának (DB-HE) HE 0. szakaszában meghatározott határérték 80%-ára való korlátozására vonatkozó műszaki követelményeket.</w:t>
      </w:r>
    </w:p>
    <w:p w14:paraId="609773F7"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beruházás végrehajtását 2026. június 30-ig be kell fejezni.</w:t>
      </w:r>
    </w:p>
    <w:p w14:paraId="4020EDED"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(C2.I3) – Épületek energetikai rehabilitációjára irányuló program</w:t>
      </w:r>
    </w:p>
    <w:p w14:paraId="7394FF66"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Ezen intézkedés célja legalább 40000 lakóépület és 690 000 m 2</w:t>
      </w:r>
      <w:r w:rsidRPr="00BC4EE7">
        <w:rPr>
          <w:rFonts w:cs="Times New Roman"/>
          <w:noProof/>
          <w:vertAlign w:val="superscript"/>
        </w:rPr>
        <w:t>nem</w:t>
      </w:r>
      <w:r w:rsidRPr="00BC4EE7">
        <w:rPr>
          <w:rFonts w:cs="Times New Roman"/>
          <w:noProof/>
        </w:rPr>
        <w:t xml:space="preserve"> lakáscélú épület energetikai felújításának támogatása, valamint az energiahatékonyság javítása és a megújuló energia integrálása révén. A program csak a megújuló energiát támogatja, a fosszilis tüzelőanyagok kivételével, magasabb támogatási intenzitást biztosít az energiaközösségek számára, és lehetővé teszi a felújítási tevékenységek előfinanszírozását. Az egyedi intézkedések kiterjednek az energiahatékonyság hőszigetelés révén történő javítására, a megújuló energia fűtési és hűtési rendszerekben való felhasználására, valamint a világítási rendszer javítására. A tervek szerint a primerenergia-kereslet átlagosan legalább 30%-os csökkentését energiahatékonysági tanúsítvánnyal kell igazolni.</w:t>
      </w:r>
    </w:p>
    <w:p w14:paraId="2298B8EB"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beruházás végrehajtását 2026. június 30-ig be kell fejezni.</w:t>
      </w:r>
    </w:p>
    <w:p w14:paraId="58B2CDE9"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(C2.I4) – Rehabilitációs program és demográfiai kihívás</w:t>
      </w:r>
    </w:p>
    <w:p w14:paraId="5F772F25"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Ezen intézkedés célja az 5000 főnél kevesebb lakosú településeken és városi területeken található épületek felújításának támogatása. Az intézkedések közé tartozik az épületek, a közösségi berendezések és infrastruktúra energiahatékonyságának javítása, a megújulóenergia-termelés és -fogyasztás, a saját fogyasztás és a tulajdonosok helyi energiaközösségei, valamint a fenntartható mobilitás (például elektromos töltőállomások). Kétféle cselekvésre kerül sor:</w:t>
      </w:r>
    </w:p>
    <w:p w14:paraId="01326C6C" w14:textId="527A66CA" w:rsidR="00D65CB4" w:rsidRPr="00BC4EE7" w:rsidRDefault="00572307">
      <w:pPr>
        <w:pStyle w:val="P68B1DB1-Normal4"/>
        <w:numPr>
          <w:ilvl w:val="0"/>
          <w:numId w:val="70"/>
        </w:numPr>
        <w:spacing w:before="120" w:after="120" w:line="240" w:lineRule="auto"/>
        <w:ind w:left="714" w:hanging="357"/>
        <w:contextualSpacing/>
        <w:jc w:val="both"/>
        <w:rPr>
          <w:rFonts w:cs="Times New Roman"/>
          <w:noProof/>
        </w:rPr>
      </w:pPr>
      <w:r w:rsidRPr="00BC4EE7">
        <w:rPr>
          <w:rFonts w:cs="Times New Roman"/>
          <w:noProof/>
        </w:rPr>
        <w:t xml:space="preserve">Az energiahatékonyság tekintetében legalább 4300 energetikai felújítást kell végrehajtani lakóépületekben és 230 000 m² nem lakáscélú épületekben, ami átlagosan legalább 30%-os primerenergia-igény-csökkenést ér el energiahatékonysági tanúsítványokkal igazoltan. </w:t>
      </w:r>
    </w:p>
    <w:p w14:paraId="7EE1C8FD" w14:textId="3CC631DE" w:rsidR="00D65CB4" w:rsidRPr="00BC4EE7" w:rsidRDefault="00572307">
      <w:pPr>
        <w:pStyle w:val="P68B1DB1-Normal4"/>
        <w:numPr>
          <w:ilvl w:val="0"/>
          <w:numId w:val="70"/>
        </w:numPr>
        <w:spacing w:before="120" w:after="120" w:line="240" w:lineRule="auto"/>
        <w:jc w:val="both"/>
        <w:rPr>
          <w:rFonts w:cs="Times New Roman"/>
          <w:noProof/>
        </w:rPr>
      </w:pPr>
      <w:r w:rsidRPr="00BC4EE7">
        <w:rPr>
          <w:rFonts w:cs="Times New Roman"/>
          <w:noProof/>
        </w:rPr>
        <w:t>Legalább 500 egyedi tisztaenergia-projektet kell végrehajtani versenypályázatok vagy a helyi hatóságok beruházásai révén a következő területeken: a középületek vagy -infrastruktúra elektromos vagy fűtési és hűtési célú telepítése (beleértve a saját fogyasztás legalább 80%-át); a középületek vagy az infrastruktúra energetikai felújítása (legalább 30%-os primerenergia-megtakarítás elérése energiahatékonysági tanúsítvánnyal igazolt); fenntartható mobilitás (modális váltásra vagy elektromos mobilitásra irányuló projektek); a fényszennyezés csökkentése a közvilágítás javítása révén; és v. helyi energiaközösségi vagy más közösségvezérelt projektek ezekben a településeken.</w:t>
      </w:r>
    </w:p>
    <w:p w14:paraId="70CDAE8F"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 célból a szabályozási alapokat és a helyi hatóságokra kiterjesztett beruházási támogatási felhívásokat közzé kell tenni a Hivatalos Lapban. </w:t>
      </w:r>
    </w:p>
    <w:p w14:paraId="78DFE28D"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beruházás végrehajtását 2026. június 30-ig be kell fejezni.</w:t>
      </w:r>
    </w:p>
    <w:p w14:paraId="00B8F52C"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(C2.I5) – Középületek rehabilitációs programja</w:t>
      </w:r>
    </w:p>
    <w:p w14:paraId="5C84FBF4"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Ezen intézkedés célja a középületek energetikai felújításának támogatása, beleértve a közigazgatást, az oktatást, a szociális ellátást, a sportot, az egészségügyet, a kulturális vagy a közszolgáltatásokat. Legalább 1 230 000 m 2</w:t>
      </w:r>
      <w:r w:rsidRPr="00BC4EE7">
        <w:rPr>
          <w:rFonts w:cs="Times New Roman"/>
          <w:noProof/>
          <w:vertAlign w:val="superscript"/>
        </w:rPr>
        <w:t>középületet</w:t>
      </w:r>
      <w:r w:rsidRPr="00BC4EE7">
        <w:rPr>
          <w:rFonts w:cs="Times New Roman"/>
          <w:noProof/>
        </w:rPr>
        <w:t xml:space="preserve"> fel kellújítani oly módon, hogy az energiahatékonysági tanúsítványokkal igazolt primerenergia-kereslet átlagosan legalább 30%-os csökkenést érjen el. Az intézkedés a következőket támogatja: i. a víz- és anyagfelhasználás, a hulladékgazdálkodás és az éghajlatváltozáshoz való alkalmazkodás javítása; az épületek akadálymentességének javítása; a veszélyes anyagok eltávolítása és a beltéri levegő minőségének javítása; és iv. az épületek megőrzése. </w:t>
      </w:r>
    </w:p>
    <w:p w14:paraId="0B17E944"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beruházás végrehajtását 2026. június 30-ig be kell fejezni.</w:t>
      </w:r>
    </w:p>
    <w:p w14:paraId="490F1E3A"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(C2.I6) – Támogatási program a spanyol városfejlesztési menetrend helyi cselekvési terveihez kapcsolódó kísérleti projektek kidolgozásához</w:t>
      </w:r>
    </w:p>
    <w:p w14:paraId="71C49580"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Ezen intézkedés célja, hogy legalább 100 helyi cselekvési terv jóváhagyásával támogassa a helyi önkormányzatokat a spanyol városfejlesztési menetrend tíz stratégiai célkitűzésének végrehajtásában. A spanyol városfejlesztési menetrend tíz stratégiai célkitűzése a következő: a földhasználat tervezése és észszerűbb használata, megőrzése és védelme; a városok terjeszkedésének elkerülése és a meglévő városok újjáélesztése; iii. az éghajlatváltozás és az ellenálló képesség hatásainak megelőzése és csökkentése; az erőforrások fenntartható felhasználása és a körforgásos gazdaság előmozdítása; v. a közelség és a fenntartható mobilitás előmozdítása; vi. a társadalmi kohézió ösztönzése és az egyenlőségre való törekvés; vi. a városi gazdaság előmozdítása és ösztönzése; a lakhatáshoz való hozzáférés biztosítása; a digitális innováció vezetése és előmozdítása; valamint x. a részvételi és irányítási eszközök javítása.</w:t>
      </w:r>
    </w:p>
    <w:p w14:paraId="1C387669"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Az intézkedés i. példaképként és iránymutatásként szolgál más helyi önkormányzatok számára saját cselekvési terveik kidolgozásához; a spanyol városfejlesztési menetrend végrehajtása helyi szintű cselekvési tervekkel; valamint iii. konkrét projektek végrehajtása a helyi cselekvési tervek részeként a spanyol városfejlesztési menetrendben rejlő lehetőségek kiemelése érdekében. A támogatást versenyeztetés útján ítélik oda, és különösen olyan átfogó és integrált projekteket foglal magában, amelyek stratégiai jövőképpel, valamint a legszélesebb körű részvételt biztosító irányítási modellen alapulnak. </w:t>
      </w:r>
    </w:p>
    <w:p w14:paraId="3A173C06"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Az ezen intézkedés szerinti beruházásokat 2022. december 31-ig be kell fejezni.</w:t>
      </w:r>
    </w:p>
    <w:p w14:paraId="567278F9" w14:textId="77777777" w:rsidR="00D65CB4" w:rsidRPr="00BC4EE7" w:rsidRDefault="00572307">
      <w:pPr>
        <w:spacing w:before="120" w:after="120" w:line="240" w:lineRule="auto"/>
        <w:ind w:left="709"/>
        <w:jc w:val="both"/>
        <w:rPr>
          <w:rFonts w:ascii="Times New Roman" w:hAnsi="Times New Roman" w:cs="Times New Roman"/>
          <w:b/>
          <w:noProof/>
          <w:sz w:val="24"/>
          <w:u w:val="single"/>
        </w:rPr>
      </w:pPr>
      <w:r w:rsidRPr="00BC4EE7">
        <w:rPr>
          <w:rFonts w:ascii="Times New Roman" w:hAnsi="Times New Roman" w:cs="Times New Roman"/>
          <w:b/>
          <w:noProof/>
          <w:sz w:val="24"/>
          <w:u w:val="single"/>
        </w:rPr>
        <w:t xml:space="preserve">B.2.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Vissza nem térítendő pénzügyi támogatás – a végrehajtáshoz és a nyomon követéshez kapcsolódó mérföldkövek, célok, mutatók és ütemterv</w:t>
      </w:r>
    </w:p>
    <w:p w14:paraId="49802B6B" w14:textId="77777777" w:rsidR="00D65CB4" w:rsidRPr="00BC4EE7" w:rsidRDefault="00572307">
      <w:pPr>
        <w:pStyle w:val="P68B1DB1-Normal4"/>
        <w:spacing w:before="120" w:after="120" w:line="240" w:lineRule="auto"/>
        <w:jc w:val="both"/>
        <w:rPr>
          <w:rFonts w:cs="Times New Roman"/>
          <w:i/>
          <w:noProof/>
        </w:rPr>
      </w:pPr>
      <w:r w:rsidRPr="00BC4EE7">
        <w:rPr>
          <w:rFonts w:cs="Times New Roman"/>
          <w:i/>
          <w:noProof/>
        </w:rPr>
        <w:t>Táblázat alább.</w:t>
      </w:r>
      <w:r w:rsidRPr="00BC4EE7">
        <w:rPr>
          <w:rFonts w:cs="Times New Roman"/>
          <w:noProof/>
        </w:rPr>
        <w:t xml:space="preserve"> </w:t>
      </w:r>
      <w:r w:rsidRPr="00BC4EE7">
        <w:rPr>
          <w:rFonts w:cs="Times New Roman"/>
          <w:i/>
          <w:noProof/>
        </w:rPr>
        <w:t>Az összes mutató esetében az alapforgatókönyv időpontja 2020. február 1., kivéve, ha az intézkedés leírása ettől eltérően rendelkezik. A táblázatban szereplő összegek nem tartalmazzák a héát.</w:t>
      </w:r>
    </w:p>
    <w:p w14:paraId="0F361146" w14:textId="77777777" w:rsidR="00D65CB4" w:rsidRPr="00BC4EE7" w:rsidRDefault="00D65CB4">
      <w:pPr>
        <w:spacing w:before="120" w:after="120" w:line="240" w:lineRule="auto"/>
        <w:jc w:val="both"/>
        <w:rPr>
          <w:rFonts w:ascii="Times New Roman" w:hAnsi="Times New Roman" w:cs="Times New Roman"/>
          <w:noProof/>
          <w:sz w:val="24"/>
        </w:rPr>
      </w:pPr>
    </w:p>
    <w:p w14:paraId="02246708" w14:textId="40E43E47" w:rsidR="00D65CB4" w:rsidRPr="00BC4EE7" w:rsidRDefault="00D65CB4">
      <w:pPr>
        <w:spacing w:before="120" w:after="120" w:line="240" w:lineRule="auto"/>
        <w:jc w:val="both"/>
        <w:rPr>
          <w:rFonts w:ascii="Times New Roman" w:hAnsi="Times New Roman" w:cs="Times New Roman"/>
          <w:noProof/>
          <w:sz w:val="24"/>
        </w:rPr>
        <w:sectPr w:rsidR="00D65CB4" w:rsidRPr="00BC4EE7" w:rsidSect="00B511EF">
          <w:headerReference w:type="even" r:id="rId45"/>
          <w:headerReference w:type="default" r:id="rId46"/>
          <w:footerReference w:type="even" r:id="rId47"/>
          <w:footerReference w:type="default" r:id="rId48"/>
          <w:headerReference w:type="first" r:id="rId49"/>
          <w:footerReference w:type="first" r:id="rId50"/>
          <w:pgSz w:w="11907" w:h="16839"/>
          <w:pgMar w:top="1134" w:right="1134" w:bottom="1134" w:left="1134" w:header="567" w:footer="567" w:gutter="0"/>
          <w:cols w:space="720"/>
          <w:docGrid w:linePitch="360"/>
        </w:sectPr>
      </w:pPr>
    </w:p>
    <w:tbl>
      <w:tblPr>
        <w:tblpPr w:leftFromText="180" w:rightFromText="180" w:vertAnchor="text" w:tblpX="-114" w:tblpY="1"/>
        <w:tblOverlap w:val="never"/>
        <w:tblW w:w="1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98"/>
        <w:gridCol w:w="890"/>
        <w:gridCol w:w="992"/>
        <w:gridCol w:w="1559"/>
        <w:gridCol w:w="1292"/>
        <w:gridCol w:w="835"/>
        <w:gridCol w:w="974"/>
        <w:gridCol w:w="836"/>
        <w:gridCol w:w="418"/>
        <w:gridCol w:w="558"/>
        <w:gridCol w:w="6258"/>
      </w:tblGrid>
      <w:tr w:rsidR="00D65CB4" w:rsidRPr="00BC4EE7" w14:paraId="2E3C9312" w14:textId="77777777" w:rsidTr="00BA5F87">
        <w:trPr>
          <w:trHeight w:val="309"/>
          <w:tblHeader/>
        </w:trPr>
        <w:tc>
          <w:tcPr>
            <w:tcW w:w="698" w:type="dxa"/>
            <w:tcBorders>
              <w:bottom w:val="nil"/>
            </w:tcBorders>
            <w:shd w:val="clear" w:color="auto" w:fill="C6D9F1" w:themeFill="text2" w:themeFillTint="33"/>
            <w:noWrap/>
            <w:vAlign w:val="center"/>
          </w:tcPr>
          <w:p w14:paraId="5B1788F6"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Szám</w:t>
            </w:r>
          </w:p>
        </w:tc>
        <w:tc>
          <w:tcPr>
            <w:tcW w:w="890" w:type="dxa"/>
            <w:tcBorders>
              <w:bottom w:val="nil"/>
            </w:tcBorders>
            <w:shd w:val="clear" w:color="auto" w:fill="C6D9F1" w:themeFill="text2" w:themeFillTint="33"/>
            <w:noWrap/>
            <w:vAlign w:val="center"/>
          </w:tcPr>
          <w:p w14:paraId="49584422"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Intézkedés</w:t>
            </w:r>
          </w:p>
        </w:tc>
        <w:tc>
          <w:tcPr>
            <w:tcW w:w="992" w:type="dxa"/>
            <w:tcBorders>
              <w:bottom w:val="nil"/>
            </w:tcBorders>
            <w:shd w:val="clear" w:color="auto" w:fill="C6D9F1" w:themeFill="text2" w:themeFillTint="33"/>
            <w:noWrap/>
            <w:vAlign w:val="center"/>
          </w:tcPr>
          <w:p w14:paraId="39827929" w14:textId="77777777" w:rsidR="00D65CB4" w:rsidRPr="00BC4EE7" w:rsidRDefault="00572307">
            <w:pPr>
              <w:spacing w:after="0" w:line="240" w:lineRule="auto"/>
              <w:jc w:val="center"/>
              <w:rPr>
                <w:rFonts w:ascii="Times New Roman" w:hAnsi="Times New Roman" w:cs="Times New Roman"/>
                <w:b/>
                <w:noProof/>
                <w:sz w:val="18"/>
              </w:rPr>
            </w:pPr>
            <w:r w:rsidRPr="00BC4EE7">
              <w:rPr>
                <w:rFonts w:ascii="Times New Roman" w:hAnsi="Times New Roman" w:cs="Times New Roman"/>
                <w:b/>
                <w:noProof/>
                <w:sz w:val="18"/>
              </w:rPr>
              <w:t>Mérföldkő</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b/>
                <w:noProof/>
                <w:sz w:val="18"/>
              </w:rPr>
              <w:t xml:space="preserve"> /Cél</w:t>
            </w:r>
          </w:p>
        </w:tc>
        <w:tc>
          <w:tcPr>
            <w:tcW w:w="1559" w:type="dxa"/>
            <w:tcBorders>
              <w:bottom w:val="nil"/>
            </w:tcBorders>
            <w:shd w:val="clear" w:color="auto" w:fill="C6D9F1" w:themeFill="text2" w:themeFillTint="33"/>
            <w:noWrap/>
            <w:vAlign w:val="center"/>
          </w:tcPr>
          <w:p w14:paraId="76CAFD79"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Név</w:t>
            </w:r>
          </w:p>
        </w:tc>
        <w:tc>
          <w:tcPr>
            <w:tcW w:w="1292" w:type="dxa"/>
            <w:tcBorders>
              <w:bottom w:val="nil"/>
            </w:tcBorders>
            <w:shd w:val="clear" w:color="auto" w:fill="C6D9F1" w:themeFill="text2" w:themeFillTint="33"/>
            <w:noWrap/>
            <w:vAlign w:val="center"/>
          </w:tcPr>
          <w:p w14:paraId="4600E658"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mérföldkövek minőségi mutatója</w:t>
            </w:r>
          </w:p>
        </w:tc>
        <w:tc>
          <w:tcPr>
            <w:tcW w:w="2645" w:type="dxa"/>
            <w:gridSpan w:val="3"/>
            <w:shd w:val="clear" w:color="auto" w:fill="C6D9F1" w:themeFill="text2" w:themeFillTint="33"/>
            <w:noWrap/>
            <w:vAlign w:val="center"/>
          </w:tcPr>
          <w:p w14:paraId="38F0721A"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célérték mennyiségi mutatója</w:t>
            </w:r>
          </w:p>
        </w:tc>
        <w:tc>
          <w:tcPr>
            <w:tcW w:w="976" w:type="dxa"/>
            <w:gridSpan w:val="2"/>
            <w:shd w:val="clear" w:color="auto" w:fill="C6D9F1" w:themeFill="text2" w:themeFillTint="33"/>
            <w:noWrap/>
            <w:vAlign w:val="center"/>
          </w:tcPr>
          <w:p w14:paraId="77B6B7CC"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Idő</w:t>
            </w:r>
          </w:p>
        </w:tc>
        <w:tc>
          <w:tcPr>
            <w:tcW w:w="6258" w:type="dxa"/>
            <w:tcBorders>
              <w:bottom w:val="nil"/>
            </w:tcBorders>
            <w:shd w:val="clear" w:color="auto" w:fill="C6D9F1" w:themeFill="text2" w:themeFillTint="33"/>
            <w:noWrap/>
            <w:vAlign w:val="center"/>
          </w:tcPr>
          <w:p w14:paraId="038D6592"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Az egyes mérföldkövek és célértékek leírása</w:t>
            </w:r>
          </w:p>
        </w:tc>
      </w:tr>
      <w:tr w:rsidR="00D65CB4" w:rsidRPr="00BC4EE7" w14:paraId="4A804D2F" w14:textId="77777777" w:rsidTr="00BA5F87">
        <w:trPr>
          <w:trHeight w:val="309"/>
          <w:tblHeader/>
        </w:trPr>
        <w:tc>
          <w:tcPr>
            <w:tcW w:w="698" w:type="dxa"/>
            <w:tcBorders>
              <w:top w:val="nil"/>
            </w:tcBorders>
            <w:shd w:val="clear" w:color="auto" w:fill="C6D9F1" w:themeFill="text2" w:themeFillTint="33"/>
            <w:noWrap/>
          </w:tcPr>
          <w:p w14:paraId="3656B9AB" w14:textId="77777777" w:rsidR="00D65CB4" w:rsidRPr="00BC4EE7" w:rsidRDefault="00D65CB4">
            <w:pPr>
              <w:spacing w:after="0" w:line="240" w:lineRule="auto"/>
              <w:jc w:val="center"/>
              <w:rPr>
                <w:rFonts w:ascii="Times New Roman" w:hAnsi="Times New Roman" w:cs="Times New Roman"/>
                <w:b/>
                <w:noProof/>
                <w:sz w:val="18"/>
              </w:rPr>
            </w:pPr>
          </w:p>
        </w:tc>
        <w:tc>
          <w:tcPr>
            <w:tcW w:w="890" w:type="dxa"/>
            <w:tcBorders>
              <w:top w:val="nil"/>
            </w:tcBorders>
            <w:shd w:val="clear" w:color="auto" w:fill="C6D9F1" w:themeFill="text2" w:themeFillTint="33"/>
            <w:noWrap/>
          </w:tcPr>
          <w:p w14:paraId="45FB0818" w14:textId="77777777" w:rsidR="00D65CB4" w:rsidRPr="00BC4EE7" w:rsidRDefault="00D65CB4">
            <w:pPr>
              <w:spacing w:after="0" w:line="240" w:lineRule="auto"/>
              <w:jc w:val="center"/>
              <w:rPr>
                <w:rFonts w:ascii="Times New Roman" w:hAnsi="Times New Roman" w:cs="Times New Roman"/>
                <w:b/>
                <w:noProof/>
                <w:sz w:val="18"/>
              </w:rPr>
            </w:pPr>
          </w:p>
        </w:tc>
        <w:tc>
          <w:tcPr>
            <w:tcW w:w="992" w:type="dxa"/>
            <w:tcBorders>
              <w:top w:val="nil"/>
            </w:tcBorders>
            <w:shd w:val="clear" w:color="auto" w:fill="C6D9F1" w:themeFill="text2" w:themeFillTint="33"/>
            <w:noWrap/>
          </w:tcPr>
          <w:p w14:paraId="049F31CB" w14:textId="77777777" w:rsidR="00D65CB4" w:rsidRPr="00BC4EE7" w:rsidRDefault="00D65CB4">
            <w:pPr>
              <w:spacing w:after="0" w:line="240" w:lineRule="auto"/>
              <w:jc w:val="center"/>
              <w:rPr>
                <w:rFonts w:ascii="Times New Roman" w:hAnsi="Times New Roman" w:cs="Times New Roman"/>
                <w:b/>
                <w:noProof/>
                <w:sz w:val="18"/>
              </w:rPr>
            </w:pPr>
          </w:p>
        </w:tc>
        <w:tc>
          <w:tcPr>
            <w:tcW w:w="1559" w:type="dxa"/>
            <w:tcBorders>
              <w:top w:val="nil"/>
            </w:tcBorders>
            <w:shd w:val="clear" w:color="auto" w:fill="C6D9F1" w:themeFill="text2" w:themeFillTint="33"/>
            <w:noWrap/>
          </w:tcPr>
          <w:p w14:paraId="53128261" w14:textId="77777777" w:rsidR="00D65CB4" w:rsidRPr="00BC4EE7" w:rsidRDefault="00D65CB4">
            <w:pPr>
              <w:spacing w:after="0" w:line="240" w:lineRule="auto"/>
              <w:rPr>
                <w:rFonts w:ascii="Times New Roman" w:hAnsi="Times New Roman" w:cs="Times New Roman"/>
                <w:b/>
                <w:noProof/>
                <w:sz w:val="18"/>
              </w:rPr>
            </w:pPr>
          </w:p>
        </w:tc>
        <w:tc>
          <w:tcPr>
            <w:tcW w:w="1292" w:type="dxa"/>
            <w:tcBorders>
              <w:top w:val="nil"/>
            </w:tcBorders>
            <w:shd w:val="clear" w:color="auto" w:fill="C6D9F1" w:themeFill="text2" w:themeFillTint="33"/>
            <w:noWrap/>
          </w:tcPr>
          <w:p w14:paraId="62486C05" w14:textId="77777777" w:rsidR="00D65CB4" w:rsidRPr="00BC4EE7" w:rsidRDefault="00D65CB4">
            <w:pPr>
              <w:spacing w:after="0" w:line="240" w:lineRule="auto"/>
              <w:jc w:val="center"/>
              <w:rPr>
                <w:rFonts w:ascii="Times New Roman" w:hAnsi="Times New Roman" w:cs="Times New Roman"/>
                <w:b/>
                <w:noProof/>
                <w:sz w:val="18"/>
              </w:rPr>
            </w:pPr>
          </w:p>
        </w:tc>
        <w:tc>
          <w:tcPr>
            <w:tcW w:w="835" w:type="dxa"/>
            <w:shd w:val="clear" w:color="auto" w:fill="C6D9F1" w:themeFill="text2" w:themeFillTint="33"/>
            <w:noWrap/>
            <w:vAlign w:val="center"/>
          </w:tcPr>
          <w:p w14:paraId="2405BE9F"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Egység</w:t>
            </w:r>
          </w:p>
        </w:tc>
        <w:tc>
          <w:tcPr>
            <w:tcW w:w="974" w:type="dxa"/>
            <w:shd w:val="clear" w:color="auto" w:fill="C6D9F1" w:themeFill="text2" w:themeFillTint="33"/>
            <w:noWrap/>
            <w:vAlign w:val="center"/>
          </w:tcPr>
          <w:p w14:paraId="0F1DE017" w14:textId="60B5B464" w:rsidR="00D65CB4" w:rsidRPr="00BC4EE7" w:rsidRDefault="00572307">
            <w:pPr>
              <w:pStyle w:val="P68B1DB1-Normal8"/>
              <w:spacing w:after="0" w:line="240" w:lineRule="auto"/>
              <w:jc w:val="center"/>
              <w:rPr>
                <w:rFonts w:cs="Times New Roman"/>
                <w:noProof/>
              </w:rPr>
            </w:pPr>
            <w:r w:rsidRPr="00BC4EE7">
              <w:rPr>
                <w:rFonts w:cs="Times New Roman"/>
                <w:noProof/>
              </w:rPr>
              <w:t>Kiindulási</w:t>
            </w:r>
          </w:p>
        </w:tc>
        <w:tc>
          <w:tcPr>
            <w:tcW w:w="836" w:type="dxa"/>
            <w:shd w:val="clear" w:color="auto" w:fill="C6D9F1" w:themeFill="text2" w:themeFillTint="33"/>
            <w:noWrap/>
            <w:vAlign w:val="center"/>
          </w:tcPr>
          <w:p w14:paraId="09320768"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Cél</w:t>
            </w:r>
          </w:p>
        </w:tc>
        <w:tc>
          <w:tcPr>
            <w:tcW w:w="418" w:type="dxa"/>
            <w:shd w:val="clear" w:color="auto" w:fill="C6D9F1" w:themeFill="text2" w:themeFillTint="33"/>
            <w:noWrap/>
            <w:vAlign w:val="center"/>
          </w:tcPr>
          <w:p w14:paraId="5EF36C89"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Q</w:t>
            </w:r>
          </w:p>
        </w:tc>
        <w:tc>
          <w:tcPr>
            <w:tcW w:w="558" w:type="dxa"/>
            <w:shd w:val="clear" w:color="auto" w:fill="C6D9F1" w:themeFill="text2" w:themeFillTint="33"/>
            <w:noWrap/>
            <w:vAlign w:val="center"/>
          </w:tcPr>
          <w:p w14:paraId="1D6DE76D"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Éve</w:t>
            </w:r>
          </w:p>
        </w:tc>
        <w:tc>
          <w:tcPr>
            <w:tcW w:w="6258" w:type="dxa"/>
            <w:tcBorders>
              <w:top w:val="nil"/>
            </w:tcBorders>
            <w:shd w:val="clear" w:color="auto" w:fill="C6D9F1" w:themeFill="text2" w:themeFillTint="33"/>
            <w:noWrap/>
          </w:tcPr>
          <w:p w14:paraId="4101652C" w14:textId="77777777" w:rsidR="00D65CB4" w:rsidRPr="00BC4EE7" w:rsidRDefault="00D65CB4">
            <w:pPr>
              <w:spacing w:after="0" w:line="240" w:lineRule="auto"/>
              <w:rPr>
                <w:rFonts w:ascii="Times New Roman" w:hAnsi="Times New Roman" w:cs="Times New Roman"/>
                <w:b/>
                <w:noProof/>
                <w:sz w:val="18"/>
              </w:rPr>
            </w:pPr>
          </w:p>
        </w:tc>
      </w:tr>
      <w:tr w:rsidR="00D65CB4" w:rsidRPr="00BC4EE7" w14:paraId="6E905AD4" w14:textId="77777777" w:rsidTr="00BA5F87">
        <w:trPr>
          <w:trHeight w:val="309"/>
        </w:trPr>
        <w:tc>
          <w:tcPr>
            <w:tcW w:w="698" w:type="dxa"/>
            <w:shd w:val="clear" w:color="auto" w:fill="C6EFCE"/>
            <w:noWrap/>
          </w:tcPr>
          <w:p w14:paraId="7B568215"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21</w:t>
            </w:r>
          </w:p>
        </w:tc>
        <w:tc>
          <w:tcPr>
            <w:tcW w:w="890" w:type="dxa"/>
            <w:shd w:val="clear" w:color="auto" w:fill="C6EFCE"/>
            <w:noWrap/>
          </w:tcPr>
          <w:p w14:paraId="54F29CE8"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C2.R1</w:t>
            </w:r>
          </w:p>
        </w:tc>
        <w:tc>
          <w:tcPr>
            <w:tcW w:w="992" w:type="dxa"/>
            <w:shd w:val="clear" w:color="auto" w:fill="C6EFCE"/>
            <w:noWrap/>
          </w:tcPr>
          <w:p w14:paraId="5DB29657"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M</w:t>
            </w:r>
          </w:p>
        </w:tc>
        <w:tc>
          <w:tcPr>
            <w:tcW w:w="1559" w:type="dxa"/>
            <w:shd w:val="clear" w:color="auto" w:fill="C6EFCE"/>
            <w:noWrap/>
          </w:tcPr>
          <w:p w14:paraId="6BD4891F" w14:textId="77777777" w:rsidR="00D65CB4" w:rsidRPr="00BC4EE7" w:rsidRDefault="00572307">
            <w:pPr>
              <w:pStyle w:val="P68B1DB1-Normal12"/>
              <w:spacing w:after="0" w:line="240" w:lineRule="auto"/>
              <w:rPr>
                <w:rFonts w:eastAsia="MS Mincho" w:cs="Times New Roman"/>
                <w:noProof/>
              </w:rPr>
            </w:pPr>
            <w:r w:rsidRPr="00BC4EE7">
              <w:rPr>
                <w:rFonts w:cs="Times New Roman"/>
                <w:noProof/>
              </w:rPr>
              <w:t xml:space="preserve">A spanyol városfejlesztési menetrend és a spanyolországi építőipar energetikai rehabilitációjára vonatkozó hosszú távú felújítási stratégia hatálybalépése </w:t>
            </w:r>
          </w:p>
        </w:tc>
        <w:tc>
          <w:tcPr>
            <w:tcW w:w="1292" w:type="dxa"/>
            <w:shd w:val="clear" w:color="auto" w:fill="C6EFCE"/>
            <w:noWrap/>
          </w:tcPr>
          <w:p w14:paraId="5CC747CB"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Közzététel a Hivatalos Lapban</w:t>
            </w:r>
          </w:p>
        </w:tc>
        <w:tc>
          <w:tcPr>
            <w:tcW w:w="835" w:type="dxa"/>
            <w:shd w:val="clear" w:color="auto" w:fill="C6EFCE"/>
            <w:noWrap/>
          </w:tcPr>
          <w:p w14:paraId="5EDB29A5"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974" w:type="dxa"/>
            <w:shd w:val="clear" w:color="auto" w:fill="C6EFCE"/>
            <w:noWrap/>
          </w:tcPr>
          <w:p w14:paraId="4474F8A0"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836" w:type="dxa"/>
            <w:shd w:val="clear" w:color="auto" w:fill="C6EFCE"/>
            <w:noWrap/>
          </w:tcPr>
          <w:p w14:paraId="5E6F60B5"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418" w:type="dxa"/>
            <w:shd w:val="clear" w:color="auto" w:fill="C6EFCE"/>
            <w:noWrap/>
          </w:tcPr>
          <w:p w14:paraId="7694BBC2"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Q2</w:t>
            </w:r>
          </w:p>
        </w:tc>
        <w:tc>
          <w:tcPr>
            <w:tcW w:w="558" w:type="dxa"/>
            <w:shd w:val="clear" w:color="auto" w:fill="C6EFCE"/>
            <w:noWrap/>
          </w:tcPr>
          <w:p w14:paraId="77F781D2"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2020</w:t>
            </w:r>
          </w:p>
        </w:tc>
        <w:tc>
          <w:tcPr>
            <w:tcW w:w="6258" w:type="dxa"/>
            <w:shd w:val="clear" w:color="auto" w:fill="C6EFCE"/>
            <w:noWrap/>
          </w:tcPr>
          <w:p w14:paraId="3F8518F0" w14:textId="77777777" w:rsidR="00D65CB4" w:rsidRPr="00BC4EE7" w:rsidRDefault="00572307">
            <w:pPr>
              <w:pStyle w:val="P68B1DB1-Normal12"/>
              <w:spacing w:after="0" w:line="240" w:lineRule="auto"/>
              <w:rPr>
                <w:rFonts w:eastAsia="MS Mincho" w:cs="Times New Roman"/>
                <w:noProof/>
              </w:rPr>
            </w:pPr>
            <w:r w:rsidRPr="00BC4EE7">
              <w:rPr>
                <w:rFonts w:cs="Times New Roman"/>
                <w:noProof/>
              </w:rPr>
              <w:t>A spanyol városfejlesztési menetrend olyan nemzeti várospolitikaként történő hatálybalépése, amely biztosítja a városok integrált és átfogó stratégiai tervezését, valamint a spanyolországi építőipar energetikai rehabilitációjára vonatkozó hosszú távú felújítási stratégia (ERESEE) 2020. évi aktualizálása. Az ERESEE-stratégia célja, hogy felmérje a spanyolországi épületállományt, felszámolja az akadályokat és új megközelítéseket dolgozzon ki az épületek felújításának fokozása érdekében, ösztönözze az ágazatba történő beruházásokat, növelje az energiamegtakarítást és csökkentse a szén-dioxid-kibocsátást az éghajlat-politikai célokkal összhangban.</w:t>
            </w:r>
          </w:p>
        </w:tc>
      </w:tr>
      <w:tr w:rsidR="00D65CB4" w:rsidRPr="00BC4EE7" w14:paraId="33ED5252" w14:textId="77777777" w:rsidTr="00BA5F87">
        <w:trPr>
          <w:trHeight w:val="309"/>
        </w:trPr>
        <w:tc>
          <w:tcPr>
            <w:tcW w:w="698" w:type="dxa"/>
            <w:shd w:val="clear" w:color="auto" w:fill="C6EFCE"/>
            <w:noWrap/>
          </w:tcPr>
          <w:p w14:paraId="2569FBD6"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21a.</w:t>
            </w:r>
          </w:p>
        </w:tc>
        <w:tc>
          <w:tcPr>
            <w:tcW w:w="890" w:type="dxa"/>
            <w:shd w:val="clear" w:color="auto" w:fill="C6EFCE"/>
            <w:noWrap/>
          </w:tcPr>
          <w:p w14:paraId="43DCEA58"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C2.R2</w:t>
            </w:r>
          </w:p>
        </w:tc>
        <w:tc>
          <w:tcPr>
            <w:tcW w:w="992" w:type="dxa"/>
            <w:shd w:val="clear" w:color="auto" w:fill="C6EFCE"/>
            <w:noWrap/>
          </w:tcPr>
          <w:p w14:paraId="1F0E4D68"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M</w:t>
            </w:r>
          </w:p>
        </w:tc>
        <w:tc>
          <w:tcPr>
            <w:tcW w:w="1559" w:type="dxa"/>
            <w:shd w:val="clear" w:color="auto" w:fill="C6EFCE"/>
            <w:noWrap/>
          </w:tcPr>
          <w:p w14:paraId="38D6AED2" w14:textId="77777777" w:rsidR="00D65CB4" w:rsidRPr="00BC4EE7" w:rsidRDefault="00572307">
            <w:pPr>
              <w:pStyle w:val="P68B1DB1-Normal12"/>
              <w:spacing w:after="0" w:line="240" w:lineRule="auto"/>
              <w:rPr>
                <w:rFonts w:cs="Times New Roman"/>
                <w:noProof/>
                <w:highlight w:val="yellow"/>
              </w:rPr>
            </w:pPr>
            <w:r w:rsidRPr="00BC4EE7">
              <w:rPr>
                <w:rFonts w:cs="Times New Roman"/>
                <w:noProof/>
              </w:rPr>
              <w:t>A hosszú távú felújítási stratégia spanyolországi végrehajtásával foglalkozó munkacsoportok ajánlásainak közzététele</w:t>
            </w:r>
          </w:p>
        </w:tc>
        <w:tc>
          <w:tcPr>
            <w:tcW w:w="1292" w:type="dxa"/>
            <w:shd w:val="clear" w:color="auto" w:fill="C6EFCE"/>
            <w:noWrap/>
          </w:tcPr>
          <w:p w14:paraId="008F8ECF" w14:textId="77777777" w:rsidR="00D65CB4" w:rsidRPr="00BC4EE7" w:rsidRDefault="00572307">
            <w:pPr>
              <w:pStyle w:val="P68B1DB1-Normal12"/>
              <w:spacing w:after="0" w:line="240" w:lineRule="auto"/>
              <w:jc w:val="center"/>
              <w:rPr>
                <w:rFonts w:cs="Times New Roman"/>
                <w:noProof/>
                <w:highlight w:val="yellow"/>
              </w:rPr>
            </w:pPr>
            <w:r w:rsidRPr="00BC4EE7">
              <w:rPr>
                <w:rFonts w:cs="Times New Roman"/>
                <w:noProof/>
              </w:rPr>
              <w:t>A munkacsoportok ajánlásainak közzététele</w:t>
            </w:r>
          </w:p>
        </w:tc>
        <w:tc>
          <w:tcPr>
            <w:tcW w:w="835" w:type="dxa"/>
            <w:shd w:val="clear" w:color="auto" w:fill="C6EFCE"/>
            <w:noWrap/>
          </w:tcPr>
          <w:p w14:paraId="4B99056E" w14:textId="77777777" w:rsidR="00D65CB4" w:rsidRPr="00BC4EE7" w:rsidRDefault="00D65CB4">
            <w:pPr>
              <w:spacing w:after="0" w:line="240" w:lineRule="auto"/>
              <w:jc w:val="right"/>
              <w:rPr>
                <w:rFonts w:ascii="Times New Roman" w:hAnsi="Times New Roman" w:cs="Times New Roman"/>
                <w:noProof/>
                <w:sz w:val="18"/>
              </w:rPr>
            </w:pPr>
          </w:p>
        </w:tc>
        <w:tc>
          <w:tcPr>
            <w:tcW w:w="974" w:type="dxa"/>
            <w:shd w:val="clear" w:color="auto" w:fill="C6EFCE"/>
            <w:noWrap/>
          </w:tcPr>
          <w:p w14:paraId="1299C43A" w14:textId="77777777" w:rsidR="00D65CB4" w:rsidRPr="00BC4EE7" w:rsidRDefault="00D65CB4">
            <w:pPr>
              <w:spacing w:after="0" w:line="240" w:lineRule="auto"/>
              <w:jc w:val="right"/>
              <w:rPr>
                <w:rFonts w:ascii="Times New Roman" w:hAnsi="Times New Roman" w:cs="Times New Roman"/>
                <w:noProof/>
                <w:sz w:val="18"/>
              </w:rPr>
            </w:pPr>
          </w:p>
        </w:tc>
        <w:tc>
          <w:tcPr>
            <w:tcW w:w="836" w:type="dxa"/>
            <w:shd w:val="clear" w:color="auto" w:fill="C6EFCE"/>
            <w:noWrap/>
          </w:tcPr>
          <w:p w14:paraId="4DDBEF00" w14:textId="77777777" w:rsidR="00D65CB4" w:rsidRPr="00BC4EE7" w:rsidRDefault="00D65CB4">
            <w:pPr>
              <w:spacing w:after="0" w:line="240" w:lineRule="auto"/>
              <w:jc w:val="right"/>
              <w:rPr>
                <w:rFonts w:ascii="Times New Roman" w:hAnsi="Times New Roman" w:cs="Times New Roman"/>
                <w:noProof/>
                <w:sz w:val="18"/>
              </w:rPr>
            </w:pPr>
          </w:p>
        </w:tc>
        <w:tc>
          <w:tcPr>
            <w:tcW w:w="418" w:type="dxa"/>
            <w:shd w:val="clear" w:color="auto" w:fill="C6EFCE"/>
            <w:noWrap/>
          </w:tcPr>
          <w:p w14:paraId="6F320D90"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558" w:type="dxa"/>
            <w:shd w:val="clear" w:color="auto" w:fill="C6EFCE"/>
            <w:noWrap/>
          </w:tcPr>
          <w:p w14:paraId="21D5FB87"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2023</w:t>
            </w:r>
          </w:p>
        </w:tc>
        <w:tc>
          <w:tcPr>
            <w:tcW w:w="6258" w:type="dxa"/>
            <w:shd w:val="clear" w:color="auto" w:fill="C6EFCE"/>
            <w:noWrap/>
          </w:tcPr>
          <w:p w14:paraId="27A9E5F9" w14:textId="77777777" w:rsidR="00D65CB4" w:rsidRPr="00BC4EE7" w:rsidRDefault="00572307">
            <w:pPr>
              <w:pStyle w:val="P68B1DB1-Normal12"/>
              <w:spacing w:after="0" w:line="240" w:lineRule="auto"/>
              <w:rPr>
                <w:rFonts w:cs="Times New Roman"/>
                <w:noProof/>
              </w:rPr>
            </w:pPr>
            <w:r w:rsidRPr="00BC4EE7">
              <w:rPr>
                <w:rFonts w:cs="Times New Roman"/>
                <w:noProof/>
              </w:rPr>
              <w:t>A spanyolországi építőipar energetikai rehabilitációjára vonatkozó hosszú távú felújítási stratégia (ERESEE) 2020. évi aktualizálásának végrehajtására irányuló munkacsoportok részletes ajánlásainak közzététele. Az ERESEE-stratégia célja, hogy felmérje a spanyolországi épületállományt, felszámolja az akadályokat és új megközelítéseket dolgozzon ki az épületfelújítások fokozása érdekében, ösztönözze az ágazatba történő beruházásokat, növelje az energiamegtakarítást és csökkentse a szén-dioxid-kibocsátást az éghajlat-politikai célokkal összhangban. Az ERESEE végrehajtása érdekében több munkacsoportot kell létrehozni a városi rehabilitációra és rehabilitációra vonatkozó cselekvési terv végrehajtására vonatkozó egyértelmű ajánlások kidolgozása érdekében. A részletes ajánlásoknak tartalmazniuk kell az egyes meghozandó intézkedésekre vonatkozó ütemtervet és módszertani útmutatókat, amelyeket minden érintett szereplőnek (közigazgatás, érdekelt felek stb.) kell címezni.</w:t>
            </w:r>
          </w:p>
        </w:tc>
      </w:tr>
      <w:tr w:rsidR="00D65CB4" w:rsidRPr="00BC4EE7" w14:paraId="54164076" w14:textId="77777777" w:rsidTr="00BA5F87">
        <w:trPr>
          <w:trHeight w:val="309"/>
        </w:trPr>
        <w:tc>
          <w:tcPr>
            <w:tcW w:w="698" w:type="dxa"/>
            <w:shd w:val="clear" w:color="auto" w:fill="C6EFCE"/>
            <w:noWrap/>
          </w:tcPr>
          <w:p w14:paraId="44C26413"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22</w:t>
            </w:r>
          </w:p>
        </w:tc>
        <w:tc>
          <w:tcPr>
            <w:tcW w:w="890" w:type="dxa"/>
            <w:shd w:val="clear" w:color="auto" w:fill="C6EFCE"/>
            <w:noWrap/>
          </w:tcPr>
          <w:p w14:paraId="63C0F8BD"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C2.R3</w:t>
            </w:r>
          </w:p>
        </w:tc>
        <w:tc>
          <w:tcPr>
            <w:tcW w:w="992" w:type="dxa"/>
            <w:shd w:val="clear" w:color="auto" w:fill="C6EFCE"/>
            <w:noWrap/>
          </w:tcPr>
          <w:p w14:paraId="556F2A3E"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M</w:t>
            </w:r>
          </w:p>
        </w:tc>
        <w:tc>
          <w:tcPr>
            <w:tcW w:w="1559" w:type="dxa"/>
            <w:shd w:val="clear" w:color="auto" w:fill="C6EFCE"/>
            <w:noWrap/>
          </w:tcPr>
          <w:p w14:paraId="2A3A3294" w14:textId="77777777" w:rsidR="00D65CB4" w:rsidRPr="00BC4EE7" w:rsidRDefault="00572307">
            <w:pPr>
              <w:pStyle w:val="P68B1DB1-Normal12"/>
              <w:spacing w:after="0" w:line="240" w:lineRule="auto"/>
              <w:rPr>
                <w:rFonts w:eastAsia="MS Mincho" w:cs="Times New Roman"/>
                <w:noProof/>
              </w:rPr>
            </w:pPr>
            <w:r w:rsidRPr="00BC4EE7">
              <w:rPr>
                <w:rFonts w:cs="Times New Roman"/>
                <w:noProof/>
              </w:rPr>
              <w:t xml:space="preserve">A lakásügyi törvény hatálybalépése, beleértve a közel nulla energiaigényű épületekkel összhangban a lakáskínálat növelését támogató intézkedéseket </w:t>
            </w:r>
          </w:p>
        </w:tc>
        <w:tc>
          <w:tcPr>
            <w:tcW w:w="1292" w:type="dxa"/>
            <w:shd w:val="clear" w:color="auto" w:fill="C6EFCE"/>
            <w:noWrap/>
          </w:tcPr>
          <w:p w14:paraId="54B322DF"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A lakásügyi törvény hatálybalépésére vonatkozó rendelkezés</w:t>
            </w:r>
          </w:p>
        </w:tc>
        <w:tc>
          <w:tcPr>
            <w:tcW w:w="835" w:type="dxa"/>
            <w:shd w:val="clear" w:color="auto" w:fill="C6EFCE"/>
            <w:noWrap/>
          </w:tcPr>
          <w:p w14:paraId="1DF8BA61"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974" w:type="dxa"/>
            <w:shd w:val="clear" w:color="auto" w:fill="C6EFCE"/>
            <w:noWrap/>
          </w:tcPr>
          <w:p w14:paraId="365DB198"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836" w:type="dxa"/>
            <w:shd w:val="clear" w:color="auto" w:fill="C6EFCE"/>
            <w:noWrap/>
          </w:tcPr>
          <w:p w14:paraId="1D5BCD6B"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418" w:type="dxa"/>
            <w:shd w:val="clear" w:color="auto" w:fill="C6EFCE"/>
            <w:noWrap/>
          </w:tcPr>
          <w:p w14:paraId="0356CC74"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Q3</w:t>
            </w:r>
          </w:p>
        </w:tc>
        <w:tc>
          <w:tcPr>
            <w:tcW w:w="558" w:type="dxa"/>
            <w:shd w:val="clear" w:color="auto" w:fill="C6EFCE"/>
            <w:noWrap/>
          </w:tcPr>
          <w:p w14:paraId="69D64232"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2022</w:t>
            </w:r>
          </w:p>
        </w:tc>
        <w:tc>
          <w:tcPr>
            <w:tcW w:w="6258" w:type="dxa"/>
            <w:shd w:val="clear" w:color="auto" w:fill="C6EFCE"/>
            <w:noWrap/>
          </w:tcPr>
          <w:p w14:paraId="06B97AE7" w14:textId="77777777" w:rsidR="00D65CB4" w:rsidRPr="00BC4EE7" w:rsidRDefault="00572307">
            <w:pPr>
              <w:pStyle w:val="P68B1DB1-Normal12"/>
              <w:spacing w:after="0" w:line="240" w:lineRule="auto"/>
              <w:rPr>
                <w:rFonts w:eastAsia="MS Mincho" w:cs="Times New Roman"/>
                <w:noProof/>
              </w:rPr>
            </w:pPr>
            <w:r w:rsidRPr="00BC4EE7">
              <w:rPr>
                <w:rFonts w:cs="Times New Roman"/>
                <w:noProof/>
              </w:rPr>
              <w:t xml:space="preserve">A lakhatásról szóló törvény különböző tervezési, programozási és együttműködési eszközökkel foglalkozik a tisztességes és megfelelő lakhatáshoz való jog megfelelő érvényesítésének biztosítása érdekében, beleértve az egyik prioritásként a meglévő lakásállomány rehabilitációját és javítását, valamint az elhelyezkedésük szerinti lakókörnyezet helyreállítását és felújítását. A törvénynek ösztönöznie kell a megfizethető és szociális lakások kínálatának növelését azáltal, hogy biztosítja a közel nulla energiaigényű épületekre vonatkozóan a műszaki építési szabályzat (CTE) energiamegtakarítási alapdokumentuma (DB-HE) szerint jelenleg meghatározott követelményeknek való megfelelést. </w:t>
            </w:r>
          </w:p>
        </w:tc>
      </w:tr>
      <w:tr w:rsidR="00D65CB4" w:rsidRPr="00BC4EE7" w14:paraId="48EB6E46" w14:textId="77777777" w:rsidTr="00BA5F87">
        <w:trPr>
          <w:trHeight w:val="309"/>
        </w:trPr>
        <w:tc>
          <w:tcPr>
            <w:tcW w:w="698" w:type="dxa"/>
            <w:shd w:val="clear" w:color="auto" w:fill="C6EFCE"/>
            <w:noWrap/>
          </w:tcPr>
          <w:p w14:paraId="72E4F76D"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23</w:t>
            </w:r>
          </w:p>
        </w:tc>
        <w:tc>
          <w:tcPr>
            <w:tcW w:w="890" w:type="dxa"/>
            <w:shd w:val="clear" w:color="auto" w:fill="C6EFCE"/>
            <w:noWrap/>
          </w:tcPr>
          <w:p w14:paraId="160AA391"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C2.R4</w:t>
            </w:r>
          </w:p>
        </w:tc>
        <w:tc>
          <w:tcPr>
            <w:tcW w:w="992" w:type="dxa"/>
            <w:shd w:val="clear" w:color="auto" w:fill="C6EFCE"/>
            <w:noWrap/>
          </w:tcPr>
          <w:p w14:paraId="0E261B8E"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M</w:t>
            </w:r>
          </w:p>
        </w:tc>
        <w:tc>
          <w:tcPr>
            <w:tcW w:w="1559" w:type="dxa"/>
            <w:shd w:val="clear" w:color="auto" w:fill="C6EFCE"/>
            <w:noWrap/>
          </w:tcPr>
          <w:p w14:paraId="00A74DA3" w14:textId="77777777" w:rsidR="00D65CB4" w:rsidRPr="00BC4EE7" w:rsidRDefault="00572307">
            <w:pPr>
              <w:pStyle w:val="P68B1DB1-Normal12"/>
              <w:spacing w:after="0" w:line="240" w:lineRule="auto"/>
              <w:rPr>
                <w:rFonts w:eastAsia="MS Mincho" w:cs="Times New Roman"/>
                <w:noProof/>
              </w:rPr>
            </w:pPr>
            <w:r w:rsidRPr="00BC4EE7">
              <w:rPr>
                <w:rFonts w:cs="Times New Roman"/>
                <w:noProof/>
              </w:rPr>
              <w:t xml:space="preserve">Az építészet minőségéről és az építési környezetről szóló törvény hatálybalépése </w:t>
            </w:r>
          </w:p>
        </w:tc>
        <w:tc>
          <w:tcPr>
            <w:tcW w:w="1292" w:type="dxa"/>
            <w:shd w:val="clear" w:color="auto" w:fill="C6EFCE"/>
            <w:noWrap/>
          </w:tcPr>
          <w:p w14:paraId="132F5AEB"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Az építészet minőségéről és az építési környezetről szóló törvény hatálybalépésekor alkalmazandó rendelkezés</w:t>
            </w:r>
          </w:p>
        </w:tc>
        <w:tc>
          <w:tcPr>
            <w:tcW w:w="835" w:type="dxa"/>
            <w:shd w:val="clear" w:color="auto" w:fill="C6EFCE"/>
            <w:noWrap/>
          </w:tcPr>
          <w:p w14:paraId="3BC5EC03"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974" w:type="dxa"/>
            <w:shd w:val="clear" w:color="auto" w:fill="C6EFCE"/>
            <w:noWrap/>
          </w:tcPr>
          <w:p w14:paraId="3751300F"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836" w:type="dxa"/>
            <w:shd w:val="clear" w:color="auto" w:fill="C6EFCE"/>
            <w:noWrap/>
          </w:tcPr>
          <w:p w14:paraId="35F0889A"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418" w:type="dxa"/>
            <w:shd w:val="clear" w:color="auto" w:fill="C6EFCE"/>
            <w:noWrap/>
          </w:tcPr>
          <w:p w14:paraId="7A8F9DAC"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Q3</w:t>
            </w:r>
          </w:p>
        </w:tc>
        <w:tc>
          <w:tcPr>
            <w:tcW w:w="558" w:type="dxa"/>
            <w:shd w:val="clear" w:color="auto" w:fill="C6EFCE"/>
            <w:noWrap/>
          </w:tcPr>
          <w:p w14:paraId="053A94A5"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2022</w:t>
            </w:r>
          </w:p>
        </w:tc>
        <w:tc>
          <w:tcPr>
            <w:tcW w:w="6258" w:type="dxa"/>
            <w:shd w:val="clear" w:color="auto" w:fill="C6EFCE"/>
            <w:noWrap/>
          </w:tcPr>
          <w:p w14:paraId="5B5E55E4" w14:textId="1A73ED5D" w:rsidR="00D65CB4" w:rsidRPr="00BC4EE7" w:rsidRDefault="00572307">
            <w:pPr>
              <w:pStyle w:val="P68B1DB1-Normal12"/>
              <w:spacing w:after="0" w:line="240" w:lineRule="auto"/>
              <w:rPr>
                <w:rFonts w:eastAsia="MS Mincho" w:cs="Times New Roman"/>
                <w:noProof/>
              </w:rPr>
            </w:pPr>
            <w:r w:rsidRPr="00BC4EE7">
              <w:rPr>
                <w:rFonts w:cs="Times New Roman"/>
                <w:noProof/>
              </w:rPr>
              <w:t xml:space="preserve">Az építészet minőségéről és az építési környezetről szóló törvény elfogadása, beleértve a helyreállítás integrált megközelítését, amely fellendíti a közel nulla energiaigényű épületállomány növekedését, nemcsak az új épületek, hanem a meglévő épületek között is. A törvény meghatározza az építészet és az épített környezet minőségének elvét, a környezeti fenntarthatóságot és az energiahatékonysági célok eléréséhez való hozzájárulást mint kulcsfontosságú értékelési kritériumokat, valamint a lakásállomány szükséges rehabilitációját a rehabilitáció integrált megközelítése felé irányítja. </w:t>
            </w:r>
          </w:p>
        </w:tc>
      </w:tr>
      <w:tr w:rsidR="00D65CB4" w:rsidRPr="00BC4EE7" w14:paraId="376975DA" w14:textId="77777777" w:rsidTr="00BA5F87">
        <w:trPr>
          <w:trHeight w:val="309"/>
        </w:trPr>
        <w:tc>
          <w:tcPr>
            <w:tcW w:w="698" w:type="dxa"/>
            <w:shd w:val="clear" w:color="auto" w:fill="C6EFCE"/>
            <w:noWrap/>
          </w:tcPr>
          <w:p w14:paraId="1D8EB8EE"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24</w:t>
            </w:r>
          </w:p>
        </w:tc>
        <w:tc>
          <w:tcPr>
            <w:tcW w:w="890" w:type="dxa"/>
            <w:shd w:val="clear" w:color="auto" w:fill="C6EFCE"/>
            <w:noWrap/>
          </w:tcPr>
          <w:p w14:paraId="58D79CB0"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C2.R5</w:t>
            </w:r>
          </w:p>
        </w:tc>
        <w:tc>
          <w:tcPr>
            <w:tcW w:w="992" w:type="dxa"/>
            <w:shd w:val="clear" w:color="auto" w:fill="C6EFCE"/>
            <w:noWrap/>
          </w:tcPr>
          <w:p w14:paraId="6FA8D4AF"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M</w:t>
            </w:r>
          </w:p>
        </w:tc>
        <w:tc>
          <w:tcPr>
            <w:tcW w:w="1559" w:type="dxa"/>
            <w:shd w:val="clear" w:color="auto" w:fill="C6EFCE"/>
            <w:noWrap/>
          </w:tcPr>
          <w:p w14:paraId="35C9E65C" w14:textId="77777777" w:rsidR="00D65CB4" w:rsidRPr="00BC4EE7" w:rsidRDefault="00572307">
            <w:pPr>
              <w:pStyle w:val="P68B1DB1-Normal12"/>
              <w:spacing w:after="0" w:line="240" w:lineRule="auto"/>
              <w:rPr>
                <w:rFonts w:cs="Times New Roman"/>
                <w:noProof/>
              </w:rPr>
            </w:pPr>
            <w:r w:rsidRPr="00BC4EE7">
              <w:rPr>
                <w:rFonts w:cs="Times New Roman"/>
                <w:noProof/>
              </w:rPr>
              <w:t xml:space="preserve">Az épületkorszerűsítési hivatalokról szóló királyi rendelet (egyablakos ügyintézés) hatálybalépése </w:t>
            </w:r>
          </w:p>
        </w:tc>
        <w:tc>
          <w:tcPr>
            <w:tcW w:w="1292" w:type="dxa"/>
            <w:shd w:val="clear" w:color="auto" w:fill="C6EFCE"/>
            <w:noWrap/>
          </w:tcPr>
          <w:p w14:paraId="742C21B6"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Az épületkorszerűsítési hivatalokról szóló királyi rendelet hatályba lépéséről szóló rendelkezése</w:t>
            </w:r>
          </w:p>
        </w:tc>
        <w:tc>
          <w:tcPr>
            <w:tcW w:w="835" w:type="dxa"/>
            <w:shd w:val="clear" w:color="auto" w:fill="C6EFCE"/>
            <w:noWrap/>
          </w:tcPr>
          <w:p w14:paraId="6B515302"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974" w:type="dxa"/>
            <w:shd w:val="clear" w:color="auto" w:fill="C6EFCE"/>
            <w:noWrap/>
          </w:tcPr>
          <w:p w14:paraId="4253EF77"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836" w:type="dxa"/>
            <w:shd w:val="clear" w:color="auto" w:fill="C6EFCE"/>
            <w:noWrap/>
          </w:tcPr>
          <w:p w14:paraId="2D6473E8"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418" w:type="dxa"/>
            <w:shd w:val="clear" w:color="auto" w:fill="C6EFCE"/>
            <w:noWrap/>
          </w:tcPr>
          <w:p w14:paraId="34E9DC57"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Q3</w:t>
            </w:r>
          </w:p>
        </w:tc>
        <w:tc>
          <w:tcPr>
            <w:tcW w:w="558" w:type="dxa"/>
            <w:shd w:val="clear" w:color="auto" w:fill="C6EFCE"/>
            <w:noWrap/>
          </w:tcPr>
          <w:p w14:paraId="65B281B9"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2021</w:t>
            </w:r>
          </w:p>
        </w:tc>
        <w:tc>
          <w:tcPr>
            <w:tcW w:w="6258" w:type="dxa"/>
            <w:shd w:val="clear" w:color="auto" w:fill="C6EFCE"/>
            <w:noWrap/>
          </w:tcPr>
          <w:p w14:paraId="4599037D" w14:textId="77777777" w:rsidR="00D65CB4" w:rsidRPr="00BC4EE7" w:rsidRDefault="00572307">
            <w:pPr>
              <w:pStyle w:val="P68B1DB1-Normal12"/>
              <w:spacing w:after="0" w:line="240" w:lineRule="auto"/>
              <w:rPr>
                <w:rFonts w:cs="Times New Roman"/>
                <w:noProof/>
              </w:rPr>
            </w:pPr>
            <w:r w:rsidRPr="00BC4EE7">
              <w:rPr>
                <w:rFonts w:cs="Times New Roman"/>
                <w:noProof/>
              </w:rPr>
              <w:t xml:space="preserve">Az épületkorszerűsítési hivatalok (egyablakos ügyintézés) hatályát és finanszírozását meghatározó királyi rendelet elfogadása. Az ágazati lakásügyi konferenciát a királyi rendelet véglegesítése előtt meg kell tartani, a nyilvánosság tájékoztatásának szakaszát és az egyéb jogi eljárásokat le kell zárni. </w:t>
            </w:r>
          </w:p>
        </w:tc>
      </w:tr>
      <w:tr w:rsidR="00D65CB4" w:rsidRPr="00BC4EE7" w14:paraId="095B70E7" w14:textId="77777777" w:rsidTr="00BA5F87">
        <w:trPr>
          <w:trHeight w:val="309"/>
        </w:trPr>
        <w:tc>
          <w:tcPr>
            <w:tcW w:w="698" w:type="dxa"/>
            <w:shd w:val="clear" w:color="auto" w:fill="C6EFCE"/>
            <w:noWrap/>
          </w:tcPr>
          <w:p w14:paraId="2AFCDB24"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25</w:t>
            </w:r>
          </w:p>
        </w:tc>
        <w:tc>
          <w:tcPr>
            <w:tcW w:w="890" w:type="dxa"/>
            <w:shd w:val="clear" w:color="auto" w:fill="C6EFCE"/>
            <w:noWrap/>
          </w:tcPr>
          <w:p w14:paraId="29EC4356"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C2.R6</w:t>
            </w:r>
          </w:p>
        </w:tc>
        <w:tc>
          <w:tcPr>
            <w:tcW w:w="992" w:type="dxa"/>
            <w:shd w:val="clear" w:color="auto" w:fill="C6EFCE"/>
            <w:noWrap/>
          </w:tcPr>
          <w:p w14:paraId="755F1112"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M</w:t>
            </w:r>
          </w:p>
        </w:tc>
        <w:tc>
          <w:tcPr>
            <w:tcW w:w="1559" w:type="dxa"/>
            <w:shd w:val="clear" w:color="auto" w:fill="C6EFCE"/>
            <w:noWrap/>
          </w:tcPr>
          <w:p w14:paraId="638669B5" w14:textId="77777777" w:rsidR="00D65CB4" w:rsidRPr="00BC4EE7" w:rsidRDefault="00572307">
            <w:pPr>
              <w:pStyle w:val="P68B1DB1-Normal12"/>
              <w:spacing w:after="0" w:line="240" w:lineRule="auto"/>
              <w:rPr>
                <w:rFonts w:cs="Times New Roman"/>
                <w:noProof/>
              </w:rPr>
            </w:pPr>
            <w:r w:rsidRPr="00BC4EE7">
              <w:rPr>
                <w:rFonts w:cs="Times New Roman"/>
                <w:noProof/>
              </w:rPr>
              <w:t xml:space="preserve">A horizontális tulajdonjogi törvény módosításainak hatálybalépése a rehabilitáció finanszírozásának megkönnyítése érdekében </w:t>
            </w:r>
          </w:p>
        </w:tc>
        <w:tc>
          <w:tcPr>
            <w:tcW w:w="1292" w:type="dxa"/>
            <w:shd w:val="clear" w:color="auto" w:fill="C6EFCE"/>
            <w:noWrap/>
          </w:tcPr>
          <w:p w14:paraId="062F57EB"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A horizontális tulajdonjogi törvény hatálybalépésére vonatkozó rendelkezés</w:t>
            </w:r>
          </w:p>
        </w:tc>
        <w:tc>
          <w:tcPr>
            <w:tcW w:w="835" w:type="dxa"/>
            <w:shd w:val="clear" w:color="auto" w:fill="C6EFCE"/>
            <w:noWrap/>
          </w:tcPr>
          <w:p w14:paraId="696D69FC"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974" w:type="dxa"/>
            <w:shd w:val="clear" w:color="auto" w:fill="C6EFCE"/>
            <w:noWrap/>
          </w:tcPr>
          <w:p w14:paraId="72302A59"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836" w:type="dxa"/>
            <w:shd w:val="clear" w:color="auto" w:fill="C6EFCE"/>
            <w:noWrap/>
          </w:tcPr>
          <w:p w14:paraId="31CBAF0D"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418" w:type="dxa"/>
            <w:shd w:val="clear" w:color="auto" w:fill="C6EFCE"/>
            <w:noWrap/>
          </w:tcPr>
          <w:p w14:paraId="484860D8"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Q3</w:t>
            </w:r>
          </w:p>
        </w:tc>
        <w:tc>
          <w:tcPr>
            <w:tcW w:w="558" w:type="dxa"/>
            <w:shd w:val="clear" w:color="auto" w:fill="C6EFCE"/>
            <w:noWrap/>
          </w:tcPr>
          <w:p w14:paraId="66B410D7"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2022</w:t>
            </w:r>
          </w:p>
        </w:tc>
        <w:tc>
          <w:tcPr>
            <w:tcW w:w="6258" w:type="dxa"/>
            <w:shd w:val="clear" w:color="auto" w:fill="C6EFCE"/>
            <w:noWrap/>
          </w:tcPr>
          <w:p w14:paraId="56C0CAB7" w14:textId="77777777" w:rsidR="00D65CB4" w:rsidRPr="00BC4EE7" w:rsidRDefault="00572307">
            <w:pPr>
              <w:pStyle w:val="P68B1DB1-Normal12"/>
              <w:spacing w:after="0" w:line="240" w:lineRule="auto"/>
              <w:rPr>
                <w:rFonts w:cs="Times New Roman"/>
                <w:noProof/>
              </w:rPr>
            </w:pPr>
            <w:r w:rsidRPr="00BC4EE7">
              <w:rPr>
                <w:rFonts w:cs="Times New Roman"/>
                <w:noProof/>
              </w:rPr>
              <w:t>A közös tulajdonról szóló, július 21-i 49/1960. sz. törvény (horizontális tulajdonjogi törvény) módosításai annak érdekében, hogy előmozdítsák az épületek felújításának és felújításának a tulajdonosok közösségei általi végrehajtását, valamint a finanszírozáshoz való hozzáférést. A módosítás célja, hogy megkönnyítse a tulajdonosok közösségeinek döntéshozatalát az energiahatékonyság javításához hozzájáruló épületfelújítási munkálatok elvégzésével kapcsolatban, és megkönnyítse a banki finanszírozáshoz való hozzáférést.</w:t>
            </w:r>
          </w:p>
        </w:tc>
      </w:tr>
      <w:tr w:rsidR="00D65CB4" w:rsidRPr="00BC4EE7" w14:paraId="776F96A2" w14:textId="77777777" w:rsidTr="00BA5F87">
        <w:trPr>
          <w:trHeight w:val="309"/>
        </w:trPr>
        <w:tc>
          <w:tcPr>
            <w:tcW w:w="698" w:type="dxa"/>
            <w:shd w:val="clear" w:color="auto" w:fill="C6EFCE"/>
            <w:noWrap/>
          </w:tcPr>
          <w:p w14:paraId="36334656"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26</w:t>
            </w:r>
          </w:p>
        </w:tc>
        <w:tc>
          <w:tcPr>
            <w:tcW w:w="890" w:type="dxa"/>
            <w:shd w:val="clear" w:color="auto" w:fill="C6EFCE"/>
            <w:noWrap/>
          </w:tcPr>
          <w:p w14:paraId="4A6141F8"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C2.I1</w:t>
            </w:r>
          </w:p>
        </w:tc>
        <w:tc>
          <w:tcPr>
            <w:tcW w:w="992" w:type="dxa"/>
            <w:shd w:val="clear" w:color="auto" w:fill="C6EFCE"/>
            <w:noWrap/>
          </w:tcPr>
          <w:p w14:paraId="383E7029"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M</w:t>
            </w:r>
          </w:p>
        </w:tc>
        <w:tc>
          <w:tcPr>
            <w:tcW w:w="1559" w:type="dxa"/>
            <w:shd w:val="clear" w:color="auto" w:fill="C6EFCE"/>
            <w:noWrap/>
          </w:tcPr>
          <w:p w14:paraId="51896814" w14:textId="77777777" w:rsidR="00D65CB4" w:rsidRPr="00BC4EE7" w:rsidRDefault="00572307">
            <w:pPr>
              <w:pStyle w:val="P68B1DB1-Normal12"/>
              <w:spacing w:after="0" w:line="240" w:lineRule="auto"/>
              <w:rPr>
                <w:rFonts w:cs="Times New Roman"/>
                <w:noProof/>
              </w:rPr>
            </w:pPr>
            <w:r w:rsidRPr="00BC4EE7">
              <w:rPr>
                <w:rFonts w:cs="Times New Roman"/>
                <w:noProof/>
              </w:rPr>
              <w:t xml:space="preserve">A megújítási program végrehajtásának szabályozási keretéről szóló királyi rendelet hatálybalépése; és a programot támogató személyi jövedelemadó-ösztönzőket szabályozó királyi törvényerejű rendelet </w:t>
            </w:r>
          </w:p>
        </w:tc>
        <w:tc>
          <w:tcPr>
            <w:tcW w:w="1292" w:type="dxa"/>
            <w:shd w:val="clear" w:color="auto" w:fill="C6EFCE"/>
            <w:noWrap/>
          </w:tcPr>
          <w:p w14:paraId="3494296F"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A királyi rendelet és a királyi törvényerejű rendelet hatálybalépésére vonatkozó rendelkezés</w:t>
            </w:r>
          </w:p>
        </w:tc>
        <w:tc>
          <w:tcPr>
            <w:tcW w:w="835" w:type="dxa"/>
            <w:shd w:val="clear" w:color="auto" w:fill="C6EFCE"/>
            <w:noWrap/>
          </w:tcPr>
          <w:p w14:paraId="4A7717C8"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974" w:type="dxa"/>
            <w:shd w:val="clear" w:color="auto" w:fill="C6EFCE"/>
            <w:noWrap/>
          </w:tcPr>
          <w:p w14:paraId="419A23A7"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836" w:type="dxa"/>
            <w:shd w:val="clear" w:color="auto" w:fill="C6EFCE"/>
            <w:noWrap/>
          </w:tcPr>
          <w:p w14:paraId="74536B0D"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418" w:type="dxa"/>
            <w:shd w:val="clear" w:color="auto" w:fill="C6EFCE"/>
            <w:noWrap/>
          </w:tcPr>
          <w:p w14:paraId="02A756F6"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Q3</w:t>
            </w:r>
          </w:p>
        </w:tc>
        <w:tc>
          <w:tcPr>
            <w:tcW w:w="558" w:type="dxa"/>
            <w:shd w:val="clear" w:color="auto" w:fill="C6EFCE"/>
            <w:noWrap/>
          </w:tcPr>
          <w:p w14:paraId="1897C7B7"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2021</w:t>
            </w:r>
          </w:p>
        </w:tc>
        <w:tc>
          <w:tcPr>
            <w:tcW w:w="6258" w:type="dxa"/>
            <w:shd w:val="clear" w:color="auto" w:fill="C6EFCE"/>
            <w:noWrap/>
          </w:tcPr>
          <w:p w14:paraId="2E8C9D62" w14:textId="77777777" w:rsidR="00D65CB4" w:rsidRPr="00BC4EE7" w:rsidRDefault="00572307">
            <w:pPr>
              <w:pStyle w:val="P68B1DB1-Normal12"/>
              <w:spacing w:after="0" w:line="240" w:lineRule="auto"/>
              <w:rPr>
                <w:rFonts w:cs="Times New Roman"/>
                <w:noProof/>
              </w:rPr>
            </w:pPr>
            <w:r w:rsidRPr="00BC4EE7">
              <w:rPr>
                <w:rFonts w:cs="Times New Roman"/>
                <w:noProof/>
              </w:rPr>
              <w:t>Királyi rendelet elfogadása, amely meghatározza a megújítási program végrehajtásának szabályozási keretét; valamint a programot támogató személyi jövedelemadó-ösztönzőket szabályozó királyi törvényerejű rendelet. A szabályozási keretet meghatározó királyi rendelet meghatározza azokat a műszaki követelményeket, amelyek biztosítják a nem megújuló primerenergia-fogyasztás 30%-os átlagos csökkentésének való megfelelést. A lakásügyi ágazati konferenciát, a nyilvánosság tájékoztatásának szakaszát és az egyéb jogi eljárásokat a királyi rendelet véglegesítése előtt kell megtartani.</w:t>
            </w:r>
          </w:p>
        </w:tc>
      </w:tr>
      <w:tr w:rsidR="00D65CB4" w:rsidRPr="00BC4EE7" w14:paraId="43DA2FAA" w14:textId="77777777" w:rsidTr="00BA5F87">
        <w:trPr>
          <w:trHeight w:val="309"/>
        </w:trPr>
        <w:tc>
          <w:tcPr>
            <w:tcW w:w="698" w:type="dxa"/>
            <w:shd w:val="clear" w:color="auto" w:fill="C6EFCE"/>
            <w:noWrap/>
          </w:tcPr>
          <w:p w14:paraId="41C0AA51" w14:textId="0124B5C6" w:rsidR="00D65CB4" w:rsidRPr="00BC4EE7" w:rsidRDefault="00572307">
            <w:pPr>
              <w:pStyle w:val="P68B1DB1-Normal12"/>
              <w:spacing w:after="0" w:line="240" w:lineRule="auto"/>
              <w:jc w:val="center"/>
              <w:rPr>
                <w:rFonts w:cs="Times New Roman"/>
                <w:noProof/>
              </w:rPr>
            </w:pPr>
            <w:r w:rsidRPr="00BC4EE7">
              <w:rPr>
                <w:rFonts w:cs="Times New Roman"/>
                <w:noProof/>
              </w:rPr>
              <w:t>27</w:t>
            </w:r>
          </w:p>
        </w:tc>
        <w:tc>
          <w:tcPr>
            <w:tcW w:w="890" w:type="dxa"/>
            <w:shd w:val="clear" w:color="auto" w:fill="C6EFCE"/>
            <w:noWrap/>
          </w:tcPr>
          <w:p w14:paraId="26F54131"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C2.I1</w:t>
            </w:r>
          </w:p>
        </w:tc>
        <w:tc>
          <w:tcPr>
            <w:tcW w:w="992" w:type="dxa"/>
            <w:shd w:val="clear" w:color="auto" w:fill="C6EFCE"/>
            <w:noWrap/>
          </w:tcPr>
          <w:p w14:paraId="1F830FBF"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1559" w:type="dxa"/>
            <w:shd w:val="clear" w:color="auto" w:fill="C6EFCE"/>
            <w:noWrap/>
          </w:tcPr>
          <w:p w14:paraId="540F575C" w14:textId="00F0717B" w:rsidR="00D65CB4" w:rsidRPr="00BC4EE7" w:rsidRDefault="00572307">
            <w:pPr>
              <w:pStyle w:val="P68B1DB1-Normal12"/>
              <w:spacing w:after="0" w:line="240" w:lineRule="auto"/>
              <w:rPr>
                <w:rFonts w:cs="Times New Roman"/>
                <w:noProof/>
              </w:rPr>
            </w:pPr>
            <w:r w:rsidRPr="00BC4EE7">
              <w:rPr>
                <w:rFonts w:cs="Times New Roman"/>
                <w:noProof/>
              </w:rPr>
              <w:t>Lakóingatlan-felújítási tevékenységek vagy a lakóingatlan-felújítási tevékenységek végrehajtásához nyújtott támogatásról szóló határozatok, amelyek átlagosan legalább 30%-os primerenergia-igény-csökkentést érnek el vagy kívánnak elérni (legalább 160000 egyedi lakásban legalább 231000 intézkedés)</w:t>
            </w:r>
          </w:p>
        </w:tc>
        <w:tc>
          <w:tcPr>
            <w:tcW w:w="1292" w:type="dxa"/>
            <w:shd w:val="clear" w:color="auto" w:fill="C6EFCE"/>
            <w:noWrap/>
          </w:tcPr>
          <w:p w14:paraId="7D7A3EC8"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 xml:space="preserve"> </w:t>
            </w:r>
          </w:p>
        </w:tc>
        <w:tc>
          <w:tcPr>
            <w:tcW w:w="835" w:type="dxa"/>
            <w:shd w:val="clear" w:color="auto" w:fill="C6EFCE"/>
            <w:noWrap/>
          </w:tcPr>
          <w:p w14:paraId="20B375FC"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Szám</w:t>
            </w:r>
          </w:p>
        </w:tc>
        <w:tc>
          <w:tcPr>
            <w:tcW w:w="974" w:type="dxa"/>
            <w:shd w:val="clear" w:color="auto" w:fill="C6EFCE"/>
            <w:noWrap/>
          </w:tcPr>
          <w:p w14:paraId="0CF44D54"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0</w:t>
            </w:r>
          </w:p>
        </w:tc>
        <w:tc>
          <w:tcPr>
            <w:tcW w:w="836" w:type="dxa"/>
            <w:shd w:val="clear" w:color="auto" w:fill="C6EFCE"/>
            <w:noWrap/>
          </w:tcPr>
          <w:p w14:paraId="7D969CEE"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231 000</w:t>
            </w:r>
          </w:p>
        </w:tc>
        <w:tc>
          <w:tcPr>
            <w:tcW w:w="418" w:type="dxa"/>
            <w:shd w:val="clear" w:color="auto" w:fill="C6EFCE"/>
            <w:noWrap/>
          </w:tcPr>
          <w:p w14:paraId="65DAC869"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558" w:type="dxa"/>
            <w:shd w:val="clear" w:color="auto" w:fill="C6EFCE"/>
            <w:noWrap/>
          </w:tcPr>
          <w:p w14:paraId="4FF3EC85" w14:textId="6C65C8D9" w:rsidR="00D65CB4" w:rsidRPr="00BC4EE7" w:rsidRDefault="00572307">
            <w:pPr>
              <w:pStyle w:val="P68B1DB1-Normal12"/>
              <w:spacing w:after="0" w:line="240" w:lineRule="auto"/>
              <w:jc w:val="center"/>
              <w:rPr>
                <w:rFonts w:cs="Times New Roman"/>
                <w:noProof/>
              </w:rPr>
            </w:pPr>
            <w:r w:rsidRPr="00BC4EE7">
              <w:rPr>
                <w:rFonts w:cs="Times New Roman"/>
                <w:noProof/>
              </w:rPr>
              <w:t>2024</w:t>
            </w:r>
          </w:p>
        </w:tc>
        <w:tc>
          <w:tcPr>
            <w:tcW w:w="6258" w:type="dxa"/>
            <w:shd w:val="clear" w:color="auto" w:fill="C6EFCE"/>
            <w:noWrap/>
          </w:tcPr>
          <w:p w14:paraId="1C8971BD" w14:textId="17D7124A" w:rsidR="00D65CB4" w:rsidRPr="00BC4EE7" w:rsidRDefault="00572307">
            <w:pPr>
              <w:pStyle w:val="P68B1DB1-Normal12"/>
              <w:spacing w:after="0" w:line="240" w:lineRule="auto"/>
              <w:rPr>
                <w:rFonts w:cs="Times New Roman"/>
                <w:noProof/>
              </w:rPr>
            </w:pPr>
            <w:r w:rsidRPr="00BC4EE7">
              <w:rPr>
                <w:rFonts w:cs="Times New Roman"/>
                <w:noProof/>
              </w:rPr>
              <w:t>Legalább 231000 lakóépület-felújítási intézkedés vagy határozat legalább 160000 egyedi lakásban, amelyek célja, hogy átlagosan legalább 30%-os primerenergia-kereslet-csökkentést érjenek el (kumulatív). A mutató alkalmazásában a lakás fogalmának összeegyeztethetőnek kell lennie az Eurostat meghatározásával („A lakás egy állandó épületben vagy az épület szerkezetileg elkülönített részén található szoba vagy szobák összessége – beleértve annak tartozékait, lobbiit és folyosóit is –, amelyet építésének, újraépítésének vagy átalakításának módja miatt egy magánháztartás egész évben lakhatásra jelölt ki”), és adott esetben magában foglalhat szociális vagy állami lakásokat is. Az energiahatékonyság javítására használt mutatókat az épületek energiahatékonyságáról szóló, 2010. május 19-i 2010/31/EU európai parlamenti és tanácsi irányelv keretében kiadott megfelelő energiahatékonysági tanúsítvány révén kell akkreditálni. A lakásfelújítási tevékenységek számát az összes (elhatárolt lakónegyedeken belül, épület- vagy lakásszinten) végrehajtott, vagy közigazgatási határozattal támogatott fejlesztési és rehabilitációs intézkedés összegeként kell meghatározni, az egyik támogatási sor (teljes rehabilitáció vagy épületelemek) vagy adókedvezmény végrehajtása révén. A nem megújuló primerenergia-fogyasztás átlagos megtakarítási százalékát a 30%-os minimumértéknek való megfelelés céljából úgy kell kiszámítani, hogy a helyreállítási intézkedéseket súlyozzák a helyreállítási és rezilienciaépítési terv keretében alkalmazott támogatás vagy finanszírozás összegével. Ez a mutató valamennyi település esetében magában foglalja a javítási és rehabilitációs intézkedéseket, függetlenül azok méretétől. Az elért energiamegtakarításnak való megfelelés igazolására a befejezett munkákra vonatkozó energiahatékonysági tanúsítványokat kell benyújtani és összesíteni kell az elért átlagos energiamegtakarítás megerősítése érdekében.</w:t>
            </w:r>
          </w:p>
        </w:tc>
      </w:tr>
      <w:tr w:rsidR="00D65CB4" w:rsidRPr="00BC4EE7" w14:paraId="717FD4F2" w14:textId="77777777" w:rsidTr="00BA5F87">
        <w:trPr>
          <w:trHeight w:val="309"/>
        </w:trPr>
        <w:tc>
          <w:tcPr>
            <w:tcW w:w="698" w:type="dxa"/>
            <w:shd w:val="clear" w:color="auto" w:fill="C6EFCE"/>
            <w:noWrap/>
          </w:tcPr>
          <w:p w14:paraId="57393B24"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28</w:t>
            </w:r>
          </w:p>
        </w:tc>
        <w:tc>
          <w:tcPr>
            <w:tcW w:w="890" w:type="dxa"/>
            <w:shd w:val="clear" w:color="auto" w:fill="C6EFCE"/>
            <w:noWrap/>
          </w:tcPr>
          <w:p w14:paraId="543D3716"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C2.I1</w:t>
            </w:r>
          </w:p>
        </w:tc>
        <w:tc>
          <w:tcPr>
            <w:tcW w:w="992" w:type="dxa"/>
            <w:shd w:val="clear" w:color="auto" w:fill="C6EFCE"/>
            <w:noWrap/>
          </w:tcPr>
          <w:p w14:paraId="18C9352D"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1559" w:type="dxa"/>
            <w:shd w:val="clear" w:color="auto" w:fill="C6EFCE"/>
            <w:noWrap/>
          </w:tcPr>
          <w:p w14:paraId="7C490BA1" w14:textId="77777777" w:rsidR="00D65CB4" w:rsidRPr="00BC4EE7" w:rsidRDefault="00572307">
            <w:pPr>
              <w:pStyle w:val="P68B1DB1-Normal12"/>
              <w:spacing w:after="0" w:line="240" w:lineRule="auto"/>
              <w:rPr>
                <w:rFonts w:cs="Times New Roman"/>
                <w:noProof/>
              </w:rPr>
            </w:pPr>
            <w:r w:rsidRPr="00BC4EE7">
              <w:rPr>
                <w:rFonts w:cs="Times New Roman"/>
                <w:noProof/>
              </w:rPr>
              <w:t>Felújítás alá vont területen vagy környéken lévő földterület, amely átlagosan legalább 30%-kal csökkenti a primerenergia-igényt (hektár)</w:t>
            </w:r>
          </w:p>
        </w:tc>
        <w:tc>
          <w:tcPr>
            <w:tcW w:w="1292" w:type="dxa"/>
            <w:shd w:val="clear" w:color="auto" w:fill="C6EFCE"/>
            <w:noWrap/>
          </w:tcPr>
          <w:p w14:paraId="129C278E"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 xml:space="preserve"> </w:t>
            </w:r>
          </w:p>
        </w:tc>
        <w:tc>
          <w:tcPr>
            <w:tcW w:w="835" w:type="dxa"/>
            <w:shd w:val="clear" w:color="auto" w:fill="C6EFCE"/>
            <w:noWrap/>
          </w:tcPr>
          <w:p w14:paraId="0934D530"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Szám (hektár)</w:t>
            </w:r>
          </w:p>
        </w:tc>
        <w:tc>
          <w:tcPr>
            <w:tcW w:w="974" w:type="dxa"/>
            <w:shd w:val="clear" w:color="auto" w:fill="C6EFCE"/>
            <w:noWrap/>
          </w:tcPr>
          <w:p w14:paraId="165DCE8A"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0</w:t>
            </w:r>
          </w:p>
        </w:tc>
        <w:tc>
          <w:tcPr>
            <w:tcW w:w="836" w:type="dxa"/>
            <w:shd w:val="clear" w:color="auto" w:fill="C6EFCE"/>
            <w:noWrap/>
          </w:tcPr>
          <w:p w14:paraId="0DC15D76"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600</w:t>
            </w:r>
          </w:p>
        </w:tc>
        <w:tc>
          <w:tcPr>
            <w:tcW w:w="418" w:type="dxa"/>
            <w:shd w:val="clear" w:color="auto" w:fill="C6EFCE"/>
            <w:noWrap/>
          </w:tcPr>
          <w:p w14:paraId="02862E1E"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558" w:type="dxa"/>
            <w:shd w:val="clear" w:color="auto" w:fill="C6EFCE"/>
            <w:noWrap/>
          </w:tcPr>
          <w:p w14:paraId="1D5B6C8C"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2026</w:t>
            </w:r>
          </w:p>
        </w:tc>
        <w:tc>
          <w:tcPr>
            <w:tcW w:w="6258" w:type="dxa"/>
            <w:shd w:val="clear" w:color="auto" w:fill="C6EFCE"/>
            <w:noWrap/>
          </w:tcPr>
          <w:p w14:paraId="4F6AE6DF" w14:textId="77777777" w:rsidR="00D65CB4" w:rsidRPr="00BC4EE7" w:rsidRDefault="00572307">
            <w:pPr>
              <w:pStyle w:val="P68B1DB1-Normal12"/>
              <w:spacing w:after="0" w:line="240" w:lineRule="auto"/>
              <w:rPr>
                <w:rFonts w:cs="Times New Roman"/>
                <w:noProof/>
              </w:rPr>
            </w:pPr>
            <w:r w:rsidRPr="00BC4EE7">
              <w:rPr>
                <w:rFonts w:cs="Times New Roman"/>
                <w:noProof/>
              </w:rPr>
              <w:t>Legalább 600 hektárnyi földterület felújítás alá vont területen vagy környéken. Ez a szám tartalmazza azoknak a körzeteknek vagy városi területeknek a területét, amelyek a program keretében kötött megállapodások alapján intézkedések tárgyát képezték. Az intézkedéseket az épületek felújítása során a nem megújuló primerenergia-fogyasztás 30%-os átlagos csökkentésének való megfelelést biztosító műszaki követelmények biztosításával kell végrehajtani. Az elért energiamegtakarításnak való megfelelés igazolására a befejezett munkákra vonatkozó energiahatékonysági tanúsítványokat kell benyújtani és összesíteni kell az elért átlagos energiamegtakarítás megerősítése érdekében.</w:t>
            </w:r>
          </w:p>
        </w:tc>
      </w:tr>
      <w:tr w:rsidR="00D65CB4" w:rsidRPr="00BC4EE7" w14:paraId="7BCABE61" w14:textId="77777777" w:rsidTr="00BA5F87">
        <w:trPr>
          <w:trHeight w:val="309"/>
        </w:trPr>
        <w:tc>
          <w:tcPr>
            <w:tcW w:w="698" w:type="dxa"/>
            <w:shd w:val="clear" w:color="auto" w:fill="C6EFCE"/>
            <w:noWrap/>
          </w:tcPr>
          <w:p w14:paraId="4B34824B"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29</w:t>
            </w:r>
          </w:p>
        </w:tc>
        <w:tc>
          <w:tcPr>
            <w:tcW w:w="890" w:type="dxa"/>
            <w:shd w:val="clear" w:color="auto" w:fill="C6EFCE"/>
            <w:noWrap/>
          </w:tcPr>
          <w:p w14:paraId="4A10A290"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C2.I1</w:t>
            </w:r>
          </w:p>
        </w:tc>
        <w:tc>
          <w:tcPr>
            <w:tcW w:w="992" w:type="dxa"/>
            <w:shd w:val="clear" w:color="auto" w:fill="C6EFCE"/>
            <w:noWrap/>
          </w:tcPr>
          <w:p w14:paraId="4F26EDEE"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1559" w:type="dxa"/>
            <w:shd w:val="clear" w:color="auto" w:fill="C6EFCE"/>
            <w:noWrap/>
          </w:tcPr>
          <w:p w14:paraId="3B75242F" w14:textId="24702063" w:rsidR="00D65CB4" w:rsidRPr="00BC4EE7" w:rsidRDefault="00572307">
            <w:pPr>
              <w:pStyle w:val="P68B1DB1-Normal12"/>
              <w:spacing w:after="0" w:line="240" w:lineRule="auto"/>
              <w:rPr>
                <w:rFonts w:cs="Times New Roman"/>
                <w:noProof/>
              </w:rPr>
            </w:pPr>
            <w:r w:rsidRPr="00BC4EE7">
              <w:rPr>
                <w:rFonts w:cs="Times New Roman"/>
                <w:noProof/>
              </w:rPr>
              <w:t xml:space="preserve">Lakóingatlan-felújítási tevékenységek befejezése, átlagosan legalább 30%-os primerenergia-kereslet-csökkentés elérése (legalább 285000 egyedi lakásban legalább 410000 intézkedés) </w:t>
            </w:r>
          </w:p>
        </w:tc>
        <w:tc>
          <w:tcPr>
            <w:tcW w:w="1292" w:type="dxa"/>
            <w:shd w:val="clear" w:color="auto" w:fill="C6EFCE"/>
            <w:noWrap/>
          </w:tcPr>
          <w:p w14:paraId="2790C8A6"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 xml:space="preserve"> </w:t>
            </w:r>
          </w:p>
        </w:tc>
        <w:tc>
          <w:tcPr>
            <w:tcW w:w="835" w:type="dxa"/>
            <w:shd w:val="clear" w:color="auto" w:fill="C6EFCE"/>
            <w:noWrap/>
          </w:tcPr>
          <w:p w14:paraId="6EFB9251"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Szám</w:t>
            </w:r>
          </w:p>
        </w:tc>
        <w:tc>
          <w:tcPr>
            <w:tcW w:w="974" w:type="dxa"/>
            <w:shd w:val="clear" w:color="auto" w:fill="C6EFCE"/>
            <w:noWrap/>
          </w:tcPr>
          <w:p w14:paraId="74DF813D"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231 000</w:t>
            </w:r>
          </w:p>
        </w:tc>
        <w:tc>
          <w:tcPr>
            <w:tcW w:w="836" w:type="dxa"/>
            <w:shd w:val="clear" w:color="auto" w:fill="C6EFCE"/>
            <w:noWrap/>
          </w:tcPr>
          <w:p w14:paraId="53E2E224" w14:textId="328687B3"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410 000</w:t>
            </w:r>
          </w:p>
        </w:tc>
        <w:tc>
          <w:tcPr>
            <w:tcW w:w="418" w:type="dxa"/>
            <w:shd w:val="clear" w:color="auto" w:fill="C6EFCE"/>
            <w:noWrap/>
          </w:tcPr>
          <w:p w14:paraId="3B1CE8F1"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558" w:type="dxa"/>
            <w:shd w:val="clear" w:color="auto" w:fill="C6EFCE"/>
            <w:noWrap/>
          </w:tcPr>
          <w:p w14:paraId="2576EDE7"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2026</w:t>
            </w:r>
          </w:p>
        </w:tc>
        <w:tc>
          <w:tcPr>
            <w:tcW w:w="6258" w:type="dxa"/>
            <w:shd w:val="clear" w:color="auto" w:fill="C6EFCE"/>
            <w:noWrap/>
          </w:tcPr>
          <w:p w14:paraId="2D19D2ED" w14:textId="64BA6765" w:rsidR="00D65CB4" w:rsidRPr="00BC4EE7" w:rsidRDefault="00572307">
            <w:pPr>
              <w:pStyle w:val="P68B1DB1-Normal12"/>
              <w:spacing w:after="0" w:line="240" w:lineRule="auto"/>
              <w:rPr>
                <w:rFonts w:cs="Times New Roman"/>
                <w:noProof/>
              </w:rPr>
            </w:pPr>
            <w:r w:rsidRPr="00BC4EE7">
              <w:rPr>
                <w:rFonts w:cs="Times New Roman"/>
                <w:noProof/>
              </w:rPr>
              <w:t>Legalább 410000 lakásfelújítási intézkedés végrehajtása legalább 285000 egyedi lakásban, amelyek átlagosan legalább 30%-os primerenergia-kereslet-csökkentést érnek el (kumulatív). A mutató alkalmazásában a lakás fogalmának összeegyeztethetőnek kell lennie az Eurostat meghatározásával („A lakás egy állandó épületben vagy az épület szerkezetileg elkülönített részén található szoba vagy szobák összessége – beleértve annak tartozékait, lobbiit és folyosóit is –, amelyet építésének, újraépítésének vagy átalakításának módja miatt egy magánháztartás egész évben lakhatásra jelölt ki”), és adott esetben magában foglalhat szociális vagy állami lakásokat is. Az energiahatékonyság javítására használt mutatókat az épületek energiahatékonyságáról szóló, 2010. május 19-i 2010/31/EU európai parlamenti és tanácsi irányelv keretében kiadott megfelelő energiahatékonysági tanúsítvány révén kell akkreditálni. A lakóépületek rehabilitációjának számát az egyik támogatási sor (teljes rehabilitáció vagy épületelemek) vagy adókedvezmények végrehajtásával (a körülhatárolt lakónegyedeken belül, épület- vagy lakásszinten) végrehajtott valamennyi javítási és rehabilitációs intézkedés összegeként kell meghatározni. A nem megújuló primerenergia-fogyasztás átlagos megtakarítási százalékát a 30%-os minimumértéknek való megfelelés céljából úgy kell kiszámítani, hogy a helyreállítási intézkedéseket súlyozzák a helyreállítási és rezilienciaépítési terv keretében alkalmazott támogatás vagy finanszírozás összegével. Ez a mutató valamennyi település esetében magában foglalja a javítási és rehabilitációs intézkedéseket, függetlenül azok méretétől. Az elért energiamegtakarításnak való megfelelés igazolására a befejezett munkákra vonatkozó energiahatékonysági tanúsítványokat kell benyújtani és összesíteni kell az elért átlagos energiamegtakarítás megerősítése érdekében. (Alapforgatókönyv: 2024. december 31.)</w:t>
            </w:r>
          </w:p>
        </w:tc>
      </w:tr>
      <w:tr w:rsidR="00D65CB4" w:rsidRPr="00BC4EE7" w14:paraId="4187DA6B" w14:textId="77777777" w:rsidTr="00BA5F87">
        <w:trPr>
          <w:trHeight w:val="309"/>
        </w:trPr>
        <w:tc>
          <w:tcPr>
            <w:tcW w:w="698" w:type="dxa"/>
            <w:shd w:val="clear" w:color="auto" w:fill="C6EFCE"/>
            <w:noWrap/>
          </w:tcPr>
          <w:p w14:paraId="219897CE"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30</w:t>
            </w:r>
          </w:p>
        </w:tc>
        <w:tc>
          <w:tcPr>
            <w:tcW w:w="890" w:type="dxa"/>
            <w:shd w:val="clear" w:color="auto" w:fill="C6EFCE"/>
            <w:noWrap/>
          </w:tcPr>
          <w:p w14:paraId="39E1901F"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C2.I2</w:t>
            </w:r>
          </w:p>
        </w:tc>
        <w:tc>
          <w:tcPr>
            <w:tcW w:w="992" w:type="dxa"/>
            <w:shd w:val="clear" w:color="auto" w:fill="C6EFCE"/>
            <w:noWrap/>
          </w:tcPr>
          <w:p w14:paraId="64558372"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M</w:t>
            </w:r>
          </w:p>
        </w:tc>
        <w:tc>
          <w:tcPr>
            <w:tcW w:w="1559" w:type="dxa"/>
            <w:shd w:val="clear" w:color="auto" w:fill="C6EFCE"/>
            <w:noWrap/>
          </w:tcPr>
          <w:p w14:paraId="01EEAA9C" w14:textId="77777777" w:rsidR="00D65CB4" w:rsidRPr="00BC4EE7" w:rsidRDefault="00572307">
            <w:pPr>
              <w:pStyle w:val="P68B1DB1-Normal12"/>
              <w:spacing w:after="0" w:line="240" w:lineRule="auto"/>
              <w:rPr>
                <w:rFonts w:cs="Times New Roman"/>
                <w:noProof/>
              </w:rPr>
            </w:pPr>
            <w:r w:rsidRPr="00BC4EE7">
              <w:rPr>
                <w:rFonts w:cs="Times New Roman"/>
                <w:noProof/>
              </w:rPr>
              <w:t xml:space="preserve">Az energiahatékony szociális bérlakások energiahatékonysági kritériumoknak megfelelő programjának végrehajtására vonatkozó szabályozási keret meghatározásáról szóló királyi rendelet hatálybalépése </w:t>
            </w:r>
          </w:p>
        </w:tc>
        <w:tc>
          <w:tcPr>
            <w:tcW w:w="1292" w:type="dxa"/>
            <w:shd w:val="clear" w:color="auto" w:fill="C6EFCE"/>
            <w:noWrap/>
          </w:tcPr>
          <w:p w14:paraId="2A07BAB2"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A hatálybalépésről szóló királyi rendelet rendelkezése</w:t>
            </w:r>
          </w:p>
        </w:tc>
        <w:tc>
          <w:tcPr>
            <w:tcW w:w="835" w:type="dxa"/>
            <w:shd w:val="clear" w:color="auto" w:fill="C6EFCE"/>
            <w:noWrap/>
          </w:tcPr>
          <w:p w14:paraId="6ECDD213"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 xml:space="preserve"> </w:t>
            </w:r>
          </w:p>
        </w:tc>
        <w:tc>
          <w:tcPr>
            <w:tcW w:w="974" w:type="dxa"/>
            <w:shd w:val="clear" w:color="auto" w:fill="C6EFCE"/>
            <w:noWrap/>
          </w:tcPr>
          <w:p w14:paraId="5B68B9CD"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 xml:space="preserve"> </w:t>
            </w:r>
          </w:p>
        </w:tc>
        <w:tc>
          <w:tcPr>
            <w:tcW w:w="836" w:type="dxa"/>
            <w:shd w:val="clear" w:color="auto" w:fill="C6EFCE"/>
            <w:noWrap/>
          </w:tcPr>
          <w:p w14:paraId="1B7172F4"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 xml:space="preserve"> </w:t>
            </w:r>
          </w:p>
        </w:tc>
        <w:tc>
          <w:tcPr>
            <w:tcW w:w="418" w:type="dxa"/>
            <w:shd w:val="clear" w:color="auto" w:fill="C6EFCE"/>
            <w:noWrap/>
          </w:tcPr>
          <w:p w14:paraId="35DAEC7D"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Q3</w:t>
            </w:r>
          </w:p>
        </w:tc>
        <w:tc>
          <w:tcPr>
            <w:tcW w:w="558" w:type="dxa"/>
            <w:shd w:val="clear" w:color="auto" w:fill="C6EFCE"/>
            <w:noWrap/>
          </w:tcPr>
          <w:p w14:paraId="6EC9CF6B"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2021</w:t>
            </w:r>
          </w:p>
        </w:tc>
        <w:tc>
          <w:tcPr>
            <w:tcW w:w="6258" w:type="dxa"/>
            <w:shd w:val="clear" w:color="auto" w:fill="C6EFCE"/>
            <w:noWrap/>
          </w:tcPr>
          <w:p w14:paraId="03EF9BF8" w14:textId="77777777" w:rsidR="00D65CB4" w:rsidRPr="00BC4EE7" w:rsidRDefault="00572307">
            <w:pPr>
              <w:pStyle w:val="P68B1DB1-Normal12"/>
              <w:spacing w:after="0" w:line="240" w:lineRule="auto"/>
              <w:rPr>
                <w:rFonts w:cs="Times New Roman"/>
                <w:noProof/>
              </w:rPr>
            </w:pPr>
            <w:r w:rsidRPr="00BC4EE7">
              <w:rPr>
                <w:rFonts w:cs="Times New Roman"/>
                <w:noProof/>
              </w:rPr>
              <w:t>Az energiahatékony szociális bérlakásokra vonatkozó program végrehajtásának szabályozási keretét meghatározó királyi rendelet elfogadása, amely megfelel az energiahatékonyság kritériumainak. A királyi rendelet meghatározza azokat a műszaki követelményeket, amelyek biztosítják, hogy az épületek építése során a primerenergia-igény legalább 20%-kal alacsonyabb legyen, mint a nemzeti iránymutatások szerinti közel nulla energiaigény. E célból a nem megújuló primerenergia-fogyasztás értékét a műszaki építési szabályzat (CTE) energiamegtakarítási alapdokumentumának (DB-HE) HE 0. szakaszában meghatározott határérték 80%-ára kell korlátozni. A lakásügyi ágazati konferenciát, a nyilvánosság tájékoztatásának szakaszát és az egyéb jogi eljárásokat a királyi rendelet véglegesítése előtt kell megtartani.</w:t>
            </w:r>
          </w:p>
        </w:tc>
      </w:tr>
      <w:tr w:rsidR="00D65CB4" w:rsidRPr="00BC4EE7" w14:paraId="08CF31DB" w14:textId="77777777" w:rsidTr="00BA5F87">
        <w:trPr>
          <w:trHeight w:val="309"/>
        </w:trPr>
        <w:tc>
          <w:tcPr>
            <w:tcW w:w="698" w:type="dxa"/>
            <w:shd w:val="clear" w:color="auto" w:fill="C6EFCE"/>
            <w:noWrap/>
          </w:tcPr>
          <w:p w14:paraId="2C8B330C"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31</w:t>
            </w:r>
          </w:p>
        </w:tc>
        <w:tc>
          <w:tcPr>
            <w:tcW w:w="890" w:type="dxa"/>
            <w:shd w:val="clear" w:color="auto" w:fill="C6EFCE"/>
            <w:noWrap/>
          </w:tcPr>
          <w:p w14:paraId="60C24825"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C2.I2</w:t>
            </w:r>
          </w:p>
        </w:tc>
        <w:tc>
          <w:tcPr>
            <w:tcW w:w="992" w:type="dxa"/>
            <w:shd w:val="clear" w:color="auto" w:fill="C6EFCE"/>
            <w:noWrap/>
          </w:tcPr>
          <w:p w14:paraId="4D7714BB"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1559" w:type="dxa"/>
            <w:shd w:val="clear" w:color="auto" w:fill="C6EFCE"/>
            <w:noWrap/>
          </w:tcPr>
          <w:p w14:paraId="66003F66" w14:textId="77777777" w:rsidR="00D65CB4" w:rsidRPr="00BC4EE7" w:rsidRDefault="00572307">
            <w:pPr>
              <w:pStyle w:val="P68B1DB1-Normal12"/>
              <w:spacing w:after="0" w:line="240" w:lineRule="auto"/>
              <w:rPr>
                <w:rFonts w:cs="Times New Roman"/>
                <w:noProof/>
              </w:rPr>
            </w:pPr>
            <w:r w:rsidRPr="00BC4EE7">
              <w:rPr>
                <w:rFonts w:cs="Times New Roman"/>
                <w:noProof/>
              </w:rPr>
              <w:t>Szociális bérezés céljából vagy megfizethető áron épített új lakások, amelyek megfelelnek az energiahatékonyság kritériumainak</w:t>
            </w:r>
          </w:p>
        </w:tc>
        <w:tc>
          <w:tcPr>
            <w:tcW w:w="1292" w:type="dxa"/>
            <w:shd w:val="clear" w:color="auto" w:fill="C6EFCE"/>
            <w:noWrap/>
          </w:tcPr>
          <w:p w14:paraId="71CA3204"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 xml:space="preserve"> </w:t>
            </w:r>
          </w:p>
        </w:tc>
        <w:tc>
          <w:tcPr>
            <w:tcW w:w="835" w:type="dxa"/>
            <w:shd w:val="clear" w:color="auto" w:fill="C6EFCE"/>
            <w:noWrap/>
          </w:tcPr>
          <w:p w14:paraId="125BCDC3"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Szám</w:t>
            </w:r>
          </w:p>
        </w:tc>
        <w:tc>
          <w:tcPr>
            <w:tcW w:w="974" w:type="dxa"/>
            <w:shd w:val="clear" w:color="auto" w:fill="C6EFCE"/>
            <w:noWrap/>
          </w:tcPr>
          <w:p w14:paraId="7BD0726E"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0</w:t>
            </w:r>
          </w:p>
        </w:tc>
        <w:tc>
          <w:tcPr>
            <w:tcW w:w="836" w:type="dxa"/>
            <w:shd w:val="clear" w:color="auto" w:fill="C6EFCE"/>
            <w:noWrap/>
          </w:tcPr>
          <w:p w14:paraId="1D57C1F4"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20 000</w:t>
            </w:r>
          </w:p>
        </w:tc>
        <w:tc>
          <w:tcPr>
            <w:tcW w:w="418" w:type="dxa"/>
            <w:shd w:val="clear" w:color="auto" w:fill="C6EFCE"/>
            <w:noWrap/>
          </w:tcPr>
          <w:p w14:paraId="2CF36DD5"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558" w:type="dxa"/>
            <w:shd w:val="clear" w:color="auto" w:fill="C6EFCE"/>
            <w:noWrap/>
          </w:tcPr>
          <w:p w14:paraId="75D37C4C"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2026</w:t>
            </w:r>
          </w:p>
        </w:tc>
        <w:tc>
          <w:tcPr>
            <w:tcW w:w="6258" w:type="dxa"/>
            <w:shd w:val="clear" w:color="auto" w:fill="C6EFCE"/>
            <w:noWrap/>
          </w:tcPr>
          <w:p w14:paraId="44442375" w14:textId="77777777" w:rsidR="00D65CB4" w:rsidRPr="00BC4EE7" w:rsidRDefault="00572307">
            <w:pPr>
              <w:pStyle w:val="P68B1DB1-Normal12"/>
              <w:spacing w:after="0" w:line="240" w:lineRule="auto"/>
              <w:rPr>
                <w:rFonts w:cs="Times New Roman"/>
                <w:noProof/>
              </w:rPr>
            </w:pPr>
            <w:r w:rsidRPr="00BC4EE7">
              <w:rPr>
                <w:rFonts w:cs="Times New Roman"/>
                <w:noProof/>
              </w:rPr>
              <w:t>Legalább 20000, szociális bérezésre vagy megfizethető áron épített lakás, amely megfelel az energiahatékonyság kritériumainak. Ez a szám azon lakások számának felel meg, amelyek építését be kell fejezni, és a megfizethető áron történő szociális bérezést kell figyelembe venni, amelyet az illetékes hatóság által kiállított igazolás vagy igazolás igazol a lakások befejezéséről és használatáról. Ezen túlmenően a nem megújuló primerenergia-fogyasztás értékének a műszaki építési szabályzat (CTE) energiamegtakarítási alapdokumentumának (DB-HE) HE 0. szakaszában meghatározott határérték 80%-ára való korlátozására vonatkozó követelménynek való megfelelést energiahatékonysági tanúsítvánnyal kell biztosítani.</w:t>
            </w:r>
          </w:p>
        </w:tc>
      </w:tr>
      <w:tr w:rsidR="00D65CB4" w:rsidRPr="00BC4EE7" w14:paraId="6C2D39E7" w14:textId="77777777" w:rsidTr="00BA5F87">
        <w:trPr>
          <w:trHeight w:val="309"/>
        </w:trPr>
        <w:tc>
          <w:tcPr>
            <w:tcW w:w="698" w:type="dxa"/>
            <w:shd w:val="clear" w:color="auto" w:fill="C6EFCE"/>
            <w:noWrap/>
          </w:tcPr>
          <w:p w14:paraId="434292C4"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32</w:t>
            </w:r>
          </w:p>
        </w:tc>
        <w:tc>
          <w:tcPr>
            <w:tcW w:w="890" w:type="dxa"/>
            <w:shd w:val="clear" w:color="auto" w:fill="C6EFCE"/>
            <w:noWrap/>
          </w:tcPr>
          <w:p w14:paraId="16A7C4CA"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C2.I3</w:t>
            </w:r>
          </w:p>
        </w:tc>
        <w:tc>
          <w:tcPr>
            <w:tcW w:w="992" w:type="dxa"/>
            <w:shd w:val="clear" w:color="auto" w:fill="C6EFCE"/>
            <w:noWrap/>
          </w:tcPr>
          <w:p w14:paraId="1C7B615D"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M</w:t>
            </w:r>
          </w:p>
        </w:tc>
        <w:tc>
          <w:tcPr>
            <w:tcW w:w="1559" w:type="dxa"/>
            <w:shd w:val="clear" w:color="auto" w:fill="C6EFCE"/>
            <w:noWrap/>
          </w:tcPr>
          <w:p w14:paraId="0852DD39" w14:textId="77777777" w:rsidR="00D65CB4" w:rsidRPr="00BC4EE7" w:rsidRDefault="00572307">
            <w:pPr>
              <w:pStyle w:val="P68B1DB1-Normal12"/>
              <w:spacing w:after="0" w:line="240" w:lineRule="auto"/>
              <w:rPr>
                <w:rFonts w:cs="Times New Roman"/>
                <w:noProof/>
              </w:rPr>
            </w:pPr>
            <w:r w:rsidRPr="00BC4EE7">
              <w:rPr>
                <w:rFonts w:cs="Times New Roman"/>
                <w:noProof/>
              </w:rPr>
              <w:t>Lakóépületek és nem lakáscélú épületek felújításának odaítélése, amelyek átlagosan legalább 30%-os primerenergia-kereslet-csökkentést érnek el</w:t>
            </w:r>
          </w:p>
        </w:tc>
        <w:tc>
          <w:tcPr>
            <w:tcW w:w="1292" w:type="dxa"/>
            <w:shd w:val="clear" w:color="auto" w:fill="C6EFCE"/>
            <w:noWrap/>
          </w:tcPr>
          <w:p w14:paraId="1337BEF1"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Autonóm közösségek összesített koncessziós döntései</w:t>
            </w:r>
          </w:p>
        </w:tc>
        <w:tc>
          <w:tcPr>
            <w:tcW w:w="835" w:type="dxa"/>
            <w:shd w:val="clear" w:color="auto" w:fill="C6EFCE"/>
            <w:noWrap/>
          </w:tcPr>
          <w:p w14:paraId="6D71D07C"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974" w:type="dxa"/>
            <w:shd w:val="clear" w:color="auto" w:fill="C6EFCE"/>
            <w:noWrap/>
          </w:tcPr>
          <w:p w14:paraId="64AD8D14"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836" w:type="dxa"/>
            <w:shd w:val="clear" w:color="auto" w:fill="C6EFCE"/>
            <w:noWrap/>
          </w:tcPr>
          <w:p w14:paraId="4A586566"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418" w:type="dxa"/>
            <w:shd w:val="clear" w:color="auto" w:fill="C6EFCE"/>
            <w:noWrap/>
          </w:tcPr>
          <w:p w14:paraId="7033E754"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558" w:type="dxa"/>
            <w:shd w:val="clear" w:color="auto" w:fill="C6EFCE"/>
            <w:noWrap/>
          </w:tcPr>
          <w:p w14:paraId="0ED0F85E"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2023</w:t>
            </w:r>
          </w:p>
        </w:tc>
        <w:tc>
          <w:tcPr>
            <w:tcW w:w="6258" w:type="dxa"/>
            <w:shd w:val="clear" w:color="auto" w:fill="C6EFCE"/>
            <w:noWrap/>
          </w:tcPr>
          <w:p w14:paraId="14C5AE00" w14:textId="77777777" w:rsidR="00D65CB4" w:rsidRPr="00BC4EE7" w:rsidRDefault="00572307">
            <w:pPr>
              <w:pStyle w:val="P68B1DB1-Normal12"/>
              <w:spacing w:after="0" w:line="240" w:lineRule="auto"/>
              <w:rPr>
                <w:rFonts w:cs="Times New Roman"/>
                <w:noProof/>
              </w:rPr>
            </w:pPr>
            <w:r w:rsidRPr="00BC4EE7">
              <w:rPr>
                <w:rFonts w:cs="Times New Roman"/>
                <w:noProof/>
              </w:rPr>
              <w:t>Legalább 40000 lakóépület felújítása és 690 000 m 2 odaítélt</w:t>
            </w:r>
            <w:r w:rsidRPr="00BC4EE7">
              <w:rPr>
                <w:rFonts w:cs="Times New Roman"/>
                <w:noProof/>
                <w:vertAlign w:val="superscript"/>
              </w:rPr>
              <w:t>nem</w:t>
            </w:r>
            <w:r w:rsidRPr="00BC4EE7">
              <w:rPr>
                <w:rFonts w:cs="Times New Roman"/>
                <w:noProof/>
              </w:rPr>
              <w:t xml:space="preserve"> lakáscélú épület, ami átlagosan legalább 30%-os primerenergia-igénycsökkenést eredményez. Az egyenértékűséget az egyes beavatkozástípusok m-</w:t>
            </w:r>
            <w:r w:rsidRPr="00BC4EE7">
              <w:rPr>
                <w:rFonts w:cs="Times New Roman"/>
                <w:noProof/>
                <w:vertAlign w:val="superscript"/>
              </w:rPr>
              <w:t>2</w:t>
            </w:r>
            <w:r w:rsidRPr="00BC4EE7">
              <w:rPr>
                <w:rFonts w:cs="Times New Roman"/>
                <w:noProof/>
              </w:rPr>
              <w:t xml:space="preserve"> -re jutó átlagos energiamegtakarítása alapján kell meghatározni. A mutató alkalmazásában a lakás fogalmának összeegyeztethetőnek kell lennie az Eurostat meghatározásával („A lakás egy állandó épületben vagy az épület szerkezetileg elkülönített részén található szoba vagy szobák összessége – beleértve annak tartozékait, lobbiit és folyosóit is –, amelyet építésének, újraépítésének vagy átalakításának módja miatt egy magánháztartás egész évben lakhatásra jelölt ki”), és adott esetben magában foglalhat szociális vagy állami lakásokat is. Az energiahatékonyság javítására használt mutatókat az épületek energiahatékonyságáról szóló, 2010. május 19-i 2010/31/EU európai parlamenti és tanácsi irányelv keretében kiadott megfelelő energiahatékonysági tanúsítvány révén kell akkreditálni.</w:t>
            </w:r>
          </w:p>
        </w:tc>
      </w:tr>
      <w:tr w:rsidR="00D65CB4" w:rsidRPr="00BC4EE7" w14:paraId="1C3C2C83" w14:textId="77777777" w:rsidTr="00BA5F87">
        <w:trPr>
          <w:trHeight w:val="309"/>
        </w:trPr>
        <w:tc>
          <w:tcPr>
            <w:tcW w:w="698" w:type="dxa"/>
            <w:shd w:val="clear" w:color="auto" w:fill="C6EFCE"/>
            <w:noWrap/>
          </w:tcPr>
          <w:p w14:paraId="7CE58F48"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33</w:t>
            </w:r>
          </w:p>
        </w:tc>
        <w:tc>
          <w:tcPr>
            <w:tcW w:w="890" w:type="dxa"/>
            <w:shd w:val="clear" w:color="auto" w:fill="C6EFCE"/>
            <w:noWrap/>
          </w:tcPr>
          <w:p w14:paraId="735917EE"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C2.I3</w:t>
            </w:r>
          </w:p>
        </w:tc>
        <w:tc>
          <w:tcPr>
            <w:tcW w:w="992" w:type="dxa"/>
            <w:shd w:val="clear" w:color="auto" w:fill="C6EFCE"/>
            <w:noWrap/>
          </w:tcPr>
          <w:p w14:paraId="6929BCAA"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M</w:t>
            </w:r>
          </w:p>
        </w:tc>
        <w:tc>
          <w:tcPr>
            <w:tcW w:w="1559" w:type="dxa"/>
            <w:shd w:val="clear" w:color="auto" w:fill="C6EFCE"/>
            <w:noWrap/>
          </w:tcPr>
          <w:p w14:paraId="165C110F" w14:textId="77777777" w:rsidR="00D65CB4" w:rsidRPr="00BC4EE7" w:rsidRDefault="00572307">
            <w:pPr>
              <w:pStyle w:val="P68B1DB1-Normal12"/>
              <w:spacing w:after="0" w:line="240" w:lineRule="auto"/>
              <w:rPr>
                <w:rFonts w:cs="Times New Roman"/>
                <w:noProof/>
              </w:rPr>
            </w:pPr>
            <w:r w:rsidRPr="00BC4EE7">
              <w:rPr>
                <w:rFonts w:cs="Times New Roman"/>
                <w:noProof/>
              </w:rPr>
              <w:t xml:space="preserve">Lakóépületek és nem lakáscélú épületek felújításának befejezése, átlagosan legalább 30%-os primerenergia-kereslet-csökkentés elérése </w:t>
            </w:r>
          </w:p>
        </w:tc>
        <w:tc>
          <w:tcPr>
            <w:tcW w:w="1292" w:type="dxa"/>
            <w:shd w:val="clear" w:color="auto" w:fill="C6EFCE"/>
            <w:noWrap/>
          </w:tcPr>
          <w:p w14:paraId="5550885B"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A befejezett munkákra vonatkozó összesített energiahatékonysági tanúsítványok</w:t>
            </w:r>
          </w:p>
        </w:tc>
        <w:tc>
          <w:tcPr>
            <w:tcW w:w="835" w:type="dxa"/>
            <w:shd w:val="clear" w:color="auto" w:fill="C6EFCE"/>
            <w:noWrap/>
          </w:tcPr>
          <w:p w14:paraId="1721E545"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974" w:type="dxa"/>
            <w:shd w:val="clear" w:color="auto" w:fill="C6EFCE"/>
            <w:noWrap/>
          </w:tcPr>
          <w:p w14:paraId="3DD1135A"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836" w:type="dxa"/>
            <w:shd w:val="clear" w:color="auto" w:fill="C6EFCE"/>
            <w:noWrap/>
          </w:tcPr>
          <w:p w14:paraId="0236E82D"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418" w:type="dxa"/>
            <w:shd w:val="clear" w:color="auto" w:fill="C6EFCE"/>
            <w:noWrap/>
          </w:tcPr>
          <w:p w14:paraId="0B0E13F4"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558" w:type="dxa"/>
            <w:shd w:val="clear" w:color="auto" w:fill="C6EFCE"/>
            <w:noWrap/>
          </w:tcPr>
          <w:p w14:paraId="55CFB499"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2026</w:t>
            </w:r>
          </w:p>
        </w:tc>
        <w:tc>
          <w:tcPr>
            <w:tcW w:w="6258" w:type="dxa"/>
            <w:shd w:val="clear" w:color="auto" w:fill="C6EFCE"/>
            <w:noWrap/>
          </w:tcPr>
          <w:p w14:paraId="492B2804" w14:textId="77777777" w:rsidR="00D65CB4" w:rsidRPr="00BC4EE7" w:rsidRDefault="00572307">
            <w:pPr>
              <w:pStyle w:val="P68B1DB1-Normal12"/>
              <w:spacing w:after="0" w:line="240" w:lineRule="auto"/>
              <w:rPr>
                <w:rFonts w:cs="Times New Roman"/>
                <w:noProof/>
              </w:rPr>
            </w:pPr>
            <w:r w:rsidRPr="00BC4EE7">
              <w:rPr>
                <w:rFonts w:cs="Times New Roman"/>
                <w:noProof/>
              </w:rPr>
              <w:t>Legalább 40000 lakóépület és 690 000 m 2 felújított</w:t>
            </w:r>
            <w:r w:rsidRPr="00BC4EE7">
              <w:rPr>
                <w:rFonts w:cs="Times New Roman"/>
                <w:noProof/>
                <w:vertAlign w:val="superscript"/>
              </w:rPr>
              <w:t>nem</w:t>
            </w:r>
            <w:r w:rsidRPr="00BC4EE7">
              <w:rPr>
                <w:rFonts w:cs="Times New Roman"/>
                <w:noProof/>
              </w:rPr>
              <w:t xml:space="preserve"> lakáscélú épület, amely átlagosan legalább 30%-kal csökkenti a primerenergia-igényt. Az egyenértékűséget az egyes beavatkozástípusok m-</w:t>
            </w:r>
            <w:r w:rsidRPr="00BC4EE7">
              <w:rPr>
                <w:rFonts w:cs="Times New Roman"/>
                <w:noProof/>
                <w:vertAlign w:val="superscript"/>
              </w:rPr>
              <w:t>2</w:t>
            </w:r>
            <w:r w:rsidRPr="00BC4EE7">
              <w:rPr>
                <w:rFonts w:cs="Times New Roman"/>
                <w:noProof/>
              </w:rPr>
              <w:t xml:space="preserve"> -re jutó átlagos energiamegtakarítása alapján kell meghatározni. A mutató alkalmazásában a lakás fogalmának összeegyeztethetőnek kell lennie az Eurostat meghatározásával: „A lakás egy állandó épületben vagy az épület szerkezetileg elkülönített részén található szoba vagy szobák összessége – beleértve annak tartozékait, lobbiit és folyosóit is –, amelyet építésének, újraépítésének vagy átalakításának módja miatt egy magánháztartás egész évben lakhatásra jelölt ki”, és amely adott esetben magában foglalhatja a szociális vagy állami lakásokat is. Az energiahatékonyság javítására használt mutatókat az épületek energiahatékonyságáról szóló, 2010. május 19-i 2010/31/EU európai parlamenti és tanácsi irányelv keretében kiadott megfelelő energiahatékonysági tanúsítvány révén kell akkreditálni. Az elért energiamegtakarításnak való megfelelés igazolására a befejezett munkákra vonatkozó energiahatékonysági tanúsítványokat kell benyújtani és összesíteni kell az elért átlagos energiamegtakarítás megerősítése érdekében.</w:t>
            </w:r>
          </w:p>
        </w:tc>
      </w:tr>
      <w:tr w:rsidR="00D65CB4" w:rsidRPr="00BC4EE7" w14:paraId="286F2F1B" w14:textId="77777777" w:rsidTr="00BA5F87">
        <w:trPr>
          <w:trHeight w:val="309"/>
        </w:trPr>
        <w:tc>
          <w:tcPr>
            <w:tcW w:w="698" w:type="dxa"/>
            <w:shd w:val="clear" w:color="auto" w:fill="C6EFCE"/>
            <w:noWrap/>
          </w:tcPr>
          <w:p w14:paraId="1EA9D8CF" w14:textId="0D46D351" w:rsidR="00D65CB4" w:rsidRPr="00BC4EE7" w:rsidRDefault="00572307">
            <w:pPr>
              <w:pStyle w:val="P68B1DB1-Normal12"/>
              <w:spacing w:after="0" w:line="240" w:lineRule="auto"/>
              <w:jc w:val="center"/>
              <w:rPr>
                <w:rFonts w:cs="Times New Roman"/>
                <w:noProof/>
              </w:rPr>
            </w:pPr>
            <w:r w:rsidRPr="00BC4EE7">
              <w:rPr>
                <w:rFonts w:cs="Times New Roman"/>
                <w:noProof/>
              </w:rPr>
              <w:t>34</w:t>
            </w:r>
          </w:p>
        </w:tc>
        <w:tc>
          <w:tcPr>
            <w:tcW w:w="890" w:type="dxa"/>
            <w:shd w:val="clear" w:color="auto" w:fill="C6EFCE"/>
            <w:noWrap/>
          </w:tcPr>
          <w:p w14:paraId="4C8A2F19"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C2.I4</w:t>
            </w:r>
          </w:p>
        </w:tc>
        <w:tc>
          <w:tcPr>
            <w:tcW w:w="992" w:type="dxa"/>
            <w:shd w:val="clear" w:color="auto" w:fill="C6EFCE"/>
            <w:noWrap/>
          </w:tcPr>
          <w:p w14:paraId="56E99CA2" w14:textId="5E1D777D" w:rsidR="00D65CB4" w:rsidRPr="00BC4EE7" w:rsidRDefault="00572307">
            <w:pPr>
              <w:pStyle w:val="P68B1DB1-Normal12"/>
              <w:spacing w:after="0" w:line="240" w:lineRule="auto"/>
              <w:jc w:val="center"/>
              <w:rPr>
                <w:rFonts w:cs="Times New Roman"/>
                <w:noProof/>
              </w:rPr>
            </w:pPr>
            <w:r w:rsidRPr="00BC4EE7">
              <w:rPr>
                <w:rFonts w:cs="Times New Roman"/>
                <w:noProof/>
              </w:rPr>
              <w:t>M</w:t>
            </w:r>
          </w:p>
        </w:tc>
        <w:tc>
          <w:tcPr>
            <w:tcW w:w="1559" w:type="dxa"/>
            <w:shd w:val="clear" w:color="auto" w:fill="C6EFCE"/>
            <w:noWrap/>
          </w:tcPr>
          <w:p w14:paraId="281C42FE" w14:textId="32F7B6AC" w:rsidR="00D65CB4" w:rsidRPr="00BC4EE7" w:rsidRDefault="00572307">
            <w:pPr>
              <w:pStyle w:val="P68B1DB1-Normal12"/>
              <w:spacing w:after="0" w:line="240" w:lineRule="auto"/>
              <w:rPr>
                <w:rFonts w:cs="Times New Roman"/>
                <w:noProof/>
              </w:rPr>
            </w:pPr>
            <w:r w:rsidRPr="00BC4EE7">
              <w:rPr>
                <w:rFonts w:cs="Times New Roman"/>
                <w:noProof/>
              </w:rPr>
              <w:t xml:space="preserve">Az 5000 főnél kevesebb lakosú települések lakóépületeinek és nem lakáscélú épületeinek felújítása, átlagosan legalább 30%-os primerenergia-kereslet-csökkentés elérése mellett </w:t>
            </w:r>
          </w:p>
        </w:tc>
        <w:tc>
          <w:tcPr>
            <w:tcW w:w="1292" w:type="dxa"/>
            <w:shd w:val="clear" w:color="auto" w:fill="C6EFCE"/>
            <w:noWrap/>
          </w:tcPr>
          <w:p w14:paraId="7ADA28FF"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 xml:space="preserve"> </w:t>
            </w:r>
          </w:p>
        </w:tc>
        <w:tc>
          <w:tcPr>
            <w:tcW w:w="835" w:type="dxa"/>
            <w:shd w:val="clear" w:color="auto" w:fill="C6EFCE"/>
            <w:noWrap/>
          </w:tcPr>
          <w:p w14:paraId="099A72F1" w14:textId="19393C73" w:rsidR="00D65CB4" w:rsidRPr="00BC4EE7" w:rsidRDefault="00D65CB4">
            <w:pPr>
              <w:spacing w:after="0" w:line="240" w:lineRule="auto"/>
              <w:jc w:val="right"/>
              <w:rPr>
                <w:rFonts w:ascii="Times New Roman" w:eastAsia="MS Mincho" w:hAnsi="Times New Roman" w:cs="Times New Roman"/>
                <w:noProof/>
                <w:sz w:val="18"/>
              </w:rPr>
            </w:pPr>
          </w:p>
        </w:tc>
        <w:tc>
          <w:tcPr>
            <w:tcW w:w="974" w:type="dxa"/>
            <w:shd w:val="clear" w:color="auto" w:fill="C6EFCE"/>
            <w:noWrap/>
          </w:tcPr>
          <w:p w14:paraId="47F30171" w14:textId="43D0BE53" w:rsidR="00D65CB4" w:rsidRPr="00BC4EE7" w:rsidRDefault="00D65CB4">
            <w:pPr>
              <w:spacing w:after="0" w:line="240" w:lineRule="auto"/>
              <w:jc w:val="right"/>
              <w:rPr>
                <w:rFonts w:ascii="Times New Roman" w:eastAsia="MS Mincho" w:hAnsi="Times New Roman" w:cs="Times New Roman"/>
                <w:noProof/>
                <w:sz w:val="18"/>
              </w:rPr>
            </w:pPr>
          </w:p>
        </w:tc>
        <w:tc>
          <w:tcPr>
            <w:tcW w:w="836" w:type="dxa"/>
            <w:shd w:val="clear" w:color="auto" w:fill="C6EFCE"/>
            <w:noWrap/>
          </w:tcPr>
          <w:p w14:paraId="3C6BE649" w14:textId="4EABC358" w:rsidR="00D65CB4" w:rsidRPr="00BC4EE7" w:rsidRDefault="00D65CB4">
            <w:pPr>
              <w:spacing w:after="0" w:line="240" w:lineRule="auto"/>
              <w:jc w:val="right"/>
              <w:rPr>
                <w:rFonts w:ascii="Times New Roman" w:eastAsia="MS Mincho" w:hAnsi="Times New Roman" w:cs="Times New Roman"/>
                <w:noProof/>
                <w:sz w:val="18"/>
              </w:rPr>
            </w:pPr>
          </w:p>
        </w:tc>
        <w:tc>
          <w:tcPr>
            <w:tcW w:w="418" w:type="dxa"/>
            <w:shd w:val="clear" w:color="auto" w:fill="C6EFCE"/>
            <w:noWrap/>
          </w:tcPr>
          <w:p w14:paraId="266B4723"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558" w:type="dxa"/>
            <w:shd w:val="clear" w:color="auto" w:fill="C6EFCE"/>
            <w:noWrap/>
          </w:tcPr>
          <w:p w14:paraId="16EAFDA7"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2026</w:t>
            </w:r>
          </w:p>
        </w:tc>
        <w:tc>
          <w:tcPr>
            <w:tcW w:w="6258" w:type="dxa"/>
            <w:shd w:val="clear" w:color="auto" w:fill="C6EFCE"/>
            <w:noWrap/>
          </w:tcPr>
          <w:p w14:paraId="616015E6" w14:textId="62DB4A95" w:rsidR="00D65CB4" w:rsidRPr="00BC4EE7" w:rsidRDefault="00572307">
            <w:pPr>
              <w:pStyle w:val="P68B1DB1-Normal12"/>
              <w:spacing w:after="0" w:line="240" w:lineRule="auto"/>
              <w:rPr>
                <w:rFonts w:cs="Times New Roman"/>
                <w:noProof/>
              </w:rPr>
            </w:pPr>
            <w:r w:rsidRPr="00BC4EE7">
              <w:rPr>
                <w:rFonts w:cs="Times New Roman"/>
                <w:noProof/>
              </w:rPr>
              <w:t>Az 5000 főnél kevesebb lakosú településeken és városi területeken legalább 4300 lakás és 230 000 m² nem lakáscélú épület (beleértve a köz-, magán- vagy szociális épületeket is) felújított lakás, amely átlagosan legalább 30%-os primerenergia-igénycsökkenést eredményez. Az egyenértékűséget az egyes beavatkozástípusok egy négyzetméterére jutó átlagos energiamegtakarítás alapján kell meghatározni. Az elért energiamegtakarításnak való megfelelés igazolására a befejezett munkákra vonatkozó energiahatékonysági tanúsítványokat kell benyújtani és összesíteni kell az elért átlagos energiamegtakarítás megerősítése érdekében.</w:t>
            </w:r>
          </w:p>
        </w:tc>
      </w:tr>
      <w:tr w:rsidR="00D65CB4" w:rsidRPr="00BC4EE7" w14:paraId="12EA9356" w14:textId="77777777" w:rsidTr="00BA5F87">
        <w:trPr>
          <w:trHeight w:val="309"/>
        </w:trPr>
        <w:tc>
          <w:tcPr>
            <w:tcW w:w="698" w:type="dxa"/>
            <w:shd w:val="clear" w:color="auto" w:fill="C6EFCE"/>
            <w:noWrap/>
          </w:tcPr>
          <w:p w14:paraId="3D5C510C" w14:textId="49A052F5" w:rsidR="00D65CB4" w:rsidRPr="00BC4EE7" w:rsidRDefault="00572307">
            <w:pPr>
              <w:pStyle w:val="P68B1DB1-Normal12"/>
              <w:spacing w:after="0" w:line="240" w:lineRule="auto"/>
              <w:jc w:val="center"/>
              <w:rPr>
                <w:rFonts w:cs="Times New Roman"/>
                <w:noProof/>
              </w:rPr>
            </w:pPr>
            <w:r w:rsidRPr="00BC4EE7">
              <w:rPr>
                <w:rFonts w:cs="Times New Roman"/>
                <w:noProof/>
              </w:rPr>
              <w:t>35</w:t>
            </w:r>
          </w:p>
        </w:tc>
        <w:tc>
          <w:tcPr>
            <w:tcW w:w="890" w:type="dxa"/>
            <w:shd w:val="clear" w:color="auto" w:fill="C6EFCE"/>
            <w:noWrap/>
          </w:tcPr>
          <w:p w14:paraId="6825C8B5"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C2.I4</w:t>
            </w:r>
          </w:p>
        </w:tc>
        <w:tc>
          <w:tcPr>
            <w:tcW w:w="992" w:type="dxa"/>
            <w:shd w:val="clear" w:color="auto" w:fill="C6EFCE"/>
            <w:noWrap/>
          </w:tcPr>
          <w:p w14:paraId="4A4CD420"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1559" w:type="dxa"/>
            <w:shd w:val="clear" w:color="auto" w:fill="C6EFCE"/>
            <w:noWrap/>
          </w:tcPr>
          <w:p w14:paraId="50BECBC1" w14:textId="77777777" w:rsidR="00D65CB4" w:rsidRPr="00BC4EE7" w:rsidRDefault="00572307">
            <w:pPr>
              <w:pStyle w:val="P68B1DB1-Normal12"/>
              <w:spacing w:after="0" w:line="240" w:lineRule="auto"/>
              <w:rPr>
                <w:rFonts w:cs="Times New Roman"/>
                <w:noProof/>
              </w:rPr>
            </w:pPr>
            <w:r w:rsidRPr="00BC4EE7">
              <w:rPr>
                <w:rFonts w:cs="Times New Roman"/>
                <w:noProof/>
              </w:rPr>
              <w:t xml:space="preserve">Tiszta energiával kapcsolatos projektek 5000 főnél kevesebb lakosú településeken </w:t>
            </w:r>
          </w:p>
        </w:tc>
        <w:tc>
          <w:tcPr>
            <w:tcW w:w="1292" w:type="dxa"/>
            <w:shd w:val="clear" w:color="auto" w:fill="C6EFCE"/>
            <w:noWrap/>
          </w:tcPr>
          <w:p w14:paraId="12673AC1"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 xml:space="preserve"> </w:t>
            </w:r>
          </w:p>
        </w:tc>
        <w:tc>
          <w:tcPr>
            <w:tcW w:w="835" w:type="dxa"/>
            <w:shd w:val="clear" w:color="auto" w:fill="C6EFCE"/>
            <w:noWrap/>
          </w:tcPr>
          <w:p w14:paraId="460C58E8"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Szám</w:t>
            </w:r>
          </w:p>
        </w:tc>
        <w:tc>
          <w:tcPr>
            <w:tcW w:w="974" w:type="dxa"/>
            <w:shd w:val="clear" w:color="auto" w:fill="C6EFCE"/>
            <w:noWrap/>
          </w:tcPr>
          <w:p w14:paraId="132FFD68"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0</w:t>
            </w:r>
          </w:p>
        </w:tc>
        <w:tc>
          <w:tcPr>
            <w:tcW w:w="836" w:type="dxa"/>
            <w:shd w:val="clear" w:color="auto" w:fill="C6EFCE"/>
            <w:noWrap/>
          </w:tcPr>
          <w:p w14:paraId="78F5FD09" w14:textId="7067A379"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500</w:t>
            </w:r>
          </w:p>
        </w:tc>
        <w:tc>
          <w:tcPr>
            <w:tcW w:w="418" w:type="dxa"/>
            <w:shd w:val="clear" w:color="auto" w:fill="C6EFCE"/>
            <w:noWrap/>
          </w:tcPr>
          <w:p w14:paraId="4472FA99"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558" w:type="dxa"/>
            <w:shd w:val="clear" w:color="auto" w:fill="C6EFCE"/>
            <w:noWrap/>
          </w:tcPr>
          <w:p w14:paraId="19A3A52D"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2026</w:t>
            </w:r>
          </w:p>
        </w:tc>
        <w:tc>
          <w:tcPr>
            <w:tcW w:w="6258" w:type="dxa"/>
            <w:shd w:val="clear" w:color="auto" w:fill="C6EFCE"/>
            <w:noWrap/>
          </w:tcPr>
          <w:p w14:paraId="2E73E388" w14:textId="52F74CDF" w:rsidR="00D65CB4" w:rsidRPr="00BC4EE7" w:rsidRDefault="00572307">
            <w:pPr>
              <w:spacing w:after="0" w:line="240" w:lineRule="auto"/>
              <w:rPr>
                <w:rFonts w:ascii="Times New Roman" w:hAnsi="Times New Roman" w:cs="Times New Roman"/>
                <w:noProof/>
                <w:sz w:val="18"/>
              </w:rPr>
            </w:pPr>
            <w:r w:rsidRPr="00BC4EE7">
              <w:rPr>
                <w:rFonts w:ascii="Times New Roman" w:hAnsi="Times New Roman" w:cs="Times New Roman"/>
                <w:noProof/>
                <w:sz w:val="18"/>
              </w:rPr>
              <w:t>Legalább 500 egyedi tisztaenergia-projekt végrehajtása helyi szinten, 5000 főnél kevesebb lakosú településeken. Jellemzők: A projektek, beleértve a versenypályázatok keretében odaítélt projekteket vagy a helyi hatóságok beruházásait, a következők kiválasztásával vagy kombinációjával:</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Megújuló energiaforrásokból előállított villamos energia, fűtés és hűtés telepítése középületek vagy infrastruktúra céljára (beleértve legalább 80%-ban a saját fogyasztást). Tartalmazhat távfűtést/távhűtést is.</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Középületek vagy -infrastruktúra energetikai felújítása (legalább 30%-os primerenergia-megtakarítás elérése)</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Fenntartható mobilitás (modális váltásra vagy elektromos mobilitásra irányuló projektek)</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A fényszennyezés csökkentése a közvilágítás javítása révén</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Helyi energiaközösségi vagy egyéb közösségvezérelt projektek ezekben a településeken.</w:t>
            </w:r>
          </w:p>
        </w:tc>
      </w:tr>
      <w:tr w:rsidR="00D65CB4" w:rsidRPr="00BC4EE7" w14:paraId="3A2C5FAB" w14:textId="77777777" w:rsidTr="00BA5F87">
        <w:trPr>
          <w:trHeight w:val="309"/>
        </w:trPr>
        <w:tc>
          <w:tcPr>
            <w:tcW w:w="698" w:type="dxa"/>
            <w:shd w:val="clear" w:color="auto" w:fill="C6EFCE"/>
            <w:noWrap/>
          </w:tcPr>
          <w:p w14:paraId="5AFB958C"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36</w:t>
            </w:r>
          </w:p>
        </w:tc>
        <w:tc>
          <w:tcPr>
            <w:tcW w:w="890" w:type="dxa"/>
            <w:shd w:val="clear" w:color="auto" w:fill="C6EFCE"/>
            <w:noWrap/>
          </w:tcPr>
          <w:p w14:paraId="1231534C"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C2.I5</w:t>
            </w:r>
          </w:p>
        </w:tc>
        <w:tc>
          <w:tcPr>
            <w:tcW w:w="992" w:type="dxa"/>
            <w:shd w:val="clear" w:color="auto" w:fill="C6EFCE"/>
            <w:noWrap/>
          </w:tcPr>
          <w:p w14:paraId="037FADB2"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1559" w:type="dxa"/>
            <w:shd w:val="clear" w:color="auto" w:fill="C6EFCE"/>
            <w:noWrap/>
          </w:tcPr>
          <w:p w14:paraId="5D69E038" w14:textId="77777777" w:rsidR="00D65CB4" w:rsidRPr="00BC4EE7" w:rsidRDefault="00572307">
            <w:pPr>
              <w:pStyle w:val="P68B1DB1-Normal12"/>
              <w:spacing w:after="0" w:line="240" w:lineRule="auto"/>
              <w:rPr>
                <w:rFonts w:cs="Times New Roman"/>
                <w:noProof/>
              </w:rPr>
            </w:pPr>
            <w:r w:rsidRPr="00BC4EE7">
              <w:rPr>
                <w:rFonts w:cs="Times New Roman"/>
                <w:noProof/>
              </w:rPr>
              <w:t>Középületek felújításának befejezése, átlagosan legalább 30%-os primerenergia-kereslet-csökkentéssel (legalább 290 000 m 2</w:t>
            </w:r>
            <w:r w:rsidRPr="00BC4EE7">
              <w:rPr>
                <w:rFonts w:cs="Times New Roman"/>
                <w:noProof/>
                <w:vertAlign w:val="superscript"/>
              </w:rPr>
              <w:t>)</w:t>
            </w:r>
          </w:p>
        </w:tc>
        <w:tc>
          <w:tcPr>
            <w:tcW w:w="1292" w:type="dxa"/>
            <w:shd w:val="clear" w:color="auto" w:fill="C6EFCE"/>
            <w:noWrap/>
          </w:tcPr>
          <w:p w14:paraId="2C6BD880"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 xml:space="preserve"> </w:t>
            </w:r>
          </w:p>
        </w:tc>
        <w:tc>
          <w:tcPr>
            <w:tcW w:w="835" w:type="dxa"/>
            <w:shd w:val="clear" w:color="auto" w:fill="C6EFCE"/>
            <w:noWrap/>
          </w:tcPr>
          <w:p w14:paraId="75E17FED"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Szám (m</w:t>
            </w:r>
            <w:r w:rsidRPr="00BC4EE7">
              <w:rPr>
                <w:rFonts w:cs="Times New Roman"/>
                <w:noProof/>
                <w:vertAlign w:val="superscript"/>
              </w:rPr>
              <w:t>2</w:t>
            </w:r>
            <w:r w:rsidRPr="00BC4EE7">
              <w:rPr>
                <w:rFonts w:cs="Times New Roman"/>
                <w:noProof/>
              </w:rPr>
              <w:t>)</w:t>
            </w:r>
          </w:p>
        </w:tc>
        <w:tc>
          <w:tcPr>
            <w:tcW w:w="974" w:type="dxa"/>
            <w:shd w:val="clear" w:color="auto" w:fill="C6EFCE"/>
            <w:noWrap/>
          </w:tcPr>
          <w:p w14:paraId="6F6BB521"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0</w:t>
            </w:r>
          </w:p>
        </w:tc>
        <w:tc>
          <w:tcPr>
            <w:tcW w:w="836" w:type="dxa"/>
            <w:shd w:val="clear" w:color="auto" w:fill="C6EFCE"/>
            <w:noWrap/>
          </w:tcPr>
          <w:p w14:paraId="1EEB8F88"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290 000</w:t>
            </w:r>
          </w:p>
        </w:tc>
        <w:tc>
          <w:tcPr>
            <w:tcW w:w="418" w:type="dxa"/>
            <w:shd w:val="clear" w:color="auto" w:fill="C6EFCE"/>
            <w:noWrap/>
          </w:tcPr>
          <w:p w14:paraId="104A8A9A"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558" w:type="dxa"/>
            <w:shd w:val="clear" w:color="auto" w:fill="C6EFCE"/>
            <w:noWrap/>
          </w:tcPr>
          <w:p w14:paraId="7EEB8710"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2024</w:t>
            </w:r>
          </w:p>
        </w:tc>
        <w:tc>
          <w:tcPr>
            <w:tcW w:w="6258" w:type="dxa"/>
            <w:shd w:val="clear" w:color="auto" w:fill="C6EFCE"/>
            <w:noWrap/>
          </w:tcPr>
          <w:p w14:paraId="74BABF0F" w14:textId="77777777" w:rsidR="00D65CB4" w:rsidRPr="00BC4EE7" w:rsidRDefault="00572307">
            <w:pPr>
              <w:pStyle w:val="P68B1DB1-Normal12"/>
              <w:spacing w:after="0" w:line="240" w:lineRule="auto"/>
              <w:rPr>
                <w:rFonts w:cs="Times New Roman"/>
                <w:noProof/>
              </w:rPr>
            </w:pPr>
            <w:r w:rsidRPr="00BC4EE7">
              <w:rPr>
                <w:rFonts w:cs="Times New Roman"/>
                <w:noProof/>
              </w:rPr>
              <w:t>Legalább 290 000 m 2</w:t>
            </w:r>
            <w:r w:rsidRPr="00BC4EE7">
              <w:rPr>
                <w:rFonts w:cs="Times New Roman"/>
                <w:noProof/>
                <w:vertAlign w:val="superscript"/>
              </w:rPr>
              <w:t>(</w:t>
            </w:r>
            <w:r w:rsidRPr="00BC4EE7">
              <w:rPr>
                <w:rFonts w:cs="Times New Roman"/>
                <w:noProof/>
              </w:rPr>
              <w:t xml:space="preserve"> kumulatív) felújított középület, amely átlagosan legalább 30%-kal csökkenti a primerenergia-igényt. A beruházás befejezéséről szóló tanúsítványnak vagy a munkálatok átvételi igazolásának (autonóm közösségek) vagy a támogatásban részesülő települések igazoló dokumentumainak ellenőrzését a támogatásokról szóló törvény (38/2003) 30. cikke szerint a projekt befejezése után (EELL) kell ellenőrizni. Az elért energiamegtakarításnak való megfelelés igazolása érdekében az elért átlagos energiamegtakarítás igazolása érdekében szükség van a befejezett munkálatok energetikai tanúsítására és összesítésére.  </w:t>
            </w:r>
          </w:p>
        </w:tc>
      </w:tr>
      <w:tr w:rsidR="00D65CB4" w:rsidRPr="00BC4EE7" w14:paraId="1E15E109" w14:textId="77777777" w:rsidTr="00BA5F87">
        <w:trPr>
          <w:trHeight w:val="309"/>
        </w:trPr>
        <w:tc>
          <w:tcPr>
            <w:tcW w:w="698" w:type="dxa"/>
            <w:shd w:val="clear" w:color="auto" w:fill="C6EFCE"/>
            <w:noWrap/>
          </w:tcPr>
          <w:p w14:paraId="0903FD93"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37</w:t>
            </w:r>
          </w:p>
        </w:tc>
        <w:tc>
          <w:tcPr>
            <w:tcW w:w="890" w:type="dxa"/>
            <w:shd w:val="clear" w:color="auto" w:fill="C6EFCE"/>
            <w:noWrap/>
          </w:tcPr>
          <w:p w14:paraId="5377F766"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C2.I5</w:t>
            </w:r>
          </w:p>
        </w:tc>
        <w:tc>
          <w:tcPr>
            <w:tcW w:w="992" w:type="dxa"/>
            <w:shd w:val="clear" w:color="auto" w:fill="C6EFCE"/>
            <w:noWrap/>
          </w:tcPr>
          <w:p w14:paraId="36F6B0F4"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1559" w:type="dxa"/>
            <w:shd w:val="clear" w:color="auto" w:fill="C6EFCE"/>
            <w:noWrap/>
          </w:tcPr>
          <w:p w14:paraId="61D8F5E6" w14:textId="77777777" w:rsidR="00D65CB4" w:rsidRPr="00BC4EE7" w:rsidRDefault="00572307">
            <w:pPr>
              <w:pStyle w:val="P68B1DB1-Normal12"/>
              <w:spacing w:after="0" w:line="240" w:lineRule="auto"/>
              <w:rPr>
                <w:rFonts w:cs="Times New Roman"/>
                <w:noProof/>
              </w:rPr>
            </w:pPr>
            <w:r w:rsidRPr="00BC4EE7">
              <w:rPr>
                <w:rFonts w:cs="Times New Roman"/>
                <w:noProof/>
              </w:rPr>
              <w:t xml:space="preserve">Középületek felújításának befejezése, átlagosan legalább 30%-os primerenergia-kereslet-csökkentéssel (legalább 1 230 000 m 2) </w:t>
            </w:r>
          </w:p>
        </w:tc>
        <w:tc>
          <w:tcPr>
            <w:tcW w:w="1292" w:type="dxa"/>
            <w:shd w:val="clear" w:color="auto" w:fill="C6EFCE"/>
            <w:noWrap/>
          </w:tcPr>
          <w:p w14:paraId="5561E1DE"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 xml:space="preserve"> </w:t>
            </w:r>
          </w:p>
        </w:tc>
        <w:tc>
          <w:tcPr>
            <w:tcW w:w="835" w:type="dxa"/>
            <w:shd w:val="clear" w:color="auto" w:fill="C6EFCE"/>
            <w:noWrap/>
          </w:tcPr>
          <w:p w14:paraId="6ECAC681"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Szám (m</w:t>
            </w:r>
            <w:r w:rsidRPr="00BC4EE7">
              <w:rPr>
                <w:rFonts w:cs="Times New Roman"/>
                <w:noProof/>
                <w:vertAlign w:val="superscript"/>
              </w:rPr>
              <w:t>2</w:t>
            </w:r>
            <w:r w:rsidRPr="00BC4EE7">
              <w:rPr>
                <w:rFonts w:cs="Times New Roman"/>
                <w:noProof/>
              </w:rPr>
              <w:t>)</w:t>
            </w:r>
          </w:p>
        </w:tc>
        <w:tc>
          <w:tcPr>
            <w:tcW w:w="974" w:type="dxa"/>
            <w:shd w:val="clear" w:color="auto" w:fill="C6EFCE"/>
            <w:noWrap/>
          </w:tcPr>
          <w:p w14:paraId="4043743D"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290 000</w:t>
            </w:r>
          </w:p>
        </w:tc>
        <w:tc>
          <w:tcPr>
            <w:tcW w:w="836" w:type="dxa"/>
            <w:shd w:val="clear" w:color="auto" w:fill="C6EFCE"/>
            <w:noWrap/>
          </w:tcPr>
          <w:p w14:paraId="7E87C33F"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1 230 000</w:t>
            </w:r>
          </w:p>
        </w:tc>
        <w:tc>
          <w:tcPr>
            <w:tcW w:w="418" w:type="dxa"/>
            <w:shd w:val="clear" w:color="auto" w:fill="C6EFCE"/>
            <w:noWrap/>
          </w:tcPr>
          <w:p w14:paraId="3F4224B7"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558" w:type="dxa"/>
            <w:shd w:val="clear" w:color="auto" w:fill="C6EFCE"/>
            <w:noWrap/>
          </w:tcPr>
          <w:p w14:paraId="38F8FD95"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2026</w:t>
            </w:r>
          </w:p>
        </w:tc>
        <w:tc>
          <w:tcPr>
            <w:tcW w:w="6258" w:type="dxa"/>
            <w:shd w:val="clear" w:color="auto" w:fill="C6EFCE"/>
            <w:noWrap/>
          </w:tcPr>
          <w:p w14:paraId="617E4098" w14:textId="77777777" w:rsidR="00D65CB4" w:rsidRPr="00BC4EE7" w:rsidRDefault="00572307">
            <w:pPr>
              <w:pStyle w:val="P68B1DB1-Normal12"/>
              <w:spacing w:after="0" w:line="240" w:lineRule="auto"/>
              <w:rPr>
                <w:rFonts w:cs="Times New Roman"/>
                <w:noProof/>
              </w:rPr>
            </w:pPr>
            <w:r w:rsidRPr="00BC4EE7">
              <w:rPr>
                <w:rFonts w:cs="Times New Roman"/>
                <w:noProof/>
              </w:rPr>
              <w:t>Legalább 1 230 000 m 2 (</w:t>
            </w:r>
            <w:r w:rsidRPr="00BC4EE7">
              <w:rPr>
                <w:rFonts w:cs="Times New Roman"/>
                <w:noProof/>
                <w:vertAlign w:val="superscript"/>
              </w:rPr>
              <w:t>kumulatív</w:t>
            </w:r>
            <w:r w:rsidRPr="00BC4EE7">
              <w:rPr>
                <w:rFonts w:cs="Times New Roman"/>
                <w:noProof/>
              </w:rPr>
              <w:t xml:space="preserve">) felújított középület, amely átlagosan legalább 30%-kal csökkenti a primerenergia-igényt. A beruházás befejezéséről szóló tanúsítványnak vagy a munkálatok átvételi igazolásának (autonóm közösségek) vagy a támogatásban részesülő települések igazoló dokumentumainak ellenőrzését a támogatásokról szóló törvény (38/2003) 30. cikke szerint a projekt befejezése után (EELL) kell ellenőrizni. Az elért energiamegtakarításnak való megfelelés igazolása érdekében az elért átlagos energiamegtakarítás igazolása érdekében szükség van a befejezett munkálatok energetikai tanúsítására és összesítésére. (Alapforgatókönyv: 2024. december 31.) </w:t>
            </w:r>
          </w:p>
        </w:tc>
      </w:tr>
      <w:tr w:rsidR="00D65CB4" w:rsidRPr="00BC4EE7" w14:paraId="7B61CA55" w14:textId="77777777" w:rsidTr="00BA5F87">
        <w:trPr>
          <w:trHeight w:val="309"/>
        </w:trPr>
        <w:tc>
          <w:tcPr>
            <w:tcW w:w="698" w:type="dxa"/>
            <w:shd w:val="clear" w:color="auto" w:fill="C6EFCE"/>
            <w:noWrap/>
          </w:tcPr>
          <w:p w14:paraId="0CD124DB"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38</w:t>
            </w:r>
          </w:p>
        </w:tc>
        <w:tc>
          <w:tcPr>
            <w:tcW w:w="890" w:type="dxa"/>
            <w:shd w:val="clear" w:color="auto" w:fill="C6EFCE"/>
            <w:noWrap/>
          </w:tcPr>
          <w:p w14:paraId="44F83E1B"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C2.I6</w:t>
            </w:r>
          </w:p>
        </w:tc>
        <w:tc>
          <w:tcPr>
            <w:tcW w:w="992" w:type="dxa"/>
            <w:shd w:val="clear" w:color="auto" w:fill="C6EFCE"/>
            <w:noWrap/>
          </w:tcPr>
          <w:p w14:paraId="2FE7BF0B"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1559" w:type="dxa"/>
            <w:shd w:val="clear" w:color="auto" w:fill="C6EFCE"/>
            <w:noWrap/>
          </w:tcPr>
          <w:p w14:paraId="13CD28E4" w14:textId="77777777" w:rsidR="00D65CB4" w:rsidRPr="00BC4EE7" w:rsidRDefault="00572307">
            <w:pPr>
              <w:pStyle w:val="P68B1DB1-Normal12"/>
              <w:spacing w:after="0" w:line="240" w:lineRule="auto"/>
              <w:rPr>
                <w:rFonts w:cs="Times New Roman"/>
                <w:noProof/>
              </w:rPr>
            </w:pPr>
            <w:r w:rsidRPr="00BC4EE7">
              <w:rPr>
                <w:rFonts w:cs="Times New Roman"/>
                <w:noProof/>
              </w:rPr>
              <w:t xml:space="preserve">Cselekvési tervek a spanyol városfejlesztési menetrend keretében </w:t>
            </w:r>
          </w:p>
        </w:tc>
        <w:tc>
          <w:tcPr>
            <w:tcW w:w="1292" w:type="dxa"/>
            <w:shd w:val="clear" w:color="auto" w:fill="C6EFCE"/>
            <w:noWrap/>
          </w:tcPr>
          <w:p w14:paraId="48D3F40D"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 xml:space="preserve"> </w:t>
            </w:r>
          </w:p>
        </w:tc>
        <w:tc>
          <w:tcPr>
            <w:tcW w:w="835" w:type="dxa"/>
            <w:shd w:val="clear" w:color="auto" w:fill="C6EFCE"/>
            <w:noWrap/>
          </w:tcPr>
          <w:p w14:paraId="42087AF3"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Szám</w:t>
            </w:r>
          </w:p>
        </w:tc>
        <w:tc>
          <w:tcPr>
            <w:tcW w:w="974" w:type="dxa"/>
            <w:shd w:val="clear" w:color="auto" w:fill="C6EFCE"/>
            <w:noWrap/>
          </w:tcPr>
          <w:p w14:paraId="53AF8648"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0</w:t>
            </w:r>
          </w:p>
        </w:tc>
        <w:tc>
          <w:tcPr>
            <w:tcW w:w="836" w:type="dxa"/>
            <w:shd w:val="clear" w:color="auto" w:fill="C6EFCE"/>
            <w:noWrap/>
          </w:tcPr>
          <w:p w14:paraId="0CCF700D"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100</w:t>
            </w:r>
          </w:p>
        </w:tc>
        <w:tc>
          <w:tcPr>
            <w:tcW w:w="418" w:type="dxa"/>
            <w:shd w:val="clear" w:color="auto" w:fill="C6EFCE"/>
            <w:noWrap/>
          </w:tcPr>
          <w:p w14:paraId="68967742"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558" w:type="dxa"/>
            <w:shd w:val="clear" w:color="auto" w:fill="C6EFCE"/>
            <w:noWrap/>
          </w:tcPr>
          <w:p w14:paraId="76F3685A"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2022</w:t>
            </w:r>
          </w:p>
        </w:tc>
        <w:tc>
          <w:tcPr>
            <w:tcW w:w="6258" w:type="dxa"/>
            <w:shd w:val="clear" w:color="auto" w:fill="C6EFCE"/>
            <w:noWrap/>
          </w:tcPr>
          <w:p w14:paraId="4B38E9F2" w14:textId="77777777" w:rsidR="00D65CB4" w:rsidRPr="00BC4EE7" w:rsidRDefault="00572307">
            <w:pPr>
              <w:pStyle w:val="P68B1DB1-Normal12"/>
              <w:spacing w:after="0" w:line="240" w:lineRule="auto"/>
              <w:rPr>
                <w:rFonts w:cs="Times New Roman"/>
                <w:noProof/>
              </w:rPr>
            </w:pPr>
            <w:r w:rsidRPr="00BC4EE7">
              <w:rPr>
                <w:rFonts w:cs="Times New Roman"/>
                <w:noProof/>
              </w:rPr>
              <w:t xml:space="preserve">Legalább 100 településnek jóvá kell hagynia helyi cselekvési tervét (városi stratégia), és rendelkeznie kell a spanyol városfejlesztési menetrendben meghatározott kritériumokkal, amely tartalmazza a tíz stratégiai célkitűzésnek megfelelő értékelést és cselekvési irányvonalakat. </w:t>
            </w:r>
          </w:p>
        </w:tc>
      </w:tr>
    </w:tbl>
    <w:p w14:paraId="1E57B6E2" w14:textId="77777777" w:rsidR="00D65CB4" w:rsidRPr="00BC4EE7" w:rsidRDefault="00D65CB4">
      <w:pPr>
        <w:rPr>
          <w:rFonts w:ascii="Times New Roman" w:hAnsi="Times New Roman" w:cs="Times New Roman"/>
          <w:noProof/>
        </w:rPr>
        <w:sectPr w:rsidR="00D65CB4" w:rsidRPr="00BC4EE7" w:rsidSect="00B511EF">
          <w:headerReference w:type="even" r:id="rId51"/>
          <w:headerReference w:type="default" r:id="rId52"/>
          <w:footerReference w:type="even" r:id="rId53"/>
          <w:footerReference w:type="default" r:id="rId54"/>
          <w:headerReference w:type="first" r:id="rId55"/>
          <w:footerReference w:type="first" r:id="rId56"/>
          <w:pgSz w:w="16839" w:h="11907" w:orient="landscape"/>
          <w:pgMar w:top="1134" w:right="1134" w:bottom="1134" w:left="1134" w:header="567" w:footer="567" w:gutter="0"/>
          <w:cols w:space="720"/>
          <w:docGrid w:linePitch="360"/>
        </w:sectPr>
      </w:pPr>
    </w:p>
    <w:p w14:paraId="650C567F" w14:textId="229E388D" w:rsidR="00D65CB4" w:rsidRPr="00BC4EE7" w:rsidRDefault="00572307">
      <w:pPr>
        <w:pStyle w:val="P68B1DB1-Normal15"/>
        <w:spacing w:before="120" w:after="120" w:line="240" w:lineRule="auto"/>
        <w:ind w:left="709"/>
        <w:jc w:val="both"/>
        <w:rPr>
          <w:rFonts w:cs="Times New Roman"/>
          <w:noProof/>
        </w:rPr>
      </w:pPr>
      <w:r w:rsidRPr="00BC4EE7">
        <w:rPr>
          <w:rFonts w:cs="Times New Roman"/>
          <w:noProof/>
        </w:rPr>
        <w:t>B.3. A hitelhez kapcsolódó reformok és beruházások ismertetése</w:t>
      </w:r>
    </w:p>
    <w:p w14:paraId="0F6EF98C" w14:textId="44365BC5" w:rsidR="00D65CB4" w:rsidRPr="00BC4EE7" w:rsidRDefault="00572307">
      <w:pPr>
        <w:pStyle w:val="P68B1DB1-Normal5"/>
        <w:spacing w:before="120" w:after="120" w:line="240" w:lineRule="auto"/>
        <w:rPr>
          <w:rFonts w:cs="Times New Roman"/>
          <w:noProof/>
        </w:rPr>
      </w:pPr>
      <w:r w:rsidRPr="00BC4EE7">
        <w:rPr>
          <w:rFonts w:cs="Times New Roman"/>
          <w:noProof/>
        </w:rPr>
        <w:t xml:space="preserve">Reform (C2.R7) – Intézkedési </w:t>
      </w:r>
      <w:bookmarkStart w:id="6" w:name="_Hlk140249148"/>
      <w:r w:rsidRPr="00BC4EE7">
        <w:rPr>
          <w:rFonts w:cs="Times New Roman"/>
          <w:noProof/>
        </w:rPr>
        <w:t>program a bérlakások kínálatának előmozdítására</w:t>
      </w:r>
      <w:bookmarkEnd w:id="6"/>
    </w:p>
    <w:p w14:paraId="2F6825A9" w14:textId="302B8460"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Ezen intézkedés célja a bérlakások kínálatának növelése, különösen a szociális lakásállományban és azokban a városokban, ahol az árak nagyobb mértékben emelkedtek. </w:t>
      </w:r>
    </w:p>
    <w:p w14:paraId="4E68BFB1" w14:textId="7EEAFAEE" w:rsidR="00D65CB4" w:rsidRPr="00BC4EE7" w:rsidRDefault="00572307">
      <w:pPr>
        <w:pStyle w:val="P68B1DB1-Normal4"/>
        <w:spacing w:before="120" w:after="120" w:line="240" w:lineRule="auto"/>
        <w:rPr>
          <w:rFonts w:cs="Times New Roman"/>
          <w:noProof/>
        </w:rPr>
      </w:pPr>
      <w:r w:rsidRPr="00BC4EE7">
        <w:rPr>
          <w:rFonts w:cs="Times New Roman"/>
          <w:noProof/>
        </w:rPr>
        <w:t xml:space="preserve">E probléma kezelése érdekében az intézkedés a következőket foglalja magában: </w:t>
      </w:r>
    </w:p>
    <w:p w14:paraId="4AED4110" w14:textId="13857EDE" w:rsidR="00D65CB4" w:rsidRPr="00BC4EE7" w:rsidRDefault="00572307">
      <w:pPr>
        <w:pStyle w:val="P68B1DB1-ListParagraph6"/>
        <w:numPr>
          <w:ilvl w:val="0"/>
          <w:numId w:val="298"/>
        </w:numPr>
        <w:spacing w:line="240" w:lineRule="auto"/>
        <w:jc w:val="both"/>
        <w:rPr>
          <w:rFonts w:cs="Times New Roman"/>
          <w:noProof/>
        </w:rPr>
      </w:pPr>
      <w:r w:rsidRPr="00BC4EE7">
        <w:rPr>
          <w:rFonts w:cs="Times New Roman"/>
          <w:noProof/>
        </w:rPr>
        <w:t>az október 30-i 7/2015. sz. királyi törvényerejű rendelettel jóváhagyott, a föld- és városi rehabilitációról szóló törvény egységes szerkezetbe foglalt szövegének módosítása, amely az épületek rehabilitációjával és a szociális lakások építésével kapcsolatos várostervezési eljárások felgyorsítását célzó intézkedéseket vezet be;</w:t>
      </w:r>
    </w:p>
    <w:p w14:paraId="5FA31788" w14:textId="302B91A7" w:rsidR="00D65CB4" w:rsidRPr="00BC4EE7" w:rsidRDefault="00572307">
      <w:pPr>
        <w:pStyle w:val="P68B1DB1-ListParagraph6"/>
        <w:numPr>
          <w:ilvl w:val="0"/>
          <w:numId w:val="298"/>
        </w:numPr>
        <w:spacing w:line="240" w:lineRule="auto"/>
        <w:jc w:val="both"/>
        <w:rPr>
          <w:rFonts w:cs="Times New Roman"/>
          <w:noProof/>
        </w:rPr>
      </w:pPr>
      <w:r w:rsidRPr="00BC4EE7">
        <w:rPr>
          <w:rFonts w:cs="Times New Roman"/>
          <w:noProof/>
        </w:rPr>
        <w:t>ajánlásokat és bevált gyakorlatokat tartalmazó útmutató közzététele, amely referenciaként szolgál a várostervezési engedélyezési eljárások egyszerűsítésére és felgyorsítására, ösztönözve i. a helyi, regionális és központi szintű közigazgatási szervek közötti tudás- és tapasztalatcserét, ii. a folyamatok rendszerezését és optimalizálását célzó intézkedéseket, valamint iii. a kísérleti projektek jövőbeli fejlesztését különböző területi összefüggésekben.</w:t>
      </w:r>
    </w:p>
    <w:p w14:paraId="565F9C02" w14:textId="431104DD" w:rsidR="00D65CB4" w:rsidRPr="00BC4EE7" w:rsidRDefault="00572307">
      <w:pPr>
        <w:pStyle w:val="P68B1DB1-Normal4"/>
        <w:spacing w:before="120" w:after="120" w:line="240" w:lineRule="auto"/>
        <w:rPr>
          <w:rFonts w:cs="Times New Roman"/>
          <w:noProof/>
        </w:rPr>
      </w:pPr>
      <w:r w:rsidRPr="00BC4EE7">
        <w:rPr>
          <w:rFonts w:cs="Times New Roman"/>
          <w:noProof/>
        </w:rPr>
        <w:t>A reform végrehajtását 2025. június 30-ig be kell fejezni.</w:t>
      </w:r>
    </w:p>
    <w:p w14:paraId="2BC9A8ED" w14:textId="7EF47603"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(C2.I7.) – ICO-hiteleszköz a szociális lakhatás előmozdítására</w:t>
      </w:r>
    </w:p>
    <w:p w14:paraId="562AF89C" w14:textId="7C8F63D7" w:rsidR="00D65CB4" w:rsidRPr="00BC4EE7" w:rsidRDefault="00572307">
      <w:pPr>
        <w:pStyle w:val="P68B1DB1-Normal4"/>
        <w:spacing w:before="120" w:after="120" w:line="240" w:lineRule="auto"/>
        <w:jc w:val="both"/>
        <w:rPr>
          <w:rFonts w:eastAsia="@MS Mincho" w:cs="Times New Roman"/>
          <w:noProof/>
        </w:rPr>
      </w:pPr>
      <w:r w:rsidRPr="00BC4EE7">
        <w:rPr>
          <w:rFonts w:cs="Times New Roman"/>
          <w:noProof/>
        </w:rPr>
        <w:t xml:space="preserve">Ez az intézkedés egy eszközbe, az ICO-hiteleszközbe a szociális lakhatás előmozdítását célzó közberuházásból áll, amelynek célja a magánberuházások ösztönzése és az energiahatékony szociális és megfizethető lakhatás építéséhez és felújításához szükséges finanszírozáshoz való hozzáférés javítása, valamint a tőkepiacok fejlesztése ezeken a területeken. Az eszköz úgy működik, hogy közvetlenül vagy közvetítőkön keresztül hiteleket nyújt a magánszektornak, valamint a hasonló tevékenységeket folytató közszektorbeli szervezeteknek. A Helyreállítási és Rezilienciaépítési Eszköz beruházásai alapján az eszköz célja kezdetben legalább 4 000 000 000 EUR összegű finanszírozás biztosítása. </w:t>
      </w:r>
    </w:p>
    <w:p w14:paraId="229B51D7" w14:textId="456DDDED" w:rsidR="00D65CB4" w:rsidRPr="00BC4EE7" w:rsidRDefault="00572307">
      <w:pPr>
        <w:pStyle w:val="P68B1DB1-Normal4"/>
        <w:spacing w:before="120" w:after="120" w:line="240" w:lineRule="auto"/>
        <w:jc w:val="both"/>
        <w:rPr>
          <w:rFonts w:eastAsia="@MS Mincho" w:cs="Times New Roman"/>
          <w:noProof/>
        </w:rPr>
      </w:pPr>
      <w:r w:rsidRPr="00BC4EE7">
        <w:rPr>
          <w:rFonts w:cs="Times New Roman"/>
          <w:noProof/>
        </w:rPr>
        <w:t>A Keretet végrehajtó partnerként az Instituto de Crédito Official (ICO) kezeli. A beruházási keret a következő terméksorokat foglalja magában:</w:t>
      </w:r>
    </w:p>
    <w:p w14:paraId="0DF0145A" w14:textId="128F9AE1" w:rsidR="00D65CB4" w:rsidRPr="00BC4EE7" w:rsidRDefault="00572307">
      <w:pPr>
        <w:pStyle w:val="P68B1DB1-ListParagraph6"/>
        <w:numPr>
          <w:ilvl w:val="0"/>
          <w:numId w:val="298"/>
        </w:numPr>
        <w:spacing w:line="240" w:lineRule="auto"/>
        <w:jc w:val="both"/>
        <w:rPr>
          <w:rFonts w:eastAsia="@MS Mincho" w:cs="Times New Roman"/>
          <w:noProof/>
        </w:rPr>
      </w:pPr>
      <w:r w:rsidRPr="00BC4EE7">
        <w:rPr>
          <w:rFonts w:cs="Times New Roman"/>
          <w:noProof/>
        </w:rPr>
        <w:t>Energiahatékony épületek építéséhez nyújtott közvetlen hitelek. Az épületeknek legalább 20%-kal alacsonyabb primerenergia-fogyasztást kell elérniük, mint a nemzeti iránymutatásokban meghatározott, közel nulla energiaigényű épületekre vonatkozó energiakövetelmények.</w:t>
      </w:r>
    </w:p>
    <w:p w14:paraId="7C583A3D" w14:textId="584648C4" w:rsidR="00D65CB4" w:rsidRPr="00BC4EE7" w:rsidRDefault="00572307">
      <w:pPr>
        <w:pStyle w:val="P68B1DB1-ListParagraph6"/>
        <w:numPr>
          <w:ilvl w:val="0"/>
          <w:numId w:val="298"/>
        </w:numPr>
        <w:spacing w:line="240" w:lineRule="auto"/>
        <w:jc w:val="both"/>
        <w:rPr>
          <w:rFonts w:eastAsia="@MS Mincho" w:cs="Times New Roman"/>
          <w:noProof/>
        </w:rPr>
      </w:pPr>
      <w:r w:rsidRPr="00BC4EE7">
        <w:rPr>
          <w:rFonts w:cs="Times New Roman"/>
          <w:noProof/>
        </w:rPr>
        <w:t xml:space="preserve">Meglévő épületek felújítására nyújtott közvetlen hitelek. A felújításnak a nem megújuló primerenergia-fogyasztás legalább 30%-os csökkenését kell eredményeznie. </w:t>
      </w:r>
    </w:p>
    <w:p w14:paraId="023FCA6B" w14:textId="64269845" w:rsidR="00D65CB4" w:rsidRPr="00BC4EE7" w:rsidRDefault="00572307">
      <w:pPr>
        <w:pStyle w:val="P68B1DB1-ListParagraph6"/>
        <w:numPr>
          <w:ilvl w:val="0"/>
          <w:numId w:val="298"/>
        </w:numPr>
        <w:spacing w:line="240" w:lineRule="auto"/>
        <w:jc w:val="both"/>
        <w:rPr>
          <w:rFonts w:eastAsia="@MS Mincho" w:cs="Times New Roman"/>
          <w:noProof/>
        </w:rPr>
      </w:pPr>
      <w:r w:rsidRPr="00BC4EE7">
        <w:rPr>
          <w:rFonts w:cs="Times New Roman"/>
          <w:noProof/>
        </w:rPr>
        <w:t>Közvetítői vonal: a közvetítői vonal az ICO által kereskedelmi bankoknak nyújtott hitelekből áll, amelyek a végső kedvezményezetteknek nyújtanak hitelt energiahatékony épületek építéséhez vagy meglévő épületek felújításához.</w:t>
      </w:r>
    </w:p>
    <w:p w14:paraId="4B97937C" w14:textId="154B5C97" w:rsidR="00D65CB4" w:rsidRPr="00BC4EE7" w:rsidRDefault="00572307">
      <w:pPr>
        <w:pStyle w:val="P68B1DB1-Normal4"/>
        <w:spacing w:after="160" w:line="240" w:lineRule="auto"/>
        <w:jc w:val="both"/>
        <w:rPr>
          <w:rFonts w:cs="Times New Roman"/>
          <w:noProof/>
        </w:rPr>
      </w:pPr>
      <w:r w:rsidRPr="00BC4EE7">
        <w:rPr>
          <w:rFonts w:cs="Times New Roman"/>
          <w:noProof/>
        </w:rPr>
        <w:t>A megépített és/vagy felújított épületeket szociális vagy megfizethető bérleti díj ellenében kell használni, vagy legalább 50 éves időtartamra szociális és megfizethető bérleti díjra kell átruházni. A szociális és megfizethető bérleti díj meghatározásához a 853/2021. sz. királyi rendelet 6. programjában meghatározott kritériumokat kell alkalmazni.</w:t>
      </w:r>
    </w:p>
    <w:p w14:paraId="3A501942" w14:textId="1C5CCB36" w:rsidR="00D65CB4" w:rsidRPr="00BC4EE7" w:rsidRDefault="00572307">
      <w:pPr>
        <w:pStyle w:val="P68B1DB1-Normal4"/>
        <w:spacing w:after="160" w:line="240" w:lineRule="auto"/>
        <w:jc w:val="both"/>
        <w:rPr>
          <w:rFonts w:cs="Times New Roman"/>
          <w:noProof/>
        </w:rPr>
      </w:pPr>
      <w:r w:rsidRPr="00BC4EE7">
        <w:rPr>
          <w:rFonts w:cs="Times New Roman"/>
          <w:noProof/>
        </w:rPr>
        <w:t>Az eszközbe történő beruházás végrehajtása érdekében Spanyolország és az ICO végrehajtási megállapodást ír alá, amely a következő tartalmat tartalmazza:</w:t>
      </w:r>
    </w:p>
    <w:p w14:paraId="7F40B6D1" w14:textId="65296399" w:rsidR="00D65CB4" w:rsidRPr="00BC4EE7" w:rsidRDefault="00572307">
      <w:pPr>
        <w:pStyle w:val="P68B1DB1-ListParagraph6"/>
        <w:numPr>
          <w:ilvl w:val="0"/>
          <w:numId w:val="747"/>
        </w:numPr>
        <w:rPr>
          <w:rFonts w:eastAsia="Times New Roman" w:cs="Times New Roman"/>
          <w:noProof/>
        </w:rPr>
      </w:pPr>
      <w:r w:rsidRPr="00BC4EE7">
        <w:rPr>
          <w:rFonts w:cs="Times New Roman"/>
          <w:noProof/>
        </w:rPr>
        <w:t>Az eszköz döntéshozatali folyamatának leírása:  Az eszköz végleges beruházási döntését beruházási bizottság vagy más, azzal egyenértékű irányító testület hozza meg, és a spanyol kormánytól független tagok szavazatainak többségével hagyja jóvá. A közvetített beruházások esetében a végső beruházási döntést a közvetítők hozzák meg.</w:t>
      </w:r>
    </w:p>
    <w:p w14:paraId="79E54BA4" w14:textId="77777777" w:rsidR="00D65CB4" w:rsidRPr="00BC4EE7" w:rsidRDefault="00D65CB4">
      <w:pPr>
        <w:pStyle w:val="ListParagraph"/>
        <w:rPr>
          <w:rFonts w:ascii="Times New Roman" w:hAnsi="Times New Roman" w:cs="Times New Roman"/>
          <w:noProof/>
        </w:rPr>
      </w:pPr>
    </w:p>
    <w:p w14:paraId="2FD39D5B" w14:textId="7FDECDB4" w:rsidR="00D65CB4" w:rsidRPr="00BC4EE7" w:rsidRDefault="00572307">
      <w:pPr>
        <w:pStyle w:val="P68B1DB1-ListParagraph6"/>
        <w:spacing w:after="0"/>
        <w:jc w:val="both"/>
        <w:rPr>
          <w:rFonts w:eastAsia="Times New Roman" w:cs="Times New Roman"/>
          <w:noProof/>
        </w:rPr>
      </w:pPr>
      <w:r w:rsidRPr="00BC4EE7">
        <w:rPr>
          <w:rFonts w:cs="Times New Roman"/>
          <w:noProof/>
        </w:rPr>
        <w:t xml:space="preserve">2. A kapcsolódó beruházási politika fő követelményei, amelyek a következőket foglalják magukban: </w:t>
      </w:r>
    </w:p>
    <w:p w14:paraId="1C4DA3C2" w14:textId="7080EDBE" w:rsidR="00D65CB4" w:rsidRPr="00BC4EE7" w:rsidRDefault="00572307">
      <w:pPr>
        <w:pStyle w:val="P68B1DB1-LegalNumPar316"/>
        <w:numPr>
          <w:ilvl w:val="2"/>
          <w:numId w:val="0"/>
        </w:numPr>
        <w:spacing w:after="0"/>
        <w:ind w:left="720"/>
        <w:rPr>
          <w:rFonts w:eastAsia="Times New Roman" w:cs="Times New Roman"/>
          <w:noProof/>
        </w:rPr>
      </w:pPr>
      <w:r w:rsidRPr="00BC4EE7">
        <w:rPr>
          <w:rFonts w:cs="Times New Roman"/>
          <w:noProof/>
        </w:rPr>
        <w:t>a. A pénzügyi termékek és a támogatható végső kedvezményezettek leírása az intézkedés leírásával összhangban.</w:t>
      </w:r>
    </w:p>
    <w:p w14:paraId="2D0BC6C2" w14:textId="21866C87" w:rsidR="00D65CB4" w:rsidRPr="00BC4EE7" w:rsidRDefault="00572307">
      <w:pPr>
        <w:pStyle w:val="P68B1DB1-ListParagraph6"/>
        <w:spacing w:after="0"/>
        <w:jc w:val="both"/>
        <w:rPr>
          <w:rFonts w:eastAsia="Times New Roman" w:cs="Times New Roman"/>
          <w:noProof/>
        </w:rPr>
      </w:pPr>
      <w:r w:rsidRPr="00BC4EE7">
        <w:rPr>
          <w:rFonts w:cs="Times New Roman"/>
          <w:noProof/>
        </w:rPr>
        <w:t xml:space="preserve">b. Az a követelmény, hogy minden támogatott beruházás gazdaságilag életképes legyen. </w:t>
      </w:r>
    </w:p>
    <w:p w14:paraId="156B3B26" w14:textId="3CFE2D84" w:rsidR="00D65CB4" w:rsidRPr="00BC4EE7" w:rsidRDefault="00572307">
      <w:pPr>
        <w:pStyle w:val="P68B1DB1-ListParagraph6"/>
        <w:spacing w:after="0"/>
        <w:jc w:val="both"/>
        <w:rPr>
          <w:rFonts w:eastAsia="Times New Roman" w:cs="Times New Roman"/>
          <w:noProof/>
        </w:rPr>
      </w:pPr>
      <w:r w:rsidRPr="00BC4EE7">
        <w:rPr>
          <w:rFonts w:cs="Times New Roman"/>
          <w:noProof/>
        </w:rPr>
        <w:t>c. A kinnlevő hitelek refinanszírozásának tilalma.</w:t>
      </w:r>
    </w:p>
    <w:p w14:paraId="57AA2BC1" w14:textId="7E24FCD0" w:rsidR="00D65CB4" w:rsidRPr="00BC4EE7" w:rsidRDefault="00572307">
      <w:pPr>
        <w:pStyle w:val="P68B1DB1-ListParagraph6"/>
        <w:spacing w:after="0"/>
        <w:jc w:val="both"/>
        <w:rPr>
          <w:rFonts w:eastAsia="Times New Roman" w:cs="Times New Roman"/>
          <w:noProof/>
        </w:rPr>
      </w:pPr>
      <w:r w:rsidRPr="00BC4EE7">
        <w:rPr>
          <w:rFonts w:cs="Times New Roman"/>
          <w:noProof/>
        </w:rPr>
        <w:t>D. A jelentős károkozás elkerülését célzó elvnek való megfelelés követelménye a DNSH technikai iránymutatásban (2021/C58/01), különösen:</w:t>
      </w:r>
    </w:p>
    <w:p w14:paraId="31ADAA96" w14:textId="7FC32407" w:rsidR="00D65CB4" w:rsidRPr="00BC4EE7" w:rsidRDefault="00572307">
      <w:pPr>
        <w:pStyle w:val="ListParagraph"/>
        <w:numPr>
          <w:ilvl w:val="0"/>
          <w:numId w:val="748"/>
        </w:numPr>
        <w:spacing w:after="0"/>
        <w:jc w:val="both"/>
        <w:rPr>
          <w:rFonts w:ascii="Times New Roman" w:hAnsi="Times New Roman" w:cs="Times New Roman"/>
          <w:noProof/>
          <w:u w:val="single"/>
        </w:rPr>
      </w:pPr>
      <w:r w:rsidRPr="00BC4EE7">
        <w:rPr>
          <w:rFonts w:ascii="Times New Roman" w:hAnsi="Times New Roman" w:cs="Times New Roman"/>
          <w:noProof/>
          <w:sz w:val="24"/>
        </w:rPr>
        <w:t>Kölcsönök esetében: a befektetési politika kizárja a támogathatóság köréből a következő tevékenységek és eszközök listáját: i. a fosszilis tüzelőanyagokhoz kapcsolódó tevékenységek és eszközök, beleértve a downstream felhasználást is, ii. az uniós kibocsátáskereskedelmi rendszer</w:t>
      </w:r>
      <w:r w:rsidRPr="00BC4EE7">
        <w:rPr>
          <w:rStyle w:val="FootnoteReference"/>
          <w:rFonts w:ascii="Times New Roman" w:eastAsia="Times New Roman" w:hAnsi="Times New Roman" w:cs="Times New Roman"/>
          <w:noProof/>
          <w:sz w:val="24"/>
        </w:rPr>
        <w:footnoteReference w:id="6"/>
      </w:r>
      <w:r w:rsidRPr="00BC4EE7">
        <w:rPr>
          <w:rFonts w:ascii="Times New Roman" w:hAnsi="Times New Roman" w:cs="Times New Roman"/>
          <w:noProof/>
          <w:sz w:val="24"/>
        </w:rPr>
        <w:t>(ETS) keretébe tartozó tevékenységek és eszközök, amelyek elérik a vonatkozó referenciaértékeket meg nem haladó, előre jelzett üvegházhatásúgáz-kibocsátást, iii. a hulladéklerakókhoz, égetőművekhez és mechanikai-biológiai hulladékkezelő létesítményekhez kapcsolódó</w:t>
      </w:r>
      <w:r w:rsidRPr="00BC4EE7">
        <w:rPr>
          <w:rStyle w:val="FootnoteReference"/>
          <w:rFonts w:ascii="Times New Roman" w:eastAsia="Times New Roman" w:hAnsi="Times New Roman" w:cs="Times New Roman"/>
          <w:noProof/>
          <w:sz w:val="24"/>
        </w:rPr>
        <w:footnoteReference w:id="7"/>
      </w:r>
      <w:r w:rsidRPr="00BC4EE7">
        <w:rPr>
          <w:rFonts w:ascii="Times New Roman" w:hAnsi="Times New Roman" w:cs="Times New Roman"/>
          <w:noProof/>
          <w:sz w:val="24"/>
        </w:rPr>
        <w:t>tevékenységek</w:t>
      </w:r>
      <w:r w:rsidRPr="00BC4EE7">
        <w:rPr>
          <w:rStyle w:val="FootnoteReference"/>
          <w:rFonts w:ascii="Times New Roman" w:eastAsia="Times New Roman" w:hAnsi="Times New Roman" w:cs="Times New Roman"/>
          <w:noProof/>
          <w:sz w:val="24"/>
        </w:rPr>
        <w:footnoteReference w:id="8"/>
      </w:r>
      <w:r w:rsidRPr="00BC4EE7">
        <w:rPr>
          <w:rFonts w:ascii="Times New Roman" w:hAnsi="Times New Roman" w:cs="Times New Roman"/>
          <w:noProof/>
          <w:sz w:val="24"/>
        </w:rPr>
        <w:t xml:space="preserve"> és eszközök</w:t>
      </w:r>
      <w:r w:rsidRPr="00BC4EE7">
        <w:rPr>
          <w:rStyle w:val="FootnoteReference"/>
          <w:rFonts w:ascii="Times New Roman" w:eastAsia="Times New Roman" w:hAnsi="Times New Roman" w:cs="Times New Roman"/>
          <w:noProof/>
          <w:sz w:val="24"/>
        </w:rPr>
        <w:footnoteReference w:id="9"/>
      </w:r>
      <w:r w:rsidRPr="00BC4EE7">
        <w:rPr>
          <w:rFonts w:ascii="Times New Roman" w:hAnsi="Times New Roman" w:cs="Times New Roman"/>
          <w:noProof/>
          <w:sz w:val="24"/>
        </w:rPr>
        <w:t xml:space="preserve">.  </w:t>
      </w:r>
    </w:p>
    <w:p w14:paraId="54346E24" w14:textId="2D8D7C89" w:rsidR="00D65CB4" w:rsidRPr="00BC4EE7" w:rsidRDefault="00572307">
      <w:pPr>
        <w:pStyle w:val="P68B1DB1-ListParagraph6"/>
        <w:numPr>
          <w:ilvl w:val="0"/>
          <w:numId w:val="748"/>
        </w:numPr>
        <w:spacing w:after="0"/>
        <w:jc w:val="both"/>
        <w:rPr>
          <w:rFonts w:eastAsia="Times New Roman" w:cs="Times New Roman"/>
          <w:noProof/>
          <w:u w:val="single"/>
        </w:rPr>
      </w:pPr>
      <w:r w:rsidRPr="00BC4EE7">
        <w:rPr>
          <w:rFonts w:cs="Times New Roman"/>
          <w:noProof/>
        </w:rPr>
        <w:t>A beruházási politika megköveteli, hogy az eszköz végső kedvezményezettjei megfeleljenek a vonatkozó uniós és nemzeti környezetvédelmi jogszabályoknak.</w:t>
      </w:r>
    </w:p>
    <w:p w14:paraId="20CEDAAC" w14:textId="30B4C3EE" w:rsidR="00D65CB4" w:rsidRPr="00BC4EE7" w:rsidRDefault="00572307">
      <w:pPr>
        <w:pStyle w:val="P68B1DB1-Normal4"/>
        <w:spacing w:after="0"/>
        <w:ind w:left="720"/>
        <w:jc w:val="both"/>
        <w:rPr>
          <w:rFonts w:eastAsia="Times New Roman" w:cs="Times New Roman"/>
          <w:noProof/>
        </w:rPr>
      </w:pPr>
      <w:r w:rsidRPr="00BC4EE7">
        <w:rPr>
          <w:rFonts w:cs="Times New Roman"/>
          <w:noProof/>
        </w:rPr>
        <w:t xml:space="preserve">e. Az a követelmény, hogy az eszköz végső kedvezményezettjei nem részesülhetnek támogatásban más uniós eszközökből ugyanazon költségek fedezésére. </w:t>
      </w:r>
    </w:p>
    <w:p w14:paraId="579A0112" w14:textId="30B4C3EE" w:rsidR="00D65CB4" w:rsidRPr="00BC4EE7" w:rsidRDefault="00D65CB4">
      <w:pPr>
        <w:spacing w:after="0"/>
        <w:jc w:val="both"/>
        <w:rPr>
          <w:rFonts w:ascii="Times New Roman" w:eastAsia="Times New Roman" w:hAnsi="Times New Roman" w:cs="Times New Roman"/>
          <w:noProof/>
          <w:sz w:val="24"/>
        </w:rPr>
      </w:pPr>
    </w:p>
    <w:p w14:paraId="06A75224" w14:textId="26559678" w:rsidR="00D65CB4" w:rsidRPr="00BC4EE7" w:rsidRDefault="00572307">
      <w:pPr>
        <w:pStyle w:val="P68B1DB1-Normal4"/>
        <w:spacing w:after="0"/>
        <w:jc w:val="both"/>
        <w:rPr>
          <w:rFonts w:eastAsia="Times New Roman" w:cs="Times New Roman"/>
          <w:noProof/>
        </w:rPr>
      </w:pPr>
      <w:r w:rsidRPr="00BC4EE7">
        <w:rPr>
          <w:rFonts w:cs="Times New Roman"/>
          <w:noProof/>
        </w:rPr>
        <w:t>3. A végrehajtási megállapodás hatálya alá tartozó összeg, a végrehajtó partner szabad struktúrája, valamint az eszköz beruházási politikájának megfelelően a visszafolyó bevételek újbóli befektetésére vonatkozó követelmény, kivéve, ha azokat a Helyreállítási és Rezilienciaépítési Eszköz hiteltörlesztéseinek fedezésére használják fel.</w:t>
      </w:r>
    </w:p>
    <w:p w14:paraId="76EA64F4" w14:textId="77777777" w:rsidR="00D65CB4" w:rsidRPr="00BC4EE7" w:rsidRDefault="00D65CB4">
      <w:pPr>
        <w:spacing w:after="0"/>
        <w:jc w:val="both"/>
        <w:rPr>
          <w:rFonts w:ascii="Times New Roman" w:eastAsia="Times New Roman" w:hAnsi="Times New Roman" w:cs="Times New Roman"/>
          <w:noProof/>
          <w:sz w:val="24"/>
        </w:rPr>
      </w:pPr>
    </w:p>
    <w:p w14:paraId="7D35602F" w14:textId="3C7A35C3" w:rsidR="00D65CB4" w:rsidRPr="00BC4EE7" w:rsidRDefault="00572307">
      <w:pPr>
        <w:pStyle w:val="P68B1DB1-Normal4"/>
        <w:spacing w:after="0"/>
        <w:jc w:val="both"/>
        <w:rPr>
          <w:rFonts w:eastAsia="Times New Roman" w:cs="Times New Roman"/>
          <w:noProof/>
        </w:rPr>
      </w:pPr>
      <w:r w:rsidRPr="00BC4EE7">
        <w:rPr>
          <w:rFonts w:cs="Times New Roman"/>
          <w:noProof/>
        </w:rPr>
        <w:t xml:space="preserve">4. Nyomonkövetési, ellenőrzési és ellenőrzési követelmények, beleértve a következőket:  </w:t>
      </w:r>
    </w:p>
    <w:p w14:paraId="48BEE247" w14:textId="728E63C1" w:rsidR="00D65CB4" w:rsidRPr="00BC4EE7" w:rsidRDefault="00572307">
      <w:pPr>
        <w:pStyle w:val="P68B1DB1-ListParagraph6"/>
        <w:numPr>
          <w:ilvl w:val="0"/>
          <w:numId w:val="274"/>
        </w:numPr>
        <w:rPr>
          <w:rFonts w:eastAsia="Times New Roman" w:cs="Times New Roman"/>
          <w:noProof/>
        </w:rPr>
      </w:pPr>
      <w:r w:rsidRPr="00BC4EE7">
        <w:rPr>
          <w:rFonts w:cs="Times New Roman"/>
          <w:noProof/>
        </w:rPr>
        <w:t>A végrehajtó partner által a mozgósított beruházásról való jelentéstételhez használt monitoringrendszer leírása.</w:t>
      </w:r>
    </w:p>
    <w:p w14:paraId="76AE288A" w14:textId="775E3552" w:rsidR="00D65CB4" w:rsidRPr="00BC4EE7" w:rsidRDefault="00572307">
      <w:pPr>
        <w:pStyle w:val="P68B1DB1-ListParagraph6"/>
        <w:numPr>
          <w:ilvl w:val="0"/>
          <w:numId w:val="274"/>
        </w:numPr>
        <w:rPr>
          <w:rFonts w:eastAsia="Times New Roman" w:cs="Times New Roman"/>
          <w:noProof/>
        </w:rPr>
      </w:pPr>
      <w:r w:rsidRPr="00BC4EE7">
        <w:rPr>
          <w:rFonts w:cs="Times New Roman"/>
          <w:noProof/>
        </w:rPr>
        <w:t>A végrehajtó partner azon eljárásainak leírása, amelyek biztosítják a csalás, a korrupció és az összeférhetetlenség megelőzését, felderítését és korrekcióját.</w:t>
      </w:r>
    </w:p>
    <w:p w14:paraId="2A4FD3CA" w14:textId="0456EF33" w:rsidR="00D65CB4" w:rsidRPr="00BC4EE7" w:rsidRDefault="00572307">
      <w:pPr>
        <w:pStyle w:val="P68B1DB1-ListParagraph6"/>
        <w:numPr>
          <w:ilvl w:val="0"/>
          <w:numId w:val="274"/>
        </w:numPr>
        <w:rPr>
          <w:rFonts w:eastAsia="Times New Roman" w:cs="Times New Roman"/>
          <w:noProof/>
        </w:rPr>
      </w:pPr>
      <w:r w:rsidRPr="00BC4EE7">
        <w:rPr>
          <w:rFonts w:cs="Times New Roman"/>
          <w:noProof/>
        </w:rPr>
        <w:t>Az egyes műveletek támogathatóságának ellenőrzésére vonatkozó kötelezettség a végrehajtási megállapodásban és a Helyreállítási és Rezilienciaépítési Eszközben meghatározott követelményekkel összhangban, mielőtt kötelezettséget vállalnának a művelet finanszírozására.</w:t>
      </w:r>
    </w:p>
    <w:p w14:paraId="00ECEF68" w14:textId="00EDD802" w:rsidR="00D65CB4" w:rsidRPr="00BC4EE7" w:rsidRDefault="00572307">
      <w:pPr>
        <w:pStyle w:val="P68B1DB1-ListParagraph6"/>
        <w:numPr>
          <w:ilvl w:val="0"/>
          <w:numId w:val="274"/>
        </w:numPr>
        <w:rPr>
          <w:rFonts w:eastAsia="Times New Roman" w:cs="Times New Roman"/>
          <w:noProof/>
        </w:rPr>
      </w:pPr>
      <w:r w:rsidRPr="00BC4EE7">
        <w:rPr>
          <w:rFonts w:cs="Times New Roman"/>
          <w:noProof/>
        </w:rPr>
        <w:t xml:space="preserve">A kockázatalapú utólagos ellenőrzések elvégzésére vonatkozó kötelezettség az ICO ellenőrzési tervével összhangban. Ezeknek az ellenőrzéseknek meg kell győződniük i. arról, hogy az ellenőrzési rendszerek hatékonyak-e, beleértve a csalás, a korrupció és az összeférhetetlenség felderítését; a DNSH-elvnek, az állami támogatásokra vonatkozó szabályoknak és az éghajlat-politikai célkitűzésekre vonatkozó követelményeknek való megfelelés; és iii. tiszteletben tartják azt a követelményt, amely szerint a közvetítőnek ellenőriznie kell, hogy ugyanazt a költséget egy másik uniós eszköz fedezi-e. Az ellenőrzések azt is ellenőrzik, hogy az ügyletek jogszerűek-e, és hogy betartják-e az alkalmazandó végrehajtási és finanszírozási megállapodások feltételeit. </w:t>
      </w:r>
    </w:p>
    <w:p w14:paraId="56B8AD55" w14:textId="48B85017" w:rsidR="00D65CB4" w:rsidRPr="00BC4EE7" w:rsidRDefault="00572307">
      <w:pPr>
        <w:spacing w:after="0"/>
        <w:jc w:val="both"/>
        <w:rPr>
          <w:rFonts w:ascii="Times New Roman" w:eastAsia="Times New Roman" w:hAnsi="Times New Roman" w:cs="Times New Roman"/>
          <w:noProof/>
          <w:sz w:val="24"/>
        </w:rPr>
      </w:pPr>
      <w:r w:rsidRPr="00BC4EE7">
        <w:rPr>
          <w:rFonts w:ascii="Times New Roman" w:hAnsi="Times New Roman" w:cs="Times New Roman"/>
          <w:noProof/>
          <w:sz w:val="24"/>
        </w:rPr>
        <w:t>5. A végrehajtó partner által végrehajtott éghajlat-politikai beruházásokra vonatkozó követelmények: a Helyreállítási és Rezilienciaépítési Eszközbe történő beruházásból legalább 2 122 000 000 EUR-nak a Helyreállítási és Rezilienciaépítési Eszközről szóló rendelet VI. mellékletével összhangban hozzá kell járulnia az éghajlat-politikai célkitűzésekhez.</w:t>
      </w:r>
      <w:r w:rsidRPr="00BC4EE7">
        <w:rPr>
          <w:rStyle w:val="FootnoteReference"/>
          <w:rFonts w:ascii="Times New Roman" w:hAnsi="Times New Roman" w:cs="Times New Roman"/>
          <w:noProof/>
        </w:rPr>
        <w:footnoteReference w:id="10"/>
      </w:r>
    </w:p>
    <w:p w14:paraId="32CF5D78" w14:textId="20363EB8" w:rsidR="00D65CB4" w:rsidRPr="00BC4EE7" w:rsidRDefault="00D65CB4">
      <w:pPr>
        <w:spacing w:after="0"/>
        <w:jc w:val="both"/>
        <w:rPr>
          <w:rFonts w:ascii="Times New Roman" w:eastAsia="Times New Roman" w:hAnsi="Times New Roman" w:cs="Times New Roman"/>
          <w:noProof/>
          <w:sz w:val="24"/>
        </w:rPr>
      </w:pPr>
    </w:p>
    <w:p w14:paraId="5C10D3A9" w14:textId="3805F0B7" w:rsidR="00D65CB4" w:rsidRPr="00BC4EE7" w:rsidRDefault="00572307">
      <w:pPr>
        <w:pStyle w:val="P68B1DB1-Normal4"/>
        <w:spacing w:after="0"/>
        <w:jc w:val="both"/>
        <w:rPr>
          <w:rFonts w:eastAsia="Times New Roman" w:cs="Times New Roman"/>
          <w:noProof/>
        </w:rPr>
      </w:pPr>
      <w:r w:rsidRPr="00BC4EE7">
        <w:rPr>
          <w:rFonts w:cs="Times New Roman"/>
          <w:noProof/>
        </w:rPr>
        <w:t>6. A pénzügyi közvetítők kiválasztására vonatkozó követelmények: Az ICO nyílt, átlátható és megkülönböztetésmentes módon választja ki a pénzügyi közvetítőket. A pénzügyi közvetítőket érintő összeférhetetlenség hiányára vonatkozó ellenőrzéseket előzetesen el kell végezni az informatikai rendszeren, például a Minerván keresztül valamennyi érintett pénzügyi szereplő esetében.</w:t>
      </w:r>
    </w:p>
    <w:p w14:paraId="7C59C747" w14:textId="77777777" w:rsidR="00D65CB4" w:rsidRPr="00BC4EE7" w:rsidRDefault="00D65CB4">
      <w:pPr>
        <w:spacing w:after="0"/>
        <w:jc w:val="both"/>
        <w:rPr>
          <w:rFonts w:ascii="Times New Roman" w:eastAsia="Times New Roman" w:hAnsi="Times New Roman" w:cs="Times New Roman"/>
          <w:noProof/>
          <w:sz w:val="24"/>
        </w:rPr>
      </w:pPr>
    </w:p>
    <w:p w14:paraId="504ECEFE" w14:textId="5DF50B40" w:rsidR="00D65CB4" w:rsidRPr="00BC4EE7" w:rsidRDefault="00572307">
      <w:pPr>
        <w:pStyle w:val="P68B1DB1-Normal4"/>
        <w:spacing w:after="0"/>
        <w:jc w:val="both"/>
        <w:rPr>
          <w:rFonts w:eastAsia="Times New Roman" w:cs="Times New Roman"/>
          <w:noProof/>
          <w:u w:val="single"/>
        </w:rPr>
      </w:pPr>
      <w:r w:rsidRPr="00BC4EE7">
        <w:rPr>
          <w:rFonts w:cs="Times New Roman"/>
          <w:noProof/>
        </w:rPr>
        <w:t>7. Finanszírozási megállapodások aláírására vonatkozó kötelezettség: Az ICO finanszírozási megállapodásokat ír alá a pénzügyi közvetítőkkel a végrehajtási megállapodás mellékleteként benyújtandó kulcsfontosságú követelményekkel összhangban. A finanszírozási megállapodás kulcsfontosságú követelményei magukban foglalják mindazokat a követelményeket, amelyek alapján az Alap működik, beleértve a következőket:</w:t>
      </w:r>
    </w:p>
    <w:p w14:paraId="51E71FEA" w14:textId="704B31FC" w:rsidR="00D65CB4" w:rsidRPr="00BC4EE7" w:rsidRDefault="00572307">
      <w:pPr>
        <w:pStyle w:val="P68B1DB1-ListParagraph6"/>
        <w:numPr>
          <w:ilvl w:val="0"/>
          <w:numId w:val="274"/>
        </w:numPr>
        <w:rPr>
          <w:rFonts w:eastAsia="Times New Roman" w:cs="Times New Roman"/>
          <w:noProof/>
        </w:rPr>
      </w:pPr>
      <w:r w:rsidRPr="00BC4EE7">
        <w:rPr>
          <w:rFonts w:cs="Times New Roman"/>
          <w:noProof/>
        </w:rPr>
        <w:t>A pénzügyi közvetítő azon kötelezettsége, hogy döntéseit értelemszerűen a fent meghatározott döntéshozatali és beruházási politikai követelményeknek megfelelően hozza meg, beleértve a DNSH-elv tiszteletben tartásával kapcsolatos követelményeket is.</w:t>
      </w:r>
    </w:p>
    <w:p w14:paraId="63E2C596" w14:textId="6A7B121C" w:rsidR="00D65CB4" w:rsidRPr="00BC4EE7" w:rsidRDefault="00572307">
      <w:pPr>
        <w:pStyle w:val="P68B1DB1-ListParagraph6"/>
        <w:numPr>
          <w:ilvl w:val="0"/>
          <w:numId w:val="274"/>
        </w:numPr>
        <w:rPr>
          <w:rFonts w:eastAsia="Times New Roman" w:cs="Times New Roman"/>
          <w:noProof/>
        </w:rPr>
      </w:pPr>
      <w:r w:rsidRPr="00BC4EE7">
        <w:rPr>
          <w:rFonts w:cs="Times New Roman"/>
          <w:noProof/>
        </w:rPr>
        <w:t xml:space="preserve">A pénzügyi közvetítő által létrehozandó nyomonkövetési, ellenőrzési és kontrollkeret leírása, amelyre értelemszerűen a fent meghatározott valamennyi nyomonkövetési, ellenőrzési és kontrollkövetelmény vonatkozik. </w:t>
      </w:r>
    </w:p>
    <w:p w14:paraId="3B66219C" w14:textId="0894DEC9" w:rsidR="00D65CB4" w:rsidRPr="00BC4EE7" w:rsidRDefault="00572307">
      <w:pPr>
        <w:pStyle w:val="P68B1DB1-Normal4"/>
        <w:spacing w:after="160" w:line="240" w:lineRule="auto"/>
        <w:jc w:val="both"/>
        <w:rPr>
          <w:rFonts w:cs="Times New Roman"/>
          <w:noProof/>
        </w:rPr>
      </w:pPr>
      <w:r w:rsidRPr="00BC4EE7">
        <w:rPr>
          <w:rFonts w:cs="Times New Roman"/>
          <w:noProof/>
        </w:rPr>
        <w:t>Az intézkedés végrehajtását 2026. augusztus 31-ig be kell fejezni.</w:t>
      </w:r>
    </w:p>
    <w:p w14:paraId="076D6575" w14:textId="77777777" w:rsidR="00D65CB4" w:rsidRPr="00BC4EE7" w:rsidRDefault="00D65CB4">
      <w:pPr>
        <w:spacing w:before="120" w:after="160" w:line="240" w:lineRule="auto"/>
        <w:ind w:left="720"/>
        <w:jc w:val="both"/>
        <w:rPr>
          <w:rFonts w:ascii="Times New Roman" w:hAnsi="Times New Roman" w:cs="Times New Roman"/>
          <w:b/>
          <w:noProof/>
          <w:sz w:val="24"/>
          <w:u w:val="single"/>
        </w:rPr>
        <w:sectPr w:rsidR="00D65CB4" w:rsidRPr="00BC4EE7" w:rsidSect="00B511EF">
          <w:headerReference w:type="even" r:id="rId57"/>
          <w:headerReference w:type="default" r:id="rId58"/>
          <w:footerReference w:type="even" r:id="rId59"/>
          <w:footerReference w:type="default" r:id="rId60"/>
          <w:headerReference w:type="first" r:id="rId61"/>
          <w:footerReference w:type="first" r:id="rId62"/>
          <w:pgSz w:w="11907" w:h="16839"/>
          <w:pgMar w:top="1134" w:right="1134" w:bottom="1134" w:left="1134" w:header="567" w:footer="567" w:gutter="0"/>
          <w:cols w:space="720"/>
          <w:docGrid w:linePitch="360"/>
        </w:sectPr>
      </w:pPr>
    </w:p>
    <w:p w14:paraId="7A01FDB1" w14:textId="07141A96" w:rsidR="00D65CB4" w:rsidRPr="00BC4EE7" w:rsidRDefault="00572307">
      <w:pPr>
        <w:pStyle w:val="P68B1DB1-Normal15"/>
        <w:spacing w:before="120" w:after="160" w:line="240" w:lineRule="auto"/>
        <w:ind w:left="720"/>
        <w:jc w:val="both"/>
        <w:rPr>
          <w:rFonts w:cs="Times New Roman"/>
          <w:noProof/>
        </w:rPr>
      </w:pPr>
      <w:r w:rsidRPr="00BC4EE7">
        <w:rPr>
          <w:rFonts w:cs="Times New Roman"/>
          <w:noProof/>
        </w:rPr>
        <w:t>B.4. A hiteltámogatás nyomon követésére és végrehajtására vonatkozó mérföldkövek, célok, mutatók és ütemterv</w:t>
      </w:r>
    </w:p>
    <w:p w14:paraId="0078074C" w14:textId="77777777" w:rsidR="00D65CB4" w:rsidRPr="00BC4EE7" w:rsidRDefault="00572307">
      <w:pPr>
        <w:pStyle w:val="P68B1DB1-Normal17"/>
        <w:spacing w:before="120" w:after="120" w:line="240" w:lineRule="auto"/>
        <w:jc w:val="both"/>
        <w:rPr>
          <w:rFonts w:cs="Times New Roman"/>
          <w:noProof/>
        </w:rPr>
        <w:sectPr w:rsidR="00D65CB4" w:rsidRPr="00BC4EE7" w:rsidSect="00B511EF">
          <w:headerReference w:type="even" r:id="rId63"/>
          <w:headerReference w:type="default" r:id="rId64"/>
          <w:footerReference w:type="even" r:id="rId65"/>
          <w:footerReference w:type="default" r:id="rId66"/>
          <w:headerReference w:type="first" r:id="rId67"/>
          <w:footerReference w:type="first" r:id="rId68"/>
          <w:pgSz w:w="11907" w:h="16839"/>
          <w:pgMar w:top="1134" w:right="1134" w:bottom="1134" w:left="1134" w:header="567" w:footer="567" w:gutter="0"/>
          <w:cols w:space="720"/>
          <w:docGrid w:linePitch="360"/>
        </w:sectPr>
      </w:pPr>
      <w:r w:rsidRPr="00BC4EE7">
        <w:rPr>
          <w:rFonts w:cs="Times New Roman"/>
          <w:noProof/>
        </w:rPr>
        <w:t xml:space="preserve">Táblázat alább. Az összes mutató esetében az alapforgatókönyv időpontja 2020. február 1., kivéve, ha az intézkedés leírása ettől eltérően rendelkezik. </w:t>
      </w:r>
    </w:p>
    <w:tbl>
      <w:tblPr>
        <w:tblW w:w="15452"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32"/>
        <w:gridCol w:w="1012"/>
        <w:gridCol w:w="992"/>
        <w:gridCol w:w="1171"/>
        <w:gridCol w:w="1241"/>
        <w:gridCol w:w="829"/>
        <w:gridCol w:w="966"/>
        <w:gridCol w:w="600"/>
        <w:gridCol w:w="368"/>
        <w:gridCol w:w="553"/>
        <w:gridCol w:w="6888"/>
      </w:tblGrid>
      <w:tr w:rsidR="00D65CB4" w:rsidRPr="00BC4EE7" w14:paraId="53E9F9D5" w14:textId="77777777" w:rsidTr="002F5BA1">
        <w:trPr>
          <w:trHeight w:val="309"/>
          <w:tblHeader/>
        </w:trPr>
        <w:tc>
          <w:tcPr>
            <w:tcW w:w="832" w:type="dxa"/>
            <w:tcBorders>
              <w:bottom w:val="nil"/>
            </w:tcBorders>
            <w:shd w:val="clear" w:color="auto" w:fill="C6D9F1" w:themeFill="text2" w:themeFillTint="33"/>
            <w:noWrap/>
            <w:vAlign w:val="center"/>
          </w:tcPr>
          <w:p w14:paraId="7D2F5074" w14:textId="19B273CC" w:rsidR="00D65CB4" w:rsidRPr="00BC4EE7" w:rsidRDefault="00572307">
            <w:pPr>
              <w:pStyle w:val="P68B1DB1-Normal8"/>
              <w:spacing w:after="0" w:line="240" w:lineRule="auto"/>
              <w:jc w:val="center"/>
              <w:rPr>
                <w:rFonts w:cs="Times New Roman"/>
                <w:noProof/>
              </w:rPr>
            </w:pPr>
            <w:r w:rsidRPr="00BC4EE7">
              <w:rPr>
                <w:rFonts w:cs="Times New Roman"/>
                <w:noProof/>
              </w:rPr>
              <w:t>Szám</w:t>
            </w:r>
          </w:p>
        </w:tc>
        <w:tc>
          <w:tcPr>
            <w:tcW w:w="1012" w:type="dxa"/>
            <w:tcBorders>
              <w:bottom w:val="nil"/>
            </w:tcBorders>
            <w:shd w:val="clear" w:color="auto" w:fill="C6D9F1" w:themeFill="text2" w:themeFillTint="33"/>
            <w:noWrap/>
            <w:vAlign w:val="center"/>
          </w:tcPr>
          <w:p w14:paraId="1B2E6169" w14:textId="19B273CC" w:rsidR="00D65CB4" w:rsidRPr="00BC4EE7" w:rsidRDefault="00572307">
            <w:pPr>
              <w:pStyle w:val="P68B1DB1-Normal8"/>
              <w:spacing w:after="0" w:line="240" w:lineRule="auto"/>
              <w:jc w:val="center"/>
              <w:rPr>
                <w:rFonts w:cs="Times New Roman"/>
                <w:noProof/>
              </w:rPr>
            </w:pPr>
            <w:r w:rsidRPr="00BC4EE7">
              <w:rPr>
                <w:rFonts w:cs="Times New Roman"/>
                <w:noProof/>
              </w:rPr>
              <w:t>Intézkedés</w:t>
            </w:r>
          </w:p>
        </w:tc>
        <w:tc>
          <w:tcPr>
            <w:tcW w:w="992" w:type="dxa"/>
            <w:tcBorders>
              <w:bottom w:val="nil"/>
            </w:tcBorders>
            <w:shd w:val="clear" w:color="auto" w:fill="C6D9F1" w:themeFill="text2" w:themeFillTint="33"/>
            <w:noWrap/>
            <w:vAlign w:val="center"/>
          </w:tcPr>
          <w:p w14:paraId="5D5BC8F1" w14:textId="19B273CC" w:rsidR="00D65CB4" w:rsidRPr="00BC4EE7" w:rsidRDefault="00572307">
            <w:pPr>
              <w:spacing w:after="0" w:line="240" w:lineRule="auto"/>
              <w:jc w:val="center"/>
              <w:rPr>
                <w:rFonts w:ascii="Times New Roman" w:hAnsi="Times New Roman" w:cs="Times New Roman"/>
                <w:b/>
                <w:noProof/>
                <w:sz w:val="18"/>
              </w:rPr>
            </w:pPr>
            <w:r w:rsidRPr="00BC4EE7">
              <w:rPr>
                <w:rFonts w:ascii="Times New Roman" w:hAnsi="Times New Roman" w:cs="Times New Roman"/>
                <w:b/>
                <w:noProof/>
                <w:sz w:val="18"/>
              </w:rPr>
              <w:t>Mérföldkő</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b/>
                <w:noProof/>
                <w:sz w:val="18"/>
              </w:rPr>
              <w:t xml:space="preserve"> /Cél</w:t>
            </w:r>
          </w:p>
        </w:tc>
        <w:tc>
          <w:tcPr>
            <w:tcW w:w="1171" w:type="dxa"/>
            <w:tcBorders>
              <w:bottom w:val="nil"/>
            </w:tcBorders>
            <w:shd w:val="clear" w:color="auto" w:fill="C6D9F1" w:themeFill="text2" w:themeFillTint="33"/>
            <w:noWrap/>
            <w:vAlign w:val="center"/>
          </w:tcPr>
          <w:p w14:paraId="2538B08D" w14:textId="19B273CC" w:rsidR="00D65CB4" w:rsidRPr="00BC4EE7" w:rsidRDefault="00572307">
            <w:pPr>
              <w:pStyle w:val="P68B1DB1-Normal8"/>
              <w:spacing w:after="0" w:line="240" w:lineRule="auto"/>
              <w:jc w:val="center"/>
              <w:rPr>
                <w:rFonts w:cs="Times New Roman"/>
                <w:noProof/>
              </w:rPr>
            </w:pPr>
            <w:r w:rsidRPr="00BC4EE7">
              <w:rPr>
                <w:rFonts w:cs="Times New Roman"/>
                <w:noProof/>
              </w:rPr>
              <w:t>Név</w:t>
            </w:r>
          </w:p>
        </w:tc>
        <w:tc>
          <w:tcPr>
            <w:tcW w:w="1241" w:type="dxa"/>
            <w:tcBorders>
              <w:bottom w:val="nil"/>
            </w:tcBorders>
            <w:shd w:val="clear" w:color="auto" w:fill="C6D9F1" w:themeFill="text2" w:themeFillTint="33"/>
            <w:noWrap/>
            <w:vAlign w:val="center"/>
          </w:tcPr>
          <w:p w14:paraId="0AD9D363" w14:textId="19B273CC" w:rsidR="00D65CB4" w:rsidRPr="00BC4EE7" w:rsidRDefault="00572307">
            <w:pPr>
              <w:pStyle w:val="P68B1DB1-Normal8"/>
              <w:spacing w:after="0" w:line="240" w:lineRule="auto"/>
              <w:jc w:val="center"/>
              <w:rPr>
                <w:rFonts w:cs="Times New Roman"/>
                <w:noProof/>
              </w:rPr>
            </w:pPr>
            <w:r w:rsidRPr="00BC4EE7">
              <w:rPr>
                <w:rFonts w:cs="Times New Roman"/>
                <w:noProof/>
              </w:rPr>
              <w:t>A mérföldkövek minőségi mutatója</w:t>
            </w:r>
          </w:p>
        </w:tc>
        <w:tc>
          <w:tcPr>
            <w:tcW w:w="2395" w:type="dxa"/>
            <w:gridSpan w:val="3"/>
            <w:shd w:val="clear" w:color="auto" w:fill="C6D9F1" w:themeFill="text2" w:themeFillTint="33"/>
            <w:noWrap/>
            <w:vAlign w:val="center"/>
          </w:tcPr>
          <w:p w14:paraId="618F3F59" w14:textId="19B273CC" w:rsidR="00D65CB4" w:rsidRPr="00BC4EE7" w:rsidRDefault="00572307">
            <w:pPr>
              <w:pStyle w:val="P68B1DB1-Normal8"/>
              <w:spacing w:after="0" w:line="240" w:lineRule="auto"/>
              <w:jc w:val="center"/>
              <w:rPr>
                <w:rFonts w:cs="Times New Roman"/>
                <w:noProof/>
              </w:rPr>
            </w:pPr>
            <w:r w:rsidRPr="00BC4EE7">
              <w:rPr>
                <w:rFonts w:cs="Times New Roman"/>
                <w:noProof/>
              </w:rPr>
              <w:t>A célérték mennyiségi mutatója</w:t>
            </w:r>
          </w:p>
        </w:tc>
        <w:tc>
          <w:tcPr>
            <w:tcW w:w="921" w:type="dxa"/>
            <w:gridSpan w:val="2"/>
            <w:shd w:val="clear" w:color="auto" w:fill="C6D9F1" w:themeFill="text2" w:themeFillTint="33"/>
            <w:noWrap/>
            <w:vAlign w:val="center"/>
          </w:tcPr>
          <w:p w14:paraId="4F7E36FC" w14:textId="19B273CC" w:rsidR="00D65CB4" w:rsidRPr="00BC4EE7" w:rsidRDefault="00572307">
            <w:pPr>
              <w:pStyle w:val="P68B1DB1-Normal8"/>
              <w:spacing w:after="0" w:line="240" w:lineRule="auto"/>
              <w:jc w:val="center"/>
              <w:rPr>
                <w:rFonts w:cs="Times New Roman"/>
                <w:noProof/>
              </w:rPr>
            </w:pPr>
            <w:r w:rsidRPr="00BC4EE7">
              <w:rPr>
                <w:rFonts w:cs="Times New Roman"/>
                <w:noProof/>
              </w:rPr>
              <w:t>Idő</w:t>
            </w:r>
          </w:p>
        </w:tc>
        <w:tc>
          <w:tcPr>
            <w:tcW w:w="6888" w:type="dxa"/>
            <w:tcBorders>
              <w:bottom w:val="nil"/>
            </w:tcBorders>
            <w:shd w:val="clear" w:color="auto" w:fill="C6D9F1" w:themeFill="text2" w:themeFillTint="33"/>
            <w:noWrap/>
            <w:vAlign w:val="center"/>
          </w:tcPr>
          <w:p w14:paraId="381052D7" w14:textId="19B273CC" w:rsidR="00D65CB4" w:rsidRPr="00BC4EE7" w:rsidRDefault="00572307">
            <w:pPr>
              <w:pStyle w:val="P68B1DB1-Normal8"/>
              <w:spacing w:after="0" w:line="240" w:lineRule="auto"/>
              <w:jc w:val="center"/>
              <w:rPr>
                <w:rFonts w:cs="Times New Roman"/>
                <w:noProof/>
              </w:rPr>
            </w:pPr>
            <w:r w:rsidRPr="00BC4EE7">
              <w:rPr>
                <w:rFonts w:cs="Times New Roman"/>
                <w:noProof/>
              </w:rPr>
              <w:t>Az egyes mérföldkövek és célértékek leírása</w:t>
            </w:r>
          </w:p>
        </w:tc>
      </w:tr>
      <w:tr w:rsidR="00D65CB4" w:rsidRPr="00BC4EE7" w14:paraId="00542BF5" w14:textId="77777777" w:rsidTr="002F5BA1">
        <w:trPr>
          <w:trHeight w:val="309"/>
          <w:tblHeader/>
        </w:trPr>
        <w:tc>
          <w:tcPr>
            <w:tcW w:w="832" w:type="dxa"/>
            <w:tcBorders>
              <w:top w:val="nil"/>
            </w:tcBorders>
            <w:shd w:val="clear" w:color="auto" w:fill="C6D9F1" w:themeFill="text2" w:themeFillTint="33"/>
            <w:noWrap/>
          </w:tcPr>
          <w:p w14:paraId="685FBC61" w14:textId="77777777" w:rsidR="00D65CB4" w:rsidRPr="00BC4EE7" w:rsidRDefault="00D65CB4">
            <w:pPr>
              <w:spacing w:after="0" w:line="240" w:lineRule="auto"/>
              <w:jc w:val="center"/>
              <w:rPr>
                <w:rFonts w:ascii="Times New Roman" w:hAnsi="Times New Roman" w:cs="Times New Roman"/>
                <w:b/>
                <w:noProof/>
                <w:sz w:val="18"/>
              </w:rPr>
            </w:pPr>
          </w:p>
        </w:tc>
        <w:tc>
          <w:tcPr>
            <w:tcW w:w="1012" w:type="dxa"/>
            <w:tcBorders>
              <w:top w:val="nil"/>
            </w:tcBorders>
            <w:shd w:val="clear" w:color="auto" w:fill="C6D9F1" w:themeFill="text2" w:themeFillTint="33"/>
            <w:noWrap/>
          </w:tcPr>
          <w:p w14:paraId="3BCACC00" w14:textId="77777777" w:rsidR="00D65CB4" w:rsidRPr="00BC4EE7" w:rsidRDefault="00D65CB4">
            <w:pPr>
              <w:spacing w:after="0" w:line="240" w:lineRule="auto"/>
              <w:jc w:val="center"/>
              <w:rPr>
                <w:rFonts w:ascii="Times New Roman" w:hAnsi="Times New Roman" w:cs="Times New Roman"/>
                <w:b/>
                <w:noProof/>
                <w:sz w:val="18"/>
              </w:rPr>
            </w:pPr>
          </w:p>
        </w:tc>
        <w:tc>
          <w:tcPr>
            <w:tcW w:w="992" w:type="dxa"/>
            <w:tcBorders>
              <w:top w:val="nil"/>
            </w:tcBorders>
            <w:shd w:val="clear" w:color="auto" w:fill="C6D9F1" w:themeFill="text2" w:themeFillTint="33"/>
            <w:noWrap/>
          </w:tcPr>
          <w:p w14:paraId="6E00F204" w14:textId="77777777" w:rsidR="00D65CB4" w:rsidRPr="00BC4EE7" w:rsidRDefault="00D65CB4">
            <w:pPr>
              <w:spacing w:after="0" w:line="240" w:lineRule="auto"/>
              <w:jc w:val="center"/>
              <w:rPr>
                <w:rFonts w:ascii="Times New Roman" w:hAnsi="Times New Roman" w:cs="Times New Roman"/>
                <w:b/>
                <w:noProof/>
                <w:sz w:val="18"/>
              </w:rPr>
            </w:pPr>
          </w:p>
        </w:tc>
        <w:tc>
          <w:tcPr>
            <w:tcW w:w="1171" w:type="dxa"/>
            <w:tcBorders>
              <w:top w:val="nil"/>
            </w:tcBorders>
            <w:shd w:val="clear" w:color="auto" w:fill="C6D9F1" w:themeFill="text2" w:themeFillTint="33"/>
            <w:noWrap/>
          </w:tcPr>
          <w:p w14:paraId="35517160" w14:textId="77777777" w:rsidR="00D65CB4" w:rsidRPr="00BC4EE7" w:rsidRDefault="00D65CB4">
            <w:pPr>
              <w:spacing w:after="0" w:line="240" w:lineRule="auto"/>
              <w:rPr>
                <w:rFonts w:ascii="Times New Roman" w:hAnsi="Times New Roman" w:cs="Times New Roman"/>
                <w:b/>
                <w:noProof/>
                <w:sz w:val="18"/>
              </w:rPr>
            </w:pPr>
          </w:p>
        </w:tc>
        <w:tc>
          <w:tcPr>
            <w:tcW w:w="1241" w:type="dxa"/>
            <w:tcBorders>
              <w:top w:val="nil"/>
            </w:tcBorders>
            <w:shd w:val="clear" w:color="auto" w:fill="C6D9F1" w:themeFill="text2" w:themeFillTint="33"/>
            <w:noWrap/>
          </w:tcPr>
          <w:p w14:paraId="10773556" w14:textId="77777777" w:rsidR="00D65CB4" w:rsidRPr="00BC4EE7" w:rsidRDefault="00D65CB4">
            <w:pPr>
              <w:spacing w:after="0" w:line="240" w:lineRule="auto"/>
              <w:jc w:val="center"/>
              <w:rPr>
                <w:rFonts w:ascii="Times New Roman" w:hAnsi="Times New Roman" w:cs="Times New Roman"/>
                <w:b/>
                <w:noProof/>
                <w:sz w:val="18"/>
              </w:rPr>
            </w:pPr>
          </w:p>
        </w:tc>
        <w:tc>
          <w:tcPr>
            <w:tcW w:w="829" w:type="dxa"/>
            <w:shd w:val="clear" w:color="auto" w:fill="C6D9F1" w:themeFill="text2" w:themeFillTint="33"/>
            <w:noWrap/>
            <w:vAlign w:val="center"/>
          </w:tcPr>
          <w:p w14:paraId="4845E654" w14:textId="19B273CC" w:rsidR="00D65CB4" w:rsidRPr="00BC4EE7" w:rsidRDefault="00572307">
            <w:pPr>
              <w:pStyle w:val="P68B1DB1-Normal8"/>
              <w:spacing w:after="0" w:line="240" w:lineRule="auto"/>
              <w:jc w:val="center"/>
              <w:rPr>
                <w:rFonts w:cs="Times New Roman"/>
                <w:noProof/>
              </w:rPr>
            </w:pPr>
            <w:r w:rsidRPr="00BC4EE7">
              <w:rPr>
                <w:rFonts w:cs="Times New Roman"/>
                <w:noProof/>
              </w:rPr>
              <w:t>Egység</w:t>
            </w:r>
          </w:p>
        </w:tc>
        <w:tc>
          <w:tcPr>
            <w:tcW w:w="966" w:type="dxa"/>
            <w:shd w:val="clear" w:color="auto" w:fill="C6D9F1" w:themeFill="text2" w:themeFillTint="33"/>
            <w:noWrap/>
            <w:vAlign w:val="center"/>
          </w:tcPr>
          <w:p w14:paraId="3CA2064C" w14:textId="35D651EC" w:rsidR="00D65CB4" w:rsidRPr="00BC4EE7" w:rsidRDefault="00572307">
            <w:pPr>
              <w:pStyle w:val="P68B1DB1-Normal8"/>
              <w:spacing w:after="0" w:line="240" w:lineRule="auto"/>
              <w:jc w:val="center"/>
              <w:rPr>
                <w:rFonts w:cs="Times New Roman"/>
                <w:noProof/>
              </w:rPr>
            </w:pPr>
            <w:r w:rsidRPr="00BC4EE7">
              <w:rPr>
                <w:rFonts w:cs="Times New Roman"/>
                <w:noProof/>
              </w:rPr>
              <w:t>Kiindulási</w:t>
            </w:r>
          </w:p>
        </w:tc>
        <w:tc>
          <w:tcPr>
            <w:tcW w:w="600" w:type="dxa"/>
            <w:shd w:val="clear" w:color="auto" w:fill="C6D9F1" w:themeFill="text2" w:themeFillTint="33"/>
            <w:noWrap/>
            <w:vAlign w:val="center"/>
          </w:tcPr>
          <w:p w14:paraId="2ED86D06" w14:textId="19B273CC" w:rsidR="00D65CB4" w:rsidRPr="00BC4EE7" w:rsidRDefault="00572307">
            <w:pPr>
              <w:pStyle w:val="P68B1DB1-Normal8"/>
              <w:spacing w:after="0" w:line="240" w:lineRule="auto"/>
              <w:jc w:val="center"/>
              <w:rPr>
                <w:rFonts w:cs="Times New Roman"/>
                <w:noProof/>
              </w:rPr>
            </w:pPr>
            <w:r w:rsidRPr="00BC4EE7">
              <w:rPr>
                <w:rFonts w:cs="Times New Roman"/>
                <w:noProof/>
              </w:rPr>
              <w:t>Cél</w:t>
            </w:r>
          </w:p>
        </w:tc>
        <w:tc>
          <w:tcPr>
            <w:tcW w:w="368" w:type="dxa"/>
            <w:shd w:val="clear" w:color="auto" w:fill="C6D9F1" w:themeFill="text2" w:themeFillTint="33"/>
            <w:noWrap/>
            <w:vAlign w:val="center"/>
          </w:tcPr>
          <w:p w14:paraId="3FDB49BC" w14:textId="19B273CC" w:rsidR="00D65CB4" w:rsidRPr="00BC4EE7" w:rsidRDefault="00572307">
            <w:pPr>
              <w:pStyle w:val="P68B1DB1-Normal8"/>
              <w:spacing w:after="0" w:line="240" w:lineRule="auto"/>
              <w:jc w:val="center"/>
              <w:rPr>
                <w:rFonts w:cs="Times New Roman"/>
                <w:noProof/>
              </w:rPr>
            </w:pPr>
            <w:r w:rsidRPr="00BC4EE7">
              <w:rPr>
                <w:rFonts w:cs="Times New Roman"/>
                <w:noProof/>
              </w:rPr>
              <w:t>Q</w:t>
            </w:r>
          </w:p>
        </w:tc>
        <w:tc>
          <w:tcPr>
            <w:tcW w:w="553" w:type="dxa"/>
            <w:shd w:val="clear" w:color="auto" w:fill="C6D9F1" w:themeFill="text2" w:themeFillTint="33"/>
            <w:noWrap/>
            <w:vAlign w:val="center"/>
          </w:tcPr>
          <w:p w14:paraId="5AA880DF" w14:textId="19B273CC" w:rsidR="00D65CB4" w:rsidRPr="00BC4EE7" w:rsidRDefault="00572307">
            <w:pPr>
              <w:pStyle w:val="P68B1DB1-Normal8"/>
              <w:spacing w:after="0" w:line="240" w:lineRule="auto"/>
              <w:jc w:val="center"/>
              <w:rPr>
                <w:rFonts w:cs="Times New Roman"/>
                <w:noProof/>
              </w:rPr>
            </w:pPr>
            <w:r w:rsidRPr="00BC4EE7">
              <w:rPr>
                <w:rFonts w:cs="Times New Roman"/>
                <w:noProof/>
              </w:rPr>
              <w:t>Éve</w:t>
            </w:r>
          </w:p>
        </w:tc>
        <w:tc>
          <w:tcPr>
            <w:tcW w:w="6888" w:type="dxa"/>
            <w:tcBorders>
              <w:top w:val="nil"/>
            </w:tcBorders>
            <w:shd w:val="clear" w:color="auto" w:fill="C6D9F1" w:themeFill="text2" w:themeFillTint="33"/>
            <w:noWrap/>
          </w:tcPr>
          <w:p w14:paraId="0D64C11C" w14:textId="77777777" w:rsidR="00D65CB4" w:rsidRPr="00BC4EE7" w:rsidRDefault="00D65CB4">
            <w:pPr>
              <w:spacing w:after="0" w:line="240" w:lineRule="auto"/>
              <w:rPr>
                <w:rFonts w:ascii="Times New Roman" w:hAnsi="Times New Roman" w:cs="Times New Roman"/>
                <w:b/>
                <w:noProof/>
                <w:sz w:val="18"/>
              </w:rPr>
            </w:pPr>
          </w:p>
        </w:tc>
      </w:tr>
      <w:tr w:rsidR="00D65CB4" w:rsidRPr="00BC4EE7" w14:paraId="47249D9F" w14:textId="77777777" w:rsidTr="002F5BA1">
        <w:trPr>
          <w:trHeight w:val="309"/>
        </w:trPr>
        <w:tc>
          <w:tcPr>
            <w:tcW w:w="832" w:type="dxa"/>
            <w:shd w:val="clear" w:color="auto" w:fill="C6EFCE"/>
            <w:noWrap/>
          </w:tcPr>
          <w:p w14:paraId="562D5F81" w14:textId="6A6FF0B0" w:rsidR="00D65CB4" w:rsidRPr="00BC4EE7" w:rsidRDefault="00572307">
            <w:pPr>
              <w:pStyle w:val="P68B1DB1-Normal12"/>
              <w:spacing w:after="0" w:line="240" w:lineRule="auto"/>
              <w:jc w:val="center"/>
              <w:rPr>
                <w:rFonts w:cs="Times New Roman"/>
                <w:noProof/>
              </w:rPr>
            </w:pPr>
            <w:r w:rsidRPr="00BC4EE7">
              <w:rPr>
                <w:rFonts w:cs="Times New Roman"/>
                <w:noProof/>
              </w:rPr>
              <w:t>L2</w:t>
            </w:r>
          </w:p>
        </w:tc>
        <w:tc>
          <w:tcPr>
            <w:tcW w:w="1012" w:type="dxa"/>
            <w:shd w:val="clear" w:color="auto" w:fill="C6EFCE"/>
            <w:noWrap/>
          </w:tcPr>
          <w:p w14:paraId="25B5B9CC" w14:textId="04C0F159"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C2.R7</w:t>
            </w:r>
          </w:p>
        </w:tc>
        <w:tc>
          <w:tcPr>
            <w:tcW w:w="992" w:type="dxa"/>
            <w:shd w:val="clear" w:color="auto" w:fill="C6EFCE"/>
            <w:noWrap/>
          </w:tcPr>
          <w:p w14:paraId="47A58A18" w14:textId="04C0F159"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M</w:t>
            </w:r>
          </w:p>
        </w:tc>
        <w:tc>
          <w:tcPr>
            <w:tcW w:w="1171" w:type="dxa"/>
            <w:shd w:val="clear" w:color="auto" w:fill="C6EFCE"/>
            <w:noWrap/>
          </w:tcPr>
          <w:p w14:paraId="34AFA365" w14:textId="5D0596A8" w:rsidR="00D65CB4" w:rsidRPr="00BC4EE7" w:rsidRDefault="00572307">
            <w:pPr>
              <w:pStyle w:val="P68B1DB1-Normal12"/>
              <w:spacing w:after="0" w:line="240" w:lineRule="auto"/>
              <w:rPr>
                <w:rFonts w:eastAsia="MS Mincho" w:cs="Times New Roman"/>
                <w:noProof/>
              </w:rPr>
            </w:pPr>
            <w:r w:rsidRPr="00BC4EE7">
              <w:rPr>
                <w:rFonts w:cs="Times New Roman"/>
                <w:noProof/>
              </w:rPr>
              <w:t xml:space="preserve">A föld- és városrehabilitációs törvény egységes szerkezetbe foglalt szövege módosításának hatálybalépése </w:t>
            </w:r>
          </w:p>
        </w:tc>
        <w:tc>
          <w:tcPr>
            <w:tcW w:w="1241" w:type="dxa"/>
            <w:shd w:val="clear" w:color="auto" w:fill="C6EFCE"/>
            <w:noWrap/>
          </w:tcPr>
          <w:p w14:paraId="511C2A04" w14:textId="3A7195F4"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A hatálybalépésről szóló felülvizsgált törvény rendelkezése</w:t>
            </w:r>
          </w:p>
        </w:tc>
        <w:tc>
          <w:tcPr>
            <w:tcW w:w="829" w:type="dxa"/>
            <w:shd w:val="clear" w:color="auto" w:fill="C6EFCE"/>
            <w:noWrap/>
          </w:tcPr>
          <w:p w14:paraId="4084AA81" w14:textId="77777777" w:rsidR="00D65CB4" w:rsidRPr="00BC4EE7" w:rsidRDefault="00D65CB4">
            <w:pPr>
              <w:spacing w:after="0" w:line="240" w:lineRule="auto"/>
              <w:jc w:val="right"/>
              <w:rPr>
                <w:rFonts w:ascii="Times New Roman" w:eastAsia="MS Mincho" w:hAnsi="Times New Roman" w:cs="Times New Roman"/>
                <w:noProof/>
                <w:sz w:val="18"/>
              </w:rPr>
            </w:pPr>
          </w:p>
        </w:tc>
        <w:tc>
          <w:tcPr>
            <w:tcW w:w="966" w:type="dxa"/>
            <w:shd w:val="clear" w:color="auto" w:fill="C6EFCE"/>
            <w:noWrap/>
          </w:tcPr>
          <w:p w14:paraId="3C8DE28B" w14:textId="77777777" w:rsidR="00D65CB4" w:rsidRPr="00BC4EE7" w:rsidRDefault="00D65CB4">
            <w:pPr>
              <w:spacing w:after="0" w:line="240" w:lineRule="auto"/>
              <w:jc w:val="right"/>
              <w:rPr>
                <w:rFonts w:ascii="Times New Roman" w:eastAsia="MS Mincho" w:hAnsi="Times New Roman" w:cs="Times New Roman"/>
                <w:noProof/>
                <w:sz w:val="18"/>
              </w:rPr>
            </w:pPr>
          </w:p>
        </w:tc>
        <w:tc>
          <w:tcPr>
            <w:tcW w:w="600" w:type="dxa"/>
            <w:shd w:val="clear" w:color="auto" w:fill="C6EFCE"/>
            <w:noWrap/>
          </w:tcPr>
          <w:p w14:paraId="2A38B382" w14:textId="77777777" w:rsidR="00D65CB4" w:rsidRPr="00BC4EE7" w:rsidRDefault="00D65CB4">
            <w:pPr>
              <w:spacing w:after="0" w:line="240" w:lineRule="auto"/>
              <w:jc w:val="right"/>
              <w:rPr>
                <w:rFonts w:ascii="Times New Roman" w:eastAsia="MS Mincho" w:hAnsi="Times New Roman" w:cs="Times New Roman"/>
                <w:noProof/>
                <w:sz w:val="18"/>
              </w:rPr>
            </w:pPr>
          </w:p>
        </w:tc>
        <w:tc>
          <w:tcPr>
            <w:tcW w:w="368" w:type="dxa"/>
            <w:shd w:val="clear" w:color="auto" w:fill="C6EFCE"/>
            <w:noWrap/>
          </w:tcPr>
          <w:p w14:paraId="5C4B40DD" w14:textId="4C8BF3DC"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Q2</w:t>
            </w:r>
          </w:p>
        </w:tc>
        <w:tc>
          <w:tcPr>
            <w:tcW w:w="553" w:type="dxa"/>
            <w:shd w:val="clear" w:color="auto" w:fill="C6EFCE"/>
            <w:noWrap/>
          </w:tcPr>
          <w:p w14:paraId="4E0458CB" w14:textId="4C86333E"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 xml:space="preserve"> 2025</w:t>
            </w:r>
          </w:p>
        </w:tc>
        <w:tc>
          <w:tcPr>
            <w:tcW w:w="6888" w:type="dxa"/>
            <w:shd w:val="clear" w:color="auto" w:fill="C6EFCE"/>
            <w:noWrap/>
          </w:tcPr>
          <w:p w14:paraId="17CF3CEA" w14:textId="5E1751E3" w:rsidR="00D65CB4" w:rsidRPr="00BC4EE7" w:rsidRDefault="00572307">
            <w:pPr>
              <w:pStyle w:val="P68B1DB1-Normal12"/>
              <w:spacing w:after="0" w:line="240" w:lineRule="auto"/>
              <w:jc w:val="both"/>
              <w:rPr>
                <w:rFonts w:eastAsia="MS Mincho" w:cs="Times New Roman"/>
                <w:noProof/>
              </w:rPr>
            </w:pPr>
            <w:r w:rsidRPr="00BC4EE7">
              <w:rPr>
                <w:rFonts w:cs="Times New Roman"/>
                <w:noProof/>
              </w:rPr>
              <w:t>A föld- és városrehabilitációs törvény egységes szerkezetbe foglalt szövegének az október 30-i 7/2015. sz. királyi törvényerejű rendelettel jóváhagyott módosításának hatálybalépése. A módosításnak olyan intézkedéseket kell bevezetnie, amelyek célja az épületek rehabilitációjához és a szociális lakások építéséhez kapcsolódó várostervezési eljárások felgyorsítása.</w:t>
            </w:r>
          </w:p>
        </w:tc>
      </w:tr>
      <w:tr w:rsidR="00D65CB4" w:rsidRPr="00BC4EE7" w14:paraId="07844CC8" w14:textId="77777777" w:rsidTr="002F5BA1">
        <w:trPr>
          <w:trHeight w:val="309"/>
        </w:trPr>
        <w:tc>
          <w:tcPr>
            <w:tcW w:w="832" w:type="dxa"/>
            <w:shd w:val="clear" w:color="auto" w:fill="C6EFCE"/>
            <w:noWrap/>
          </w:tcPr>
          <w:p w14:paraId="0873ECA3" w14:textId="49855681" w:rsidR="00D65CB4" w:rsidRPr="00BC4EE7" w:rsidRDefault="00572307">
            <w:pPr>
              <w:pStyle w:val="P68B1DB1-Normal12"/>
              <w:spacing w:after="0" w:line="240" w:lineRule="auto"/>
              <w:jc w:val="center"/>
              <w:rPr>
                <w:rFonts w:cs="Times New Roman"/>
                <w:noProof/>
              </w:rPr>
            </w:pPr>
            <w:r w:rsidRPr="00BC4EE7">
              <w:rPr>
                <w:rFonts w:cs="Times New Roman"/>
                <w:noProof/>
              </w:rPr>
              <w:t>L3</w:t>
            </w:r>
          </w:p>
        </w:tc>
        <w:tc>
          <w:tcPr>
            <w:tcW w:w="1012" w:type="dxa"/>
            <w:shd w:val="clear" w:color="auto" w:fill="C6EFCE"/>
            <w:noWrap/>
          </w:tcPr>
          <w:p w14:paraId="6249CDB4" w14:textId="04C0F159"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C2.R7</w:t>
            </w:r>
          </w:p>
        </w:tc>
        <w:tc>
          <w:tcPr>
            <w:tcW w:w="992" w:type="dxa"/>
            <w:shd w:val="clear" w:color="auto" w:fill="C6EFCE"/>
            <w:noWrap/>
          </w:tcPr>
          <w:p w14:paraId="44655DD6" w14:textId="04C0F159"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M</w:t>
            </w:r>
          </w:p>
        </w:tc>
        <w:tc>
          <w:tcPr>
            <w:tcW w:w="1171" w:type="dxa"/>
            <w:shd w:val="clear" w:color="auto" w:fill="C6EFCE"/>
            <w:noWrap/>
          </w:tcPr>
          <w:p w14:paraId="7FCDC6B6" w14:textId="04C0F159" w:rsidR="00D65CB4" w:rsidRPr="00BC4EE7" w:rsidRDefault="00572307">
            <w:pPr>
              <w:pStyle w:val="P68B1DB1-Normal12"/>
              <w:spacing w:after="0" w:line="240" w:lineRule="auto"/>
              <w:rPr>
                <w:rFonts w:eastAsia="MS Mincho" w:cs="Times New Roman"/>
                <w:noProof/>
              </w:rPr>
            </w:pPr>
            <w:r w:rsidRPr="00BC4EE7">
              <w:rPr>
                <w:rFonts w:cs="Times New Roman"/>
                <w:noProof/>
              </w:rPr>
              <w:t>Az építési engedélyezési eljárások egyszerűsítésére és észszerűsítésére vonatkozó bevált gyakorlatokról szóló útmutató közzététele</w:t>
            </w:r>
          </w:p>
        </w:tc>
        <w:tc>
          <w:tcPr>
            <w:tcW w:w="1241" w:type="dxa"/>
            <w:shd w:val="clear" w:color="auto" w:fill="C6EFCE"/>
            <w:noWrap/>
          </w:tcPr>
          <w:p w14:paraId="144D2A82" w14:textId="54EF3D42"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Közzététel az interneten</w:t>
            </w:r>
          </w:p>
        </w:tc>
        <w:tc>
          <w:tcPr>
            <w:tcW w:w="829" w:type="dxa"/>
            <w:shd w:val="clear" w:color="auto" w:fill="C6EFCE"/>
            <w:noWrap/>
          </w:tcPr>
          <w:p w14:paraId="6F647066" w14:textId="343CA82C" w:rsidR="00D65CB4" w:rsidRPr="00BC4EE7" w:rsidRDefault="00D65CB4">
            <w:pPr>
              <w:spacing w:after="0" w:line="240" w:lineRule="auto"/>
              <w:jc w:val="right"/>
              <w:rPr>
                <w:rFonts w:ascii="Times New Roman" w:eastAsia="MS Mincho" w:hAnsi="Times New Roman" w:cs="Times New Roman"/>
                <w:noProof/>
                <w:sz w:val="18"/>
              </w:rPr>
            </w:pPr>
          </w:p>
        </w:tc>
        <w:tc>
          <w:tcPr>
            <w:tcW w:w="966" w:type="dxa"/>
            <w:shd w:val="clear" w:color="auto" w:fill="C6EFCE"/>
            <w:noWrap/>
          </w:tcPr>
          <w:p w14:paraId="7B38FB94" w14:textId="57EB123C" w:rsidR="00D65CB4" w:rsidRPr="00BC4EE7" w:rsidRDefault="00D65CB4">
            <w:pPr>
              <w:spacing w:after="0" w:line="240" w:lineRule="auto"/>
              <w:jc w:val="right"/>
              <w:rPr>
                <w:rFonts w:ascii="Times New Roman" w:eastAsia="MS Mincho" w:hAnsi="Times New Roman" w:cs="Times New Roman"/>
                <w:noProof/>
                <w:sz w:val="18"/>
              </w:rPr>
            </w:pPr>
          </w:p>
        </w:tc>
        <w:tc>
          <w:tcPr>
            <w:tcW w:w="600" w:type="dxa"/>
            <w:shd w:val="clear" w:color="auto" w:fill="C6EFCE"/>
            <w:noWrap/>
          </w:tcPr>
          <w:p w14:paraId="541846CA" w14:textId="3768BCF4" w:rsidR="00D65CB4" w:rsidRPr="00BC4EE7" w:rsidRDefault="00D65CB4">
            <w:pPr>
              <w:spacing w:after="0" w:line="240" w:lineRule="auto"/>
              <w:jc w:val="right"/>
              <w:rPr>
                <w:rFonts w:ascii="Times New Roman" w:eastAsia="MS Mincho" w:hAnsi="Times New Roman" w:cs="Times New Roman"/>
                <w:noProof/>
                <w:sz w:val="18"/>
              </w:rPr>
            </w:pPr>
          </w:p>
        </w:tc>
        <w:tc>
          <w:tcPr>
            <w:tcW w:w="368" w:type="dxa"/>
            <w:shd w:val="clear" w:color="auto" w:fill="C6EFCE"/>
            <w:noWrap/>
          </w:tcPr>
          <w:p w14:paraId="42608E1F" w14:textId="088E2098"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Q2</w:t>
            </w:r>
          </w:p>
        </w:tc>
        <w:tc>
          <w:tcPr>
            <w:tcW w:w="553" w:type="dxa"/>
            <w:shd w:val="clear" w:color="auto" w:fill="C6EFCE"/>
            <w:noWrap/>
          </w:tcPr>
          <w:p w14:paraId="0D3913D5" w14:textId="27794172"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2025</w:t>
            </w:r>
          </w:p>
        </w:tc>
        <w:tc>
          <w:tcPr>
            <w:tcW w:w="6888" w:type="dxa"/>
            <w:shd w:val="clear" w:color="auto" w:fill="C6EFCE"/>
            <w:noWrap/>
          </w:tcPr>
          <w:p w14:paraId="61BA7A50" w14:textId="3FAD521F" w:rsidR="00D65CB4" w:rsidRPr="00BC4EE7" w:rsidRDefault="00572307">
            <w:pPr>
              <w:pStyle w:val="P68B1DB1-Normal12"/>
              <w:spacing w:after="0" w:line="240" w:lineRule="auto"/>
              <w:jc w:val="both"/>
              <w:rPr>
                <w:rFonts w:cs="Times New Roman"/>
                <w:noProof/>
              </w:rPr>
            </w:pPr>
            <w:r w:rsidRPr="00BC4EE7">
              <w:rPr>
                <w:rFonts w:cs="Times New Roman"/>
                <w:noProof/>
              </w:rPr>
              <w:t>Ajánlásokat és bevált gyakorlatokat tartalmazó útmutató közzététele, amely referenciaként szolgál a várostervezési engedélyezési eljárások egyszerűsítésére és felgyorsítására, ösztönözve i. a helyi, regionális és központi szintű közigazgatási szervek közötti tudás- és tapasztalatcserét, ii. a folyamatok rendszerezését és optimalizálását célzó intézkedéseket, valamint iii. a kísérleti projektek jövőbeli fejlesztését különböző területi összefüggésekben.</w:t>
            </w:r>
          </w:p>
        </w:tc>
      </w:tr>
      <w:tr w:rsidR="00D65CB4" w:rsidRPr="00BC4EE7" w14:paraId="38D56DF5" w14:textId="77777777" w:rsidTr="002F5BA1">
        <w:trPr>
          <w:trHeight w:val="309"/>
        </w:trPr>
        <w:tc>
          <w:tcPr>
            <w:tcW w:w="832" w:type="dxa"/>
            <w:shd w:val="clear" w:color="auto" w:fill="C6EFCE"/>
            <w:noWrap/>
          </w:tcPr>
          <w:p w14:paraId="581D0E86" w14:textId="61284E5C" w:rsidR="00D65CB4" w:rsidRPr="00BC4EE7" w:rsidRDefault="00572307">
            <w:pPr>
              <w:pStyle w:val="P68B1DB1-Normal12"/>
              <w:spacing w:after="0" w:line="240" w:lineRule="auto"/>
              <w:jc w:val="center"/>
              <w:rPr>
                <w:rFonts w:cs="Times New Roman"/>
                <w:noProof/>
              </w:rPr>
            </w:pPr>
            <w:r w:rsidRPr="00BC4EE7">
              <w:rPr>
                <w:rFonts w:cs="Times New Roman"/>
                <w:noProof/>
              </w:rPr>
              <w:t>L4</w:t>
            </w:r>
          </w:p>
        </w:tc>
        <w:tc>
          <w:tcPr>
            <w:tcW w:w="1012" w:type="dxa"/>
            <w:shd w:val="clear" w:color="auto" w:fill="C6EFCE"/>
            <w:noWrap/>
          </w:tcPr>
          <w:p w14:paraId="6DC31959" w14:textId="3382D85A" w:rsidR="00D65CB4" w:rsidRPr="00BC4EE7" w:rsidRDefault="00572307">
            <w:pPr>
              <w:pStyle w:val="P68B1DB1-Normal12"/>
              <w:spacing w:after="0" w:line="240" w:lineRule="auto"/>
              <w:jc w:val="center"/>
              <w:rPr>
                <w:rFonts w:cs="Times New Roman"/>
                <w:noProof/>
              </w:rPr>
            </w:pPr>
            <w:r w:rsidRPr="00BC4EE7">
              <w:rPr>
                <w:rFonts w:cs="Times New Roman"/>
                <w:noProof/>
              </w:rPr>
              <w:t>C2.I7</w:t>
            </w:r>
          </w:p>
        </w:tc>
        <w:tc>
          <w:tcPr>
            <w:tcW w:w="992" w:type="dxa"/>
            <w:shd w:val="clear" w:color="auto" w:fill="C6EFCE"/>
            <w:noWrap/>
          </w:tcPr>
          <w:p w14:paraId="70B05008" w14:textId="04C0F159"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M</w:t>
            </w:r>
          </w:p>
        </w:tc>
        <w:tc>
          <w:tcPr>
            <w:tcW w:w="1171" w:type="dxa"/>
            <w:shd w:val="clear" w:color="auto" w:fill="C6EFCE"/>
            <w:noWrap/>
          </w:tcPr>
          <w:p w14:paraId="36FB47E8" w14:textId="5CCF2693" w:rsidR="00D65CB4" w:rsidRPr="00BC4EE7" w:rsidRDefault="00572307">
            <w:pPr>
              <w:pStyle w:val="P68B1DB1-Normal12"/>
              <w:spacing w:after="0" w:line="240" w:lineRule="auto"/>
              <w:rPr>
                <w:rFonts w:eastAsia="MS Mincho" w:cs="Times New Roman"/>
                <w:noProof/>
              </w:rPr>
            </w:pPr>
            <w:r w:rsidRPr="00BC4EE7">
              <w:rPr>
                <w:rFonts w:cs="Times New Roman"/>
                <w:noProof/>
              </w:rPr>
              <w:t>Végrehajtási megállapodás</w:t>
            </w:r>
          </w:p>
        </w:tc>
        <w:tc>
          <w:tcPr>
            <w:tcW w:w="1241" w:type="dxa"/>
            <w:shd w:val="clear" w:color="auto" w:fill="C6EFCE"/>
            <w:noWrap/>
          </w:tcPr>
          <w:p w14:paraId="610252A4" w14:textId="1207B9F6"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A végrehajtási megállapodás hatálybalépése </w:t>
            </w:r>
          </w:p>
        </w:tc>
        <w:tc>
          <w:tcPr>
            <w:tcW w:w="829" w:type="dxa"/>
            <w:shd w:val="clear" w:color="auto" w:fill="C6EFCE"/>
            <w:noWrap/>
          </w:tcPr>
          <w:p w14:paraId="312942BC" w14:textId="77777777" w:rsidR="00D65CB4" w:rsidRPr="00BC4EE7" w:rsidRDefault="00D65CB4">
            <w:pPr>
              <w:spacing w:after="0" w:line="240" w:lineRule="auto"/>
              <w:jc w:val="center"/>
              <w:rPr>
                <w:rFonts w:ascii="Times New Roman" w:eastAsia="MS Mincho" w:hAnsi="Times New Roman" w:cs="Times New Roman"/>
                <w:noProof/>
                <w:sz w:val="18"/>
              </w:rPr>
            </w:pPr>
          </w:p>
        </w:tc>
        <w:tc>
          <w:tcPr>
            <w:tcW w:w="966" w:type="dxa"/>
            <w:shd w:val="clear" w:color="auto" w:fill="C6EFCE"/>
            <w:noWrap/>
          </w:tcPr>
          <w:p w14:paraId="16F1E204" w14:textId="77777777" w:rsidR="00D65CB4" w:rsidRPr="00BC4EE7" w:rsidRDefault="00D65CB4">
            <w:pPr>
              <w:spacing w:after="0" w:line="240" w:lineRule="auto"/>
              <w:jc w:val="center"/>
              <w:rPr>
                <w:rFonts w:ascii="Times New Roman" w:eastAsia="MS Mincho" w:hAnsi="Times New Roman" w:cs="Times New Roman"/>
                <w:noProof/>
                <w:sz w:val="18"/>
              </w:rPr>
            </w:pPr>
          </w:p>
        </w:tc>
        <w:tc>
          <w:tcPr>
            <w:tcW w:w="600" w:type="dxa"/>
            <w:shd w:val="clear" w:color="auto" w:fill="C6EFCE"/>
            <w:noWrap/>
          </w:tcPr>
          <w:p w14:paraId="58788460" w14:textId="77777777" w:rsidR="00D65CB4" w:rsidRPr="00BC4EE7" w:rsidRDefault="00D65CB4">
            <w:pPr>
              <w:spacing w:after="0" w:line="240" w:lineRule="auto"/>
              <w:jc w:val="center"/>
              <w:rPr>
                <w:rFonts w:ascii="Times New Roman" w:eastAsia="MS Mincho" w:hAnsi="Times New Roman" w:cs="Times New Roman"/>
                <w:noProof/>
                <w:sz w:val="18"/>
              </w:rPr>
            </w:pPr>
          </w:p>
        </w:tc>
        <w:tc>
          <w:tcPr>
            <w:tcW w:w="368" w:type="dxa"/>
            <w:shd w:val="clear" w:color="auto" w:fill="C6EFCE"/>
            <w:noWrap/>
          </w:tcPr>
          <w:p w14:paraId="227B374F" w14:textId="2DD063CB"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Q4</w:t>
            </w:r>
          </w:p>
        </w:tc>
        <w:tc>
          <w:tcPr>
            <w:tcW w:w="553" w:type="dxa"/>
            <w:shd w:val="clear" w:color="auto" w:fill="C6EFCE"/>
            <w:noWrap/>
          </w:tcPr>
          <w:p w14:paraId="6C05A2C5" w14:textId="0E982D44"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2023</w:t>
            </w:r>
          </w:p>
        </w:tc>
        <w:tc>
          <w:tcPr>
            <w:tcW w:w="6888" w:type="dxa"/>
            <w:shd w:val="clear" w:color="auto" w:fill="C6EFCE"/>
            <w:noWrap/>
          </w:tcPr>
          <w:p w14:paraId="2F424DF0" w14:textId="4D75BCB4" w:rsidR="00D65CB4" w:rsidRPr="00BC4EE7" w:rsidRDefault="00572307">
            <w:pPr>
              <w:pStyle w:val="P68B1DB1-Normal12"/>
              <w:spacing w:after="0" w:line="240" w:lineRule="auto"/>
              <w:rPr>
                <w:rFonts w:eastAsia="Times New Roman" w:cs="Times New Roman"/>
                <w:noProof/>
              </w:rPr>
            </w:pPr>
            <w:r w:rsidRPr="00BC4EE7">
              <w:rPr>
                <w:rFonts w:cs="Times New Roman"/>
                <w:noProof/>
              </w:rPr>
              <w:t>A végrehajtási megállapodás hatálybalépése.</w:t>
            </w:r>
          </w:p>
        </w:tc>
      </w:tr>
      <w:tr w:rsidR="00D65CB4" w:rsidRPr="00BC4EE7" w14:paraId="2CD0167A" w14:textId="77777777" w:rsidTr="002F5BA1">
        <w:trPr>
          <w:trHeight w:val="309"/>
        </w:trPr>
        <w:tc>
          <w:tcPr>
            <w:tcW w:w="832" w:type="dxa"/>
            <w:shd w:val="clear" w:color="auto" w:fill="C6EFCE"/>
            <w:noWrap/>
          </w:tcPr>
          <w:p w14:paraId="392D9D71" w14:textId="56AACBAD" w:rsidR="00D65CB4" w:rsidRPr="00BC4EE7" w:rsidRDefault="00572307">
            <w:pPr>
              <w:pStyle w:val="P68B1DB1-Normal12"/>
              <w:spacing w:after="0" w:line="240" w:lineRule="auto"/>
              <w:jc w:val="center"/>
              <w:rPr>
                <w:rFonts w:cs="Times New Roman"/>
                <w:noProof/>
              </w:rPr>
            </w:pPr>
            <w:r w:rsidRPr="00BC4EE7">
              <w:rPr>
                <w:rFonts w:cs="Times New Roman"/>
                <w:noProof/>
              </w:rPr>
              <w:t>L5</w:t>
            </w:r>
          </w:p>
        </w:tc>
        <w:tc>
          <w:tcPr>
            <w:tcW w:w="1012" w:type="dxa"/>
            <w:shd w:val="clear" w:color="auto" w:fill="C6EFCE"/>
            <w:noWrap/>
          </w:tcPr>
          <w:p w14:paraId="25FDDC15" w14:textId="5CA09D84"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C2.I7</w:t>
            </w:r>
          </w:p>
        </w:tc>
        <w:tc>
          <w:tcPr>
            <w:tcW w:w="992" w:type="dxa"/>
            <w:shd w:val="clear" w:color="auto" w:fill="C6EFCE"/>
            <w:noWrap/>
          </w:tcPr>
          <w:p w14:paraId="16F0D7EA" w14:textId="345E298E"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1171" w:type="dxa"/>
            <w:shd w:val="clear" w:color="auto" w:fill="C6EFCE"/>
            <w:noWrap/>
          </w:tcPr>
          <w:p w14:paraId="3097EE05" w14:textId="60F6E4CE" w:rsidR="00D65CB4" w:rsidRPr="00BC4EE7" w:rsidRDefault="00572307">
            <w:pPr>
              <w:pStyle w:val="P68B1DB1-Normal12"/>
              <w:spacing w:after="0" w:line="240" w:lineRule="auto"/>
              <w:rPr>
                <w:rFonts w:eastAsia="Times New Roman" w:cs="Times New Roman"/>
                <w:noProof/>
              </w:rPr>
            </w:pPr>
            <w:r w:rsidRPr="00BC4EE7">
              <w:rPr>
                <w:rFonts w:cs="Times New Roman"/>
                <w:noProof/>
              </w:rPr>
              <w:t>ICO-hiteleszköz a szociális lakhatás előmozdítására: A végső kedvezményezettekkel aláírt jogi megállapodások (I)</w:t>
            </w:r>
          </w:p>
        </w:tc>
        <w:tc>
          <w:tcPr>
            <w:tcW w:w="1241" w:type="dxa"/>
            <w:shd w:val="clear" w:color="auto" w:fill="C6EFCE"/>
            <w:noWrap/>
          </w:tcPr>
          <w:p w14:paraId="4F9310A1" w14:textId="7AB4A014"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A jogi finanszírozási megállapodások hatálybalépése</w:t>
            </w:r>
          </w:p>
        </w:tc>
        <w:tc>
          <w:tcPr>
            <w:tcW w:w="829" w:type="dxa"/>
            <w:shd w:val="clear" w:color="auto" w:fill="C6EFCE"/>
            <w:noWrap/>
          </w:tcPr>
          <w:p w14:paraId="57F1D005" w14:textId="77777777" w:rsidR="00D65CB4" w:rsidRPr="00BC4EE7" w:rsidRDefault="00D65CB4">
            <w:pPr>
              <w:spacing w:after="0" w:line="240" w:lineRule="auto"/>
              <w:jc w:val="center"/>
              <w:rPr>
                <w:rFonts w:ascii="Times New Roman" w:eastAsia="MS Mincho" w:hAnsi="Times New Roman" w:cs="Times New Roman"/>
                <w:noProof/>
                <w:sz w:val="18"/>
              </w:rPr>
            </w:pPr>
          </w:p>
        </w:tc>
        <w:tc>
          <w:tcPr>
            <w:tcW w:w="966" w:type="dxa"/>
            <w:shd w:val="clear" w:color="auto" w:fill="C6EFCE"/>
            <w:noWrap/>
          </w:tcPr>
          <w:p w14:paraId="72C6405B" w14:textId="39EBCFBA"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0</w:t>
            </w:r>
          </w:p>
        </w:tc>
        <w:tc>
          <w:tcPr>
            <w:tcW w:w="600" w:type="dxa"/>
            <w:shd w:val="clear" w:color="auto" w:fill="C6EFCE"/>
            <w:noWrap/>
          </w:tcPr>
          <w:p w14:paraId="3A9FDC85" w14:textId="21C170F1"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40%</w:t>
            </w:r>
          </w:p>
        </w:tc>
        <w:tc>
          <w:tcPr>
            <w:tcW w:w="368" w:type="dxa"/>
            <w:shd w:val="clear" w:color="auto" w:fill="C6EFCE"/>
            <w:noWrap/>
          </w:tcPr>
          <w:p w14:paraId="21DB9EBA" w14:textId="00934B7F"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Q2</w:t>
            </w:r>
          </w:p>
        </w:tc>
        <w:tc>
          <w:tcPr>
            <w:tcW w:w="553" w:type="dxa"/>
            <w:shd w:val="clear" w:color="auto" w:fill="C6EFCE"/>
            <w:noWrap/>
          </w:tcPr>
          <w:p w14:paraId="01651932" w14:textId="611A3511"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2025</w:t>
            </w:r>
          </w:p>
        </w:tc>
        <w:tc>
          <w:tcPr>
            <w:tcW w:w="6888" w:type="dxa"/>
            <w:shd w:val="clear" w:color="auto" w:fill="C6EFCE"/>
            <w:noWrap/>
          </w:tcPr>
          <w:p w14:paraId="51ED6664" w14:textId="414B348B"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Az ICO-nak és az ICO által kiválasztott közvetítőknek jogi finanszírozási megállapodásokat kell kötniük a végső kedvezményezettekkel a Helyreállítási és Rezilienciaépítési Eszközbe történő beruházás legalább 40%-ának felhasználásához szükséges összegről (figyelembe véve az irányítási díjakat). Az ICO-nak a Helyreállítási és Rezilienciaépítési Eszközről szóló rendelet VI. mellékletében foglalt módszertan alkalmazásával jelentést kell készítenie, amelyben részletezi e finanszírozás azon százalékos arányát, amely hozzájárul az éghajlat-politikai célkitűzésekhez. </w:t>
            </w:r>
          </w:p>
        </w:tc>
      </w:tr>
      <w:tr w:rsidR="00D65CB4" w:rsidRPr="00BC4EE7" w14:paraId="746F530B" w14:textId="77777777" w:rsidTr="002F5BA1">
        <w:trPr>
          <w:trHeight w:val="1347"/>
        </w:trPr>
        <w:tc>
          <w:tcPr>
            <w:tcW w:w="832" w:type="dxa"/>
            <w:shd w:val="clear" w:color="auto" w:fill="C6EFCE"/>
            <w:noWrap/>
          </w:tcPr>
          <w:p w14:paraId="4E2B308E" w14:textId="0CF5707A" w:rsidR="00D65CB4" w:rsidRPr="00BC4EE7" w:rsidRDefault="00572307">
            <w:pPr>
              <w:pStyle w:val="P68B1DB1-Normal12"/>
              <w:spacing w:line="240" w:lineRule="auto"/>
              <w:jc w:val="center"/>
              <w:rPr>
                <w:rFonts w:cs="Times New Roman"/>
                <w:noProof/>
              </w:rPr>
            </w:pPr>
            <w:r w:rsidRPr="00BC4EE7">
              <w:rPr>
                <w:rFonts w:cs="Times New Roman"/>
                <w:noProof/>
              </w:rPr>
              <w:t>L6</w:t>
            </w:r>
          </w:p>
        </w:tc>
        <w:tc>
          <w:tcPr>
            <w:tcW w:w="1012" w:type="dxa"/>
            <w:shd w:val="clear" w:color="auto" w:fill="C6EFCE"/>
            <w:noWrap/>
          </w:tcPr>
          <w:p w14:paraId="058524C6" w14:textId="0333633D" w:rsidR="00D65CB4" w:rsidRPr="00BC4EE7" w:rsidRDefault="00572307">
            <w:pPr>
              <w:pStyle w:val="P68B1DB1-Normal12"/>
              <w:spacing w:line="240" w:lineRule="auto"/>
              <w:jc w:val="center"/>
              <w:rPr>
                <w:rFonts w:cs="Times New Roman"/>
                <w:noProof/>
              </w:rPr>
            </w:pPr>
            <w:r w:rsidRPr="00BC4EE7">
              <w:rPr>
                <w:rFonts w:cs="Times New Roman"/>
                <w:noProof/>
              </w:rPr>
              <w:t>C2.I7</w:t>
            </w:r>
          </w:p>
        </w:tc>
        <w:tc>
          <w:tcPr>
            <w:tcW w:w="992" w:type="dxa"/>
            <w:shd w:val="clear" w:color="auto" w:fill="C6EFCE"/>
            <w:noWrap/>
          </w:tcPr>
          <w:p w14:paraId="304E6E44" w14:textId="005A04C6" w:rsidR="00D65CB4" w:rsidRPr="00BC4EE7" w:rsidRDefault="00572307">
            <w:pPr>
              <w:pStyle w:val="P68B1DB1-Normal12"/>
              <w:spacing w:line="240" w:lineRule="auto"/>
              <w:jc w:val="center"/>
              <w:rPr>
                <w:rFonts w:cs="Times New Roman"/>
                <w:noProof/>
              </w:rPr>
            </w:pPr>
            <w:r w:rsidRPr="00BC4EE7">
              <w:rPr>
                <w:rFonts w:cs="Times New Roman"/>
                <w:noProof/>
              </w:rPr>
              <w:t>T</w:t>
            </w:r>
          </w:p>
        </w:tc>
        <w:tc>
          <w:tcPr>
            <w:tcW w:w="1171" w:type="dxa"/>
            <w:shd w:val="clear" w:color="auto" w:fill="C6EFCE"/>
            <w:noWrap/>
          </w:tcPr>
          <w:p w14:paraId="428F4723" w14:textId="5B70B40B" w:rsidR="00D65CB4" w:rsidRPr="00BC4EE7" w:rsidRDefault="00572307">
            <w:pPr>
              <w:pStyle w:val="P68B1DB1-Normal12"/>
              <w:spacing w:line="240" w:lineRule="auto"/>
              <w:rPr>
                <w:rFonts w:eastAsia="Times New Roman" w:cs="Times New Roman"/>
                <w:noProof/>
              </w:rPr>
            </w:pPr>
            <w:r w:rsidRPr="00BC4EE7">
              <w:rPr>
                <w:rFonts w:cs="Times New Roman"/>
                <w:noProof/>
              </w:rPr>
              <w:t>ICO-hiteleszköz a szociális lakhatás előmozdítására: A végső kedvezményezettekkel aláírt jogi megállapodások (II.)</w:t>
            </w:r>
          </w:p>
        </w:tc>
        <w:tc>
          <w:tcPr>
            <w:tcW w:w="1241" w:type="dxa"/>
            <w:shd w:val="clear" w:color="auto" w:fill="C6EFCE"/>
            <w:noWrap/>
          </w:tcPr>
          <w:p w14:paraId="5C08B433" w14:textId="0DB80089" w:rsidR="00D65CB4" w:rsidRPr="00BC4EE7" w:rsidRDefault="00572307">
            <w:pPr>
              <w:pStyle w:val="P68B1DB1-Normal12"/>
              <w:spacing w:line="240" w:lineRule="auto"/>
              <w:jc w:val="center"/>
              <w:rPr>
                <w:rFonts w:eastAsia="MS Mincho" w:cs="Times New Roman"/>
                <w:noProof/>
              </w:rPr>
            </w:pPr>
            <w:r w:rsidRPr="00BC4EE7">
              <w:rPr>
                <w:rFonts w:cs="Times New Roman"/>
                <w:noProof/>
              </w:rPr>
              <w:t>A jogi finanszírozási megállapodások hatálybalépése</w:t>
            </w:r>
          </w:p>
        </w:tc>
        <w:tc>
          <w:tcPr>
            <w:tcW w:w="829" w:type="dxa"/>
            <w:shd w:val="clear" w:color="auto" w:fill="C6EFCE"/>
            <w:noWrap/>
          </w:tcPr>
          <w:p w14:paraId="2D173D44" w14:textId="0FCC8573" w:rsidR="00D65CB4" w:rsidRPr="00BC4EE7" w:rsidRDefault="00D65CB4">
            <w:pPr>
              <w:spacing w:line="240" w:lineRule="auto"/>
              <w:jc w:val="center"/>
              <w:rPr>
                <w:rFonts w:ascii="Times New Roman" w:eastAsia="MS Mincho" w:hAnsi="Times New Roman" w:cs="Times New Roman"/>
                <w:noProof/>
                <w:sz w:val="18"/>
              </w:rPr>
            </w:pPr>
          </w:p>
        </w:tc>
        <w:tc>
          <w:tcPr>
            <w:tcW w:w="966" w:type="dxa"/>
            <w:shd w:val="clear" w:color="auto" w:fill="C6EFCE"/>
            <w:noWrap/>
          </w:tcPr>
          <w:p w14:paraId="4D6F13DE" w14:textId="21999F9C" w:rsidR="00D65CB4" w:rsidRPr="00BC4EE7" w:rsidRDefault="00572307">
            <w:pPr>
              <w:pStyle w:val="P68B1DB1-Normal12"/>
              <w:spacing w:line="240" w:lineRule="auto"/>
              <w:jc w:val="center"/>
              <w:rPr>
                <w:rFonts w:eastAsia="MS Mincho" w:cs="Times New Roman"/>
                <w:noProof/>
              </w:rPr>
            </w:pPr>
            <w:r w:rsidRPr="00BC4EE7">
              <w:rPr>
                <w:rFonts w:cs="Times New Roman"/>
                <w:noProof/>
              </w:rPr>
              <w:t>40%</w:t>
            </w:r>
          </w:p>
        </w:tc>
        <w:tc>
          <w:tcPr>
            <w:tcW w:w="600" w:type="dxa"/>
            <w:shd w:val="clear" w:color="auto" w:fill="C6EFCE"/>
            <w:noWrap/>
          </w:tcPr>
          <w:p w14:paraId="0246FBFE" w14:textId="2C356C95" w:rsidR="00D65CB4" w:rsidRPr="00BC4EE7" w:rsidRDefault="00572307">
            <w:pPr>
              <w:pStyle w:val="P68B1DB1-Normal12"/>
              <w:spacing w:line="240" w:lineRule="auto"/>
              <w:jc w:val="center"/>
              <w:rPr>
                <w:rFonts w:eastAsia="MS Mincho" w:cs="Times New Roman"/>
                <w:noProof/>
              </w:rPr>
            </w:pPr>
            <w:r w:rsidRPr="00BC4EE7">
              <w:rPr>
                <w:rFonts w:cs="Times New Roman"/>
                <w:noProof/>
              </w:rPr>
              <w:t>100%-OS</w:t>
            </w:r>
          </w:p>
        </w:tc>
        <w:tc>
          <w:tcPr>
            <w:tcW w:w="368" w:type="dxa"/>
            <w:shd w:val="clear" w:color="auto" w:fill="C6EFCE"/>
            <w:noWrap/>
          </w:tcPr>
          <w:p w14:paraId="443766DD" w14:textId="1C897B17" w:rsidR="00D65CB4" w:rsidRPr="00BC4EE7" w:rsidRDefault="00572307">
            <w:pPr>
              <w:pStyle w:val="P68B1DB1-Normal12"/>
              <w:spacing w:line="240" w:lineRule="auto"/>
              <w:jc w:val="center"/>
              <w:rPr>
                <w:rFonts w:eastAsia="MS Mincho" w:cs="Times New Roman"/>
                <w:noProof/>
              </w:rPr>
            </w:pPr>
            <w:r w:rsidRPr="00BC4EE7">
              <w:rPr>
                <w:rFonts w:cs="Times New Roman"/>
                <w:noProof/>
              </w:rPr>
              <w:t>Q3</w:t>
            </w:r>
          </w:p>
        </w:tc>
        <w:tc>
          <w:tcPr>
            <w:tcW w:w="553" w:type="dxa"/>
            <w:shd w:val="clear" w:color="auto" w:fill="C6EFCE"/>
            <w:noWrap/>
          </w:tcPr>
          <w:p w14:paraId="4C89FFCC" w14:textId="13364794" w:rsidR="00D65CB4" w:rsidRPr="00BC4EE7" w:rsidRDefault="00572307">
            <w:pPr>
              <w:pStyle w:val="P68B1DB1-Normal12"/>
              <w:spacing w:line="240" w:lineRule="auto"/>
              <w:jc w:val="center"/>
              <w:rPr>
                <w:rFonts w:eastAsia="MS Mincho" w:cs="Times New Roman"/>
                <w:noProof/>
              </w:rPr>
            </w:pPr>
            <w:r w:rsidRPr="00BC4EE7">
              <w:rPr>
                <w:rFonts w:cs="Times New Roman"/>
                <w:noProof/>
              </w:rPr>
              <w:t>2026</w:t>
            </w:r>
          </w:p>
        </w:tc>
        <w:tc>
          <w:tcPr>
            <w:tcW w:w="6888" w:type="dxa"/>
            <w:shd w:val="clear" w:color="auto" w:fill="C6EFCE"/>
            <w:noWrap/>
          </w:tcPr>
          <w:p w14:paraId="6A232E7E" w14:textId="06BB6E20" w:rsidR="00D65CB4" w:rsidRPr="00BC4EE7" w:rsidRDefault="00572307">
            <w:pPr>
              <w:pStyle w:val="P68B1DB1-Normal12"/>
              <w:spacing w:line="240" w:lineRule="auto"/>
              <w:rPr>
                <w:rFonts w:eastAsia="MS Mincho" w:cs="Times New Roman"/>
                <w:noProof/>
                <w:highlight w:val="yellow"/>
              </w:rPr>
            </w:pPr>
            <w:r w:rsidRPr="00BC4EE7">
              <w:rPr>
                <w:rFonts w:cs="Times New Roman"/>
                <w:noProof/>
              </w:rPr>
              <w:t>Az ICO-nak és az ICO által kiválasztott közvetítőknek jogi finanszírozási megállapodásokat kell kötniük a végső kedvezményezettekkel az RRF-beruházás 100%-ának az eszközbe történő felhasználásához szükséges összegről (figyelembe véve az irányítási díjakat). E finanszírozás legalább 53%-ának éghajlat-politikai célkitűzésekhez kell hozzájárulnia a Helyreállítási és Rezilienciaépítési Eszközről szóló rendelet VI. mellékletében foglalt módszertan alkalmazásával.</w:t>
            </w:r>
          </w:p>
        </w:tc>
      </w:tr>
      <w:tr w:rsidR="00D65CB4" w:rsidRPr="00BC4EE7" w14:paraId="6B2B8293" w14:textId="77777777" w:rsidTr="002F5BA1">
        <w:trPr>
          <w:trHeight w:val="309"/>
        </w:trPr>
        <w:tc>
          <w:tcPr>
            <w:tcW w:w="832" w:type="dxa"/>
            <w:shd w:val="clear" w:color="auto" w:fill="C6EFCE"/>
            <w:noWrap/>
          </w:tcPr>
          <w:p w14:paraId="1CF3BA19" w14:textId="0C399F54" w:rsidR="00D65CB4" w:rsidRPr="00BC4EE7" w:rsidRDefault="00572307">
            <w:pPr>
              <w:pStyle w:val="P68B1DB1-Normal12"/>
              <w:spacing w:line="240" w:lineRule="auto"/>
              <w:jc w:val="center"/>
              <w:rPr>
                <w:rFonts w:cs="Times New Roman"/>
                <w:noProof/>
              </w:rPr>
            </w:pPr>
            <w:r w:rsidRPr="00BC4EE7">
              <w:rPr>
                <w:rFonts w:cs="Times New Roman"/>
                <w:noProof/>
              </w:rPr>
              <w:t>L7</w:t>
            </w:r>
          </w:p>
        </w:tc>
        <w:tc>
          <w:tcPr>
            <w:tcW w:w="1012" w:type="dxa"/>
            <w:shd w:val="clear" w:color="auto" w:fill="C6EFCE"/>
            <w:noWrap/>
          </w:tcPr>
          <w:p w14:paraId="1408412B" w14:textId="7DB586C1" w:rsidR="00D65CB4" w:rsidRPr="00BC4EE7" w:rsidRDefault="00572307">
            <w:pPr>
              <w:pStyle w:val="P68B1DB1-Normal12"/>
              <w:spacing w:line="240" w:lineRule="auto"/>
              <w:jc w:val="center"/>
              <w:rPr>
                <w:rFonts w:cs="Times New Roman"/>
                <w:noProof/>
              </w:rPr>
            </w:pPr>
            <w:r w:rsidRPr="00BC4EE7">
              <w:rPr>
                <w:rFonts w:cs="Times New Roman"/>
                <w:noProof/>
              </w:rPr>
              <w:t>C2.I7</w:t>
            </w:r>
          </w:p>
        </w:tc>
        <w:tc>
          <w:tcPr>
            <w:tcW w:w="992" w:type="dxa"/>
            <w:shd w:val="clear" w:color="auto" w:fill="C6EFCE"/>
            <w:noWrap/>
          </w:tcPr>
          <w:p w14:paraId="10367F2B" w14:textId="065962E0" w:rsidR="00D65CB4" w:rsidRPr="00BC4EE7" w:rsidRDefault="00572307">
            <w:pPr>
              <w:pStyle w:val="P68B1DB1-Normal12"/>
              <w:spacing w:line="240" w:lineRule="auto"/>
              <w:jc w:val="center"/>
              <w:rPr>
                <w:rFonts w:eastAsia="Times New Roman" w:cs="Times New Roman"/>
                <w:noProof/>
              </w:rPr>
            </w:pPr>
            <w:r w:rsidRPr="00BC4EE7">
              <w:rPr>
                <w:rFonts w:cs="Times New Roman"/>
                <w:noProof/>
              </w:rPr>
              <w:t>M</w:t>
            </w:r>
          </w:p>
        </w:tc>
        <w:tc>
          <w:tcPr>
            <w:tcW w:w="1171" w:type="dxa"/>
            <w:shd w:val="clear" w:color="auto" w:fill="C6EFCE"/>
            <w:noWrap/>
          </w:tcPr>
          <w:p w14:paraId="7C8F71CB" w14:textId="5F7C72DA" w:rsidR="00D65CB4" w:rsidRPr="00BC4EE7" w:rsidRDefault="00572307">
            <w:pPr>
              <w:pStyle w:val="P68B1DB1-Normal12"/>
              <w:spacing w:line="240" w:lineRule="auto"/>
              <w:rPr>
                <w:rFonts w:eastAsia="Times New Roman" w:cs="Times New Roman"/>
                <w:noProof/>
              </w:rPr>
            </w:pPr>
            <w:r w:rsidRPr="00BC4EE7">
              <w:rPr>
                <w:rFonts w:cs="Times New Roman"/>
                <w:noProof/>
              </w:rPr>
              <w:t>ICO-hiteleszköz a szociális lakhatás előmozdítására: A minisztérium befejezte a beruházást</w:t>
            </w:r>
          </w:p>
        </w:tc>
        <w:tc>
          <w:tcPr>
            <w:tcW w:w="1241" w:type="dxa"/>
            <w:shd w:val="clear" w:color="auto" w:fill="C6EFCE"/>
            <w:noWrap/>
          </w:tcPr>
          <w:p w14:paraId="71336454" w14:textId="444EFBFF" w:rsidR="00D65CB4" w:rsidRPr="00BC4EE7" w:rsidRDefault="00572307">
            <w:pPr>
              <w:pStyle w:val="P68B1DB1-Normal12"/>
              <w:spacing w:line="240" w:lineRule="auto"/>
              <w:jc w:val="center"/>
              <w:rPr>
                <w:rFonts w:eastAsia="Times New Roman" w:cs="Times New Roman"/>
                <w:noProof/>
              </w:rPr>
            </w:pPr>
            <w:r w:rsidRPr="00BC4EE7">
              <w:rPr>
                <w:rFonts w:cs="Times New Roman"/>
                <w:noProof/>
              </w:rPr>
              <w:t>Átutalási igazolás</w:t>
            </w:r>
          </w:p>
        </w:tc>
        <w:tc>
          <w:tcPr>
            <w:tcW w:w="829" w:type="dxa"/>
            <w:shd w:val="clear" w:color="auto" w:fill="C6EFCE"/>
            <w:noWrap/>
          </w:tcPr>
          <w:p w14:paraId="25B9BE26" w14:textId="4D610181" w:rsidR="00D65CB4" w:rsidRPr="00BC4EE7" w:rsidRDefault="00D65CB4">
            <w:pPr>
              <w:spacing w:line="240" w:lineRule="auto"/>
              <w:jc w:val="center"/>
              <w:rPr>
                <w:rFonts w:ascii="Times New Roman" w:eastAsia="Times New Roman" w:hAnsi="Times New Roman" w:cs="Times New Roman"/>
                <w:noProof/>
                <w:sz w:val="18"/>
              </w:rPr>
            </w:pPr>
          </w:p>
        </w:tc>
        <w:tc>
          <w:tcPr>
            <w:tcW w:w="966" w:type="dxa"/>
            <w:shd w:val="clear" w:color="auto" w:fill="C6EFCE"/>
            <w:noWrap/>
          </w:tcPr>
          <w:p w14:paraId="122EAD9D" w14:textId="40776BE9" w:rsidR="00D65CB4" w:rsidRPr="00BC4EE7" w:rsidRDefault="00D65CB4">
            <w:pPr>
              <w:spacing w:line="240" w:lineRule="auto"/>
              <w:jc w:val="center"/>
              <w:rPr>
                <w:rFonts w:ascii="Times New Roman" w:eastAsia="Times New Roman" w:hAnsi="Times New Roman" w:cs="Times New Roman"/>
                <w:noProof/>
                <w:sz w:val="18"/>
              </w:rPr>
            </w:pPr>
          </w:p>
        </w:tc>
        <w:tc>
          <w:tcPr>
            <w:tcW w:w="600" w:type="dxa"/>
            <w:shd w:val="clear" w:color="auto" w:fill="C6EFCE"/>
            <w:noWrap/>
          </w:tcPr>
          <w:p w14:paraId="7D2A09D9" w14:textId="0C44DE8B" w:rsidR="00D65CB4" w:rsidRPr="00BC4EE7" w:rsidRDefault="00D65CB4">
            <w:pPr>
              <w:spacing w:line="240" w:lineRule="auto"/>
              <w:jc w:val="center"/>
              <w:rPr>
                <w:rFonts w:ascii="Times New Roman" w:eastAsia="Times New Roman" w:hAnsi="Times New Roman" w:cs="Times New Roman"/>
                <w:noProof/>
                <w:sz w:val="18"/>
              </w:rPr>
            </w:pPr>
          </w:p>
        </w:tc>
        <w:tc>
          <w:tcPr>
            <w:tcW w:w="368" w:type="dxa"/>
            <w:shd w:val="clear" w:color="auto" w:fill="C6EFCE"/>
            <w:noWrap/>
          </w:tcPr>
          <w:p w14:paraId="28734C61" w14:textId="6143EC0F" w:rsidR="00D65CB4" w:rsidRPr="00BC4EE7" w:rsidRDefault="00572307">
            <w:pPr>
              <w:pStyle w:val="P68B1DB1-Normal12"/>
              <w:spacing w:line="240" w:lineRule="auto"/>
              <w:jc w:val="center"/>
              <w:rPr>
                <w:rFonts w:eastAsia="Times New Roman" w:cs="Times New Roman"/>
                <w:noProof/>
              </w:rPr>
            </w:pPr>
            <w:r w:rsidRPr="00BC4EE7">
              <w:rPr>
                <w:rFonts w:cs="Times New Roman"/>
                <w:noProof/>
              </w:rPr>
              <w:t>Q3</w:t>
            </w:r>
          </w:p>
        </w:tc>
        <w:tc>
          <w:tcPr>
            <w:tcW w:w="553" w:type="dxa"/>
            <w:shd w:val="clear" w:color="auto" w:fill="C6EFCE"/>
            <w:noWrap/>
          </w:tcPr>
          <w:p w14:paraId="56C6C541" w14:textId="16AFCE3E" w:rsidR="00D65CB4" w:rsidRPr="00BC4EE7" w:rsidRDefault="00572307">
            <w:pPr>
              <w:pStyle w:val="P68B1DB1-Normal12"/>
              <w:spacing w:line="240" w:lineRule="auto"/>
              <w:jc w:val="center"/>
              <w:rPr>
                <w:rFonts w:eastAsia="Times New Roman" w:cs="Times New Roman"/>
                <w:noProof/>
              </w:rPr>
            </w:pPr>
            <w:r w:rsidRPr="00BC4EE7">
              <w:rPr>
                <w:rFonts w:cs="Times New Roman"/>
                <w:noProof/>
              </w:rPr>
              <w:t>2026</w:t>
            </w:r>
          </w:p>
        </w:tc>
        <w:tc>
          <w:tcPr>
            <w:tcW w:w="6888" w:type="dxa"/>
            <w:shd w:val="clear" w:color="auto" w:fill="C6EFCE"/>
            <w:noWrap/>
          </w:tcPr>
          <w:p w14:paraId="7E8991B2" w14:textId="017421DC" w:rsidR="00D65CB4" w:rsidRPr="00BC4EE7" w:rsidRDefault="00572307">
            <w:pPr>
              <w:pStyle w:val="P68B1DB1-Normal12"/>
              <w:spacing w:line="240" w:lineRule="auto"/>
              <w:rPr>
                <w:rFonts w:eastAsia="Times New Roman" w:cs="Times New Roman"/>
                <w:noProof/>
              </w:rPr>
            </w:pPr>
            <w:r w:rsidRPr="00BC4EE7">
              <w:rPr>
                <w:rFonts w:cs="Times New Roman"/>
                <w:noProof/>
              </w:rPr>
              <w:t>Spanyolország 4 000 000 000 EUR-t utal át az ICO-eszközbe.</w:t>
            </w:r>
          </w:p>
          <w:p w14:paraId="0F7D42DE" w14:textId="42AE55C2" w:rsidR="00D65CB4" w:rsidRPr="00BC4EE7" w:rsidRDefault="00D65CB4">
            <w:pPr>
              <w:spacing w:line="240" w:lineRule="auto"/>
              <w:rPr>
                <w:rFonts w:ascii="Times New Roman" w:eastAsia="Times New Roman" w:hAnsi="Times New Roman" w:cs="Times New Roman"/>
                <w:noProof/>
                <w:sz w:val="18"/>
              </w:rPr>
            </w:pPr>
          </w:p>
        </w:tc>
      </w:tr>
    </w:tbl>
    <w:p w14:paraId="1FC39945" w14:textId="77777777" w:rsidR="00D65CB4" w:rsidRPr="00BC4EE7" w:rsidRDefault="00D65CB4">
      <w:pPr>
        <w:spacing w:before="120" w:after="120" w:line="240" w:lineRule="auto"/>
        <w:jc w:val="both"/>
        <w:rPr>
          <w:rFonts w:ascii="Times New Roman" w:hAnsi="Times New Roman" w:cs="Times New Roman"/>
          <w:noProof/>
          <w:sz w:val="24"/>
        </w:rPr>
        <w:sectPr w:rsidR="00D65CB4" w:rsidRPr="00BC4EE7" w:rsidSect="00B511EF">
          <w:headerReference w:type="even" r:id="rId69"/>
          <w:headerReference w:type="default" r:id="rId70"/>
          <w:footerReference w:type="even" r:id="rId71"/>
          <w:footerReference w:type="default" r:id="rId72"/>
          <w:headerReference w:type="first" r:id="rId73"/>
          <w:footerReference w:type="first" r:id="rId74"/>
          <w:pgSz w:w="16839" w:h="11907" w:orient="landscape"/>
          <w:pgMar w:top="1134" w:right="1134" w:bottom="1134" w:left="1134" w:header="567" w:footer="567" w:gutter="0"/>
          <w:cols w:space="720"/>
          <w:docGrid w:linePitch="360"/>
        </w:sectPr>
      </w:pPr>
    </w:p>
    <w:p w14:paraId="3FF61C03" w14:textId="77777777" w:rsidR="00D65CB4" w:rsidRPr="00BC4EE7" w:rsidRDefault="00572307">
      <w:pPr>
        <w:pStyle w:val="P68B1DB1-Heading12"/>
        <w:rPr>
          <w:rFonts w:cs="Times New Roman"/>
          <w:noProof/>
        </w:rPr>
      </w:pPr>
      <w:r w:rsidRPr="00BC4EE7">
        <w:rPr>
          <w:rFonts w:cs="Times New Roman"/>
          <w:noProof/>
        </w:rPr>
        <w:t>C. 03. KOMPONENS: Az agrár-élelmiszeripari és halászati rendszer környezetvédelmi és digitális átalakítása</w:t>
      </w:r>
    </w:p>
    <w:p w14:paraId="7393EFBB"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spanyol helyreállítási és rezilienciaépítési terv ezen komponense gazdasági, környezeti és társadalmi szempontból javítja az agrár-élelmiszeripari és halászati ágazat fenntarthatóságát, versenyképességét és rezilienciáját. E célkitűzés elérése érdekében a spanyol helyreállítási és rezilienciaépítési terv ezen komponensében szereplő beruházások és reformok</w:t>
      </w:r>
      <w:r w:rsidRPr="00BC4EE7">
        <w:rPr>
          <w:rFonts w:cs="Times New Roman"/>
          <w:b/>
          <w:noProof/>
        </w:rPr>
        <w:t xml:space="preserve"> </w:t>
      </w:r>
      <w:r w:rsidRPr="00BC4EE7">
        <w:rPr>
          <w:rFonts w:cs="Times New Roman"/>
          <w:noProof/>
        </w:rPr>
        <w:t>a következő elemekre összpontosítanak:</w:t>
      </w:r>
    </w:p>
    <w:p w14:paraId="7108D29F" w14:textId="77777777" w:rsidR="00D65CB4" w:rsidRPr="00BC4EE7" w:rsidRDefault="00572307">
      <w:pPr>
        <w:pStyle w:val="P68B1DB1-Normal4"/>
        <w:numPr>
          <w:ilvl w:val="0"/>
          <w:numId w:val="73"/>
        </w:numPr>
        <w:spacing w:before="120" w:after="120" w:line="240" w:lineRule="auto"/>
        <w:ind w:left="425" w:hanging="425"/>
        <w:contextualSpacing/>
        <w:jc w:val="both"/>
        <w:rPr>
          <w:rFonts w:cs="Times New Roman"/>
          <w:noProof/>
        </w:rPr>
      </w:pPr>
      <w:r w:rsidRPr="00BC4EE7">
        <w:rPr>
          <w:rFonts w:cs="Times New Roman"/>
          <w:noProof/>
        </w:rPr>
        <w:t>Az öntözés hatékonyságának és fenntarthatóságának javítása;</w:t>
      </w:r>
    </w:p>
    <w:p w14:paraId="2967FDFE" w14:textId="77777777" w:rsidR="00D65CB4" w:rsidRPr="00BC4EE7" w:rsidRDefault="00572307">
      <w:pPr>
        <w:pStyle w:val="P68B1DB1-Normal4"/>
        <w:numPr>
          <w:ilvl w:val="0"/>
          <w:numId w:val="73"/>
        </w:numPr>
        <w:spacing w:before="120" w:after="120" w:line="240" w:lineRule="auto"/>
        <w:ind w:left="425" w:hanging="425"/>
        <w:contextualSpacing/>
        <w:jc w:val="both"/>
        <w:rPr>
          <w:rFonts w:cs="Times New Roman"/>
          <w:noProof/>
        </w:rPr>
      </w:pPr>
      <w:r w:rsidRPr="00BC4EE7">
        <w:rPr>
          <w:rFonts w:cs="Times New Roman"/>
          <w:noProof/>
        </w:rPr>
        <w:t>a mezőgazdaság és az állattenyésztés fenntarthatóságának és versenyképességének fokozása;</w:t>
      </w:r>
    </w:p>
    <w:p w14:paraId="43D2A3C8" w14:textId="77777777" w:rsidR="00D65CB4" w:rsidRPr="00BC4EE7" w:rsidRDefault="00572307">
      <w:pPr>
        <w:pStyle w:val="P68B1DB1-Normal4"/>
        <w:numPr>
          <w:ilvl w:val="0"/>
          <w:numId w:val="73"/>
        </w:numPr>
        <w:spacing w:before="120" w:after="120" w:line="240" w:lineRule="auto"/>
        <w:ind w:left="425" w:hanging="425"/>
        <w:contextualSpacing/>
        <w:jc w:val="both"/>
        <w:rPr>
          <w:rFonts w:cs="Times New Roman"/>
          <w:noProof/>
        </w:rPr>
      </w:pPr>
      <w:r w:rsidRPr="00BC4EE7">
        <w:rPr>
          <w:rFonts w:cs="Times New Roman"/>
          <w:noProof/>
        </w:rPr>
        <w:t>az agrár-élelmiszeripari és a vidéki ágazatok egészének digitalizációját előmozdító stratégia bevezetése; és</w:t>
      </w:r>
    </w:p>
    <w:p w14:paraId="02B938DA" w14:textId="77777777" w:rsidR="00D65CB4" w:rsidRPr="00BC4EE7" w:rsidRDefault="00572307">
      <w:pPr>
        <w:pStyle w:val="P68B1DB1-Normal4"/>
        <w:numPr>
          <w:ilvl w:val="0"/>
          <w:numId w:val="73"/>
        </w:numPr>
        <w:spacing w:before="120" w:after="120" w:line="240" w:lineRule="auto"/>
        <w:ind w:left="426" w:hanging="426"/>
        <w:jc w:val="both"/>
        <w:rPr>
          <w:rFonts w:cs="Times New Roman"/>
          <w:noProof/>
        </w:rPr>
      </w:pPr>
      <w:r w:rsidRPr="00BC4EE7">
        <w:rPr>
          <w:rFonts w:cs="Times New Roman"/>
          <w:noProof/>
        </w:rPr>
        <w:t>a halászati ágazat fenntarthatóságának, kutatásának, innovációjának és digitalizációjának előmozdítása.</w:t>
      </w:r>
    </w:p>
    <w:p w14:paraId="3730B049"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komponens az innovációba és az energiahatékonyságba történő beruházások előmozdításáról (2019. évi 3. országspecifikus ajánlás), a digitális tanuláshoz való hozzáférés javításáról (2020. évi 2. országspecifikus ajánlás), valamint a köz- és magánberuházások előmozdításáról és a zöld átállás előmozdításáról (2020. évi 3. országspecifikus ajánlás) szóló országspecifikus ajánlásokkal foglalkozik.</w:t>
      </w:r>
    </w:p>
    <w:p w14:paraId="6079AE52"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jelentős károkozás elkerülését célzó elvről szóló technikai iránymutatásnak (2021/C58/01) megfelelően a helyreállítási és rezilienciaépítési tervben meghatározott intézkedések leírását és a helyreállítási és rezilienciaépítési tervben meghatározott enyhítő lépéseket figyelembe véve ebben a komponensben várhatóan egyetlen intézkedés sem sérti jelentős mértékben az (EU) 2020/852 rendelet 17. cikke szerinti környezeti célkitűzéseket. </w:t>
      </w:r>
    </w:p>
    <w:p w14:paraId="3807EE3C" w14:textId="77777777" w:rsidR="00D65CB4" w:rsidRPr="00BC4EE7" w:rsidRDefault="00572307">
      <w:pPr>
        <w:spacing w:before="120" w:after="120" w:line="240" w:lineRule="auto"/>
        <w:ind w:left="720"/>
        <w:jc w:val="both"/>
        <w:rPr>
          <w:rFonts w:ascii="Times New Roman" w:hAnsi="Times New Roman" w:cs="Times New Roman"/>
          <w:b/>
          <w:i/>
          <w:noProof/>
          <w:sz w:val="24"/>
        </w:rPr>
      </w:pPr>
      <w:r w:rsidRPr="00BC4EE7">
        <w:rPr>
          <w:rFonts w:ascii="Times New Roman" w:hAnsi="Times New Roman" w:cs="Times New Roman"/>
          <w:b/>
          <w:noProof/>
          <w:sz w:val="24"/>
          <w:u w:val="single"/>
        </w:rPr>
        <w:t xml:space="preserve">C.1.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Vissza nem térítendő pénzügyi támogatás – a reformok és beruházások ismertetése</w:t>
      </w:r>
    </w:p>
    <w:p w14:paraId="1234D340"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Reform (C3.R1) – Az élelmiszerláncon belüli kereskedelmi kapcsolatokra vonatkozó szabályok módosítása, beleértve az élelmiszerlánc működésének javítását célzó intézkedésekről szóló, 2007. augusztus 2-i 12/2013. sz. törvény módosítását</w:t>
      </w:r>
    </w:p>
    <w:p w14:paraId="2518E7B7"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Ezen intézkedés célja az élelmiszerlánc működésének javítása az élelmiszerláncon belüli kereskedelmi kapcsolatokat szabályozó nemzeti jogszabályok (12/2013. sz. törvény) módosítása révén, beleértve az (EU) 2019/633 irányelv átültetését, de túlmutatva azon. Az intézkedésnek ki kell terjednie legalább a következőkre:</w:t>
      </w:r>
    </w:p>
    <w:p w14:paraId="311FCBFE" w14:textId="77777777" w:rsidR="00D65CB4" w:rsidRPr="00BC4EE7" w:rsidRDefault="00572307">
      <w:pPr>
        <w:pStyle w:val="P68B1DB1-Normal4"/>
        <w:numPr>
          <w:ilvl w:val="0"/>
          <w:numId w:val="74"/>
        </w:numPr>
        <w:spacing w:before="120" w:after="120" w:line="240" w:lineRule="auto"/>
        <w:ind w:left="425" w:hanging="425"/>
        <w:contextualSpacing/>
        <w:jc w:val="both"/>
        <w:rPr>
          <w:rFonts w:cs="Times New Roman"/>
          <w:noProof/>
        </w:rPr>
      </w:pPr>
      <w:r w:rsidRPr="00BC4EE7">
        <w:rPr>
          <w:rFonts w:cs="Times New Roman"/>
          <w:noProof/>
        </w:rPr>
        <w:t>A jog hatályának kiterjesztése a következőkre: i. kereskedelmi kapcsolatok mind a tagállamok, mind a harmadik országok viszonylatában, amennyiben egy gazdasági szereplő Spanyolországban található, valamint ii. az Európai Unió működéséről szóló szerződés I. mellékletének hatálya alá tartozó nyersanyagokra és egyéb termékekre;</w:t>
      </w:r>
    </w:p>
    <w:p w14:paraId="4735A7DF" w14:textId="77777777" w:rsidR="00D65CB4" w:rsidRPr="00BC4EE7" w:rsidRDefault="00572307">
      <w:pPr>
        <w:pStyle w:val="P68B1DB1-Normal4"/>
        <w:numPr>
          <w:ilvl w:val="0"/>
          <w:numId w:val="74"/>
        </w:numPr>
        <w:spacing w:before="120" w:after="120" w:line="240" w:lineRule="auto"/>
        <w:ind w:left="425" w:hanging="425"/>
        <w:contextualSpacing/>
        <w:jc w:val="both"/>
        <w:rPr>
          <w:rFonts w:cs="Times New Roman"/>
          <w:noProof/>
        </w:rPr>
      </w:pPr>
      <w:r w:rsidRPr="00BC4EE7">
        <w:rPr>
          <w:rFonts w:cs="Times New Roman"/>
          <w:noProof/>
        </w:rPr>
        <w:t>az élelmiszer-szerződések minimális tartalmának kiterjesztése a következők révén: i. szerződéses szankciók, ii. vis maior miatti kivételek, valamint iii. az érintett felek közvetítés iránti kérelmére való hivatkozás a megállapodás elmaradásának kezelése érdekében;</w:t>
      </w:r>
    </w:p>
    <w:p w14:paraId="0E244484" w14:textId="77777777" w:rsidR="00D65CB4" w:rsidRPr="00BC4EE7" w:rsidRDefault="00572307">
      <w:pPr>
        <w:pStyle w:val="P68B1DB1-Normal4"/>
        <w:numPr>
          <w:ilvl w:val="0"/>
          <w:numId w:val="74"/>
        </w:numPr>
        <w:spacing w:before="120" w:after="120" w:line="240" w:lineRule="auto"/>
        <w:ind w:left="425" w:hanging="425"/>
        <w:contextualSpacing/>
        <w:jc w:val="both"/>
        <w:rPr>
          <w:rFonts w:cs="Times New Roman"/>
          <w:noProof/>
        </w:rPr>
      </w:pPr>
      <w:r w:rsidRPr="00BC4EE7">
        <w:rPr>
          <w:rFonts w:cs="Times New Roman"/>
          <w:noProof/>
        </w:rPr>
        <w:t>a tisztességtelen kereskedelmi gyakorlatok listájának bővítése, mint például a szerződések egyoldalú módosítása a mennyiség vagy az eladatlan termékek visszaszolgáltatása tekintetében; és</w:t>
      </w:r>
    </w:p>
    <w:p w14:paraId="7CDA0286" w14:textId="77777777" w:rsidR="00D65CB4" w:rsidRPr="00BC4EE7" w:rsidRDefault="00572307">
      <w:pPr>
        <w:numPr>
          <w:ilvl w:val="0"/>
          <w:numId w:val="74"/>
        </w:numPr>
        <w:spacing w:before="120" w:after="120" w:line="240" w:lineRule="auto"/>
        <w:ind w:left="426" w:hanging="426"/>
        <w:jc w:val="both"/>
        <w:rPr>
          <w:rFonts w:ascii="Times New Roman" w:hAnsi="Times New Roman" w:cs="Times New Roman"/>
          <w:noProof/>
          <w:sz w:val="24"/>
        </w:rPr>
      </w:pPr>
      <w:r w:rsidRPr="00BC4EE7">
        <w:rPr>
          <w:rFonts w:ascii="Times New Roman" w:hAnsi="Times New Roman" w:cs="Times New Roman"/>
          <w:noProof/>
          <w:sz w:val="24"/>
        </w:rPr>
        <w:t>elismerve az Élelmiszerügyi Információs és Ellenőrző Hivatalt mint a jogszabályoknak való megfelelés nemzeti szintű ellenőrzéséhez szükséges ellenőrzési rendszer létrehozásáért és fejlesztéséért felelős szervet, valamint kapcsolattartó pontként a végrehajtó hatóságok közötti, valamint az Európai Bizottsággal és az autonóm közösségekkel saját területi területükön folytatott együttműködés tekintetében.</w:t>
      </w:r>
      <w:r w:rsidRPr="00BC4EE7">
        <w:rPr>
          <w:rFonts w:ascii="Times New Roman" w:hAnsi="Times New Roman" w:cs="Times New Roman"/>
          <w:noProof/>
        </w:rPr>
        <w:tab/>
      </w:r>
    </w:p>
    <w:p w14:paraId="50CF7AFA"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Az intézkedés kiegészíti i. a mezőgazdaságra és az élelmiszerekre vonatkozó sürgős intézkedéseket elfogadó, 2020. február 25-i 5/2020. sz. királyi törvényerejű rendeletet, valamint ii. az élelmiszerlánc működésének javítását célzó sürgős intézkedésekről szóló 12/2013. sz. törvény módosításáról szóló 8/2020. sz. törvényt.</w:t>
      </w:r>
    </w:p>
    <w:p w14:paraId="652B9321"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Az intézkedés végrehajtását 2021. december 31-ig be kell fejezni.</w:t>
      </w:r>
    </w:p>
    <w:p w14:paraId="65CF45F9" w14:textId="77777777" w:rsidR="00D65CB4" w:rsidRPr="00BC4EE7" w:rsidRDefault="00572307">
      <w:pPr>
        <w:pStyle w:val="P68B1DB1-Normal5"/>
        <w:spacing w:before="120" w:after="120" w:line="240" w:lineRule="auto"/>
        <w:jc w:val="both"/>
        <w:rPr>
          <w:rFonts w:cs="Times New Roman"/>
          <w:noProof/>
        </w:rPr>
      </w:pPr>
      <w:bookmarkStart w:id="7" w:name="_Hlk144118141"/>
      <w:r w:rsidRPr="00BC4EE7">
        <w:rPr>
          <w:rFonts w:cs="Times New Roman"/>
          <w:noProof/>
        </w:rPr>
        <w:t>Reform (C3.R2) – Az állattenyésztés környezeti fenntarthatóságára vonatkozó szabályozási keret kidolgozása és felülvizsgálata</w:t>
      </w:r>
    </w:p>
    <w:bookmarkEnd w:id="7"/>
    <w:p w14:paraId="1D9E2DBB"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Ez az intézkedés a jogszabályi keret alábbiak szerinti kidolgozása és felülvizsgálata révén javítja az állattenyésztés környezeti fenntarthatóságát:</w:t>
      </w:r>
    </w:p>
    <w:p w14:paraId="28ED085C" w14:textId="77777777" w:rsidR="00D65CB4" w:rsidRPr="00BC4EE7" w:rsidRDefault="00572307">
      <w:pPr>
        <w:pStyle w:val="P68B1DB1-Normal4"/>
        <w:numPr>
          <w:ilvl w:val="0"/>
          <w:numId w:val="75"/>
        </w:numPr>
        <w:spacing w:before="120" w:after="120" w:line="240" w:lineRule="auto"/>
        <w:ind w:left="425" w:hanging="425"/>
        <w:contextualSpacing/>
        <w:jc w:val="both"/>
        <w:rPr>
          <w:rFonts w:cs="Times New Roman"/>
          <w:noProof/>
        </w:rPr>
      </w:pPr>
      <w:r w:rsidRPr="00BC4EE7">
        <w:rPr>
          <w:rFonts w:cs="Times New Roman"/>
          <w:noProof/>
        </w:rPr>
        <w:t>Az elérhető legjobb technikák általános nyilvántartásának kidolgozása a sertés- és baromfigazdaságokban a szennyező és üvegházhatásúgáz-kibocsátás (ÜHG) kiszámításának megkönnyítése érdekében, valamint egyéb környezeti adatok lefedése. Jobb értékelést nyújt arról, hogy az állattenyésztők betartják-e az ÜHG- és szennyezőanyag-kibocsátási kötelezettségeket.</w:t>
      </w:r>
    </w:p>
    <w:p w14:paraId="664D0C51" w14:textId="77777777" w:rsidR="00D65CB4" w:rsidRPr="00BC4EE7" w:rsidRDefault="00572307">
      <w:pPr>
        <w:pStyle w:val="P68B1DB1-Normal4"/>
        <w:numPr>
          <w:ilvl w:val="0"/>
          <w:numId w:val="75"/>
        </w:numPr>
        <w:spacing w:before="120" w:after="120" w:line="240" w:lineRule="auto"/>
        <w:ind w:left="426" w:hanging="426"/>
        <w:jc w:val="both"/>
        <w:rPr>
          <w:rFonts w:cs="Times New Roman"/>
          <w:noProof/>
        </w:rPr>
      </w:pPr>
      <w:r w:rsidRPr="00BC4EE7">
        <w:rPr>
          <w:rFonts w:cs="Times New Roman"/>
          <w:noProof/>
        </w:rPr>
        <w:t>Az állattenyésztési ágazat tervezési szabályozásának fokozatos felülvizsgálata, amely követelményeket állapít meg a helyszínre, a távolságra, a méretre, az egészségügyi feltételekre, a biológiai védelemre, valamint a környezetvédelmi és állatjóléti infrastruktúrára vonatkozóan azokban az ágazatokban, ahol már léteznek ilyenek (sertéstenyésztés), valamint új szabályozási keretet hoznak létre a még nem szabályozott ágazatokban (baromfitenyésztés). Az arányosság elvének alkalmazásával egyedi ágazati kibocsátáscsökkentési kötelezettségeket állapít meg, amelyekben követelményeket állapít meg a szennyező anyagok előállításához való hozzájárulásuk alapján.</w:t>
      </w:r>
    </w:p>
    <w:p w14:paraId="3BDCBD98"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Az intézkedés mindkét jogszabályi rendelkezést tartalmaz, amelyeket 2022 végéig közzé kell tenni. Azt is előrevetíti, hogy a BAT-ok általános nyilvántartásának végrehajtása a sertés- és baromfigazdaságok esetében 2023. december 31-ig működőképes lesz. A felülvizsgált területrendezési jogszabályokat a kihirdetésétől számított körülbelül két éven belül fokozatosan kell alkalmazni.</w:t>
      </w:r>
    </w:p>
    <w:p w14:paraId="5DF9BC92" w14:textId="5F439EE1" w:rsidR="00D65CB4" w:rsidRPr="00BC4EE7" w:rsidRDefault="00572307">
      <w:pPr>
        <w:pStyle w:val="P68B1DB1-Normal4"/>
        <w:spacing w:before="120" w:after="120" w:line="240" w:lineRule="auto"/>
        <w:contextualSpacing/>
        <w:jc w:val="both"/>
        <w:rPr>
          <w:rFonts w:cs="Times New Roman"/>
          <w:noProof/>
        </w:rPr>
      </w:pPr>
      <w:r w:rsidRPr="00BC4EE7">
        <w:rPr>
          <w:rFonts w:cs="Times New Roman"/>
          <w:noProof/>
        </w:rPr>
        <w:t>Ezen túlmenően ez az intézkedés a következőkre irányul:</w:t>
      </w:r>
    </w:p>
    <w:p w14:paraId="2098B483" w14:textId="2D2F2221" w:rsidR="00D65CB4" w:rsidRPr="00BC4EE7" w:rsidRDefault="00572307">
      <w:pPr>
        <w:pStyle w:val="P68B1DB1-Normal4"/>
        <w:numPr>
          <w:ilvl w:val="0"/>
          <w:numId w:val="269"/>
        </w:numPr>
        <w:spacing w:before="120" w:after="120" w:line="240" w:lineRule="auto"/>
        <w:ind w:left="425" w:hanging="425"/>
        <w:contextualSpacing/>
        <w:jc w:val="both"/>
        <w:rPr>
          <w:rFonts w:cs="Times New Roman"/>
          <w:noProof/>
        </w:rPr>
      </w:pPr>
      <w:r w:rsidRPr="00BC4EE7">
        <w:rPr>
          <w:rFonts w:cs="Times New Roman"/>
          <w:noProof/>
        </w:rPr>
        <w:t xml:space="preserve">Az állatszállítás biológiai biztonságának javítása a fertőző állatbetegségekkel kapcsolatban. Az új rendeletnek be kell építenie a digitalizációt és az új technológiákat a szállítási, tisztítási és fertőtlenítési központokként használt járművekbe. </w:t>
      </w:r>
    </w:p>
    <w:p w14:paraId="22473C04" w14:textId="6D01DF04" w:rsidR="00D65CB4" w:rsidRPr="00BC4EE7" w:rsidRDefault="00572307">
      <w:pPr>
        <w:pStyle w:val="P68B1DB1-Normal4"/>
        <w:numPr>
          <w:ilvl w:val="0"/>
          <w:numId w:val="269"/>
        </w:numPr>
        <w:spacing w:before="120" w:after="120" w:line="240" w:lineRule="auto"/>
        <w:ind w:left="425" w:hanging="425"/>
        <w:contextualSpacing/>
        <w:jc w:val="both"/>
        <w:rPr>
          <w:rFonts w:cs="Times New Roman"/>
          <w:noProof/>
        </w:rPr>
      </w:pPr>
      <w:r w:rsidRPr="00BC4EE7">
        <w:rPr>
          <w:rFonts w:cs="Times New Roman"/>
          <w:noProof/>
        </w:rPr>
        <w:t xml:space="preserve">Az antibiotikumok használatának szabályozása az állatállomány számára fontos fajok esetében, az állattartó gazdaságonkénti rendszeres és negyedéves antibiotikum-fogyasztás kiszámítására szolgáló módszer és a nemzeti referenciamutató alkalmazásával. A rendelet meghatározza az eredmények alapján meghozandó intézkedéseket. A jogszabályok egyéves átmeneti időszakot biztosítanak azon állattartó gazdaságok számára, amelyek ágazati jogszabályaikban nem kötelesek integrált gazdálkodási rendszerrel rendelkezni.   </w:t>
      </w:r>
    </w:p>
    <w:p w14:paraId="3129CDA9" w14:textId="77777777" w:rsidR="00D65CB4" w:rsidRPr="00BC4EE7" w:rsidRDefault="00D65CB4">
      <w:pPr>
        <w:spacing w:before="120" w:after="120" w:line="240" w:lineRule="auto"/>
        <w:ind w:left="425"/>
        <w:contextualSpacing/>
        <w:jc w:val="both"/>
        <w:rPr>
          <w:rFonts w:ascii="Times New Roman" w:hAnsi="Times New Roman" w:cs="Times New Roman"/>
          <w:noProof/>
          <w:sz w:val="24"/>
        </w:rPr>
      </w:pPr>
    </w:p>
    <w:p w14:paraId="223A83E5" w14:textId="74661DE4" w:rsidR="00D65CB4" w:rsidRPr="00BC4EE7" w:rsidRDefault="00572307">
      <w:pPr>
        <w:pStyle w:val="P68B1DB1-Normal4"/>
        <w:spacing w:before="120" w:after="120" w:line="240" w:lineRule="auto"/>
        <w:contextualSpacing/>
        <w:jc w:val="both"/>
        <w:rPr>
          <w:rFonts w:cs="Times New Roman"/>
          <w:noProof/>
        </w:rPr>
      </w:pPr>
      <w:r w:rsidRPr="00BC4EE7">
        <w:rPr>
          <w:rFonts w:cs="Times New Roman"/>
          <w:noProof/>
        </w:rPr>
        <w:t>Az intézkedés végrehajtását 2024. június 30-ig be kell fejezni.</w:t>
      </w:r>
    </w:p>
    <w:p w14:paraId="17685D86" w14:textId="77777777" w:rsidR="00D65CB4" w:rsidRPr="00BC4EE7" w:rsidRDefault="00D65CB4">
      <w:pPr>
        <w:spacing w:before="120" w:after="120" w:line="240" w:lineRule="auto"/>
        <w:jc w:val="both"/>
        <w:rPr>
          <w:rFonts w:ascii="Times New Roman" w:hAnsi="Times New Roman" w:cs="Times New Roman"/>
          <w:noProof/>
          <w:sz w:val="24"/>
          <w:u w:val="single"/>
        </w:rPr>
      </w:pPr>
    </w:p>
    <w:p w14:paraId="7008C47F"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Reform (C3.R3) – A mezőgazdasági talajok fenntartható táplálkozására vonatkozó jogszabályi keret és a mezőgazdasági eredetű szennyezésre vonatkozó jogszabályok</w:t>
      </w:r>
    </w:p>
    <w:p w14:paraId="4FF389C3"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Ezen intézkedés célja a mezőgazdasági trágyázás szabályozása a mezőgazdasági talajokhoz való tápanyagbevitel különböző forrásainak következetes kezelése érdekében. Emellett technikai tanácsadást nyújt a mezőgazdasági termelőknek, hogy támogassa őket a jogi követelményeknek való megfelelésben és a trágyázás észszerűsítésében. E cselekvési terv: az éghajlatváltozás káros hatásainak kezelése; a mezőgazdasági eredetű nitrátok és foszfátok által okozott vízszennyezés csökkentése; és iii. a levegőminőség javítása.</w:t>
      </w:r>
    </w:p>
    <w:p w14:paraId="30D53276"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javasolt jogi keret egy másik jogi eszközhöz kapcsolódik: a vizek mezőgazdasági eredetű nitrátszennyezéssel szembeni védelméről szóló királyi rendelettervezet (amely a február 16-i 261/1996. sz. királyi rendelet helyébe lép). Kapcsolódik továbbá egy cselekvési terv kidolgozásához, amelynek célja a nitrátok – különösen a mezőgazdasági eredetű – diffúz szennyezés megelőzése, korrekciója és csökkentése. Ez az intézkedés a vizek mezőgazdasági eredetű nitrátszennyezéssel szembeni védelméről szóló, 1991. december 12-i 91/676/EGK irányelvet átültető királyi rendeletet vezet be, amely a nitrátirányelvnél ambiciózusabb célokat tűz ki, és fokozza a víz-keretirányelv víztervezési célkitűzéseivel való konvergenciát.</w:t>
      </w:r>
    </w:p>
    <w:p w14:paraId="21CE4873"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Az intézkedés végrehajtását 2023. március 31-ig be kell fejezni. </w:t>
      </w:r>
    </w:p>
    <w:p w14:paraId="5EC2BBD2"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Reform (C3.R4) – A spanyol öntözés irányításának és fenntartható kezelésének fellendítése</w:t>
      </w:r>
    </w:p>
    <w:p w14:paraId="4BA48D99"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Ezen intézkedés célja egy olyan nemzeti szintű irányítási mechanizmus létrehozása, amely valamennyi érintett ágazat és közigazgatási szint számára lehetővé teszi az öntözéssel kapcsolatos együttműködést. Ez magában foglalja a környezeti fenntarthatóságot, a végrehajtási kritériumokat és az alkalmazandó jogszabályokkal kapcsolatos szempontokat. Az intézkedés az öntözés fenntarthatóságával foglalkozó megfigyelőközpontot hoz létre Spanyolországban, hogy adatokat szolgáltasson az öntözésnek a területre gyakorolt gazdasági, társadalmi és környezeti hatásairól.</w:t>
      </w:r>
    </w:p>
    <w:p w14:paraId="326A145B" w14:textId="77777777" w:rsidR="00D65CB4" w:rsidRPr="00BC4EE7" w:rsidRDefault="00572307">
      <w:pPr>
        <w:pStyle w:val="P68B1DB1-Normal4"/>
        <w:spacing w:before="120" w:after="120" w:line="240" w:lineRule="auto"/>
        <w:jc w:val="both"/>
        <w:rPr>
          <w:rFonts w:cs="Times New Roman"/>
          <w:noProof/>
          <w:u w:val="single"/>
        </w:rPr>
      </w:pPr>
      <w:r w:rsidRPr="00BC4EE7">
        <w:rPr>
          <w:rFonts w:cs="Times New Roman"/>
          <w:noProof/>
        </w:rPr>
        <w:t>A reform végrehajtását 2022. december 31-ig be kell fejezni.</w:t>
      </w:r>
    </w:p>
    <w:p w14:paraId="0A0562DB"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Reform (C3.R5) – Az agrár-élelmiszeripari és vidéki területek digitalizálására vonatkozó stratégia II. cselekvési tervének végrehajtása</w:t>
      </w:r>
    </w:p>
    <w:p w14:paraId="11992691"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Ez az intézkedés a spanyol kormány által 2019 márciusában elfogadott, az agrár-élelmiszeripari és vidéki területek digitalizációjára irányuló spanyol stratégia végrehajtásának folytatására irányul. Az intézkedés egy második cselekvési tervet határoz meg, amely megfelel a stratégia három alapvető célkitűzésének: i. a digitális szakadék csökkentése; az adatok felhasználásának előmozdítása; valamint iii. a vállalkozásfejlesztés és az új üzleti modellek fellendítése. </w:t>
      </w:r>
    </w:p>
    <w:p w14:paraId="1DCF0FDA"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Az intézkedésnek továbbra is támogatnia kell a digitális folyamatok és készségek elfogadását és beépítését a vidéki területekhez és társadalmi szerkezetükhöz kapcsolódó gazdasági tevékenységekbe. Az intézkedésnek ki kell dolgoznia, ki kell dolgoznia és végre kell hajtania az agrár-élelmiszeripari ágazat és a vidéki területek digitalizációs stratégiájának második cselekvési tervét.</w:t>
      </w:r>
    </w:p>
    <w:p w14:paraId="1392C3C9"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Az intézkedés végrehajtását 2023. december 31-ig be kell fejezni.</w:t>
      </w:r>
    </w:p>
    <w:p w14:paraId="701358BE" w14:textId="77777777" w:rsidR="00D65CB4" w:rsidRPr="00BC4EE7" w:rsidRDefault="00572307">
      <w:pPr>
        <w:pStyle w:val="P68B1DB1-Normal5"/>
        <w:spacing w:before="120" w:after="120" w:line="240" w:lineRule="auto"/>
        <w:jc w:val="both"/>
        <w:rPr>
          <w:rFonts w:cs="Times New Roman"/>
          <w:noProof/>
        </w:rPr>
      </w:pPr>
      <w:bookmarkStart w:id="8" w:name="_Hlk144117478"/>
      <w:r w:rsidRPr="00BC4EE7">
        <w:rPr>
          <w:rFonts w:cs="Times New Roman"/>
          <w:noProof/>
        </w:rPr>
        <w:t>Reform (C3.R6) – A fenntartható halászat szabályozására vonatkozó nemzeti szabályozási keret felülvizsgálata</w:t>
      </w:r>
    </w:p>
    <w:bookmarkEnd w:id="8"/>
    <w:p w14:paraId="168525BC"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Ezen intézkedés célja: a gazdasági és társadalmi fenntarthatóság halászati gazdálkodásba való integrálásának ösztönzése; nagyobb jogbiztonság biztosítása a halászati ágazat valamennyi szereplője számára; valamint iii. nagyobb átláthatóság, korszerűsítés és digitalizáció biztosítása a halászati gazdálkodásban. Az intézkedésnek figyelembe kell vennie az uniós szakpolitikák és kihívások célkitűzéseit, beleértve a közös halászati politika reformját, a 2030-ig tartó időszakra szóló biodiverzitási stratégiát, a tengervédelmi stratégiákat és a fenntartható fejlődési célokat.</w:t>
      </w:r>
    </w:p>
    <w:p w14:paraId="45B4B9BE"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 célkitűzések elérése érdekében az intézkedésnek a következőket kell elérnie:</w:t>
      </w:r>
    </w:p>
    <w:p w14:paraId="3290735B" w14:textId="77777777" w:rsidR="00D65CB4" w:rsidRPr="00BC4EE7" w:rsidRDefault="00572307">
      <w:pPr>
        <w:pStyle w:val="P68B1DB1-Normal4"/>
        <w:numPr>
          <w:ilvl w:val="0"/>
          <w:numId w:val="76"/>
        </w:numPr>
        <w:spacing w:before="120" w:after="120" w:line="240" w:lineRule="auto"/>
        <w:ind w:left="425" w:hanging="425"/>
        <w:contextualSpacing/>
        <w:jc w:val="both"/>
        <w:rPr>
          <w:rFonts w:cs="Times New Roman"/>
          <w:noProof/>
        </w:rPr>
      </w:pPr>
      <w:bookmarkStart w:id="9" w:name="_Hlk144117739"/>
      <w:r w:rsidRPr="00BC4EE7">
        <w:rPr>
          <w:rFonts w:cs="Times New Roman"/>
          <w:noProof/>
        </w:rPr>
        <w:t xml:space="preserve">A jelenlegi halászati törvény felülvizsgálata annak érdekében, hogy összhangba hozza azt az új fenntarthatósági kritériumokkal és a halászattal kapcsolatos kutatási szükségletekkel; </w:t>
      </w:r>
    </w:p>
    <w:p w14:paraId="5C15178B" w14:textId="77777777" w:rsidR="00D65CB4" w:rsidRPr="00BC4EE7" w:rsidRDefault="00572307">
      <w:pPr>
        <w:pStyle w:val="P68B1DB1-Normal4"/>
        <w:numPr>
          <w:ilvl w:val="0"/>
          <w:numId w:val="76"/>
        </w:numPr>
        <w:spacing w:before="120" w:after="120" w:line="240" w:lineRule="auto"/>
        <w:ind w:left="425" w:hanging="425"/>
        <w:contextualSpacing/>
        <w:jc w:val="both"/>
        <w:rPr>
          <w:rFonts w:cs="Times New Roman"/>
          <w:noProof/>
        </w:rPr>
      </w:pPr>
      <w:bookmarkStart w:id="10" w:name="_Hlk144117746"/>
      <w:bookmarkEnd w:id="9"/>
      <w:r w:rsidRPr="00BC4EE7">
        <w:rPr>
          <w:rFonts w:cs="Times New Roman"/>
          <w:noProof/>
        </w:rPr>
        <w:t>a nemzeti halászterületekre vonatkozó különböző eszközök, módszerek és népszámlálások kezelésének naprakésszé tétele egy királyi rendelet révén; és</w:t>
      </w:r>
    </w:p>
    <w:p w14:paraId="042E0201" w14:textId="77777777" w:rsidR="00D65CB4" w:rsidRPr="00BC4EE7" w:rsidRDefault="00572307">
      <w:pPr>
        <w:pStyle w:val="P68B1DB1-Normal4"/>
        <w:numPr>
          <w:ilvl w:val="0"/>
          <w:numId w:val="76"/>
        </w:numPr>
        <w:spacing w:before="120" w:after="120" w:line="240" w:lineRule="auto"/>
        <w:ind w:left="426" w:hanging="426"/>
        <w:jc w:val="both"/>
        <w:rPr>
          <w:rFonts w:cs="Times New Roman"/>
          <w:noProof/>
        </w:rPr>
      </w:pPr>
      <w:bookmarkStart w:id="11" w:name="_Hlk144117704"/>
      <w:r w:rsidRPr="00BC4EE7">
        <w:rPr>
          <w:rFonts w:cs="Times New Roman"/>
          <w:noProof/>
        </w:rPr>
        <w:t>a halászatra vonatkozó ellenőrzési, vizsgálati és szankcionálási rendszerek korszerűsítésére irányuló törvény végrehajtása.</w:t>
      </w:r>
    </w:p>
    <w:bookmarkEnd w:id="10"/>
    <w:bookmarkEnd w:id="11"/>
    <w:p w14:paraId="16CACB9E"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nemzeti halászterületek különböző eszközei, módszerei és panaszai kezelésének korszerűsítéséről szóló királyi rendelet kihirdetésére várhatóan 2022. június 30-ig kerül sor. </w:t>
      </w:r>
    </w:p>
    <w:p w14:paraId="2DC96A53" w14:textId="3D1A5832" w:rsidR="00D65CB4" w:rsidRPr="00BC4EE7" w:rsidRDefault="00572307">
      <w:pPr>
        <w:pStyle w:val="P68B1DB1-Normal4"/>
        <w:spacing w:before="120" w:after="120" w:line="240" w:lineRule="auto"/>
        <w:jc w:val="both"/>
        <w:rPr>
          <w:rFonts w:cs="Times New Roman"/>
          <w:noProof/>
        </w:rPr>
      </w:pPr>
      <w:r w:rsidRPr="00BC4EE7">
        <w:rPr>
          <w:rFonts w:cs="Times New Roman"/>
          <w:noProof/>
        </w:rPr>
        <w:t>Az intézkedés végrehajtásának határideje 2026. június 30.</w:t>
      </w:r>
    </w:p>
    <w:p w14:paraId="72D1D3BF"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 xml:space="preserve">Beruházás (C3.I1) – Az öntözés hatékonyságának és fenntarthatóságának javítására irányuló terv </w:t>
      </w:r>
    </w:p>
    <w:p w14:paraId="6302894E"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Ezen intézkedés célja, hogy több kiválasztott intézkedés révén javítsa az öntözés hatékonyságát és fenntarthatóságát. Előmozdítja a vízmegtakarítást és az energiahatékonyságot az öntözési tevékenységek során. Ezek a következő intézkedések:</w:t>
      </w:r>
    </w:p>
    <w:p w14:paraId="376E0EC4" w14:textId="77777777" w:rsidR="00D65CB4" w:rsidRPr="00BC4EE7" w:rsidRDefault="00572307">
      <w:pPr>
        <w:pStyle w:val="P68B1DB1-Normal4"/>
        <w:numPr>
          <w:ilvl w:val="0"/>
          <w:numId w:val="81"/>
        </w:numPr>
        <w:spacing w:before="120" w:after="120" w:line="240" w:lineRule="auto"/>
        <w:ind w:left="425" w:hanging="425"/>
        <w:contextualSpacing/>
        <w:jc w:val="both"/>
        <w:rPr>
          <w:rFonts w:cs="Times New Roman"/>
          <w:noProof/>
        </w:rPr>
      </w:pPr>
      <w:r w:rsidRPr="00BC4EE7">
        <w:rPr>
          <w:rFonts w:cs="Times New Roman"/>
          <w:noProof/>
        </w:rPr>
        <w:t>A tevékenységek korszerűsítése, beleértve legalább a következőket: a felszíni vagy felszín alatti vizeket nem hagyományos vízforrások (például az (EU) 2020/741 rendelet szerinti visszanyert vízforrások és a jelentős károkozás elkerülését célzó 2021/C58/01 technikai iránymutatásnak megfelelő sótalanított víz) felhasználásával felváltó területeken, korszerűsítési folyamat részeként; és ii. a vízmegtakarítást növelő vagy a vízigény további csökkenését vagy nagyobb energiamegtakarítást eredményező intézkedések;</w:t>
      </w:r>
    </w:p>
    <w:p w14:paraId="72FEE5A3" w14:textId="77777777" w:rsidR="00D65CB4" w:rsidRPr="00BC4EE7" w:rsidRDefault="00572307">
      <w:pPr>
        <w:pStyle w:val="P68B1DB1-Normal4"/>
        <w:numPr>
          <w:ilvl w:val="0"/>
          <w:numId w:val="81"/>
        </w:numPr>
        <w:spacing w:before="120" w:after="120" w:line="240" w:lineRule="auto"/>
        <w:ind w:left="425" w:hanging="425"/>
        <w:contextualSpacing/>
        <w:jc w:val="both"/>
        <w:rPr>
          <w:rFonts w:cs="Times New Roman"/>
          <w:noProof/>
        </w:rPr>
      </w:pPr>
      <w:r w:rsidRPr="00BC4EE7">
        <w:rPr>
          <w:rFonts w:cs="Times New Roman"/>
          <w:noProof/>
        </w:rPr>
        <w:t>az energiára kiható öntözőrendszerek korszerűsítése, beleértve i. az olyan intézkedések előnyben részesítését, amelyek működésükhöz nem igényelnek villamos energiát, szemben azokkal, akiknek erre szükségük van vagy megújuló energiát igényelnek; és ii. az energetikai önellátást elősegítő korszerűsítési intézkedések, beleértve a megújuló energia használatát is; és</w:t>
      </w:r>
    </w:p>
    <w:p w14:paraId="1E9DE30C" w14:textId="77777777" w:rsidR="00D65CB4" w:rsidRPr="00BC4EE7" w:rsidRDefault="00572307">
      <w:pPr>
        <w:pStyle w:val="P68B1DB1-Normal4"/>
        <w:numPr>
          <w:ilvl w:val="0"/>
          <w:numId w:val="81"/>
        </w:numPr>
        <w:spacing w:before="120" w:after="120" w:line="240" w:lineRule="auto"/>
        <w:ind w:left="426" w:hanging="426"/>
        <w:jc w:val="both"/>
        <w:rPr>
          <w:rFonts w:cs="Times New Roman"/>
          <w:noProof/>
        </w:rPr>
      </w:pPr>
      <w:r w:rsidRPr="00BC4EE7">
        <w:rPr>
          <w:rFonts w:cs="Times New Roman"/>
          <w:noProof/>
        </w:rPr>
        <w:t>új technológiák előmozdítása, mint például: olyan intézkedések, amelyek lehetővé teszik az új technológiák és innovációk magasabb szintű végrehajtását a hatékonyabb öntözés elérése érdekében; és ii. az öntözés korszerűsítésének nagyobb intenzitását javasló intézkedések.</w:t>
      </w:r>
    </w:p>
    <w:p w14:paraId="1A33E4FC"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Az intézkedést a </w:t>
      </w:r>
      <w:r w:rsidRPr="00BC4EE7">
        <w:rPr>
          <w:rFonts w:cs="Times New Roman"/>
          <w:i/>
          <w:noProof/>
        </w:rPr>
        <w:t>Sociedad Estatal de Infraestructuras Agrarias</w:t>
      </w:r>
      <w:r w:rsidRPr="00BC4EE7">
        <w:rPr>
          <w:rFonts w:cs="Times New Roman"/>
          <w:noProof/>
        </w:rPr>
        <w:t xml:space="preserve"> (SEIASA) állami vállalat hajtja végre. E célból a Mezőgazdasági, Halászati és Élelmiszerügyi Minisztérium (MAPA) és a SEIASA közötti megállapodás szabályozza az öntözés korszerűsítésére irányuló beruházások köz- és magánfinanszírozási rendszerét, a projektkiválasztási kritériumokat, a terv végrehajtási eljárásait, valamint a végrehajtandó intézkedések listáját. Az intézkedések listája legalább a következőket tartalmazza:</w:t>
      </w:r>
    </w:p>
    <w:p w14:paraId="1A5D4B3F" w14:textId="77777777" w:rsidR="00D65CB4" w:rsidRPr="00BC4EE7" w:rsidRDefault="00572307">
      <w:pPr>
        <w:pStyle w:val="P68B1DB1-Normal4"/>
        <w:numPr>
          <w:ilvl w:val="0"/>
          <w:numId w:val="83"/>
        </w:numPr>
        <w:spacing w:before="120" w:after="120" w:line="240" w:lineRule="auto"/>
        <w:ind w:left="357" w:hanging="357"/>
        <w:contextualSpacing/>
        <w:jc w:val="both"/>
        <w:rPr>
          <w:rFonts w:cs="Times New Roman"/>
          <w:noProof/>
        </w:rPr>
      </w:pPr>
      <w:r w:rsidRPr="00BC4EE7">
        <w:rPr>
          <w:rFonts w:cs="Times New Roman"/>
          <w:noProof/>
        </w:rPr>
        <w:t xml:space="preserve">A felszín alatti vagy felszíni vizek használatának nem hagyományos vízforrásokkal való helyettesítése (visszanyert víz vagy sótalanított víz a jelentős károkozás elkerülését célzó technikai iránymutatásnak (2021/C58/01) megfelelően); </w:t>
      </w:r>
    </w:p>
    <w:p w14:paraId="4EB8D444" w14:textId="77777777" w:rsidR="00D65CB4" w:rsidRPr="00BC4EE7" w:rsidRDefault="00572307">
      <w:pPr>
        <w:pStyle w:val="P68B1DB1-Normal4"/>
        <w:numPr>
          <w:ilvl w:val="0"/>
          <w:numId w:val="83"/>
        </w:numPr>
        <w:spacing w:before="120" w:after="120" w:line="240" w:lineRule="auto"/>
        <w:ind w:left="357" w:hanging="357"/>
        <w:contextualSpacing/>
        <w:jc w:val="both"/>
        <w:rPr>
          <w:rFonts w:cs="Times New Roman"/>
          <w:noProof/>
        </w:rPr>
      </w:pPr>
      <w:r w:rsidRPr="00BC4EE7">
        <w:rPr>
          <w:rFonts w:cs="Times New Roman"/>
          <w:noProof/>
        </w:rPr>
        <w:t>a gravitációs öntözést lehetővé tevő vízszabályozási rendszerek (tározók) végrehajtása;</w:t>
      </w:r>
    </w:p>
    <w:p w14:paraId="71771AF9" w14:textId="77777777" w:rsidR="00D65CB4" w:rsidRPr="00BC4EE7" w:rsidRDefault="00572307">
      <w:pPr>
        <w:pStyle w:val="P68B1DB1-Normal4"/>
        <w:numPr>
          <w:ilvl w:val="0"/>
          <w:numId w:val="83"/>
        </w:numPr>
        <w:spacing w:before="120" w:after="120" w:line="240" w:lineRule="auto"/>
        <w:ind w:left="357" w:hanging="357"/>
        <w:contextualSpacing/>
        <w:jc w:val="both"/>
        <w:rPr>
          <w:rFonts w:cs="Times New Roman"/>
          <w:noProof/>
        </w:rPr>
      </w:pPr>
      <w:r w:rsidRPr="00BC4EE7">
        <w:rPr>
          <w:rFonts w:cs="Times New Roman"/>
          <w:noProof/>
        </w:rPr>
        <w:t>a szabadtéri árk föld alatti csövekre való cseréje;</w:t>
      </w:r>
    </w:p>
    <w:p w14:paraId="604535BE" w14:textId="77777777" w:rsidR="00D65CB4" w:rsidRPr="00BC4EE7" w:rsidRDefault="00572307">
      <w:pPr>
        <w:pStyle w:val="P68B1DB1-Normal4"/>
        <w:numPr>
          <w:ilvl w:val="0"/>
          <w:numId w:val="83"/>
        </w:numPr>
        <w:spacing w:before="120" w:after="120" w:line="240" w:lineRule="auto"/>
        <w:ind w:left="357" w:hanging="357"/>
        <w:contextualSpacing/>
        <w:jc w:val="both"/>
        <w:rPr>
          <w:rFonts w:cs="Times New Roman"/>
          <w:noProof/>
        </w:rPr>
      </w:pPr>
      <w:r w:rsidRPr="00BC4EE7">
        <w:rPr>
          <w:rFonts w:cs="Times New Roman"/>
          <w:noProof/>
        </w:rPr>
        <w:t>szűrő- és szivattyúrendszerek kialakítása; és</w:t>
      </w:r>
    </w:p>
    <w:p w14:paraId="2312E5D1" w14:textId="77777777" w:rsidR="00D65CB4" w:rsidRPr="00BC4EE7" w:rsidRDefault="00572307">
      <w:pPr>
        <w:pStyle w:val="P68B1DB1-Normal4"/>
        <w:numPr>
          <w:ilvl w:val="0"/>
          <w:numId w:val="83"/>
        </w:numPr>
        <w:spacing w:before="120" w:after="120" w:line="240" w:lineRule="auto"/>
        <w:jc w:val="both"/>
        <w:rPr>
          <w:rFonts w:cs="Times New Roman"/>
          <w:noProof/>
        </w:rPr>
      </w:pPr>
      <w:r w:rsidRPr="00BC4EE7">
        <w:rPr>
          <w:rFonts w:cs="Times New Roman"/>
          <w:noProof/>
        </w:rPr>
        <w:t>fogyasztásmérők és távirányító rendszerek telepítése.</w:t>
      </w:r>
    </w:p>
    <w:p w14:paraId="38A38CF1"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Az intézkedés várhatóan nem sérti jelentősen az (EU) 2020/852 rendelet 17. cikke szerinti környezetvédelmi célkitűzéseket, figyelembe véve az intézkedés leírását és a helyreállítási és rezilienciaépítési tervben meghatározott enyhítő lépéseket a jelentős károkozás elkerülését célzó elvről szóló technikai iránymutatásnak (2021/C58/01) megfelelően. A sótalanított vizet különösen az elérhető legjobb technológia alkalmazásával kell előállítani, amely az ágazatban a legkisebb környezeti hatással jár. Minden öntözési tevékenységet a víz-keretirányelvvel összhangban kell végezni, a szükséges környezeti hatásvizsgálatokat a 2009/147/EK és a 92/43/EGK irányelvvel összhangban kell elvégezni, és végre kell hajtani a környezet védelméhez szükséges mérséklési lépéseket.</w:t>
      </w:r>
    </w:p>
    <w:p w14:paraId="20F6D375"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beruházás végrehajtását 2026. június 30-ig be kell fejezni.</w:t>
      </w:r>
    </w:p>
    <w:p w14:paraId="19B2E2EB"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 xml:space="preserve">Beruházás (C3.I2) – A mezőgazdaság és az állattenyésztés fenntarthatóságának és versenyképességének fokozására irányuló terv (I.): Az állat- és növény-egészségügyi laboratóriumok korszerűsítése </w:t>
      </w:r>
    </w:p>
    <w:p w14:paraId="2AB9C24A"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Ez az intézkedés javítja az élelmezésbiztonságot a mezőgazdasági és állattenyésztési ágazatban azáltal, hogy a 3. biológiai biztonsági szinttel rendelkező létesítmények építésével gyors válaszintézkedéseket biztosít az állatbetegségek – többek között az embert érintő betegségek –, valamint a növénykárosítók kitörésére való reagálás érdekében. Az intézkedésnek különösen a következő létesítmények üzembe helyezését kell biztosítania:</w:t>
      </w:r>
    </w:p>
    <w:p w14:paraId="45F0ABAF" w14:textId="77777777" w:rsidR="00D65CB4" w:rsidRPr="00BC4EE7" w:rsidRDefault="00572307">
      <w:pPr>
        <w:pStyle w:val="P68B1DB1-Normal4"/>
        <w:numPr>
          <w:ilvl w:val="0"/>
          <w:numId w:val="84"/>
        </w:numPr>
        <w:spacing w:before="120" w:after="120" w:line="240" w:lineRule="auto"/>
        <w:ind w:left="357" w:hanging="357"/>
        <w:contextualSpacing/>
        <w:jc w:val="both"/>
        <w:rPr>
          <w:rFonts w:cs="Times New Roman"/>
          <w:noProof/>
        </w:rPr>
      </w:pPr>
      <w:r w:rsidRPr="00BC4EE7">
        <w:rPr>
          <w:rFonts w:cs="Times New Roman"/>
          <w:noProof/>
        </w:rPr>
        <w:t>szintű Biológiai Biztonsági Laboratórium (LSCA-Santa Fe);</w:t>
      </w:r>
    </w:p>
    <w:p w14:paraId="7A8D5F63" w14:textId="77777777" w:rsidR="00D65CB4" w:rsidRPr="00BC4EE7" w:rsidRDefault="00572307">
      <w:pPr>
        <w:pStyle w:val="P68B1DB1-Normal4"/>
        <w:numPr>
          <w:ilvl w:val="0"/>
          <w:numId w:val="84"/>
        </w:numPr>
        <w:spacing w:before="120" w:after="120" w:line="240" w:lineRule="auto"/>
        <w:ind w:left="357" w:hanging="357"/>
        <w:contextualSpacing/>
        <w:jc w:val="both"/>
        <w:rPr>
          <w:rFonts w:cs="Times New Roman"/>
          <w:noProof/>
        </w:rPr>
      </w:pPr>
      <w:r w:rsidRPr="00BC4EE7">
        <w:rPr>
          <w:rFonts w:cs="Times New Roman"/>
          <w:noProof/>
        </w:rPr>
        <w:t>a 3. szintű Biológiai Biztonsági Állateszköz (LCV-Algete); és</w:t>
      </w:r>
    </w:p>
    <w:p w14:paraId="6D5D30E8" w14:textId="77777777" w:rsidR="00D65CB4" w:rsidRPr="00BC4EE7" w:rsidRDefault="00572307">
      <w:pPr>
        <w:pStyle w:val="P68B1DB1-Normal4"/>
        <w:numPr>
          <w:ilvl w:val="0"/>
          <w:numId w:val="84"/>
        </w:numPr>
        <w:spacing w:before="120" w:after="120" w:line="240" w:lineRule="auto"/>
        <w:jc w:val="both"/>
        <w:rPr>
          <w:rFonts w:cs="Times New Roman"/>
          <w:noProof/>
        </w:rPr>
      </w:pPr>
      <w:r w:rsidRPr="00BC4EE7">
        <w:rPr>
          <w:rFonts w:cs="Times New Roman"/>
          <w:noProof/>
        </w:rPr>
        <w:t>a lugói Nemzeti Növény-egészségügyi Laboratórium.</w:t>
      </w:r>
    </w:p>
    <w:p w14:paraId="59041FD8" w14:textId="0A984E81" w:rsidR="00D65CB4" w:rsidRPr="00BC4EE7" w:rsidRDefault="00572307">
      <w:pPr>
        <w:pStyle w:val="P68B1DB1-Normal4"/>
        <w:spacing w:before="120" w:after="120" w:line="240" w:lineRule="auto"/>
        <w:jc w:val="both"/>
        <w:rPr>
          <w:rFonts w:cs="Times New Roman"/>
          <w:noProof/>
          <w:u w:val="single"/>
        </w:rPr>
      </w:pPr>
      <w:r w:rsidRPr="00BC4EE7">
        <w:rPr>
          <w:rFonts w:cs="Times New Roman"/>
          <w:noProof/>
        </w:rPr>
        <w:t>A beruházás végrehajtását 2026. június 30-ig be kell fejezni.</w:t>
      </w:r>
    </w:p>
    <w:p w14:paraId="7503F97D"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 xml:space="preserve">Beruházás (C3.I3) – A mezőgazdaság és az állattenyésztés fenntarthatóságának és versenyképességének fokozására irányuló terv (II.): A kapacitásépítés és a biológiai biztonsági rendszerek megerősítése a faiskolákban, a takarító- és fertőtlenítőközpontokban </w:t>
      </w:r>
    </w:p>
    <w:p w14:paraId="14BC482A"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Ez az intézkedés megerősíti az olyan állatbetegségek és növénykárosítók megelőzését és az azokkal szembeni védelmet, amelyek előfordulási gyakorisága nőtt az éghajlatváltozás miatt, a faiskolákban, valamint a takarító- és fertőtlenítőközpontokban a kapacitásépítés és a biológiai védelmi rendszerek javítása révén. Megerősíti a növényi szaporítóanyagokat előállító létesítmények biológiai védelmi rendszereit, amelyek fontos szerepet játszanak a kártevőktől mentes anyagok kinyerésében, csökkentve a növényvédő szerek használatát. </w:t>
      </w:r>
    </w:p>
    <w:p w14:paraId="09913FC4"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támogatás a növényi szaporítóanyagokat kezelő mezőgazdasági üzemeknek, valamint az élő állatok szállítóeszközeinek tisztítására és fertőtlenítésére szolgáló központoknak nyújtott beruházási támogatás formáját ölti. Konkrétan e létesítmények automatizálás, robotizáció, valamint új tisztítási és fertőtlenítő rendszerek, például hőfertőtlenítés révén történő technológiai fejlesztésére irányoztak elő támogatásokat. </w:t>
      </w:r>
    </w:p>
    <w:p w14:paraId="7804C26F"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Az intézkedés magában foglalja legalább 465 tisztító- és fertőtlenítő központ, valamint fokozott képzési és biológiai biztonsági rendszerekkel rendelkező, növényi szaporítóanyagot előállító központok megerősítését.</w:t>
      </w:r>
    </w:p>
    <w:p w14:paraId="5590D1C9" w14:textId="7291F610" w:rsidR="00D65CB4" w:rsidRPr="00BC4EE7" w:rsidRDefault="00572307">
      <w:pPr>
        <w:pStyle w:val="P68B1DB1-Normal4"/>
        <w:spacing w:before="120" w:after="120" w:line="240" w:lineRule="auto"/>
        <w:jc w:val="both"/>
        <w:rPr>
          <w:rFonts w:cs="Times New Roman"/>
          <w:noProof/>
        </w:rPr>
      </w:pPr>
      <w:r w:rsidRPr="00BC4EE7">
        <w:rPr>
          <w:rFonts w:cs="Times New Roman"/>
          <w:noProof/>
        </w:rPr>
        <w:t>A beruházás végrehajtását 2024. szeptember 30-ig be kell fejezni.</w:t>
      </w:r>
    </w:p>
    <w:p w14:paraId="4D9D5B08"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 xml:space="preserve">Beruházás (C3.I4) – A mezőgazdaság és az állattenyésztés fenntarthatóságának és versenyképességének fokozására irányuló terv (III.): A precíziós mezőgazdaságba, az energiahatékonyságba és a körforgásos gazdaságba történő beruházások a mezőgazdasági és állattenyésztési ágazatban </w:t>
      </w:r>
    </w:p>
    <w:p w14:paraId="75E59DDF"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Ez az intézkedés a következőkbe történő beruházások révén előmozdítja a mezőgazdasági és állattenyésztési ágazat fenntarthatóságát és versenyképességét: precíziós mezőgazdaság; ii. energiahatékonyság; a körforgásos gazdaság; és iv. a megújuló energia felhasználása. </w:t>
      </w:r>
    </w:p>
    <w:p w14:paraId="182A33E1"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Konkrétabban, a beruházások a következőkhöz kapcsolódnak: </w:t>
      </w:r>
    </w:p>
    <w:p w14:paraId="0B534188" w14:textId="77777777" w:rsidR="00D65CB4" w:rsidRPr="00BC4EE7" w:rsidRDefault="00572307">
      <w:pPr>
        <w:pStyle w:val="P68B1DB1-Normal4"/>
        <w:numPr>
          <w:ilvl w:val="0"/>
          <w:numId w:val="85"/>
        </w:numPr>
        <w:spacing w:before="120" w:after="120" w:line="240" w:lineRule="auto"/>
        <w:ind w:left="357" w:hanging="357"/>
        <w:contextualSpacing/>
        <w:jc w:val="both"/>
        <w:rPr>
          <w:rFonts w:cs="Times New Roman"/>
          <w:noProof/>
        </w:rPr>
      </w:pPr>
      <w:r w:rsidRPr="00BC4EE7">
        <w:rPr>
          <w:rFonts w:cs="Times New Roman"/>
          <w:noProof/>
        </w:rPr>
        <w:t xml:space="preserve">Új rendszerek bevezetése a mezőgazdasági hulladékok, valamint az állati eredetű szennyvíz és melléktermékeik kezelésére, beleértve a strukturális reformokat is; </w:t>
      </w:r>
    </w:p>
    <w:p w14:paraId="6A0A438D" w14:textId="77777777" w:rsidR="00D65CB4" w:rsidRPr="00BC4EE7" w:rsidRDefault="00572307">
      <w:pPr>
        <w:pStyle w:val="P68B1DB1-Normal4"/>
        <w:numPr>
          <w:ilvl w:val="0"/>
          <w:numId w:val="85"/>
        </w:numPr>
        <w:spacing w:before="120" w:after="120" w:line="240" w:lineRule="auto"/>
        <w:ind w:left="357" w:hanging="357"/>
        <w:contextualSpacing/>
        <w:jc w:val="both"/>
        <w:rPr>
          <w:rFonts w:cs="Times New Roman"/>
          <w:noProof/>
        </w:rPr>
      </w:pPr>
      <w:r w:rsidRPr="00BC4EE7">
        <w:rPr>
          <w:rFonts w:cs="Times New Roman"/>
          <w:noProof/>
        </w:rPr>
        <w:t xml:space="preserve">az üvegházak, berendezéseik és berendezéseik korszerűsítése; </w:t>
      </w:r>
    </w:p>
    <w:p w14:paraId="0E4AA40F" w14:textId="77777777" w:rsidR="00D65CB4" w:rsidRPr="00BC4EE7" w:rsidRDefault="00572307">
      <w:pPr>
        <w:pStyle w:val="P68B1DB1-Normal4"/>
        <w:numPr>
          <w:ilvl w:val="0"/>
          <w:numId w:val="85"/>
        </w:numPr>
        <w:spacing w:before="120" w:after="120" w:line="240" w:lineRule="auto"/>
        <w:ind w:left="357" w:hanging="357"/>
        <w:contextualSpacing/>
        <w:jc w:val="both"/>
        <w:rPr>
          <w:rFonts w:cs="Times New Roman"/>
          <w:noProof/>
        </w:rPr>
      </w:pPr>
      <w:r w:rsidRPr="00BC4EE7">
        <w:rPr>
          <w:rFonts w:cs="Times New Roman"/>
          <w:noProof/>
        </w:rPr>
        <w:t>a biogázok és a megújuló energiák használatának előmozdítása; és</w:t>
      </w:r>
    </w:p>
    <w:p w14:paraId="5A639482" w14:textId="77777777" w:rsidR="00D65CB4" w:rsidRPr="00BC4EE7" w:rsidRDefault="00572307">
      <w:pPr>
        <w:pStyle w:val="P68B1DB1-Normal4"/>
        <w:numPr>
          <w:ilvl w:val="0"/>
          <w:numId w:val="85"/>
        </w:numPr>
        <w:spacing w:before="120" w:after="120" w:line="240" w:lineRule="auto"/>
        <w:jc w:val="both"/>
        <w:rPr>
          <w:rFonts w:cs="Times New Roman"/>
          <w:noProof/>
        </w:rPr>
      </w:pPr>
      <w:r w:rsidRPr="00BC4EE7">
        <w:rPr>
          <w:rFonts w:cs="Times New Roman"/>
          <w:noProof/>
        </w:rPr>
        <w:t>valós idejű adatok gyűjtése olyan érzékelők segítségével, amelyek lehetővé teszik a precíziós mezőgazdaság és technológia alkalmazását a gazdaságokban, ideértve a műholdas navigációs rendszerek (GNSS) és a földrajzi helymeghatározás alkalmazását az állattenyésztésben.</w:t>
      </w:r>
    </w:p>
    <w:p w14:paraId="7D8DD025"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Az intézkedést mezőgazdasági üzemekbe vagy mezőgazdasági szolgáltató társaságokba történő egyéni vagy kollektív befektetések formájában kell végrehajtani. Legalább 5000 mezőgazdasági üzemnek végre kell hajtania a precíziós mezőgazdaságra, az energiahatékonyságra, a körforgásos gazdaságra és a megújuló energia használatára irányuló projekteket.</w:t>
      </w:r>
    </w:p>
    <w:p w14:paraId="5E653E8F" w14:textId="77777777" w:rsidR="00D65CB4" w:rsidRPr="00BC4EE7" w:rsidRDefault="00572307">
      <w:pPr>
        <w:pStyle w:val="P68B1DB1-Normal4"/>
        <w:spacing w:before="120" w:after="120" w:line="240" w:lineRule="auto"/>
        <w:jc w:val="both"/>
        <w:rPr>
          <w:rFonts w:cs="Times New Roman"/>
          <w:noProof/>
          <w:u w:val="single"/>
        </w:rPr>
      </w:pPr>
      <w:r w:rsidRPr="00BC4EE7">
        <w:rPr>
          <w:rFonts w:cs="Times New Roman"/>
          <w:noProof/>
        </w:rPr>
        <w:t>A beruházás végrehajtását 2026. június 30-ig be kell fejezni.</w:t>
      </w:r>
    </w:p>
    <w:p w14:paraId="5787123F"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 xml:space="preserve">Beruházás (C3.I5) – Az agrár-élelmiszeripari és erdészeti ágazat, valamint a vidéki környezet digitalizálására irányuló stratégia: az agrár-élelmiszeripari és erdészeti ágazat, valamint a vidéki környezet digitalizációját és vállalkozói tevékenységét támogató intézkedések kidolgozása </w:t>
      </w:r>
    </w:p>
    <w:p w14:paraId="21E6740E"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Ez az intézkedés a spanyol kormány által 2019 márciusában elfogadott, az agrár-élelmiszeripari, erdészeti és vidéki ágazatok digitalizációjára irányuló stratégiában és a 2021–2023-as időszakra vonatkozó második cselekvési tervben foglalt intézkedéseket határozza meg. Az intézkedések a következőket foglalják magukban:</w:t>
      </w:r>
    </w:p>
    <w:p w14:paraId="288244F9" w14:textId="77777777" w:rsidR="00D65CB4" w:rsidRPr="00BC4EE7" w:rsidRDefault="00572307">
      <w:pPr>
        <w:pStyle w:val="P68B1DB1-Normal4"/>
        <w:numPr>
          <w:ilvl w:val="0"/>
          <w:numId w:val="77"/>
        </w:numPr>
        <w:spacing w:before="120" w:after="120" w:line="240" w:lineRule="auto"/>
        <w:ind w:left="425" w:hanging="425"/>
        <w:contextualSpacing/>
        <w:jc w:val="both"/>
        <w:rPr>
          <w:rFonts w:cs="Times New Roman"/>
          <w:noProof/>
        </w:rPr>
      </w:pPr>
      <w:r w:rsidRPr="00BC4EE7">
        <w:rPr>
          <w:rFonts w:cs="Times New Roman"/>
          <w:noProof/>
        </w:rPr>
        <w:t>Külön pénzügyi támogatási sor az agrár-élelmiszeripari ágazatban működő kkv-k számára az innovatív és digitális üzleti projektek ösztönzése érdekében, amelyet részvételen alapuló hitelek nyújtása révén kell végrehajtani;</w:t>
      </w:r>
    </w:p>
    <w:p w14:paraId="50C1BDF4" w14:textId="77777777" w:rsidR="00D65CB4" w:rsidRPr="00BC4EE7" w:rsidRDefault="00572307">
      <w:pPr>
        <w:pStyle w:val="P68B1DB1-Normal4"/>
        <w:numPr>
          <w:ilvl w:val="0"/>
          <w:numId w:val="77"/>
        </w:numPr>
        <w:spacing w:before="120" w:after="120" w:line="240" w:lineRule="auto"/>
        <w:ind w:left="425" w:hanging="425"/>
        <w:contextualSpacing/>
        <w:jc w:val="both"/>
        <w:rPr>
          <w:rFonts w:cs="Times New Roman"/>
          <w:noProof/>
        </w:rPr>
      </w:pPr>
      <w:r w:rsidRPr="00BC4EE7">
        <w:rPr>
          <w:rFonts w:cs="Times New Roman"/>
          <w:noProof/>
        </w:rPr>
        <w:t>digitális innovációs központ az agrár-élelmiszeripari ágazatban működő vállalkozások számára, amelyet házon belüli szerződés és versenyeztetés útján megvalósuló közbeszerzés révén kell megvalósítani;</w:t>
      </w:r>
    </w:p>
    <w:p w14:paraId="447F264E" w14:textId="77777777" w:rsidR="00D65CB4" w:rsidRPr="00BC4EE7" w:rsidRDefault="00572307">
      <w:pPr>
        <w:pStyle w:val="P68B1DB1-Normal4"/>
        <w:numPr>
          <w:ilvl w:val="0"/>
          <w:numId w:val="77"/>
        </w:numPr>
        <w:spacing w:before="120" w:after="120" w:line="240" w:lineRule="auto"/>
        <w:ind w:left="425" w:hanging="425"/>
        <w:contextualSpacing/>
        <w:jc w:val="both"/>
        <w:rPr>
          <w:rFonts w:cs="Times New Roman"/>
          <w:noProof/>
        </w:rPr>
      </w:pPr>
      <w:r w:rsidRPr="00BC4EE7">
        <w:rPr>
          <w:rFonts w:cs="Times New Roman"/>
          <w:noProof/>
        </w:rPr>
        <w:t>az agrár-élelmiszeripari ágazat digitalizációjával foglalkozó megfigyelőközpont a MAPA és az együttműködő szerv közötti partnerségi megállapodás révén; és</w:t>
      </w:r>
    </w:p>
    <w:p w14:paraId="61C3C163" w14:textId="77777777" w:rsidR="00D65CB4" w:rsidRPr="00BC4EE7" w:rsidRDefault="00572307">
      <w:pPr>
        <w:pStyle w:val="P68B1DB1-Normal4"/>
        <w:numPr>
          <w:ilvl w:val="0"/>
          <w:numId w:val="77"/>
        </w:numPr>
        <w:spacing w:before="120" w:after="120" w:line="240" w:lineRule="auto"/>
        <w:ind w:left="426" w:hanging="426"/>
        <w:jc w:val="both"/>
        <w:rPr>
          <w:rFonts w:cs="Times New Roman"/>
          <w:noProof/>
        </w:rPr>
      </w:pPr>
      <w:r w:rsidRPr="00BC4EE7">
        <w:rPr>
          <w:rFonts w:cs="Times New Roman"/>
          <w:noProof/>
        </w:rPr>
        <w:t>a Mezőgazdasági Tudás- és Információs Rendszer (AKIS) tanácsadóinak platformja, amely az AKIS szereplői közötti tudás- és információátadást elősegítő eszközként működik, és amelyet házon belüli szerződés és versenyeztetés útján megvalósuló közbeszerzés útján kell megvalósítani.</w:t>
      </w:r>
    </w:p>
    <w:p w14:paraId="32BC8D05"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Az intézkedés részeként 2023 végéig legalább 60 agrár-élelmiszeripari kkv hajt végre olyan innovatív és digitális üzleti projekteket, amelyek megfelelnek a jelentős károkozás elkerülését célzó technikai iránymutatásnak (2021/C58/01), és amelyeket részvételen alapuló hitelekből finanszíroznak. </w:t>
      </w:r>
    </w:p>
    <w:p w14:paraId="6B1ACAB3" w14:textId="77777777" w:rsidR="00D65CB4" w:rsidRPr="00BC4EE7" w:rsidRDefault="00572307">
      <w:pPr>
        <w:pStyle w:val="P68B1DB1-Text118"/>
        <w:ind w:left="0"/>
        <w:rPr>
          <w:rFonts w:cs="Times New Roman"/>
          <w:noProof/>
        </w:rPr>
      </w:pPr>
      <w:r w:rsidRPr="00BC4EE7">
        <w:rPr>
          <w:rFonts w:cs="Times New Roman"/>
          <w:noProof/>
        </w:rPr>
        <w:t xml:space="preserve">Annak biztosítása érdekében, hogy az intézkedés megfeleljen a jelentős károkozás elkerülését célzó elvről szóló technikai iránymutatásnak (2021/C58/01), a Mezőgazdasági, Halászati és Élelmiszerügyi Minisztérium és az </w:t>
      </w:r>
      <w:r w:rsidRPr="00BC4EE7">
        <w:rPr>
          <w:rFonts w:cs="Times New Roman"/>
          <w:i/>
          <w:noProof/>
        </w:rPr>
        <w:t>Empresa Nacional de Innovación</w:t>
      </w:r>
      <w:r w:rsidRPr="00BC4EE7">
        <w:rPr>
          <w:rFonts w:cs="Times New Roman"/>
          <w:noProof/>
        </w:rPr>
        <w:t xml:space="preserve"> (ENISA) közötti jogi megállapodásnak és a pénzügyi eszköz ezt követő beruházási politikájának: </w:t>
      </w:r>
    </w:p>
    <w:p w14:paraId="66580EAC" w14:textId="77777777" w:rsidR="00D65CB4" w:rsidRPr="00BC4EE7" w:rsidRDefault="00572307">
      <w:pPr>
        <w:pStyle w:val="P68B1DB1-Text118"/>
        <w:numPr>
          <w:ilvl w:val="0"/>
          <w:numId w:val="195"/>
        </w:numPr>
        <w:ind w:left="714" w:hanging="357"/>
        <w:contextualSpacing/>
        <w:rPr>
          <w:rFonts w:cs="Times New Roman"/>
          <w:noProof/>
        </w:rPr>
      </w:pPr>
      <w:r w:rsidRPr="00BC4EE7">
        <w:rPr>
          <w:rFonts w:cs="Times New Roman"/>
          <w:noProof/>
        </w:rPr>
        <w:t>az InvestEU Alap fenntarthatósági vizsgálatára vonatkozó bizottsági technikai iránymutatás alkalmazásának előírása; és</w:t>
      </w:r>
    </w:p>
    <w:p w14:paraId="393CB774" w14:textId="77777777" w:rsidR="00D65CB4" w:rsidRPr="00BC4EE7" w:rsidRDefault="00572307">
      <w:pPr>
        <w:pStyle w:val="Text1"/>
        <w:numPr>
          <w:ilvl w:val="0"/>
          <w:numId w:val="195"/>
        </w:numPr>
        <w:ind w:left="714" w:hanging="357"/>
        <w:contextualSpacing/>
        <w:rPr>
          <w:rFonts w:ascii="Times New Roman" w:hAnsi="Times New Roman" w:cs="Times New Roman"/>
          <w:noProof/>
        </w:rPr>
      </w:pPr>
      <w:r w:rsidRPr="00BC4EE7">
        <w:rPr>
          <w:rFonts w:ascii="Times New Roman" w:hAnsi="Times New Roman" w:cs="Times New Roman"/>
          <w:noProof/>
        </w:rPr>
        <w:t>a tevékenységek és eszközök alábbi listájának kizárása a támogathatóság köréből: a fosszilis tüzelőanyagokhoz kapcsolódó tevékenységek és eszközök, beleértve a downstream felhasználást is</w:t>
      </w:r>
      <w:r w:rsidRPr="00BC4EE7">
        <w:rPr>
          <w:rStyle w:val="FootnoteReference"/>
          <w:rFonts w:ascii="Times New Roman" w:hAnsi="Times New Roman" w:cs="Times New Roman"/>
          <w:noProof/>
        </w:rPr>
        <w:footnoteReference w:id="11"/>
      </w:r>
      <w:r w:rsidRPr="00BC4EE7">
        <w:rPr>
          <w:rFonts w:ascii="Times New Roman" w:hAnsi="Times New Roman" w:cs="Times New Roman"/>
          <w:noProof/>
        </w:rPr>
        <w:t>; ii. az uniós kibocsátáskereskedelmi rendszer (ETS) keretében végzett olyan tevékenységek és eszközök, amelyek elérik a vonatkozó referenciaértékeket meg nem haladó, előre jelzett üvegházhatásúgáz-kibocsátást</w:t>
      </w:r>
      <w:r w:rsidRPr="00BC4EE7">
        <w:rPr>
          <w:rStyle w:val="FootnoteReference"/>
          <w:rFonts w:ascii="Times New Roman" w:hAnsi="Times New Roman" w:cs="Times New Roman"/>
          <w:noProof/>
        </w:rPr>
        <w:footnoteReference w:id="12"/>
      </w:r>
      <w:r w:rsidRPr="00BC4EE7">
        <w:rPr>
          <w:rFonts w:ascii="Times New Roman" w:hAnsi="Times New Roman" w:cs="Times New Roman"/>
          <w:noProof/>
        </w:rPr>
        <w:t>; a hulladéklerakókkal, hulladékégetőkkel és mechanikai-biológiai hulladékkezelő létesítményekkel kapcsolatos tevékenységek</w:t>
      </w:r>
      <w:r w:rsidRPr="00BC4EE7">
        <w:rPr>
          <w:rStyle w:val="FootnoteReference"/>
          <w:rFonts w:ascii="Times New Roman" w:hAnsi="Times New Roman" w:cs="Times New Roman"/>
          <w:noProof/>
        </w:rPr>
        <w:footnoteReference w:id="13"/>
      </w:r>
      <w:r w:rsidRPr="00BC4EE7">
        <w:rPr>
          <w:rFonts w:ascii="Times New Roman" w:hAnsi="Times New Roman" w:cs="Times New Roman"/>
          <w:noProof/>
        </w:rPr>
        <w:t xml:space="preserve"> és eszközök</w:t>
      </w:r>
      <w:r w:rsidRPr="00BC4EE7">
        <w:rPr>
          <w:rStyle w:val="FootnoteReference"/>
          <w:rFonts w:ascii="Times New Roman" w:hAnsi="Times New Roman" w:cs="Times New Roman"/>
          <w:noProof/>
        </w:rPr>
        <w:footnoteReference w:id="14"/>
      </w:r>
      <w:r w:rsidRPr="00BC4EE7">
        <w:rPr>
          <w:rFonts w:ascii="Times New Roman" w:hAnsi="Times New Roman" w:cs="Times New Roman"/>
          <w:noProof/>
        </w:rPr>
        <w:t xml:space="preserve">; valamint iv. olyan tevékenységek és eszközök, amelyek esetében a hosszú távú hulladékártalmatlanítás károsíthatja a környezetet; </w:t>
      </w:r>
    </w:p>
    <w:p w14:paraId="5C96C0E7" w14:textId="77777777" w:rsidR="00D65CB4" w:rsidRPr="00BC4EE7" w:rsidRDefault="00572307">
      <w:pPr>
        <w:pStyle w:val="P68B1DB1-Text118"/>
        <w:numPr>
          <w:ilvl w:val="0"/>
          <w:numId w:val="195"/>
        </w:numPr>
        <w:rPr>
          <w:rFonts w:cs="Times New Roman"/>
          <w:noProof/>
        </w:rPr>
      </w:pPr>
      <w:r w:rsidRPr="00BC4EE7">
        <w:rPr>
          <w:rFonts w:cs="Times New Roman"/>
          <w:noProof/>
        </w:rPr>
        <w:t>annak előírása, hogy az ENISA ellenőrizze, hogy a projektek megfelelnek-e a vonatkozó uniós és nemzeti környezetvédelmi jogszabályoknak, valamennyi ügylet esetében, beleértve a fenntarthatósági vizsgálat alól mentesülő ügyleteket is.</w:t>
      </w:r>
    </w:p>
    <w:p w14:paraId="0EAA64EC"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szén-dioxid-leválasztással és -tárolással kapcsolatos tevékenységek nem támogathatók. </w:t>
      </w:r>
    </w:p>
    <w:p w14:paraId="07BE4ACA"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beruházás végrehajtását 2026. június 30-ig be kell fejezni.</w:t>
      </w:r>
    </w:p>
    <w:p w14:paraId="5DB45D12"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 xml:space="preserve">Beruházás (C3.I6) – A halászati ágazat fenntarthatóságának, kutatásának, innovációjának és digitalizációjának előmozdítására irányuló terv (I.): A halászati érdekű tengeri tartalékok hálózatának korszerűsítése </w:t>
      </w:r>
    </w:p>
    <w:p w14:paraId="5BE7D24B"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Ezen intézkedés célja a halászati érdekű tengeri tartalékok hálózatának korszerűsítése a következő intézkedések révén:</w:t>
      </w:r>
    </w:p>
    <w:p w14:paraId="65B6E506" w14:textId="77777777" w:rsidR="00D65CB4" w:rsidRPr="00BC4EE7" w:rsidRDefault="00572307">
      <w:pPr>
        <w:pStyle w:val="P68B1DB1-Normal4"/>
        <w:numPr>
          <w:ilvl w:val="0"/>
          <w:numId w:val="78"/>
        </w:numPr>
        <w:spacing w:before="120" w:after="120" w:line="240" w:lineRule="auto"/>
        <w:ind w:left="425" w:hanging="425"/>
        <w:contextualSpacing/>
        <w:jc w:val="both"/>
        <w:rPr>
          <w:rFonts w:cs="Times New Roman"/>
          <w:noProof/>
        </w:rPr>
      </w:pPr>
      <w:r w:rsidRPr="00BC4EE7">
        <w:rPr>
          <w:rFonts w:cs="Times New Roman"/>
          <w:noProof/>
        </w:rPr>
        <w:t>Két különleges célú segédhajó beszerzése a tartalékokban végzett tevékenységek ellenőrzésének és felügyeletének biztosítása érdekében;</w:t>
      </w:r>
    </w:p>
    <w:p w14:paraId="6010D33B" w14:textId="7719209E" w:rsidR="00D65CB4" w:rsidRPr="00BC4EE7" w:rsidRDefault="00572307">
      <w:pPr>
        <w:pStyle w:val="P68B1DB1-Normal4"/>
        <w:numPr>
          <w:ilvl w:val="0"/>
          <w:numId w:val="78"/>
        </w:numPr>
        <w:spacing w:before="120" w:after="120" w:line="240" w:lineRule="auto"/>
        <w:ind w:left="425" w:hanging="425"/>
        <w:contextualSpacing/>
        <w:jc w:val="both"/>
        <w:rPr>
          <w:rFonts w:cs="Times New Roman"/>
          <w:noProof/>
        </w:rPr>
      </w:pPr>
      <w:r w:rsidRPr="00BC4EE7">
        <w:rPr>
          <w:rFonts w:cs="Times New Roman"/>
          <w:noProof/>
        </w:rPr>
        <w:t>olyan információs és kommunikációs technológia bevezetése, amely lehetővé teszi a tartalékok ellenőrzését és nyomon követését, legalább olyan drónok beszerzésével, amelyek elegendő hatáskörrel rendelkeznek ahhoz, hogy lehetővé tegyék az ellenőrzési és nyomonkövetési tevékenységeket, és optimalizálják a meglévő eszközöket;</w:t>
      </w:r>
    </w:p>
    <w:p w14:paraId="23F7DD70" w14:textId="77777777" w:rsidR="00D65CB4" w:rsidRPr="00BC4EE7" w:rsidRDefault="00572307">
      <w:pPr>
        <w:pStyle w:val="P68B1DB1-Normal4"/>
        <w:numPr>
          <w:ilvl w:val="0"/>
          <w:numId w:val="78"/>
        </w:numPr>
        <w:spacing w:before="120" w:after="120" w:line="240" w:lineRule="auto"/>
        <w:ind w:left="425" w:hanging="425"/>
        <w:contextualSpacing/>
        <w:jc w:val="both"/>
        <w:rPr>
          <w:rFonts w:cs="Times New Roman"/>
          <w:noProof/>
        </w:rPr>
      </w:pPr>
      <w:r w:rsidRPr="00BC4EE7">
        <w:rPr>
          <w:rFonts w:cs="Times New Roman"/>
          <w:noProof/>
        </w:rPr>
        <w:t>a tartalékhálózat bővítése új tengeri tartalék létrehozásával; és</w:t>
      </w:r>
    </w:p>
    <w:p w14:paraId="3BD0D107" w14:textId="40331327" w:rsidR="00D65CB4" w:rsidRPr="00BC4EE7" w:rsidRDefault="00572307">
      <w:pPr>
        <w:pStyle w:val="P68B1DB1-Normal4"/>
        <w:numPr>
          <w:ilvl w:val="0"/>
          <w:numId w:val="78"/>
        </w:numPr>
        <w:spacing w:before="120" w:after="120" w:line="240" w:lineRule="auto"/>
        <w:ind w:left="426" w:hanging="426"/>
        <w:jc w:val="both"/>
        <w:rPr>
          <w:rFonts w:cs="Times New Roman"/>
          <w:noProof/>
        </w:rPr>
      </w:pPr>
      <w:r w:rsidRPr="00BC4EE7">
        <w:rPr>
          <w:rFonts w:cs="Times New Roman"/>
          <w:noProof/>
        </w:rPr>
        <w:t xml:space="preserve">egy meglévő tengeri tartalék, az </w:t>
      </w:r>
      <w:r w:rsidRPr="00BC4EE7">
        <w:rPr>
          <w:rFonts w:cs="Times New Roman"/>
          <w:i/>
          <w:noProof/>
        </w:rPr>
        <w:t>Isla de Alborán és</w:t>
      </w:r>
      <w:r w:rsidRPr="00BC4EE7">
        <w:rPr>
          <w:rFonts w:cs="Times New Roman"/>
          <w:noProof/>
        </w:rPr>
        <w:t xml:space="preserve"> környékének frissítése a hozzáférés megkönnyítése, energiahatékonyságának javítása, valamint a tartalék megfigyeléséhez és ellenőrzéséhez szükséges megfelelő létesítményekkel (pl. radarrádió-kapcsolat a félszigettel) való felszerelése érdekében. </w:t>
      </w:r>
    </w:p>
    <w:p w14:paraId="04349FDD"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két különleges célú segédhajó beszerzését, valamint az ellenőrzést és a nyomon követést lehetővé tevő információs és kommunikációs technológia bevezetését közbeszerzési eljárások útján kell végrehajtani. </w:t>
      </w:r>
    </w:p>
    <w:p w14:paraId="121BFA3E" w14:textId="00FD380F"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Az intézkedés várhatóan nem sérti jelentősen az (EU) 2020/852 rendelet 17. cikke szerinti környezetvédelmi célkitűzéseket, figyelembe véve az intézkedés leírását és a helyreállítási és rezilienciaépítési tervben meghatározott enyhítő lépéseket a jelentős károkozás elkerülését célzó elvről szóló technikai iránymutatásnak (2021/C58/01) megfelelően. A két különleges célú segédhajónak különösen az elérhető legjobb technológiával kell rendelkeznie, amely az ágazatban a legkisebb környezeti hatással jár. A tengeri tartalékok hálózatának bővítésével kapcsolatos beruházás egy új tengeri tartalék létrehozásáról szóló tanulmányból áll, amelyet a tervek szerint házon belüli szerződés keretében hajtanak végre. Ugyanez vonatkozik az </w:t>
      </w:r>
      <w:r w:rsidRPr="00BC4EE7">
        <w:rPr>
          <w:rFonts w:cs="Times New Roman"/>
          <w:i/>
          <w:noProof/>
        </w:rPr>
        <w:t>Isla de Alborán-tartalék</w:t>
      </w:r>
      <w:r w:rsidRPr="00BC4EE7">
        <w:rPr>
          <w:rFonts w:cs="Times New Roman"/>
          <w:noProof/>
        </w:rPr>
        <w:t xml:space="preserve"> és környékének frissítésére tervezett munkálatokra is, amelyek magukban foglalják az energiaépítésről és -optimalizálásról szóló szükséges tanulmányt.</w:t>
      </w:r>
    </w:p>
    <w:p w14:paraId="531A07C6"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beruházás végrehajtását 2024. december 31-ig be kell fejezni.</w:t>
      </w:r>
    </w:p>
    <w:p w14:paraId="07DA216E"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(C3.I7.) – A halászati ágazat fenntarthatóságának, kutatásának, innovációjának és digitalizációjának fellendítésére irányuló terv (II.): A halászati és akvakultúra-kutatás fellendítése és a képzés támogatása</w:t>
      </w:r>
    </w:p>
    <w:p w14:paraId="5079C142"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Ez az intézkedés javítja a halászati gazdálkodással kapcsolatos döntéshozatal alapjául szolgáló tudományos ismeretek mennyiségét és minőségét. A kezdeményezés a következőkre terjed ki: i. legalább két akusztikai szonda beszerzése két meglévő halászhajó és oceanográfiai kutatóhajó felszerelésére a nyílt vízi fajok különböző állományainak tudományos értékeléséhez nyert adatok minőségének biztosítása érdekében; és ii. a halászati és akvakultúra-kutatás előmozdítása a halászati gazdálkodással kapcsolatos döntéshozatal ökoszisztéma-alapú megközelítésének biztosítása érdekében.</w:t>
      </w:r>
    </w:p>
    <w:p w14:paraId="3FF3E691"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két akusztikus szonda beszerzése közbeszerzési eljárás alapján történik, amelynek során a pályázatra kizárólagos alapon kerül sor. A halászati és akvakultúra-kutatás előmozdítása az állami kutatóintézetekkel kötött megállapodások aláírásával, valamint adott esetben a fedélzeti megfigyelők felvételéhez vagy pályáztatáshoz saját forrásokhoz való hozzárendelésével érhető el.</w:t>
      </w:r>
    </w:p>
    <w:p w14:paraId="28C7456C"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beruházás végrehajtását 2022. június 30-ig be kell fejezni.</w:t>
      </w:r>
    </w:p>
    <w:p w14:paraId="44C6B4CF"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 xml:space="preserve">Beruházás (C3.I8.) – A halászati ágazat fenntarthatóságának, kutatásának, innovációjának és digitalizációjának fellendítésére irányuló terv (III.): Technológiai fejlődés és innováció a halászatban és az akvakultúrában </w:t>
      </w:r>
    </w:p>
    <w:p w14:paraId="10034A14"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Ezen intézkedés célja egy környezeti, gazdasági és társadalmi szempontból fenntarthatóbb halászati és akvakultúra-ágazat létrehozása két cselekvési irányvonal révén:</w:t>
      </w:r>
    </w:p>
    <w:p w14:paraId="3F2F72A7" w14:textId="77777777" w:rsidR="00D65CB4" w:rsidRPr="00BC4EE7" w:rsidRDefault="00572307">
      <w:pPr>
        <w:pStyle w:val="P68B1DB1-Normal4"/>
        <w:numPr>
          <w:ilvl w:val="0"/>
          <w:numId w:val="79"/>
        </w:numPr>
        <w:spacing w:before="120" w:after="120" w:line="240" w:lineRule="auto"/>
        <w:ind w:left="425" w:hanging="425"/>
        <w:contextualSpacing/>
        <w:jc w:val="both"/>
        <w:rPr>
          <w:rFonts w:cs="Times New Roman"/>
          <w:noProof/>
        </w:rPr>
      </w:pPr>
      <w:r w:rsidRPr="00BC4EE7">
        <w:rPr>
          <w:rFonts w:cs="Times New Roman"/>
          <w:noProof/>
        </w:rPr>
        <w:t>A köz- és magánszféra közötti partnerségek létrehozása az ágazat kék növekedésének fellendítése érdekében, a kék gazdaság folyamatainak katalizátoraként szolgáló projektek végrehajtása érdekében; és</w:t>
      </w:r>
    </w:p>
    <w:p w14:paraId="5FDFD627" w14:textId="77777777" w:rsidR="00D65CB4" w:rsidRPr="00BC4EE7" w:rsidRDefault="00572307">
      <w:pPr>
        <w:pStyle w:val="P68B1DB1-Normal4"/>
        <w:numPr>
          <w:ilvl w:val="0"/>
          <w:numId w:val="79"/>
        </w:numPr>
        <w:spacing w:before="120" w:after="120" w:line="240" w:lineRule="auto"/>
        <w:ind w:left="426" w:hanging="426"/>
        <w:jc w:val="both"/>
        <w:rPr>
          <w:rFonts w:cs="Times New Roman"/>
          <w:noProof/>
        </w:rPr>
      </w:pPr>
      <w:r w:rsidRPr="00BC4EE7">
        <w:rPr>
          <w:rFonts w:cs="Times New Roman"/>
          <w:noProof/>
        </w:rPr>
        <w:t xml:space="preserve">az ágazat technológiai fejlődésének és innovációjának támogatása. </w:t>
      </w:r>
    </w:p>
    <w:p w14:paraId="5A889EEB"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Az intézkedés legalább 20 olyan kutatási, fejlesztési és innovációs projekt befejezését irányozza elő, amelyek elősegítik a halászati és akvakultúra-ágazat ellenálló képességét és fenntarthatóságát.</w:t>
      </w:r>
    </w:p>
    <w:p w14:paraId="38FD27C3"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beruházás végrehajtását 2023. december 31-ig be kell fejezni.</w:t>
      </w:r>
    </w:p>
    <w:p w14:paraId="6E88A54F"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 xml:space="preserve">Beruházás (C3.I9.) – A halászati ágazat fenntarthatóságának, kutatásának, innovációjának és digitalizációjának fellendítésére irányuló terv (IV.): Az információs és kommunikációs technológiák digitalizációja és alkalmazása a halászati ágazatban </w:t>
      </w:r>
    </w:p>
    <w:p w14:paraId="3685C600"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Ezen intézkedés célja a halászati tevékenység felügyeletének javítása a környezeti fenntarthatóság, valamint a halászati ágazat közép- és hosszú távú életképességének biztosítása érdekében. Az intézkedés két cselekvési irányból áll:</w:t>
      </w:r>
    </w:p>
    <w:p w14:paraId="10654A36" w14:textId="77777777" w:rsidR="00D65CB4" w:rsidRPr="00BC4EE7" w:rsidRDefault="00572307">
      <w:pPr>
        <w:pStyle w:val="P68B1DB1-Normal4"/>
        <w:numPr>
          <w:ilvl w:val="0"/>
          <w:numId w:val="80"/>
        </w:numPr>
        <w:spacing w:before="120" w:after="120" w:line="240" w:lineRule="auto"/>
        <w:ind w:left="425" w:hanging="425"/>
        <w:contextualSpacing/>
        <w:jc w:val="both"/>
        <w:rPr>
          <w:rFonts w:cs="Times New Roman"/>
          <w:noProof/>
        </w:rPr>
      </w:pPr>
      <w:r w:rsidRPr="00BC4EE7">
        <w:rPr>
          <w:rFonts w:cs="Times New Roman"/>
          <w:noProof/>
        </w:rPr>
        <w:t>A halászati és akvakultúra-ágazat digitalizálására irányuló támogatási rendszer, beleértve i. a fogások elektronikus benyújtására szolgáló eszközökhöz, valamint a 12 méternél rövidebb hajók földrajzi helymeghatározásához nyújtott támogatást; és ii. a 24 méternél hosszabb hajók esetében a halászat távellenőrzésére és a visszadobások elleni küzdelemre szolgáló kamerákat használó felügyeleti rendszer telepítéséhez nyújtott támogatás; és</w:t>
      </w:r>
    </w:p>
    <w:p w14:paraId="77EEACF1" w14:textId="77777777" w:rsidR="00D65CB4" w:rsidRPr="00BC4EE7" w:rsidRDefault="00572307">
      <w:pPr>
        <w:pStyle w:val="P68B1DB1-Normal4"/>
        <w:numPr>
          <w:ilvl w:val="0"/>
          <w:numId w:val="80"/>
        </w:numPr>
        <w:spacing w:before="120" w:after="120" w:line="240" w:lineRule="auto"/>
        <w:ind w:left="426" w:hanging="426"/>
        <w:jc w:val="both"/>
        <w:rPr>
          <w:rFonts w:cs="Times New Roman"/>
          <w:noProof/>
        </w:rPr>
      </w:pPr>
      <w:r w:rsidRPr="00BC4EE7">
        <w:rPr>
          <w:rFonts w:cs="Times New Roman"/>
          <w:noProof/>
        </w:rPr>
        <w:t xml:space="preserve">a halászati felügyelet modern IKT-megoldásai, beleértve i. a 12 méternél rövidebb hajók nyomon követését lehetővé tevő fogási nyilvántartási rendszert; ii. a halászat ellenőrzésére és felügyeletére szolgáló drónrepülőszolgálat, valamint a 24 méternél hosszabb halászhajók fogásaira vonatkozó távmegfigyelési rendszer létrehozása; valamint iii. eszközök és szoftverek (azaz egy második tűzfal telepítése) a spanyol halászati információs rendszer biztonságának megerősítésére. </w:t>
      </w:r>
    </w:p>
    <w:p w14:paraId="0873398E"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spanyol halászati és akvakultúra-ágazat digitalizálását versenytárgyalási támogatások formájában kell megvalósítani, míg a halászati felügyeletre vonatkozó modern IKT-megoldások megvalósítása nyílt és központosított közbeszerzés útján történik.</w:t>
      </w:r>
    </w:p>
    <w:p w14:paraId="63A8A9F0"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beruházás végrehajtását 2024. december 31-ig be kell fejezni.</w:t>
      </w:r>
    </w:p>
    <w:p w14:paraId="3C3B31F3"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(C3.I10.) – Terv a halászati ágazat fenntarthatóságának, kutatásának, innovációjának és digitalizációjának fellendítésére (V): A jogellenes, be nem jelentett és szabályozatlan halászat elleni küzdelem támogatása</w:t>
      </w:r>
    </w:p>
    <w:p w14:paraId="0F153A69"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Ez az intézkedés támogatja a tengeri ökoszisztémákat továbbra is veszélyeztető jogellenes, be nem jelentett és szabályozatlan halászat elleni küzdelmet. E célból az intézkedés a következő beruházásokat támogatja:</w:t>
      </w:r>
    </w:p>
    <w:p w14:paraId="5AAA67EC" w14:textId="77777777" w:rsidR="00D65CB4" w:rsidRPr="00BC4EE7" w:rsidRDefault="00572307">
      <w:pPr>
        <w:pStyle w:val="P68B1DB1-Normal4"/>
        <w:numPr>
          <w:ilvl w:val="0"/>
          <w:numId w:val="82"/>
        </w:numPr>
        <w:spacing w:before="120" w:after="120" w:line="240" w:lineRule="auto"/>
        <w:ind w:left="425" w:hanging="425"/>
        <w:contextualSpacing/>
        <w:jc w:val="both"/>
        <w:rPr>
          <w:rFonts w:cs="Times New Roman"/>
          <w:noProof/>
        </w:rPr>
      </w:pPr>
      <w:r w:rsidRPr="00BC4EE7">
        <w:rPr>
          <w:rFonts w:cs="Times New Roman"/>
          <w:noProof/>
        </w:rPr>
        <w:t>Négy járőrhajó beszerzése; és</w:t>
      </w:r>
    </w:p>
    <w:p w14:paraId="427E0998" w14:textId="77777777" w:rsidR="00D65CB4" w:rsidRPr="00BC4EE7" w:rsidRDefault="00572307">
      <w:pPr>
        <w:pStyle w:val="P68B1DB1-Normal4"/>
        <w:numPr>
          <w:ilvl w:val="0"/>
          <w:numId w:val="82"/>
        </w:numPr>
        <w:spacing w:before="120" w:after="120" w:line="240" w:lineRule="auto"/>
        <w:ind w:left="426" w:hanging="426"/>
        <w:jc w:val="both"/>
        <w:rPr>
          <w:rFonts w:cs="Times New Roman"/>
          <w:noProof/>
        </w:rPr>
      </w:pPr>
      <w:r w:rsidRPr="00BC4EE7">
        <w:rPr>
          <w:rFonts w:cs="Times New Roman"/>
          <w:noProof/>
        </w:rPr>
        <w:t xml:space="preserve">három nyílt tengeri járőrhajó korszerűsítése, amelyeket a jogellenes, bejelentett és szabályozatlan halászat elleni küzdelemre kell használni. </w:t>
      </w:r>
    </w:p>
    <w:p w14:paraId="2330BD62"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Az intézkedést járőrhajók építésére irányuló közbeszerzési eljárás, tengeri járőrhajók esetében pedig a spanyol haditengerészettel kötött megállapodás módosítása révén kell végrehajtani, amely jogi fedezetet biztosít a fent említett korszerűsítési munkálatokat irányító haditengerészetnek történő átadáshoz. </w:t>
      </w:r>
    </w:p>
    <w:p w14:paraId="78209AC5"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Az intézkedés várhatóan nem sérti jelentősen az (EU) 2020/852 rendelet 17. cikke szerinti környezetvédelmi célkitűzéseket, figyelembe véve az intézkedés leírását és a helyreállítási és rezilienciaépítési tervben meghatározott enyhítő lépéseket a jelentős károkozás elkerülését célzó elvről szóló technikai iránymutatásnak (2021/C58/01) megfelelően. Különösen a hajók beszerzése és korszerűsítése csak az ágazatban a legalacsonyabb környezeti hatással járó elérhető legjobb technológiával történhet. </w:t>
      </w:r>
    </w:p>
    <w:p w14:paraId="5521310B" w14:textId="77777777" w:rsidR="00D65CB4" w:rsidRPr="00BC4EE7" w:rsidRDefault="00572307">
      <w:pPr>
        <w:pStyle w:val="P68B1DB1-Normal4"/>
        <w:spacing w:before="120" w:after="120" w:line="240" w:lineRule="auto"/>
        <w:jc w:val="both"/>
        <w:rPr>
          <w:rFonts w:cs="Times New Roman"/>
          <w:noProof/>
          <w:u w:val="single"/>
        </w:rPr>
      </w:pPr>
      <w:r w:rsidRPr="00BC4EE7">
        <w:rPr>
          <w:rFonts w:cs="Times New Roman"/>
          <w:noProof/>
        </w:rPr>
        <w:t>A beruházás végrehajtását 2022. december 31-ig be kell fejezni.</w:t>
      </w:r>
    </w:p>
    <w:p w14:paraId="23C67E2D"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 xml:space="preserve">Beruházás (C3.I11.) – A halászati ágazat fenntarthatóságának, kutatásának, innovációjának és digitalizációjának fellendítésére irányuló terv (VI.): A halászati ágazat finanszírozásához nyújtott támogatás </w:t>
      </w:r>
    </w:p>
    <w:p w14:paraId="34D83F9F"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Ez az intézkedés a halászati ágazat beruházási projektjeinek finanszírozását biztosítja a </w:t>
      </w:r>
      <w:r w:rsidRPr="00BC4EE7">
        <w:rPr>
          <w:rFonts w:cs="Times New Roman"/>
          <w:i/>
          <w:noProof/>
        </w:rPr>
        <w:t>Sociedad Anónima Estatal de Caución Agraria</w:t>
      </w:r>
      <w:r w:rsidRPr="00BC4EE7">
        <w:rPr>
          <w:rFonts w:cs="Times New Roman"/>
          <w:noProof/>
        </w:rPr>
        <w:t xml:space="preserve"> (SAECA) számára nyújtott hitel révén. Az intézkedés célja, hogy pénzügyi sort hozzon létre a fenntartható halászattal kapcsolatos fellépésekhez kapcsolódó projektek számára, beleértve a következőket: i. a munka- és biztonsági feltételek javítása; a folyamatok és rendszerek digitalizálása; a termékek értékének és nyomonkövethetőségének javítása; iv. új termékek és kiszerelések keresése, beleértve a csomagolást is; valamint v. az innováció, az energiahatékonyság és -hatékonyság, valamint az alacsonyabb éghajlati hatással járó energiára való átállás ösztönzése.</w:t>
      </w:r>
    </w:p>
    <w:p w14:paraId="0403E22F"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Az intézkedés végrehajtása a Mezőgazdasági, Halászati és Élelmiszerügyi Minisztérium és a SAECA közötti megállapodás révén történik, amelynek célja a halászati ágazat beruházási projektjeinek finanszírozása. A mechanizmus a SAECA-nak a fenntartható halászati tevékenységgel kapcsolatos intézkedéseket tartalmazó projektek újragaranciáját biztosító finanszírozási vonal létrehozásához nyújtott hitelen alapul. A megállapodásnak tartalmaznia kell egy olyan feltételt, amely garantálja, hogy az e finanszírozással végrehajtott beruházások megfelelnek a jelentős károkozás elkerülését célzó technikai iránymutatásnak (2021/C58/01).</w:t>
      </w:r>
    </w:p>
    <w:p w14:paraId="2F1A6EED" w14:textId="77777777" w:rsidR="00D65CB4" w:rsidRPr="00BC4EE7" w:rsidRDefault="00572307">
      <w:pPr>
        <w:pStyle w:val="P68B1DB1-Text118"/>
        <w:ind w:left="0"/>
        <w:rPr>
          <w:rFonts w:cs="Times New Roman"/>
          <w:noProof/>
        </w:rPr>
      </w:pPr>
      <w:r w:rsidRPr="00BC4EE7">
        <w:rPr>
          <w:rFonts w:cs="Times New Roman"/>
          <w:noProof/>
        </w:rPr>
        <w:t xml:space="preserve">Annak biztosítása érdekében, hogy az intézkedés megfeleljen a jelentős károkozás elkerülését célzó technikai iránymutatásnak (2021/C58/01), a Mezőgazdasági, Halászati és Élelmiszerügyi Minisztérium és a SAECA közötti jogi megállapodásnak és a pénzügyi eszköz ezt követő beruházási politikájának: </w:t>
      </w:r>
    </w:p>
    <w:p w14:paraId="460501DF" w14:textId="77777777" w:rsidR="00D65CB4" w:rsidRPr="00BC4EE7" w:rsidRDefault="00572307">
      <w:pPr>
        <w:pStyle w:val="P68B1DB1-Text118"/>
        <w:numPr>
          <w:ilvl w:val="0"/>
          <w:numId w:val="196"/>
        </w:numPr>
        <w:ind w:left="714" w:hanging="357"/>
        <w:contextualSpacing/>
        <w:rPr>
          <w:rFonts w:cs="Times New Roman"/>
          <w:noProof/>
        </w:rPr>
      </w:pPr>
      <w:r w:rsidRPr="00BC4EE7">
        <w:rPr>
          <w:rFonts w:cs="Times New Roman"/>
          <w:noProof/>
        </w:rPr>
        <w:t>az InvestEU Alap fenntarthatósági vizsgálatára vonatkozó bizottsági technikai iránymutatás alkalmazásának előírása; és</w:t>
      </w:r>
    </w:p>
    <w:p w14:paraId="773373C3" w14:textId="77777777" w:rsidR="00D65CB4" w:rsidRPr="00BC4EE7" w:rsidRDefault="00572307">
      <w:pPr>
        <w:pStyle w:val="Text1"/>
        <w:numPr>
          <w:ilvl w:val="0"/>
          <w:numId w:val="196"/>
        </w:numPr>
        <w:ind w:left="714" w:hanging="357"/>
        <w:contextualSpacing/>
        <w:rPr>
          <w:rFonts w:ascii="Times New Roman" w:hAnsi="Times New Roman" w:cs="Times New Roman"/>
          <w:noProof/>
        </w:rPr>
      </w:pPr>
      <w:r w:rsidRPr="00BC4EE7">
        <w:rPr>
          <w:rFonts w:ascii="Times New Roman" w:hAnsi="Times New Roman" w:cs="Times New Roman"/>
          <w:noProof/>
        </w:rPr>
        <w:t>a tevékenységek és eszközök alábbi listájának kizárása a támogathatóság köréből: a fosszilis tüzelőanyagokhoz kapcsolódó tevékenységek és eszközök, beleértve a downstream felhasználást is</w:t>
      </w:r>
      <w:r w:rsidRPr="00BC4EE7">
        <w:rPr>
          <w:rStyle w:val="FootnoteReference"/>
          <w:rFonts w:ascii="Times New Roman" w:hAnsi="Times New Roman" w:cs="Times New Roman"/>
          <w:noProof/>
        </w:rPr>
        <w:footnoteReference w:id="15"/>
      </w:r>
      <w:r w:rsidRPr="00BC4EE7">
        <w:rPr>
          <w:rFonts w:ascii="Times New Roman" w:hAnsi="Times New Roman" w:cs="Times New Roman"/>
          <w:noProof/>
        </w:rPr>
        <w:t>; ii. az uniós kibocsátáskereskedelmi rendszer (ETS) keretében végzett olyan tevékenységek és eszközök, amelyek elérik a vonatkozó referenciaértékeket meg nem haladó, előre jelzett üvegházhatásúgáz-kibocsátást</w:t>
      </w:r>
      <w:r w:rsidRPr="00BC4EE7">
        <w:rPr>
          <w:rStyle w:val="FootnoteReference"/>
          <w:rFonts w:ascii="Times New Roman" w:hAnsi="Times New Roman" w:cs="Times New Roman"/>
          <w:noProof/>
        </w:rPr>
        <w:footnoteReference w:id="16"/>
      </w:r>
      <w:r w:rsidRPr="00BC4EE7">
        <w:rPr>
          <w:rFonts w:ascii="Times New Roman" w:hAnsi="Times New Roman" w:cs="Times New Roman"/>
          <w:noProof/>
        </w:rPr>
        <w:t>; a hulladéklerakókkal, hulladékégetőkkel és mechanikai-biológiai hulladékkezelő létesítményekkel kapcsolatos tevékenységek</w:t>
      </w:r>
      <w:r w:rsidRPr="00BC4EE7">
        <w:rPr>
          <w:rStyle w:val="FootnoteReference"/>
          <w:rFonts w:ascii="Times New Roman" w:hAnsi="Times New Roman" w:cs="Times New Roman"/>
          <w:noProof/>
        </w:rPr>
        <w:footnoteReference w:id="17"/>
      </w:r>
      <w:r w:rsidRPr="00BC4EE7">
        <w:rPr>
          <w:rFonts w:ascii="Times New Roman" w:hAnsi="Times New Roman" w:cs="Times New Roman"/>
          <w:noProof/>
        </w:rPr>
        <w:t xml:space="preserve"> és eszközök</w:t>
      </w:r>
      <w:r w:rsidRPr="00BC4EE7">
        <w:rPr>
          <w:rStyle w:val="FootnoteReference"/>
          <w:rFonts w:ascii="Times New Roman" w:hAnsi="Times New Roman" w:cs="Times New Roman"/>
          <w:noProof/>
        </w:rPr>
        <w:footnoteReference w:id="18"/>
      </w:r>
      <w:r w:rsidRPr="00BC4EE7">
        <w:rPr>
          <w:rFonts w:ascii="Times New Roman" w:hAnsi="Times New Roman" w:cs="Times New Roman"/>
          <w:noProof/>
        </w:rPr>
        <w:t>; valamint iv. olyan tevékenységek és eszközök, amelyek esetében a hosszú távú hulladékártalmatlanítás károsíthatja a környezetet; és</w:t>
      </w:r>
    </w:p>
    <w:p w14:paraId="21A033D6" w14:textId="77777777" w:rsidR="00D65CB4" w:rsidRPr="00BC4EE7" w:rsidRDefault="00572307">
      <w:pPr>
        <w:pStyle w:val="P68B1DB1-Text118"/>
        <w:numPr>
          <w:ilvl w:val="0"/>
          <w:numId w:val="196"/>
        </w:numPr>
        <w:rPr>
          <w:rFonts w:cs="Times New Roman"/>
          <w:noProof/>
        </w:rPr>
      </w:pPr>
      <w:r w:rsidRPr="00BC4EE7">
        <w:rPr>
          <w:rFonts w:cs="Times New Roman"/>
          <w:noProof/>
        </w:rPr>
        <w:t>annak előírása, hogy a SAECA ellenőrizze, hogy a projektek megfelelnek-e a vonatkozó uniós és nemzeti környezetvédelmi jogszabályoknak, valamennyi ügylet esetében, beleértve a fenntarthatósági vizsgálat alól mentesülő ügyleteket is.</w:t>
      </w:r>
    </w:p>
    <w:p w14:paraId="1ACA65E4"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beruházás végrehajtását 2022. június 30-ig be kell fejezni.</w:t>
      </w:r>
    </w:p>
    <w:p w14:paraId="1FA4A2A6" w14:textId="77777777" w:rsidR="00D65CB4" w:rsidRPr="00BC4EE7" w:rsidRDefault="00572307">
      <w:pPr>
        <w:keepNext/>
        <w:spacing w:before="120" w:after="120" w:line="240" w:lineRule="auto"/>
        <w:ind w:left="709"/>
        <w:jc w:val="both"/>
        <w:rPr>
          <w:rFonts w:ascii="Times New Roman" w:hAnsi="Times New Roman" w:cs="Times New Roman"/>
          <w:b/>
          <w:noProof/>
          <w:sz w:val="24"/>
          <w:u w:val="single"/>
        </w:rPr>
      </w:pPr>
      <w:r w:rsidRPr="00BC4EE7">
        <w:rPr>
          <w:rFonts w:ascii="Times New Roman" w:hAnsi="Times New Roman" w:cs="Times New Roman"/>
          <w:b/>
          <w:noProof/>
          <w:sz w:val="24"/>
          <w:u w:val="single"/>
        </w:rPr>
        <w:t xml:space="preserve">C.2.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Vissza nem térítendő pénzügyi támogatás – a végrehajtáshoz és a nyomon követéshez kapcsolódó mérföldkövek, célok, mutatók és ütemterv</w:t>
      </w:r>
    </w:p>
    <w:p w14:paraId="74A95577" w14:textId="77777777" w:rsidR="00D65CB4" w:rsidRPr="00BC4EE7" w:rsidRDefault="00572307">
      <w:pPr>
        <w:pStyle w:val="P68B1DB1-Normal4"/>
        <w:spacing w:before="120" w:after="120" w:line="240" w:lineRule="auto"/>
        <w:jc w:val="both"/>
        <w:rPr>
          <w:rFonts w:cs="Times New Roman"/>
          <w:b/>
          <w:noProof/>
          <w:u w:val="single"/>
        </w:rPr>
      </w:pPr>
      <w:r w:rsidRPr="00BC4EE7">
        <w:rPr>
          <w:rFonts w:cs="Times New Roman"/>
          <w:i/>
          <w:noProof/>
        </w:rPr>
        <w:t>Táblázat alább.</w:t>
      </w:r>
      <w:r w:rsidRPr="00BC4EE7">
        <w:rPr>
          <w:rFonts w:cs="Times New Roman"/>
          <w:noProof/>
        </w:rPr>
        <w:t xml:space="preserve"> </w:t>
      </w:r>
      <w:r w:rsidRPr="00BC4EE7">
        <w:rPr>
          <w:rFonts w:cs="Times New Roman"/>
          <w:i/>
          <w:noProof/>
        </w:rPr>
        <w:t>Az összes mutató esetében az alapforgatókönyv időpontja 2020. február 1., kivéve, ha az intézkedés leírása ettől eltérően rendelkezik. A táblázatban szereplő összegek nem tartalmazzák a héát.</w:t>
      </w:r>
    </w:p>
    <w:p w14:paraId="0562CB0E" w14:textId="77777777" w:rsidR="00D65CB4" w:rsidRPr="00BC4EE7" w:rsidRDefault="00D65CB4">
      <w:pPr>
        <w:spacing w:before="120" w:after="120" w:line="240" w:lineRule="auto"/>
        <w:ind w:left="709"/>
        <w:jc w:val="both"/>
        <w:rPr>
          <w:rFonts w:ascii="Times New Roman" w:hAnsi="Times New Roman" w:cs="Times New Roman"/>
          <w:noProof/>
          <w:sz w:val="24"/>
        </w:rPr>
        <w:sectPr w:rsidR="00D65CB4" w:rsidRPr="00BC4EE7" w:rsidSect="00B511EF">
          <w:headerReference w:type="even" r:id="rId75"/>
          <w:headerReference w:type="default" r:id="rId76"/>
          <w:footerReference w:type="even" r:id="rId77"/>
          <w:footerReference w:type="default" r:id="rId78"/>
          <w:headerReference w:type="first" r:id="rId79"/>
          <w:footerReference w:type="first" r:id="rId80"/>
          <w:pgSz w:w="11907" w:h="16839"/>
          <w:pgMar w:top="1134" w:right="1134" w:bottom="1134" w:left="1134" w:header="567" w:footer="567" w:gutter="0"/>
          <w:cols w:space="720"/>
          <w:docGrid w:linePitch="360"/>
        </w:sectPr>
      </w:pPr>
    </w:p>
    <w:tbl>
      <w:tblPr>
        <w:tblW w:w="15452"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32"/>
        <w:gridCol w:w="1012"/>
        <w:gridCol w:w="1134"/>
        <w:gridCol w:w="2543"/>
        <w:gridCol w:w="1242"/>
        <w:gridCol w:w="828"/>
        <w:gridCol w:w="966"/>
        <w:gridCol w:w="691"/>
        <w:gridCol w:w="415"/>
        <w:gridCol w:w="553"/>
        <w:gridCol w:w="5236"/>
      </w:tblGrid>
      <w:tr w:rsidR="00D65CB4" w:rsidRPr="00BC4EE7" w14:paraId="6356C3BA" w14:textId="77777777" w:rsidTr="002F5BA1">
        <w:trPr>
          <w:trHeight w:val="309"/>
          <w:tblHeader/>
        </w:trPr>
        <w:tc>
          <w:tcPr>
            <w:tcW w:w="832" w:type="dxa"/>
            <w:tcBorders>
              <w:bottom w:val="nil"/>
            </w:tcBorders>
            <w:shd w:val="clear" w:color="auto" w:fill="C6D9F1" w:themeFill="text2" w:themeFillTint="33"/>
            <w:noWrap/>
            <w:vAlign w:val="center"/>
          </w:tcPr>
          <w:p w14:paraId="62583AFD"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Szám</w:t>
            </w:r>
          </w:p>
        </w:tc>
        <w:tc>
          <w:tcPr>
            <w:tcW w:w="1012" w:type="dxa"/>
            <w:tcBorders>
              <w:bottom w:val="nil"/>
            </w:tcBorders>
            <w:shd w:val="clear" w:color="auto" w:fill="C6D9F1" w:themeFill="text2" w:themeFillTint="33"/>
            <w:noWrap/>
            <w:vAlign w:val="center"/>
          </w:tcPr>
          <w:p w14:paraId="6DA1E61E"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Intézkedés</w:t>
            </w:r>
          </w:p>
        </w:tc>
        <w:tc>
          <w:tcPr>
            <w:tcW w:w="1134" w:type="dxa"/>
            <w:tcBorders>
              <w:bottom w:val="nil"/>
            </w:tcBorders>
            <w:shd w:val="clear" w:color="auto" w:fill="C6D9F1" w:themeFill="text2" w:themeFillTint="33"/>
            <w:noWrap/>
            <w:vAlign w:val="center"/>
          </w:tcPr>
          <w:p w14:paraId="099D9751" w14:textId="77777777" w:rsidR="00D65CB4" w:rsidRPr="00BC4EE7" w:rsidRDefault="00572307">
            <w:pPr>
              <w:spacing w:after="0" w:line="240" w:lineRule="auto"/>
              <w:jc w:val="center"/>
              <w:rPr>
                <w:rFonts w:ascii="Times New Roman" w:hAnsi="Times New Roman" w:cs="Times New Roman"/>
                <w:b/>
                <w:noProof/>
                <w:sz w:val="18"/>
              </w:rPr>
            </w:pPr>
            <w:r w:rsidRPr="00BC4EE7">
              <w:rPr>
                <w:rFonts w:ascii="Times New Roman" w:hAnsi="Times New Roman" w:cs="Times New Roman"/>
                <w:b/>
                <w:noProof/>
                <w:sz w:val="18"/>
              </w:rPr>
              <w:t>Mérföldkő</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b/>
                <w:noProof/>
                <w:sz w:val="18"/>
              </w:rPr>
              <w:t xml:space="preserve"> /Cél</w:t>
            </w:r>
          </w:p>
        </w:tc>
        <w:tc>
          <w:tcPr>
            <w:tcW w:w="2543" w:type="dxa"/>
            <w:tcBorders>
              <w:bottom w:val="nil"/>
            </w:tcBorders>
            <w:shd w:val="clear" w:color="auto" w:fill="C6D9F1" w:themeFill="text2" w:themeFillTint="33"/>
            <w:noWrap/>
            <w:vAlign w:val="center"/>
          </w:tcPr>
          <w:p w14:paraId="5D4478A0"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Név</w:t>
            </w:r>
          </w:p>
        </w:tc>
        <w:tc>
          <w:tcPr>
            <w:tcW w:w="1242" w:type="dxa"/>
            <w:tcBorders>
              <w:bottom w:val="nil"/>
            </w:tcBorders>
            <w:shd w:val="clear" w:color="auto" w:fill="C6D9F1" w:themeFill="text2" w:themeFillTint="33"/>
            <w:noWrap/>
            <w:vAlign w:val="center"/>
          </w:tcPr>
          <w:p w14:paraId="6F976713"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mérföldkövek minőségi mutatója</w:t>
            </w:r>
          </w:p>
        </w:tc>
        <w:tc>
          <w:tcPr>
            <w:tcW w:w="2485" w:type="dxa"/>
            <w:gridSpan w:val="3"/>
            <w:shd w:val="clear" w:color="auto" w:fill="C6D9F1" w:themeFill="text2" w:themeFillTint="33"/>
            <w:noWrap/>
            <w:vAlign w:val="center"/>
          </w:tcPr>
          <w:p w14:paraId="4054A7C9"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célérték mennyiségi mutatója</w:t>
            </w:r>
          </w:p>
        </w:tc>
        <w:tc>
          <w:tcPr>
            <w:tcW w:w="968" w:type="dxa"/>
            <w:gridSpan w:val="2"/>
            <w:shd w:val="clear" w:color="auto" w:fill="C6D9F1" w:themeFill="text2" w:themeFillTint="33"/>
            <w:noWrap/>
            <w:vAlign w:val="center"/>
          </w:tcPr>
          <w:p w14:paraId="5A77FFC3"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Idő</w:t>
            </w:r>
          </w:p>
        </w:tc>
        <w:tc>
          <w:tcPr>
            <w:tcW w:w="5236" w:type="dxa"/>
            <w:tcBorders>
              <w:bottom w:val="nil"/>
            </w:tcBorders>
            <w:shd w:val="clear" w:color="auto" w:fill="C6D9F1" w:themeFill="text2" w:themeFillTint="33"/>
            <w:noWrap/>
            <w:vAlign w:val="center"/>
          </w:tcPr>
          <w:p w14:paraId="7DF1CA4F"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Az egyes mérföldkövek és célértékek leírása</w:t>
            </w:r>
          </w:p>
        </w:tc>
      </w:tr>
      <w:tr w:rsidR="00D65CB4" w:rsidRPr="00BC4EE7" w14:paraId="1C0DE7C1" w14:textId="77777777" w:rsidTr="002F5BA1">
        <w:trPr>
          <w:trHeight w:val="309"/>
          <w:tblHeader/>
        </w:trPr>
        <w:tc>
          <w:tcPr>
            <w:tcW w:w="832" w:type="dxa"/>
            <w:tcBorders>
              <w:top w:val="nil"/>
            </w:tcBorders>
            <w:shd w:val="clear" w:color="auto" w:fill="C6D9F1" w:themeFill="text2" w:themeFillTint="33"/>
            <w:noWrap/>
          </w:tcPr>
          <w:p w14:paraId="34CE0A41" w14:textId="77777777" w:rsidR="00D65CB4" w:rsidRPr="00BC4EE7" w:rsidRDefault="00D65CB4">
            <w:pPr>
              <w:spacing w:after="0" w:line="240" w:lineRule="auto"/>
              <w:jc w:val="center"/>
              <w:rPr>
                <w:rFonts w:ascii="Times New Roman" w:hAnsi="Times New Roman" w:cs="Times New Roman"/>
                <w:b/>
                <w:noProof/>
                <w:sz w:val="18"/>
              </w:rPr>
            </w:pPr>
          </w:p>
        </w:tc>
        <w:tc>
          <w:tcPr>
            <w:tcW w:w="1012" w:type="dxa"/>
            <w:tcBorders>
              <w:top w:val="nil"/>
            </w:tcBorders>
            <w:shd w:val="clear" w:color="auto" w:fill="C6D9F1" w:themeFill="text2" w:themeFillTint="33"/>
            <w:noWrap/>
          </w:tcPr>
          <w:p w14:paraId="62EBF3C5" w14:textId="77777777" w:rsidR="00D65CB4" w:rsidRPr="00BC4EE7" w:rsidRDefault="00D65CB4">
            <w:pPr>
              <w:spacing w:after="0" w:line="240" w:lineRule="auto"/>
              <w:jc w:val="center"/>
              <w:rPr>
                <w:rFonts w:ascii="Times New Roman" w:hAnsi="Times New Roman" w:cs="Times New Roman"/>
                <w:b/>
                <w:noProof/>
                <w:sz w:val="18"/>
              </w:rPr>
            </w:pPr>
          </w:p>
        </w:tc>
        <w:tc>
          <w:tcPr>
            <w:tcW w:w="1134" w:type="dxa"/>
            <w:tcBorders>
              <w:top w:val="nil"/>
            </w:tcBorders>
            <w:shd w:val="clear" w:color="auto" w:fill="C6D9F1" w:themeFill="text2" w:themeFillTint="33"/>
            <w:noWrap/>
          </w:tcPr>
          <w:p w14:paraId="6D98A12B" w14:textId="77777777" w:rsidR="00D65CB4" w:rsidRPr="00BC4EE7" w:rsidRDefault="00D65CB4">
            <w:pPr>
              <w:spacing w:after="0" w:line="240" w:lineRule="auto"/>
              <w:jc w:val="center"/>
              <w:rPr>
                <w:rFonts w:ascii="Times New Roman" w:hAnsi="Times New Roman" w:cs="Times New Roman"/>
                <w:b/>
                <w:noProof/>
                <w:sz w:val="18"/>
              </w:rPr>
            </w:pPr>
          </w:p>
        </w:tc>
        <w:tc>
          <w:tcPr>
            <w:tcW w:w="2543" w:type="dxa"/>
            <w:tcBorders>
              <w:top w:val="nil"/>
            </w:tcBorders>
            <w:shd w:val="clear" w:color="auto" w:fill="C6D9F1" w:themeFill="text2" w:themeFillTint="33"/>
            <w:noWrap/>
          </w:tcPr>
          <w:p w14:paraId="2946DB82" w14:textId="77777777" w:rsidR="00D65CB4" w:rsidRPr="00BC4EE7" w:rsidRDefault="00D65CB4">
            <w:pPr>
              <w:spacing w:after="0" w:line="240" w:lineRule="auto"/>
              <w:rPr>
                <w:rFonts w:ascii="Times New Roman" w:hAnsi="Times New Roman" w:cs="Times New Roman"/>
                <w:b/>
                <w:noProof/>
                <w:sz w:val="18"/>
              </w:rPr>
            </w:pPr>
          </w:p>
        </w:tc>
        <w:tc>
          <w:tcPr>
            <w:tcW w:w="1242" w:type="dxa"/>
            <w:tcBorders>
              <w:top w:val="nil"/>
            </w:tcBorders>
            <w:shd w:val="clear" w:color="auto" w:fill="C6D9F1" w:themeFill="text2" w:themeFillTint="33"/>
            <w:noWrap/>
          </w:tcPr>
          <w:p w14:paraId="5997CC1D" w14:textId="77777777" w:rsidR="00D65CB4" w:rsidRPr="00BC4EE7" w:rsidRDefault="00D65CB4">
            <w:pPr>
              <w:spacing w:after="0" w:line="240" w:lineRule="auto"/>
              <w:jc w:val="center"/>
              <w:rPr>
                <w:rFonts w:ascii="Times New Roman" w:hAnsi="Times New Roman" w:cs="Times New Roman"/>
                <w:b/>
                <w:noProof/>
                <w:sz w:val="18"/>
              </w:rPr>
            </w:pPr>
          </w:p>
        </w:tc>
        <w:tc>
          <w:tcPr>
            <w:tcW w:w="828" w:type="dxa"/>
            <w:shd w:val="clear" w:color="auto" w:fill="C6D9F1" w:themeFill="text2" w:themeFillTint="33"/>
            <w:noWrap/>
            <w:vAlign w:val="center"/>
          </w:tcPr>
          <w:p w14:paraId="0DC741B2"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Egység</w:t>
            </w:r>
          </w:p>
        </w:tc>
        <w:tc>
          <w:tcPr>
            <w:tcW w:w="966" w:type="dxa"/>
            <w:shd w:val="clear" w:color="auto" w:fill="C6D9F1" w:themeFill="text2" w:themeFillTint="33"/>
            <w:noWrap/>
            <w:vAlign w:val="center"/>
          </w:tcPr>
          <w:p w14:paraId="45A1BAA3" w14:textId="68A337D0" w:rsidR="00D65CB4" w:rsidRPr="00BC4EE7" w:rsidRDefault="00572307">
            <w:pPr>
              <w:pStyle w:val="P68B1DB1-Normal8"/>
              <w:spacing w:after="0" w:line="240" w:lineRule="auto"/>
              <w:jc w:val="center"/>
              <w:rPr>
                <w:rFonts w:cs="Times New Roman"/>
                <w:noProof/>
              </w:rPr>
            </w:pPr>
            <w:r w:rsidRPr="00BC4EE7">
              <w:rPr>
                <w:rFonts w:cs="Times New Roman"/>
                <w:noProof/>
              </w:rPr>
              <w:t>Kiindulási</w:t>
            </w:r>
          </w:p>
        </w:tc>
        <w:tc>
          <w:tcPr>
            <w:tcW w:w="691" w:type="dxa"/>
            <w:shd w:val="clear" w:color="auto" w:fill="C6D9F1" w:themeFill="text2" w:themeFillTint="33"/>
            <w:noWrap/>
            <w:vAlign w:val="center"/>
          </w:tcPr>
          <w:p w14:paraId="642BD0C5"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Cél</w:t>
            </w:r>
          </w:p>
        </w:tc>
        <w:tc>
          <w:tcPr>
            <w:tcW w:w="415" w:type="dxa"/>
            <w:shd w:val="clear" w:color="auto" w:fill="C6D9F1" w:themeFill="text2" w:themeFillTint="33"/>
            <w:noWrap/>
            <w:vAlign w:val="center"/>
          </w:tcPr>
          <w:p w14:paraId="74DC4EC1"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Q</w:t>
            </w:r>
          </w:p>
        </w:tc>
        <w:tc>
          <w:tcPr>
            <w:tcW w:w="553" w:type="dxa"/>
            <w:shd w:val="clear" w:color="auto" w:fill="C6D9F1" w:themeFill="text2" w:themeFillTint="33"/>
            <w:noWrap/>
            <w:vAlign w:val="center"/>
          </w:tcPr>
          <w:p w14:paraId="3C34323D"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Éve</w:t>
            </w:r>
          </w:p>
        </w:tc>
        <w:tc>
          <w:tcPr>
            <w:tcW w:w="5236" w:type="dxa"/>
            <w:tcBorders>
              <w:top w:val="nil"/>
            </w:tcBorders>
            <w:shd w:val="clear" w:color="auto" w:fill="C6D9F1" w:themeFill="text2" w:themeFillTint="33"/>
            <w:noWrap/>
          </w:tcPr>
          <w:p w14:paraId="110FFD37" w14:textId="77777777" w:rsidR="00D65CB4" w:rsidRPr="00BC4EE7" w:rsidRDefault="00D65CB4">
            <w:pPr>
              <w:spacing w:after="0" w:line="240" w:lineRule="auto"/>
              <w:rPr>
                <w:rFonts w:ascii="Times New Roman" w:hAnsi="Times New Roman" w:cs="Times New Roman"/>
                <w:b/>
                <w:noProof/>
                <w:sz w:val="18"/>
              </w:rPr>
            </w:pPr>
          </w:p>
        </w:tc>
      </w:tr>
      <w:tr w:rsidR="00D65CB4" w:rsidRPr="00BC4EE7" w14:paraId="1EB1ADBE" w14:textId="77777777" w:rsidTr="002F5BA1">
        <w:trPr>
          <w:trHeight w:val="309"/>
        </w:trPr>
        <w:tc>
          <w:tcPr>
            <w:tcW w:w="832" w:type="dxa"/>
            <w:shd w:val="clear" w:color="auto" w:fill="C6EFCE"/>
            <w:noWrap/>
          </w:tcPr>
          <w:p w14:paraId="61A51A77"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39</w:t>
            </w:r>
          </w:p>
        </w:tc>
        <w:tc>
          <w:tcPr>
            <w:tcW w:w="1012" w:type="dxa"/>
            <w:shd w:val="clear" w:color="auto" w:fill="C6EFCE"/>
            <w:noWrap/>
          </w:tcPr>
          <w:p w14:paraId="2EA089AC"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C3.R1</w:t>
            </w:r>
          </w:p>
        </w:tc>
        <w:tc>
          <w:tcPr>
            <w:tcW w:w="1134" w:type="dxa"/>
            <w:shd w:val="clear" w:color="auto" w:fill="C6EFCE"/>
            <w:noWrap/>
          </w:tcPr>
          <w:p w14:paraId="50046019"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M</w:t>
            </w:r>
          </w:p>
        </w:tc>
        <w:tc>
          <w:tcPr>
            <w:tcW w:w="2543" w:type="dxa"/>
            <w:shd w:val="clear" w:color="auto" w:fill="C6EFCE"/>
            <w:noWrap/>
          </w:tcPr>
          <w:p w14:paraId="282F7252" w14:textId="6DCA8D46" w:rsidR="00D65CB4" w:rsidRPr="00BC4EE7" w:rsidRDefault="00572307">
            <w:pPr>
              <w:pStyle w:val="P68B1DB1-Normal12"/>
              <w:spacing w:after="0" w:line="240" w:lineRule="auto"/>
              <w:rPr>
                <w:rFonts w:eastAsia="MS Mincho" w:cs="Times New Roman"/>
                <w:noProof/>
              </w:rPr>
            </w:pPr>
            <w:r w:rsidRPr="00BC4EE7">
              <w:rPr>
                <w:rFonts w:cs="Times New Roman"/>
                <w:noProof/>
              </w:rPr>
              <w:t>A mezőgazdasággal és az élelmiszerekkel kapcsolatos sürgős intézkedésekről szóló 5/2020. sz. királyi törvényerejű rendelet és az élelmiszerlánc működésének javítását célzó intézkedésekről szóló 12/2013. sz. törvény módosításáról szóló 8/2020. sz. törvény hatálybalépése</w:t>
            </w:r>
          </w:p>
        </w:tc>
        <w:tc>
          <w:tcPr>
            <w:tcW w:w="1242" w:type="dxa"/>
            <w:shd w:val="clear" w:color="auto" w:fill="C6EFCE"/>
            <w:noWrap/>
          </w:tcPr>
          <w:p w14:paraId="407A7AE4"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Az 5/2020. sz. királyi törvényerejű rendelet, a 8/2020. sz. törvény és a hatálybalépésről szóló 12/2013. sz. törvény rendelkezései</w:t>
            </w:r>
          </w:p>
        </w:tc>
        <w:tc>
          <w:tcPr>
            <w:tcW w:w="828" w:type="dxa"/>
            <w:shd w:val="clear" w:color="auto" w:fill="C6EFCE"/>
            <w:noWrap/>
          </w:tcPr>
          <w:p w14:paraId="325CE300"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966" w:type="dxa"/>
            <w:shd w:val="clear" w:color="auto" w:fill="C6EFCE"/>
            <w:noWrap/>
          </w:tcPr>
          <w:p w14:paraId="25DD3341"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691" w:type="dxa"/>
            <w:shd w:val="clear" w:color="auto" w:fill="C6EFCE"/>
            <w:noWrap/>
          </w:tcPr>
          <w:p w14:paraId="23DD831B"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415" w:type="dxa"/>
            <w:shd w:val="clear" w:color="auto" w:fill="C6EFCE"/>
            <w:noWrap/>
          </w:tcPr>
          <w:p w14:paraId="768D4F30"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Q4</w:t>
            </w:r>
          </w:p>
        </w:tc>
        <w:tc>
          <w:tcPr>
            <w:tcW w:w="553" w:type="dxa"/>
            <w:shd w:val="clear" w:color="auto" w:fill="C6EFCE"/>
            <w:noWrap/>
          </w:tcPr>
          <w:p w14:paraId="30C877E0"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2020</w:t>
            </w:r>
          </w:p>
        </w:tc>
        <w:tc>
          <w:tcPr>
            <w:tcW w:w="5236" w:type="dxa"/>
            <w:shd w:val="clear" w:color="auto" w:fill="C6EFCE"/>
            <w:noWrap/>
          </w:tcPr>
          <w:p w14:paraId="04BB5652" w14:textId="77777777" w:rsidR="00D65CB4" w:rsidRPr="00BC4EE7" w:rsidRDefault="00572307">
            <w:pPr>
              <w:spacing w:after="0" w:line="240" w:lineRule="auto"/>
              <w:rPr>
                <w:rFonts w:ascii="Times New Roman" w:hAnsi="Times New Roman" w:cs="Times New Roman"/>
                <w:noProof/>
                <w:sz w:val="18"/>
              </w:rPr>
            </w:pPr>
            <w:r w:rsidRPr="00BC4EE7">
              <w:rPr>
                <w:rFonts w:ascii="Times New Roman" w:hAnsi="Times New Roman" w:cs="Times New Roman"/>
                <w:noProof/>
                <w:sz w:val="18"/>
              </w:rPr>
              <w:t>A mezőgazdaságra és az élelmiszerekre vonatkozó sürgős intézkedéseket tartalmazó 5/2020. sz. királyi törvényerejű rendelet hatálybalépése (2020. február 25.) annak érdekében, hogy az élelmiszerláncon belüli kereskedelmi kapcsolatokat szabályozó nemzeti jogszabályok módosítása révén javítsa az élelmiszerlánc működését. A fő célkitűzés annak elérése, hogy az élelmiszerárak fedezzék az előállítási költségeket, az élelmiszerláncban az értékpusztulás elkerülése, valamint a fogyasztók megtévesztését célzó promóciók betiltása a termékek árával és arculatával kapcsolatban.</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Az élelmiszerlánc működésének javítását célzó sürgős intézkedésekről szóló 12/2013. sz. törvény módosításáról szóló 8/2020. sz. törvény hatálybalépése a fent említett királyi törvényerejű rendelet törvény elfogadásával történő érvényesítése érdekében.</w:t>
            </w:r>
          </w:p>
        </w:tc>
      </w:tr>
      <w:tr w:rsidR="00D65CB4" w:rsidRPr="00BC4EE7" w14:paraId="77A2137B" w14:textId="77777777" w:rsidTr="002F5BA1">
        <w:trPr>
          <w:trHeight w:val="309"/>
        </w:trPr>
        <w:tc>
          <w:tcPr>
            <w:tcW w:w="832" w:type="dxa"/>
            <w:shd w:val="clear" w:color="auto" w:fill="C6EFCE"/>
            <w:noWrap/>
          </w:tcPr>
          <w:p w14:paraId="704A35C2"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40</w:t>
            </w:r>
          </w:p>
        </w:tc>
        <w:tc>
          <w:tcPr>
            <w:tcW w:w="1012" w:type="dxa"/>
            <w:shd w:val="clear" w:color="auto" w:fill="C6EFCE"/>
            <w:noWrap/>
          </w:tcPr>
          <w:p w14:paraId="3BE130A3"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C3.R1</w:t>
            </w:r>
          </w:p>
        </w:tc>
        <w:tc>
          <w:tcPr>
            <w:tcW w:w="1134" w:type="dxa"/>
            <w:shd w:val="clear" w:color="auto" w:fill="C6EFCE"/>
            <w:noWrap/>
          </w:tcPr>
          <w:p w14:paraId="799EC85C"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M</w:t>
            </w:r>
          </w:p>
        </w:tc>
        <w:tc>
          <w:tcPr>
            <w:tcW w:w="2543" w:type="dxa"/>
            <w:shd w:val="clear" w:color="auto" w:fill="C6EFCE"/>
            <w:noWrap/>
          </w:tcPr>
          <w:p w14:paraId="259502C5" w14:textId="77777777" w:rsidR="00D65CB4" w:rsidRPr="00BC4EE7" w:rsidRDefault="00572307">
            <w:pPr>
              <w:pStyle w:val="P68B1DB1-Normal12"/>
              <w:spacing w:after="0" w:line="240" w:lineRule="auto"/>
              <w:rPr>
                <w:rFonts w:eastAsia="MS Mincho" w:cs="Times New Roman"/>
                <w:noProof/>
              </w:rPr>
            </w:pPr>
            <w:r w:rsidRPr="00BC4EE7">
              <w:rPr>
                <w:rFonts w:cs="Times New Roman"/>
                <w:noProof/>
              </w:rPr>
              <w:t xml:space="preserve">Az élelmiszerlánc működésének javítását célzó intézkedésekről szóló 12/2013. sz. törvény második módosításának hatálybalépése </w:t>
            </w:r>
          </w:p>
        </w:tc>
        <w:tc>
          <w:tcPr>
            <w:tcW w:w="1242" w:type="dxa"/>
            <w:shd w:val="clear" w:color="auto" w:fill="C6EFCE"/>
            <w:noWrap/>
          </w:tcPr>
          <w:p w14:paraId="2599AC3B"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A hatálybalépésről szóló 12/2013. sz. törvény rendelkezése</w:t>
            </w:r>
          </w:p>
        </w:tc>
        <w:tc>
          <w:tcPr>
            <w:tcW w:w="828" w:type="dxa"/>
            <w:shd w:val="clear" w:color="auto" w:fill="C6EFCE"/>
            <w:noWrap/>
          </w:tcPr>
          <w:p w14:paraId="28CE8CB7"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966" w:type="dxa"/>
            <w:shd w:val="clear" w:color="auto" w:fill="C6EFCE"/>
            <w:noWrap/>
          </w:tcPr>
          <w:p w14:paraId="1895D3B7"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691" w:type="dxa"/>
            <w:shd w:val="clear" w:color="auto" w:fill="C6EFCE"/>
            <w:noWrap/>
          </w:tcPr>
          <w:p w14:paraId="7FDE0BDC"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415" w:type="dxa"/>
            <w:shd w:val="clear" w:color="auto" w:fill="C6EFCE"/>
            <w:noWrap/>
          </w:tcPr>
          <w:p w14:paraId="4D0FD3D3"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Q4</w:t>
            </w:r>
          </w:p>
        </w:tc>
        <w:tc>
          <w:tcPr>
            <w:tcW w:w="553" w:type="dxa"/>
            <w:shd w:val="clear" w:color="auto" w:fill="C6EFCE"/>
            <w:noWrap/>
          </w:tcPr>
          <w:p w14:paraId="0F366D60"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2021</w:t>
            </w:r>
          </w:p>
        </w:tc>
        <w:tc>
          <w:tcPr>
            <w:tcW w:w="5236" w:type="dxa"/>
            <w:shd w:val="clear" w:color="auto" w:fill="C6EFCE"/>
            <w:noWrap/>
          </w:tcPr>
          <w:p w14:paraId="53B6E5A7" w14:textId="77777777" w:rsidR="00D65CB4" w:rsidRPr="00BC4EE7" w:rsidRDefault="00572307">
            <w:pPr>
              <w:pStyle w:val="P68B1DB1-Normal12"/>
              <w:spacing w:after="0" w:line="240" w:lineRule="auto"/>
              <w:rPr>
                <w:rFonts w:eastAsia="MS Mincho" w:cs="Times New Roman"/>
                <w:noProof/>
              </w:rPr>
            </w:pPr>
            <w:r w:rsidRPr="00BC4EE7">
              <w:rPr>
                <w:rFonts w:cs="Times New Roman"/>
                <w:noProof/>
              </w:rPr>
              <w:t xml:space="preserve">Az élelmiszerlánc működésének az (EU) 2019/633 irányelv minimumkövetelményein túlmutató javítását célzó intézkedésekről szóló 12/2013. sz. törvény második módosításának hatálybalépése. Ez a jogszabály-módosítás különböző intézkedéseket mozdít elő egy átláthatóbb és kiegyensúlyozottabb élelmiszer-értéklánc kialakítása érdekében, ami a következők módosítását vonja maga után: i. a törvény hatályának a kereskedelmi kapcsolatokra való kiterjesztése; ii. az élelmiszer-szerződések minimális tartalmát gyakorlatilag minden ügyletre kiterjesztik. </w:t>
            </w:r>
          </w:p>
        </w:tc>
      </w:tr>
      <w:tr w:rsidR="00D65CB4" w:rsidRPr="00BC4EE7" w14:paraId="56651C19" w14:textId="77777777" w:rsidTr="002F5BA1">
        <w:trPr>
          <w:trHeight w:val="309"/>
        </w:trPr>
        <w:tc>
          <w:tcPr>
            <w:tcW w:w="832" w:type="dxa"/>
            <w:shd w:val="clear" w:color="auto" w:fill="C6EFCE"/>
            <w:noWrap/>
          </w:tcPr>
          <w:p w14:paraId="245D991A"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41</w:t>
            </w:r>
          </w:p>
        </w:tc>
        <w:tc>
          <w:tcPr>
            <w:tcW w:w="1012" w:type="dxa"/>
            <w:shd w:val="clear" w:color="auto" w:fill="C6EFCE"/>
            <w:noWrap/>
          </w:tcPr>
          <w:p w14:paraId="3F301039"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C3.R2</w:t>
            </w:r>
          </w:p>
        </w:tc>
        <w:tc>
          <w:tcPr>
            <w:tcW w:w="1134" w:type="dxa"/>
            <w:shd w:val="clear" w:color="auto" w:fill="C6EFCE"/>
            <w:noWrap/>
          </w:tcPr>
          <w:p w14:paraId="748CD6EC"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M</w:t>
            </w:r>
          </w:p>
        </w:tc>
        <w:tc>
          <w:tcPr>
            <w:tcW w:w="2543" w:type="dxa"/>
            <w:shd w:val="clear" w:color="auto" w:fill="C6EFCE"/>
            <w:noWrap/>
          </w:tcPr>
          <w:p w14:paraId="44E3E4D1" w14:textId="77777777" w:rsidR="00D65CB4" w:rsidRPr="00BC4EE7" w:rsidRDefault="00572307">
            <w:pPr>
              <w:pStyle w:val="P68B1DB1-Normal12"/>
              <w:spacing w:after="0" w:line="240" w:lineRule="auto"/>
              <w:rPr>
                <w:rFonts w:eastAsia="MS Mincho" w:cs="Times New Roman"/>
                <w:noProof/>
              </w:rPr>
            </w:pPr>
            <w:r w:rsidRPr="00BC4EE7">
              <w:rPr>
                <w:rFonts w:cs="Times New Roman"/>
                <w:noProof/>
              </w:rPr>
              <w:t>A szabályozási keret hatálybalépése a gazdaságokban elérhető legjobb technikák általános nyilvántartásának létrehozása érdekében, amely tájékoztatást nyújt a szennyezőanyag- és ÜHG-kibocsátásról, valamint az ágazatokon átívelő mezőgazdasági üzemekre vonatkozó kritériumokat tartalmazó tervezési jogszabályok megreformálása</w:t>
            </w:r>
          </w:p>
        </w:tc>
        <w:tc>
          <w:tcPr>
            <w:tcW w:w="1242" w:type="dxa"/>
            <w:shd w:val="clear" w:color="auto" w:fill="C6EFCE"/>
            <w:noWrap/>
          </w:tcPr>
          <w:p w14:paraId="02B63BCD"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A szabályozási keret rendelkezésre bocsátása a hatálybalépéskor</w:t>
            </w:r>
          </w:p>
        </w:tc>
        <w:tc>
          <w:tcPr>
            <w:tcW w:w="828" w:type="dxa"/>
            <w:shd w:val="clear" w:color="auto" w:fill="C6EFCE"/>
            <w:noWrap/>
          </w:tcPr>
          <w:p w14:paraId="6C1031F9"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966" w:type="dxa"/>
            <w:shd w:val="clear" w:color="auto" w:fill="C6EFCE"/>
            <w:noWrap/>
          </w:tcPr>
          <w:p w14:paraId="4CE745D7"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691" w:type="dxa"/>
            <w:shd w:val="clear" w:color="auto" w:fill="C6EFCE"/>
            <w:noWrap/>
          </w:tcPr>
          <w:p w14:paraId="7D149327"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415" w:type="dxa"/>
            <w:shd w:val="clear" w:color="auto" w:fill="C6EFCE"/>
            <w:noWrap/>
          </w:tcPr>
          <w:p w14:paraId="70263436"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Q4</w:t>
            </w:r>
          </w:p>
        </w:tc>
        <w:tc>
          <w:tcPr>
            <w:tcW w:w="553" w:type="dxa"/>
            <w:shd w:val="clear" w:color="auto" w:fill="C6EFCE"/>
            <w:noWrap/>
          </w:tcPr>
          <w:p w14:paraId="454DE2D5"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2022</w:t>
            </w:r>
          </w:p>
        </w:tc>
        <w:tc>
          <w:tcPr>
            <w:tcW w:w="5236" w:type="dxa"/>
            <w:shd w:val="clear" w:color="auto" w:fill="C6EFCE"/>
            <w:noWrap/>
          </w:tcPr>
          <w:p w14:paraId="5C19F011" w14:textId="77777777" w:rsidR="00D65CB4" w:rsidRPr="00BC4EE7" w:rsidRDefault="00572307">
            <w:pPr>
              <w:pStyle w:val="P68B1DB1-Normal12"/>
              <w:spacing w:after="0" w:line="240" w:lineRule="auto"/>
              <w:rPr>
                <w:rFonts w:eastAsia="MS Mincho" w:cs="Times New Roman"/>
                <w:noProof/>
              </w:rPr>
            </w:pPr>
            <w:r w:rsidRPr="00BC4EE7">
              <w:rPr>
                <w:rFonts w:cs="Times New Roman"/>
                <w:noProof/>
              </w:rPr>
              <w:t>Az elérhető legjobb technikák általános nyilvántartásának kidolgozására vonatkozó szabályozási keret megkönnyíti a sertés- és baromfigazdaságok szennyezőanyag- és üvegházhatásúgáz-kibocsátásának kiszámítását, valamint az egyéb környezeti adatok rögzítését. Az állattenyésztési ágazatokra vonatkozó tervezési jogszabályok fokozatos felülvizsgálata szabályozza a gazdaságok elhelyezkedésére, méretére, egészségügyi feltételeire és infrastruktúrájára vonatkozó követelményeket, módosítja a sertéstartó gazdaságokra vonatkozó követelményeket, és új szabályozási keretet hoz létre a baromfiágazat számára.</w:t>
            </w:r>
          </w:p>
        </w:tc>
      </w:tr>
      <w:tr w:rsidR="00D65CB4" w:rsidRPr="00BC4EE7" w14:paraId="40128808" w14:textId="77777777" w:rsidTr="002F5BA1">
        <w:trPr>
          <w:trHeight w:val="309"/>
        </w:trPr>
        <w:tc>
          <w:tcPr>
            <w:tcW w:w="832" w:type="dxa"/>
            <w:shd w:val="clear" w:color="auto" w:fill="C6EFCE"/>
            <w:noWrap/>
          </w:tcPr>
          <w:p w14:paraId="0C2CDCBB" w14:textId="1802298C" w:rsidR="00D65CB4" w:rsidRPr="00BC4EE7" w:rsidRDefault="00572307">
            <w:pPr>
              <w:pStyle w:val="P68B1DB1-Normal12"/>
              <w:spacing w:after="0" w:line="240" w:lineRule="auto"/>
              <w:jc w:val="center"/>
              <w:rPr>
                <w:rFonts w:cs="Times New Roman"/>
                <w:noProof/>
              </w:rPr>
            </w:pPr>
            <w:r w:rsidRPr="00BC4EE7">
              <w:rPr>
                <w:rFonts w:cs="Times New Roman"/>
                <w:noProof/>
              </w:rPr>
              <w:t>422</w:t>
            </w:r>
          </w:p>
        </w:tc>
        <w:tc>
          <w:tcPr>
            <w:tcW w:w="1012" w:type="dxa"/>
            <w:shd w:val="clear" w:color="auto" w:fill="C6EFCE"/>
            <w:noWrap/>
          </w:tcPr>
          <w:p w14:paraId="301CA15D" w14:textId="2600A4CC" w:rsidR="00D65CB4" w:rsidRPr="00BC4EE7" w:rsidRDefault="00572307">
            <w:pPr>
              <w:pStyle w:val="P68B1DB1-Normal12"/>
              <w:spacing w:after="0" w:line="240" w:lineRule="auto"/>
              <w:jc w:val="center"/>
              <w:rPr>
                <w:rFonts w:cs="Times New Roman"/>
                <w:noProof/>
              </w:rPr>
            </w:pPr>
            <w:r w:rsidRPr="00BC4EE7">
              <w:rPr>
                <w:rFonts w:cs="Times New Roman"/>
                <w:noProof/>
              </w:rPr>
              <w:t>C3.R2</w:t>
            </w:r>
          </w:p>
        </w:tc>
        <w:tc>
          <w:tcPr>
            <w:tcW w:w="1134" w:type="dxa"/>
            <w:shd w:val="clear" w:color="auto" w:fill="C6EFCE"/>
            <w:noWrap/>
          </w:tcPr>
          <w:p w14:paraId="556745CD" w14:textId="01BEDDC9" w:rsidR="00D65CB4" w:rsidRPr="00BC4EE7" w:rsidRDefault="00572307">
            <w:pPr>
              <w:pStyle w:val="P68B1DB1-Normal12"/>
              <w:spacing w:after="0" w:line="240" w:lineRule="auto"/>
              <w:jc w:val="center"/>
              <w:rPr>
                <w:rFonts w:cs="Times New Roman"/>
                <w:noProof/>
              </w:rPr>
            </w:pPr>
            <w:r w:rsidRPr="00BC4EE7">
              <w:rPr>
                <w:rFonts w:cs="Times New Roman"/>
                <w:noProof/>
              </w:rPr>
              <w:t>M</w:t>
            </w:r>
          </w:p>
        </w:tc>
        <w:tc>
          <w:tcPr>
            <w:tcW w:w="2543" w:type="dxa"/>
            <w:shd w:val="clear" w:color="auto" w:fill="C6EFCE"/>
            <w:noWrap/>
          </w:tcPr>
          <w:p w14:paraId="75ED9B37" w14:textId="124F19ED" w:rsidR="00D65CB4" w:rsidRPr="00BC4EE7" w:rsidRDefault="00572307">
            <w:pPr>
              <w:pStyle w:val="P68B1DB1-Normal12"/>
              <w:spacing w:after="0" w:line="240" w:lineRule="auto"/>
              <w:rPr>
                <w:rFonts w:cs="Times New Roman"/>
                <w:noProof/>
              </w:rPr>
            </w:pPr>
            <w:r w:rsidRPr="00BC4EE7">
              <w:rPr>
                <w:rFonts w:cs="Times New Roman"/>
                <w:noProof/>
              </w:rPr>
              <w:t>Az állatállomány-szállítás biológiai biztonságának javítását célzó rendelet és az antibiotikumok állatfajokban való fenntartható használatára vonatkozó szabályozás hatálybalépése</w:t>
            </w:r>
          </w:p>
        </w:tc>
        <w:tc>
          <w:tcPr>
            <w:tcW w:w="1242" w:type="dxa"/>
            <w:shd w:val="clear" w:color="auto" w:fill="C6EFCE"/>
            <w:noWrap/>
          </w:tcPr>
          <w:p w14:paraId="376893B4" w14:textId="7FA24B86" w:rsidR="00D65CB4" w:rsidRPr="00BC4EE7" w:rsidRDefault="00572307">
            <w:pPr>
              <w:pStyle w:val="P68B1DB1-Normal12"/>
              <w:spacing w:after="0" w:line="240" w:lineRule="auto"/>
              <w:jc w:val="center"/>
              <w:rPr>
                <w:rFonts w:cs="Times New Roman"/>
                <w:noProof/>
              </w:rPr>
            </w:pPr>
            <w:r w:rsidRPr="00BC4EE7">
              <w:rPr>
                <w:rFonts w:cs="Times New Roman"/>
                <w:noProof/>
              </w:rPr>
              <w:t>A hatályba lépő királyi rendeletben szereplő rendelkezés</w:t>
            </w:r>
          </w:p>
        </w:tc>
        <w:tc>
          <w:tcPr>
            <w:tcW w:w="828" w:type="dxa"/>
            <w:shd w:val="clear" w:color="auto" w:fill="C6EFCE"/>
            <w:noWrap/>
          </w:tcPr>
          <w:p w14:paraId="41F72AA5" w14:textId="10384DE4" w:rsidR="00D65CB4" w:rsidRPr="00BC4EE7" w:rsidRDefault="00572307">
            <w:pPr>
              <w:pStyle w:val="P68B1DB1-Normal12"/>
              <w:spacing w:after="0" w:line="240" w:lineRule="auto"/>
              <w:jc w:val="right"/>
              <w:rPr>
                <w:rFonts w:cs="Times New Roman"/>
                <w:noProof/>
              </w:rPr>
            </w:pPr>
            <w:r w:rsidRPr="00BC4EE7">
              <w:rPr>
                <w:rFonts w:cs="Times New Roman"/>
                <w:noProof/>
              </w:rPr>
              <w:t xml:space="preserve"> </w:t>
            </w:r>
          </w:p>
        </w:tc>
        <w:tc>
          <w:tcPr>
            <w:tcW w:w="966" w:type="dxa"/>
            <w:shd w:val="clear" w:color="auto" w:fill="C6EFCE"/>
            <w:noWrap/>
          </w:tcPr>
          <w:p w14:paraId="422BD601" w14:textId="5B10E131" w:rsidR="00D65CB4" w:rsidRPr="00BC4EE7" w:rsidRDefault="00572307">
            <w:pPr>
              <w:pStyle w:val="P68B1DB1-Normal12"/>
              <w:spacing w:after="0" w:line="240" w:lineRule="auto"/>
              <w:jc w:val="right"/>
              <w:rPr>
                <w:rFonts w:cs="Times New Roman"/>
                <w:noProof/>
              </w:rPr>
            </w:pPr>
            <w:r w:rsidRPr="00BC4EE7">
              <w:rPr>
                <w:rFonts w:cs="Times New Roman"/>
                <w:noProof/>
              </w:rPr>
              <w:t xml:space="preserve"> </w:t>
            </w:r>
          </w:p>
        </w:tc>
        <w:tc>
          <w:tcPr>
            <w:tcW w:w="691" w:type="dxa"/>
            <w:shd w:val="clear" w:color="auto" w:fill="C6EFCE"/>
            <w:noWrap/>
          </w:tcPr>
          <w:p w14:paraId="26BDCAF1" w14:textId="319C0BF0" w:rsidR="00D65CB4" w:rsidRPr="00BC4EE7" w:rsidRDefault="00572307">
            <w:pPr>
              <w:pStyle w:val="P68B1DB1-Normal12"/>
              <w:spacing w:after="0" w:line="240" w:lineRule="auto"/>
              <w:jc w:val="right"/>
              <w:rPr>
                <w:rFonts w:cs="Times New Roman"/>
                <w:noProof/>
              </w:rPr>
            </w:pPr>
            <w:r w:rsidRPr="00BC4EE7">
              <w:rPr>
                <w:rFonts w:cs="Times New Roman"/>
                <w:noProof/>
              </w:rPr>
              <w:t xml:space="preserve"> </w:t>
            </w:r>
          </w:p>
        </w:tc>
        <w:tc>
          <w:tcPr>
            <w:tcW w:w="415" w:type="dxa"/>
            <w:shd w:val="clear" w:color="auto" w:fill="C6EFCE"/>
            <w:noWrap/>
          </w:tcPr>
          <w:p w14:paraId="5A1F4C93" w14:textId="4A82C8AF"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553" w:type="dxa"/>
            <w:shd w:val="clear" w:color="auto" w:fill="C6EFCE"/>
            <w:noWrap/>
          </w:tcPr>
          <w:p w14:paraId="7DC9991C" w14:textId="1659BAE4" w:rsidR="00D65CB4" w:rsidRPr="00BC4EE7" w:rsidRDefault="00572307">
            <w:pPr>
              <w:pStyle w:val="P68B1DB1-Normal12"/>
              <w:spacing w:after="0" w:line="240" w:lineRule="auto"/>
              <w:jc w:val="center"/>
              <w:rPr>
                <w:rFonts w:cs="Times New Roman"/>
                <w:noProof/>
              </w:rPr>
            </w:pPr>
            <w:r w:rsidRPr="00BC4EE7">
              <w:rPr>
                <w:rFonts w:cs="Times New Roman"/>
                <w:noProof/>
              </w:rPr>
              <w:t>2023</w:t>
            </w:r>
          </w:p>
        </w:tc>
        <w:tc>
          <w:tcPr>
            <w:tcW w:w="5236" w:type="dxa"/>
            <w:shd w:val="clear" w:color="auto" w:fill="C6EFCE"/>
            <w:noWrap/>
          </w:tcPr>
          <w:p w14:paraId="0B638417" w14:textId="05C3D8F7" w:rsidR="00D65CB4" w:rsidRPr="00BC4EE7" w:rsidRDefault="00572307">
            <w:pPr>
              <w:pStyle w:val="P68B1DB1-Normal12"/>
              <w:spacing w:line="257" w:lineRule="auto"/>
              <w:jc w:val="both"/>
              <w:rPr>
                <w:rFonts w:eastAsia="MS Mincho" w:cs="Times New Roman"/>
                <w:noProof/>
              </w:rPr>
            </w:pPr>
            <w:r w:rsidRPr="00BC4EE7">
              <w:rPr>
                <w:rFonts w:cs="Times New Roman"/>
                <w:noProof/>
              </w:rPr>
              <w:t>Hatályba lépett az állatállomány-szállítás biológiai biztonságának javításáról szóló királyi rendelet és az antibiotikumok fenntartható használatáról szóló királyi rendelet az intézkedés leírásával összhangban.</w:t>
            </w:r>
          </w:p>
          <w:p w14:paraId="3A03D516" w14:textId="77777777" w:rsidR="00D65CB4" w:rsidRPr="00BC4EE7" w:rsidRDefault="00D65CB4">
            <w:pPr>
              <w:spacing w:after="0" w:line="240" w:lineRule="auto"/>
              <w:rPr>
                <w:rFonts w:ascii="Times New Roman" w:hAnsi="Times New Roman" w:cs="Times New Roman"/>
                <w:noProof/>
                <w:sz w:val="18"/>
              </w:rPr>
            </w:pPr>
          </w:p>
        </w:tc>
      </w:tr>
      <w:tr w:rsidR="00D65CB4" w:rsidRPr="00BC4EE7" w14:paraId="6769C491" w14:textId="77777777" w:rsidTr="002F5BA1">
        <w:trPr>
          <w:trHeight w:val="309"/>
        </w:trPr>
        <w:tc>
          <w:tcPr>
            <w:tcW w:w="832" w:type="dxa"/>
            <w:shd w:val="clear" w:color="auto" w:fill="C6EFCE"/>
            <w:noWrap/>
          </w:tcPr>
          <w:p w14:paraId="21C9D991"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42</w:t>
            </w:r>
          </w:p>
        </w:tc>
        <w:tc>
          <w:tcPr>
            <w:tcW w:w="1012" w:type="dxa"/>
            <w:shd w:val="clear" w:color="auto" w:fill="C6EFCE"/>
            <w:noWrap/>
          </w:tcPr>
          <w:p w14:paraId="5A189353"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C3.R3</w:t>
            </w:r>
          </w:p>
        </w:tc>
        <w:tc>
          <w:tcPr>
            <w:tcW w:w="1134" w:type="dxa"/>
            <w:shd w:val="clear" w:color="auto" w:fill="C6EFCE"/>
            <w:noWrap/>
          </w:tcPr>
          <w:p w14:paraId="477EF257"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M</w:t>
            </w:r>
          </w:p>
        </w:tc>
        <w:tc>
          <w:tcPr>
            <w:tcW w:w="2543" w:type="dxa"/>
            <w:shd w:val="clear" w:color="auto" w:fill="C6EFCE"/>
            <w:noWrap/>
          </w:tcPr>
          <w:p w14:paraId="3FA9F6A1" w14:textId="77777777" w:rsidR="00D65CB4" w:rsidRPr="00BC4EE7" w:rsidRDefault="00572307">
            <w:pPr>
              <w:pStyle w:val="P68B1DB1-Normal12"/>
              <w:spacing w:after="0" w:line="240" w:lineRule="auto"/>
              <w:rPr>
                <w:rFonts w:eastAsia="MS Mincho" w:cs="Times New Roman"/>
                <w:noProof/>
              </w:rPr>
            </w:pPr>
            <w:r w:rsidRPr="00BC4EE7">
              <w:rPr>
                <w:rFonts w:cs="Times New Roman"/>
                <w:noProof/>
              </w:rPr>
              <w:t>A mezőgazdasági talajok fenntartható táplálkozására vonatkozó normatív keret hatálybalépése.</w:t>
            </w:r>
          </w:p>
        </w:tc>
        <w:tc>
          <w:tcPr>
            <w:tcW w:w="1242" w:type="dxa"/>
            <w:shd w:val="clear" w:color="auto" w:fill="C6EFCE"/>
            <w:noWrap/>
          </w:tcPr>
          <w:p w14:paraId="35C35665"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A hatálybalépésre vonatkozó normatív keret biztosítása</w:t>
            </w:r>
          </w:p>
        </w:tc>
        <w:tc>
          <w:tcPr>
            <w:tcW w:w="828" w:type="dxa"/>
            <w:shd w:val="clear" w:color="auto" w:fill="C6EFCE"/>
            <w:noWrap/>
          </w:tcPr>
          <w:p w14:paraId="253B9705"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966" w:type="dxa"/>
            <w:shd w:val="clear" w:color="auto" w:fill="C6EFCE"/>
            <w:noWrap/>
          </w:tcPr>
          <w:p w14:paraId="752553BD"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691" w:type="dxa"/>
            <w:shd w:val="clear" w:color="auto" w:fill="C6EFCE"/>
            <w:noWrap/>
          </w:tcPr>
          <w:p w14:paraId="56051E44"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415" w:type="dxa"/>
            <w:shd w:val="clear" w:color="auto" w:fill="C6EFCE"/>
            <w:noWrap/>
          </w:tcPr>
          <w:p w14:paraId="34B5F073"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Q1</w:t>
            </w:r>
          </w:p>
        </w:tc>
        <w:tc>
          <w:tcPr>
            <w:tcW w:w="553" w:type="dxa"/>
            <w:shd w:val="clear" w:color="auto" w:fill="C6EFCE"/>
            <w:noWrap/>
          </w:tcPr>
          <w:p w14:paraId="094D2E42"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2023</w:t>
            </w:r>
          </w:p>
        </w:tc>
        <w:tc>
          <w:tcPr>
            <w:tcW w:w="5236" w:type="dxa"/>
            <w:shd w:val="clear" w:color="auto" w:fill="C6EFCE"/>
            <w:noWrap/>
          </w:tcPr>
          <w:p w14:paraId="3CC5FFD3" w14:textId="77777777" w:rsidR="00D65CB4" w:rsidRPr="00BC4EE7" w:rsidRDefault="00572307">
            <w:pPr>
              <w:pStyle w:val="P68B1DB1-Normal12"/>
              <w:spacing w:after="0" w:line="240" w:lineRule="auto"/>
              <w:rPr>
                <w:rFonts w:eastAsia="MS Mincho" w:cs="Times New Roman"/>
                <w:noProof/>
              </w:rPr>
            </w:pPr>
            <w:r w:rsidRPr="00BC4EE7">
              <w:rPr>
                <w:rFonts w:cs="Times New Roman"/>
                <w:noProof/>
              </w:rPr>
              <w:t xml:space="preserve">E normatív keret célja a trágyázási munka szabályozása és a mezőgazdasági termelőknek nyújtott technikai tanácsadás előmozdítása a trágyázás észszerűsítése és a jogi követelmények teljesítése érdekében. </w:t>
            </w:r>
          </w:p>
        </w:tc>
      </w:tr>
      <w:tr w:rsidR="00D65CB4" w:rsidRPr="00BC4EE7" w14:paraId="37DD0363" w14:textId="77777777" w:rsidTr="002F5BA1">
        <w:trPr>
          <w:trHeight w:val="309"/>
        </w:trPr>
        <w:tc>
          <w:tcPr>
            <w:tcW w:w="832" w:type="dxa"/>
            <w:shd w:val="clear" w:color="auto" w:fill="C6EFCE"/>
            <w:noWrap/>
          </w:tcPr>
          <w:p w14:paraId="55739EF0"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43</w:t>
            </w:r>
          </w:p>
        </w:tc>
        <w:tc>
          <w:tcPr>
            <w:tcW w:w="1012" w:type="dxa"/>
            <w:shd w:val="clear" w:color="auto" w:fill="C6EFCE"/>
            <w:noWrap/>
          </w:tcPr>
          <w:p w14:paraId="11E8956A"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C3.R4</w:t>
            </w:r>
          </w:p>
        </w:tc>
        <w:tc>
          <w:tcPr>
            <w:tcW w:w="1134" w:type="dxa"/>
            <w:shd w:val="clear" w:color="auto" w:fill="C6EFCE"/>
            <w:noWrap/>
          </w:tcPr>
          <w:p w14:paraId="5AD787E6"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M</w:t>
            </w:r>
          </w:p>
        </w:tc>
        <w:tc>
          <w:tcPr>
            <w:tcW w:w="2543" w:type="dxa"/>
            <w:shd w:val="clear" w:color="auto" w:fill="C6EFCE"/>
            <w:noWrap/>
          </w:tcPr>
          <w:p w14:paraId="7832744C" w14:textId="77777777" w:rsidR="00D65CB4" w:rsidRPr="00BC4EE7" w:rsidRDefault="00572307">
            <w:pPr>
              <w:pStyle w:val="P68B1DB1-Normal12"/>
              <w:spacing w:after="0" w:line="240" w:lineRule="auto"/>
              <w:rPr>
                <w:rFonts w:eastAsia="MS Mincho" w:cs="Times New Roman"/>
                <w:noProof/>
              </w:rPr>
            </w:pPr>
            <w:r w:rsidRPr="00BC4EE7">
              <w:rPr>
                <w:rFonts w:cs="Times New Roman"/>
                <w:noProof/>
              </w:rPr>
              <w:t>A spanyol öntözőrendszer javítását célzó irányítási mechanizmusról szóló királyi rendelet hatálybalépése.</w:t>
            </w:r>
          </w:p>
        </w:tc>
        <w:tc>
          <w:tcPr>
            <w:tcW w:w="1242" w:type="dxa"/>
            <w:shd w:val="clear" w:color="auto" w:fill="C6EFCE"/>
            <w:noWrap/>
          </w:tcPr>
          <w:p w14:paraId="10FCA3E8"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 xml:space="preserve">A hatályba lépésről szóló királyi rendelet rendelkezése </w:t>
            </w:r>
          </w:p>
        </w:tc>
        <w:tc>
          <w:tcPr>
            <w:tcW w:w="828" w:type="dxa"/>
            <w:shd w:val="clear" w:color="auto" w:fill="C6EFCE"/>
            <w:noWrap/>
          </w:tcPr>
          <w:p w14:paraId="554EF5F4"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966" w:type="dxa"/>
            <w:shd w:val="clear" w:color="auto" w:fill="C6EFCE"/>
            <w:noWrap/>
          </w:tcPr>
          <w:p w14:paraId="7E235B9D"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691" w:type="dxa"/>
            <w:shd w:val="clear" w:color="auto" w:fill="C6EFCE"/>
            <w:noWrap/>
          </w:tcPr>
          <w:p w14:paraId="66AC4DF1"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415" w:type="dxa"/>
            <w:shd w:val="clear" w:color="auto" w:fill="C6EFCE"/>
            <w:noWrap/>
          </w:tcPr>
          <w:p w14:paraId="4B2E4500"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Q4</w:t>
            </w:r>
          </w:p>
        </w:tc>
        <w:tc>
          <w:tcPr>
            <w:tcW w:w="553" w:type="dxa"/>
            <w:shd w:val="clear" w:color="auto" w:fill="C6EFCE"/>
            <w:noWrap/>
          </w:tcPr>
          <w:p w14:paraId="057ED589"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2022</w:t>
            </w:r>
          </w:p>
        </w:tc>
        <w:tc>
          <w:tcPr>
            <w:tcW w:w="5236" w:type="dxa"/>
            <w:shd w:val="clear" w:color="auto" w:fill="C6EFCE"/>
            <w:noWrap/>
          </w:tcPr>
          <w:p w14:paraId="253F0D80" w14:textId="77777777" w:rsidR="00D65CB4" w:rsidRPr="00BC4EE7" w:rsidRDefault="00572307">
            <w:pPr>
              <w:pStyle w:val="P68B1DB1-Normal12"/>
              <w:spacing w:after="0" w:line="240" w:lineRule="auto"/>
              <w:rPr>
                <w:rFonts w:eastAsia="MS Mincho" w:cs="Times New Roman"/>
                <w:noProof/>
              </w:rPr>
            </w:pPr>
            <w:r w:rsidRPr="00BC4EE7">
              <w:rPr>
                <w:rFonts w:cs="Times New Roman"/>
                <w:noProof/>
              </w:rPr>
              <w:t>A királyi rendelet nemzeti szintű irányítási mechanizmust hoz létre annak érdekében, hogy az érintett ágazatok együttműködjenek a spanyol öntözéssel kapcsolatos szempontok, például a fenntarthatóság, a végrehajtási kritériumok, a szabályozás stb. terén. Célja továbbá, hogy létrehozza a fenntartható öntözés megfigyelőközpontját Spanyolországban.</w:t>
            </w:r>
          </w:p>
        </w:tc>
      </w:tr>
      <w:tr w:rsidR="00D65CB4" w:rsidRPr="00BC4EE7" w14:paraId="19DF5004" w14:textId="77777777" w:rsidTr="002F5BA1">
        <w:trPr>
          <w:trHeight w:val="309"/>
        </w:trPr>
        <w:tc>
          <w:tcPr>
            <w:tcW w:w="832" w:type="dxa"/>
            <w:shd w:val="clear" w:color="auto" w:fill="C6EFCE"/>
            <w:noWrap/>
          </w:tcPr>
          <w:p w14:paraId="64397A95"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44</w:t>
            </w:r>
          </w:p>
        </w:tc>
        <w:tc>
          <w:tcPr>
            <w:tcW w:w="1012" w:type="dxa"/>
            <w:shd w:val="clear" w:color="auto" w:fill="C6EFCE"/>
            <w:noWrap/>
          </w:tcPr>
          <w:p w14:paraId="7D07F206"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C3.R5</w:t>
            </w:r>
          </w:p>
        </w:tc>
        <w:tc>
          <w:tcPr>
            <w:tcW w:w="1134" w:type="dxa"/>
            <w:shd w:val="clear" w:color="auto" w:fill="C6EFCE"/>
            <w:noWrap/>
          </w:tcPr>
          <w:p w14:paraId="0D3EABE3"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M</w:t>
            </w:r>
          </w:p>
        </w:tc>
        <w:tc>
          <w:tcPr>
            <w:tcW w:w="2543" w:type="dxa"/>
            <w:shd w:val="clear" w:color="auto" w:fill="C6EFCE"/>
            <w:noWrap/>
          </w:tcPr>
          <w:p w14:paraId="280F306B" w14:textId="77777777" w:rsidR="00D65CB4" w:rsidRPr="00BC4EE7" w:rsidRDefault="00572307">
            <w:pPr>
              <w:pStyle w:val="P68B1DB1-Normal12"/>
              <w:spacing w:after="0" w:line="240" w:lineRule="auto"/>
              <w:rPr>
                <w:rFonts w:eastAsia="MS Mincho" w:cs="Times New Roman"/>
                <w:noProof/>
              </w:rPr>
            </w:pPr>
            <w:r w:rsidRPr="00BC4EE7">
              <w:rPr>
                <w:rFonts w:cs="Times New Roman"/>
                <w:noProof/>
              </w:rPr>
              <w:t>Az agrár-élelmiszeripari ágazat és a vidéki területek digitalizációs stratégiájára vonatkozó második cselekvési terv elfogadása.</w:t>
            </w:r>
          </w:p>
        </w:tc>
        <w:tc>
          <w:tcPr>
            <w:tcW w:w="1242" w:type="dxa"/>
            <w:shd w:val="clear" w:color="auto" w:fill="C6EFCE"/>
            <w:noWrap/>
          </w:tcPr>
          <w:p w14:paraId="2DAF3BAF"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Közzététel a Földművelésügyi Minisztérium honlapján</w:t>
            </w:r>
          </w:p>
        </w:tc>
        <w:tc>
          <w:tcPr>
            <w:tcW w:w="828" w:type="dxa"/>
            <w:shd w:val="clear" w:color="auto" w:fill="C6EFCE"/>
            <w:noWrap/>
          </w:tcPr>
          <w:p w14:paraId="131F8F3A"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966" w:type="dxa"/>
            <w:shd w:val="clear" w:color="auto" w:fill="C6EFCE"/>
            <w:noWrap/>
          </w:tcPr>
          <w:p w14:paraId="455E230F"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691" w:type="dxa"/>
            <w:shd w:val="clear" w:color="auto" w:fill="C6EFCE"/>
            <w:noWrap/>
          </w:tcPr>
          <w:p w14:paraId="0A8DB014"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415" w:type="dxa"/>
            <w:shd w:val="clear" w:color="auto" w:fill="C6EFCE"/>
            <w:noWrap/>
          </w:tcPr>
          <w:p w14:paraId="41213C6B"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Q4</w:t>
            </w:r>
          </w:p>
        </w:tc>
        <w:tc>
          <w:tcPr>
            <w:tcW w:w="553" w:type="dxa"/>
            <w:shd w:val="clear" w:color="auto" w:fill="C6EFCE"/>
            <w:noWrap/>
          </w:tcPr>
          <w:p w14:paraId="23B3A032"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2022</w:t>
            </w:r>
          </w:p>
        </w:tc>
        <w:tc>
          <w:tcPr>
            <w:tcW w:w="5236" w:type="dxa"/>
            <w:shd w:val="clear" w:color="auto" w:fill="C6EFCE"/>
            <w:noWrap/>
          </w:tcPr>
          <w:p w14:paraId="31655646" w14:textId="77777777" w:rsidR="00D65CB4" w:rsidRPr="00BC4EE7" w:rsidRDefault="00572307">
            <w:pPr>
              <w:pStyle w:val="P68B1DB1-Normal12"/>
              <w:spacing w:after="0" w:line="240" w:lineRule="auto"/>
              <w:rPr>
                <w:rFonts w:eastAsia="MS Mincho" w:cs="Times New Roman"/>
                <w:noProof/>
              </w:rPr>
            </w:pPr>
            <w:r w:rsidRPr="00BC4EE7">
              <w:rPr>
                <w:rFonts w:cs="Times New Roman"/>
                <w:noProof/>
              </w:rPr>
              <w:t xml:space="preserve">Az intézkedés egy második tervvel biztosítja az agrár-élelmiszeripari ágazat és a vidéki környezet digitalizálási stratégiájának folytonosságát azzal a céllal, hogy csökkentse a digitális szakadékot, előmozdítsa az adatok felhasználását, valamint előmozdítsa a vállalkozásfejlesztést és az új üzleti modelleket. </w:t>
            </w:r>
          </w:p>
        </w:tc>
      </w:tr>
      <w:tr w:rsidR="00D65CB4" w:rsidRPr="00BC4EE7" w14:paraId="6F3FDDA7" w14:textId="77777777" w:rsidTr="002F5BA1">
        <w:trPr>
          <w:trHeight w:val="309"/>
        </w:trPr>
        <w:tc>
          <w:tcPr>
            <w:tcW w:w="832" w:type="dxa"/>
            <w:shd w:val="clear" w:color="auto" w:fill="C6EFCE"/>
            <w:noWrap/>
          </w:tcPr>
          <w:p w14:paraId="43FBD11F"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45</w:t>
            </w:r>
          </w:p>
        </w:tc>
        <w:tc>
          <w:tcPr>
            <w:tcW w:w="1012" w:type="dxa"/>
            <w:shd w:val="clear" w:color="auto" w:fill="C6EFCE"/>
            <w:noWrap/>
          </w:tcPr>
          <w:p w14:paraId="2E01EC5D"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C3.R6</w:t>
            </w:r>
          </w:p>
        </w:tc>
        <w:tc>
          <w:tcPr>
            <w:tcW w:w="1134" w:type="dxa"/>
            <w:shd w:val="clear" w:color="auto" w:fill="C6EFCE"/>
            <w:noWrap/>
          </w:tcPr>
          <w:p w14:paraId="4E82A334"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M</w:t>
            </w:r>
          </w:p>
        </w:tc>
        <w:tc>
          <w:tcPr>
            <w:tcW w:w="2543" w:type="dxa"/>
            <w:shd w:val="clear" w:color="auto" w:fill="C6EFCE"/>
            <w:noWrap/>
          </w:tcPr>
          <w:p w14:paraId="53B192B7" w14:textId="77777777" w:rsidR="00D65CB4" w:rsidRPr="00BC4EE7" w:rsidRDefault="00572307">
            <w:pPr>
              <w:pStyle w:val="P68B1DB1-Normal12"/>
              <w:spacing w:after="0" w:line="240" w:lineRule="auto"/>
              <w:rPr>
                <w:rFonts w:eastAsia="MS Mincho" w:cs="Times New Roman"/>
                <w:noProof/>
              </w:rPr>
            </w:pPr>
            <w:r w:rsidRPr="00BC4EE7">
              <w:rPr>
                <w:rFonts w:cs="Times New Roman"/>
                <w:noProof/>
              </w:rPr>
              <w:t xml:space="preserve">A nemzeti halászati területekkel való gazdálkodásról szóló királyi rendelet hatálybalépése </w:t>
            </w:r>
          </w:p>
        </w:tc>
        <w:tc>
          <w:tcPr>
            <w:tcW w:w="1242" w:type="dxa"/>
            <w:shd w:val="clear" w:color="auto" w:fill="C6EFCE"/>
            <w:noWrap/>
          </w:tcPr>
          <w:p w14:paraId="57042A16"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A hatályba lépésről szóló királyi rendelet rendelkezése</w:t>
            </w:r>
          </w:p>
        </w:tc>
        <w:tc>
          <w:tcPr>
            <w:tcW w:w="828" w:type="dxa"/>
            <w:shd w:val="clear" w:color="auto" w:fill="C6EFCE"/>
            <w:noWrap/>
          </w:tcPr>
          <w:p w14:paraId="03D8BA8D"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 xml:space="preserve"> </w:t>
            </w:r>
          </w:p>
        </w:tc>
        <w:tc>
          <w:tcPr>
            <w:tcW w:w="966" w:type="dxa"/>
            <w:shd w:val="clear" w:color="auto" w:fill="C6EFCE"/>
            <w:noWrap/>
          </w:tcPr>
          <w:p w14:paraId="69A0658A"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691" w:type="dxa"/>
            <w:shd w:val="clear" w:color="auto" w:fill="C6EFCE"/>
            <w:noWrap/>
          </w:tcPr>
          <w:p w14:paraId="2EA285AA"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415" w:type="dxa"/>
            <w:shd w:val="clear" w:color="auto" w:fill="C6EFCE"/>
            <w:noWrap/>
          </w:tcPr>
          <w:p w14:paraId="33288100"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Q2</w:t>
            </w:r>
          </w:p>
        </w:tc>
        <w:tc>
          <w:tcPr>
            <w:tcW w:w="553" w:type="dxa"/>
            <w:shd w:val="clear" w:color="auto" w:fill="C6EFCE"/>
            <w:noWrap/>
          </w:tcPr>
          <w:p w14:paraId="3041507C"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2022</w:t>
            </w:r>
          </w:p>
        </w:tc>
        <w:tc>
          <w:tcPr>
            <w:tcW w:w="5236" w:type="dxa"/>
            <w:shd w:val="clear" w:color="auto" w:fill="C6EFCE"/>
            <w:noWrap/>
          </w:tcPr>
          <w:p w14:paraId="60AA2858" w14:textId="77777777" w:rsidR="00D65CB4" w:rsidRPr="00BC4EE7" w:rsidRDefault="00572307">
            <w:pPr>
              <w:pStyle w:val="P68B1DB1-Normal12"/>
              <w:spacing w:after="0" w:line="240" w:lineRule="auto"/>
              <w:rPr>
                <w:rFonts w:eastAsia="MS Mincho" w:cs="Times New Roman"/>
                <w:noProof/>
              </w:rPr>
            </w:pPr>
            <w:r w:rsidRPr="00BC4EE7">
              <w:rPr>
                <w:rFonts w:cs="Times New Roman"/>
                <w:noProof/>
              </w:rPr>
              <w:t>A királyi rendelet összehangolja a nemzeti halászterületek különböző eszközeinek, módszereinek és népszámlálásainak kezelését, megkönnyítve a jobb üzleti irányítást, és figyelembe véve az EU főbb szakpolitikáinak célkitűzéseit és kihívásait, például többek között a közös halászati politika reformját, a 2030-ig tartó időszakra szóló biodiverzitási stratégiát, a tengervédelmi stratégiákat vagy a fenntartható fejlődési célokat.</w:t>
            </w:r>
          </w:p>
        </w:tc>
      </w:tr>
      <w:tr w:rsidR="00D65CB4" w:rsidRPr="00BC4EE7" w14:paraId="5BDD290F" w14:textId="77777777" w:rsidTr="002F5BA1">
        <w:trPr>
          <w:trHeight w:val="309"/>
        </w:trPr>
        <w:tc>
          <w:tcPr>
            <w:tcW w:w="832" w:type="dxa"/>
            <w:shd w:val="clear" w:color="auto" w:fill="C6EFCE"/>
            <w:noWrap/>
          </w:tcPr>
          <w:p w14:paraId="23AFD0D9" w14:textId="60B7F2D5" w:rsidR="00D65CB4" w:rsidRPr="00BC4EE7" w:rsidRDefault="00572307">
            <w:pPr>
              <w:pStyle w:val="P68B1DB1-Normal12"/>
              <w:spacing w:after="0" w:line="240" w:lineRule="auto"/>
              <w:jc w:val="center"/>
              <w:rPr>
                <w:rFonts w:cs="Times New Roman"/>
                <w:noProof/>
              </w:rPr>
            </w:pPr>
            <w:r w:rsidRPr="00BC4EE7">
              <w:rPr>
                <w:rFonts w:cs="Times New Roman"/>
                <w:noProof/>
              </w:rPr>
              <w:t>423</w:t>
            </w:r>
          </w:p>
        </w:tc>
        <w:tc>
          <w:tcPr>
            <w:tcW w:w="1012" w:type="dxa"/>
            <w:shd w:val="clear" w:color="auto" w:fill="C6EFCE"/>
            <w:noWrap/>
          </w:tcPr>
          <w:p w14:paraId="2AEBE349" w14:textId="0BEBCD58" w:rsidR="00D65CB4" w:rsidRPr="00BC4EE7" w:rsidRDefault="00572307">
            <w:pPr>
              <w:pStyle w:val="P68B1DB1-Normal12"/>
              <w:spacing w:after="0" w:line="240" w:lineRule="auto"/>
              <w:jc w:val="center"/>
              <w:rPr>
                <w:rFonts w:cs="Times New Roman"/>
                <w:noProof/>
              </w:rPr>
            </w:pPr>
            <w:r w:rsidRPr="00BC4EE7">
              <w:rPr>
                <w:rFonts w:cs="Times New Roman"/>
                <w:noProof/>
              </w:rPr>
              <w:t>C3.R6</w:t>
            </w:r>
          </w:p>
        </w:tc>
        <w:tc>
          <w:tcPr>
            <w:tcW w:w="1134" w:type="dxa"/>
            <w:shd w:val="clear" w:color="auto" w:fill="C6EFCE"/>
            <w:noWrap/>
          </w:tcPr>
          <w:p w14:paraId="367B21D1" w14:textId="70315506" w:rsidR="00D65CB4" w:rsidRPr="00BC4EE7" w:rsidRDefault="00572307">
            <w:pPr>
              <w:pStyle w:val="P68B1DB1-Normal12"/>
              <w:spacing w:after="0" w:line="240" w:lineRule="auto"/>
              <w:jc w:val="center"/>
              <w:rPr>
                <w:rFonts w:cs="Times New Roman"/>
                <w:noProof/>
              </w:rPr>
            </w:pPr>
            <w:r w:rsidRPr="00BC4EE7">
              <w:rPr>
                <w:rFonts w:cs="Times New Roman"/>
                <w:noProof/>
              </w:rPr>
              <w:t>M</w:t>
            </w:r>
          </w:p>
        </w:tc>
        <w:tc>
          <w:tcPr>
            <w:tcW w:w="2543" w:type="dxa"/>
            <w:shd w:val="clear" w:color="auto" w:fill="C6EFCE"/>
            <w:noWrap/>
          </w:tcPr>
          <w:p w14:paraId="2CCD0E8B" w14:textId="2F97BFE4" w:rsidR="00D65CB4" w:rsidRPr="00BC4EE7" w:rsidRDefault="00572307">
            <w:pPr>
              <w:pStyle w:val="P68B1DB1-Normal12"/>
              <w:spacing w:after="0" w:line="240" w:lineRule="auto"/>
              <w:rPr>
                <w:rFonts w:cs="Times New Roman"/>
                <w:noProof/>
              </w:rPr>
            </w:pPr>
            <w:r w:rsidRPr="00BC4EE7">
              <w:rPr>
                <w:rFonts w:cs="Times New Roman"/>
                <w:noProof/>
              </w:rPr>
              <w:t>A halászati törvény és a halászatra vonatkozó ellenőrzési, vizsgálati és szankcionálási rendszerek korszerűsítéséről szóló törvény felülvizsgálatának hatálybalépése.</w:t>
            </w:r>
          </w:p>
        </w:tc>
        <w:tc>
          <w:tcPr>
            <w:tcW w:w="1242" w:type="dxa"/>
            <w:shd w:val="clear" w:color="auto" w:fill="C6EFCE"/>
            <w:noWrap/>
          </w:tcPr>
          <w:p w14:paraId="51B3A623" w14:textId="02ED56CF" w:rsidR="00D65CB4" w:rsidRPr="00BC4EE7" w:rsidRDefault="00572307">
            <w:pPr>
              <w:pStyle w:val="P68B1DB1-Normal12"/>
              <w:spacing w:after="0" w:line="240" w:lineRule="auto"/>
              <w:jc w:val="center"/>
              <w:rPr>
                <w:rFonts w:cs="Times New Roman"/>
                <w:noProof/>
              </w:rPr>
            </w:pPr>
            <w:r w:rsidRPr="00BC4EE7">
              <w:rPr>
                <w:rFonts w:cs="Times New Roman"/>
                <w:noProof/>
              </w:rPr>
              <w:t>A hatálybalépést létrehozó törvények rendelkezése</w:t>
            </w:r>
          </w:p>
        </w:tc>
        <w:tc>
          <w:tcPr>
            <w:tcW w:w="828" w:type="dxa"/>
            <w:shd w:val="clear" w:color="auto" w:fill="C6EFCE"/>
            <w:noWrap/>
          </w:tcPr>
          <w:p w14:paraId="73F97D08" w14:textId="77777777" w:rsidR="00D65CB4" w:rsidRPr="00BC4EE7" w:rsidRDefault="00D65CB4">
            <w:pPr>
              <w:spacing w:after="0" w:line="240" w:lineRule="auto"/>
              <w:jc w:val="center"/>
              <w:rPr>
                <w:rFonts w:ascii="Times New Roman" w:hAnsi="Times New Roman" w:cs="Times New Roman"/>
                <w:noProof/>
                <w:sz w:val="18"/>
              </w:rPr>
            </w:pPr>
          </w:p>
        </w:tc>
        <w:tc>
          <w:tcPr>
            <w:tcW w:w="966" w:type="dxa"/>
            <w:shd w:val="clear" w:color="auto" w:fill="C6EFCE"/>
            <w:noWrap/>
          </w:tcPr>
          <w:p w14:paraId="453E8076" w14:textId="77777777" w:rsidR="00D65CB4" w:rsidRPr="00BC4EE7" w:rsidRDefault="00D65CB4">
            <w:pPr>
              <w:spacing w:after="0" w:line="240" w:lineRule="auto"/>
              <w:jc w:val="right"/>
              <w:rPr>
                <w:rFonts w:ascii="Times New Roman" w:hAnsi="Times New Roman" w:cs="Times New Roman"/>
                <w:noProof/>
                <w:sz w:val="18"/>
              </w:rPr>
            </w:pPr>
          </w:p>
        </w:tc>
        <w:tc>
          <w:tcPr>
            <w:tcW w:w="691" w:type="dxa"/>
            <w:shd w:val="clear" w:color="auto" w:fill="C6EFCE"/>
            <w:noWrap/>
          </w:tcPr>
          <w:p w14:paraId="09D2FFB8" w14:textId="77777777" w:rsidR="00D65CB4" w:rsidRPr="00BC4EE7" w:rsidRDefault="00D65CB4">
            <w:pPr>
              <w:spacing w:after="0" w:line="240" w:lineRule="auto"/>
              <w:jc w:val="right"/>
              <w:rPr>
                <w:rFonts w:ascii="Times New Roman" w:hAnsi="Times New Roman" w:cs="Times New Roman"/>
                <w:noProof/>
                <w:sz w:val="18"/>
              </w:rPr>
            </w:pPr>
          </w:p>
        </w:tc>
        <w:tc>
          <w:tcPr>
            <w:tcW w:w="415" w:type="dxa"/>
            <w:shd w:val="clear" w:color="auto" w:fill="C6EFCE"/>
            <w:noWrap/>
          </w:tcPr>
          <w:p w14:paraId="7EA8E8F1" w14:textId="5AD2F59F"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553" w:type="dxa"/>
            <w:shd w:val="clear" w:color="auto" w:fill="C6EFCE"/>
            <w:noWrap/>
          </w:tcPr>
          <w:p w14:paraId="30FD611C" w14:textId="6A25C647" w:rsidR="00D65CB4" w:rsidRPr="00BC4EE7" w:rsidRDefault="00572307">
            <w:pPr>
              <w:pStyle w:val="P68B1DB1-Normal12"/>
              <w:spacing w:after="0" w:line="240" w:lineRule="auto"/>
              <w:jc w:val="center"/>
              <w:rPr>
                <w:rFonts w:cs="Times New Roman"/>
                <w:noProof/>
              </w:rPr>
            </w:pPr>
            <w:r w:rsidRPr="00BC4EE7">
              <w:rPr>
                <w:rFonts w:cs="Times New Roman"/>
                <w:noProof/>
              </w:rPr>
              <w:t>2026</w:t>
            </w:r>
          </w:p>
        </w:tc>
        <w:tc>
          <w:tcPr>
            <w:tcW w:w="5236" w:type="dxa"/>
            <w:shd w:val="clear" w:color="auto" w:fill="C6EFCE"/>
            <w:noWrap/>
          </w:tcPr>
          <w:p w14:paraId="038336E2" w14:textId="45672338" w:rsidR="00D65CB4" w:rsidRPr="00BC4EE7" w:rsidRDefault="00572307">
            <w:pPr>
              <w:pStyle w:val="P68B1DB1-Normal12"/>
              <w:spacing w:after="0" w:line="240" w:lineRule="auto"/>
              <w:rPr>
                <w:rFonts w:cs="Times New Roman"/>
                <w:noProof/>
              </w:rPr>
            </w:pPr>
            <w:r w:rsidRPr="00BC4EE7">
              <w:rPr>
                <w:rFonts w:cs="Times New Roman"/>
                <w:noProof/>
              </w:rPr>
              <w:t>A halászati törvény és a halászatra vonatkozó ellenőrzési, vizsgálati és szankcionálási rendszerek korszerűsítéséről szóló törvény felülvizsgálatának hatálybalépése az intézkedés leírásával összhangban.</w:t>
            </w:r>
          </w:p>
        </w:tc>
      </w:tr>
      <w:tr w:rsidR="00D65CB4" w:rsidRPr="00BC4EE7" w14:paraId="48ABB541" w14:textId="77777777" w:rsidTr="002F5BA1">
        <w:trPr>
          <w:trHeight w:val="309"/>
        </w:trPr>
        <w:tc>
          <w:tcPr>
            <w:tcW w:w="832" w:type="dxa"/>
            <w:shd w:val="clear" w:color="auto" w:fill="C6EFCE"/>
            <w:noWrap/>
          </w:tcPr>
          <w:p w14:paraId="0750B6FA" w14:textId="5FEB1B58" w:rsidR="00D65CB4" w:rsidRPr="00BC4EE7" w:rsidRDefault="00572307">
            <w:pPr>
              <w:pStyle w:val="P68B1DB1-Normal12"/>
              <w:spacing w:after="0" w:line="240" w:lineRule="auto"/>
              <w:jc w:val="center"/>
              <w:rPr>
                <w:rFonts w:cs="Times New Roman"/>
                <w:noProof/>
              </w:rPr>
            </w:pPr>
            <w:r w:rsidRPr="00BC4EE7">
              <w:rPr>
                <w:rFonts w:cs="Times New Roman"/>
                <w:noProof/>
              </w:rPr>
              <w:t>46</w:t>
            </w:r>
          </w:p>
        </w:tc>
        <w:tc>
          <w:tcPr>
            <w:tcW w:w="1012" w:type="dxa"/>
            <w:shd w:val="clear" w:color="auto" w:fill="C6EFCE"/>
            <w:noWrap/>
          </w:tcPr>
          <w:p w14:paraId="52841C32" w14:textId="5984E8B1" w:rsidR="00D65CB4" w:rsidRPr="00BC4EE7" w:rsidRDefault="00572307">
            <w:pPr>
              <w:pStyle w:val="P68B1DB1-Normal12"/>
              <w:spacing w:after="0"/>
              <w:jc w:val="center"/>
              <w:rPr>
                <w:rFonts w:cs="Times New Roman"/>
                <w:noProof/>
              </w:rPr>
            </w:pPr>
            <w:r w:rsidRPr="00BC4EE7">
              <w:rPr>
                <w:rFonts w:cs="Times New Roman"/>
                <w:noProof/>
              </w:rPr>
              <w:t>C3.I1.</w:t>
            </w:r>
          </w:p>
        </w:tc>
        <w:tc>
          <w:tcPr>
            <w:tcW w:w="1134" w:type="dxa"/>
            <w:shd w:val="clear" w:color="auto" w:fill="C6EFCE"/>
            <w:noWrap/>
          </w:tcPr>
          <w:p w14:paraId="3779626A" w14:textId="5ADFB374" w:rsidR="00D65CB4" w:rsidRPr="00BC4EE7" w:rsidRDefault="00572307">
            <w:pPr>
              <w:pStyle w:val="P68B1DB1-Normal12"/>
              <w:spacing w:after="0"/>
              <w:jc w:val="center"/>
              <w:rPr>
                <w:rFonts w:cs="Times New Roman"/>
                <w:noProof/>
              </w:rPr>
            </w:pPr>
            <w:r w:rsidRPr="00BC4EE7">
              <w:rPr>
                <w:rFonts w:cs="Times New Roman"/>
                <w:noProof/>
              </w:rPr>
              <w:t>T</w:t>
            </w:r>
          </w:p>
        </w:tc>
        <w:tc>
          <w:tcPr>
            <w:tcW w:w="2543" w:type="dxa"/>
            <w:shd w:val="clear" w:color="auto" w:fill="C6EFCE"/>
            <w:noWrap/>
          </w:tcPr>
          <w:p w14:paraId="30D32596" w14:textId="52F44B39" w:rsidR="00D65CB4" w:rsidRPr="00BC4EE7" w:rsidRDefault="00572307">
            <w:pPr>
              <w:pStyle w:val="P68B1DB1-Normal12"/>
              <w:spacing w:after="0"/>
              <w:jc w:val="both"/>
              <w:rPr>
                <w:rFonts w:cs="Times New Roman"/>
                <w:noProof/>
              </w:rPr>
            </w:pPr>
            <w:r w:rsidRPr="00BC4EE7">
              <w:rPr>
                <w:rFonts w:cs="Times New Roman"/>
                <w:noProof/>
              </w:rPr>
              <w:t>A Mezőgazdasági, Halászati és Élelmiszerügyi Minisztérium (MAPA) és a SEIASA közötti szerződéses megállapodás hatálybalépése az öntözött területek fejlesztésének és fenntarthatóságának támogatása érdekében (I. szakasz)</w:t>
            </w:r>
          </w:p>
        </w:tc>
        <w:tc>
          <w:tcPr>
            <w:tcW w:w="1242" w:type="dxa"/>
            <w:shd w:val="clear" w:color="auto" w:fill="C6EFCE"/>
            <w:noWrap/>
          </w:tcPr>
          <w:p w14:paraId="1BA8419B" w14:textId="32E5C9C6" w:rsidR="00D65CB4" w:rsidRPr="00BC4EE7" w:rsidRDefault="00D65CB4">
            <w:pPr>
              <w:spacing w:after="0"/>
              <w:jc w:val="both"/>
              <w:rPr>
                <w:rFonts w:ascii="Times New Roman" w:hAnsi="Times New Roman" w:cs="Times New Roman"/>
                <w:noProof/>
                <w:sz w:val="18"/>
              </w:rPr>
            </w:pPr>
          </w:p>
        </w:tc>
        <w:tc>
          <w:tcPr>
            <w:tcW w:w="828" w:type="dxa"/>
            <w:shd w:val="clear" w:color="auto" w:fill="C6EFCE"/>
            <w:noWrap/>
          </w:tcPr>
          <w:p w14:paraId="00F69AA2" w14:textId="6055BA41" w:rsidR="00D65CB4" w:rsidRPr="00BC4EE7" w:rsidRDefault="00572307">
            <w:pPr>
              <w:pStyle w:val="P68B1DB1-Normal12"/>
              <w:spacing w:after="0" w:line="240" w:lineRule="auto"/>
              <w:jc w:val="right"/>
              <w:rPr>
                <w:rFonts w:cs="Times New Roman"/>
                <w:noProof/>
              </w:rPr>
            </w:pPr>
            <w:r w:rsidRPr="00BC4EE7">
              <w:rPr>
                <w:rFonts w:cs="Times New Roman"/>
                <w:noProof/>
              </w:rPr>
              <w:t>Millió EUR</w:t>
            </w:r>
          </w:p>
          <w:p w14:paraId="2D568180" w14:textId="68449AFA" w:rsidR="00D65CB4" w:rsidRPr="00BC4EE7" w:rsidRDefault="00D65CB4">
            <w:pPr>
              <w:spacing w:after="0"/>
              <w:jc w:val="right"/>
              <w:rPr>
                <w:rFonts w:ascii="Times New Roman" w:hAnsi="Times New Roman" w:cs="Times New Roman"/>
                <w:noProof/>
                <w:sz w:val="18"/>
              </w:rPr>
            </w:pPr>
          </w:p>
        </w:tc>
        <w:tc>
          <w:tcPr>
            <w:tcW w:w="966" w:type="dxa"/>
            <w:shd w:val="clear" w:color="auto" w:fill="C6EFCE"/>
            <w:noWrap/>
          </w:tcPr>
          <w:p w14:paraId="6E8C024D" w14:textId="0F96F2ED" w:rsidR="00D65CB4" w:rsidRPr="00BC4EE7" w:rsidRDefault="00572307">
            <w:pPr>
              <w:pStyle w:val="P68B1DB1-Normal12"/>
              <w:spacing w:after="0"/>
              <w:jc w:val="center"/>
              <w:rPr>
                <w:rFonts w:cs="Times New Roman"/>
                <w:noProof/>
              </w:rPr>
            </w:pPr>
            <w:r w:rsidRPr="00BC4EE7">
              <w:rPr>
                <w:rFonts w:cs="Times New Roman"/>
                <w:noProof/>
              </w:rPr>
              <w:t>0</w:t>
            </w:r>
          </w:p>
        </w:tc>
        <w:tc>
          <w:tcPr>
            <w:tcW w:w="691" w:type="dxa"/>
            <w:shd w:val="clear" w:color="auto" w:fill="C6EFCE"/>
            <w:noWrap/>
          </w:tcPr>
          <w:p w14:paraId="5E555695" w14:textId="2CF218CF" w:rsidR="00D65CB4" w:rsidRPr="00BC4EE7" w:rsidRDefault="00572307">
            <w:pPr>
              <w:pStyle w:val="P68B1DB1-Normal12"/>
              <w:spacing w:after="0"/>
              <w:jc w:val="center"/>
              <w:rPr>
                <w:rFonts w:cs="Times New Roman"/>
                <w:noProof/>
              </w:rPr>
            </w:pPr>
            <w:r w:rsidRPr="00BC4EE7">
              <w:rPr>
                <w:rFonts w:cs="Times New Roman"/>
                <w:noProof/>
              </w:rPr>
              <w:t>260</w:t>
            </w:r>
          </w:p>
        </w:tc>
        <w:tc>
          <w:tcPr>
            <w:tcW w:w="415" w:type="dxa"/>
            <w:shd w:val="clear" w:color="auto" w:fill="C6EFCE"/>
            <w:noWrap/>
          </w:tcPr>
          <w:p w14:paraId="769D54F7" w14:textId="5EAE90B5" w:rsidR="00D65CB4" w:rsidRPr="00BC4EE7" w:rsidRDefault="00572307">
            <w:pPr>
              <w:pStyle w:val="P68B1DB1-Normal12"/>
              <w:spacing w:after="0"/>
              <w:jc w:val="center"/>
              <w:rPr>
                <w:rFonts w:cs="Times New Roman"/>
                <w:noProof/>
              </w:rPr>
            </w:pPr>
            <w:r w:rsidRPr="00BC4EE7">
              <w:rPr>
                <w:rFonts w:cs="Times New Roman"/>
                <w:noProof/>
              </w:rPr>
              <w:t>Q3</w:t>
            </w:r>
          </w:p>
        </w:tc>
        <w:tc>
          <w:tcPr>
            <w:tcW w:w="553" w:type="dxa"/>
            <w:shd w:val="clear" w:color="auto" w:fill="C6EFCE"/>
            <w:noWrap/>
          </w:tcPr>
          <w:p w14:paraId="0F52CF20" w14:textId="69F2473B" w:rsidR="00D65CB4" w:rsidRPr="00BC4EE7" w:rsidRDefault="00572307">
            <w:pPr>
              <w:pStyle w:val="P68B1DB1-Normal12"/>
              <w:spacing w:after="0"/>
              <w:jc w:val="center"/>
              <w:rPr>
                <w:rFonts w:cs="Times New Roman"/>
                <w:noProof/>
              </w:rPr>
            </w:pPr>
            <w:r w:rsidRPr="00BC4EE7">
              <w:rPr>
                <w:rFonts w:cs="Times New Roman"/>
                <w:noProof/>
              </w:rPr>
              <w:t>2021</w:t>
            </w:r>
          </w:p>
        </w:tc>
        <w:tc>
          <w:tcPr>
            <w:tcW w:w="5236" w:type="dxa"/>
            <w:shd w:val="clear" w:color="auto" w:fill="C6EFCE"/>
            <w:noWrap/>
          </w:tcPr>
          <w:p w14:paraId="79D3D6CC" w14:textId="0EA391EE" w:rsidR="00D65CB4" w:rsidRPr="00BC4EE7" w:rsidRDefault="00572307">
            <w:pPr>
              <w:pStyle w:val="P68B1DB1-Normal12"/>
              <w:spacing w:after="0"/>
              <w:jc w:val="both"/>
              <w:rPr>
                <w:rFonts w:cs="Times New Roman"/>
                <w:noProof/>
              </w:rPr>
            </w:pPr>
            <w:r w:rsidRPr="00BC4EE7">
              <w:rPr>
                <w:rFonts w:cs="Times New Roman"/>
                <w:noProof/>
              </w:rPr>
              <w:t xml:space="preserve">A Mezőgazdasági, Halászati és Élelmiszerügyi Minisztérium (MAPA) és a SEIASA (I. szakasz; A 260 000 000 EUR összegű költségvetés végrehajtása során végre kell hajtani az öntözés hatékonyságának és fenntarthatóságának javítását célzó terv feltételeit, amelyet e beruházással hajtanak végre. Ez a jogi norma többek között szabályozza az öntözés korszerűsítésére irányuló beruházások köz- és magánfinanszírozási rendszerét, a projektkiválasztási kritériumokat, a terv végrehajtási eljárásait, valamint az ezen intézkedés keretében a költségvetés végrehajtásához kapcsolódóan végrehajtandó intézkedések listáját. </w:t>
            </w:r>
          </w:p>
        </w:tc>
      </w:tr>
      <w:tr w:rsidR="00D65CB4" w:rsidRPr="00BC4EE7" w14:paraId="6CBDEA99" w14:textId="77777777" w:rsidTr="002F5BA1">
        <w:trPr>
          <w:trHeight w:val="309"/>
        </w:trPr>
        <w:tc>
          <w:tcPr>
            <w:tcW w:w="832" w:type="dxa"/>
            <w:shd w:val="clear" w:color="auto" w:fill="C6EFCE"/>
            <w:noWrap/>
          </w:tcPr>
          <w:p w14:paraId="53F5FDCC" w14:textId="342215BA" w:rsidR="00D65CB4" w:rsidRPr="00BC4EE7" w:rsidRDefault="00572307">
            <w:pPr>
              <w:pStyle w:val="P68B1DB1-Normal12"/>
              <w:spacing w:line="240" w:lineRule="auto"/>
              <w:jc w:val="center"/>
              <w:rPr>
                <w:rFonts w:cs="Times New Roman"/>
                <w:noProof/>
              </w:rPr>
            </w:pPr>
            <w:r w:rsidRPr="00BC4EE7">
              <w:rPr>
                <w:rFonts w:cs="Times New Roman"/>
                <w:noProof/>
              </w:rPr>
              <w:t>47</w:t>
            </w:r>
          </w:p>
        </w:tc>
        <w:tc>
          <w:tcPr>
            <w:tcW w:w="1012" w:type="dxa"/>
            <w:shd w:val="clear" w:color="auto" w:fill="C6EFCE"/>
            <w:noWrap/>
          </w:tcPr>
          <w:p w14:paraId="64FBB728" w14:textId="1AA8583D" w:rsidR="00D65CB4" w:rsidRPr="00BC4EE7" w:rsidRDefault="00572307">
            <w:pPr>
              <w:pStyle w:val="P68B1DB1-Normal12"/>
              <w:jc w:val="center"/>
              <w:rPr>
                <w:rFonts w:eastAsia="MS Mincho" w:cs="Times New Roman"/>
                <w:noProof/>
              </w:rPr>
            </w:pPr>
            <w:r w:rsidRPr="00BC4EE7">
              <w:rPr>
                <w:rFonts w:cs="Times New Roman"/>
                <w:noProof/>
              </w:rPr>
              <w:t>C3.I1.</w:t>
            </w:r>
          </w:p>
        </w:tc>
        <w:tc>
          <w:tcPr>
            <w:tcW w:w="1134" w:type="dxa"/>
            <w:shd w:val="clear" w:color="auto" w:fill="C6EFCE"/>
            <w:noWrap/>
          </w:tcPr>
          <w:p w14:paraId="27F2A861" w14:textId="474DE391" w:rsidR="00D65CB4" w:rsidRPr="00BC4EE7" w:rsidRDefault="00572307">
            <w:pPr>
              <w:pStyle w:val="P68B1DB1-Normal12"/>
              <w:jc w:val="center"/>
              <w:rPr>
                <w:rFonts w:eastAsia="MS Mincho" w:cs="Times New Roman"/>
                <w:noProof/>
              </w:rPr>
            </w:pPr>
            <w:r w:rsidRPr="00BC4EE7">
              <w:rPr>
                <w:rFonts w:cs="Times New Roman"/>
                <w:noProof/>
              </w:rPr>
              <w:t>T</w:t>
            </w:r>
          </w:p>
        </w:tc>
        <w:tc>
          <w:tcPr>
            <w:tcW w:w="2543" w:type="dxa"/>
            <w:shd w:val="clear" w:color="auto" w:fill="C6EFCE"/>
            <w:noWrap/>
          </w:tcPr>
          <w:p w14:paraId="1AB834DC" w14:textId="12200F7D" w:rsidR="00D65CB4" w:rsidRPr="00BC4EE7" w:rsidRDefault="00572307">
            <w:pPr>
              <w:pStyle w:val="P68B1DB1-Normal12"/>
              <w:jc w:val="both"/>
              <w:rPr>
                <w:rFonts w:eastAsia="MS Mincho" w:cs="Times New Roman"/>
                <w:noProof/>
              </w:rPr>
            </w:pPr>
            <w:r w:rsidRPr="00BC4EE7">
              <w:rPr>
                <w:rFonts w:cs="Times New Roman"/>
                <w:noProof/>
              </w:rPr>
              <w:t>A Mezőgazdasági, Halászati és Élelmiszerügyi Minisztérium (MAPA) és a SEIASA közötti, az öntözött területek javítását és fenntarthatóságát támogató megállapodás végrehajtása (II. szakasz)</w:t>
            </w:r>
          </w:p>
        </w:tc>
        <w:tc>
          <w:tcPr>
            <w:tcW w:w="1242" w:type="dxa"/>
            <w:shd w:val="clear" w:color="auto" w:fill="C6EFCE"/>
            <w:noWrap/>
          </w:tcPr>
          <w:p w14:paraId="2F9ACA8D" w14:textId="0C857BE8" w:rsidR="00D65CB4" w:rsidRPr="00BC4EE7" w:rsidRDefault="00D65CB4">
            <w:pPr>
              <w:jc w:val="both"/>
              <w:rPr>
                <w:rFonts w:ascii="Times New Roman" w:eastAsia="MS Mincho" w:hAnsi="Times New Roman" w:cs="Times New Roman"/>
                <w:noProof/>
                <w:sz w:val="18"/>
              </w:rPr>
            </w:pPr>
          </w:p>
        </w:tc>
        <w:tc>
          <w:tcPr>
            <w:tcW w:w="828" w:type="dxa"/>
            <w:shd w:val="clear" w:color="auto" w:fill="C6EFCE"/>
            <w:noWrap/>
          </w:tcPr>
          <w:p w14:paraId="4CA86D2C" w14:textId="72FEF1C5" w:rsidR="00D65CB4" w:rsidRPr="00BC4EE7" w:rsidRDefault="00572307">
            <w:pPr>
              <w:pStyle w:val="P68B1DB1-Normal12"/>
              <w:jc w:val="right"/>
              <w:rPr>
                <w:rFonts w:eastAsia="MS Mincho" w:cs="Times New Roman"/>
                <w:noProof/>
              </w:rPr>
            </w:pPr>
            <w:r w:rsidRPr="00BC4EE7">
              <w:rPr>
                <w:rFonts w:cs="Times New Roman"/>
                <w:noProof/>
              </w:rPr>
              <w:t xml:space="preserve"> Millió EUR</w:t>
            </w:r>
          </w:p>
        </w:tc>
        <w:tc>
          <w:tcPr>
            <w:tcW w:w="966" w:type="dxa"/>
            <w:shd w:val="clear" w:color="auto" w:fill="C6EFCE"/>
            <w:noWrap/>
          </w:tcPr>
          <w:p w14:paraId="28C1EA42" w14:textId="398DF7B8" w:rsidR="00D65CB4" w:rsidRPr="00BC4EE7" w:rsidRDefault="00572307">
            <w:pPr>
              <w:pStyle w:val="P68B1DB1-Normal12"/>
              <w:jc w:val="center"/>
              <w:rPr>
                <w:rFonts w:eastAsia="MS Mincho" w:cs="Times New Roman"/>
                <w:noProof/>
              </w:rPr>
            </w:pPr>
            <w:r w:rsidRPr="00BC4EE7">
              <w:rPr>
                <w:rFonts w:cs="Times New Roman"/>
                <w:noProof/>
              </w:rPr>
              <w:t>0</w:t>
            </w:r>
          </w:p>
        </w:tc>
        <w:tc>
          <w:tcPr>
            <w:tcW w:w="691" w:type="dxa"/>
            <w:shd w:val="clear" w:color="auto" w:fill="C6EFCE"/>
            <w:noWrap/>
          </w:tcPr>
          <w:p w14:paraId="4A8791FA" w14:textId="16653014" w:rsidR="00D65CB4" w:rsidRPr="00BC4EE7" w:rsidRDefault="00572307">
            <w:pPr>
              <w:pStyle w:val="P68B1DB1-Normal12"/>
              <w:jc w:val="center"/>
              <w:rPr>
                <w:rFonts w:eastAsia="MS Mincho" w:cs="Times New Roman"/>
                <w:noProof/>
              </w:rPr>
            </w:pPr>
            <w:r w:rsidRPr="00BC4EE7">
              <w:rPr>
                <w:rFonts w:cs="Times New Roman"/>
                <w:noProof/>
              </w:rPr>
              <w:t>303</w:t>
            </w:r>
          </w:p>
        </w:tc>
        <w:tc>
          <w:tcPr>
            <w:tcW w:w="415" w:type="dxa"/>
            <w:shd w:val="clear" w:color="auto" w:fill="C6EFCE"/>
            <w:noWrap/>
          </w:tcPr>
          <w:p w14:paraId="27AD45C1" w14:textId="42F227C3" w:rsidR="00D65CB4" w:rsidRPr="00BC4EE7" w:rsidRDefault="00572307">
            <w:pPr>
              <w:pStyle w:val="P68B1DB1-Normal12"/>
              <w:jc w:val="center"/>
              <w:rPr>
                <w:rFonts w:eastAsia="MS Mincho" w:cs="Times New Roman"/>
                <w:noProof/>
              </w:rPr>
            </w:pPr>
            <w:r w:rsidRPr="00BC4EE7">
              <w:rPr>
                <w:rFonts w:cs="Times New Roman"/>
                <w:noProof/>
              </w:rPr>
              <w:t>Q4</w:t>
            </w:r>
          </w:p>
        </w:tc>
        <w:tc>
          <w:tcPr>
            <w:tcW w:w="553" w:type="dxa"/>
            <w:shd w:val="clear" w:color="auto" w:fill="C6EFCE"/>
            <w:noWrap/>
          </w:tcPr>
          <w:p w14:paraId="401541CC" w14:textId="5EEC3C07" w:rsidR="00D65CB4" w:rsidRPr="00BC4EE7" w:rsidRDefault="00572307">
            <w:pPr>
              <w:pStyle w:val="P68B1DB1-Normal12"/>
              <w:jc w:val="center"/>
              <w:rPr>
                <w:rFonts w:eastAsia="MS Mincho" w:cs="Times New Roman"/>
                <w:noProof/>
              </w:rPr>
            </w:pPr>
            <w:r w:rsidRPr="00BC4EE7">
              <w:rPr>
                <w:rFonts w:cs="Times New Roman"/>
                <w:noProof/>
              </w:rPr>
              <w:t>2022</w:t>
            </w:r>
          </w:p>
        </w:tc>
        <w:tc>
          <w:tcPr>
            <w:tcW w:w="5236" w:type="dxa"/>
            <w:shd w:val="clear" w:color="auto" w:fill="C6EFCE"/>
            <w:noWrap/>
          </w:tcPr>
          <w:p w14:paraId="6AB7ED07" w14:textId="27C7D0BB" w:rsidR="00D65CB4" w:rsidRPr="00BC4EE7" w:rsidRDefault="00572307">
            <w:pPr>
              <w:pStyle w:val="P68B1DB1-Normal12"/>
              <w:rPr>
                <w:rFonts w:eastAsia="MS Mincho" w:cs="Times New Roman"/>
                <w:noProof/>
              </w:rPr>
            </w:pPr>
            <w:r w:rsidRPr="00BC4EE7">
              <w:rPr>
                <w:rFonts w:cs="Times New Roman"/>
                <w:noProof/>
              </w:rPr>
              <w:t>A Mezőgazdasági, Halászati és Élelmiszerügyi Minisztérium (MAPA) és a SEIASA (II. szakasz; 303 000 000 EUR összegű költségvetés-végrehajtás) az öntözés hatékonyságának és fenntarthatóságának javítását célzó, e beruházási projekt keretében végrehajtott terv feltételeit valósítja meg. Ez a jogi norma többek között szabályozza az öntözés korszerűsítésére irányuló beruházások köz- és magánfinanszírozási rendszerét, a projektkiválasztási kritériumokat, a terv végrehajtási eljárásait, valamint az ezen intézkedés keretében a költségvetés végrehajtásához kapcsolódóan végrehajtandó intézkedések listáját.</w:t>
            </w:r>
          </w:p>
        </w:tc>
      </w:tr>
      <w:tr w:rsidR="00D65CB4" w:rsidRPr="00BC4EE7" w14:paraId="7577C33F" w14:textId="77777777" w:rsidTr="002F5BA1">
        <w:trPr>
          <w:trHeight w:val="309"/>
        </w:trPr>
        <w:tc>
          <w:tcPr>
            <w:tcW w:w="832" w:type="dxa"/>
            <w:shd w:val="clear" w:color="auto" w:fill="C6EFCE"/>
            <w:noWrap/>
          </w:tcPr>
          <w:p w14:paraId="36D2D02A" w14:textId="68F8EBAD" w:rsidR="00D65CB4" w:rsidRPr="00BC4EE7" w:rsidRDefault="00572307">
            <w:pPr>
              <w:pStyle w:val="P68B1DB1-Normal12"/>
              <w:spacing w:line="240" w:lineRule="auto"/>
              <w:jc w:val="center"/>
              <w:rPr>
                <w:rFonts w:cs="Times New Roman"/>
                <w:noProof/>
              </w:rPr>
            </w:pPr>
            <w:r w:rsidRPr="00BC4EE7">
              <w:rPr>
                <w:rFonts w:cs="Times New Roman"/>
                <w:noProof/>
              </w:rPr>
              <w:t>424</w:t>
            </w:r>
          </w:p>
        </w:tc>
        <w:tc>
          <w:tcPr>
            <w:tcW w:w="1012" w:type="dxa"/>
            <w:shd w:val="clear" w:color="auto" w:fill="C6EFCE"/>
            <w:noWrap/>
          </w:tcPr>
          <w:p w14:paraId="5088AA62" w14:textId="30762D2E" w:rsidR="00D65CB4" w:rsidRPr="00BC4EE7" w:rsidRDefault="00572307">
            <w:pPr>
              <w:pStyle w:val="P68B1DB1-Normal12"/>
              <w:jc w:val="center"/>
              <w:rPr>
                <w:rFonts w:cs="Times New Roman"/>
                <w:noProof/>
              </w:rPr>
            </w:pPr>
            <w:r w:rsidRPr="00BC4EE7">
              <w:rPr>
                <w:rFonts w:cs="Times New Roman"/>
                <w:noProof/>
              </w:rPr>
              <w:t>C3.I1.</w:t>
            </w:r>
          </w:p>
        </w:tc>
        <w:tc>
          <w:tcPr>
            <w:tcW w:w="1134" w:type="dxa"/>
            <w:shd w:val="clear" w:color="auto" w:fill="C6EFCE"/>
            <w:noWrap/>
          </w:tcPr>
          <w:p w14:paraId="25FD4440" w14:textId="40B015AD" w:rsidR="00D65CB4" w:rsidRPr="00BC4EE7" w:rsidRDefault="00572307">
            <w:pPr>
              <w:pStyle w:val="P68B1DB1-Normal12"/>
              <w:jc w:val="center"/>
              <w:rPr>
                <w:rFonts w:cs="Times New Roman"/>
                <w:noProof/>
              </w:rPr>
            </w:pPr>
            <w:r w:rsidRPr="00BC4EE7">
              <w:rPr>
                <w:rFonts w:cs="Times New Roman"/>
                <w:noProof/>
              </w:rPr>
              <w:t>T</w:t>
            </w:r>
          </w:p>
        </w:tc>
        <w:tc>
          <w:tcPr>
            <w:tcW w:w="2543" w:type="dxa"/>
            <w:shd w:val="clear" w:color="auto" w:fill="C6EFCE"/>
            <w:noWrap/>
          </w:tcPr>
          <w:p w14:paraId="00300C24" w14:textId="3E3C7121" w:rsidR="00D65CB4" w:rsidRPr="00BC4EE7" w:rsidRDefault="00572307">
            <w:pPr>
              <w:pStyle w:val="P68B1DB1-Normal12"/>
              <w:jc w:val="both"/>
              <w:rPr>
                <w:rFonts w:cs="Times New Roman"/>
                <w:noProof/>
              </w:rPr>
            </w:pPr>
            <w:r w:rsidRPr="00BC4EE7">
              <w:rPr>
                <w:rFonts w:cs="Times New Roman"/>
                <w:noProof/>
              </w:rPr>
              <w:t>A Mezőgazdasági, Halászati és Élelmiszerügyi Minisztérium (MAPA) és a SEIASA közötti megállapodás kiegészítésének végrehajtása az öntözött területek fejlesztésének és fenntarthatóságának támogatása érdekében (II. szakasz)</w:t>
            </w:r>
          </w:p>
        </w:tc>
        <w:tc>
          <w:tcPr>
            <w:tcW w:w="1242" w:type="dxa"/>
            <w:shd w:val="clear" w:color="auto" w:fill="C6EFCE"/>
            <w:noWrap/>
          </w:tcPr>
          <w:p w14:paraId="4E4E8018" w14:textId="77777777" w:rsidR="00D65CB4" w:rsidRPr="00BC4EE7" w:rsidRDefault="00D65CB4">
            <w:pPr>
              <w:jc w:val="both"/>
              <w:rPr>
                <w:rFonts w:ascii="Times New Roman" w:eastAsia="MS Mincho" w:hAnsi="Times New Roman" w:cs="Times New Roman"/>
                <w:noProof/>
                <w:sz w:val="18"/>
              </w:rPr>
            </w:pPr>
          </w:p>
        </w:tc>
        <w:tc>
          <w:tcPr>
            <w:tcW w:w="828" w:type="dxa"/>
            <w:shd w:val="clear" w:color="auto" w:fill="C6EFCE"/>
            <w:noWrap/>
          </w:tcPr>
          <w:p w14:paraId="3494E958" w14:textId="2FCCCC51" w:rsidR="00D65CB4" w:rsidRPr="00BC4EE7" w:rsidRDefault="00572307">
            <w:pPr>
              <w:pStyle w:val="P68B1DB1-Normal12"/>
              <w:jc w:val="right"/>
              <w:rPr>
                <w:rFonts w:cs="Times New Roman"/>
                <w:noProof/>
              </w:rPr>
            </w:pPr>
            <w:r w:rsidRPr="00BC4EE7">
              <w:rPr>
                <w:rFonts w:cs="Times New Roman"/>
                <w:noProof/>
              </w:rPr>
              <w:t xml:space="preserve"> Millió EUR</w:t>
            </w:r>
          </w:p>
        </w:tc>
        <w:tc>
          <w:tcPr>
            <w:tcW w:w="966" w:type="dxa"/>
            <w:shd w:val="clear" w:color="auto" w:fill="C6EFCE"/>
            <w:noWrap/>
          </w:tcPr>
          <w:p w14:paraId="4FC8A7EA" w14:textId="5EC70449" w:rsidR="00D65CB4" w:rsidRPr="00BC4EE7" w:rsidRDefault="00572307">
            <w:pPr>
              <w:pStyle w:val="P68B1DB1-Normal12"/>
              <w:jc w:val="center"/>
              <w:rPr>
                <w:rFonts w:cs="Times New Roman"/>
                <w:noProof/>
              </w:rPr>
            </w:pPr>
            <w:r w:rsidRPr="00BC4EE7">
              <w:rPr>
                <w:rFonts w:cs="Times New Roman"/>
                <w:noProof/>
              </w:rPr>
              <w:t>303</w:t>
            </w:r>
          </w:p>
        </w:tc>
        <w:tc>
          <w:tcPr>
            <w:tcW w:w="691" w:type="dxa"/>
            <w:shd w:val="clear" w:color="auto" w:fill="C6EFCE"/>
            <w:noWrap/>
          </w:tcPr>
          <w:p w14:paraId="5FDE98C4" w14:textId="13FC3B97" w:rsidR="00D65CB4" w:rsidRPr="00BC4EE7" w:rsidRDefault="00572307">
            <w:pPr>
              <w:pStyle w:val="P68B1DB1-Normal12"/>
              <w:jc w:val="center"/>
              <w:rPr>
                <w:rFonts w:cs="Times New Roman"/>
                <w:noProof/>
              </w:rPr>
            </w:pPr>
            <w:r w:rsidRPr="00BC4EE7">
              <w:rPr>
                <w:rFonts w:cs="Times New Roman"/>
                <w:noProof/>
              </w:rPr>
              <w:t>453</w:t>
            </w:r>
          </w:p>
        </w:tc>
        <w:tc>
          <w:tcPr>
            <w:tcW w:w="415" w:type="dxa"/>
            <w:shd w:val="clear" w:color="auto" w:fill="C6EFCE"/>
            <w:noWrap/>
          </w:tcPr>
          <w:p w14:paraId="79979275" w14:textId="4E86C5E1" w:rsidR="00D65CB4" w:rsidRPr="00BC4EE7" w:rsidRDefault="00572307">
            <w:pPr>
              <w:pStyle w:val="P68B1DB1-Normal12"/>
              <w:jc w:val="center"/>
              <w:rPr>
                <w:rFonts w:cs="Times New Roman"/>
                <w:noProof/>
              </w:rPr>
            </w:pPr>
            <w:r w:rsidRPr="00BC4EE7">
              <w:rPr>
                <w:rFonts w:cs="Times New Roman"/>
                <w:noProof/>
              </w:rPr>
              <w:t>Q4</w:t>
            </w:r>
          </w:p>
        </w:tc>
        <w:tc>
          <w:tcPr>
            <w:tcW w:w="553" w:type="dxa"/>
            <w:shd w:val="clear" w:color="auto" w:fill="C6EFCE"/>
            <w:noWrap/>
          </w:tcPr>
          <w:p w14:paraId="46DA8AFD" w14:textId="23622128" w:rsidR="00D65CB4" w:rsidRPr="00BC4EE7" w:rsidRDefault="00572307">
            <w:pPr>
              <w:pStyle w:val="P68B1DB1-Normal12"/>
              <w:jc w:val="center"/>
              <w:rPr>
                <w:rFonts w:cs="Times New Roman"/>
                <w:noProof/>
              </w:rPr>
            </w:pPr>
            <w:r w:rsidRPr="00BC4EE7">
              <w:rPr>
                <w:rFonts w:cs="Times New Roman"/>
                <w:noProof/>
              </w:rPr>
              <w:t>2023</w:t>
            </w:r>
          </w:p>
        </w:tc>
        <w:tc>
          <w:tcPr>
            <w:tcW w:w="5236" w:type="dxa"/>
            <w:shd w:val="clear" w:color="auto" w:fill="C6EFCE"/>
            <w:noWrap/>
          </w:tcPr>
          <w:p w14:paraId="4912E8BF" w14:textId="573B8FFB" w:rsidR="00D65CB4" w:rsidRPr="00BC4EE7" w:rsidRDefault="00572307">
            <w:pPr>
              <w:pStyle w:val="P68B1DB1-Normal12"/>
              <w:rPr>
                <w:rFonts w:cs="Times New Roman"/>
                <w:noProof/>
              </w:rPr>
            </w:pPr>
            <w:r w:rsidRPr="00BC4EE7">
              <w:rPr>
                <w:rFonts w:cs="Times New Roman"/>
                <w:noProof/>
              </w:rPr>
              <w:t>A Mezőgazdasági, Halászati és Élelmiszerügyi Minisztérium (MAPA) és a SEIASA közötti együttműködési megállapodás kiegészítése (a II. szakasz kiterjesztése; 150 000 000 EUR összegű költségvetés-végrehajtás) az öntözés hatékonyságának és fenntarthatóságának javítását célzó, e beruházási projekt keretében végrehajtott terv feltételeit valósítja meg. Ez a jogi norma többek között szabályozza az öntözés korszerűsítésére irányuló beruházások köz- és magánfinanszírozási rendszerét, a projektkiválasztási kritériumokat, a terv végrehajtási eljárásait, valamint az ezen intézkedés keretében a költségvetés végrehajtásához kapcsolódóan végrehajtandó intézkedések listáját.  (Alapforgatókönyv: 2022. június 30., a 47. cél célja alapján)</w:t>
            </w:r>
          </w:p>
        </w:tc>
      </w:tr>
      <w:tr w:rsidR="00D65CB4" w:rsidRPr="00BC4EE7" w14:paraId="0B6296AC" w14:textId="77777777" w:rsidTr="002F5BA1">
        <w:trPr>
          <w:trHeight w:val="309"/>
        </w:trPr>
        <w:tc>
          <w:tcPr>
            <w:tcW w:w="832" w:type="dxa"/>
            <w:shd w:val="clear" w:color="auto" w:fill="C6EFCE"/>
            <w:noWrap/>
          </w:tcPr>
          <w:p w14:paraId="28E52AA1" w14:textId="354ADA0D"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48</w:t>
            </w:r>
          </w:p>
        </w:tc>
        <w:tc>
          <w:tcPr>
            <w:tcW w:w="1012" w:type="dxa"/>
            <w:shd w:val="clear" w:color="auto" w:fill="C6EFCE"/>
            <w:noWrap/>
          </w:tcPr>
          <w:p w14:paraId="023805EF"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C3.I1.</w:t>
            </w:r>
          </w:p>
        </w:tc>
        <w:tc>
          <w:tcPr>
            <w:tcW w:w="1134" w:type="dxa"/>
            <w:shd w:val="clear" w:color="auto" w:fill="C6EFCE"/>
            <w:noWrap/>
          </w:tcPr>
          <w:p w14:paraId="55F394AC"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T</w:t>
            </w:r>
          </w:p>
        </w:tc>
        <w:tc>
          <w:tcPr>
            <w:tcW w:w="2543" w:type="dxa"/>
            <w:shd w:val="clear" w:color="auto" w:fill="C6EFCE"/>
            <w:noWrap/>
          </w:tcPr>
          <w:p w14:paraId="37A0B2C3" w14:textId="65364637" w:rsidR="00D65CB4" w:rsidRPr="00BC4EE7" w:rsidRDefault="00572307">
            <w:pPr>
              <w:pStyle w:val="P68B1DB1-Normal12"/>
              <w:spacing w:after="0" w:line="240" w:lineRule="auto"/>
              <w:rPr>
                <w:rFonts w:eastAsia="MS Mincho" w:cs="Times New Roman"/>
                <w:noProof/>
              </w:rPr>
            </w:pPr>
            <w:r w:rsidRPr="00BC4EE7">
              <w:rPr>
                <w:rFonts w:cs="Times New Roman"/>
                <w:noProof/>
              </w:rPr>
              <w:t xml:space="preserve">Az öntözőrendszerek korszerűsítése a víztakarékosság és az energiahatékonyság szempontjából  </w:t>
            </w:r>
          </w:p>
        </w:tc>
        <w:tc>
          <w:tcPr>
            <w:tcW w:w="1242" w:type="dxa"/>
            <w:shd w:val="clear" w:color="auto" w:fill="C6EFCE"/>
            <w:noWrap/>
          </w:tcPr>
          <w:p w14:paraId="1F72F646" w14:textId="77777777" w:rsidR="00D65CB4" w:rsidRPr="00BC4EE7" w:rsidRDefault="00D65CB4">
            <w:pPr>
              <w:spacing w:after="0" w:line="240" w:lineRule="auto"/>
              <w:jc w:val="center"/>
              <w:rPr>
                <w:rFonts w:ascii="Times New Roman" w:eastAsia="MS Mincho" w:hAnsi="Times New Roman" w:cs="Times New Roman"/>
                <w:noProof/>
                <w:sz w:val="18"/>
              </w:rPr>
            </w:pPr>
          </w:p>
        </w:tc>
        <w:tc>
          <w:tcPr>
            <w:tcW w:w="828" w:type="dxa"/>
            <w:shd w:val="clear" w:color="auto" w:fill="C6EFCE"/>
            <w:noWrap/>
          </w:tcPr>
          <w:p w14:paraId="69A22CFF" w14:textId="5A648E9A"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Szám (hektár)</w:t>
            </w:r>
          </w:p>
        </w:tc>
        <w:tc>
          <w:tcPr>
            <w:tcW w:w="966" w:type="dxa"/>
            <w:shd w:val="clear" w:color="auto" w:fill="C6EFCE"/>
            <w:noWrap/>
          </w:tcPr>
          <w:p w14:paraId="5D56E414"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0</w:t>
            </w:r>
          </w:p>
        </w:tc>
        <w:tc>
          <w:tcPr>
            <w:tcW w:w="691" w:type="dxa"/>
            <w:shd w:val="clear" w:color="auto" w:fill="C6EFCE"/>
            <w:noWrap/>
          </w:tcPr>
          <w:p w14:paraId="65BA75C7" w14:textId="1A054656"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125 000</w:t>
            </w:r>
          </w:p>
        </w:tc>
        <w:tc>
          <w:tcPr>
            <w:tcW w:w="415" w:type="dxa"/>
            <w:shd w:val="clear" w:color="auto" w:fill="C6EFCE"/>
            <w:noWrap/>
          </w:tcPr>
          <w:p w14:paraId="7757B762" w14:textId="30E4530E"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Q2</w:t>
            </w:r>
          </w:p>
        </w:tc>
        <w:tc>
          <w:tcPr>
            <w:tcW w:w="553" w:type="dxa"/>
            <w:shd w:val="clear" w:color="auto" w:fill="C6EFCE"/>
            <w:noWrap/>
          </w:tcPr>
          <w:p w14:paraId="5177A41D" w14:textId="07F9D794"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2026</w:t>
            </w:r>
          </w:p>
        </w:tc>
        <w:tc>
          <w:tcPr>
            <w:tcW w:w="5236" w:type="dxa"/>
            <w:shd w:val="clear" w:color="auto" w:fill="C6EFCE"/>
            <w:noWrap/>
          </w:tcPr>
          <w:p w14:paraId="3EA8274B" w14:textId="7C567330" w:rsidR="00D65CB4" w:rsidRPr="00BC4EE7" w:rsidRDefault="00572307">
            <w:pPr>
              <w:pStyle w:val="P68B1DB1-Normal12"/>
              <w:spacing w:after="0" w:line="240" w:lineRule="auto"/>
              <w:rPr>
                <w:rFonts w:eastAsia="MS Mincho" w:cs="Times New Roman"/>
                <w:noProof/>
              </w:rPr>
            </w:pPr>
            <w:r w:rsidRPr="00BC4EE7">
              <w:rPr>
                <w:rFonts w:cs="Times New Roman"/>
                <w:noProof/>
              </w:rPr>
              <w:t>Legalább 125000 hektárnyi öntözőrendszert korszerűsítettek a vízmegtakarítás és az energiahatékonyság szempontjából. A helyreállítási és rezilienciaépítési terv beruházásaival korszerűsített területnek, valamint a végrehajtott intézkedések tipológiájának tükröződnie kell a SEIASA által az érintett I. vízfelhasználói közösségekkel aláírt együttműködési megállapodásokban. Ezek a megállapodások meghatározzák a korszerűsített öntözőrendszerek vízmegtakarításának és energiahatékonyságának biztosítása érdekében végrehajtandó konkrét intézkedéseket. Az e terv keretében végrehajtandó intézkedések némelyike a következő: i. a felszín alatti vagy felszíni vizek használatának helyettesítése nem hagyományos vízkészletek felhasználásával (a jelentős károkozás elkerülését célzó elvről szóló technikai iránymutatásnak (2021/C58/01) megfelelően visszanyert vagy sótalanított vízkészletek felhasználásával, ii. olyan vízszabályozási rendszerek végrehajtása, amelyek lehetővé teszik a gravitációs öntözést (a tengerszint feletti magasságbeli különbség felhasználásával, hogy a víz szállításához ne legyen szükség energiafelhasználásra), iii. a fosszilis forrásokból származó, megújuló energiaforrásokkal (főként fotovoltaikus) történő szivattyúzáshoz szükséges energia helyettesítése, iv. betonból vagy földből készült szabadtéri árkok eltemetett csövekre történő cseréje, v. szűrő- és szivattyúállomások építése, valamint vi. mérőórák és távirányító rendszerek telepítése. 2026 második negyedévére legalább 125 000 hektár öntözőrendszert korszerűsítenek a vízmegtakarítás és az energiahatékonyság tekintetében, ami a SIEASA-Irrigációs Közösségek megállapodásai révén ellenőrizhető.</w:t>
            </w:r>
          </w:p>
        </w:tc>
      </w:tr>
      <w:tr w:rsidR="00D65CB4" w:rsidRPr="00BC4EE7" w14:paraId="16112381" w14:textId="77777777" w:rsidTr="002F5BA1">
        <w:trPr>
          <w:trHeight w:val="309"/>
        </w:trPr>
        <w:tc>
          <w:tcPr>
            <w:tcW w:w="832" w:type="dxa"/>
            <w:shd w:val="clear" w:color="auto" w:fill="C6EFCE"/>
            <w:noWrap/>
          </w:tcPr>
          <w:p w14:paraId="20228FB5" w14:textId="05046FB4" w:rsidR="00D65CB4" w:rsidRPr="00BC4EE7" w:rsidRDefault="00572307">
            <w:pPr>
              <w:pStyle w:val="P68B1DB1-Normal12"/>
              <w:spacing w:after="0" w:line="240" w:lineRule="auto"/>
              <w:jc w:val="center"/>
              <w:rPr>
                <w:rFonts w:cs="Times New Roman"/>
                <w:noProof/>
              </w:rPr>
            </w:pPr>
            <w:r w:rsidRPr="00BC4EE7">
              <w:rPr>
                <w:rFonts w:cs="Times New Roman"/>
                <w:noProof/>
              </w:rPr>
              <w:t>421</w:t>
            </w:r>
          </w:p>
        </w:tc>
        <w:tc>
          <w:tcPr>
            <w:tcW w:w="1012" w:type="dxa"/>
            <w:shd w:val="clear" w:color="auto" w:fill="C6EFCE"/>
            <w:noWrap/>
          </w:tcPr>
          <w:p w14:paraId="68EFC70D" w14:textId="163DFC93" w:rsidR="00D65CB4" w:rsidRPr="00BC4EE7" w:rsidRDefault="00572307">
            <w:pPr>
              <w:pStyle w:val="P68B1DB1-Normal12"/>
              <w:spacing w:after="0" w:line="240" w:lineRule="auto"/>
              <w:jc w:val="center"/>
              <w:rPr>
                <w:rFonts w:cs="Times New Roman"/>
                <w:noProof/>
              </w:rPr>
            </w:pPr>
            <w:r w:rsidRPr="00BC4EE7">
              <w:rPr>
                <w:rFonts w:cs="Times New Roman"/>
                <w:noProof/>
              </w:rPr>
              <w:t>C3.I2.</w:t>
            </w:r>
          </w:p>
        </w:tc>
        <w:tc>
          <w:tcPr>
            <w:tcW w:w="1134" w:type="dxa"/>
            <w:shd w:val="clear" w:color="auto" w:fill="C6EFCE"/>
            <w:noWrap/>
          </w:tcPr>
          <w:p w14:paraId="51B435AF" w14:textId="630F3F02"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2543" w:type="dxa"/>
            <w:shd w:val="clear" w:color="auto" w:fill="C6EFCE"/>
            <w:noWrap/>
          </w:tcPr>
          <w:p w14:paraId="097C4D00" w14:textId="5AF124FD" w:rsidR="00D65CB4" w:rsidRPr="00BC4EE7" w:rsidRDefault="00572307">
            <w:pPr>
              <w:pStyle w:val="P68B1DB1-Normal12"/>
              <w:spacing w:after="0" w:line="240" w:lineRule="auto"/>
              <w:rPr>
                <w:rFonts w:cs="Times New Roman"/>
                <w:noProof/>
              </w:rPr>
            </w:pPr>
            <w:r w:rsidRPr="00BC4EE7">
              <w:rPr>
                <w:rFonts w:cs="Times New Roman"/>
                <w:noProof/>
              </w:rPr>
              <w:t>A 3. szintű biológiai biztonsági laboratórium és egy nemzeti növény-egészségügyi laboratórium építésének befejezése.</w:t>
            </w:r>
          </w:p>
        </w:tc>
        <w:tc>
          <w:tcPr>
            <w:tcW w:w="1242" w:type="dxa"/>
            <w:shd w:val="clear" w:color="auto" w:fill="C6EFCE"/>
            <w:noWrap/>
          </w:tcPr>
          <w:p w14:paraId="00A2A4FD" w14:textId="77777777" w:rsidR="00D65CB4" w:rsidRPr="00BC4EE7" w:rsidRDefault="00D65CB4">
            <w:pPr>
              <w:spacing w:after="0" w:line="240" w:lineRule="auto"/>
              <w:jc w:val="center"/>
              <w:rPr>
                <w:rFonts w:ascii="Times New Roman" w:eastAsia="MS Mincho" w:hAnsi="Times New Roman" w:cs="Times New Roman"/>
                <w:noProof/>
                <w:sz w:val="18"/>
              </w:rPr>
            </w:pPr>
          </w:p>
        </w:tc>
        <w:tc>
          <w:tcPr>
            <w:tcW w:w="828" w:type="dxa"/>
            <w:shd w:val="clear" w:color="auto" w:fill="C6EFCE"/>
            <w:noWrap/>
          </w:tcPr>
          <w:p w14:paraId="7AA022EC" w14:textId="7024E203" w:rsidR="00D65CB4" w:rsidRPr="00BC4EE7" w:rsidRDefault="00572307">
            <w:pPr>
              <w:pStyle w:val="P68B1DB1-Normal12"/>
              <w:spacing w:after="0" w:line="240" w:lineRule="auto"/>
              <w:jc w:val="right"/>
              <w:rPr>
                <w:rFonts w:cs="Times New Roman"/>
                <w:noProof/>
              </w:rPr>
            </w:pPr>
            <w:r w:rsidRPr="00BC4EE7">
              <w:rPr>
                <w:rFonts w:cs="Times New Roman"/>
                <w:noProof/>
              </w:rPr>
              <w:t>Szám</w:t>
            </w:r>
          </w:p>
        </w:tc>
        <w:tc>
          <w:tcPr>
            <w:tcW w:w="966" w:type="dxa"/>
            <w:shd w:val="clear" w:color="auto" w:fill="C6EFCE"/>
            <w:noWrap/>
          </w:tcPr>
          <w:p w14:paraId="6C68AD98" w14:textId="77777777" w:rsidR="00D65CB4" w:rsidRPr="00BC4EE7" w:rsidRDefault="00D65CB4">
            <w:pPr>
              <w:spacing w:after="0" w:line="240" w:lineRule="auto"/>
              <w:jc w:val="right"/>
              <w:rPr>
                <w:rFonts w:ascii="Times New Roman" w:hAnsi="Times New Roman" w:cs="Times New Roman"/>
                <w:noProof/>
                <w:sz w:val="18"/>
              </w:rPr>
            </w:pPr>
          </w:p>
        </w:tc>
        <w:tc>
          <w:tcPr>
            <w:tcW w:w="691" w:type="dxa"/>
            <w:shd w:val="clear" w:color="auto" w:fill="C6EFCE"/>
            <w:noWrap/>
          </w:tcPr>
          <w:p w14:paraId="06D8A153" w14:textId="51FF80B4" w:rsidR="00D65CB4" w:rsidRPr="00BC4EE7" w:rsidRDefault="00572307">
            <w:pPr>
              <w:pStyle w:val="P68B1DB1-Normal12"/>
              <w:spacing w:after="0" w:line="240" w:lineRule="auto"/>
              <w:jc w:val="right"/>
              <w:rPr>
                <w:rFonts w:cs="Times New Roman"/>
                <w:noProof/>
              </w:rPr>
            </w:pPr>
            <w:r w:rsidRPr="00BC4EE7">
              <w:rPr>
                <w:rFonts w:cs="Times New Roman"/>
                <w:noProof/>
              </w:rPr>
              <w:t>2</w:t>
            </w:r>
          </w:p>
        </w:tc>
        <w:tc>
          <w:tcPr>
            <w:tcW w:w="415" w:type="dxa"/>
            <w:shd w:val="clear" w:color="auto" w:fill="C6EFCE"/>
            <w:noWrap/>
          </w:tcPr>
          <w:p w14:paraId="3FB19F6E" w14:textId="51F95DB8" w:rsidR="00D65CB4" w:rsidRPr="00BC4EE7" w:rsidRDefault="00572307">
            <w:pPr>
              <w:pStyle w:val="P68B1DB1-Normal12"/>
              <w:spacing w:after="0" w:line="240" w:lineRule="auto"/>
              <w:jc w:val="center"/>
              <w:rPr>
                <w:rFonts w:cs="Times New Roman"/>
                <w:noProof/>
              </w:rPr>
            </w:pPr>
            <w:r w:rsidRPr="00BC4EE7">
              <w:rPr>
                <w:rFonts w:cs="Times New Roman"/>
                <w:noProof/>
              </w:rPr>
              <w:t>Q1</w:t>
            </w:r>
          </w:p>
        </w:tc>
        <w:tc>
          <w:tcPr>
            <w:tcW w:w="553" w:type="dxa"/>
            <w:shd w:val="clear" w:color="auto" w:fill="C6EFCE"/>
            <w:noWrap/>
          </w:tcPr>
          <w:p w14:paraId="1C3E143B" w14:textId="668D3DFF" w:rsidR="00D65CB4" w:rsidRPr="00BC4EE7" w:rsidRDefault="00572307">
            <w:pPr>
              <w:pStyle w:val="P68B1DB1-Normal12"/>
              <w:spacing w:after="0" w:line="240" w:lineRule="auto"/>
              <w:jc w:val="center"/>
              <w:rPr>
                <w:rFonts w:cs="Times New Roman"/>
                <w:noProof/>
              </w:rPr>
            </w:pPr>
            <w:r w:rsidRPr="00BC4EE7">
              <w:rPr>
                <w:rFonts w:cs="Times New Roman"/>
                <w:noProof/>
              </w:rPr>
              <w:t>2025</w:t>
            </w:r>
          </w:p>
        </w:tc>
        <w:tc>
          <w:tcPr>
            <w:tcW w:w="5236" w:type="dxa"/>
            <w:shd w:val="clear" w:color="auto" w:fill="C6EFCE"/>
            <w:noWrap/>
          </w:tcPr>
          <w:p w14:paraId="149AEA09" w14:textId="53905DE4" w:rsidR="00D65CB4" w:rsidRPr="00BC4EE7" w:rsidRDefault="00572307">
            <w:pPr>
              <w:pStyle w:val="P68B1DB1-Normal12"/>
              <w:spacing w:after="0" w:line="240" w:lineRule="auto"/>
              <w:rPr>
                <w:rFonts w:cs="Times New Roman"/>
                <w:noProof/>
              </w:rPr>
            </w:pPr>
            <w:r w:rsidRPr="00BC4EE7">
              <w:rPr>
                <w:rFonts w:cs="Times New Roman"/>
                <w:noProof/>
              </w:rPr>
              <w:t>A 3. szintű Biológiai Biztonsági Laboratórium (LCSA- Santa Fe) és a lugói Nemzeti Növényegészségügyi Laboratórium építésének befejezése.</w:t>
            </w:r>
          </w:p>
        </w:tc>
      </w:tr>
      <w:tr w:rsidR="00D65CB4" w:rsidRPr="00BC4EE7" w14:paraId="3C0A710D" w14:textId="77777777" w:rsidTr="002F5BA1">
        <w:trPr>
          <w:trHeight w:val="309"/>
        </w:trPr>
        <w:tc>
          <w:tcPr>
            <w:tcW w:w="832" w:type="dxa"/>
            <w:shd w:val="clear" w:color="auto" w:fill="C6EFCE"/>
            <w:noWrap/>
          </w:tcPr>
          <w:p w14:paraId="12424CF8" w14:textId="54319176" w:rsidR="00D65CB4" w:rsidRPr="00BC4EE7" w:rsidRDefault="00572307">
            <w:pPr>
              <w:pStyle w:val="P68B1DB1-Normal12"/>
              <w:spacing w:after="0" w:line="240" w:lineRule="auto"/>
              <w:jc w:val="center"/>
              <w:rPr>
                <w:rFonts w:cs="Times New Roman"/>
                <w:noProof/>
              </w:rPr>
            </w:pPr>
            <w:r w:rsidRPr="00BC4EE7">
              <w:rPr>
                <w:rFonts w:cs="Times New Roman"/>
                <w:noProof/>
              </w:rPr>
              <w:t>49</w:t>
            </w:r>
          </w:p>
        </w:tc>
        <w:tc>
          <w:tcPr>
            <w:tcW w:w="1012" w:type="dxa"/>
            <w:shd w:val="clear" w:color="auto" w:fill="C6EFCE"/>
            <w:noWrap/>
          </w:tcPr>
          <w:p w14:paraId="148F71E4" w14:textId="5E05A255" w:rsidR="00D65CB4" w:rsidRPr="00BC4EE7" w:rsidRDefault="00572307">
            <w:pPr>
              <w:pStyle w:val="P68B1DB1-Normal12"/>
              <w:spacing w:after="0" w:line="240" w:lineRule="auto"/>
              <w:jc w:val="center"/>
              <w:rPr>
                <w:rFonts w:cs="Times New Roman"/>
                <w:noProof/>
              </w:rPr>
            </w:pPr>
            <w:r w:rsidRPr="00BC4EE7">
              <w:rPr>
                <w:rFonts w:cs="Times New Roman"/>
                <w:noProof/>
              </w:rPr>
              <w:t>C3.I2.</w:t>
            </w:r>
          </w:p>
        </w:tc>
        <w:tc>
          <w:tcPr>
            <w:tcW w:w="1134" w:type="dxa"/>
            <w:shd w:val="clear" w:color="auto" w:fill="C6EFCE"/>
            <w:noWrap/>
          </w:tcPr>
          <w:p w14:paraId="5E1104F7" w14:textId="56875245"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2543" w:type="dxa"/>
            <w:shd w:val="clear" w:color="auto" w:fill="C6EFCE"/>
            <w:noWrap/>
          </w:tcPr>
          <w:p w14:paraId="4DF864B7" w14:textId="0D5C4563" w:rsidR="00D65CB4" w:rsidRPr="00BC4EE7" w:rsidRDefault="00572307">
            <w:pPr>
              <w:pStyle w:val="P68B1DB1-Normal12"/>
              <w:spacing w:after="0" w:line="240" w:lineRule="auto"/>
              <w:rPr>
                <w:rFonts w:cs="Times New Roman"/>
                <w:noProof/>
              </w:rPr>
            </w:pPr>
            <w:r w:rsidRPr="00BC4EE7">
              <w:rPr>
                <w:rFonts w:cs="Times New Roman"/>
                <w:noProof/>
              </w:rPr>
              <w:t xml:space="preserve">Állattartó létesítmény építése 3. biológiai biztonsági szinttel. </w:t>
            </w:r>
          </w:p>
        </w:tc>
        <w:tc>
          <w:tcPr>
            <w:tcW w:w="1242" w:type="dxa"/>
            <w:shd w:val="clear" w:color="auto" w:fill="C6EFCE"/>
            <w:noWrap/>
          </w:tcPr>
          <w:p w14:paraId="4D3C8EB5" w14:textId="77777777" w:rsidR="00D65CB4" w:rsidRPr="00BC4EE7" w:rsidRDefault="00D65CB4">
            <w:pPr>
              <w:spacing w:after="0" w:line="240" w:lineRule="auto"/>
              <w:jc w:val="center"/>
              <w:rPr>
                <w:rFonts w:ascii="Times New Roman" w:eastAsia="MS Mincho" w:hAnsi="Times New Roman" w:cs="Times New Roman"/>
                <w:noProof/>
                <w:sz w:val="18"/>
              </w:rPr>
            </w:pPr>
          </w:p>
        </w:tc>
        <w:tc>
          <w:tcPr>
            <w:tcW w:w="828" w:type="dxa"/>
            <w:shd w:val="clear" w:color="auto" w:fill="C6EFCE"/>
            <w:noWrap/>
          </w:tcPr>
          <w:p w14:paraId="273B8182" w14:textId="751D5AB5" w:rsidR="00D65CB4" w:rsidRPr="00BC4EE7" w:rsidRDefault="00572307">
            <w:pPr>
              <w:pStyle w:val="P68B1DB1-Normal12"/>
              <w:spacing w:after="0" w:line="240" w:lineRule="auto"/>
              <w:jc w:val="right"/>
              <w:rPr>
                <w:rFonts w:cs="Times New Roman"/>
                <w:noProof/>
              </w:rPr>
            </w:pPr>
            <w:r w:rsidRPr="00BC4EE7">
              <w:rPr>
                <w:rFonts w:cs="Times New Roman"/>
                <w:noProof/>
              </w:rPr>
              <w:t>Szám</w:t>
            </w:r>
          </w:p>
        </w:tc>
        <w:tc>
          <w:tcPr>
            <w:tcW w:w="966" w:type="dxa"/>
            <w:shd w:val="clear" w:color="auto" w:fill="C6EFCE"/>
            <w:noWrap/>
          </w:tcPr>
          <w:p w14:paraId="30E42435" w14:textId="3418A787" w:rsidR="00D65CB4" w:rsidRPr="00BC4EE7" w:rsidRDefault="00572307">
            <w:pPr>
              <w:pStyle w:val="P68B1DB1-Normal12"/>
              <w:spacing w:after="0" w:line="240" w:lineRule="auto"/>
              <w:jc w:val="right"/>
              <w:rPr>
                <w:rFonts w:cs="Times New Roman"/>
                <w:noProof/>
              </w:rPr>
            </w:pPr>
            <w:r w:rsidRPr="00BC4EE7">
              <w:rPr>
                <w:rFonts w:cs="Times New Roman"/>
                <w:noProof/>
              </w:rPr>
              <w:t>0</w:t>
            </w:r>
          </w:p>
        </w:tc>
        <w:tc>
          <w:tcPr>
            <w:tcW w:w="691" w:type="dxa"/>
            <w:shd w:val="clear" w:color="auto" w:fill="C6EFCE"/>
            <w:noWrap/>
          </w:tcPr>
          <w:p w14:paraId="3B4DBFC6" w14:textId="4E296265" w:rsidR="00D65CB4" w:rsidRPr="00BC4EE7" w:rsidRDefault="00572307">
            <w:pPr>
              <w:pStyle w:val="P68B1DB1-Normal12"/>
              <w:spacing w:after="0" w:line="240" w:lineRule="auto"/>
              <w:jc w:val="right"/>
              <w:rPr>
                <w:rFonts w:cs="Times New Roman"/>
                <w:noProof/>
              </w:rPr>
            </w:pPr>
            <w:r w:rsidRPr="00BC4EE7">
              <w:rPr>
                <w:rFonts w:cs="Times New Roman"/>
                <w:noProof/>
              </w:rPr>
              <w:t>1</w:t>
            </w:r>
          </w:p>
        </w:tc>
        <w:tc>
          <w:tcPr>
            <w:tcW w:w="415" w:type="dxa"/>
            <w:shd w:val="clear" w:color="auto" w:fill="C6EFCE"/>
            <w:noWrap/>
          </w:tcPr>
          <w:p w14:paraId="30C2E373" w14:textId="10AD5E3C"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553" w:type="dxa"/>
            <w:shd w:val="clear" w:color="auto" w:fill="C6EFCE"/>
            <w:noWrap/>
          </w:tcPr>
          <w:p w14:paraId="3F9C886C" w14:textId="6604ECA0" w:rsidR="00D65CB4" w:rsidRPr="00BC4EE7" w:rsidRDefault="00572307">
            <w:pPr>
              <w:pStyle w:val="P68B1DB1-Normal12"/>
              <w:spacing w:after="0" w:line="240" w:lineRule="auto"/>
              <w:jc w:val="center"/>
              <w:rPr>
                <w:rFonts w:cs="Times New Roman"/>
                <w:noProof/>
              </w:rPr>
            </w:pPr>
            <w:r w:rsidRPr="00BC4EE7">
              <w:rPr>
                <w:rFonts w:cs="Times New Roman"/>
                <w:noProof/>
              </w:rPr>
              <w:t>2026</w:t>
            </w:r>
          </w:p>
        </w:tc>
        <w:tc>
          <w:tcPr>
            <w:tcW w:w="5236" w:type="dxa"/>
            <w:shd w:val="clear" w:color="auto" w:fill="C6EFCE"/>
            <w:noWrap/>
          </w:tcPr>
          <w:p w14:paraId="732A624F" w14:textId="16CC0677" w:rsidR="00D65CB4" w:rsidRPr="00BC4EE7" w:rsidRDefault="00572307">
            <w:pPr>
              <w:pStyle w:val="P68B1DB1-Normal12"/>
              <w:spacing w:after="0" w:line="240" w:lineRule="auto"/>
              <w:rPr>
                <w:rFonts w:cs="Times New Roman"/>
                <w:noProof/>
              </w:rPr>
            </w:pPr>
            <w:r w:rsidRPr="00BC4EE7">
              <w:rPr>
                <w:rFonts w:cs="Times New Roman"/>
                <w:noProof/>
              </w:rPr>
              <w:t>A 3. szintű Biológiai Biztonsági Állateszköz (LCV-Algete) építésének befejezése</w:t>
            </w:r>
          </w:p>
        </w:tc>
      </w:tr>
      <w:tr w:rsidR="00D65CB4" w:rsidRPr="00BC4EE7" w14:paraId="4FC01CD0" w14:textId="77777777" w:rsidTr="002F5BA1">
        <w:trPr>
          <w:trHeight w:val="309"/>
        </w:trPr>
        <w:tc>
          <w:tcPr>
            <w:tcW w:w="832" w:type="dxa"/>
            <w:shd w:val="clear" w:color="auto" w:fill="C6EFCE"/>
            <w:noWrap/>
          </w:tcPr>
          <w:p w14:paraId="54368C02" w14:textId="26A50E9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50</w:t>
            </w:r>
          </w:p>
        </w:tc>
        <w:tc>
          <w:tcPr>
            <w:tcW w:w="1012" w:type="dxa"/>
            <w:shd w:val="clear" w:color="auto" w:fill="C6EFCE"/>
            <w:noWrap/>
          </w:tcPr>
          <w:p w14:paraId="15507CD7" w14:textId="5DBC095D"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C3.I3</w:t>
            </w:r>
          </w:p>
        </w:tc>
        <w:tc>
          <w:tcPr>
            <w:tcW w:w="1134" w:type="dxa"/>
            <w:shd w:val="clear" w:color="auto" w:fill="C6EFCE"/>
            <w:noWrap/>
          </w:tcPr>
          <w:p w14:paraId="12E77EC6"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T</w:t>
            </w:r>
          </w:p>
        </w:tc>
        <w:tc>
          <w:tcPr>
            <w:tcW w:w="2543" w:type="dxa"/>
            <w:shd w:val="clear" w:color="auto" w:fill="C6EFCE"/>
            <w:noWrap/>
          </w:tcPr>
          <w:p w14:paraId="73767E53" w14:textId="2E4D0259" w:rsidR="00D65CB4" w:rsidRPr="00BC4EE7" w:rsidRDefault="00572307">
            <w:pPr>
              <w:pStyle w:val="P68B1DB1-Normal12"/>
              <w:spacing w:after="0" w:line="240" w:lineRule="auto"/>
              <w:rPr>
                <w:rFonts w:eastAsia="MS Mincho" w:cs="Times New Roman"/>
                <w:noProof/>
              </w:rPr>
            </w:pPr>
            <w:r w:rsidRPr="00BC4EE7">
              <w:rPr>
                <w:rFonts w:cs="Times New Roman"/>
                <w:noProof/>
              </w:rPr>
              <w:t>Továbbfejlesztett tisztító- és fertőtlenítőközpontok és növényi szaporítóanyag-előállító központok megerősített képzési és biológiai biztonsági rendszerekkel</w:t>
            </w:r>
          </w:p>
        </w:tc>
        <w:tc>
          <w:tcPr>
            <w:tcW w:w="1242" w:type="dxa"/>
            <w:shd w:val="clear" w:color="auto" w:fill="C6EFCE"/>
            <w:noWrap/>
          </w:tcPr>
          <w:p w14:paraId="61CDCEAD" w14:textId="77777777" w:rsidR="00D65CB4" w:rsidRPr="00BC4EE7" w:rsidRDefault="00D65CB4">
            <w:pPr>
              <w:spacing w:after="0" w:line="240" w:lineRule="auto"/>
              <w:jc w:val="center"/>
              <w:rPr>
                <w:rFonts w:ascii="Times New Roman" w:eastAsia="MS Mincho" w:hAnsi="Times New Roman" w:cs="Times New Roman"/>
                <w:noProof/>
                <w:sz w:val="18"/>
              </w:rPr>
            </w:pPr>
          </w:p>
        </w:tc>
        <w:tc>
          <w:tcPr>
            <w:tcW w:w="828" w:type="dxa"/>
            <w:shd w:val="clear" w:color="auto" w:fill="C6EFCE"/>
            <w:noWrap/>
          </w:tcPr>
          <w:p w14:paraId="5D78A289"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Szám</w:t>
            </w:r>
          </w:p>
        </w:tc>
        <w:tc>
          <w:tcPr>
            <w:tcW w:w="966" w:type="dxa"/>
            <w:shd w:val="clear" w:color="auto" w:fill="C6EFCE"/>
            <w:noWrap/>
          </w:tcPr>
          <w:p w14:paraId="24452D0A"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0</w:t>
            </w:r>
          </w:p>
        </w:tc>
        <w:tc>
          <w:tcPr>
            <w:tcW w:w="691" w:type="dxa"/>
            <w:shd w:val="clear" w:color="auto" w:fill="C6EFCE"/>
            <w:noWrap/>
          </w:tcPr>
          <w:p w14:paraId="0B778152" w14:textId="1EA32FC5"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465</w:t>
            </w:r>
          </w:p>
        </w:tc>
        <w:tc>
          <w:tcPr>
            <w:tcW w:w="415" w:type="dxa"/>
            <w:shd w:val="clear" w:color="auto" w:fill="C6EFCE"/>
            <w:noWrap/>
          </w:tcPr>
          <w:p w14:paraId="7CAE184B" w14:textId="59B4FD02"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Q3</w:t>
            </w:r>
          </w:p>
        </w:tc>
        <w:tc>
          <w:tcPr>
            <w:tcW w:w="553" w:type="dxa"/>
            <w:shd w:val="clear" w:color="auto" w:fill="C6EFCE"/>
            <w:noWrap/>
          </w:tcPr>
          <w:p w14:paraId="2063B540" w14:textId="0F5B2526"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2024</w:t>
            </w:r>
          </w:p>
        </w:tc>
        <w:tc>
          <w:tcPr>
            <w:tcW w:w="5236" w:type="dxa"/>
            <w:shd w:val="clear" w:color="auto" w:fill="C6EFCE"/>
            <w:noWrap/>
          </w:tcPr>
          <w:p w14:paraId="4D6A125A" w14:textId="3475416D" w:rsidR="00D65CB4" w:rsidRPr="00BC4EE7" w:rsidRDefault="00572307">
            <w:pPr>
              <w:pStyle w:val="P68B1DB1-Normal12"/>
              <w:spacing w:after="0" w:line="240" w:lineRule="auto"/>
              <w:rPr>
                <w:rFonts w:cs="Times New Roman"/>
                <w:noProof/>
              </w:rPr>
            </w:pPr>
            <w:r w:rsidRPr="00BC4EE7">
              <w:rPr>
                <w:rFonts w:cs="Times New Roman"/>
                <w:noProof/>
              </w:rPr>
              <w:t xml:space="preserve">Legalább 465 tisztító- és fertőtlenítő központ, valamint növényi szaporítóanyag-előállító központ megerősített képzési és biológiai biztonsági rendszerekkel. A kapacitásfejlesztés magában foglalja a tisztító- és fertőtlenítő létesítmények fejlesztését és építését Spanyolország egész területén, a biológiai biztonság pedig hozzáférhető, modern és felszerelt takarító- és fertőtlenítő létesítményekből áll. A tisztítás és fertőtlenítés a biológiai biztonsági intézkedések kulcsfontosságú pillére, ezért alapvető fontosságú e létesítmények technológiai fejlesztése, például az automatizálás, a robotizálás, az új tisztítási és fertőtlenítési rendszerek telepítése, mint például a termikus fertőtlenítés vagy a rendszerek telepítése. </w:t>
            </w:r>
          </w:p>
        </w:tc>
      </w:tr>
      <w:tr w:rsidR="00D65CB4" w:rsidRPr="00BC4EE7" w14:paraId="56738BA1" w14:textId="77777777" w:rsidTr="002F5BA1">
        <w:trPr>
          <w:trHeight w:val="309"/>
        </w:trPr>
        <w:tc>
          <w:tcPr>
            <w:tcW w:w="832" w:type="dxa"/>
            <w:shd w:val="clear" w:color="auto" w:fill="C6EFCE"/>
            <w:noWrap/>
          </w:tcPr>
          <w:p w14:paraId="25E19083" w14:textId="12369BAE" w:rsidR="00D65CB4" w:rsidRPr="00BC4EE7" w:rsidRDefault="00572307">
            <w:pPr>
              <w:pStyle w:val="P68B1DB1-Normal12"/>
              <w:spacing w:after="0" w:line="240" w:lineRule="auto"/>
              <w:jc w:val="center"/>
              <w:rPr>
                <w:rFonts w:cs="Times New Roman"/>
                <w:noProof/>
              </w:rPr>
            </w:pPr>
            <w:r w:rsidRPr="00BC4EE7">
              <w:rPr>
                <w:rFonts w:cs="Times New Roman"/>
                <w:noProof/>
              </w:rPr>
              <w:t>51</w:t>
            </w:r>
          </w:p>
        </w:tc>
        <w:tc>
          <w:tcPr>
            <w:tcW w:w="1012" w:type="dxa"/>
            <w:shd w:val="clear" w:color="auto" w:fill="C6EFCE"/>
            <w:noWrap/>
          </w:tcPr>
          <w:p w14:paraId="5971B254" w14:textId="53FF2EB6" w:rsidR="00D65CB4" w:rsidRPr="00BC4EE7" w:rsidRDefault="00572307">
            <w:pPr>
              <w:pStyle w:val="P68B1DB1-Normal12"/>
              <w:spacing w:after="0" w:line="240" w:lineRule="auto"/>
              <w:jc w:val="center"/>
              <w:rPr>
                <w:rFonts w:cs="Times New Roman"/>
                <w:noProof/>
              </w:rPr>
            </w:pPr>
            <w:r w:rsidRPr="00BC4EE7">
              <w:rPr>
                <w:rFonts w:cs="Times New Roman"/>
                <w:noProof/>
              </w:rPr>
              <w:t>C3.I4</w:t>
            </w:r>
          </w:p>
        </w:tc>
        <w:tc>
          <w:tcPr>
            <w:tcW w:w="1134" w:type="dxa"/>
            <w:shd w:val="clear" w:color="auto" w:fill="C6EFCE"/>
            <w:noWrap/>
          </w:tcPr>
          <w:p w14:paraId="79D317F4" w14:textId="7FAFE769"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2543" w:type="dxa"/>
            <w:shd w:val="clear" w:color="auto" w:fill="C6EFCE"/>
            <w:noWrap/>
          </w:tcPr>
          <w:p w14:paraId="324AEADF" w14:textId="1A4DAB8C" w:rsidR="00D65CB4" w:rsidRPr="00BC4EE7" w:rsidRDefault="00572307">
            <w:pPr>
              <w:pStyle w:val="P68B1DB1-Normal12"/>
              <w:spacing w:after="0" w:line="240" w:lineRule="auto"/>
              <w:rPr>
                <w:rFonts w:cs="Times New Roman"/>
                <w:noProof/>
              </w:rPr>
            </w:pPr>
            <w:r w:rsidRPr="00BC4EE7">
              <w:rPr>
                <w:rFonts w:cs="Times New Roman"/>
                <w:noProof/>
              </w:rPr>
              <w:t xml:space="preserve">Beruházási terv a mezőgazdaság és az állattenyésztés fenntarthatóságának és versenyképességének előmozdítására </w:t>
            </w:r>
          </w:p>
        </w:tc>
        <w:tc>
          <w:tcPr>
            <w:tcW w:w="1242" w:type="dxa"/>
            <w:shd w:val="clear" w:color="auto" w:fill="C6EFCE"/>
            <w:noWrap/>
          </w:tcPr>
          <w:p w14:paraId="7F2130F8" w14:textId="77777777" w:rsidR="00D65CB4" w:rsidRPr="00BC4EE7" w:rsidRDefault="00D65CB4">
            <w:pPr>
              <w:spacing w:after="0" w:line="240" w:lineRule="auto"/>
              <w:jc w:val="center"/>
              <w:rPr>
                <w:rFonts w:ascii="Times New Roman" w:eastAsia="MS Mincho" w:hAnsi="Times New Roman" w:cs="Times New Roman"/>
                <w:noProof/>
                <w:sz w:val="18"/>
              </w:rPr>
            </w:pPr>
          </w:p>
        </w:tc>
        <w:tc>
          <w:tcPr>
            <w:tcW w:w="828" w:type="dxa"/>
            <w:shd w:val="clear" w:color="auto" w:fill="C6EFCE"/>
            <w:noWrap/>
          </w:tcPr>
          <w:p w14:paraId="376090A2" w14:textId="30BACBD6" w:rsidR="00D65CB4" w:rsidRPr="00BC4EE7" w:rsidRDefault="00572307">
            <w:pPr>
              <w:pStyle w:val="P68B1DB1-Normal12"/>
              <w:spacing w:after="0" w:line="240" w:lineRule="auto"/>
              <w:jc w:val="right"/>
              <w:rPr>
                <w:rFonts w:cs="Times New Roman"/>
                <w:noProof/>
              </w:rPr>
            </w:pPr>
            <w:r w:rsidRPr="00BC4EE7">
              <w:rPr>
                <w:rFonts w:cs="Times New Roman"/>
                <w:noProof/>
              </w:rPr>
              <w:t xml:space="preserve"> Millió EUR</w:t>
            </w:r>
          </w:p>
        </w:tc>
        <w:tc>
          <w:tcPr>
            <w:tcW w:w="966" w:type="dxa"/>
            <w:shd w:val="clear" w:color="auto" w:fill="C6EFCE"/>
            <w:noWrap/>
          </w:tcPr>
          <w:p w14:paraId="0E99581E" w14:textId="092AB081" w:rsidR="00D65CB4" w:rsidRPr="00BC4EE7" w:rsidRDefault="00572307">
            <w:pPr>
              <w:pStyle w:val="P68B1DB1-Normal12"/>
              <w:spacing w:after="0" w:line="240" w:lineRule="auto"/>
              <w:jc w:val="right"/>
              <w:rPr>
                <w:rFonts w:cs="Times New Roman"/>
                <w:noProof/>
              </w:rPr>
            </w:pPr>
            <w:r w:rsidRPr="00BC4EE7">
              <w:rPr>
                <w:rFonts w:cs="Times New Roman"/>
                <w:noProof/>
              </w:rPr>
              <w:t>0</w:t>
            </w:r>
          </w:p>
        </w:tc>
        <w:tc>
          <w:tcPr>
            <w:tcW w:w="691" w:type="dxa"/>
            <w:shd w:val="clear" w:color="auto" w:fill="C6EFCE"/>
            <w:noWrap/>
          </w:tcPr>
          <w:p w14:paraId="2BD63265" w14:textId="45C1FD95" w:rsidR="00D65CB4" w:rsidRPr="00BC4EE7" w:rsidRDefault="00572307">
            <w:pPr>
              <w:pStyle w:val="P68B1DB1-Normal12"/>
              <w:spacing w:after="0" w:line="240" w:lineRule="auto"/>
              <w:jc w:val="right"/>
              <w:rPr>
                <w:rFonts w:cs="Times New Roman"/>
                <w:noProof/>
              </w:rPr>
            </w:pPr>
            <w:r w:rsidRPr="00BC4EE7">
              <w:rPr>
                <w:rFonts w:cs="Times New Roman"/>
                <w:noProof/>
              </w:rPr>
              <w:t>307</w:t>
            </w:r>
          </w:p>
        </w:tc>
        <w:tc>
          <w:tcPr>
            <w:tcW w:w="415" w:type="dxa"/>
            <w:shd w:val="clear" w:color="auto" w:fill="C6EFCE"/>
            <w:noWrap/>
          </w:tcPr>
          <w:p w14:paraId="535808B5" w14:textId="3E2A2A3A"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553" w:type="dxa"/>
            <w:shd w:val="clear" w:color="auto" w:fill="C6EFCE"/>
            <w:noWrap/>
          </w:tcPr>
          <w:p w14:paraId="7352F48C" w14:textId="72A2B887" w:rsidR="00D65CB4" w:rsidRPr="00BC4EE7" w:rsidRDefault="00572307">
            <w:pPr>
              <w:pStyle w:val="P68B1DB1-Normal12"/>
              <w:spacing w:after="0" w:line="240" w:lineRule="auto"/>
              <w:jc w:val="center"/>
              <w:rPr>
                <w:rFonts w:cs="Times New Roman"/>
                <w:noProof/>
              </w:rPr>
            </w:pPr>
            <w:r w:rsidRPr="00BC4EE7">
              <w:rPr>
                <w:rFonts w:cs="Times New Roman"/>
                <w:noProof/>
              </w:rPr>
              <w:t>2022</w:t>
            </w:r>
          </w:p>
        </w:tc>
        <w:tc>
          <w:tcPr>
            <w:tcW w:w="5236" w:type="dxa"/>
            <w:shd w:val="clear" w:color="auto" w:fill="C6EFCE"/>
            <w:noWrap/>
          </w:tcPr>
          <w:p w14:paraId="507C952C" w14:textId="678DFB7E" w:rsidR="00D65CB4" w:rsidRPr="00BC4EE7" w:rsidRDefault="00572307">
            <w:pPr>
              <w:pStyle w:val="P68B1DB1-Normal12"/>
              <w:spacing w:after="0" w:line="240" w:lineRule="auto"/>
              <w:rPr>
                <w:rFonts w:cs="Times New Roman"/>
                <w:noProof/>
              </w:rPr>
            </w:pPr>
            <w:r w:rsidRPr="00BC4EE7">
              <w:rPr>
                <w:rFonts w:cs="Times New Roman"/>
                <w:noProof/>
              </w:rPr>
              <w:t xml:space="preserve">A precíziós mezőgazdaságban, az energiahatékonyságban és a körforgásos gazdaságban a mezőgazdaság és az állattenyésztési tevékenységek fenntarthatóságának és versenyképességének előmozdítását célzó beruházási terv lezárása (307 000 000 EUR költségvetés végrehajtása). A szabályozási alapok meghatározzák, hogy kik a kedvezményezettek, milyen követelményeket kell teljesíteniük, milyen típusú támogatható beruházásokról van szó: precíziós mezőgazdaság, energiahatékonyság, körforgásos gazdaság és megújuló energiák használata. </w:t>
            </w:r>
          </w:p>
        </w:tc>
      </w:tr>
      <w:tr w:rsidR="00D65CB4" w:rsidRPr="00BC4EE7" w14:paraId="0CBF72EE" w14:textId="77777777" w:rsidTr="002F5BA1">
        <w:trPr>
          <w:trHeight w:val="309"/>
        </w:trPr>
        <w:tc>
          <w:tcPr>
            <w:tcW w:w="832" w:type="dxa"/>
            <w:shd w:val="clear" w:color="auto" w:fill="C6EFCE"/>
            <w:noWrap/>
          </w:tcPr>
          <w:p w14:paraId="68861898" w14:textId="2AFA8B58"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52</w:t>
            </w:r>
          </w:p>
        </w:tc>
        <w:tc>
          <w:tcPr>
            <w:tcW w:w="1012" w:type="dxa"/>
            <w:shd w:val="clear" w:color="auto" w:fill="C6EFCE"/>
            <w:noWrap/>
          </w:tcPr>
          <w:p w14:paraId="0380C3E0" w14:textId="3A9B5DE9"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C3.I4</w:t>
            </w:r>
          </w:p>
        </w:tc>
        <w:tc>
          <w:tcPr>
            <w:tcW w:w="1134" w:type="dxa"/>
            <w:shd w:val="clear" w:color="auto" w:fill="C6EFCE"/>
            <w:noWrap/>
          </w:tcPr>
          <w:p w14:paraId="72102FF3"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T</w:t>
            </w:r>
          </w:p>
        </w:tc>
        <w:tc>
          <w:tcPr>
            <w:tcW w:w="2543" w:type="dxa"/>
            <w:shd w:val="clear" w:color="auto" w:fill="C6EFCE"/>
            <w:noWrap/>
          </w:tcPr>
          <w:p w14:paraId="658F795B" w14:textId="67E5E718" w:rsidR="00D65CB4" w:rsidRPr="00BC4EE7" w:rsidRDefault="00572307">
            <w:pPr>
              <w:pStyle w:val="P68B1DB1-Normal12"/>
              <w:spacing w:after="0" w:line="240" w:lineRule="auto"/>
              <w:rPr>
                <w:rFonts w:eastAsia="MS Mincho" w:cs="Times New Roman"/>
                <w:noProof/>
              </w:rPr>
            </w:pPr>
            <w:r w:rsidRPr="00BC4EE7">
              <w:rPr>
                <w:rFonts w:cs="Times New Roman"/>
                <w:noProof/>
              </w:rPr>
              <w:t xml:space="preserve">A precíziós mezőgazdasággal, az energiahatékonysággal, a körforgásos gazdasággal és a megújuló energia használatával kapcsolatos befejezett projektek  </w:t>
            </w:r>
          </w:p>
        </w:tc>
        <w:tc>
          <w:tcPr>
            <w:tcW w:w="1242" w:type="dxa"/>
            <w:shd w:val="clear" w:color="auto" w:fill="C6EFCE"/>
            <w:noWrap/>
          </w:tcPr>
          <w:p w14:paraId="6BB9E253" w14:textId="77777777" w:rsidR="00D65CB4" w:rsidRPr="00BC4EE7" w:rsidRDefault="00D65CB4">
            <w:pPr>
              <w:spacing w:after="0" w:line="240" w:lineRule="auto"/>
              <w:jc w:val="center"/>
              <w:rPr>
                <w:rFonts w:ascii="Times New Roman" w:eastAsia="MS Mincho" w:hAnsi="Times New Roman" w:cs="Times New Roman"/>
                <w:noProof/>
                <w:sz w:val="18"/>
              </w:rPr>
            </w:pPr>
          </w:p>
        </w:tc>
        <w:tc>
          <w:tcPr>
            <w:tcW w:w="828" w:type="dxa"/>
            <w:shd w:val="clear" w:color="auto" w:fill="C6EFCE"/>
            <w:noWrap/>
          </w:tcPr>
          <w:p w14:paraId="708A672B"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Szám</w:t>
            </w:r>
          </w:p>
        </w:tc>
        <w:tc>
          <w:tcPr>
            <w:tcW w:w="966" w:type="dxa"/>
            <w:shd w:val="clear" w:color="auto" w:fill="C6EFCE"/>
            <w:noWrap/>
          </w:tcPr>
          <w:p w14:paraId="6A355B75"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0</w:t>
            </w:r>
          </w:p>
        </w:tc>
        <w:tc>
          <w:tcPr>
            <w:tcW w:w="691" w:type="dxa"/>
            <w:shd w:val="clear" w:color="auto" w:fill="C6EFCE"/>
            <w:noWrap/>
          </w:tcPr>
          <w:p w14:paraId="5952E2BA" w14:textId="6F1ECA1F"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5 000</w:t>
            </w:r>
          </w:p>
        </w:tc>
        <w:tc>
          <w:tcPr>
            <w:tcW w:w="415" w:type="dxa"/>
            <w:shd w:val="clear" w:color="auto" w:fill="C6EFCE"/>
            <w:noWrap/>
          </w:tcPr>
          <w:p w14:paraId="59EDD68F" w14:textId="3E34BEE9"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Q2</w:t>
            </w:r>
          </w:p>
        </w:tc>
        <w:tc>
          <w:tcPr>
            <w:tcW w:w="553" w:type="dxa"/>
            <w:shd w:val="clear" w:color="auto" w:fill="C6EFCE"/>
            <w:noWrap/>
          </w:tcPr>
          <w:p w14:paraId="1F5307AE" w14:textId="1BBF6E8A"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2026</w:t>
            </w:r>
          </w:p>
        </w:tc>
        <w:tc>
          <w:tcPr>
            <w:tcW w:w="5236" w:type="dxa"/>
            <w:shd w:val="clear" w:color="auto" w:fill="C6EFCE"/>
            <w:noWrap/>
          </w:tcPr>
          <w:p w14:paraId="6BEEF825" w14:textId="1EE7F6E6" w:rsidR="00D65CB4" w:rsidRPr="00BC4EE7" w:rsidRDefault="00572307">
            <w:pPr>
              <w:pStyle w:val="P68B1DB1-Normal12"/>
              <w:spacing w:after="0" w:line="240" w:lineRule="auto"/>
              <w:rPr>
                <w:rFonts w:eastAsia="MS Mincho" w:cs="Times New Roman"/>
                <w:noProof/>
              </w:rPr>
            </w:pPr>
            <w:r w:rsidRPr="00BC4EE7">
              <w:rPr>
                <w:rFonts w:cs="Times New Roman"/>
                <w:noProof/>
              </w:rPr>
              <w:t xml:space="preserve">Legalább 5000 olyan mezőgazdasági üzem, amely a precíziós mezőgazdasággal, az energiahatékonysággal, a körforgásos gazdasággal és a megújuló energia használatával kapcsolatos projekteket hajtott végre. A precíziós mezőgazdaság magában foglalja a földrajzi helymeghatározást és a műholdas navigációs rendszereket (GNSS), az érzékelőkön keresztül történő valós idejű adatgyűjtést, valamint a műholdas és légi felvételeket, valamint a földrajzi információs rendszereket (GIS), a feltérképezést, a kommunikációt és a konnektivitást; az energiahatékonyság magában foglalja az épületek (raktárak és kisegítő épületek) kondicionálását és szigetelését, valamint az olyan rendszereket, amelyek optimalizálják az üvegházhatású gázok éghajlat-ellenőrzését, valamint a mezőgazdasági üzemek és állattartó gazdaságok energia- és hőfogyasztását; a körforgásos gazdaság magában foglalja a mezőgazdasági maradványok és az állati melléktermékek felhasználására és visszanyerésére szolgáló struktúrákat, amelyek javítják azok kezelését és későbbi felhasználását, valamint a megújuló energia felhasználása magában foglalja a több megújuló forrásból származó energiatermelő infrastruktúrák telepítését a villamosenergia- és hőenergiaigények támogatása érdekében.  </w:t>
            </w:r>
          </w:p>
        </w:tc>
      </w:tr>
      <w:tr w:rsidR="00D65CB4" w:rsidRPr="00BC4EE7" w14:paraId="533FA9DB" w14:textId="77777777" w:rsidTr="002F5BA1">
        <w:trPr>
          <w:trHeight w:val="309"/>
        </w:trPr>
        <w:tc>
          <w:tcPr>
            <w:tcW w:w="832" w:type="dxa"/>
            <w:shd w:val="clear" w:color="auto" w:fill="C6EFCE"/>
            <w:noWrap/>
          </w:tcPr>
          <w:p w14:paraId="3CBA40D0" w14:textId="0EB4B704"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53</w:t>
            </w:r>
          </w:p>
        </w:tc>
        <w:tc>
          <w:tcPr>
            <w:tcW w:w="1012" w:type="dxa"/>
            <w:shd w:val="clear" w:color="auto" w:fill="C6EFCE"/>
            <w:noWrap/>
          </w:tcPr>
          <w:p w14:paraId="5071D00F" w14:textId="6837A809"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C3.I5</w:t>
            </w:r>
          </w:p>
        </w:tc>
        <w:tc>
          <w:tcPr>
            <w:tcW w:w="1134" w:type="dxa"/>
            <w:shd w:val="clear" w:color="auto" w:fill="C6EFCE"/>
            <w:noWrap/>
          </w:tcPr>
          <w:p w14:paraId="1ACBF373"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T</w:t>
            </w:r>
          </w:p>
        </w:tc>
        <w:tc>
          <w:tcPr>
            <w:tcW w:w="2543" w:type="dxa"/>
            <w:shd w:val="clear" w:color="auto" w:fill="C6EFCE"/>
            <w:noWrap/>
          </w:tcPr>
          <w:p w14:paraId="6F1617C3" w14:textId="4178FFFF" w:rsidR="00D65CB4" w:rsidRPr="00BC4EE7" w:rsidRDefault="00572307">
            <w:pPr>
              <w:pStyle w:val="P68B1DB1-Normal12"/>
              <w:spacing w:after="0" w:line="240" w:lineRule="auto"/>
              <w:rPr>
                <w:rFonts w:eastAsia="MS Mincho" w:cs="Times New Roman"/>
                <w:noProof/>
              </w:rPr>
            </w:pPr>
            <w:r w:rsidRPr="00BC4EE7">
              <w:rPr>
                <w:rFonts w:cs="Times New Roman"/>
                <w:noProof/>
              </w:rPr>
              <w:t>A Mezőgazdasági, Halászati és Élelmiszerügyi Minisztérium (MAPA) és az ENISA közötti szerződéses megállapodások aláírása</w:t>
            </w:r>
          </w:p>
        </w:tc>
        <w:tc>
          <w:tcPr>
            <w:tcW w:w="1242" w:type="dxa"/>
            <w:shd w:val="clear" w:color="auto" w:fill="C6EFCE"/>
            <w:noWrap/>
          </w:tcPr>
          <w:p w14:paraId="23DE523C" w14:textId="77777777" w:rsidR="00D65CB4" w:rsidRPr="00BC4EE7" w:rsidRDefault="00D65CB4">
            <w:pPr>
              <w:spacing w:after="0" w:line="240" w:lineRule="auto"/>
              <w:jc w:val="center"/>
              <w:rPr>
                <w:rFonts w:ascii="Times New Roman" w:eastAsia="MS Mincho" w:hAnsi="Times New Roman" w:cs="Times New Roman"/>
                <w:noProof/>
                <w:sz w:val="18"/>
              </w:rPr>
            </w:pPr>
          </w:p>
        </w:tc>
        <w:tc>
          <w:tcPr>
            <w:tcW w:w="828" w:type="dxa"/>
            <w:shd w:val="clear" w:color="auto" w:fill="C6EFCE"/>
            <w:noWrap/>
          </w:tcPr>
          <w:p w14:paraId="59274C5F"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Millió EUR</w:t>
            </w:r>
          </w:p>
        </w:tc>
        <w:tc>
          <w:tcPr>
            <w:tcW w:w="966" w:type="dxa"/>
            <w:shd w:val="clear" w:color="auto" w:fill="C6EFCE"/>
            <w:noWrap/>
          </w:tcPr>
          <w:p w14:paraId="579F9DF6"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0</w:t>
            </w:r>
          </w:p>
        </w:tc>
        <w:tc>
          <w:tcPr>
            <w:tcW w:w="691" w:type="dxa"/>
            <w:shd w:val="clear" w:color="auto" w:fill="C6EFCE"/>
            <w:noWrap/>
          </w:tcPr>
          <w:p w14:paraId="28853779" w14:textId="47B3CC6F"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30</w:t>
            </w:r>
          </w:p>
        </w:tc>
        <w:tc>
          <w:tcPr>
            <w:tcW w:w="415" w:type="dxa"/>
            <w:shd w:val="clear" w:color="auto" w:fill="C6EFCE"/>
            <w:noWrap/>
          </w:tcPr>
          <w:p w14:paraId="147ED631"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Q2</w:t>
            </w:r>
          </w:p>
        </w:tc>
        <w:tc>
          <w:tcPr>
            <w:tcW w:w="553" w:type="dxa"/>
            <w:shd w:val="clear" w:color="auto" w:fill="C6EFCE"/>
            <w:noWrap/>
          </w:tcPr>
          <w:p w14:paraId="0FF5363C" w14:textId="6A918136"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2023</w:t>
            </w:r>
          </w:p>
        </w:tc>
        <w:tc>
          <w:tcPr>
            <w:tcW w:w="5236" w:type="dxa"/>
            <w:shd w:val="clear" w:color="auto" w:fill="C6EFCE"/>
            <w:noWrap/>
          </w:tcPr>
          <w:p w14:paraId="613339AC" w14:textId="686AC89A" w:rsidR="00D65CB4" w:rsidRPr="00BC4EE7" w:rsidRDefault="00572307">
            <w:pPr>
              <w:pStyle w:val="P68B1DB1-Normal12"/>
              <w:spacing w:after="0" w:line="240" w:lineRule="auto"/>
              <w:rPr>
                <w:rFonts w:eastAsia="MS Mincho" w:cs="Times New Roman"/>
                <w:noProof/>
              </w:rPr>
            </w:pPr>
            <w:r w:rsidRPr="00BC4EE7">
              <w:rPr>
                <w:rFonts w:cs="Times New Roman"/>
                <w:noProof/>
              </w:rPr>
              <w:t xml:space="preserve">Három (évente egy) szerződéses megállapodás aláírása a Mezőgazdasági, Halászati és Élelmiszerügyi Minisztérium (MAPA) és az ENISA között az agrár-élelmiszeripari kkv-k digitális átalakulásának támogatása érdekében a spanyol agrár-élelmiszeripari ágazatban az innovatív vagy technológiaalapú vállalkozások támogatására (a költségvetés végrehajtása: 30 000 000 EUR; Évi 10 000 000 EUR). A Mezőgazdasági, Halászati és Élelmiszerügyi Minisztérium és az ENISA közötti együttműködési megállapodásokban meg kell határozni a technológiaalapú vállalkozói irányvonal feltételeit az innovatív és digitális üzleti projekteket bemutató agrár-élelmiszeripari ágazatban működő kkv-k támogatása érdekében, részvételen alapuló hitelek nyújtása, a beruházási politika és a támogathatósági kritériumok révén. A fent említett megállapodásoknak tartalmazniuk kell egy olyan záradékot, amely fenntarthatósági vizsgálat, kizárási lista, valamint a vonatkozó uniós és nemzeti környezetvédelmi jogszabályoknak való megfelelés követelménye révén garantálja, hogy az e finanszírozással végrehajtott beruházások megfeleljenek a jelentős károkozás elkerülését célzó technikai iránymutatásnak (2021/C58/01). E beruházás célja, hogy megfeleljen az agrár-élelmiszeripari ágazat és a vidéki környezet digitalizálására irányuló spanyol stratégia és cselekvési tervei több célkitűzésének. </w:t>
            </w:r>
          </w:p>
        </w:tc>
      </w:tr>
      <w:tr w:rsidR="00D65CB4" w:rsidRPr="00BC4EE7" w14:paraId="047BADB5" w14:textId="77777777" w:rsidTr="002F5BA1">
        <w:trPr>
          <w:trHeight w:val="309"/>
        </w:trPr>
        <w:tc>
          <w:tcPr>
            <w:tcW w:w="832" w:type="dxa"/>
            <w:shd w:val="clear" w:color="auto" w:fill="C6EFCE"/>
            <w:noWrap/>
          </w:tcPr>
          <w:p w14:paraId="00B008B9" w14:textId="569189EE"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54</w:t>
            </w:r>
          </w:p>
        </w:tc>
        <w:tc>
          <w:tcPr>
            <w:tcW w:w="1012" w:type="dxa"/>
            <w:shd w:val="clear" w:color="auto" w:fill="C6EFCE"/>
            <w:noWrap/>
          </w:tcPr>
          <w:p w14:paraId="58544615" w14:textId="53D8FCB1"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C3.I5</w:t>
            </w:r>
          </w:p>
        </w:tc>
        <w:tc>
          <w:tcPr>
            <w:tcW w:w="1134" w:type="dxa"/>
            <w:shd w:val="clear" w:color="auto" w:fill="C6EFCE"/>
            <w:noWrap/>
          </w:tcPr>
          <w:p w14:paraId="439DB716"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T</w:t>
            </w:r>
          </w:p>
        </w:tc>
        <w:tc>
          <w:tcPr>
            <w:tcW w:w="2543" w:type="dxa"/>
            <w:shd w:val="clear" w:color="auto" w:fill="C6EFCE"/>
            <w:noWrap/>
          </w:tcPr>
          <w:p w14:paraId="79AF0533" w14:textId="23580548" w:rsidR="00D65CB4" w:rsidRPr="00BC4EE7" w:rsidRDefault="00572307">
            <w:pPr>
              <w:pStyle w:val="P68B1DB1-Normal12"/>
              <w:spacing w:after="0" w:line="240" w:lineRule="auto"/>
              <w:rPr>
                <w:rFonts w:eastAsia="MS Mincho" w:cs="Times New Roman"/>
                <w:noProof/>
              </w:rPr>
            </w:pPr>
            <w:r w:rsidRPr="00BC4EE7">
              <w:rPr>
                <w:rFonts w:cs="Times New Roman"/>
                <w:noProof/>
              </w:rPr>
              <w:t>Innovatív és digitális üzleti projektek végrehajtásához támogatott agrár-élelmiszeripari kkv-k</w:t>
            </w:r>
          </w:p>
        </w:tc>
        <w:tc>
          <w:tcPr>
            <w:tcW w:w="1242" w:type="dxa"/>
            <w:shd w:val="clear" w:color="auto" w:fill="C6EFCE"/>
            <w:noWrap/>
          </w:tcPr>
          <w:p w14:paraId="52E56223" w14:textId="77777777" w:rsidR="00D65CB4" w:rsidRPr="00BC4EE7" w:rsidRDefault="00D65CB4">
            <w:pPr>
              <w:spacing w:after="0" w:line="240" w:lineRule="auto"/>
              <w:jc w:val="center"/>
              <w:rPr>
                <w:rFonts w:ascii="Times New Roman" w:eastAsia="MS Mincho" w:hAnsi="Times New Roman" w:cs="Times New Roman"/>
                <w:noProof/>
                <w:sz w:val="18"/>
              </w:rPr>
            </w:pPr>
          </w:p>
        </w:tc>
        <w:tc>
          <w:tcPr>
            <w:tcW w:w="828" w:type="dxa"/>
            <w:shd w:val="clear" w:color="auto" w:fill="C6EFCE"/>
            <w:noWrap/>
          </w:tcPr>
          <w:p w14:paraId="4EE654F7"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Szám</w:t>
            </w:r>
          </w:p>
        </w:tc>
        <w:tc>
          <w:tcPr>
            <w:tcW w:w="966" w:type="dxa"/>
            <w:shd w:val="clear" w:color="auto" w:fill="C6EFCE"/>
            <w:noWrap/>
          </w:tcPr>
          <w:p w14:paraId="0146225B"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0</w:t>
            </w:r>
          </w:p>
        </w:tc>
        <w:tc>
          <w:tcPr>
            <w:tcW w:w="691" w:type="dxa"/>
            <w:shd w:val="clear" w:color="auto" w:fill="C6EFCE"/>
            <w:noWrap/>
          </w:tcPr>
          <w:p w14:paraId="02012C1B" w14:textId="42911D1D"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60</w:t>
            </w:r>
          </w:p>
        </w:tc>
        <w:tc>
          <w:tcPr>
            <w:tcW w:w="415" w:type="dxa"/>
            <w:shd w:val="clear" w:color="auto" w:fill="C6EFCE"/>
            <w:noWrap/>
          </w:tcPr>
          <w:p w14:paraId="62ACD4F7" w14:textId="07D9FB25"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Q4</w:t>
            </w:r>
          </w:p>
        </w:tc>
        <w:tc>
          <w:tcPr>
            <w:tcW w:w="553" w:type="dxa"/>
            <w:shd w:val="clear" w:color="auto" w:fill="C6EFCE"/>
            <w:noWrap/>
          </w:tcPr>
          <w:p w14:paraId="1125D523" w14:textId="038241A9"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2023</w:t>
            </w:r>
          </w:p>
        </w:tc>
        <w:tc>
          <w:tcPr>
            <w:tcW w:w="5236" w:type="dxa"/>
            <w:shd w:val="clear" w:color="auto" w:fill="C6EFCE"/>
            <w:noWrap/>
          </w:tcPr>
          <w:p w14:paraId="76E2AC45" w14:textId="0538E9CD" w:rsidR="00D65CB4" w:rsidRPr="00BC4EE7" w:rsidRDefault="00572307">
            <w:pPr>
              <w:spacing w:after="0" w:line="240" w:lineRule="auto"/>
              <w:rPr>
                <w:rFonts w:ascii="Times New Roman" w:eastAsia="MS Mincho" w:hAnsi="Times New Roman" w:cs="Times New Roman"/>
                <w:noProof/>
                <w:sz w:val="18"/>
              </w:rPr>
            </w:pPr>
            <w:r w:rsidRPr="00BC4EE7">
              <w:rPr>
                <w:rFonts w:ascii="Times New Roman" w:hAnsi="Times New Roman" w:cs="Times New Roman"/>
                <w:noProof/>
                <w:sz w:val="18"/>
              </w:rPr>
              <w:t>Legalább 60 agrár-élelmiszeripari kkv kapott hiteleket innovatív és digitális üzleti projektek végrehajtására.  E támogatási sor célja, hogy részvételen alapuló kölcsönöket nyújtson a vállalkozások arra való ösztönzése érdekében, hogy életképes és innovatív projekteket dolgozzanak ki az elektronikus kereskedelemhez és az Ipar 4.0 konszolidációjához kapcsolódóan, többek között az élelmiszeripar digitális üzleti modelljeiben bekövetkező változások számos egyéb mozgatórugója mellett.</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A fenntarthatósági vizsgálat, a kizárási lista, valamint a vonatkozó uniós és nemzeti környezetvédelmi jogszabályoknak való megfelelés követelménye révén többek között kiválasztási kritériumok révén garantálni kell, hogy az e kkv-k által e hitelekkel végrehajtott beruházások keretében végrehajtott ügyletek megfeleljenek az ezen intézkedés keretében támogatott ügyletek jelentős károkozás elkerülését célzó technikai iránymutatásnak (2021/C58/01). </w:t>
            </w:r>
          </w:p>
        </w:tc>
      </w:tr>
      <w:tr w:rsidR="00D65CB4" w:rsidRPr="00BC4EE7" w14:paraId="022F94A2" w14:textId="77777777" w:rsidTr="002F5BA1">
        <w:trPr>
          <w:trHeight w:val="309"/>
        </w:trPr>
        <w:tc>
          <w:tcPr>
            <w:tcW w:w="832" w:type="dxa"/>
            <w:shd w:val="clear" w:color="auto" w:fill="C6EFCE"/>
            <w:noWrap/>
          </w:tcPr>
          <w:p w14:paraId="3F6FB1E0" w14:textId="629B1448"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55</w:t>
            </w:r>
          </w:p>
        </w:tc>
        <w:tc>
          <w:tcPr>
            <w:tcW w:w="1012" w:type="dxa"/>
            <w:shd w:val="clear" w:color="auto" w:fill="C6EFCE"/>
            <w:noWrap/>
          </w:tcPr>
          <w:p w14:paraId="4F7497D4" w14:textId="4C6A9D53"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C3.I6</w:t>
            </w:r>
          </w:p>
        </w:tc>
        <w:tc>
          <w:tcPr>
            <w:tcW w:w="1134" w:type="dxa"/>
            <w:shd w:val="clear" w:color="auto" w:fill="C6EFCE"/>
            <w:noWrap/>
          </w:tcPr>
          <w:p w14:paraId="1BEE1494" w14:textId="0B443E0E"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M</w:t>
            </w:r>
          </w:p>
        </w:tc>
        <w:tc>
          <w:tcPr>
            <w:tcW w:w="2543" w:type="dxa"/>
            <w:shd w:val="clear" w:color="auto" w:fill="C6EFCE"/>
            <w:noWrap/>
          </w:tcPr>
          <w:p w14:paraId="095A004D" w14:textId="1E4D6E2D" w:rsidR="00D65CB4" w:rsidRPr="00BC4EE7" w:rsidRDefault="00572307">
            <w:pPr>
              <w:pStyle w:val="P68B1DB1-Normal12"/>
              <w:spacing w:after="0" w:line="240" w:lineRule="auto"/>
              <w:rPr>
                <w:rFonts w:eastAsia="MS Mincho" w:cs="Times New Roman"/>
                <w:noProof/>
              </w:rPr>
            </w:pPr>
            <w:r w:rsidRPr="00BC4EE7">
              <w:rPr>
                <w:rFonts w:cs="Times New Roman"/>
                <w:noProof/>
              </w:rPr>
              <w:t>IKT-berendezések beszerzése a halászati érdekeltségű tengeri tartalékok számára, valamint a tengeri tartalékok céljára szolgáló különleges célú hajók beszerzésére vonatkozó szerződések</w:t>
            </w:r>
          </w:p>
        </w:tc>
        <w:tc>
          <w:tcPr>
            <w:tcW w:w="1242" w:type="dxa"/>
            <w:shd w:val="clear" w:color="auto" w:fill="C6EFCE"/>
            <w:noWrap/>
          </w:tcPr>
          <w:p w14:paraId="07547A01" w14:textId="1B887A68"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 xml:space="preserve">A szerződés odaítélésének közzététele a közbeszerzési platformon </w:t>
            </w:r>
          </w:p>
        </w:tc>
        <w:tc>
          <w:tcPr>
            <w:tcW w:w="828" w:type="dxa"/>
            <w:shd w:val="clear" w:color="auto" w:fill="C6EFCE"/>
            <w:noWrap/>
          </w:tcPr>
          <w:p w14:paraId="324D7EF8" w14:textId="12386D6E"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966" w:type="dxa"/>
            <w:shd w:val="clear" w:color="auto" w:fill="C6EFCE"/>
            <w:noWrap/>
          </w:tcPr>
          <w:p w14:paraId="4207ADCD" w14:textId="14279A79"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691" w:type="dxa"/>
            <w:shd w:val="clear" w:color="auto" w:fill="C6EFCE"/>
            <w:noWrap/>
          </w:tcPr>
          <w:p w14:paraId="60DA3216" w14:textId="0139C229"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415" w:type="dxa"/>
            <w:shd w:val="clear" w:color="auto" w:fill="C6EFCE"/>
            <w:noWrap/>
          </w:tcPr>
          <w:p w14:paraId="49F6EBCF" w14:textId="15C7B5FD"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Q4</w:t>
            </w:r>
          </w:p>
        </w:tc>
        <w:tc>
          <w:tcPr>
            <w:tcW w:w="553" w:type="dxa"/>
            <w:shd w:val="clear" w:color="auto" w:fill="C6EFCE"/>
            <w:noWrap/>
          </w:tcPr>
          <w:p w14:paraId="000E632F" w14:textId="17E29F0E"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2022</w:t>
            </w:r>
          </w:p>
        </w:tc>
        <w:tc>
          <w:tcPr>
            <w:tcW w:w="5236" w:type="dxa"/>
            <w:shd w:val="clear" w:color="auto" w:fill="C6EFCE"/>
            <w:noWrap/>
          </w:tcPr>
          <w:p w14:paraId="6FFE1FB1" w14:textId="22E16B15" w:rsidR="00D65CB4" w:rsidRPr="00BC4EE7" w:rsidRDefault="00572307">
            <w:pPr>
              <w:pStyle w:val="P68B1DB1-Normal12"/>
              <w:spacing w:after="0" w:line="240" w:lineRule="auto"/>
              <w:rPr>
                <w:rFonts w:eastAsia="MS Mincho" w:cs="Times New Roman"/>
                <w:noProof/>
              </w:rPr>
            </w:pPr>
            <w:r w:rsidRPr="00BC4EE7">
              <w:rPr>
                <w:rFonts w:cs="Times New Roman"/>
                <w:noProof/>
              </w:rPr>
              <w:t xml:space="preserve">A halászati érdekű tengeri tartalékokhoz szükséges IKT-berendezések beszerzéséről, valamint két, a tengeri tartalékok céljára szolgáló különleges célú hajó beszerzéséről szóló szerződésnek a közbeszerzési platformon való közzététele. A tengeri tartalékokkal kapcsolatos IKT-berendezések a következőkből állnak: i. Alborán Lighthouse radar rádió-összeköttetés a félszigettel, és ii. megfelelő teljesítményű drónok beszerzése, amelyek lehetővé teszik az ellenőrzési és nyomonkövetési tevékenységeket, optimalizálják a meglévő eszközöket, és csökkentik a környezeti hatásokat is. A tengeri tartalékok céljára szolgáló különleges célú hajók vásárlásakor a jelentős károkozás elkerülését célzó technikai iránymutatásnak (2021/C58/01) való megfelelést lehetővé tevő legjobb technológiát kell keresni. </w:t>
            </w:r>
          </w:p>
        </w:tc>
      </w:tr>
      <w:tr w:rsidR="00D65CB4" w:rsidRPr="00BC4EE7" w14:paraId="38D9B000" w14:textId="77777777" w:rsidTr="002F5BA1">
        <w:trPr>
          <w:trHeight w:val="309"/>
        </w:trPr>
        <w:tc>
          <w:tcPr>
            <w:tcW w:w="832" w:type="dxa"/>
            <w:shd w:val="clear" w:color="auto" w:fill="C6EFCE"/>
            <w:noWrap/>
          </w:tcPr>
          <w:p w14:paraId="0868EBB2" w14:textId="222429D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56</w:t>
            </w:r>
          </w:p>
        </w:tc>
        <w:tc>
          <w:tcPr>
            <w:tcW w:w="1012" w:type="dxa"/>
            <w:shd w:val="clear" w:color="auto" w:fill="C6EFCE"/>
            <w:noWrap/>
          </w:tcPr>
          <w:p w14:paraId="36FEFEFA" w14:textId="3D673125"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C3.I7</w:t>
            </w:r>
          </w:p>
        </w:tc>
        <w:tc>
          <w:tcPr>
            <w:tcW w:w="1134" w:type="dxa"/>
            <w:shd w:val="clear" w:color="auto" w:fill="C6EFCE"/>
            <w:noWrap/>
          </w:tcPr>
          <w:p w14:paraId="5EE5B567" w14:textId="20A8FDD0"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M</w:t>
            </w:r>
          </w:p>
        </w:tc>
        <w:tc>
          <w:tcPr>
            <w:tcW w:w="2543" w:type="dxa"/>
            <w:shd w:val="clear" w:color="auto" w:fill="C6EFCE"/>
            <w:noWrap/>
          </w:tcPr>
          <w:p w14:paraId="02876A43" w14:textId="2972E394" w:rsidR="00D65CB4" w:rsidRPr="00BC4EE7" w:rsidRDefault="00572307">
            <w:pPr>
              <w:pStyle w:val="P68B1DB1-Normal12"/>
              <w:spacing w:after="0" w:line="240" w:lineRule="auto"/>
              <w:rPr>
                <w:rFonts w:eastAsia="MS Mincho" w:cs="Times New Roman"/>
                <w:noProof/>
              </w:rPr>
            </w:pPr>
            <w:r w:rsidRPr="00BC4EE7">
              <w:rPr>
                <w:rFonts w:cs="Times New Roman"/>
                <w:noProof/>
              </w:rPr>
              <w:t>Megállapodások az állami kutatási szervekkel</w:t>
            </w:r>
          </w:p>
        </w:tc>
        <w:tc>
          <w:tcPr>
            <w:tcW w:w="1242" w:type="dxa"/>
            <w:shd w:val="clear" w:color="auto" w:fill="C6EFCE"/>
            <w:noWrap/>
          </w:tcPr>
          <w:p w14:paraId="5043CB0F" w14:textId="37917C5C"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Megállapodások aláírása az állami kutatási szervekkel</w:t>
            </w:r>
          </w:p>
        </w:tc>
        <w:tc>
          <w:tcPr>
            <w:tcW w:w="828" w:type="dxa"/>
            <w:shd w:val="clear" w:color="auto" w:fill="C6EFCE"/>
            <w:noWrap/>
          </w:tcPr>
          <w:p w14:paraId="11027AA7" w14:textId="71EDFADA"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966" w:type="dxa"/>
            <w:shd w:val="clear" w:color="auto" w:fill="C6EFCE"/>
            <w:noWrap/>
          </w:tcPr>
          <w:p w14:paraId="5D64A453" w14:textId="6A13CB52"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691" w:type="dxa"/>
            <w:shd w:val="clear" w:color="auto" w:fill="C6EFCE"/>
            <w:noWrap/>
          </w:tcPr>
          <w:p w14:paraId="174B1212" w14:textId="0A8BA489"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415" w:type="dxa"/>
            <w:shd w:val="clear" w:color="auto" w:fill="C6EFCE"/>
            <w:noWrap/>
          </w:tcPr>
          <w:p w14:paraId="5585A9C2"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Q4</w:t>
            </w:r>
          </w:p>
        </w:tc>
        <w:tc>
          <w:tcPr>
            <w:tcW w:w="553" w:type="dxa"/>
            <w:shd w:val="clear" w:color="auto" w:fill="C6EFCE"/>
            <w:noWrap/>
          </w:tcPr>
          <w:p w14:paraId="0B50C5A4" w14:textId="19AA6B8A"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2021</w:t>
            </w:r>
          </w:p>
        </w:tc>
        <w:tc>
          <w:tcPr>
            <w:tcW w:w="5236" w:type="dxa"/>
            <w:shd w:val="clear" w:color="auto" w:fill="C6EFCE"/>
            <w:noWrap/>
          </w:tcPr>
          <w:p w14:paraId="616FEBE4" w14:textId="37D92DF3" w:rsidR="00D65CB4" w:rsidRPr="00BC4EE7" w:rsidRDefault="00572307">
            <w:pPr>
              <w:pStyle w:val="P68B1DB1-Normal12"/>
              <w:spacing w:after="0" w:line="240" w:lineRule="auto"/>
              <w:rPr>
                <w:rFonts w:eastAsia="MS Mincho" w:cs="Times New Roman"/>
                <w:noProof/>
              </w:rPr>
            </w:pPr>
            <w:r w:rsidRPr="00BC4EE7">
              <w:rPr>
                <w:rFonts w:cs="Times New Roman"/>
                <w:noProof/>
              </w:rPr>
              <w:t xml:space="preserve">Megállapodások aláírása az állami kutatási szervekkel a halászati és akvakultúra-kutatás előmozdítása érdekében, biztosítva a halászati gazdálkodással kapcsolatos döntéshozatal ökoszisztéma-alapú megközelítését  </w:t>
            </w:r>
          </w:p>
        </w:tc>
      </w:tr>
      <w:tr w:rsidR="00D65CB4" w:rsidRPr="00BC4EE7" w14:paraId="256BC99F" w14:textId="77777777" w:rsidTr="002F5BA1">
        <w:trPr>
          <w:trHeight w:val="309"/>
        </w:trPr>
        <w:tc>
          <w:tcPr>
            <w:tcW w:w="832" w:type="dxa"/>
            <w:shd w:val="clear" w:color="auto" w:fill="C6EFCE"/>
            <w:noWrap/>
          </w:tcPr>
          <w:p w14:paraId="5FE3165D" w14:textId="0AFB058B"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57</w:t>
            </w:r>
          </w:p>
        </w:tc>
        <w:tc>
          <w:tcPr>
            <w:tcW w:w="1012" w:type="dxa"/>
            <w:shd w:val="clear" w:color="auto" w:fill="C6EFCE"/>
            <w:noWrap/>
          </w:tcPr>
          <w:p w14:paraId="33E213DF" w14:textId="2023383F"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C3.I7</w:t>
            </w:r>
          </w:p>
        </w:tc>
        <w:tc>
          <w:tcPr>
            <w:tcW w:w="1134" w:type="dxa"/>
            <w:shd w:val="clear" w:color="auto" w:fill="C6EFCE"/>
            <w:noWrap/>
          </w:tcPr>
          <w:p w14:paraId="388498F2" w14:textId="4456959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T</w:t>
            </w:r>
          </w:p>
        </w:tc>
        <w:tc>
          <w:tcPr>
            <w:tcW w:w="2543" w:type="dxa"/>
            <w:shd w:val="clear" w:color="auto" w:fill="C6EFCE"/>
            <w:noWrap/>
          </w:tcPr>
          <w:p w14:paraId="31C63DEF" w14:textId="77BBC003" w:rsidR="00D65CB4" w:rsidRPr="00BC4EE7" w:rsidRDefault="00572307">
            <w:pPr>
              <w:pStyle w:val="P68B1DB1-Normal12"/>
              <w:spacing w:after="0" w:line="240" w:lineRule="auto"/>
              <w:rPr>
                <w:rFonts w:eastAsia="MS Mincho" w:cs="Times New Roman"/>
                <w:noProof/>
              </w:rPr>
            </w:pPr>
            <w:r w:rsidRPr="00BC4EE7">
              <w:rPr>
                <w:rFonts w:cs="Times New Roman"/>
                <w:noProof/>
              </w:rPr>
              <w:t>Akusztikai szondák beszerzése a halászati kutatáshoz</w:t>
            </w:r>
          </w:p>
        </w:tc>
        <w:tc>
          <w:tcPr>
            <w:tcW w:w="1242" w:type="dxa"/>
            <w:shd w:val="clear" w:color="auto" w:fill="C6EFCE"/>
            <w:noWrap/>
          </w:tcPr>
          <w:p w14:paraId="01947563" w14:textId="78C22953" w:rsidR="00D65CB4" w:rsidRPr="00BC4EE7" w:rsidRDefault="00D65CB4">
            <w:pPr>
              <w:spacing w:after="0" w:line="240" w:lineRule="auto"/>
              <w:jc w:val="center"/>
              <w:rPr>
                <w:rFonts w:ascii="Times New Roman" w:eastAsia="MS Mincho" w:hAnsi="Times New Roman" w:cs="Times New Roman"/>
                <w:noProof/>
                <w:sz w:val="18"/>
              </w:rPr>
            </w:pPr>
          </w:p>
        </w:tc>
        <w:tc>
          <w:tcPr>
            <w:tcW w:w="828" w:type="dxa"/>
            <w:shd w:val="clear" w:color="auto" w:fill="C6EFCE"/>
            <w:noWrap/>
          </w:tcPr>
          <w:p w14:paraId="58BC89FB" w14:textId="7792EE1E"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Szám </w:t>
            </w:r>
          </w:p>
        </w:tc>
        <w:tc>
          <w:tcPr>
            <w:tcW w:w="966" w:type="dxa"/>
            <w:shd w:val="clear" w:color="auto" w:fill="C6EFCE"/>
            <w:noWrap/>
          </w:tcPr>
          <w:p w14:paraId="70945AB8" w14:textId="73B2824C"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0</w:t>
            </w:r>
          </w:p>
        </w:tc>
        <w:tc>
          <w:tcPr>
            <w:tcW w:w="691" w:type="dxa"/>
            <w:shd w:val="clear" w:color="auto" w:fill="C6EFCE"/>
            <w:noWrap/>
          </w:tcPr>
          <w:p w14:paraId="45FB2F13" w14:textId="2CA05724"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2</w:t>
            </w:r>
          </w:p>
        </w:tc>
        <w:tc>
          <w:tcPr>
            <w:tcW w:w="415" w:type="dxa"/>
            <w:shd w:val="clear" w:color="auto" w:fill="C6EFCE"/>
            <w:noWrap/>
          </w:tcPr>
          <w:p w14:paraId="1317816B" w14:textId="784687FF"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Q2</w:t>
            </w:r>
          </w:p>
        </w:tc>
        <w:tc>
          <w:tcPr>
            <w:tcW w:w="553" w:type="dxa"/>
            <w:shd w:val="clear" w:color="auto" w:fill="C6EFCE"/>
            <w:noWrap/>
          </w:tcPr>
          <w:p w14:paraId="5B19E796"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2022</w:t>
            </w:r>
          </w:p>
        </w:tc>
        <w:tc>
          <w:tcPr>
            <w:tcW w:w="5236" w:type="dxa"/>
            <w:shd w:val="clear" w:color="auto" w:fill="C6EFCE"/>
            <w:noWrap/>
          </w:tcPr>
          <w:p w14:paraId="0DBBBB21" w14:textId="50C527C4" w:rsidR="00D65CB4" w:rsidRPr="00BC4EE7" w:rsidRDefault="00572307">
            <w:pPr>
              <w:pStyle w:val="P68B1DB1-Normal12"/>
              <w:spacing w:after="0" w:line="240" w:lineRule="auto"/>
              <w:rPr>
                <w:rFonts w:cs="Times New Roman"/>
                <w:noProof/>
              </w:rPr>
            </w:pPr>
            <w:r w:rsidRPr="00BC4EE7">
              <w:rPr>
                <w:rFonts w:cs="Times New Roman"/>
                <w:noProof/>
              </w:rPr>
              <w:t>A halászati kutatásra szánt két akusztikus szonda beszerzésére odaítélt szerződés közzététele a közbeszerzési platformon. Két meglévő halászhajó esetében két szonda beszerzésének célja a megszerzett adatok minőségének biztosítása, és következésképpen a nyílt tengeri fajok különböző állományainak tudományos értékelése, hozzájárulva a halászat fenntarthatóságához és a halászati gazdálkodással kapcsolatos, a legjobb tudományos ismereteken alapuló döntéshozatalhoz.</w:t>
            </w:r>
          </w:p>
        </w:tc>
      </w:tr>
      <w:tr w:rsidR="00D65CB4" w:rsidRPr="00BC4EE7" w14:paraId="1406655C" w14:textId="77777777" w:rsidTr="002F5BA1">
        <w:trPr>
          <w:trHeight w:val="309"/>
        </w:trPr>
        <w:tc>
          <w:tcPr>
            <w:tcW w:w="832" w:type="dxa"/>
            <w:shd w:val="clear" w:color="auto" w:fill="C6EFCE"/>
            <w:noWrap/>
          </w:tcPr>
          <w:p w14:paraId="6F8A58DE" w14:textId="51E18F9A"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58</w:t>
            </w:r>
          </w:p>
        </w:tc>
        <w:tc>
          <w:tcPr>
            <w:tcW w:w="1012" w:type="dxa"/>
            <w:shd w:val="clear" w:color="auto" w:fill="C6EFCE"/>
            <w:noWrap/>
          </w:tcPr>
          <w:p w14:paraId="2E9F658E" w14:textId="51F7C3D1"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C3.I8</w:t>
            </w:r>
          </w:p>
        </w:tc>
        <w:tc>
          <w:tcPr>
            <w:tcW w:w="1134" w:type="dxa"/>
            <w:shd w:val="clear" w:color="auto" w:fill="C6EFCE"/>
            <w:noWrap/>
          </w:tcPr>
          <w:p w14:paraId="36908B73" w14:textId="4A705DE3"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T</w:t>
            </w:r>
          </w:p>
        </w:tc>
        <w:tc>
          <w:tcPr>
            <w:tcW w:w="2543" w:type="dxa"/>
            <w:shd w:val="clear" w:color="auto" w:fill="C6EFCE"/>
            <w:noWrap/>
          </w:tcPr>
          <w:p w14:paraId="59366F03" w14:textId="38B05B9F" w:rsidR="00D65CB4" w:rsidRPr="00BC4EE7" w:rsidRDefault="00572307">
            <w:pPr>
              <w:pStyle w:val="P68B1DB1-Normal12"/>
              <w:spacing w:after="0" w:line="240" w:lineRule="auto"/>
              <w:rPr>
                <w:rFonts w:eastAsia="MS Mincho" w:cs="Times New Roman"/>
                <w:noProof/>
              </w:rPr>
            </w:pPr>
            <w:r w:rsidRPr="00BC4EE7">
              <w:rPr>
                <w:rFonts w:cs="Times New Roman"/>
                <w:noProof/>
              </w:rPr>
              <w:t>Kutatásfejlesztési és innovációs projektek a halászati és akvakultúra-ágazat rezilienciájának és fenntarthatóságának támogatására</w:t>
            </w:r>
          </w:p>
        </w:tc>
        <w:tc>
          <w:tcPr>
            <w:tcW w:w="1242" w:type="dxa"/>
            <w:shd w:val="clear" w:color="auto" w:fill="C6EFCE"/>
            <w:noWrap/>
          </w:tcPr>
          <w:p w14:paraId="4E801B33" w14:textId="60B7C178" w:rsidR="00D65CB4" w:rsidRPr="00BC4EE7" w:rsidRDefault="00D65CB4">
            <w:pPr>
              <w:spacing w:after="0" w:line="240" w:lineRule="auto"/>
              <w:jc w:val="center"/>
              <w:rPr>
                <w:rFonts w:ascii="Times New Roman" w:eastAsia="MS Mincho" w:hAnsi="Times New Roman" w:cs="Times New Roman"/>
                <w:noProof/>
                <w:sz w:val="18"/>
              </w:rPr>
            </w:pPr>
          </w:p>
        </w:tc>
        <w:tc>
          <w:tcPr>
            <w:tcW w:w="828" w:type="dxa"/>
            <w:shd w:val="clear" w:color="auto" w:fill="C6EFCE"/>
            <w:noWrap/>
          </w:tcPr>
          <w:p w14:paraId="184D15E4" w14:textId="251C36AF"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Szám</w:t>
            </w:r>
          </w:p>
        </w:tc>
        <w:tc>
          <w:tcPr>
            <w:tcW w:w="966" w:type="dxa"/>
            <w:shd w:val="clear" w:color="auto" w:fill="C6EFCE"/>
            <w:noWrap/>
          </w:tcPr>
          <w:p w14:paraId="63A420E6" w14:textId="024DED6A"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0</w:t>
            </w:r>
          </w:p>
        </w:tc>
        <w:tc>
          <w:tcPr>
            <w:tcW w:w="691" w:type="dxa"/>
            <w:shd w:val="clear" w:color="auto" w:fill="C6EFCE"/>
            <w:noWrap/>
          </w:tcPr>
          <w:p w14:paraId="028EB558" w14:textId="5B485D53"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20</w:t>
            </w:r>
          </w:p>
        </w:tc>
        <w:tc>
          <w:tcPr>
            <w:tcW w:w="415" w:type="dxa"/>
            <w:shd w:val="clear" w:color="auto" w:fill="C6EFCE"/>
            <w:noWrap/>
          </w:tcPr>
          <w:p w14:paraId="6AC464C5"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Q4</w:t>
            </w:r>
          </w:p>
        </w:tc>
        <w:tc>
          <w:tcPr>
            <w:tcW w:w="553" w:type="dxa"/>
            <w:shd w:val="clear" w:color="auto" w:fill="C6EFCE"/>
            <w:noWrap/>
          </w:tcPr>
          <w:p w14:paraId="3A713548" w14:textId="6D21B9C8"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2023</w:t>
            </w:r>
          </w:p>
        </w:tc>
        <w:tc>
          <w:tcPr>
            <w:tcW w:w="5236" w:type="dxa"/>
            <w:shd w:val="clear" w:color="auto" w:fill="C6EFCE"/>
            <w:noWrap/>
          </w:tcPr>
          <w:p w14:paraId="10FE26EE" w14:textId="76476710" w:rsidR="00D65CB4" w:rsidRPr="00BC4EE7" w:rsidRDefault="00572307">
            <w:pPr>
              <w:pStyle w:val="P68B1DB1-Normal12"/>
              <w:spacing w:after="0" w:line="240" w:lineRule="auto"/>
              <w:rPr>
                <w:rFonts w:eastAsia="MS Mincho" w:cs="Times New Roman"/>
                <w:noProof/>
              </w:rPr>
            </w:pPr>
            <w:r w:rsidRPr="00BC4EE7">
              <w:rPr>
                <w:rFonts w:cs="Times New Roman"/>
                <w:noProof/>
              </w:rPr>
              <w:t>Legalább 20 olyan kutatási, fejlesztési és innovációs projekt lezárása, amelyek elősegítik a halászati és akvakultúra-ágazat ellenálló képességét és fenntarthatóságát.</w:t>
            </w:r>
          </w:p>
        </w:tc>
      </w:tr>
      <w:tr w:rsidR="00D65CB4" w:rsidRPr="00BC4EE7" w14:paraId="30C4F024" w14:textId="77777777" w:rsidTr="002F5BA1">
        <w:trPr>
          <w:trHeight w:val="309"/>
        </w:trPr>
        <w:tc>
          <w:tcPr>
            <w:tcW w:w="832" w:type="dxa"/>
            <w:shd w:val="clear" w:color="auto" w:fill="C6EFCE"/>
            <w:noWrap/>
          </w:tcPr>
          <w:p w14:paraId="4D2760AF" w14:textId="25DEC3E5"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59</w:t>
            </w:r>
          </w:p>
        </w:tc>
        <w:tc>
          <w:tcPr>
            <w:tcW w:w="1012" w:type="dxa"/>
            <w:shd w:val="clear" w:color="auto" w:fill="C6EFCE"/>
            <w:noWrap/>
          </w:tcPr>
          <w:p w14:paraId="74A6100D" w14:textId="2914EE3A"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C3.I9</w:t>
            </w:r>
          </w:p>
        </w:tc>
        <w:tc>
          <w:tcPr>
            <w:tcW w:w="1134" w:type="dxa"/>
            <w:shd w:val="clear" w:color="auto" w:fill="C6EFCE"/>
            <w:noWrap/>
          </w:tcPr>
          <w:p w14:paraId="60A92451" w14:textId="6B927D1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M</w:t>
            </w:r>
          </w:p>
        </w:tc>
        <w:tc>
          <w:tcPr>
            <w:tcW w:w="2543" w:type="dxa"/>
            <w:shd w:val="clear" w:color="auto" w:fill="C6EFCE"/>
            <w:noWrap/>
          </w:tcPr>
          <w:p w14:paraId="2F0C1A98" w14:textId="3E386702" w:rsidR="00D65CB4" w:rsidRPr="00BC4EE7" w:rsidRDefault="00572307">
            <w:pPr>
              <w:pStyle w:val="P68B1DB1-Normal12"/>
              <w:spacing w:after="0" w:line="240" w:lineRule="auto"/>
              <w:rPr>
                <w:rFonts w:eastAsia="MS Mincho" w:cs="Times New Roman"/>
                <w:noProof/>
              </w:rPr>
            </w:pPr>
            <w:r w:rsidRPr="00BC4EE7">
              <w:rPr>
                <w:rFonts w:cs="Times New Roman"/>
                <w:noProof/>
              </w:rPr>
              <w:t xml:space="preserve">A spanyol halászati információs rendszer (SIPE) és a halászati felügyeleti rendszer digitális megerősítése </w:t>
            </w:r>
          </w:p>
        </w:tc>
        <w:tc>
          <w:tcPr>
            <w:tcW w:w="1242" w:type="dxa"/>
            <w:shd w:val="clear" w:color="auto" w:fill="C6EFCE"/>
            <w:noWrap/>
          </w:tcPr>
          <w:p w14:paraId="07459315" w14:textId="14D49FA8"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Második tűzfalzáró felszerelése</w:t>
            </w:r>
          </w:p>
        </w:tc>
        <w:tc>
          <w:tcPr>
            <w:tcW w:w="828" w:type="dxa"/>
            <w:shd w:val="clear" w:color="auto" w:fill="C6EFCE"/>
            <w:noWrap/>
          </w:tcPr>
          <w:p w14:paraId="492888C9" w14:textId="0C17A82B"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966" w:type="dxa"/>
            <w:shd w:val="clear" w:color="auto" w:fill="C6EFCE"/>
            <w:noWrap/>
          </w:tcPr>
          <w:p w14:paraId="3081C80F" w14:textId="192EA673"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691" w:type="dxa"/>
            <w:shd w:val="clear" w:color="auto" w:fill="C6EFCE"/>
            <w:noWrap/>
          </w:tcPr>
          <w:p w14:paraId="7144751B" w14:textId="7A6D4372"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415" w:type="dxa"/>
            <w:shd w:val="clear" w:color="auto" w:fill="C6EFCE"/>
            <w:noWrap/>
          </w:tcPr>
          <w:p w14:paraId="0DC41FC3" w14:textId="2F9F671E"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Q4</w:t>
            </w:r>
          </w:p>
        </w:tc>
        <w:tc>
          <w:tcPr>
            <w:tcW w:w="553" w:type="dxa"/>
            <w:shd w:val="clear" w:color="auto" w:fill="C6EFCE"/>
            <w:noWrap/>
          </w:tcPr>
          <w:p w14:paraId="162C3D42" w14:textId="6DF5AFA2"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2023</w:t>
            </w:r>
          </w:p>
        </w:tc>
        <w:tc>
          <w:tcPr>
            <w:tcW w:w="5236" w:type="dxa"/>
            <w:shd w:val="clear" w:color="auto" w:fill="C6EFCE"/>
            <w:noWrap/>
          </w:tcPr>
          <w:p w14:paraId="514E70BC" w14:textId="48658675" w:rsidR="00D65CB4" w:rsidRPr="00BC4EE7" w:rsidRDefault="00572307">
            <w:pPr>
              <w:pStyle w:val="P68B1DB1-Normal12"/>
              <w:spacing w:after="0" w:line="240" w:lineRule="auto"/>
              <w:rPr>
                <w:rFonts w:eastAsia="MS Mincho" w:cs="Times New Roman"/>
                <w:noProof/>
              </w:rPr>
            </w:pPr>
            <w:r w:rsidRPr="00BC4EE7">
              <w:rPr>
                <w:rFonts w:cs="Times New Roman"/>
                <w:noProof/>
              </w:rPr>
              <w:t xml:space="preserve">A halászati információk és felügyelet digitális megerősítése, beleértve egy második tűzfalzáró (tűzfal) telepítését a spanyol halászati információs rendszer (SIPE) biztonságának növelése érdekében, a nemzeti biztonsági rendszerben (ENS) a halászhajók magas szintű biztonsága és digitalizálása tekintetében meghatározott követelményeknek megfelelően.  </w:t>
            </w:r>
          </w:p>
        </w:tc>
      </w:tr>
      <w:tr w:rsidR="00D65CB4" w:rsidRPr="00BC4EE7" w14:paraId="1E462E9F" w14:textId="77777777" w:rsidTr="002F5BA1">
        <w:trPr>
          <w:trHeight w:val="309"/>
        </w:trPr>
        <w:tc>
          <w:tcPr>
            <w:tcW w:w="832" w:type="dxa"/>
            <w:shd w:val="clear" w:color="auto" w:fill="C6EFCE"/>
            <w:noWrap/>
          </w:tcPr>
          <w:p w14:paraId="60E7A8A8" w14:textId="3D95EEAB"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60</w:t>
            </w:r>
          </w:p>
        </w:tc>
        <w:tc>
          <w:tcPr>
            <w:tcW w:w="1012" w:type="dxa"/>
            <w:shd w:val="clear" w:color="auto" w:fill="C6EFCE"/>
            <w:noWrap/>
          </w:tcPr>
          <w:p w14:paraId="195DB6A2" w14:textId="48CC61DA"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C3.I10</w:t>
            </w:r>
          </w:p>
        </w:tc>
        <w:tc>
          <w:tcPr>
            <w:tcW w:w="1134" w:type="dxa"/>
            <w:shd w:val="clear" w:color="auto" w:fill="C6EFCE"/>
            <w:noWrap/>
          </w:tcPr>
          <w:p w14:paraId="1EE4D7E7" w14:textId="29CC098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M</w:t>
            </w:r>
          </w:p>
        </w:tc>
        <w:tc>
          <w:tcPr>
            <w:tcW w:w="2543" w:type="dxa"/>
            <w:shd w:val="clear" w:color="auto" w:fill="C6EFCE"/>
            <w:noWrap/>
          </w:tcPr>
          <w:p w14:paraId="4637942A" w14:textId="057F78C4" w:rsidR="00D65CB4" w:rsidRPr="00BC4EE7" w:rsidRDefault="00572307">
            <w:pPr>
              <w:pStyle w:val="P68B1DB1-Normal12"/>
              <w:spacing w:after="0" w:line="240" w:lineRule="auto"/>
              <w:rPr>
                <w:rFonts w:eastAsia="MS Mincho" w:cs="Times New Roman"/>
                <w:noProof/>
              </w:rPr>
            </w:pPr>
            <w:r w:rsidRPr="00BC4EE7">
              <w:rPr>
                <w:rFonts w:cs="Times New Roman"/>
                <w:noProof/>
              </w:rPr>
              <w:t xml:space="preserve">Könnyű járőrhajók és nyílt tengeri járőrhajók vásárlása a jogellenes, be nem jelentett és szabályozatlan halászat elleni küzdelem érdekében </w:t>
            </w:r>
          </w:p>
        </w:tc>
        <w:tc>
          <w:tcPr>
            <w:tcW w:w="1242" w:type="dxa"/>
            <w:shd w:val="clear" w:color="auto" w:fill="C6EFCE"/>
            <w:noWrap/>
          </w:tcPr>
          <w:p w14:paraId="6537F28F" w14:textId="0648B14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 xml:space="preserve">A szerződés odaítélésének közzététele a közbeszerzési platformon </w:t>
            </w:r>
          </w:p>
        </w:tc>
        <w:tc>
          <w:tcPr>
            <w:tcW w:w="828" w:type="dxa"/>
            <w:shd w:val="clear" w:color="auto" w:fill="C6EFCE"/>
            <w:noWrap/>
          </w:tcPr>
          <w:p w14:paraId="24395A78" w14:textId="10EB6BDF"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966" w:type="dxa"/>
            <w:shd w:val="clear" w:color="auto" w:fill="C6EFCE"/>
            <w:noWrap/>
          </w:tcPr>
          <w:p w14:paraId="3209E21E" w14:textId="425DB139"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691" w:type="dxa"/>
            <w:shd w:val="clear" w:color="auto" w:fill="C6EFCE"/>
            <w:noWrap/>
          </w:tcPr>
          <w:p w14:paraId="7B5474F0" w14:textId="772120D4"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415" w:type="dxa"/>
            <w:shd w:val="clear" w:color="auto" w:fill="C6EFCE"/>
            <w:noWrap/>
          </w:tcPr>
          <w:p w14:paraId="73E51AB3"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Q4</w:t>
            </w:r>
          </w:p>
        </w:tc>
        <w:tc>
          <w:tcPr>
            <w:tcW w:w="553" w:type="dxa"/>
            <w:shd w:val="clear" w:color="auto" w:fill="C6EFCE"/>
            <w:noWrap/>
          </w:tcPr>
          <w:p w14:paraId="31A5C52D" w14:textId="1D6B0EE5"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2022</w:t>
            </w:r>
          </w:p>
        </w:tc>
        <w:tc>
          <w:tcPr>
            <w:tcW w:w="5236" w:type="dxa"/>
            <w:shd w:val="clear" w:color="auto" w:fill="C6EFCE"/>
            <w:noWrap/>
          </w:tcPr>
          <w:p w14:paraId="79CBC4EB" w14:textId="0F3BC9FD" w:rsidR="00D65CB4" w:rsidRPr="00BC4EE7" w:rsidRDefault="00572307">
            <w:pPr>
              <w:pStyle w:val="P68B1DB1-Normal12"/>
              <w:spacing w:after="0" w:line="240" w:lineRule="auto"/>
              <w:rPr>
                <w:rFonts w:eastAsia="MS Mincho" w:cs="Times New Roman"/>
                <w:noProof/>
              </w:rPr>
            </w:pPr>
            <w:r w:rsidRPr="00BC4EE7">
              <w:rPr>
                <w:rFonts w:cs="Times New Roman"/>
                <w:noProof/>
              </w:rPr>
              <w:t>A közbeszerzési platformon négy új könnyű járőrhajóra és három megújított nyílt tengeri járőrhajóra vonatkozó szerződés odaítélésének közzététele, amelyeket a jogellenes, be nem jelentett és szabályozatlan halászat elleni küzdelemre kell használni, amely továbbra is a tengeri ökoszisztémákat fenyegető egyik legnagyobb veszélyt jelenti. Törekedni kell a jelentős károkozás elkerülését célzó technikai iránymutatásnak (2021/C58/01) való megfelelést lehetővé tevő legjobb technológiára.</w:t>
            </w:r>
          </w:p>
        </w:tc>
      </w:tr>
      <w:tr w:rsidR="00D65CB4" w:rsidRPr="00BC4EE7" w14:paraId="7F936975" w14:textId="77777777" w:rsidTr="002F5BA1">
        <w:trPr>
          <w:trHeight w:val="309"/>
        </w:trPr>
        <w:tc>
          <w:tcPr>
            <w:tcW w:w="832" w:type="dxa"/>
            <w:shd w:val="clear" w:color="auto" w:fill="C6EFCE"/>
            <w:noWrap/>
          </w:tcPr>
          <w:p w14:paraId="6E55690C" w14:textId="0FF76394"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61</w:t>
            </w:r>
          </w:p>
        </w:tc>
        <w:tc>
          <w:tcPr>
            <w:tcW w:w="1012" w:type="dxa"/>
            <w:shd w:val="clear" w:color="auto" w:fill="C6EFCE"/>
            <w:noWrap/>
          </w:tcPr>
          <w:p w14:paraId="1A723A1E" w14:textId="31EE0C7E"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C3.I11</w:t>
            </w:r>
          </w:p>
        </w:tc>
        <w:tc>
          <w:tcPr>
            <w:tcW w:w="1134" w:type="dxa"/>
            <w:shd w:val="clear" w:color="auto" w:fill="C6EFCE"/>
            <w:noWrap/>
          </w:tcPr>
          <w:p w14:paraId="02EB2921" w14:textId="123F1310"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T</w:t>
            </w:r>
          </w:p>
        </w:tc>
        <w:tc>
          <w:tcPr>
            <w:tcW w:w="2543" w:type="dxa"/>
            <w:shd w:val="clear" w:color="auto" w:fill="C6EFCE"/>
            <w:noWrap/>
          </w:tcPr>
          <w:p w14:paraId="5707BEAA" w14:textId="416EEAAE" w:rsidR="00D65CB4" w:rsidRPr="00BC4EE7" w:rsidRDefault="00572307">
            <w:pPr>
              <w:pStyle w:val="P68B1DB1-Normal12"/>
              <w:spacing w:after="0" w:line="240" w:lineRule="auto"/>
              <w:rPr>
                <w:rFonts w:eastAsia="MS Mincho" w:cs="Times New Roman"/>
                <w:noProof/>
              </w:rPr>
            </w:pPr>
            <w:r w:rsidRPr="00BC4EE7">
              <w:rPr>
                <w:rFonts w:cs="Times New Roman"/>
                <w:noProof/>
              </w:rPr>
              <w:t>A halászati ágazat beruházási projektjeinek finanszírozása</w:t>
            </w:r>
          </w:p>
        </w:tc>
        <w:tc>
          <w:tcPr>
            <w:tcW w:w="1242" w:type="dxa"/>
            <w:shd w:val="clear" w:color="auto" w:fill="C6EFCE"/>
            <w:noWrap/>
          </w:tcPr>
          <w:p w14:paraId="3973365E" w14:textId="572DF5B8" w:rsidR="00D65CB4" w:rsidRPr="00BC4EE7" w:rsidRDefault="00D65CB4">
            <w:pPr>
              <w:spacing w:after="0" w:line="240" w:lineRule="auto"/>
              <w:jc w:val="center"/>
              <w:rPr>
                <w:rFonts w:ascii="Times New Roman" w:eastAsia="MS Mincho" w:hAnsi="Times New Roman" w:cs="Times New Roman"/>
                <w:noProof/>
                <w:sz w:val="18"/>
              </w:rPr>
            </w:pPr>
          </w:p>
        </w:tc>
        <w:tc>
          <w:tcPr>
            <w:tcW w:w="828" w:type="dxa"/>
            <w:shd w:val="clear" w:color="auto" w:fill="C6EFCE"/>
            <w:noWrap/>
          </w:tcPr>
          <w:p w14:paraId="222CCC41" w14:textId="248FA75A"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Millió EUR</w:t>
            </w:r>
          </w:p>
        </w:tc>
        <w:tc>
          <w:tcPr>
            <w:tcW w:w="966" w:type="dxa"/>
            <w:shd w:val="clear" w:color="auto" w:fill="C6EFCE"/>
            <w:noWrap/>
          </w:tcPr>
          <w:p w14:paraId="66E8DF9A" w14:textId="360D932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0</w:t>
            </w:r>
          </w:p>
        </w:tc>
        <w:tc>
          <w:tcPr>
            <w:tcW w:w="691" w:type="dxa"/>
            <w:shd w:val="clear" w:color="auto" w:fill="C6EFCE"/>
            <w:noWrap/>
          </w:tcPr>
          <w:p w14:paraId="637F08B6" w14:textId="5981BE43"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5</w:t>
            </w:r>
          </w:p>
        </w:tc>
        <w:tc>
          <w:tcPr>
            <w:tcW w:w="415" w:type="dxa"/>
            <w:shd w:val="clear" w:color="auto" w:fill="C6EFCE"/>
            <w:noWrap/>
          </w:tcPr>
          <w:p w14:paraId="067D6490" w14:textId="2A71F79C"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Q2</w:t>
            </w:r>
          </w:p>
        </w:tc>
        <w:tc>
          <w:tcPr>
            <w:tcW w:w="553" w:type="dxa"/>
            <w:shd w:val="clear" w:color="auto" w:fill="C6EFCE"/>
            <w:noWrap/>
          </w:tcPr>
          <w:p w14:paraId="5EC703BC" w14:textId="13F59FB8"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2022</w:t>
            </w:r>
          </w:p>
        </w:tc>
        <w:tc>
          <w:tcPr>
            <w:tcW w:w="5236" w:type="dxa"/>
            <w:shd w:val="clear" w:color="auto" w:fill="C6EFCE"/>
            <w:noWrap/>
          </w:tcPr>
          <w:p w14:paraId="67E761D4" w14:textId="16D9DAC6" w:rsidR="00D65CB4" w:rsidRPr="00BC4EE7" w:rsidRDefault="00572307">
            <w:pPr>
              <w:pStyle w:val="P68B1DB1-Normal12"/>
              <w:spacing w:after="0" w:line="240" w:lineRule="auto"/>
              <w:rPr>
                <w:rFonts w:eastAsia="MS Mincho" w:cs="Times New Roman"/>
                <w:noProof/>
              </w:rPr>
            </w:pPr>
            <w:r w:rsidRPr="00BC4EE7">
              <w:rPr>
                <w:rFonts w:cs="Times New Roman"/>
                <w:noProof/>
              </w:rPr>
              <w:t>A Mezőgazdasági, Halászati és Élelmiszerügyi Minisztérium és a SAECA közötti megállapodás jóváhagyása a halászati ágazat beruházási projektjei finanszírozásának támogatásáról azáltal, hogy a Sociedad Anónima Estatal de Caución Agraria (SAECA) számára legalább 5 000 000 EUR összegű kölcsönt nyújt a fenntartható halászati tevékenységekhez kapcsolódó intézkedéseket tartalmazó projektek újragaranciájára; a munkakörülmények és a tevékenység biztonságának javítása; valamint a folyamatok és rendszerek digitalizálására. A fent említett megállapodásnak tartalmaznia kell egy olyan záradékot, amely fenntarthatósági vizsgálat, kizárási lista, valamint a vonatkozó uniós és nemzeti környezetvédelmi jogszabályoknak való megfelelés követelménye révén garantálja, hogy az e beruházás keretében támogatott ügyletek megfelelnek a jelentős károkozás elkerülését célzó technikai iránymutatásnak (2021/C58/01).</w:t>
            </w:r>
          </w:p>
        </w:tc>
      </w:tr>
    </w:tbl>
    <w:p w14:paraId="70DF9E56" w14:textId="77777777" w:rsidR="00D65CB4" w:rsidRPr="00BC4EE7" w:rsidRDefault="00D65CB4">
      <w:pPr>
        <w:spacing w:before="120" w:after="120" w:line="240" w:lineRule="auto"/>
        <w:ind w:left="709"/>
        <w:jc w:val="both"/>
        <w:rPr>
          <w:rFonts w:ascii="Times New Roman" w:hAnsi="Times New Roman" w:cs="Times New Roman"/>
          <w:noProof/>
          <w:sz w:val="24"/>
        </w:rPr>
      </w:pPr>
    </w:p>
    <w:p w14:paraId="44E871BC" w14:textId="77777777" w:rsidR="00D65CB4" w:rsidRPr="00BC4EE7" w:rsidRDefault="00D65CB4">
      <w:pPr>
        <w:spacing w:before="120" w:after="120" w:line="240" w:lineRule="auto"/>
        <w:ind w:left="709"/>
        <w:jc w:val="both"/>
        <w:rPr>
          <w:rFonts w:ascii="Times New Roman" w:hAnsi="Times New Roman" w:cs="Times New Roman"/>
          <w:noProof/>
          <w:sz w:val="24"/>
        </w:rPr>
      </w:pPr>
    </w:p>
    <w:p w14:paraId="0EB18B02" w14:textId="785A064A" w:rsidR="00D65CB4" w:rsidRPr="00BC4EE7" w:rsidRDefault="00D65CB4">
      <w:pPr>
        <w:spacing w:before="120" w:after="120" w:line="240" w:lineRule="auto"/>
        <w:ind w:left="709"/>
        <w:jc w:val="both"/>
        <w:rPr>
          <w:rFonts w:ascii="Times New Roman" w:hAnsi="Times New Roman" w:cs="Times New Roman"/>
          <w:noProof/>
          <w:sz w:val="24"/>
        </w:rPr>
      </w:pPr>
    </w:p>
    <w:p w14:paraId="2A718143" w14:textId="01B8AB2B" w:rsidR="00D65CB4" w:rsidRPr="00BC4EE7" w:rsidRDefault="00D65CB4">
      <w:pPr>
        <w:spacing w:before="120" w:after="120" w:line="240" w:lineRule="auto"/>
        <w:ind w:left="709"/>
        <w:jc w:val="both"/>
        <w:rPr>
          <w:rFonts w:ascii="Times New Roman" w:hAnsi="Times New Roman" w:cs="Times New Roman"/>
          <w:noProof/>
          <w:sz w:val="24"/>
        </w:rPr>
      </w:pPr>
    </w:p>
    <w:p w14:paraId="6443D1A8" w14:textId="31ECC4F1" w:rsidR="00D65CB4" w:rsidRPr="00BC4EE7" w:rsidRDefault="00D65CB4">
      <w:pPr>
        <w:spacing w:before="120" w:after="120" w:line="240" w:lineRule="auto"/>
        <w:ind w:left="709"/>
        <w:jc w:val="both"/>
        <w:rPr>
          <w:rFonts w:ascii="Times New Roman" w:hAnsi="Times New Roman" w:cs="Times New Roman"/>
          <w:noProof/>
          <w:sz w:val="24"/>
        </w:rPr>
      </w:pPr>
    </w:p>
    <w:p w14:paraId="72DEA653" w14:textId="2C15C0E9" w:rsidR="00D65CB4" w:rsidRPr="00BC4EE7" w:rsidRDefault="00D65CB4">
      <w:pPr>
        <w:spacing w:before="120" w:after="120" w:line="240" w:lineRule="auto"/>
        <w:ind w:left="709"/>
        <w:jc w:val="both"/>
        <w:rPr>
          <w:rFonts w:ascii="Times New Roman" w:hAnsi="Times New Roman" w:cs="Times New Roman"/>
          <w:noProof/>
          <w:sz w:val="24"/>
        </w:rPr>
      </w:pPr>
    </w:p>
    <w:p w14:paraId="62CC3A09" w14:textId="77777777" w:rsidR="00D65CB4" w:rsidRPr="00BC4EE7" w:rsidRDefault="00D65CB4">
      <w:pPr>
        <w:spacing w:before="120" w:after="120" w:line="240" w:lineRule="auto"/>
        <w:ind w:left="709"/>
        <w:jc w:val="both"/>
        <w:rPr>
          <w:rFonts w:ascii="Times New Roman" w:hAnsi="Times New Roman" w:cs="Times New Roman"/>
          <w:noProof/>
          <w:sz w:val="24"/>
        </w:rPr>
        <w:sectPr w:rsidR="00D65CB4" w:rsidRPr="00BC4EE7" w:rsidSect="00B511EF">
          <w:headerReference w:type="even" r:id="rId81"/>
          <w:headerReference w:type="default" r:id="rId82"/>
          <w:footerReference w:type="even" r:id="rId83"/>
          <w:footerReference w:type="default" r:id="rId84"/>
          <w:headerReference w:type="first" r:id="rId85"/>
          <w:footerReference w:type="first" r:id="rId86"/>
          <w:pgSz w:w="16839" w:h="11907" w:orient="landscape"/>
          <w:pgMar w:top="1134" w:right="1134" w:bottom="1134" w:left="1134" w:header="567" w:footer="567" w:gutter="0"/>
          <w:cols w:space="720"/>
          <w:docGrid w:linePitch="360"/>
        </w:sectPr>
      </w:pPr>
    </w:p>
    <w:p w14:paraId="066BE16A" w14:textId="0032779E" w:rsidR="00D65CB4" w:rsidRPr="00BC4EE7" w:rsidRDefault="00572307">
      <w:pPr>
        <w:pStyle w:val="P68B1DB1-Text119"/>
        <w:ind w:left="709"/>
        <w:rPr>
          <w:rFonts w:eastAsia="MS Mincho" w:cs="Times New Roman"/>
          <w:noProof/>
        </w:rPr>
      </w:pPr>
      <w:r w:rsidRPr="00BC4EE7">
        <w:rPr>
          <w:rFonts w:cs="Times New Roman"/>
          <w:b/>
          <w:noProof/>
        </w:rPr>
        <w:t>C.3. A hiteltámogatást célzó reformok és beruházások ismertetése</w:t>
      </w:r>
    </w:p>
    <w:p w14:paraId="649BE32E" w14:textId="7CA16918" w:rsidR="00D65CB4" w:rsidRPr="00BC4EE7" w:rsidRDefault="00572307">
      <w:pPr>
        <w:pStyle w:val="P68B1DB1-Normal5"/>
        <w:spacing w:before="120" w:after="120" w:line="240" w:lineRule="auto"/>
        <w:jc w:val="both"/>
        <w:rPr>
          <w:rFonts w:eastAsia="MS Mincho" w:cs="Times New Roman"/>
          <w:noProof/>
        </w:rPr>
      </w:pPr>
      <w:bookmarkStart w:id="12" w:name="_Hlk144117337"/>
      <w:r w:rsidRPr="00BC4EE7">
        <w:rPr>
          <w:rFonts w:cs="Times New Roman"/>
          <w:noProof/>
        </w:rPr>
        <w:t>Reform (C3.R7) – Az élelmiszer-veszteség és az élelmiszer-pazarlás megelőzéséről szóló törvény</w:t>
      </w:r>
    </w:p>
    <w:bookmarkEnd w:id="12"/>
    <w:p w14:paraId="78010986" w14:textId="45762D7F" w:rsidR="00D65CB4" w:rsidRPr="00BC4EE7" w:rsidRDefault="00572307">
      <w:pPr>
        <w:pStyle w:val="P68B1DB1-Normal4"/>
        <w:spacing w:before="120" w:after="120" w:line="240" w:lineRule="auto"/>
        <w:jc w:val="both"/>
        <w:rPr>
          <w:rFonts w:cs="Times New Roman"/>
          <w:noProof/>
        </w:rPr>
      </w:pPr>
      <w:r w:rsidRPr="00BC4EE7">
        <w:rPr>
          <w:rFonts w:cs="Times New Roman"/>
          <w:noProof/>
        </w:rPr>
        <w:t>E reform célja, hogy megelőzze az élelmiszer-veszteséget és -pazarlást azáltal, hogy meghatározza az élelmiszer-felhasználás prioritásainak hierarchiáját, hogy az ne váljon hulladékká.</w:t>
      </w:r>
    </w:p>
    <w:p w14:paraId="5AA96578" w14:textId="489BD0AD" w:rsidR="00D65CB4" w:rsidRPr="00BC4EE7" w:rsidRDefault="00572307">
      <w:pPr>
        <w:pStyle w:val="P68B1DB1-Normal4"/>
        <w:spacing w:before="120" w:after="120" w:line="240" w:lineRule="auto"/>
        <w:jc w:val="both"/>
        <w:rPr>
          <w:rFonts w:cs="Times New Roman"/>
          <w:noProof/>
        </w:rPr>
      </w:pPr>
      <w:r w:rsidRPr="00BC4EE7">
        <w:rPr>
          <w:rFonts w:cs="Times New Roman"/>
          <w:noProof/>
        </w:rPr>
        <w:t>Az új rendelet célja a hatékonyabb erőforrás-gazdálkodás megvalósítása a következők révén:</w:t>
      </w:r>
    </w:p>
    <w:p w14:paraId="66D140DA" w14:textId="45762D7F" w:rsidR="00D65CB4" w:rsidRPr="00BC4EE7" w:rsidRDefault="00572307">
      <w:pPr>
        <w:pStyle w:val="P68B1DB1-ListParagraph6"/>
        <w:numPr>
          <w:ilvl w:val="0"/>
          <w:numId w:val="42"/>
        </w:numPr>
        <w:spacing w:before="120" w:after="120" w:line="240" w:lineRule="auto"/>
        <w:jc w:val="both"/>
        <w:rPr>
          <w:rFonts w:cs="Times New Roman"/>
          <w:noProof/>
        </w:rPr>
      </w:pPr>
      <w:r w:rsidRPr="00BC4EE7">
        <w:rPr>
          <w:rFonts w:cs="Times New Roman"/>
          <w:noProof/>
        </w:rPr>
        <w:t xml:space="preserve">a körforgásos biogazdaság előmozdítása; </w:t>
      </w:r>
    </w:p>
    <w:p w14:paraId="36661960" w14:textId="45762D7F" w:rsidR="00D65CB4" w:rsidRPr="00BC4EE7" w:rsidRDefault="00572307">
      <w:pPr>
        <w:pStyle w:val="P68B1DB1-ListParagraph6"/>
        <w:numPr>
          <w:ilvl w:val="0"/>
          <w:numId w:val="42"/>
        </w:numPr>
        <w:spacing w:before="120" w:after="120" w:line="240" w:lineRule="auto"/>
        <w:jc w:val="both"/>
        <w:rPr>
          <w:rFonts w:cs="Times New Roman"/>
          <w:noProof/>
        </w:rPr>
      </w:pPr>
      <w:r w:rsidRPr="00BC4EE7">
        <w:rPr>
          <w:rFonts w:cs="Times New Roman"/>
          <w:noProof/>
        </w:rPr>
        <w:t xml:space="preserve">a társadalmi szolidaritás céljából a felesleges élelmiszer visszaszerzésének és elosztásának előmozdítása, az emberi felhasználás prioritásává téve azt; </w:t>
      </w:r>
    </w:p>
    <w:p w14:paraId="76DD6320" w14:textId="45762D7F" w:rsidR="00D65CB4" w:rsidRPr="00BC4EE7" w:rsidRDefault="00572307">
      <w:pPr>
        <w:pStyle w:val="P68B1DB1-ListParagraph6"/>
        <w:numPr>
          <w:ilvl w:val="0"/>
          <w:numId w:val="42"/>
        </w:numPr>
        <w:spacing w:before="120" w:after="120" w:line="240" w:lineRule="auto"/>
        <w:jc w:val="both"/>
        <w:rPr>
          <w:rFonts w:cs="Times New Roman"/>
          <w:noProof/>
        </w:rPr>
      </w:pPr>
      <w:r w:rsidRPr="00BC4EE7">
        <w:rPr>
          <w:rFonts w:cs="Times New Roman"/>
          <w:noProof/>
        </w:rPr>
        <w:t xml:space="preserve">a kutatás és az innováció támogatása az élelmiszer-veszteség és az élelmiszer-pazarlás megelőzése, valamint csökkentése terén; </w:t>
      </w:r>
    </w:p>
    <w:p w14:paraId="3D61E10A" w14:textId="6AF5CF44" w:rsidR="00D65CB4" w:rsidRPr="00BC4EE7" w:rsidRDefault="00572307">
      <w:pPr>
        <w:pStyle w:val="P68B1DB1-ListParagraph6"/>
        <w:numPr>
          <w:ilvl w:val="0"/>
          <w:numId w:val="42"/>
        </w:numPr>
        <w:spacing w:before="120" w:after="120" w:line="240" w:lineRule="auto"/>
        <w:jc w:val="both"/>
        <w:rPr>
          <w:rFonts w:cs="Times New Roman"/>
          <w:noProof/>
        </w:rPr>
      </w:pPr>
      <w:r w:rsidRPr="00BC4EE7">
        <w:rPr>
          <w:rFonts w:cs="Times New Roman"/>
          <w:noProof/>
        </w:rPr>
        <w:t>a 2030-ig tartó időszakra vonatkozó menetrend felelősségteljes termelésre és fogyasztásra vonatkozó célkitűzésének teljesítése; és</w:t>
      </w:r>
    </w:p>
    <w:p w14:paraId="20011AAB" w14:textId="45762D7F" w:rsidR="00D65CB4" w:rsidRPr="00BC4EE7" w:rsidRDefault="00572307">
      <w:pPr>
        <w:pStyle w:val="P68B1DB1-ListParagraph6"/>
        <w:numPr>
          <w:ilvl w:val="0"/>
          <w:numId w:val="42"/>
        </w:numPr>
        <w:spacing w:before="120" w:after="120" w:line="240" w:lineRule="auto"/>
        <w:jc w:val="both"/>
        <w:rPr>
          <w:rFonts w:cs="Times New Roman"/>
          <w:noProof/>
        </w:rPr>
      </w:pPr>
      <w:r w:rsidRPr="00BC4EE7">
        <w:rPr>
          <w:rFonts w:cs="Times New Roman"/>
          <w:noProof/>
        </w:rPr>
        <w:t>az üvegházhatást okozó gázok és más szennyező anyagok kibocsátásának csökkentése.</w:t>
      </w:r>
    </w:p>
    <w:p w14:paraId="388EA854" w14:textId="51011AC0" w:rsidR="00D65CB4" w:rsidRPr="00BC4EE7" w:rsidRDefault="00572307">
      <w:pPr>
        <w:pStyle w:val="P68B1DB1-Normal4"/>
        <w:spacing w:before="120" w:after="120" w:line="240" w:lineRule="auto"/>
        <w:jc w:val="both"/>
        <w:rPr>
          <w:rFonts w:cs="Times New Roman"/>
          <w:noProof/>
        </w:rPr>
      </w:pPr>
      <w:r w:rsidRPr="00BC4EE7">
        <w:rPr>
          <w:rFonts w:cs="Times New Roman"/>
          <w:noProof/>
        </w:rPr>
        <w:t>Az intézkedés végrehajtásának határideje 2026. június 30.</w:t>
      </w:r>
    </w:p>
    <w:p w14:paraId="7155D10D" w14:textId="464E489C" w:rsidR="00D65CB4" w:rsidRPr="00BC4EE7" w:rsidRDefault="00572307">
      <w:pPr>
        <w:pStyle w:val="P68B1DB1-Normal5"/>
        <w:spacing w:before="120" w:after="120" w:line="240" w:lineRule="auto"/>
        <w:jc w:val="both"/>
        <w:rPr>
          <w:rFonts w:eastAsia="MS Mincho" w:cs="Times New Roman"/>
          <w:noProof/>
        </w:rPr>
      </w:pPr>
      <w:bookmarkStart w:id="13" w:name="_Hlk144116941"/>
      <w:r w:rsidRPr="00BC4EE7">
        <w:rPr>
          <w:rFonts w:cs="Times New Roman"/>
          <w:noProof/>
        </w:rPr>
        <w:t>Reform (C3.R8) – A mezőgazdasági üzemek információs rendszeréről szóló rendelet</w:t>
      </w:r>
    </w:p>
    <w:bookmarkEnd w:id="13"/>
    <w:p w14:paraId="026A03FE" w14:textId="3B1B52DC" w:rsidR="00D65CB4" w:rsidRPr="00BC4EE7" w:rsidRDefault="00572307">
      <w:pPr>
        <w:pStyle w:val="P68B1DB1-Normal4"/>
        <w:spacing w:before="120" w:after="120" w:line="240" w:lineRule="auto"/>
        <w:jc w:val="both"/>
        <w:rPr>
          <w:rFonts w:cs="Times New Roman"/>
          <w:noProof/>
        </w:rPr>
      </w:pPr>
      <w:r w:rsidRPr="00BC4EE7">
        <w:rPr>
          <w:rFonts w:cs="Times New Roman"/>
          <w:noProof/>
        </w:rPr>
        <w:t>E reform célja egy mezőgazdasági és erdészeti információs rendszer (SIEX) létrehozása, amely lehetővé teszi a Mezőgazdasági, Halászati és Élelmiszerügyi Minisztérium számára a mezőgazdasági és állattenyésztési politikák irányítását. Az információs rendszer egyszerűsíti a mezőgazdasági termelők és a közigazgatási szervek közötti kapcsolatot, és a mezőgazdasági üzemekre vonatkozó releváns információk egyetlen információs rendszerben történő összegyűjtése révén javítja a mezőgazdasági termelők vállalkozásirányítását,</w:t>
      </w:r>
    </w:p>
    <w:p w14:paraId="513ECEA3" w14:textId="6D3B564A" w:rsidR="00D65CB4" w:rsidRPr="00BC4EE7" w:rsidRDefault="00572307">
      <w:pPr>
        <w:pStyle w:val="P68B1DB1-Normal4"/>
        <w:spacing w:line="257" w:lineRule="auto"/>
        <w:jc w:val="both"/>
        <w:rPr>
          <w:rFonts w:cs="Times New Roman"/>
          <w:noProof/>
        </w:rPr>
      </w:pPr>
      <w:r w:rsidRPr="00BC4EE7">
        <w:rPr>
          <w:rFonts w:cs="Times New Roman"/>
          <w:noProof/>
        </w:rPr>
        <w:t xml:space="preserve">A rendelet létrehozza és szabályozza a mezőgazdasági üzemek és az állattartó gazdaságok, valamint a mezőgazdasági termelés információs rendszerét, valamint a mezőgazdasági üzemek autonóm közösségi nyilvántartását és a mezőgazdasági üzemek digitális nyilvántartását. A digitális gazdaságkönyvnek megfelelő átmeneti időszakot kell előirányoznia: különösen a </w:t>
      </w:r>
      <w:bookmarkStart w:id="14" w:name="_Hlk144117029"/>
      <w:r w:rsidRPr="00BC4EE7">
        <w:rPr>
          <w:rFonts w:cs="Times New Roman"/>
          <w:noProof/>
        </w:rPr>
        <w:t xml:space="preserve">digitális gazdaságkönyv 9. és 10. cikke valamennyi mezőgazdasági üzemre vonatkozóan legkésőbb </w:t>
      </w:r>
      <w:bookmarkEnd w:id="14"/>
      <w:r w:rsidRPr="00BC4EE7">
        <w:rPr>
          <w:rFonts w:cs="Times New Roman"/>
          <w:noProof/>
        </w:rPr>
        <w:t xml:space="preserve">2025 harmadik negyedévében lép hatályba.  </w:t>
      </w:r>
    </w:p>
    <w:p w14:paraId="3034905E" w14:textId="2A420807" w:rsidR="00D65CB4" w:rsidRPr="00BC4EE7" w:rsidRDefault="00572307">
      <w:pPr>
        <w:pStyle w:val="P68B1DB1-Normal4"/>
        <w:spacing w:line="257" w:lineRule="auto"/>
        <w:jc w:val="both"/>
        <w:rPr>
          <w:rFonts w:cs="Times New Roman"/>
          <w:noProof/>
        </w:rPr>
      </w:pPr>
      <w:r w:rsidRPr="00BC4EE7">
        <w:rPr>
          <w:rFonts w:cs="Times New Roman"/>
          <w:noProof/>
        </w:rPr>
        <w:t>Az intézkedés végrehajtását 2025. szeptember 30-ig be kell fejezni.</w:t>
      </w:r>
    </w:p>
    <w:p w14:paraId="3B02038A" w14:textId="64EE6C06" w:rsidR="00D65CB4" w:rsidRPr="00BC4EE7" w:rsidRDefault="00572307">
      <w:pPr>
        <w:pStyle w:val="P68B1DB1-Normal5"/>
        <w:spacing w:before="120" w:after="120" w:line="240" w:lineRule="auto"/>
        <w:jc w:val="both"/>
        <w:rPr>
          <w:rFonts w:cs="Times New Roman"/>
          <w:noProof/>
        </w:rPr>
      </w:pPr>
      <w:r w:rsidRPr="00BC4EE7">
        <w:rPr>
          <w:rFonts w:cs="Times New Roman"/>
          <w:noProof/>
        </w:rPr>
        <w:t xml:space="preserve">Beruházás (C3.I12) – Az öntözés hatékonyságának és fenntarthatóságának javítására irányuló terv </w:t>
      </w:r>
    </w:p>
    <w:p w14:paraId="3CC16C42" w14:textId="75ACC599" w:rsidR="00D65CB4" w:rsidRPr="00BC4EE7" w:rsidRDefault="00572307">
      <w:pPr>
        <w:pStyle w:val="P68B1DB1-Normal4"/>
        <w:spacing w:before="120" w:after="120" w:line="240" w:lineRule="auto"/>
        <w:jc w:val="both"/>
        <w:rPr>
          <w:rFonts w:cs="Times New Roman"/>
          <w:noProof/>
        </w:rPr>
      </w:pPr>
      <w:r w:rsidRPr="00BC4EE7">
        <w:rPr>
          <w:rFonts w:cs="Times New Roman"/>
          <w:noProof/>
        </w:rPr>
        <w:t>Ezen intézkedés célja az 1. beruházás (C3.I1) ambíciószintjének növelése: Tervezze meg az öntözés hatékonyságának és fenntarthatóságának javítását a vízmegtakarítás és az energiahatékonyság szempontjából korszerűsített hektárszám növelése révén.</w:t>
      </w:r>
    </w:p>
    <w:p w14:paraId="2509A6F4" w14:textId="3625D1BE" w:rsidR="00D65CB4" w:rsidRPr="00BC4EE7" w:rsidRDefault="00572307">
      <w:pPr>
        <w:pStyle w:val="P68B1DB1-Normal4"/>
        <w:spacing w:before="120" w:after="120" w:line="240" w:lineRule="auto"/>
        <w:jc w:val="both"/>
        <w:rPr>
          <w:rFonts w:cs="Times New Roman"/>
          <w:noProof/>
        </w:rPr>
      </w:pPr>
      <w:r w:rsidRPr="00BC4EE7">
        <w:rPr>
          <w:rFonts w:cs="Times New Roman"/>
          <w:noProof/>
        </w:rPr>
        <w:t>Az intézkedés végrehajtásának határideje 2026. június 30.</w:t>
      </w:r>
    </w:p>
    <w:p w14:paraId="6DAC6ACD" w14:textId="77777777" w:rsidR="00D65CB4" w:rsidRPr="00BC4EE7" w:rsidRDefault="00D65CB4">
      <w:pPr>
        <w:spacing w:before="120" w:after="120" w:line="240" w:lineRule="auto"/>
        <w:jc w:val="both"/>
        <w:rPr>
          <w:rFonts w:ascii="Times New Roman" w:hAnsi="Times New Roman" w:cs="Times New Roman"/>
          <w:noProof/>
          <w:sz w:val="24"/>
        </w:rPr>
      </w:pPr>
    </w:p>
    <w:p w14:paraId="705C34EA" w14:textId="18746366" w:rsidR="00D65CB4" w:rsidRPr="00BC4EE7" w:rsidRDefault="00572307">
      <w:pPr>
        <w:spacing w:before="120" w:after="120" w:line="240" w:lineRule="auto"/>
        <w:ind w:left="709"/>
        <w:jc w:val="both"/>
        <w:rPr>
          <w:rFonts w:ascii="Times New Roman" w:hAnsi="Times New Roman" w:cs="Times New Roman"/>
          <w:b/>
          <w:noProof/>
          <w:sz w:val="24"/>
          <w:u w:val="single"/>
        </w:rPr>
      </w:pPr>
      <w:r w:rsidRPr="00BC4EE7">
        <w:rPr>
          <w:rFonts w:ascii="Times New Roman" w:hAnsi="Times New Roman" w:cs="Times New Roman"/>
          <w:b/>
          <w:noProof/>
          <w:sz w:val="24"/>
          <w:u w:val="single"/>
        </w:rPr>
        <w:t xml:space="preserve">C.4.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A hiteltámogatás nyomon követésére és végrehajtására vonatkozó mérföldkövek, célok, mutatók és ütemterv</w:t>
      </w:r>
    </w:p>
    <w:p w14:paraId="205EEAAB" w14:textId="77777777" w:rsidR="00D65CB4" w:rsidRPr="00BC4EE7" w:rsidRDefault="00572307">
      <w:pPr>
        <w:pStyle w:val="P68B1DB1-Normal17"/>
        <w:spacing w:before="120" w:after="120" w:line="240" w:lineRule="auto"/>
        <w:jc w:val="both"/>
        <w:rPr>
          <w:rFonts w:cs="Times New Roman"/>
          <w:noProof/>
        </w:rPr>
      </w:pPr>
      <w:r w:rsidRPr="00BC4EE7">
        <w:rPr>
          <w:rFonts w:cs="Times New Roman"/>
          <w:noProof/>
        </w:rPr>
        <w:t>Táblázat alább. Az összes mutató esetében az alapforgatókönyv időpontja 2020. február 1., kivéve, ha az intézkedés leírása ettől eltérően rendelkezik. A táblázatban szereplő összegek nem tartalmazzák a héát.</w:t>
      </w:r>
    </w:p>
    <w:p w14:paraId="02B0CF37" w14:textId="77777777" w:rsidR="00D65CB4" w:rsidRPr="00BC4EE7" w:rsidRDefault="00D65CB4">
      <w:pPr>
        <w:spacing w:before="120" w:after="120" w:line="240" w:lineRule="auto"/>
        <w:jc w:val="both"/>
        <w:rPr>
          <w:rFonts w:ascii="Times New Roman" w:hAnsi="Times New Roman" w:cs="Times New Roman"/>
          <w:i/>
          <w:noProof/>
          <w:sz w:val="24"/>
        </w:rPr>
      </w:pPr>
    </w:p>
    <w:p w14:paraId="3F634206" w14:textId="0C0F90FE" w:rsidR="00D65CB4" w:rsidRPr="00BC4EE7" w:rsidRDefault="00D65CB4">
      <w:pPr>
        <w:spacing w:before="120" w:after="120" w:line="240" w:lineRule="auto"/>
        <w:jc w:val="both"/>
        <w:rPr>
          <w:rFonts w:ascii="Times New Roman" w:hAnsi="Times New Roman" w:cs="Times New Roman"/>
          <w:i/>
          <w:noProof/>
          <w:sz w:val="24"/>
        </w:rPr>
        <w:sectPr w:rsidR="00D65CB4" w:rsidRPr="00BC4EE7" w:rsidSect="00B511EF">
          <w:headerReference w:type="even" r:id="rId87"/>
          <w:headerReference w:type="default" r:id="rId88"/>
          <w:footerReference w:type="even" r:id="rId89"/>
          <w:footerReference w:type="default" r:id="rId90"/>
          <w:headerReference w:type="first" r:id="rId91"/>
          <w:footerReference w:type="first" r:id="rId92"/>
          <w:pgSz w:w="11907" w:h="16839"/>
          <w:pgMar w:top="1134" w:right="1134" w:bottom="1134" w:left="1134" w:header="567" w:footer="567" w:gutter="0"/>
          <w:cols w:space="720"/>
          <w:docGrid w:linePitch="360"/>
        </w:sectPr>
      </w:pPr>
    </w:p>
    <w:tbl>
      <w:tblPr>
        <w:tblW w:w="15594"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974"/>
        <w:gridCol w:w="1012"/>
        <w:gridCol w:w="992"/>
        <w:gridCol w:w="2685"/>
        <w:gridCol w:w="1242"/>
        <w:gridCol w:w="828"/>
        <w:gridCol w:w="966"/>
        <w:gridCol w:w="691"/>
        <w:gridCol w:w="415"/>
        <w:gridCol w:w="553"/>
        <w:gridCol w:w="5236"/>
      </w:tblGrid>
      <w:tr w:rsidR="00D65CB4" w:rsidRPr="00BC4EE7" w14:paraId="77B98CAE" w14:textId="77777777" w:rsidTr="00A1097A">
        <w:trPr>
          <w:trHeight w:val="309"/>
          <w:tblHeader/>
        </w:trPr>
        <w:tc>
          <w:tcPr>
            <w:tcW w:w="974" w:type="dxa"/>
            <w:tcBorders>
              <w:bottom w:val="nil"/>
            </w:tcBorders>
            <w:shd w:val="clear" w:color="auto" w:fill="C6D9F1" w:themeFill="text2" w:themeFillTint="33"/>
            <w:noWrap/>
            <w:vAlign w:val="center"/>
          </w:tcPr>
          <w:p w14:paraId="337A57E0"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Szám</w:t>
            </w:r>
          </w:p>
        </w:tc>
        <w:tc>
          <w:tcPr>
            <w:tcW w:w="1012" w:type="dxa"/>
            <w:tcBorders>
              <w:bottom w:val="nil"/>
            </w:tcBorders>
            <w:shd w:val="clear" w:color="auto" w:fill="C6D9F1" w:themeFill="text2" w:themeFillTint="33"/>
            <w:noWrap/>
            <w:vAlign w:val="center"/>
          </w:tcPr>
          <w:p w14:paraId="7789EA1D"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Intézkedés</w:t>
            </w:r>
          </w:p>
        </w:tc>
        <w:tc>
          <w:tcPr>
            <w:tcW w:w="992" w:type="dxa"/>
            <w:tcBorders>
              <w:bottom w:val="nil"/>
            </w:tcBorders>
            <w:shd w:val="clear" w:color="auto" w:fill="C6D9F1" w:themeFill="text2" w:themeFillTint="33"/>
            <w:noWrap/>
            <w:vAlign w:val="center"/>
          </w:tcPr>
          <w:p w14:paraId="00E74E27" w14:textId="77777777" w:rsidR="00D65CB4" w:rsidRPr="00BC4EE7" w:rsidRDefault="00572307">
            <w:pPr>
              <w:spacing w:after="0" w:line="240" w:lineRule="auto"/>
              <w:jc w:val="center"/>
              <w:rPr>
                <w:rFonts w:ascii="Times New Roman" w:hAnsi="Times New Roman" w:cs="Times New Roman"/>
                <w:b/>
                <w:noProof/>
                <w:sz w:val="18"/>
              </w:rPr>
            </w:pPr>
            <w:r w:rsidRPr="00BC4EE7">
              <w:rPr>
                <w:rFonts w:ascii="Times New Roman" w:hAnsi="Times New Roman" w:cs="Times New Roman"/>
                <w:b/>
                <w:noProof/>
                <w:sz w:val="18"/>
              </w:rPr>
              <w:t>Mérföldkő</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b/>
                <w:noProof/>
                <w:sz w:val="18"/>
              </w:rPr>
              <w:t xml:space="preserve"> /Cél</w:t>
            </w:r>
          </w:p>
        </w:tc>
        <w:tc>
          <w:tcPr>
            <w:tcW w:w="2685" w:type="dxa"/>
            <w:tcBorders>
              <w:bottom w:val="nil"/>
            </w:tcBorders>
            <w:shd w:val="clear" w:color="auto" w:fill="C6D9F1" w:themeFill="text2" w:themeFillTint="33"/>
            <w:noWrap/>
            <w:vAlign w:val="center"/>
          </w:tcPr>
          <w:p w14:paraId="44ADEC22"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Név</w:t>
            </w:r>
          </w:p>
        </w:tc>
        <w:tc>
          <w:tcPr>
            <w:tcW w:w="1242" w:type="dxa"/>
            <w:tcBorders>
              <w:bottom w:val="nil"/>
            </w:tcBorders>
            <w:shd w:val="clear" w:color="auto" w:fill="C6D9F1" w:themeFill="text2" w:themeFillTint="33"/>
            <w:noWrap/>
            <w:vAlign w:val="center"/>
          </w:tcPr>
          <w:p w14:paraId="5F48B682"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mérföldkövek minőségi mutatója</w:t>
            </w:r>
          </w:p>
        </w:tc>
        <w:tc>
          <w:tcPr>
            <w:tcW w:w="2485" w:type="dxa"/>
            <w:gridSpan w:val="3"/>
            <w:shd w:val="clear" w:color="auto" w:fill="C6D9F1" w:themeFill="text2" w:themeFillTint="33"/>
            <w:noWrap/>
            <w:vAlign w:val="center"/>
          </w:tcPr>
          <w:p w14:paraId="038E7C96"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célérték mennyiségi mutatója</w:t>
            </w:r>
          </w:p>
        </w:tc>
        <w:tc>
          <w:tcPr>
            <w:tcW w:w="968" w:type="dxa"/>
            <w:gridSpan w:val="2"/>
            <w:shd w:val="clear" w:color="auto" w:fill="C6D9F1" w:themeFill="text2" w:themeFillTint="33"/>
            <w:noWrap/>
            <w:vAlign w:val="center"/>
          </w:tcPr>
          <w:p w14:paraId="0C4E346D"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Idő</w:t>
            </w:r>
          </w:p>
        </w:tc>
        <w:tc>
          <w:tcPr>
            <w:tcW w:w="5236" w:type="dxa"/>
            <w:tcBorders>
              <w:bottom w:val="nil"/>
            </w:tcBorders>
            <w:shd w:val="clear" w:color="auto" w:fill="C6D9F1" w:themeFill="text2" w:themeFillTint="33"/>
            <w:noWrap/>
            <w:vAlign w:val="center"/>
          </w:tcPr>
          <w:p w14:paraId="2F3DFA56"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Az egyes mérföldkövek és célértékek leírása</w:t>
            </w:r>
          </w:p>
        </w:tc>
      </w:tr>
      <w:tr w:rsidR="00D65CB4" w:rsidRPr="00BC4EE7" w14:paraId="0FB3FC90" w14:textId="77777777" w:rsidTr="00A1097A">
        <w:trPr>
          <w:trHeight w:val="309"/>
          <w:tblHeader/>
        </w:trPr>
        <w:tc>
          <w:tcPr>
            <w:tcW w:w="974" w:type="dxa"/>
            <w:tcBorders>
              <w:top w:val="nil"/>
            </w:tcBorders>
            <w:shd w:val="clear" w:color="auto" w:fill="C6D9F1" w:themeFill="text2" w:themeFillTint="33"/>
            <w:noWrap/>
          </w:tcPr>
          <w:p w14:paraId="2456EE71" w14:textId="77777777" w:rsidR="00D65CB4" w:rsidRPr="00BC4EE7" w:rsidRDefault="00D65CB4">
            <w:pPr>
              <w:spacing w:after="0" w:line="240" w:lineRule="auto"/>
              <w:jc w:val="center"/>
              <w:rPr>
                <w:rFonts w:ascii="Times New Roman" w:hAnsi="Times New Roman" w:cs="Times New Roman"/>
                <w:b/>
                <w:noProof/>
                <w:sz w:val="18"/>
              </w:rPr>
            </w:pPr>
          </w:p>
        </w:tc>
        <w:tc>
          <w:tcPr>
            <w:tcW w:w="1012" w:type="dxa"/>
            <w:tcBorders>
              <w:top w:val="nil"/>
            </w:tcBorders>
            <w:shd w:val="clear" w:color="auto" w:fill="C6D9F1" w:themeFill="text2" w:themeFillTint="33"/>
            <w:noWrap/>
          </w:tcPr>
          <w:p w14:paraId="36062903" w14:textId="77777777" w:rsidR="00D65CB4" w:rsidRPr="00BC4EE7" w:rsidRDefault="00D65CB4">
            <w:pPr>
              <w:spacing w:after="0" w:line="240" w:lineRule="auto"/>
              <w:jc w:val="center"/>
              <w:rPr>
                <w:rFonts w:ascii="Times New Roman" w:hAnsi="Times New Roman" w:cs="Times New Roman"/>
                <w:b/>
                <w:noProof/>
                <w:sz w:val="18"/>
              </w:rPr>
            </w:pPr>
          </w:p>
        </w:tc>
        <w:tc>
          <w:tcPr>
            <w:tcW w:w="992" w:type="dxa"/>
            <w:tcBorders>
              <w:top w:val="nil"/>
            </w:tcBorders>
            <w:shd w:val="clear" w:color="auto" w:fill="C6D9F1" w:themeFill="text2" w:themeFillTint="33"/>
            <w:noWrap/>
          </w:tcPr>
          <w:p w14:paraId="25602844" w14:textId="77777777" w:rsidR="00D65CB4" w:rsidRPr="00BC4EE7" w:rsidRDefault="00D65CB4">
            <w:pPr>
              <w:spacing w:after="0" w:line="240" w:lineRule="auto"/>
              <w:jc w:val="center"/>
              <w:rPr>
                <w:rFonts w:ascii="Times New Roman" w:hAnsi="Times New Roman" w:cs="Times New Roman"/>
                <w:b/>
                <w:noProof/>
                <w:sz w:val="18"/>
              </w:rPr>
            </w:pPr>
          </w:p>
        </w:tc>
        <w:tc>
          <w:tcPr>
            <w:tcW w:w="2685" w:type="dxa"/>
            <w:tcBorders>
              <w:top w:val="nil"/>
            </w:tcBorders>
            <w:shd w:val="clear" w:color="auto" w:fill="C6D9F1" w:themeFill="text2" w:themeFillTint="33"/>
            <w:noWrap/>
          </w:tcPr>
          <w:p w14:paraId="74F579D0" w14:textId="77777777" w:rsidR="00D65CB4" w:rsidRPr="00BC4EE7" w:rsidRDefault="00D65CB4">
            <w:pPr>
              <w:spacing w:after="0" w:line="240" w:lineRule="auto"/>
              <w:rPr>
                <w:rFonts w:ascii="Times New Roman" w:hAnsi="Times New Roman" w:cs="Times New Roman"/>
                <w:b/>
                <w:noProof/>
                <w:sz w:val="18"/>
              </w:rPr>
            </w:pPr>
          </w:p>
        </w:tc>
        <w:tc>
          <w:tcPr>
            <w:tcW w:w="1242" w:type="dxa"/>
            <w:tcBorders>
              <w:top w:val="nil"/>
            </w:tcBorders>
            <w:shd w:val="clear" w:color="auto" w:fill="C6D9F1" w:themeFill="text2" w:themeFillTint="33"/>
            <w:noWrap/>
          </w:tcPr>
          <w:p w14:paraId="084F1AD9" w14:textId="77777777" w:rsidR="00D65CB4" w:rsidRPr="00BC4EE7" w:rsidRDefault="00D65CB4">
            <w:pPr>
              <w:spacing w:after="0" w:line="240" w:lineRule="auto"/>
              <w:jc w:val="center"/>
              <w:rPr>
                <w:rFonts w:ascii="Times New Roman" w:hAnsi="Times New Roman" w:cs="Times New Roman"/>
                <w:b/>
                <w:noProof/>
                <w:sz w:val="18"/>
              </w:rPr>
            </w:pPr>
          </w:p>
        </w:tc>
        <w:tc>
          <w:tcPr>
            <w:tcW w:w="828" w:type="dxa"/>
            <w:shd w:val="clear" w:color="auto" w:fill="C6D9F1" w:themeFill="text2" w:themeFillTint="33"/>
            <w:noWrap/>
            <w:vAlign w:val="center"/>
          </w:tcPr>
          <w:p w14:paraId="5DC5BB17"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Egység</w:t>
            </w:r>
          </w:p>
        </w:tc>
        <w:tc>
          <w:tcPr>
            <w:tcW w:w="966" w:type="dxa"/>
            <w:shd w:val="clear" w:color="auto" w:fill="C6D9F1" w:themeFill="text2" w:themeFillTint="33"/>
            <w:noWrap/>
            <w:vAlign w:val="center"/>
          </w:tcPr>
          <w:p w14:paraId="05A74D68" w14:textId="3AB0F6B0" w:rsidR="00D65CB4" w:rsidRPr="00BC4EE7" w:rsidRDefault="00572307">
            <w:pPr>
              <w:pStyle w:val="P68B1DB1-Normal8"/>
              <w:spacing w:after="0" w:line="240" w:lineRule="auto"/>
              <w:jc w:val="center"/>
              <w:rPr>
                <w:rFonts w:cs="Times New Roman"/>
                <w:noProof/>
              </w:rPr>
            </w:pPr>
            <w:r w:rsidRPr="00BC4EE7">
              <w:rPr>
                <w:rFonts w:cs="Times New Roman"/>
                <w:noProof/>
              </w:rPr>
              <w:t>Kiindulási</w:t>
            </w:r>
          </w:p>
        </w:tc>
        <w:tc>
          <w:tcPr>
            <w:tcW w:w="691" w:type="dxa"/>
            <w:shd w:val="clear" w:color="auto" w:fill="C6D9F1" w:themeFill="text2" w:themeFillTint="33"/>
            <w:noWrap/>
            <w:vAlign w:val="center"/>
          </w:tcPr>
          <w:p w14:paraId="7E513F68"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Cél</w:t>
            </w:r>
          </w:p>
        </w:tc>
        <w:tc>
          <w:tcPr>
            <w:tcW w:w="415" w:type="dxa"/>
            <w:shd w:val="clear" w:color="auto" w:fill="C6D9F1" w:themeFill="text2" w:themeFillTint="33"/>
            <w:noWrap/>
            <w:vAlign w:val="center"/>
          </w:tcPr>
          <w:p w14:paraId="0DFA7491"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Q</w:t>
            </w:r>
          </w:p>
        </w:tc>
        <w:tc>
          <w:tcPr>
            <w:tcW w:w="553" w:type="dxa"/>
            <w:shd w:val="clear" w:color="auto" w:fill="C6D9F1" w:themeFill="text2" w:themeFillTint="33"/>
            <w:noWrap/>
            <w:vAlign w:val="center"/>
          </w:tcPr>
          <w:p w14:paraId="5C5694D9"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Éve</w:t>
            </w:r>
          </w:p>
        </w:tc>
        <w:tc>
          <w:tcPr>
            <w:tcW w:w="5236" w:type="dxa"/>
            <w:tcBorders>
              <w:top w:val="nil"/>
            </w:tcBorders>
            <w:shd w:val="clear" w:color="auto" w:fill="C6D9F1" w:themeFill="text2" w:themeFillTint="33"/>
            <w:noWrap/>
          </w:tcPr>
          <w:p w14:paraId="00992F30" w14:textId="77777777" w:rsidR="00D65CB4" w:rsidRPr="00BC4EE7" w:rsidRDefault="00D65CB4">
            <w:pPr>
              <w:spacing w:after="0" w:line="240" w:lineRule="auto"/>
              <w:rPr>
                <w:rFonts w:ascii="Times New Roman" w:hAnsi="Times New Roman" w:cs="Times New Roman"/>
                <w:b/>
                <w:noProof/>
                <w:sz w:val="18"/>
              </w:rPr>
            </w:pPr>
          </w:p>
        </w:tc>
      </w:tr>
      <w:tr w:rsidR="00D65CB4" w:rsidRPr="00BC4EE7" w14:paraId="09C47A75" w14:textId="77777777" w:rsidTr="00A1097A">
        <w:trPr>
          <w:trHeight w:val="499"/>
        </w:trPr>
        <w:tc>
          <w:tcPr>
            <w:tcW w:w="974" w:type="dxa"/>
            <w:shd w:val="clear" w:color="auto" w:fill="C6EFCE"/>
            <w:noWrap/>
          </w:tcPr>
          <w:p w14:paraId="06ECD5AB" w14:textId="70156A1E"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L8</w:t>
            </w:r>
          </w:p>
        </w:tc>
        <w:tc>
          <w:tcPr>
            <w:tcW w:w="1012" w:type="dxa"/>
            <w:shd w:val="clear" w:color="auto" w:fill="C6EFCE"/>
            <w:noWrap/>
          </w:tcPr>
          <w:p w14:paraId="46CDA653" w14:textId="3A3289B4"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C3.R7</w:t>
            </w:r>
          </w:p>
        </w:tc>
        <w:tc>
          <w:tcPr>
            <w:tcW w:w="992" w:type="dxa"/>
            <w:shd w:val="clear" w:color="auto" w:fill="C6EFCE"/>
            <w:noWrap/>
          </w:tcPr>
          <w:p w14:paraId="5A728BE4" w14:textId="4EB8AB00"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 xml:space="preserve">M </w:t>
            </w:r>
          </w:p>
        </w:tc>
        <w:tc>
          <w:tcPr>
            <w:tcW w:w="2685" w:type="dxa"/>
            <w:shd w:val="clear" w:color="auto" w:fill="C6EFCE"/>
            <w:noWrap/>
          </w:tcPr>
          <w:p w14:paraId="776D81CA" w14:textId="66069DC8" w:rsidR="00D65CB4" w:rsidRPr="00BC4EE7" w:rsidRDefault="00572307">
            <w:pPr>
              <w:pStyle w:val="P68B1DB1-Normal12"/>
              <w:spacing w:after="0" w:line="240" w:lineRule="auto"/>
              <w:rPr>
                <w:rFonts w:eastAsia="MS Mincho" w:cs="Times New Roman"/>
                <w:noProof/>
              </w:rPr>
            </w:pPr>
            <w:r w:rsidRPr="00BC4EE7">
              <w:rPr>
                <w:rFonts w:cs="Times New Roman"/>
                <w:noProof/>
              </w:rPr>
              <w:t>Az élelmiszer-veszteség és az élelmiszer-pazarlás megelőzéséről szóló törvény hatálybalépése</w:t>
            </w:r>
          </w:p>
        </w:tc>
        <w:tc>
          <w:tcPr>
            <w:tcW w:w="1242" w:type="dxa"/>
            <w:shd w:val="clear" w:color="auto" w:fill="C6EFCE"/>
            <w:noWrap/>
          </w:tcPr>
          <w:p w14:paraId="3F192C07" w14:textId="310C69F8"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A hatálybalépésről szóló törvény rendelkezése</w:t>
            </w:r>
          </w:p>
        </w:tc>
        <w:tc>
          <w:tcPr>
            <w:tcW w:w="828" w:type="dxa"/>
            <w:shd w:val="clear" w:color="auto" w:fill="C6EFCE"/>
            <w:noWrap/>
          </w:tcPr>
          <w:p w14:paraId="43BAD5F2" w14:textId="6E689CDC"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966" w:type="dxa"/>
            <w:shd w:val="clear" w:color="auto" w:fill="C6EFCE"/>
            <w:noWrap/>
          </w:tcPr>
          <w:p w14:paraId="71AE70BD" w14:textId="19EF3350"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691" w:type="dxa"/>
            <w:shd w:val="clear" w:color="auto" w:fill="C6EFCE"/>
            <w:noWrap/>
          </w:tcPr>
          <w:p w14:paraId="4C27FBF8" w14:textId="21110AE6"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415" w:type="dxa"/>
            <w:shd w:val="clear" w:color="auto" w:fill="C6EFCE"/>
            <w:noWrap/>
          </w:tcPr>
          <w:p w14:paraId="34FA35EE" w14:textId="0F24B3D3"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 xml:space="preserve"> Q2</w:t>
            </w:r>
          </w:p>
        </w:tc>
        <w:tc>
          <w:tcPr>
            <w:tcW w:w="553" w:type="dxa"/>
            <w:shd w:val="clear" w:color="auto" w:fill="C6EFCE"/>
            <w:noWrap/>
          </w:tcPr>
          <w:p w14:paraId="7DF3C752" w14:textId="0A625AD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 xml:space="preserve">2026 </w:t>
            </w:r>
          </w:p>
        </w:tc>
        <w:tc>
          <w:tcPr>
            <w:tcW w:w="5236" w:type="dxa"/>
            <w:shd w:val="clear" w:color="auto" w:fill="C6EFCE"/>
            <w:noWrap/>
          </w:tcPr>
          <w:p w14:paraId="0C328928" w14:textId="3B269B37" w:rsidR="00D65CB4" w:rsidRPr="00BC4EE7" w:rsidRDefault="00572307">
            <w:pPr>
              <w:pStyle w:val="P68B1DB1-Normal12"/>
              <w:spacing w:line="240" w:lineRule="auto"/>
              <w:jc w:val="both"/>
              <w:rPr>
                <w:rFonts w:cs="Times New Roman"/>
                <w:noProof/>
              </w:rPr>
            </w:pPr>
            <w:r w:rsidRPr="00BC4EE7">
              <w:rPr>
                <w:rFonts w:cs="Times New Roman"/>
                <w:noProof/>
              </w:rPr>
              <w:t>Az élelmiszer-veszteség és az élelmiszer-pazarlás megelőzéséről szóló rendelet hatálybalépése, az intézkedés leírásával összhangban.</w:t>
            </w:r>
          </w:p>
        </w:tc>
      </w:tr>
      <w:tr w:rsidR="00D65CB4" w:rsidRPr="00BC4EE7" w14:paraId="6EDA9D91" w14:textId="77777777" w:rsidTr="00A1097A">
        <w:trPr>
          <w:trHeight w:val="309"/>
        </w:trPr>
        <w:tc>
          <w:tcPr>
            <w:tcW w:w="974" w:type="dxa"/>
            <w:shd w:val="clear" w:color="auto" w:fill="C6EFCE"/>
            <w:noWrap/>
          </w:tcPr>
          <w:p w14:paraId="7161990D" w14:textId="12334B2C" w:rsidR="00D65CB4" w:rsidRPr="00BC4EE7" w:rsidRDefault="00572307">
            <w:pPr>
              <w:pStyle w:val="P68B1DB1-Normal12"/>
              <w:spacing w:after="0" w:line="240" w:lineRule="auto"/>
              <w:jc w:val="center"/>
              <w:rPr>
                <w:rFonts w:cs="Times New Roman"/>
                <w:noProof/>
              </w:rPr>
            </w:pPr>
            <w:r w:rsidRPr="00BC4EE7">
              <w:rPr>
                <w:rFonts w:cs="Times New Roman"/>
                <w:noProof/>
              </w:rPr>
              <w:t>L9</w:t>
            </w:r>
          </w:p>
        </w:tc>
        <w:tc>
          <w:tcPr>
            <w:tcW w:w="1012" w:type="dxa"/>
            <w:shd w:val="clear" w:color="auto" w:fill="C6EFCE"/>
            <w:noWrap/>
          </w:tcPr>
          <w:p w14:paraId="483982C1" w14:textId="20DDE527" w:rsidR="00D65CB4" w:rsidRPr="00BC4EE7" w:rsidRDefault="00572307">
            <w:pPr>
              <w:pStyle w:val="P68B1DB1-Normal12"/>
              <w:spacing w:after="0" w:line="240" w:lineRule="auto"/>
              <w:jc w:val="center"/>
              <w:rPr>
                <w:rFonts w:cs="Times New Roman"/>
                <w:noProof/>
              </w:rPr>
            </w:pPr>
            <w:r w:rsidRPr="00BC4EE7">
              <w:rPr>
                <w:rFonts w:cs="Times New Roman"/>
                <w:noProof/>
              </w:rPr>
              <w:t>C3.R8</w:t>
            </w:r>
          </w:p>
        </w:tc>
        <w:tc>
          <w:tcPr>
            <w:tcW w:w="992" w:type="dxa"/>
            <w:shd w:val="clear" w:color="auto" w:fill="C6EFCE"/>
            <w:noWrap/>
          </w:tcPr>
          <w:p w14:paraId="615A09D7" w14:textId="38C9B77E" w:rsidR="00D65CB4" w:rsidRPr="00BC4EE7" w:rsidRDefault="00572307">
            <w:pPr>
              <w:pStyle w:val="P68B1DB1-Normal12"/>
              <w:spacing w:after="0" w:line="240" w:lineRule="auto"/>
              <w:jc w:val="center"/>
              <w:rPr>
                <w:rFonts w:cs="Times New Roman"/>
                <w:noProof/>
              </w:rPr>
            </w:pPr>
            <w:r w:rsidRPr="00BC4EE7">
              <w:rPr>
                <w:rFonts w:cs="Times New Roman"/>
                <w:noProof/>
              </w:rPr>
              <w:t>M</w:t>
            </w:r>
          </w:p>
        </w:tc>
        <w:tc>
          <w:tcPr>
            <w:tcW w:w="2685" w:type="dxa"/>
            <w:shd w:val="clear" w:color="auto" w:fill="C6EFCE"/>
            <w:noWrap/>
          </w:tcPr>
          <w:p w14:paraId="5638743E" w14:textId="08C082A8" w:rsidR="00D65CB4" w:rsidRPr="00BC4EE7" w:rsidRDefault="00572307">
            <w:pPr>
              <w:pStyle w:val="P68B1DB1-Normal12"/>
              <w:spacing w:after="0" w:line="240" w:lineRule="auto"/>
              <w:rPr>
                <w:rFonts w:cs="Times New Roman"/>
                <w:noProof/>
              </w:rPr>
            </w:pPr>
            <w:r w:rsidRPr="00BC4EE7">
              <w:rPr>
                <w:rFonts w:cs="Times New Roman"/>
                <w:noProof/>
              </w:rPr>
              <w:t>A mezőgazdasági üzemek információs rendszeréről szóló rendelet hatálybalépése</w:t>
            </w:r>
          </w:p>
        </w:tc>
        <w:tc>
          <w:tcPr>
            <w:tcW w:w="1242" w:type="dxa"/>
            <w:shd w:val="clear" w:color="auto" w:fill="C6EFCE"/>
            <w:noWrap/>
          </w:tcPr>
          <w:p w14:paraId="4ED04105" w14:textId="6B75F17A" w:rsidR="00D65CB4" w:rsidRPr="00BC4EE7" w:rsidRDefault="00572307">
            <w:pPr>
              <w:pStyle w:val="P68B1DB1-Normal12"/>
              <w:spacing w:after="0" w:line="240" w:lineRule="auto"/>
              <w:jc w:val="center"/>
              <w:rPr>
                <w:rFonts w:cs="Times New Roman"/>
                <w:noProof/>
              </w:rPr>
            </w:pPr>
            <w:r w:rsidRPr="00BC4EE7">
              <w:rPr>
                <w:rFonts w:cs="Times New Roman"/>
                <w:noProof/>
              </w:rPr>
              <w:t>A hatálybalépésről szóló királyi rendelet rendelkezése</w:t>
            </w:r>
          </w:p>
        </w:tc>
        <w:tc>
          <w:tcPr>
            <w:tcW w:w="828" w:type="dxa"/>
            <w:shd w:val="clear" w:color="auto" w:fill="C6EFCE"/>
            <w:noWrap/>
          </w:tcPr>
          <w:p w14:paraId="265B3622" w14:textId="4D4D1781" w:rsidR="00D65CB4" w:rsidRPr="00BC4EE7" w:rsidRDefault="00572307">
            <w:pPr>
              <w:pStyle w:val="P68B1DB1-Normal12"/>
              <w:spacing w:after="0" w:line="240" w:lineRule="auto"/>
              <w:jc w:val="right"/>
              <w:rPr>
                <w:rFonts w:cs="Times New Roman"/>
                <w:noProof/>
              </w:rPr>
            </w:pPr>
            <w:r w:rsidRPr="00BC4EE7">
              <w:rPr>
                <w:rFonts w:cs="Times New Roman"/>
                <w:noProof/>
              </w:rPr>
              <w:t xml:space="preserve"> </w:t>
            </w:r>
          </w:p>
        </w:tc>
        <w:tc>
          <w:tcPr>
            <w:tcW w:w="966" w:type="dxa"/>
            <w:shd w:val="clear" w:color="auto" w:fill="C6EFCE"/>
            <w:noWrap/>
          </w:tcPr>
          <w:p w14:paraId="14387D9D" w14:textId="218B91A6" w:rsidR="00D65CB4" w:rsidRPr="00BC4EE7" w:rsidRDefault="00572307">
            <w:pPr>
              <w:pStyle w:val="P68B1DB1-Normal12"/>
              <w:spacing w:after="0" w:line="240" w:lineRule="auto"/>
              <w:jc w:val="right"/>
              <w:rPr>
                <w:rFonts w:cs="Times New Roman"/>
                <w:noProof/>
              </w:rPr>
            </w:pPr>
            <w:r w:rsidRPr="00BC4EE7">
              <w:rPr>
                <w:rFonts w:cs="Times New Roman"/>
                <w:noProof/>
              </w:rPr>
              <w:t xml:space="preserve"> </w:t>
            </w:r>
          </w:p>
        </w:tc>
        <w:tc>
          <w:tcPr>
            <w:tcW w:w="691" w:type="dxa"/>
            <w:shd w:val="clear" w:color="auto" w:fill="C6EFCE"/>
            <w:noWrap/>
          </w:tcPr>
          <w:p w14:paraId="5637998B" w14:textId="025F425C" w:rsidR="00D65CB4" w:rsidRPr="00BC4EE7" w:rsidRDefault="00572307">
            <w:pPr>
              <w:pStyle w:val="P68B1DB1-Normal12"/>
              <w:spacing w:after="0" w:line="240" w:lineRule="auto"/>
              <w:jc w:val="right"/>
              <w:rPr>
                <w:rFonts w:cs="Times New Roman"/>
                <w:noProof/>
              </w:rPr>
            </w:pPr>
            <w:r w:rsidRPr="00BC4EE7">
              <w:rPr>
                <w:rFonts w:cs="Times New Roman"/>
                <w:noProof/>
              </w:rPr>
              <w:t xml:space="preserve"> </w:t>
            </w:r>
          </w:p>
        </w:tc>
        <w:tc>
          <w:tcPr>
            <w:tcW w:w="415" w:type="dxa"/>
            <w:shd w:val="clear" w:color="auto" w:fill="C6EFCE"/>
            <w:noWrap/>
          </w:tcPr>
          <w:p w14:paraId="2E0A5B77" w14:textId="78A634BB" w:rsidR="00D65CB4" w:rsidRPr="00BC4EE7" w:rsidRDefault="00572307">
            <w:pPr>
              <w:pStyle w:val="P68B1DB1-Normal12"/>
              <w:spacing w:after="0" w:line="240" w:lineRule="auto"/>
              <w:jc w:val="center"/>
              <w:rPr>
                <w:rFonts w:cs="Times New Roman"/>
                <w:noProof/>
              </w:rPr>
            </w:pPr>
            <w:r w:rsidRPr="00BC4EE7">
              <w:rPr>
                <w:rFonts w:cs="Times New Roman"/>
                <w:noProof/>
              </w:rPr>
              <w:t xml:space="preserve"> Q3</w:t>
            </w:r>
          </w:p>
        </w:tc>
        <w:tc>
          <w:tcPr>
            <w:tcW w:w="553" w:type="dxa"/>
            <w:shd w:val="clear" w:color="auto" w:fill="C6EFCE"/>
            <w:noWrap/>
          </w:tcPr>
          <w:p w14:paraId="5E63A245" w14:textId="27DE9857" w:rsidR="00D65CB4" w:rsidRPr="00BC4EE7" w:rsidRDefault="00572307">
            <w:pPr>
              <w:pStyle w:val="P68B1DB1-Normal12"/>
              <w:spacing w:after="0" w:line="240" w:lineRule="auto"/>
              <w:jc w:val="center"/>
              <w:rPr>
                <w:rFonts w:cs="Times New Roman"/>
                <w:noProof/>
              </w:rPr>
            </w:pPr>
            <w:r w:rsidRPr="00BC4EE7">
              <w:rPr>
                <w:rFonts w:cs="Times New Roman"/>
                <w:noProof/>
              </w:rPr>
              <w:t xml:space="preserve">2025 </w:t>
            </w:r>
          </w:p>
        </w:tc>
        <w:tc>
          <w:tcPr>
            <w:tcW w:w="5236" w:type="dxa"/>
            <w:shd w:val="clear" w:color="auto" w:fill="C6EFCE"/>
            <w:noWrap/>
          </w:tcPr>
          <w:p w14:paraId="2F551A31" w14:textId="4F8941EC" w:rsidR="00D65CB4" w:rsidRPr="00BC4EE7" w:rsidRDefault="00572307">
            <w:pPr>
              <w:pStyle w:val="P68B1DB1-Normal12"/>
              <w:spacing w:after="0" w:line="240" w:lineRule="auto"/>
              <w:rPr>
                <w:rFonts w:cs="Times New Roman"/>
                <w:noProof/>
              </w:rPr>
            </w:pPr>
            <w:r w:rsidRPr="00BC4EE7">
              <w:rPr>
                <w:rFonts w:cs="Times New Roman"/>
                <w:noProof/>
              </w:rPr>
              <w:t>A mezőgazdasági üzemek információs rendszeréről szóló királyi rendelet hatálybalépése, az intézkedés leírásával összhangban.</w:t>
            </w:r>
          </w:p>
        </w:tc>
      </w:tr>
      <w:tr w:rsidR="00D65CB4" w:rsidRPr="00BC4EE7" w14:paraId="4F361425" w14:textId="77777777" w:rsidTr="00A1097A">
        <w:trPr>
          <w:trHeight w:val="309"/>
        </w:trPr>
        <w:tc>
          <w:tcPr>
            <w:tcW w:w="974" w:type="dxa"/>
            <w:shd w:val="clear" w:color="auto" w:fill="C6EFCE"/>
            <w:noWrap/>
          </w:tcPr>
          <w:p w14:paraId="3765393A" w14:textId="39A39A05" w:rsidR="00D65CB4" w:rsidRPr="00BC4EE7" w:rsidRDefault="00572307">
            <w:pPr>
              <w:pStyle w:val="P68B1DB1-Normal12"/>
              <w:spacing w:after="0" w:line="240" w:lineRule="auto"/>
              <w:jc w:val="center"/>
              <w:rPr>
                <w:rFonts w:cs="Times New Roman"/>
                <w:noProof/>
              </w:rPr>
            </w:pPr>
            <w:r w:rsidRPr="00BC4EE7">
              <w:rPr>
                <w:rFonts w:cs="Times New Roman"/>
                <w:noProof/>
              </w:rPr>
              <w:t>L10</w:t>
            </w:r>
          </w:p>
        </w:tc>
        <w:tc>
          <w:tcPr>
            <w:tcW w:w="1012" w:type="dxa"/>
            <w:shd w:val="clear" w:color="auto" w:fill="C6EFCE"/>
            <w:noWrap/>
          </w:tcPr>
          <w:p w14:paraId="41512B9B" w14:textId="36CEDF11" w:rsidR="00D65CB4" w:rsidRPr="00BC4EE7" w:rsidRDefault="00572307">
            <w:pPr>
              <w:pStyle w:val="P68B1DB1-Normal12"/>
              <w:spacing w:after="0" w:line="240" w:lineRule="auto"/>
              <w:jc w:val="center"/>
              <w:rPr>
                <w:rFonts w:cs="Times New Roman"/>
                <w:noProof/>
              </w:rPr>
            </w:pPr>
            <w:r w:rsidRPr="00BC4EE7">
              <w:rPr>
                <w:rFonts w:cs="Times New Roman"/>
                <w:noProof/>
              </w:rPr>
              <w:t>C3.I12</w:t>
            </w:r>
          </w:p>
        </w:tc>
        <w:tc>
          <w:tcPr>
            <w:tcW w:w="992" w:type="dxa"/>
            <w:shd w:val="clear" w:color="auto" w:fill="C6EFCE"/>
            <w:noWrap/>
          </w:tcPr>
          <w:p w14:paraId="6202A25D" w14:textId="1215A545"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2685" w:type="dxa"/>
            <w:shd w:val="clear" w:color="auto" w:fill="C6EFCE"/>
            <w:noWrap/>
          </w:tcPr>
          <w:p w14:paraId="1A1BA773" w14:textId="36FE45C6" w:rsidR="00D65CB4" w:rsidRPr="00BC4EE7" w:rsidRDefault="00572307">
            <w:pPr>
              <w:pStyle w:val="P68B1DB1-Normal12"/>
              <w:spacing w:after="0" w:line="240" w:lineRule="auto"/>
              <w:rPr>
                <w:rFonts w:cs="Times New Roman"/>
                <w:noProof/>
              </w:rPr>
            </w:pPr>
            <w:r w:rsidRPr="00BC4EE7">
              <w:rPr>
                <w:rFonts w:cs="Times New Roman"/>
                <w:noProof/>
              </w:rPr>
              <w:t>A Mezőgazdasági, Halászati és Élelmiszerügyi Minisztérium (MAPA) és a SEIASA közötti, az öntözött területek javítását és fenntarthatóságát támogató megállapodás végrehajtása (III. szakasz)</w:t>
            </w:r>
          </w:p>
        </w:tc>
        <w:tc>
          <w:tcPr>
            <w:tcW w:w="1242" w:type="dxa"/>
            <w:shd w:val="clear" w:color="auto" w:fill="C6EFCE"/>
            <w:noWrap/>
          </w:tcPr>
          <w:p w14:paraId="31F39C34" w14:textId="77777777" w:rsidR="00D65CB4" w:rsidRPr="00BC4EE7" w:rsidRDefault="00D65CB4">
            <w:pPr>
              <w:spacing w:after="0" w:line="240" w:lineRule="auto"/>
              <w:jc w:val="center"/>
              <w:rPr>
                <w:rFonts w:ascii="Times New Roman" w:hAnsi="Times New Roman" w:cs="Times New Roman"/>
                <w:noProof/>
                <w:sz w:val="18"/>
              </w:rPr>
            </w:pPr>
          </w:p>
        </w:tc>
        <w:tc>
          <w:tcPr>
            <w:tcW w:w="828" w:type="dxa"/>
            <w:shd w:val="clear" w:color="auto" w:fill="C6EFCE"/>
            <w:noWrap/>
          </w:tcPr>
          <w:p w14:paraId="69BC3DEC" w14:textId="2866E2AD" w:rsidR="00D65CB4" w:rsidRPr="00BC4EE7" w:rsidRDefault="00572307">
            <w:pPr>
              <w:pStyle w:val="P68B1DB1-Normal12"/>
              <w:spacing w:after="0" w:line="240" w:lineRule="auto"/>
              <w:jc w:val="right"/>
              <w:rPr>
                <w:rFonts w:cs="Times New Roman"/>
                <w:noProof/>
              </w:rPr>
            </w:pPr>
            <w:r w:rsidRPr="00BC4EE7">
              <w:rPr>
                <w:rFonts w:cs="Times New Roman"/>
                <w:noProof/>
              </w:rPr>
              <w:t xml:space="preserve"> Millió EUR</w:t>
            </w:r>
          </w:p>
        </w:tc>
        <w:tc>
          <w:tcPr>
            <w:tcW w:w="966" w:type="dxa"/>
            <w:shd w:val="clear" w:color="auto" w:fill="C6EFCE"/>
            <w:noWrap/>
          </w:tcPr>
          <w:p w14:paraId="75A06810" w14:textId="0E12D261" w:rsidR="00D65CB4" w:rsidRPr="00BC4EE7" w:rsidRDefault="00572307">
            <w:pPr>
              <w:pStyle w:val="P68B1DB1-Normal12"/>
              <w:spacing w:after="0" w:line="240" w:lineRule="auto"/>
              <w:jc w:val="right"/>
              <w:rPr>
                <w:rFonts w:cs="Times New Roman"/>
                <w:noProof/>
              </w:rPr>
            </w:pPr>
            <w:r w:rsidRPr="00BC4EE7">
              <w:rPr>
                <w:rFonts w:cs="Times New Roman"/>
                <w:noProof/>
              </w:rPr>
              <w:t>0</w:t>
            </w:r>
          </w:p>
        </w:tc>
        <w:tc>
          <w:tcPr>
            <w:tcW w:w="691" w:type="dxa"/>
            <w:shd w:val="clear" w:color="auto" w:fill="C6EFCE"/>
            <w:noWrap/>
          </w:tcPr>
          <w:p w14:paraId="25C52C25" w14:textId="031D8A51" w:rsidR="00D65CB4" w:rsidRPr="00BC4EE7" w:rsidRDefault="00572307">
            <w:pPr>
              <w:pStyle w:val="P68B1DB1-Normal12"/>
              <w:spacing w:after="0" w:line="240" w:lineRule="auto"/>
              <w:jc w:val="right"/>
              <w:rPr>
                <w:rFonts w:cs="Times New Roman"/>
                <w:noProof/>
              </w:rPr>
            </w:pPr>
            <w:r w:rsidRPr="00BC4EE7">
              <w:rPr>
                <w:rFonts w:cs="Times New Roman"/>
                <w:noProof/>
              </w:rPr>
              <w:t>260</w:t>
            </w:r>
          </w:p>
        </w:tc>
        <w:tc>
          <w:tcPr>
            <w:tcW w:w="415" w:type="dxa"/>
            <w:shd w:val="clear" w:color="auto" w:fill="C6EFCE"/>
            <w:noWrap/>
          </w:tcPr>
          <w:p w14:paraId="183B4483" w14:textId="1F4FE5F2"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553" w:type="dxa"/>
            <w:shd w:val="clear" w:color="auto" w:fill="C6EFCE"/>
            <w:noWrap/>
          </w:tcPr>
          <w:p w14:paraId="34C00A7D" w14:textId="5735484F" w:rsidR="00D65CB4" w:rsidRPr="00BC4EE7" w:rsidRDefault="00572307">
            <w:pPr>
              <w:pStyle w:val="P68B1DB1-Normal12"/>
              <w:spacing w:after="0" w:line="240" w:lineRule="auto"/>
              <w:jc w:val="center"/>
              <w:rPr>
                <w:rFonts w:cs="Times New Roman"/>
                <w:noProof/>
              </w:rPr>
            </w:pPr>
            <w:r w:rsidRPr="00BC4EE7">
              <w:rPr>
                <w:rFonts w:cs="Times New Roman"/>
                <w:noProof/>
              </w:rPr>
              <w:t>2023</w:t>
            </w:r>
          </w:p>
        </w:tc>
        <w:tc>
          <w:tcPr>
            <w:tcW w:w="5236" w:type="dxa"/>
            <w:shd w:val="clear" w:color="auto" w:fill="C6EFCE"/>
            <w:noWrap/>
          </w:tcPr>
          <w:p w14:paraId="465F4064" w14:textId="3223F5E9" w:rsidR="00D65CB4" w:rsidRPr="00BC4EE7" w:rsidRDefault="00572307">
            <w:pPr>
              <w:pStyle w:val="P68B1DB1-Normal12"/>
              <w:spacing w:after="0" w:line="240" w:lineRule="auto"/>
              <w:rPr>
                <w:rFonts w:cs="Times New Roman"/>
                <w:noProof/>
              </w:rPr>
            </w:pPr>
            <w:r w:rsidRPr="00BC4EE7">
              <w:rPr>
                <w:rFonts w:cs="Times New Roman"/>
                <w:noProof/>
              </w:rPr>
              <w:t>A Mezőgazdasági, Halászati és Élelmiszerügyi Minisztérium (MAPA) és a SEIASA (III. szakasz; 260 000 000 EUR összegű költségvetés-végrehajtás) az öntözés hatékonyságának és fenntarthatóságának javítását célzó, e beruházási projekt keretében végrehajtott terv feltételeit valósítja meg. Ez a jogi norma többek között szabályozza az öntözés korszerűsítésére irányuló beruházások köz- és magánfinanszírozási rendszerét, a projektkiválasztási kritériumokat, a terv végrehajtási eljárásait, valamint az ezen intézkedés keretében a költségvetés végrehajtásához kapcsolódóan végrehajtandó intézkedések listáját.</w:t>
            </w:r>
          </w:p>
        </w:tc>
      </w:tr>
      <w:tr w:rsidR="00D65CB4" w:rsidRPr="00BC4EE7" w14:paraId="50413452" w14:textId="77777777" w:rsidTr="00A1097A">
        <w:trPr>
          <w:trHeight w:val="309"/>
        </w:trPr>
        <w:tc>
          <w:tcPr>
            <w:tcW w:w="974" w:type="dxa"/>
            <w:shd w:val="clear" w:color="auto" w:fill="C6EFCE"/>
            <w:noWrap/>
          </w:tcPr>
          <w:p w14:paraId="277D79EB" w14:textId="33C73E96" w:rsidR="00D65CB4" w:rsidRPr="00BC4EE7" w:rsidRDefault="00572307">
            <w:pPr>
              <w:pStyle w:val="P68B1DB1-Normal12"/>
              <w:spacing w:after="0" w:line="240" w:lineRule="auto"/>
              <w:jc w:val="center"/>
              <w:rPr>
                <w:rFonts w:cs="Times New Roman"/>
                <w:noProof/>
              </w:rPr>
            </w:pPr>
            <w:r w:rsidRPr="00BC4EE7">
              <w:rPr>
                <w:rFonts w:cs="Times New Roman"/>
                <w:noProof/>
              </w:rPr>
              <w:t>L11</w:t>
            </w:r>
          </w:p>
        </w:tc>
        <w:tc>
          <w:tcPr>
            <w:tcW w:w="1012" w:type="dxa"/>
            <w:shd w:val="clear" w:color="auto" w:fill="C6EFCE"/>
            <w:noWrap/>
          </w:tcPr>
          <w:p w14:paraId="13BAE5B2" w14:textId="0AC9B46B" w:rsidR="00D65CB4" w:rsidRPr="00BC4EE7" w:rsidRDefault="00572307">
            <w:pPr>
              <w:pStyle w:val="P68B1DB1-Normal12"/>
              <w:spacing w:after="0" w:line="240" w:lineRule="auto"/>
              <w:jc w:val="center"/>
              <w:rPr>
                <w:rFonts w:cs="Times New Roman"/>
                <w:noProof/>
              </w:rPr>
            </w:pPr>
            <w:r w:rsidRPr="00BC4EE7">
              <w:rPr>
                <w:rFonts w:cs="Times New Roman"/>
                <w:noProof/>
              </w:rPr>
              <w:t>C3.I12</w:t>
            </w:r>
          </w:p>
        </w:tc>
        <w:tc>
          <w:tcPr>
            <w:tcW w:w="992" w:type="dxa"/>
            <w:shd w:val="clear" w:color="auto" w:fill="C6EFCE"/>
            <w:noWrap/>
          </w:tcPr>
          <w:p w14:paraId="040A8F6C" w14:textId="05EF6C8A"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2685" w:type="dxa"/>
            <w:shd w:val="clear" w:color="auto" w:fill="C6EFCE"/>
            <w:noWrap/>
          </w:tcPr>
          <w:p w14:paraId="242CC6BA" w14:textId="4D238C3A" w:rsidR="00D65CB4" w:rsidRPr="00BC4EE7" w:rsidRDefault="00572307">
            <w:pPr>
              <w:pStyle w:val="P68B1DB1-Normal12"/>
              <w:spacing w:after="0" w:line="240" w:lineRule="auto"/>
              <w:rPr>
                <w:rFonts w:cs="Times New Roman"/>
                <w:noProof/>
              </w:rPr>
            </w:pPr>
            <w:r w:rsidRPr="00BC4EE7">
              <w:rPr>
                <w:rFonts w:cs="Times New Roman"/>
                <w:noProof/>
              </w:rPr>
              <w:t xml:space="preserve">Az öntözőrendszerek korszerűsítése a víztakarékosság és az energiahatékonyság szempontjából  </w:t>
            </w:r>
          </w:p>
        </w:tc>
        <w:tc>
          <w:tcPr>
            <w:tcW w:w="1242" w:type="dxa"/>
            <w:shd w:val="clear" w:color="auto" w:fill="C6EFCE"/>
            <w:noWrap/>
          </w:tcPr>
          <w:p w14:paraId="64D092A7" w14:textId="77777777" w:rsidR="00D65CB4" w:rsidRPr="00BC4EE7" w:rsidRDefault="00D65CB4">
            <w:pPr>
              <w:spacing w:after="0" w:line="240" w:lineRule="auto"/>
              <w:jc w:val="center"/>
              <w:rPr>
                <w:rFonts w:ascii="Times New Roman" w:hAnsi="Times New Roman" w:cs="Times New Roman"/>
                <w:noProof/>
                <w:sz w:val="18"/>
              </w:rPr>
            </w:pPr>
          </w:p>
        </w:tc>
        <w:tc>
          <w:tcPr>
            <w:tcW w:w="828" w:type="dxa"/>
            <w:shd w:val="clear" w:color="auto" w:fill="C6EFCE"/>
            <w:noWrap/>
          </w:tcPr>
          <w:p w14:paraId="3096FCA4" w14:textId="67C75958" w:rsidR="00D65CB4" w:rsidRPr="00BC4EE7" w:rsidRDefault="00572307">
            <w:pPr>
              <w:pStyle w:val="P68B1DB1-Normal12"/>
              <w:spacing w:after="0" w:line="240" w:lineRule="auto"/>
              <w:jc w:val="right"/>
              <w:rPr>
                <w:rFonts w:cs="Times New Roman"/>
                <w:noProof/>
              </w:rPr>
            </w:pPr>
            <w:r w:rsidRPr="00BC4EE7">
              <w:rPr>
                <w:rFonts w:cs="Times New Roman"/>
                <w:noProof/>
              </w:rPr>
              <w:t>Szám (hektár)</w:t>
            </w:r>
          </w:p>
        </w:tc>
        <w:tc>
          <w:tcPr>
            <w:tcW w:w="966" w:type="dxa"/>
            <w:shd w:val="clear" w:color="auto" w:fill="C6EFCE"/>
            <w:noWrap/>
          </w:tcPr>
          <w:p w14:paraId="2B66EF9A" w14:textId="6D53B724" w:rsidR="00D65CB4" w:rsidRPr="00BC4EE7" w:rsidRDefault="00572307">
            <w:pPr>
              <w:pStyle w:val="P68B1DB1-Normal12"/>
              <w:spacing w:after="0" w:line="240" w:lineRule="auto"/>
              <w:jc w:val="right"/>
              <w:rPr>
                <w:rFonts w:cs="Times New Roman"/>
                <w:noProof/>
              </w:rPr>
            </w:pPr>
            <w:r w:rsidRPr="00BC4EE7">
              <w:rPr>
                <w:rFonts w:cs="Times New Roman"/>
                <w:noProof/>
              </w:rPr>
              <w:t>125 000</w:t>
            </w:r>
          </w:p>
        </w:tc>
        <w:tc>
          <w:tcPr>
            <w:tcW w:w="691" w:type="dxa"/>
            <w:shd w:val="clear" w:color="auto" w:fill="C6EFCE"/>
            <w:noWrap/>
          </w:tcPr>
          <w:p w14:paraId="2702C07D" w14:textId="3ED9D421" w:rsidR="00D65CB4" w:rsidRPr="00BC4EE7" w:rsidRDefault="00572307">
            <w:pPr>
              <w:pStyle w:val="P68B1DB1-Normal12"/>
              <w:spacing w:after="0" w:line="240" w:lineRule="auto"/>
              <w:jc w:val="right"/>
              <w:rPr>
                <w:rFonts w:cs="Times New Roman"/>
                <w:noProof/>
              </w:rPr>
            </w:pPr>
            <w:r w:rsidRPr="00BC4EE7">
              <w:rPr>
                <w:rFonts w:cs="Times New Roman"/>
                <w:noProof/>
              </w:rPr>
              <w:t>160 000</w:t>
            </w:r>
          </w:p>
        </w:tc>
        <w:tc>
          <w:tcPr>
            <w:tcW w:w="415" w:type="dxa"/>
            <w:shd w:val="clear" w:color="auto" w:fill="C6EFCE"/>
            <w:noWrap/>
          </w:tcPr>
          <w:p w14:paraId="2F9F3136" w14:textId="0E8E9174"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553" w:type="dxa"/>
            <w:shd w:val="clear" w:color="auto" w:fill="C6EFCE"/>
            <w:noWrap/>
          </w:tcPr>
          <w:p w14:paraId="092FA822" w14:textId="0E6ECC23" w:rsidR="00D65CB4" w:rsidRPr="00BC4EE7" w:rsidRDefault="00572307">
            <w:pPr>
              <w:pStyle w:val="P68B1DB1-Normal12"/>
              <w:spacing w:after="0" w:line="240" w:lineRule="auto"/>
              <w:jc w:val="center"/>
              <w:rPr>
                <w:rFonts w:cs="Times New Roman"/>
                <w:noProof/>
              </w:rPr>
            </w:pPr>
            <w:r w:rsidRPr="00BC4EE7">
              <w:rPr>
                <w:rFonts w:cs="Times New Roman"/>
                <w:noProof/>
              </w:rPr>
              <w:t>2026</w:t>
            </w:r>
          </w:p>
        </w:tc>
        <w:tc>
          <w:tcPr>
            <w:tcW w:w="5236" w:type="dxa"/>
            <w:shd w:val="clear" w:color="auto" w:fill="C6EFCE"/>
            <w:noWrap/>
          </w:tcPr>
          <w:p w14:paraId="0451C6B8" w14:textId="004AC059" w:rsidR="00D65CB4" w:rsidRPr="00BC4EE7" w:rsidRDefault="00572307">
            <w:pPr>
              <w:pStyle w:val="P68B1DB1-Normal12"/>
              <w:spacing w:after="0" w:line="240" w:lineRule="auto"/>
              <w:rPr>
                <w:rFonts w:cs="Times New Roman"/>
                <w:noProof/>
              </w:rPr>
            </w:pPr>
            <w:r w:rsidRPr="00BC4EE7">
              <w:rPr>
                <w:rFonts w:cs="Times New Roman"/>
                <w:noProof/>
              </w:rPr>
              <w:t>Legalább 160 000 hektárnyi öntözőrendszert korszerűsítettek a vízmegtakarítás és az energiahatékonyság szempontjából. A helyreállítási és rezilienciaépítési terv beruházásaival korszerűsített területnek, valamint a végrehajtott intézkedések tipológiájának tükröződnie kell a SEIASA által az érintett vízfelhasználói közösségekkel aláírt együttműködési megállapodásokban. Ezek a megállapodások meghatározzák a korszerűsített öntözőrendszerek vízmegtakarításának és energiahatékonyságának biztosítása érdekében végrehajtandó konkrét intézkedéseket. Az e terv keretében végrehajtandó intézkedések némelyike a következő: i. a felszín alatti vagy felszíni vizek használatának helyettesítése nem hagyományos vízkészletek felhasználásával (a jelentős károkozás elkerülését célzó elvről szóló technikai iránymutatásnak (2021/C58/01) megfelelően visszanyert vagy sótalanított vízkészletek felhasználásával, ii. olyan vízszabályozási rendszerek végrehajtása, amelyek lehetővé teszik a gravitációs öntözést (a tengerszint feletti magasságbeli különbség felhasználásával, hogy a víz szállításához ne legyen szükség energiafelhasználásra), iii. a fosszilis forrásokból származó, megújuló energiaforrásokkal (főként fotovoltaikus) történő szivattyúzáshoz szükséges energia helyettesítése, iv. betonból vagy földből készült szabadtéri árkok eltemetett csövekre történő cseréje, v. szűrő- és szivattyúállomások építése, valamint vi. mérőórák és távirányító rendszerek telepítése. 2026 második negyedévére legalább 35 000 hektár öntözőrendszert korszerűsítenek a vízmegtakarítás és az energiahatékonyság tekintetében, ami a SIEASA-Irrigációs Közösségek megállapodásai révén ellenőrizhető. (A 48. cél célkitűzésén alapuló alap)</w:t>
            </w:r>
          </w:p>
        </w:tc>
      </w:tr>
    </w:tbl>
    <w:p w14:paraId="375E651E" w14:textId="7B0D8992" w:rsidR="00D65CB4" w:rsidRPr="00BC4EE7" w:rsidRDefault="00D65CB4">
      <w:pPr>
        <w:spacing w:before="120" w:after="120" w:line="240" w:lineRule="auto"/>
        <w:jc w:val="both"/>
        <w:rPr>
          <w:rFonts w:ascii="Times New Roman" w:hAnsi="Times New Roman" w:cs="Times New Roman"/>
          <w:noProof/>
          <w:sz w:val="24"/>
        </w:rPr>
        <w:sectPr w:rsidR="00D65CB4" w:rsidRPr="00BC4EE7" w:rsidSect="00B511EF">
          <w:headerReference w:type="even" r:id="rId93"/>
          <w:headerReference w:type="default" r:id="rId94"/>
          <w:footerReference w:type="even" r:id="rId95"/>
          <w:footerReference w:type="default" r:id="rId96"/>
          <w:headerReference w:type="first" r:id="rId97"/>
          <w:footerReference w:type="first" r:id="rId98"/>
          <w:pgSz w:w="16839" w:h="11907" w:orient="landscape"/>
          <w:pgMar w:top="1134" w:right="1134" w:bottom="1134" w:left="1134" w:header="567" w:footer="567" w:gutter="0"/>
          <w:cols w:space="720"/>
          <w:docGrid w:linePitch="360"/>
        </w:sectPr>
      </w:pPr>
    </w:p>
    <w:p w14:paraId="3066E461" w14:textId="77777777" w:rsidR="00D65CB4" w:rsidRPr="00BC4EE7" w:rsidRDefault="00572307">
      <w:pPr>
        <w:pStyle w:val="P68B1DB1-Heading12"/>
        <w:rPr>
          <w:rFonts w:cs="Times New Roman"/>
          <w:noProof/>
        </w:rPr>
      </w:pPr>
      <w:r w:rsidRPr="00BC4EE7">
        <w:rPr>
          <w:rFonts w:cs="Times New Roman"/>
          <w:noProof/>
        </w:rPr>
        <w:t>D. 04. KOMPONENS: Ökoszisztémák és biológiai sokféleség</w:t>
      </w:r>
    </w:p>
    <w:p w14:paraId="30F8696F" w14:textId="15F4BA49"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spanyol helyreállítási és rezilienciaépítési terv ezen komponense kezeli Spanyolországnak az éghajlatváltozás biogeográfiájából és geomorfológiájából eredő közvetlen és közvetett káros hatásaival szembeni sebezhetőségét azáltal, hogy szükség esetén javítja az ökoszisztémák védettségi helyzetét azok ökológiai helyreállítása és a biológiai sokféleség csökkenésének visszafordítása, a természeti erőforrások fenntartható használatának biztosítása, valamint az ökoszisztéma-szolgáltatások megőrzése és javítása révén. Ez a komponens hozzájárul továbbá az ökoszisztémáknak az éghajlatváltozás káros hatásaihoz való alkalmazkodásához azáltal, hogy intézkedéseket fogad el a hatások minimalizálására, elfogadja az elsivatagosodás elleni küzdelemre irányuló nemzeti stratégiát, és az erdőtüzekre összpontosít. </w:t>
      </w:r>
    </w:p>
    <w:p w14:paraId="6B11FF22" w14:textId="61539AD8" w:rsidR="00D65CB4" w:rsidRPr="00BC4EE7" w:rsidRDefault="00572307">
      <w:pPr>
        <w:pStyle w:val="P68B1DB1-Normal4"/>
        <w:spacing w:before="120" w:after="120" w:line="240" w:lineRule="auto"/>
        <w:jc w:val="both"/>
        <w:rPr>
          <w:rFonts w:cs="Times New Roman"/>
          <w:noProof/>
        </w:rPr>
      </w:pPr>
      <w:r w:rsidRPr="00BC4EE7">
        <w:rPr>
          <w:rFonts w:cs="Times New Roman"/>
          <w:noProof/>
        </w:rPr>
        <w:t>További hangsúlyt kell fektetni a tengeri ökoszisztémák védelmére, megőrzésére és helyreállítására. A spanyol helyreállítási és rezilienciaépítési terv ezen elemének végrehajtása i. elindítja a kék menetrendet a tengerek és biológiai sokféleségük javítása érdekében; a védett tengeri területek arányának növelése azáltal, hogy 2025 végéig Spanyolország területének legalább 18%-át védik, védve mind az állat-, mind a növényvilágot; és iii. Spanyolországban első alkalommal vezet be tengergazdálkodási keretet.</w:t>
      </w:r>
    </w:p>
    <w:p w14:paraId="6A501ED7" w14:textId="3639AB36"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Emellett meg kell őriznie és fenntartható módon kell kezelnie a vidéki területeket, azok ökoszisztémáit, a biológiai sokféleséget és az erdőket. A vidéki területek – ahol az elnéptelenedés különösen káros hatással járt – Spanyolország gazdag természeti örökségének nagy részét adják, és ezért a helyi gazdagság forrásai, lehetőséget teremtve a demográfiai hanyatlás visszafordítására. </w:t>
      </w:r>
    </w:p>
    <w:p w14:paraId="4BF45026"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spanyol helyreállítási és rezilienciaépítési terv ezen komponense támogatja a zöld és digitális átállásra irányuló beruházásokat (2020. évi 3. országspecifikus ajánlás). Támogatja továbbá a megfelelő földgazdálkodást, különösen az erdőgazdálkodást, a természetvédelmet és a helyreállítást, összhangban az európai zöld megállapodás és a 2030-ig tartó időszakra szóló uniós biodiverzitási stratégia célkitűzéseivel. </w:t>
      </w:r>
    </w:p>
    <w:p w14:paraId="44250219"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jelentős károkozás elkerülését célzó elvről szóló technikai iránymutatásnak (2021/C58/01) megfelelően a helyreállítási és rezilienciaépítési tervben meghatározott intézkedések leírását és a helyreállítási és rezilienciaépítési tervben meghatározott enyhítő lépéseket figyelembe véve ebben a komponensben várhatóan egyetlen intézkedés sem sérti jelentős mértékben az (EU) 2020/852 rendelet 17. cikke szerinti környezeti célkitűzéseket.</w:t>
      </w:r>
    </w:p>
    <w:p w14:paraId="21FC91AB" w14:textId="77777777" w:rsidR="00D65CB4" w:rsidRPr="00BC4EE7" w:rsidRDefault="00572307">
      <w:pPr>
        <w:spacing w:before="120" w:after="120" w:line="240" w:lineRule="auto"/>
        <w:ind w:left="720"/>
        <w:jc w:val="both"/>
        <w:rPr>
          <w:rFonts w:ascii="Times New Roman" w:hAnsi="Times New Roman" w:cs="Times New Roman"/>
          <w:b/>
          <w:i/>
          <w:noProof/>
          <w:sz w:val="24"/>
        </w:rPr>
      </w:pPr>
      <w:r w:rsidRPr="00BC4EE7">
        <w:rPr>
          <w:rFonts w:ascii="Times New Roman" w:hAnsi="Times New Roman" w:cs="Times New Roman"/>
          <w:b/>
          <w:noProof/>
          <w:sz w:val="24"/>
          <w:u w:val="single"/>
        </w:rPr>
        <w:t xml:space="preserve">D.1.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Vissza nem térítendő pénzügyi támogatás – a reformok és beruházások ismertetése</w:t>
      </w:r>
    </w:p>
    <w:p w14:paraId="25340F12"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Reform (C4.R1) – A szárazföldi és tengeri biológiai sokféleség megőrzése</w:t>
      </w:r>
    </w:p>
    <w:p w14:paraId="59340859"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Ez a reform aktualizálja a biológiai sokféleségre és a természeti örökségre vonatkozó jogszabályokat, hogy támogassa a Biológiai Sokféleség Egyezményből és a közelmúltban elfogadott, 2030-ig tartó időszakra szóló uniós biodiverzitási stratégiából eredő kötelezettségvállalások teljesítését. </w:t>
      </w:r>
    </w:p>
    <w:p w14:paraId="701C4F91" w14:textId="7158DFF6"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 reform fő intézkedése a természeti örökségre és a biológiai sokféleségre vonatkozó stratégiai terv elkészítése, jóváhagyása és végrehajtása (a természeti örökségről és a biológiai sokféleségről szóló 42/2007. sz. törvényben meghatározottak szerint), hogy az hosszú távú hatást gyakoroljon valamennyi spanyol természeti rendszer megőrzésére és kezelésére, valamint az általa a társadalom számára nyújtott szolgáltatásokra. Ez a reform ezen intézkedés keretében a következő intézkedéseket is magában foglalja: </w:t>
      </w:r>
    </w:p>
    <w:p w14:paraId="09D845DD" w14:textId="77777777" w:rsidR="00D65CB4" w:rsidRPr="00BC4EE7" w:rsidRDefault="00572307">
      <w:pPr>
        <w:pStyle w:val="P68B1DB1-Normal4"/>
        <w:numPr>
          <w:ilvl w:val="0"/>
          <w:numId w:val="90"/>
        </w:numPr>
        <w:spacing w:before="120" w:after="160" w:line="240" w:lineRule="auto"/>
        <w:ind w:left="714" w:hanging="357"/>
        <w:contextualSpacing/>
        <w:jc w:val="both"/>
        <w:rPr>
          <w:rFonts w:cs="Times New Roman"/>
          <w:noProof/>
        </w:rPr>
      </w:pPr>
      <w:r w:rsidRPr="00BC4EE7">
        <w:rPr>
          <w:rFonts w:cs="Times New Roman"/>
          <w:noProof/>
        </w:rPr>
        <w:t xml:space="preserve">A biológiai sokféleséggel, a tudománnyal és a tudással kapcsolatos stratégia elfogadása, amely azonosítja a fő kutatási hiányosságokat, és meghatározza azokat a konkrét területeket, amelyeken a biológiai sokféleséggel kapcsolatos kutatásra van szükség. </w:t>
      </w:r>
    </w:p>
    <w:p w14:paraId="005A8DCC" w14:textId="77777777" w:rsidR="00D65CB4" w:rsidRPr="00BC4EE7" w:rsidRDefault="00572307">
      <w:pPr>
        <w:pStyle w:val="P68B1DB1-Normal4"/>
        <w:numPr>
          <w:ilvl w:val="0"/>
          <w:numId w:val="90"/>
        </w:numPr>
        <w:spacing w:before="120" w:after="160" w:line="240" w:lineRule="auto"/>
        <w:contextualSpacing/>
        <w:jc w:val="both"/>
        <w:rPr>
          <w:rFonts w:cs="Times New Roman"/>
          <w:noProof/>
        </w:rPr>
      </w:pPr>
      <w:r w:rsidRPr="00BC4EE7">
        <w:rPr>
          <w:rFonts w:cs="Times New Roman"/>
          <w:noProof/>
        </w:rPr>
        <w:t xml:space="preserve">A védett tengeri területek hálózatára vonatkozó tervet jóváhagyó királyi rendelet elfogadása, amely egy ökológiailag koherens hálózatot mozdít elő, amely hozzájárul a természeti örökség és a tengeri biológiai sokféleség megőrzéséhez, elősegítve a védett tengeri területek tervezett, hatékony és koherens kezelését. </w:t>
      </w:r>
    </w:p>
    <w:p w14:paraId="6814E040" w14:textId="77777777" w:rsidR="00D65CB4" w:rsidRPr="00BC4EE7" w:rsidRDefault="00572307">
      <w:pPr>
        <w:pStyle w:val="P68B1DB1-Normal4"/>
        <w:numPr>
          <w:ilvl w:val="0"/>
          <w:numId w:val="90"/>
        </w:numPr>
        <w:spacing w:before="120" w:after="160" w:line="240" w:lineRule="auto"/>
        <w:contextualSpacing/>
        <w:jc w:val="both"/>
        <w:rPr>
          <w:rFonts w:cs="Times New Roman"/>
          <w:noProof/>
        </w:rPr>
      </w:pPr>
      <w:r w:rsidRPr="00BC4EE7">
        <w:rPr>
          <w:rFonts w:cs="Times New Roman"/>
          <w:noProof/>
        </w:rPr>
        <w:t xml:space="preserve">A beporzók védelmére vonatkozó nemzeti stratégia biztosítja a beporzók helyzetének javításához szükséges intézkedéseket. Ennek a stratégiának különösen a következőkre kell összpontosítania: i. a beporzók számára kedvező területek előmozdítása; ii. kezelésének javítása és a káros fajok által okozott kockázatok csökkentése; iii. növény-egészségügyi termékek; valamint iv. a beporzók védelmére irányuló kutatás előmozdítása, valamint a kapcsolódó kutatási eredmények terjesztése ezen a területen. </w:t>
      </w:r>
    </w:p>
    <w:p w14:paraId="16BFEBDC" w14:textId="77777777" w:rsidR="00D65CB4" w:rsidRPr="00BC4EE7" w:rsidRDefault="00572307">
      <w:pPr>
        <w:pStyle w:val="P68B1DB1-Normal4"/>
        <w:numPr>
          <w:ilvl w:val="0"/>
          <w:numId w:val="90"/>
        </w:numPr>
        <w:spacing w:before="120" w:after="160" w:line="240" w:lineRule="auto"/>
        <w:contextualSpacing/>
        <w:jc w:val="both"/>
        <w:rPr>
          <w:rFonts w:cs="Times New Roman"/>
          <w:noProof/>
        </w:rPr>
      </w:pPr>
      <w:r w:rsidRPr="00BC4EE7">
        <w:rPr>
          <w:rFonts w:cs="Times New Roman"/>
          <w:noProof/>
        </w:rPr>
        <w:t xml:space="preserve">A veszélyeztetett vadon élő állat- és növényfajok nemzetközi kereskedelméről szóló egyezmény (CITES-rendelet) szerinti hatóságok naprakésszé tételéről szóló rendelet (CITES-rendelet) elfogadása, amely garantálja a CITES-ből származó intézkedések végrehajtását, és biztosítja, hogy a kereskedelem ne érintse hátrányosan a fajok védettségi helyzetét és hosszú távú fennmaradását. </w:t>
      </w:r>
    </w:p>
    <w:p w14:paraId="37927D61" w14:textId="77777777" w:rsidR="00D65CB4" w:rsidRPr="00BC4EE7" w:rsidRDefault="00572307">
      <w:pPr>
        <w:pStyle w:val="P68B1DB1-Normal4"/>
        <w:numPr>
          <w:ilvl w:val="0"/>
          <w:numId w:val="90"/>
        </w:numPr>
        <w:spacing w:before="120" w:after="120" w:line="240" w:lineRule="auto"/>
        <w:ind w:left="714" w:hanging="357"/>
        <w:jc w:val="both"/>
        <w:rPr>
          <w:rFonts w:cs="Times New Roman"/>
          <w:noProof/>
        </w:rPr>
      </w:pPr>
      <w:r w:rsidRPr="00BC4EE7">
        <w:rPr>
          <w:rFonts w:cs="Times New Roman"/>
          <w:noProof/>
        </w:rPr>
        <w:t xml:space="preserve">A vizes élőhelyek megőrzési és helyreállítási terve, amely garantálja a vizes élőhelyek megőrzését és észszerű hasznosítását. </w:t>
      </w:r>
    </w:p>
    <w:p w14:paraId="3EAB1E06"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Ezen intézkedések ezen intézkedés keretében történő kidolgozását közvetlenül támogatja a spanyol helyreállítási és rezilienciaépítési terv ezen komponensének 1. és 2. beruházása (lásd alább). Kiegészíti továbbá a spanyol helyreállítási és rezilienciaépítési terv e komponensében ismertetett másik két reformot és beruházást. </w:t>
      </w:r>
    </w:p>
    <w:p w14:paraId="18300707"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Az intézkedés végrehajtását 2022. december 31-ig be kell fejezni. </w:t>
      </w:r>
    </w:p>
    <w:p w14:paraId="020DA12D"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Reform (C4.R2) – Az ökoszisztémák és a zöld infrastruktúra helyreállítása</w:t>
      </w:r>
    </w:p>
    <w:p w14:paraId="39BD5F75"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 reform célja a zöld infrastruktúrára, a konnektivitásra és az ökológiai helyreállításra vonatkozó központi kormányzati stratégia kidolgozása és végrehajtása, a károsodott ökoszisztémák helyreállítása, valamint a Spanyolországban összekapcsolt, teljes mértékben működőképes szárazföldi és tengeri természetes és természetközeli területek hálózatának 2050-ig történő megszilárdítása.</w:t>
      </w:r>
    </w:p>
    <w:p w14:paraId="40AEC7EC"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Ez a reform hét különböző cselekvési irányvonalat foglal magában a következők érdekében: i. a széttöredezettség és az ökológiai összekapcsoltság elvesztése hatásainak csökkentése; i. az élőhelyek és az ökoszisztémák helyreállítása a kulcsfontosságú területeken; a zöld infrastruktúra elemeinek ökoszisztéma-szolgáltatásainak fenntartása és javítása; a zöld infrastruktúrához kapcsolódó elemek rezilienciájának javítása; v. a területi koherencia biztosítása; vi. hatékony környezetbarát infrastruktúra beépítése; valamint vii. az érdekcsoportok és a társadalom megfelelő kommunikációjának, oktatásának és részvételének biztosítása a zöld infrastruktúra fejlesztésében. </w:t>
      </w:r>
    </w:p>
    <w:p w14:paraId="568339C9"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Ezt a reformot a spanyol helyreállítási és rezilienciaépítési terv ezen komponensének 3. beruházása is támogatja, amely különösen a 2030-ig tartó időszakra szóló uniós biodiverzitási stratégiának az ökológiai folyosók beépítésére, a nagyarányú faültetésre, a szennyezett területek rehabilitációja terén elért jelentős előrelépésre, valamint annak biztosítására irányuló célkitűzésre irányul, hogy a legalább 20000 lakosú városok ambiciózus városzöldítési tervvel rendelkezzenek. Kapcsolódik továbbá a spanyol helyreállítási és rezilienciaépítési terv ezen komponensének 1. reformjához és 1. beruházásához. </w:t>
      </w:r>
    </w:p>
    <w:p w14:paraId="3C9F2936"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Az intézkedés végrehajtását 2021. június 30-ig be kell fejezni. </w:t>
      </w:r>
    </w:p>
    <w:p w14:paraId="4C4CB362"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Reform (C4.R3) – Fenntartható erdőgazdálkodás</w:t>
      </w:r>
    </w:p>
    <w:p w14:paraId="5B135FED"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Ez a reform naprakésszé teszi az 1999. évi spanyol erdőgazdálkodási stratégiát a 2002–2032-es spanyol erdészeti tervvel együtt, és az erdészeti ágazat fellendítését célzó intézkedéscsomagot dolgoz ki, amely a spanyol erdő egészére kiterjed: többek között a fajok és területek védelme, tűzvészek, tulajdonlások, fejlődés, az erdőterületek és erőforrások jelenlegi helyzete és tendenciái. A reformnak foglalkoznia kell az elnéptelenedés súlyos problémáival küzdő nagy vidéki területek gazdasági és társadalmi újjáélesztésével, és megfelelően össze kell hangolni az európai zöld megállapodással. </w:t>
      </w:r>
    </w:p>
    <w:p w14:paraId="73FE2331"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spanyol erdészeti stratégiának öt stratégiai prioritása van:</w:t>
      </w:r>
    </w:p>
    <w:p w14:paraId="014728FC" w14:textId="77777777" w:rsidR="00D65CB4" w:rsidRPr="00BC4EE7" w:rsidRDefault="00572307">
      <w:pPr>
        <w:pStyle w:val="P68B1DB1-Normal4"/>
        <w:numPr>
          <w:ilvl w:val="0"/>
          <w:numId w:val="87"/>
        </w:numPr>
        <w:spacing w:before="120" w:after="160" w:line="240" w:lineRule="auto"/>
        <w:contextualSpacing/>
        <w:jc w:val="both"/>
        <w:rPr>
          <w:rFonts w:cs="Times New Roman"/>
          <w:noProof/>
        </w:rPr>
      </w:pPr>
      <w:r w:rsidRPr="00BC4EE7">
        <w:rPr>
          <w:rFonts w:cs="Times New Roman"/>
          <w:noProof/>
        </w:rPr>
        <w:t>A természeti örökség, a biológiai sokféleség és az összekapcsoltság megőrzése és javítása.</w:t>
      </w:r>
    </w:p>
    <w:p w14:paraId="54D6C91C" w14:textId="77777777" w:rsidR="00D65CB4" w:rsidRPr="00BC4EE7" w:rsidRDefault="00572307">
      <w:pPr>
        <w:pStyle w:val="P68B1DB1-Normal4"/>
        <w:numPr>
          <w:ilvl w:val="0"/>
          <w:numId w:val="87"/>
        </w:numPr>
        <w:spacing w:before="120" w:after="160" w:line="240" w:lineRule="auto"/>
        <w:contextualSpacing/>
        <w:jc w:val="both"/>
        <w:rPr>
          <w:rFonts w:cs="Times New Roman"/>
          <w:noProof/>
        </w:rPr>
      </w:pPr>
      <w:r w:rsidRPr="00BC4EE7">
        <w:rPr>
          <w:rFonts w:cs="Times New Roman"/>
          <w:noProof/>
        </w:rPr>
        <w:t xml:space="preserve">Védelem, egészségbiztonság, valamint a természeti és környezeti kockázatok megelőzésének és az azokhoz való alkalmazkodásnak a védelme. </w:t>
      </w:r>
    </w:p>
    <w:p w14:paraId="25D0CC2D" w14:textId="77777777" w:rsidR="00D65CB4" w:rsidRPr="00BC4EE7" w:rsidRDefault="00572307">
      <w:pPr>
        <w:pStyle w:val="P68B1DB1-Normal4"/>
        <w:numPr>
          <w:ilvl w:val="0"/>
          <w:numId w:val="87"/>
        </w:numPr>
        <w:spacing w:before="120" w:after="160" w:line="240" w:lineRule="auto"/>
        <w:contextualSpacing/>
        <w:jc w:val="both"/>
        <w:rPr>
          <w:rFonts w:cs="Times New Roman"/>
          <w:noProof/>
        </w:rPr>
      </w:pPr>
      <w:r w:rsidRPr="00BC4EE7">
        <w:rPr>
          <w:rFonts w:cs="Times New Roman"/>
          <w:noProof/>
        </w:rPr>
        <w:t>Erdei biogazdaság: zöld gazdaság és munkahelyek, az erdészeti erőforrások mozgósítása, valamint az erdészeti ágazat fenntartható társadalmi-gazdasági fejlődése.</w:t>
      </w:r>
    </w:p>
    <w:p w14:paraId="72908E0E" w14:textId="77777777" w:rsidR="00D65CB4" w:rsidRPr="00BC4EE7" w:rsidRDefault="00572307">
      <w:pPr>
        <w:pStyle w:val="P68B1DB1-Normal4"/>
        <w:numPr>
          <w:ilvl w:val="0"/>
          <w:numId w:val="87"/>
        </w:numPr>
        <w:spacing w:before="120" w:after="160" w:line="240" w:lineRule="auto"/>
        <w:contextualSpacing/>
        <w:jc w:val="both"/>
        <w:rPr>
          <w:rFonts w:cs="Times New Roman"/>
          <w:noProof/>
        </w:rPr>
      </w:pPr>
      <w:r w:rsidRPr="00BC4EE7">
        <w:rPr>
          <w:rFonts w:cs="Times New Roman"/>
          <w:noProof/>
        </w:rPr>
        <w:t>A tudás és az erdészeti kultúra fejlesztése és fejlesztése.</w:t>
      </w:r>
    </w:p>
    <w:p w14:paraId="1FBCD1F4" w14:textId="77777777" w:rsidR="00D65CB4" w:rsidRPr="00BC4EE7" w:rsidRDefault="00572307">
      <w:pPr>
        <w:pStyle w:val="P68B1DB1-Normal4"/>
        <w:numPr>
          <w:ilvl w:val="0"/>
          <w:numId w:val="87"/>
        </w:numPr>
        <w:spacing w:before="120" w:after="120" w:line="240" w:lineRule="auto"/>
        <w:ind w:left="357" w:hanging="357"/>
        <w:jc w:val="both"/>
        <w:rPr>
          <w:rFonts w:cs="Times New Roman"/>
          <w:noProof/>
        </w:rPr>
      </w:pPr>
      <w:r w:rsidRPr="00BC4EE7">
        <w:rPr>
          <w:rFonts w:cs="Times New Roman"/>
          <w:noProof/>
        </w:rPr>
        <w:t>Erdészeti irányítási modell: a spanyol erdészeti politika szabályozási, igazgatási és műszeres kerete.</w:t>
      </w:r>
    </w:p>
    <w:p w14:paraId="394982C6" w14:textId="1E66C333"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spanyol erdőgazdálkodási stratégia két fő eszközt tartalmaz, amelyek szükségesek az erdészeti ágazat egészének megreformálásához. Az első a fenntartható erdőgazdálkodásra vonatkozó iránymutatások elfogadása. Ezek az iránymutatások olyan kérdésekkel foglalkoznak, mint a biológiai sokféleség, az éghajlatváltozás és a körforgásos biogazdaság. Másodszor, a spanyolországi erdőtüzek kezelésére vonatkozó stratégiai iránymutatások, amelyek meghatározzák a követendő célkitűzéseket, meghatározzák a munka fő irányvonalait és azonosítják a társadalmi csoportokat bizonyos mértékű felelősséggel. Ezek a stratégiai iránymutatások döntő fontosságúak az erdőtüzek megfékezéséhez és az erdészeti ágazat stratégiai helyzetének növeléséhez az ökológiai átállás összefüggésében. </w:t>
      </w:r>
    </w:p>
    <w:p w14:paraId="1606FD51" w14:textId="4679A788"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reform végrehajtását 2022. december 31-ig be kell fejezni. </w:t>
      </w:r>
    </w:p>
    <w:p w14:paraId="06E3C4A2"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(C4.I1) – A természeti örökség digitalizálása és ismerete</w:t>
      </w:r>
    </w:p>
    <w:p w14:paraId="099D11B9" w14:textId="77777777" w:rsidR="00D65CB4" w:rsidRPr="00BC4EE7" w:rsidRDefault="00572307">
      <w:pPr>
        <w:pStyle w:val="P68B1DB1-Normal4"/>
        <w:spacing w:before="120" w:after="120" w:line="240" w:lineRule="auto"/>
        <w:jc w:val="both"/>
        <w:rPr>
          <w:rFonts w:cs="Times New Roman"/>
          <w:noProof/>
          <w:u w:val="single"/>
        </w:rPr>
      </w:pPr>
      <w:r w:rsidRPr="00BC4EE7">
        <w:rPr>
          <w:rFonts w:cs="Times New Roman"/>
          <w:noProof/>
        </w:rPr>
        <w:t>A beruházásnak létre kell hoznia egy rendszert a természeti örökség kezelésének, ellenőrzésének és nyomon követésének digitalizálására, amely kiterjed mind a szárazföldi, mind a tengeri területekre. Ennek a beruházásnak jelentős javulást kell elérnie a fajokra és élőhelyekre vonatkozó ismeretekben, valamint az információk és a természeti örökség feltérképezésében, beleértve a geológiai örökséget is. A befektetés az információszerzésre és annak kezelésére összpontosít, beleértve a következőket:</w:t>
      </w:r>
    </w:p>
    <w:p w14:paraId="54D4512D" w14:textId="77777777" w:rsidR="00D65CB4" w:rsidRPr="00BC4EE7" w:rsidRDefault="00572307">
      <w:pPr>
        <w:pStyle w:val="P68B1DB1-Normal4"/>
        <w:numPr>
          <w:ilvl w:val="0"/>
          <w:numId w:val="226"/>
        </w:numPr>
        <w:spacing w:before="120" w:after="160" w:line="240" w:lineRule="auto"/>
        <w:contextualSpacing/>
        <w:jc w:val="both"/>
        <w:rPr>
          <w:rFonts w:cs="Times New Roman"/>
          <w:noProof/>
        </w:rPr>
      </w:pPr>
      <w:r w:rsidRPr="00BC4EE7">
        <w:rPr>
          <w:rFonts w:cs="Times New Roman"/>
          <w:noProof/>
        </w:rPr>
        <w:t xml:space="preserve">Program a biológiai sokféleséggel és a természeti örökség kezelésével kapcsolatos ismeretek és digitalizáció javítására nemzeti szinten, nyomonkövetési hálózatok fejlesztésével, érzékelők telepítésével, valamint helyhez kötött és mobil digitális információszerzési rendszerek használatával. </w:t>
      </w:r>
    </w:p>
    <w:p w14:paraId="4CE99295" w14:textId="77777777" w:rsidR="00D65CB4" w:rsidRPr="00BC4EE7" w:rsidRDefault="00572307">
      <w:pPr>
        <w:pStyle w:val="P68B1DB1-Normal4"/>
        <w:numPr>
          <w:ilvl w:val="0"/>
          <w:numId w:val="226"/>
        </w:numPr>
        <w:spacing w:before="120" w:after="120" w:line="240" w:lineRule="auto"/>
        <w:ind w:left="357" w:hanging="357"/>
        <w:jc w:val="both"/>
        <w:rPr>
          <w:rFonts w:cs="Times New Roman"/>
          <w:noProof/>
        </w:rPr>
      </w:pPr>
      <w:r w:rsidRPr="00BC4EE7">
        <w:rPr>
          <w:rFonts w:cs="Times New Roman"/>
          <w:noProof/>
        </w:rPr>
        <w:t xml:space="preserve">Információkezelési rendszerek vagy platformok kialakítása nemzeti szinten, további elemzési és terjesztési képességekkel. </w:t>
      </w:r>
    </w:p>
    <w:p w14:paraId="45010B81" w14:textId="2186FCDB"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El kell indítani a kétéltű légi járműflotta repülőelektronikai rendszerének frissítését, amely magában foglalja a légi járművek tűzoltás során történő biztonságosabbá és hatékonyabbá tételéhez szükséges berendezések tervezését, tanúsítását és beszerzését. Az intézkedés várhatóan nem sérti jelentősen az (EU) 2020/852 rendelet 17. cikke szerinti környezetvédelmi célkitűzéseket, figyelembe véve az intézkedés leírását és a helyreállítási és rezilienciaépítési tervben meghatározott enyhítő lépéseket a jelentős károkozás elkerülését célzó elvről szóló technikai iránymutatásnak (2021/C58/01) megfelelően. Különösen a kétéltű légi járműflotta repülőelektronikai rendszerének javítása csak a meglévő légi járművekbe építhető be, és nem növelheti e légi járművek élettartamát vagy kapacitását. Csak akkor biztosíthatja a biztonságot és a repülési feltételeket, ha azokat erdőtüzek oltására használják. </w:t>
      </w:r>
    </w:p>
    <w:p w14:paraId="08E0D1DD"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beruházás végrehajtását 2026. június 30-ig be kell fejezni. </w:t>
      </w:r>
    </w:p>
    <w:p w14:paraId="032D8062" w14:textId="77777777" w:rsidR="00D65CB4" w:rsidRPr="00BC4EE7" w:rsidRDefault="00572307">
      <w:pPr>
        <w:pStyle w:val="P68B1DB1-Normal5"/>
        <w:keepNext/>
        <w:spacing w:before="120" w:after="120" w:line="240" w:lineRule="auto"/>
        <w:jc w:val="both"/>
        <w:rPr>
          <w:rFonts w:cs="Times New Roman"/>
          <w:noProof/>
        </w:rPr>
      </w:pPr>
      <w:r w:rsidRPr="00BC4EE7">
        <w:rPr>
          <w:rFonts w:cs="Times New Roman"/>
          <w:noProof/>
        </w:rPr>
        <w:t>Beruházás (C4.I2) – A szárazföldi és tengeri biológiai sokféleség megőrzése</w:t>
      </w:r>
    </w:p>
    <w:p w14:paraId="099D951E" w14:textId="77777777" w:rsidR="00D65CB4" w:rsidRPr="00BC4EE7" w:rsidRDefault="00572307">
      <w:pPr>
        <w:pStyle w:val="P68B1DB1-Normal4"/>
        <w:keepNext/>
        <w:spacing w:before="120" w:after="120" w:line="240" w:lineRule="auto"/>
        <w:jc w:val="both"/>
        <w:rPr>
          <w:rFonts w:cs="Times New Roman"/>
          <w:noProof/>
        </w:rPr>
      </w:pPr>
      <w:r w:rsidRPr="00BC4EE7">
        <w:rPr>
          <w:rFonts w:cs="Times New Roman"/>
          <w:noProof/>
        </w:rPr>
        <w:t xml:space="preserve">Ez a beruházás a szárazföldi és tengeri biológiai sokféleség megőrzését szolgáló közvetlen beruházásokat és támogatási tételeket foglal magában. Öt cselekvési irányvonalat foglal magában, amelyeket össze kell hangolni az 1. reformmal: </w:t>
      </w:r>
    </w:p>
    <w:p w14:paraId="28E70048" w14:textId="77777777" w:rsidR="00D65CB4" w:rsidRPr="00BC4EE7" w:rsidRDefault="00572307">
      <w:pPr>
        <w:pStyle w:val="P68B1DB1-Normal4"/>
        <w:numPr>
          <w:ilvl w:val="0"/>
          <w:numId w:val="227"/>
        </w:numPr>
        <w:spacing w:before="120" w:after="160" w:line="240" w:lineRule="auto"/>
        <w:contextualSpacing/>
        <w:jc w:val="both"/>
        <w:rPr>
          <w:rFonts w:cs="Times New Roman"/>
          <w:noProof/>
        </w:rPr>
      </w:pPr>
      <w:r w:rsidRPr="00BC4EE7">
        <w:rPr>
          <w:rFonts w:cs="Times New Roman"/>
          <w:noProof/>
        </w:rPr>
        <w:t xml:space="preserve">A szárazföldi biológiai sokféleség megőrzése, a fajok és élőhelyek védettségi helyzetének javítása, a veszélyek és az elhullás megelőzése, valamint az idegenhonos inváziós fajok ellenőrzésére és felszámolására irányuló intézkedések. </w:t>
      </w:r>
    </w:p>
    <w:p w14:paraId="5B4482F1" w14:textId="77777777" w:rsidR="00D65CB4" w:rsidRPr="00BC4EE7" w:rsidRDefault="00572307">
      <w:pPr>
        <w:pStyle w:val="P68B1DB1-Normal4"/>
        <w:numPr>
          <w:ilvl w:val="0"/>
          <w:numId w:val="227"/>
        </w:numPr>
        <w:spacing w:before="120" w:after="160" w:line="240" w:lineRule="auto"/>
        <w:contextualSpacing/>
        <w:jc w:val="both"/>
        <w:rPr>
          <w:rFonts w:cs="Times New Roman"/>
          <w:noProof/>
        </w:rPr>
      </w:pPr>
      <w:r w:rsidRPr="00BC4EE7">
        <w:rPr>
          <w:rFonts w:cs="Times New Roman"/>
          <w:noProof/>
        </w:rPr>
        <w:t xml:space="preserve">Az infrastruktúrák fejlesztése, amely olyan intézkedéseket foglal magában, mint a természeti örökség kezelésével és a figyelemfelkeltéssel kapcsolatos létesítmények és infrastruktúra biztosítása, felújítása és korszerűsítése, valamint a biológiai sokféleség megőrzésének az emberi egészség és jólét szempontjából betöltött fontosságának hangsúlyozása és terjesztése. </w:t>
      </w:r>
    </w:p>
    <w:p w14:paraId="2BE7436A" w14:textId="529F32E7" w:rsidR="00D65CB4" w:rsidRPr="00BC4EE7" w:rsidRDefault="00572307">
      <w:pPr>
        <w:pStyle w:val="P68B1DB1-Normal4"/>
        <w:numPr>
          <w:ilvl w:val="0"/>
          <w:numId w:val="227"/>
        </w:numPr>
        <w:spacing w:before="120" w:after="160" w:line="240" w:lineRule="auto"/>
        <w:contextualSpacing/>
        <w:jc w:val="both"/>
        <w:rPr>
          <w:rFonts w:cs="Times New Roman"/>
          <w:noProof/>
        </w:rPr>
      </w:pPr>
      <w:r w:rsidRPr="00BC4EE7">
        <w:rPr>
          <w:rFonts w:cs="Times New Roman"/>
          <w:noProof/>
        </w:rPr>
        <w:t xml:space="preserve">A tengeri biológiai sokféleség megőrzésére irányuló beruházás annak érdekében, hogy 2025-re a spanyol tengeri terület legalább 18%-át megvédjék.   </w:t>
      </w:r>
    </w:p>
    <w:p w14:paraId="5100FD0E" w14:textId="77777777" w:rsidR="00D65CB4" w:rsidRPr="00BC4EE7" w:rsidRDefault="00572307">
      <w:pPr>
        <w:pStyle w:val="P68B1DB1-Normal4"/>
        <w:numPr>
          <w:ilvl w:val="0"/>
          <w:numId w:val="227"/>
        </w:numPr>
        <w:spacing w:before="120" w:after="160" w:line="240" w:lineRule="auto"/>
        <w:contextualSpacing/>
        <w:jc w:val="both"/>
        <w:rPr>
          <w:rFonts w:cs="Times New Roman"/>
          <w:noProof/>
        </w:rPr>
      </w:pPr>
      <w:r w:rsidRPr="00BC4EE7">
        <w:rPr>
          <w:rFonts w:cs="Times New Roman"/>
          <w:noProof/>
        </w:rPr>
        <w:t xml:space="preserve">A vizes élőhelyek helyreállítása a vizes élőhelyek megőrzésére, javítására és helyreállítására irányuló intézkedések révén, különös tekintettel a 2. reformban előírt vizes élőhelyek megőrzési és helyreállítási tervéhez kapcsolódó intézkedésekre. </w:t>
      </w:r>
    </w:p>
    <w:p w14:paraId="4D9ABA9A" w14:textId="77777777" w:rsidR="00D65CB4" w:rsidRPr="00BC4EE7" w:rsidRDefault="00572307">
      <w:pPr>
        <w:pStyle w:val="P68B1DB1-Normal4"/>
        <w:numPr>
          <w:ilvl w:val="0"/>
          <w:numId w:val="227"/>
        </w:numPr>
        <w:spacing w:before="120" w:after="120" w:line="240" w:lineRule="auto"/>
        <w:ind w:left="357" w:hanging="357"/>
        <w:jc w:val="both"/>
        <w:rPr>
          <w:rFonts w:cs="Times New Roman"/>
          <w:noProof/>
        </w:rPr>
      </w:pPr>
      <w:r w:rsidRPr="00BC4EE7">
        <w:rPr>
          <w:rFonts w:cs="Times New Roman"/>
          <w:noProof/>
        </w:rPr>
        <w:t xml:space="preserve">A nemzetközi kereskedelem ellenőrzése a CITES mentőközpontok hálózatának javítása és megszilárdítása, valamint az illegális kereskedelem elleni cselekvési terv megerősítése érdekében. </w:t>
      </w:r>
    </w:p>
    <w:p w14:paraId="066857D4"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Az intézkedés várhatóan nem sérti jelentősen az (EU) 2020/852 rendelet 17. cikke szerinti környezetvédelmi célkitűzéseket, figyelembe véve az intézkedés leírását és a helyreállítási és rezilienciaépítési tervben meghatározott enyhítő lépéseket a jelentős károkozás elkerülését célzó elvről szóló technikai iránymutatásnak (2021/C58/01) megfelelően. Különösen a különleges célú hajók vásárlása esetén a beruházás kiválasztási kritériumainak biztosítaniuk kell, hogy csak az ágazatban a legalacsonyabb környezeti hatással járó elérhető legjobb technológiák kerüljenek kiválasztásra, figyelembe véve az általuk kiszolgált különleges célt. </w:t>
      </w:r>
    </w:p>
    <w:p w14:paraId="7C5BBC2A"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beruházás végrehajtását 2026. június 30-ig be kell fejezni. </w:t>
      </w:r>
    </w:p>
    <w:p w14:paraId="5041CEF8"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(C4.I3) – Az ökoszisztémák és a zöld infrastruktúra helyreállítása</w:t>
      </w:r>
    </w:p>
    <w:p w14:paraId="067A6342"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Ez a beruházás a 2. reform végrehajtását támogató intézkedéseket tartalmaz. A cél a természetes ökoszisztémák és a bányászati tevékenységek, valamint a városi összeköttetések és a visszafordulás előmozdítását célzó egyéb kezdeményezések által károsodott területek helyreállítása. </w:t>
      </w:r>
    </w:p>
    <w:p w14:paraId="0EFA8DBE"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beruházás célja legalább 30 000 hektár természetes ökoszisztéma helyreállítása. A helyreállítási intézkedéseknek a leromlott területekre vagy ökoszisztémákra kell összpontosítaniuk a mesterséges elemek eltávolítása, a talaj és a morfológia javítása, valamint az újratelepítés és honosítás révén. A bányászat tekintetében a beruházásnak legalább 30 korábbi bányatelepet kell rehabilitálnia. A korábbi bányatelepek rehabilitációja magában foglalja a talaj szennyeződésmentesítését, a morfológiai helyreállítást, valamint a már nem működő korábbi bányatelepek rehabilitációját és honosítását. </w:t>
      </w:r>
    </w:p>
    <w:p w14:paraId="0B8C5AF7"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Végezetül a beruházásnak elő kell mozdítania a zöld infrastruktúrát, amely lefedi a helyi hatóságok igényeit, beleértve a következőket: várostervezési és -rehabilitációs stratégiák, amelyek célja a zöld és kék infrastruktúra létrehozása és regenerálása, valamint a városi területek felszabadítása a biológiai sokféleség, a talaj áteresztőképessége és a természetes összekapcsoltság növelése érdekében a városokban; a biológiai sokféleséggel kapcsolatos irányítási és részvételi folyamatokra, a zöld és kék területek kezelésére, valamint a biológiai sokféleséggel kapcsolatos városi anyagcsere-projektekre vonatkozó intézkedések és projektek; valamint iii. a várostervezéshez szükséges felszerelési és infrastrukturális projektek támogatása. </w:t>
      </w:r>
    </w:p>
    <w:p w14:paraId="3B8A491A"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beruházás végrehajtását 2026. június 30-ig be kell fejezni.</w:t>
      </w:r>
    </w:p>
    <w:p w14:paraId="6B3AF97C"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C4.I4. Fenntartható erdőgazdálkodás</w:t>
      </w:r>
    </w:p>
    <w:p w14:paraId="69ABB971"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Ez a beruházás a fenntartható erdőgazdálkodásra irányuló beruházásokat foglalja magában: </w:t>
      </w:r>
    </w:p>
    <w:p w14:paraId="2788BBF5" w14:textId="77777777" w:rsidR="00D65CB4" w:rsidRPr="00BC4EE7" w:rsidRDefault="00572307">
      <w:pPr>
        <w:pStyle w:val="P68B1DB1-Normal4"/>
        <w:numPr>
          <w:ilvl w:val="0"/>
          <w:numId w:val="228"/>
        </w:numPr>
        <w:spacing w:before="120" w:after="160" w:line="240" w:lineRule="auto"/>
        <w:contextualSpacing/>
        <w:jc w:val="both"/>
        <w:rPr>
          <w:rFonts w:cs="Times New Roman"/>
          <w:noProof/>
        </w:rPr>
      </w:pPr>
      <w:r w:rsidRPr="00BC4EE7">
        <w:rPr>
          <w:rFonts w:cs="Times New Roman"/>
          <w:noProof/>
        </w:rPr>
        <w:t xml:space="preserve">Az erdőtüzek elleni küzdelemre irányuló erdőgazdálkodást javító intézkedések és egyéb erdőgazdálkodási beavatkozások; technikai támogatás az erdőtulajdonosok és a közigazgatási szervek számára a köztulajdon megszilárdítása érdekében; erdőgazdálkodási tervek a biológiai sokféleség és az erdők fenntartható használatának előmozdítása érdekében. </w:t>
      </w:r>
    </w:p>
    <w:p w14:paraId="397F3A18" w14:textId="77777777" w:rsidR="00D65CB4" w:rsidRPr="00BC4EE7" w:rsidRDefault="00572307">
      <w:pPr>
        <w:pStyle w:val="P68B1DB1-Normal4"/>
        <w:numPr>
          <w:ilvl w:val="0"/>
          <w:numId w:val="228"/>
        </w:numPr>
        <w:spacing w:before="120" w:after="160" w:line="240" w:lineRule="auto"/>
        <w:contextualSpacing/>
        <w:jc w:val="both"/>
        <w:rPr>
          <w:rFonts w:cs="Times New Roman"/>
          <w:noProof/>
        </w:rPr>
      </w:pPr>
      <w:r w:rsidRPr="00BC4EE7">
        <w:rPr>
          <w:rFonts w:cs="Times New Roman"/>
          <w:noProof/>
        </w:rPr>
        <w:t xml:space="preserve">Az éghajlatváltozás védelmét és az ahhoz való alkalmazkodást célzó intézkedések, beleértve legalább 100 különleges célú tűzoltó eszköz, tűzoltó bázis felújítását és az erdőjavító intézkedések terén tett előrelépést. </w:t>
      </w:r>
    </w:p>
    <w:p w14:paraId="2D9AEB0F" w14:textId="77777777" w:rsidR="00D65CB4" w:rsidRPr="00BC4EE7" w:rsidRDefault="00572307">
      <w:pPr>
        <w:pStyle w:val="P68B1DB1-Normal4"/>
        <w:numPr>
          <w:ilvl w:val="0"/>
          <w:numId w:val="228"/>
        </w:numPr>
        <w:spacing w:before="120" w:after="120" w:line="240" w:lineRule="auto"/>
        <w:ind w:left="357" w:hanging="357"/>
        <w:jc w:val="both"/>
        <w:rPr>
          <w:rFonts w:cs="Times New Roman"/>
          <w:noProof/>
        </w:rPr>
      </w:pPr>
      <w:r w:rsidRPr="00BC4EE7">
        <w:rPr>
          <w:rFonts w:cs="Times New Roman"/>
          <w:noProof/>
        </w:rPr>
        <w:t xml:space="preserve">Intézkedéscsomag támogatja az erdészeti ágazatot mint a demográfiai kihívás kezelésének kulcsfontosságú forrását, különös tekintettel a zöld vállalkozásokra és a helyi biogazdaságra. A beruházás e része a helyi hatóságoknak és más köz- és magánszereplőknek nyújtott vissza nem térítendő támogatásokat tartalmaz az erdészeti ágazat és ipara versenyképességének, vállalkozói készségének és fenntarthatóságának előmozdítása érdekében. Ezeknek az intézkedéseknek különösen a zöld munkahelyek létrehozására kell összpontosítaniuk, különösen a nők és a fiatalok erdészeti ágazatban való részvételének és a zöld vállalkozásoknak a támogatása révén. </w:t>
      </w:r>
    </w:p>
    <w:p w14:paraId="73F7F758" w14:textId="260265BE" w:rsidR="00D65CB4" w:rsidRPr="00BC4EE7" w:rsidRDefault="00572307">
      <w:pPr>
        <w:pStyle w:val="P68B1DB1-Normal4"/>
        <w:spacing w:before="120" w:after="120" w:line="240" w:lineRule="auto"/>
        <w:jc w:val="both"/>
        <w:rPr>
          <w:rFonts w:cs="Times New Roman"/>
          <w:noProof/>
        </w:rPr>
      </w:pPr>
      <w:r w:rsidRPr="00BC4EE7">
        <w:rPr>
          <w:rFonts w:cs="Times New Roman"/>
          <w:noProof/>
        </w:rPr>
        <w:t>Az intézkedés várhatóan nem sérti jelentősen az (EU) 2020/852 rendelet 17. cikke szerinti környezetvédelmi célkitűzéseket, figyelembe véve az intézkedés leírását és a helyreállítási és rezilienciaépítési tervben meghatározott enyhítő lépéseket a jelentős károkozás elkerülését célzó elvről szóló technikai iránymutatásnak (2021/C58/01) megfelelően. Az intézkedésnek kifejezetten meg kell akadályoznia és ki kell zárnia a monokultúrás ültetvények, különösen az eukaliptusz támogatását a vízhiány és a tűzveszély minimalizálása érdekében. A tűzoltó berendezések beszerzéséhez csak az ágazatban a legalacsonyabb környezeti hatással járó elérhető legjobb technológiák támogathatók, figyelembe véve az általuk kiszolgált különleges célt.</w:t>
      </w:r>
    </w:p>
    <w:p w14:paraId="1D7B6836"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beruházás végrehajtását 2026. június 30-ig be kell fejezni.</w:t>
      </w:r>
    </w:p>
    <w:p w14:paraId="2E997092" w14:textId="77777777" w:rsidR="00D65CB4" w:rsidRPr="00BC4EE7" w:rsidRDefault="00572307">
      <w:pPr>
        <w:spacing w:before="120" w:after="120" w:line="240" w:lineRule="auto"/>
        <w:ind w:left="709"/>
        <w:jc w:val="both"/>
        <w:rPr>
          <w:rFonts w:ascii="Times New Roman" w:hAnsi="Times New Roman" w:cs="Times New Roman"/>
          <w:b/>
          <w:noProof/>
          <w:sz w:val="24"/>
          <w:u w:val="single"/>
        </w:rPr>
      </w:pPr>
      <w:r w:rsidRPr="00BC4EE7">
        <w:rPr>
          <w:rFonts w:ascii="Times New Roman" w:hAnsi="Times New Roman" w:cs="Times New Roman"/>
          <w:b/>
          <w:noProof/>
          <w:sz w:val="24"/>
          <w:u w:val="single"/>
        </w:rPr>
        <w:t xml:space="preserve">D.2.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Vissza nem térítendő pénzügyi támogatás – a végrehajtáshoz és a nyomon követéshez kapcsolódó mérföldkövek, célok, mutatók és ütemterv</w:t>
      </w:r>
    </w:p>
    <w:p w14:paraId="4293400D" w14:textId="6A5C7FA0" w:rsidR="00D65CB4" w:rsidRPr="00BC4EE7" w:rsidRDefault="00572307">
      <w:pPr>
        <w:pStyle w:val="P68B1DB1-Normal4"/>
        <w:spacing w:before="120" w:after="120" w:line="240" w:lineRule="auto"/>
        <w:jc w:val="both"/>
        <w:rPr>
          <w:rFonts w:cs="Times New Roman"/>
          <w:noProof/>
        </w:rPr>
      </w:pPr>
      <w:r w:rsidRPr="00BC4EE7">
        <w:rPr>
          <w:rFonts w:cs="Times New Roman"/>
          <w:i/>
          <w:noProof/>
        </w:rPr>
        <w:t>Táblázat alább.</w:t>
      </w:r>
      <w:r w:rsidRPr="00BC4EE7">
        <w:rPr>
          <w:rFonts w:cs="Times New Roman"/>
          <w:noProof/>
        </w:rPr>
        <w:t xml:space="preserve"> </w:t>
      </w:r>
      <w:r w:rsidRPr="00BC4EE7">
        <w:rPr>
          <w:rFonts w:cs="Times New Roman"/>
          <w:i/>
          <w:noProof/>
        </w:rPr>
        <w:t>Az összes mutató esetében az alapforgatókönyv időpontja 2020. február 1., kivéve, ha az intézkedés leírása ettől eltérően rendelkezik. A táblázatban szereplő összegek nem tartalmazzák a héát.</w:t>
      </w:r>
    </w:p>
    <w:p w14:paraId="144A5D23" w14:textId="77777777" w:rsidR="00D65CB4" w:rsidRPr="00BC4EE7" w:rsidRDefault="00D65CB4">
      <w:pPr>
        <w:spacing w:before="120" w:after="120" w:line="240" w:lineRule="auto"/>
        <w:jc w:val="both"/>
        <w:rPr>
          <w:rFonts w:ascii="Times New Roman" w:hAnsi="Times New Roman" w:cs="Times New Roman"/>
          <w:noProof/>
          <w:sz w:val="24"/>
        </w:rPr>
        <w:sectPr w:rsidR="00D65CB4" w:rsidRPr="00BC4EE7" w:rsidSect="00B511EF">
          <w:headerReference w:type="even" r:id="rId99"/>
          <w:headerReference w:type="default" r:id="rId100"/>
          <w:footerReference w:type="even" r:id="rId101"/>
          <w:footerReference w:type="default" r:id="rId102"/>
          <w:headerReference w:type="first" r:id="rId103"/>
          <w:footerReference w:type="first" r:id="rId104"/>
          <w:pgSz w:w="11907" w:h="16839"/>
          <w:pgMar w:top="1134" w:right="1134" w:bottom="1134" w:left="1134" w:header="567" w:footer="567"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28"/>
        <w:gridCol w:w="1015"/>
        <w:gridCol w:w="993"/>
        <w:gridCol w:w="1855"/>
        <w:gridCol w:w="1242"/>
        <w:gridCol w:w="828"/>
        <w:gridCol w:w="966"/>
        <w:gridCol w:w="691"/>
        <w:gridCol w:w="415"/>
        <w:gridCol w:w="553"/>
        <w:gridCol w:w="5924"/>
      </w:tblGrid>
      <w:tr w:rsidR="00D65CB4" w:rsidRPr="00BC4EE7" w14:paraId="38A1D4BF" w14:textId="77777777" w:rsidTr="00481CF8">
        <w:trPr>
          <w:trHeight w:val="309"/>
          <w:tblHeader/>
        </w:trPr>
        <w:tc>
          <w:tcPr>
            <w:tcW w:w="828" w:type="dxa"/>
            <w:tcBorders>
              <w:bottom w:val="nil"/>
            </w:tcBorders>
            <w:shd w:val="clear" w:color="auto" w:fill="C6D9F1" w:themeFill="text2" w:themeFillTint="33"/>
            <w:noWrap/>
            <w:vAlign w:val="center"/>
          </w:tcPr>
          <w:p w14:paraId="4EA0688D"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Szám</w:t>
            </w:r>
          </w:p>
        </w:tc>
        <w:tc>
          <w:tcPr>
            <w:tcW w:w="1015" w:type="dxa"/>
            <w:tcBorders>
              <w:bottom w:val="nil"/>
            </w:tcBorders>
            <w:shd w:val="clear" w:color="auto" w:fill="C6D9F1" w:themeFill="text2" w:themeFillTint="33"/>
            <w:noWrap/>
            <w:vAlign w:val="center"/>
          </w:tcPr>
          <w:p w14:paraId="37349FCC"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Intézkedés</w:t>
            </w:r>
          </w:p>
        </w:tc>
        <w:tc>
          <w:tcPr>
            <w:tcW w:w="993" w:type="dxa"/>
            <w:tcBorders>
              <w:bottom w:val="nil"/>
            </w:tcBorders>
            <w:shd w:val="clear" w:color="auto" w:fill="C6D9F1" w:themeFill="text2" w:themeFillTint="33"/>
            <w:noWrap/>
            <w:vAlign w:val="center"/>
          </w:tcPr>
          <w:p w14:paraId="1C39CEE4" w14:textId="77777777" w:rsidR="00D65CB4" w:rsidRPr="00BC4EE7" w:rsidRDefault="00572307">
            <w:pPr>
              <w:spacing w:after="0" w:line="240" w:lineRule="auto"/>
              <w:jc w:val="center"/>
              <w:rPr>
                <w:rFonts w:ascii="Times New Roman" w:hAnsi="Times New Roman" w:cs="Times New Roman"/>
                <w:b/>
                <w:noProof/>
                <w:sz w:val="18"/>
              </w:rPr>
            </w:pPr>
            <w:r w:rsidRPr="00BC4EE7">
              <w:rPr>
                <w:rFonts w:ascii="Times New Roman" w:hAnsi="Times New Roman" w:cs="Times New Roman"/>
                <w:b/>
                <w:noProof/>
                <w:sz w:val="18"/>
              </w:rPr>
              <w:t>Mérföldkő</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b/>
                <w:noProof/>
                <w:sz w:val="18"/>
              </w:rPr>
              <w:t xml:space="preserve"> /Cél</w:t>
            </w:r>
          </w:p>
        </w:tc>
        <w:tc>
          <w:tcPr>
            <w:tcW w:w="1855" w:type="dxa"/>
            <w:tcBorders>
              <w:bottom w:val="nil"/>
            </w:tcBorders>
            <w:shd w:val="clear" w:color="auto" w:fill="C6D9F1" w:themeFill="text2" w:themeFillTint="33"/>
            <w:noWrap/>
            <w:vAlign w:val="center"/>
          </w:tcPr>
          <w:p w14:paraId="44BD188F"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Név</w:t>
            </w:r>
          </w:p>
        </w:tc>
        <w:tc>
          <w:tcPr>
            <w:tcW w:w="1242" w:type="dxa"/>
            <w:tcBorders>
              <w:bottom w:val="nil"/>
            </w:tcBorders>
            <w:shd w:val="clear" w:color="auto" w:fill="C6D9F1" w:themeFill="text2" w:themeFillTint="33"/>
            <w:noWrap/>
            <w:vAlign w:val="center"/>
          </w:tcPr>
          <w:p w14:paraId="4E2A6197"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mérföldkövek minőségi mutatója</w:t>
            </w:r>
          </w:p>
        </w:tc>
        <w:tc>
          <w:tcPr>
            <w:tcW w:w="2485" w:type="dxa"/>
            <w:gridSpan w:val="3"/>
            <w:shd w:val="clear" w:color="auto" w:fill="C6D9F1" w:themeFill="text2" w:themeFillTint="33"/>
            <w:noWrap/>
            <w:vAlign w:val="center"/>
          </w:tcPr>
          <w:p w14:paraId="37FB5AFD"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célérték mennyiségi mutatója</w:t>
            </w:r>
          </w:p>
        </w:tc>
        <w:tc>
          <w:tcPr>
            <w:tcW w:w="968" w:type="dxa"/>
            <w:gridSpan w:val="2"/>
            <w:shd w:val="clear" w:color="auto" w:fill="C6D9F1" w:themeFill="text2" w:themeFillTint="33"/>
            <w:noWrap/>
            <w:vAlign w:val="center"/>
          </w:tcPr>
          <w:p w14:paraId="307F8153"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Idő</w:t>
            </w:r>
          </w:p>
        </w:tc>
        <w:tc>
          <w:tcPr>
            <w:tcW w:w="5924" w:type="dxa"/>
            <w:tcBorders>
              <w:bottom w:val="nil"/>
            </w:tcBorders>
            <w:shd w:val="clear" w:color="auto" w:fill="C6D9F1" w:themeFill="text2" w:themeFillTint="33"/>
            <w:noWrap/>
            <w:vAlign w:val="center"/>
          </w:tcPr>
          <w:p w14:paraId="376C7589"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Az egyes mérföldkövek és célértékek leírása</w:t>
            </w:r>
          </w:p>
        </w:tc>
      </w:tr>
      <w:tr w:rsidR="00D65CB4" w:rsidRPr="00BC4EE7" w14:paraId="67E72A50" w14:textId="77777777" w:rsidTr="00481CF8">
        <w:trPr>
          <w:trHeight w:val="309"/>
          <w:tblHeader/>
        </w:trPr>
        <w:tc>
          <w:tcPr>
            <w:tcW w:w="828" w:type="dxa"/>
            <w:tcBorders>
              <w:top w:val="nil"/>
            </w:tcBorders>
            <w:shd w:val="clear" w:color="auto" w:fill="C6D9F1" w:themeFill="text2" w:themeFillTint="33"/>
            <w:noWrap/>
          </w:tcPr>
          <w:p w14:paraId="738610EB" w14:textId="77777777" w:rsidR="00D65CB4" w:rsidRPr="00BC4EE7" w:rsidRDefault="00D65CB4">
            <w:pPr>
              <w:spacing w:after="0" w:line="240" w:lineRule="auto"/>
              <w:jc w:val="center"/>
              <w:rPr>
                <w:rFonts w:ascii="Times New Roman" w:hAnsi="Times New Roman" w:cs="Times New Roman"/>
                <w:b/>
                <w:noProof/>
                <w:sz w:val="18"/>
              </w:rPr>
            </w:pPr>
          </w:p>
        </w:tc>
        <w:tc>
          <w:tcPr>
            <w:tcW w:w="1015" w:type="dxa"/>
            <w:tcBorders>
              <w:top w:val="nil"/>
            </w:tcBorders>
            <w:shd w:val="clear" w:color="auto" w:fill="C6D9F1" w:themeFill="text2" w:themeFillTint="33"/>
            <w:noWrap/>
          </w:tcPr>
          <w:p w14:paraId="637805D2" w14:textId="77777777" w:rsidR="00D65CB4" w:rsidRPr="00BC4EE7" w:rsidRDefault="00D65CB4">
            <w:pPr>
              <w:spacing w:after="0" w:line="240" w:lineRule="auto"/>
              <w:jc w:val="center"/>
              <w:rPr>
                <w:rFonts w:ascii="Times New Roman" w:hAnsi="Times New Roman" w:cs="Times New Roman"/>
                <w:b/>
                <w:noProof/>
                <w:sz w:val="18"/>
              </w:rPr>
            </w:pPr>
          </w:p>
        </w:tc>
        <w:tc>
          <w:tcPr>
            <w:tcW w:w="993" w:type="dxa"/>
            <w:tcBorders>
              <w:top w:val="nil"/>
            </w:tcBorders>
            <w:shd w:val="clear" w:color="auto" w:fill="C6D9F1" w:themeFill="text2" w:themeFillTint="33"/>
            <w:noWrap/>
          </w:tcPr>
          <w:p w14:paraId="463F29E8" w14:textId="77777777" w:rsidR="00D65CB4" w:rsidRPr="00BC4EE7" w:rsidRDefault="00D65CB4">
            <w:pPr>
              <w:spacing w:after="0" w:line="240" w:lineRule="auto"/>
              <w:jc w:val="center"/>
              <w:rPr>
                <w:rFonts w:ascii="Times New Roman" w:hAnsi="Times New Roman" w:cs="Times New Roman"/>
                <w:b/>
                <w:noProof/>
                <w:sz w:val="18"/>
              </w:rPr>
            </w:pPr>
          </w:p>
        </w:tc>
        <w:tc>
          <w:tcPr>
            <w:tcW w:w="1855" w:type="dxa"/>
            <w:tcBorders>
              <w:top w:val="nil"/>
            </w:tcBorders>
            <w:shd w:val="clear" w:color="auto" w:fill="C6D9F1" w:themeFill="text2" w:themeFillTint="33"/>
            <w:noWrap/>
          </w:tcPr>
          <w:p w14:paraId="3B7B4B86" w14:textId="77777777" w:rsidR="00D65CB4" w:rsidRPr="00BC4EE7" w:rsidRDefault="00D65CB4">
            <w:pPr>
              <w:spacing w:after="0" w:line="240" w:lineRule="auto"/>
              <w:rPr>
                <w:rFonts w:ascii="Times New Roman" w:hAnsi="Times New Roman" w:cs="Times New Roman"/>
                <w:b/>
                <w:noProof/>
                <w:sz w:val="18"/>
              </w:rPr>
            </w:pPr>
          </w:p>
        </w:tc>
        <w:tc>
          <w:tcPr>
            <w:tcW w:w="1242" w:type="dxa"/>
            <w:tcBorders>
              <w:top w:val="nil"/>
            </w:tcBorders>
            <w:shd w:val="clear" w:color="auto" w:fill="C6D9F1" w:themeFill="text2" w:themeFillTint="33"/>
            <w:noWrap/>
          </w:tcPr>
          <w:p w14:paraId="3A0FF5F2" w14:textId="77777777" w:rsidR="00D65CB4" w:rsidRPr="00BC4EE7" w:rsidRDefault="00D65CB4">
            <w:pPr>
              <w:spacing w:after="0" w:line="240" w:lineRule="auto"/>
              <w:jc w:val="center"/>
              <w:rPr>
                <w:rFonts w:ascii="Times New Roman" w:hAnsi="Times New Roman" w:cs="Times New Roman"/>
                <w:b/>
                <w:noProof/>
                <w:sz w:val="18"/>
              </w:rPr>
            </w:pPr>
          </w:p>
        </w:tc>
        <w:tc>
          <w:tcPr>
            <w:tcW w:w="828" w:type="dxa"/>
            <w:shd w:val="clear" w:color="auto" w:fill="C6D9F1" w:themeFill="text2" w:themeFillTint="33"/>
            <w:noWrap/>
            <w:vAlign w:val="center"/>
          </w:tcPr>
          <w:p w14:paraId="3E5A4947"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Egység</w:t>
            </w:r>
          </w:p>
        </w:tc>
        <w:tc>
          <w:tcPr>
            <w:tcW w:w="966" w:type="dxa"/>
            <w:shd w:val="clear" w:color="auto" w:fill="C6D9F1" w:themeFill="text2" w:themeFillTint="33"/>
            <w:noWrap/>
            <w:vAlign w:val="center"/>
          </w:tcPr>
          <w:p w14:paraId="123CDAE8" w14:textId="7A6723C7" w:rsidR="00D65CB4" w:rsidRPr="00BC4EE7" w:rsidRDefault="00572307">
            <w:pPr>
              <w:pStyle w:val="P68B1DB1-Normal8"/>
              <w:spacing w:after="0" w:line="240" w:lineRule="auto"/>
              <w:jc w:val="center"/>
              <w:rPr>
                <w:rFonts w:cs="Times New Roman"/>
                <w:noProof/>
              </w:rPr>
            </w:pPr>
            <w:r w:rsidRPr="00BC4EE7">
              <w:rPr>
                <w:rFonts w:cs="Times New Roman"/>
                <w:noProof/>
              </w:rPr>
              <w:t>Kiindulási</w:t>
            </w:r>
          </w:p>
        </w:tc>
        <w:tc>
          <w:tcPr>
            <w:tcW w:w="691" w:type="dxa"/>
            <w:shd w:val="clear" w:color="auto" w:fill="C6D9F1" w:themeFill="text2" w:themeFillTint="33"/>
            <w:noWrap/>
            <w:vAlign w:val="center"/>
          </w:tcPr>
          <w:p w14:paraId="44FCF72C"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Cél</w:t>
            </w:r>
          </w:p>
        </w:tc>
        <w:tc>
          <w:tcPr>
            <w:tcW w:w="415" w:type="dxa"/>
            <w:shd w:val="clear" w:color="auto" w:fill="C6D9F1" w:themeFill="text2" w:themeFillTint="33"/>
            <w:noWrap/>
            <w:vAlign w:val="center"/>
          </w:tcPr>
          <w:p w14:paraId="57EEC46D"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Q</w:t>
            </w:r>
          </w:p>
        </w:tc>
        <w:tc>
          <w:tcPr>
            <w:tcW w:w="553" w:type="dxa"/>
            <w:shd w:val="clear" w:color="auto" w:fill="C6D9F1" w:themeFill="text2" w:themeFillTint="33"/>
            <w:noWrap/>
            <w:vAlign w:val="center"/>
          </w:tcPr>
          <w:p w14:paraId="07C5301E"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Éve</w:t>
            </w:r>
          </w:p>
        </w:tc>
        <w:tc>
          <w:tcPr>
            <w:tcW w:w="5924" w:type="dxa"/>
            <w:tcBorders>
              <w:top w:val="nil"/>
            </w:tcBorders>
            <w:shd w:val="clear" w:color="auto" w:fill="C6D9F1" w:themeFill="text2" w:themeFillTint="33"/>
            <w:noWrap/>
          </w:tcPr>
          <w:p w14:paraId="5630AD66" w14:textId="77777777" w:rsidR="00D65CB4" w:rsidRPr="00BC4EE7" w:rsidRDefault="00D65CB4">
            <w:pPr>
              <w:spacing w:after="0" w:line="240" w:lineRule="auto"/>
              <w:rPr>
                <w:rFonts w:ascii="Times New Roman" w:hAnsi="Times New Roman" w:cs="Times New Roman"/>
                <w:b/>
                <w:noProof/>
                <w:sz w:val="18"/>
              </w:rPr>
            </w:pPr>
          </w:p>
        </w:tc>
      </w:tr>
      <w:tr w:rsidR="00D65CB4" w:rsidRPr="00BC4EE7" w14:paraId="0889AFF1" w14:textId="77777777" w:rsidTr="00481CF8">
        <w:trPr>
          <w:trHeight w:val="309"/>
        </w:trPr>
        <w:tc>
          <w:tcPr>
            <w:tcW w:w="828" w:type="dxa"/>
            <w:shd w:val="clear" w:color="auto" w:fill="C6EFCE"/>
            <w:noWrap/>
          </w:tcPr>
          <w:p w14:paraId="04C1D538"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62</w:t>
            </w:r>
          </w:p>
        </w:tc>
        <w:tc>
          <w:tcPr>
            <w:tcW w:w="1015" w:type="dxa"/>
            <w:shd w:val="clear" w:color="auto" w:fill="C6EFCE"/>
            <w:noWrap/>
          </w:tcPr>
          <w:p w14:paraId="454EEF67"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C4.R1</w:t>
            </w:r>
          </w:p>
        </w:tc>
        <w:tc>
          <w:tcPr>
            <w:tcW w:w="993" w:type="dxa"/>
            <w:shd w:val="clear" w:color="auto" w:fill="C6EFCE"/>
            <w:noWrap/>
          </w:tcPr>
          <w:p w14:paraId="2B9DE707"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M</w:t>
            </w:r>
          </w:p>
        </w:tc>
        <w:tc>
          <w:tcPr>
            <w:tcW w:w="1855" w:type="dxa"/>
            <w:shd w:val="clear" w:color="auto" w:fill="C6EFCE"/>
            <w:noWrap/>
          </w:tcPr>
          <w:p w14:paraId="02923C49" w14:textId="77777777" w:rsidR="00D65CB4" w:rsidRPr="00BC4EE7" w:rsidRDefault="00572307">
            <w:pPr>
              <w:pStyle w:val="P68B1DB1-Normal12"/>
              <w:spacing w:after="0" w:line="240" w:lineRule="auto"/>
              <w:rPr>
                <w:rFonts w:eastAsia="MS Mincho" w:cs="Times New Roman"/>
                <w:noProof/>
              </w:rPr>
            </w:pPr>
            <w:r w:rsidRPr="00BC4EE7">
              <w:rPr>
                <w:rFonts w:cs="Times New Roman"/>
                <w:noProof/>
              </w:rPr>
              <w:t xml:space="preserve">A természeti örökségre és a biológiai sokféleségre vonatkozó stratégiai terv és a védett tengeri területek hálózatára vonatkozó terv </w:t>
            </w:r>
          </w:p>
        </w:tc>
        <w:tc>
          <w:tcPr>
            <w:tcW w:w="1242" w:type="dxa"/>
            <w:shd w:val="clear" w:color="auto" w:fill="C6EFCE"/>
            <w:noWrap/>
          </w:tcPr>
          <w:p w14:paraId="6964E4DC"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Közzététel a Hivatalos Lapban</w:t>
            </w:r>
          </w:p>
        </w:tc>
        <w:tc>
          <w:tcPr>
            <w:tcW w:w="828" w:type="dxa"/>
            <w:shd w:val="clear" w:color="auto" w:fill="C6EFCE"/>
            <w:noWrap/>
          </w:tcPr>
          <w:p w14:paraId="7BFC34AB"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966" w:type="dxa"/>
            <w:shd w:val="clear" w:color="auto" w:fill="C6EFCE"/>
            <w:noWrap/>
          </w:tcPr>
          <w:p w14:paraId="2CA4ECA7"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691" w:type="dxa"/>
            <w:shd w:val="clear" w:color="auto" w:fill="C6EFCE"/>
            <w:noWrap/>
          </w:tcPr>
          <w:p w14:paraId="157D6B25"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415" w:type="dxa"/>
            <w:shd w:val="clear" w:color="auto" w:fill="C6EFCE"/>
            <w:noWrap/>
          </w:tcPr>
          <w:p w14:paraId="654DB9FF"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Q4</w:t>
            </w:r>
          </w:p>
        </w:tc>
        <w:tc>
          <w:tcPr>
            <w:tcW w:w="553" w:type="dxa"/>
            <w:shd w:val="clear" w:color="auto" w:fill="C6EFCE"/>
            <w:noWrap/>
          </w:tcPr>
          <w:p w14:paraId="09F1A918"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2022</w:t>
            </w:r>
          </w:p>
        </w:tc>
        <w:tc>
          <w:tcPr>
            <w:tcW w:w="5924" w:type="dxa"/>
            <w:shd w:val="clear" w:color="auto" w:fill="C6EFCE"/>
            <w:noWrap/>
          </w:tcPr>
          <w:p w14:paraId="65F86F5F" w14:textId="691C0D8B" w:rsidR="00D65CB4" w:rsidRPr="00BC4EE7" w:rsidRDefault="00572307">
            <w:pPr>
              <w:pStyle w:val="P68B1DB1-Normal12"/>
              <w:spacing w:after="0" w:line="240" w:lineRule="auto"/>
              <w:rPr>
                <w:rFonts w:eastAsia="MS Mincho" w:cs="Times New Roman"/>
                <w:noProof/>
              </w:rPr>
            </w:pPr>
            <w:r w:rsidRPr="00BC4EE7">
              <w:rPr>
                <w:rFonts w:cs="Times New Roman"/>
                <w:noProof/>
              </w:rPr>
              <w:t>A természeti örökségre és a biológiai sokféleségre vonatkozó stratégiai terv (a továbbiakban: királyi rendelet) és a védett tengeri területek hálózatára vonatkozó terv (a továbbiakban: királyi rendelet) elfogadása, beleértve legalább kilenc tengergazdálkodási bázis létrehozását, iii. biodiverzitási, tudományos és tudásstratégiát, iv. a beporzók védelmére vonatkozó nemzeti stratégiát, v. a veszélyeztetett vadon élő állat- és növényfajok nemzetközi kereskedelméről szóló egyezmény alapján a hatóságok, közigazgatási és tudományos testületek naprakésszé tételéről szóló rendeletet és vi. a vizes élőhelyek megőrzésére és helyreállítására vonatkozó tervet.</w:t>
            </w:r>
          </w:p>
        </w:tc>
      </w:tr>
      <w:tr w:rsidR="00D65CB4" w:rsidRPr="00BC4EE7" w14:paraId="21F03F8F" w14:textId="77777777" w:rsidTr="00481CF8">
        <w:trPr>
          <w:trHeight w:val="309"/>
        </w:trPr>
        <w:tc>
          <w:tcPr>
            <w:tcW w:w="828" w:type="dxa"/>
            <w:shd w:val="clear" w:color="auto" w:fill="C6EFCE"/>
            <w:noWrap/>
          </w:tcPr>
          <w:p w14:paraId="43028211"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63</w:t>
            </w:r>
          </w:p>
        </w:tc>
        <w:tc>
          <w:tcPr>
            <w:tcW w:w="1015" w:type="dxa"/>
            <w:shd w:val="clear" w:color="auto" w:fill="C6EFCE"/>
            <w:noWrap/>
          </w:tcPr>
          <w:p w14:paraId="6A6470C9"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C4.R2</w:t>
            </w:r>
          </w:p>
        </w:tc>
        <w:tc>
          <w:tcPr>
            <w:tcW w:w="993" w:type="dxa"/>
            <w:shd w:val="clear" w:color="auto" w:fill="C6EFCE"/>
            <w:noWrap/>
          </w:tcPr>
          <w:p w14:paraId="3E638E00"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M</w:t>
            </w:r>
          </w:p>
        </w:tc>
        <w:tc>
          <w:tcPr>
            <w:tcW w:w="1855" w:type="dxa"/>
            <w:shd w:val="clear" w:color="auto" w:fill="C6EFCE"/>
            <w:noWrap/>
          </w:tcPr>
          <w:p w14:paraId="24215B88" w14:textId="77777777" w:rsidR="00D65CB4" w:rsidRPr="00BC4EE7" w:rsidRDefault="00572307">
            <w:pPr>
              <w:pStyle w:val="P68B1DB1-Normal12"/>
              <w:spacing w:after="0" w:line="240" w:lineRule="auto"/>
              <w:rPr>
                <w:rFonts w:eastAsia="MS Mincho" w:cs="Times New Roman"/>
                <w:noProof/>
              </w:rPr>
            </w:pPr>
            <w:r w:rsidRPr="00BC4EE7">
              <w:rPr>
                <w:rFonts w:cs="Times New Roman"/>
                <w:noProof/>
              </w:rPr>
              <w:t>A környezetbarát infrastruktúrára, az összeköttetésekre és az ökológiai helyreállításra vonatkozó nemzeti stratégia elfogadása</w:t>
            </w:r>
          </w:p>
        </w:tc>
        <w:tc>
          <w:tcPr>
            <w:tcW w:w="1242" w:type="dxa"/>
            <w:shd w:val="clear" w:color="auto" w:fill="C6EFCE"/>
            <w:noWrap/>
          </w:tcPr>
          <w:p w14:paraId="2B5B2E57"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Közzététel a Hivatalos Lapban</w:t>
            </w:r>
          </w:p>
        </w:tc>
        <w:tc>
          <w:tcPr>
            <w:tcW w:w="828" w:type="dxa"/>
            <w:shd w:val="clear" w:color="auto" w:fill="C6EFCE"/>
            <w:noWrap/>
          </w:tcPr>
          <w:p w14:paraId="11596254"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966" w:type="dxa"/>
            <w:shd w:val="clear" w:color="auto" w:fill="C6EFCE"/>
            <w:noWrap/>
          </w:tcPr>
          <w:p w14:paraId="06ED1C03"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691" w:type="dxa"/>
            <w:shd w:val="clear" w:color="auto" w:fill="C6EFCE"/>
            <w:noWrap/>
          </w:tcPr>
          <w:p w14:paraId="707D7BCF"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415" w:type="dxa"/>
            <w:shd w:val="clear" w:color="auto" w:fill="C6EFCE"/>
            <w:noWrap/>
          </w:tcPr>
          <w:p w14:paraId="372F91B2"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Q2</w:t>
            </w:r>
          </w:p>
        </w:tc>
        <w:tc>
          <w:tcPr>
            <w:tcW w:w="553" w:type="dxa"/>
            <w:shd w:val="clear" w:color="auto" w:fill="C6EFCE"/>
            <w:noWrap/>
          </w:tcPr>
          <w:p w14:paraId="007151C5"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2021</w:t>
            </w:r>
          </w:p>
        </w:tc>
        <w:tc>
          <w:tcPr>
            <w:tcW w:w="5924" w:type="dxa"/>
            <w:shd w:val="clear" w:color="auto" w:fill="C6EFCE"/>
            <w:noWrap/>
          </w:tcPr>
          <w:p w14:paraId="09DF981C" w14:textId="77777777" w:rsidR="00D65CB4" w:rsidRPr="00BC4EE7" w:rsidRDefault="00572307">
            <w:pPr>
              <w:pStyle w:val="P68B1DB1-Normal12"/>
              <w:spacing w:after="0" w:line="240" w:lineRule="auto"/>
              <w:rPr>
                <w:rFonts w:eastAsia="MS Mincho" w:cs="Times New Roman"/>
                <w:noProof/>
              </w:rPr>
            </w:pPr>
            <w:r w:rsidRPr="00BC4EE7">
              <w:rPr>
                <w:rFonts w:cs="Times New Roman"/>
                <w:noProof/>
              </w:rPr>
              <w:t>A környezetbarát infrastruktúrára, az összeköttetésekre és az ökológiai helyreállításra vonatkozó nemzeti stratégia elfogadása. A stratégia cselekvési irányvonalakat tartalmaz a következők elérése érdekében: i. a széttöredezettség és az ökológiai összekapcsoltság elvesztése hatásainak csökkentése; az ökoszisztémák helyreállítása a kulcsfontosságú területeken; iii. az ökoszisztéma-szolgáltatások nyújtásának fenntartása és javítása; i. az ellenálló képesség javítása; v. irányítási modell meghatározása; valamint vi. kommunikáció, oktatás és az érdekelt felek részvétele.</w:t>
            </w:r>
          </w:p>
        </w:tc>
      </w:tr>
      <w:tr w:rsidR="00D65CB4" w:rsidRPr="00BC4EE7" w14:paraId="76603375" w14:textId="77777777" w:rsidTr="00481CF8">
        <w:trPr>
          <w:trHeight w:val="309"/>
        </w:trPr>
        <w:tc>
          <w:tcPr>
            <w:tcW w:w="828" w:type="dxa"/>
            <w:shd w:val="clear" w:color="auto" w:fill="C6EFCE"/>
            <w:noWrap/>
          </w:tcPr>
          <w:p w14:paraId="55440C04"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64</w:t>
            </w:r>
          </w:p>
        </w:tc>
        <w:tc>
          <w:tcPr>
            <w:tcW w:w="1015" w:type="dxa"/>
            <w:shd w:val="clear" w:color="auto" w:fill="C6EFCE"/>
            <w:noWrap/>
          </w:tcPr>
          <w:p w14:paraId="54F57C4C"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C4.R3</w:t>
            </w:r>
          </w:p>
        </w:tc>
        <w:tc>
          <w:tcPr>
            <w:tcW w:w="993" w:type="dxa"/>
            <w:shd w:val="clear" w:color="auto" w:fill="C6EFCE"/>
            <w:noWrap/>
          </w:tcPr>
          <w:p w14:paraId="7CBC6735"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M</w:t>
            </w:r>
          </w:p>
        </w:tc>
        <w:tc>
          <w:tcPr>
            <w:tcW w:w="1855" w:type="dxa"/>
            <w:shd w:val="clear" w:color="auto" w:fill="C6EFCE"/>
            <w:noWrap/>
          </w:tcPr>
          <w:p w14:paraId="3C25E92A" w14:textId="77777777" w:rsidR="00D65CB4" w:rsidRPr="00BC4EE7" w:rsidRDefault="00572307">
            <w:pPr>
              <w:pStyle w:val="P68B1DB1-Normal12"/>
              <w:spacing w:after="0" w:line="240" w:lineRule="auto"/>
              <w:rPr>
                <w:rFonts w:eastAsia="MS Mincho" w:cs="Times New Roman"/>
                <w:noProof/>
              </w:rPr>
            </w:pPr>
            <w:r w:rsidRPr="00BC4EE7">
              <w:rPr>
                <w:rFonts w:cs="Times New Roman"/>
                <w:noProof/>
              </w:rPr>
              <w:t>A spanyol erdőgazdálkodási stratégia és támogatási terv jóváhagyása</w:t>
            </w:r>
          </w:p>
        </w:tc>
        <w:tc>
          <w:tcPr>
            <w:tcW w:w="1242" w:type="dxa"/>
            <w:shd w:val="clear" w:color="auto" w:fill="C6EFCE"/>
            <w:noWrap/>
          </w:tcPr>
          <w:p w14:paraId="5908B21B"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Közzététel a Hivatalos Lapban</w:t>
            </w:r>
          </w:p>
        </w:tc>
        <w:tc>
          <w:tcPr>
            <w:tcW w:w="828" w:type="dxa"/>
            <w:shd w:val="clear" w:color="auto" w:fill="C6EFCE"/>
            <w:noWrap/>
          </w:tcPr>
          <w:p w14:paraId="2A47D515"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966" w:type="dxa"/>
            <w:shd w:val="clear" w:color="auto" w:fill="C6EFCE"/>
            <w:noWrap/>
          </w:tcPr>
          <w:p w14:paraId="15E48944"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691" w:type="dxa"/>
            <w:shd w:val="clear" w:color="auto" w:fill="C6EFCE"/>
            <w:noWrap/>
          </w:tcPr>
          <w:p w14:paraId="0A4E68ED"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415" w:type="dxa"/>
            <w:shd w:val="clear" w:color="auto" w:fill="C6EFCE"/>
            <w:noWrap/>
          </w:tcPr>
          <w:p w14:paraId="686F1C1C"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Q4</w:t>
            </w:r>
          </w:p>
        </w:tc>
        <w:tc>
          <w:tcPr>
            <w:tcW w:w="553" w:type="dxa"/>
            <w:shd w:val="clear" w:color="auto" w:fill="C6EFCE"/>
            <w:noWrap/>
          </w:tcPr>
          <w:p w14:paraId="2C8BB7A9"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2022</w:t>
            </w:r>
          </w:p>
        </w:tc>
        <w:tc>
          <w:tcPr>
            <w:tcW w:w="5924" w:type="dxa"/>
            <w:shd w:val="clear" w:color="auto" w:fill="C6EFCE"/>
            <w:noWrap/>
          </w:tcPr>
          <w:p w14:paraId="6E970EA2" w14:textId="77777777" w:rsidR="00D65CB4" w:rsidRPr="00BC4EE7" w:rsidRDefault="00572307">
            <w:pPr>
              <w:pStyle w:val="P68B1DB1-Normal12"/>
              <w:spacing w:after="0" w:line="240" w:lineRule="auto"/>
              <w:rPr>
                <w:rFonts w:eastAsia="MS Mincho" w:cs="Times New Roman"/>
                <w:noProof/>
              </w:rPr>
            </w:pPr>
            <w:r w:rsidRPr="00BC4EE7">
              <w:rPr>
                <w:rFonts w:cs="Times New Roman"/>
                <w:noProof/>
              </w:rPr>
              <w:t>A spanyol erdőgazdálkodási stratégia és támogatási terv elfogadása, amely a fenntartható erdőgazdálkodásra vonatkozó iránymutatásokat is tartalmaz.</w:t>
            </w:r>
          </w:p>
        </w:tc>
      </w:tr>
      <w:tr w:rsidR="00D65CB4" w:rsidRPr="00BC4EE7" w14:paraId="4C4C7EFD" w14:textId="77777777" w:rsidTr="00481CF8">
        <w:trPr>
          <w:trHeight w:val="309"/>
        </w:trPr>
        <w:tc>
          <w:tcPr>
            <w:tcW w:w="828" w:type="dxa"/>
            <w:shd w:val="clear" w:color="auto" w:fill="C6EFCE"/>
            <w:noWrap/>
          </w:tcPr>
          <w:p w14:paraId="46DE38F6"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65</w:t>
            </w:r>
          </w:p>
        </w:tc>
        <w:tc>
          <w:tcPr>
            <w:tcW w:w="1015" w:type="dxa"/>
            <w:shd w:val="clear" w:color="auto" w:fill="C6EFCE"/>
            <w:noWrap/>
          </w:tcPr>
          <w:p w14:paraId="4DB89285"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C4.I1</w:t>
            </w:r>
          </w:p>
        </w:tc>
        <w:tc>
          <w:tcPr>
            <w:tcW w:w="993" w:type="dxa"/>
            <w:shd w:val="clear" w:color="auto" w:fill="C6EFCE"/>
            <w:noWrap/>
          </w:tcPr>
          <w:p w14:paraId="497BDA4B"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M</w:t>
            </w:r>
          </w:p>
        </w:tc>
        <w:tc>
          <w:tcPr>
            <w:tcW w:w="1855" w:type="dxa"/>
            <w:shd w:val="clear" w:color="auto" w:fill="C6EFCE"/>
            <w:noWrap/>
          </w:tcPr>
          <w:p w14:paraId="043BD904" w14:textId="77777777" w:rsidR="00D65CB4" w:rsidRPr="00BC4EE7" w:rsidRDefault="00572307">
            <w:pPr>
              <w:pStyle w:val="P68B1DB1-Normal12"/>
              <w:spacing w:after="0" w:line="240" w:lineRule="auto"/>
              <w:rPr>
                <w:rFonts w:eastAsia="MS Mincho" w:cs="Times New Roman"/>
                <w:noProof/>
              </w:rPr>
            </w:pPr>
            <w:r w:rsidRPr="00BC4EE7">
              <w:rPr>
                <w:rFonts w:cs="Times New Roman"/>
                <w:noProof/>
              </w:rPr>
              <w:t>A tűzoltásra szolgáló különleges célú légi járművekre vonatkozó szerződések odaítélése, valamint a biológiai sokféleségre vonatkozó tudásfigyelő és -kezelési rendszer létrehozása</w:t>
            </w:r>
          </w:p>
        </w:tc>
        <w:tc>
          <w:tcPr>
            <w:tcW w:w="1242" w:type="dxa"/>
            <w:shd w:val="clear" w:color="auto" w:fill="C6EFCE"/>
            <w:noWrap/>
          </w:tcPr>
          <w:p w14:paraId="58C01D8C"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A szerződések odaítélése</w:t>
            </w:r>
          </w:p>
        </w:tc>
        <w:tc>
          <w:tcPr>
            <w:tcW w:w="828" w:type="dxa"/>
            <w:shd w:val="clear" w:color="auto" w:fill="C6EFCE"/>
            <w:noWrap/>
          </w:tcPr>
          <w:p w14:paraId="30E85FE0"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966" w:type="dxa"/>
            <w:shd w:val="clear" w:color="auto" w:fill="C6EFCE"/>
            <w:noWrap/>
          </w:tcPr>
          <w:p w14:paraId="2080AEB9"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691" w:type="dxa"/>
            <w:shd w:val="clear" w:color="auto" w:fill="C6EFCE"/>
            <w:noWrap/>
          </w:tcPr>
          <w:p w14:paraId="29AC5F55"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415" w:type="dxa"/>
            <w:shd w:val="clear" w:color="auto" w:fill="C6EFCE"/>
            <w:noWrap/>
          </w:tcPr>
          <w:p w14:paraId="647EC82C"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Q2</w:t>
            </w:r>
          </w:p>
        </w:tc>
        <w:tc>
          <w:tcPr>
            <w:tcW w:w="553" w:type="dxa"/>
            <w:shd w:val="clear" w:color="auto" w:fill="C6EFCE"/>
            <w:noWrap/>
          </w:tcPr>
          <w:p w14:paraId="2CA49D28"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2022</w:t>
            </w:r>
          </w:p>
        </w:tc>
        <w:tc>
          <w:tcPr>
            <w:tcW w:w="5924" w:type="dxa"/>
            <w:shd w:val="clear" w:color="auto" w:fill="C6EFCE"/>
            <w:noWrap/>
          </w:tcPr>
          <w:p w14:paraId="24085CCD" w14:textId="7696C775" w:rsidR="00D65CB4" w:rsidRPr="00BC4EE7" w:rsidRDefault="00572307">
            <w:pPr>
              <w:pStyle w:val="P68B1DB1-Normal12"/>
              <w:spacing w:after="0" w:line="240" w:lineRule="auto"/>
              <w:rPr>
                <w:rFonts w:eastAsia="MS Mincho" w:cs="Times New Roman"/>
                <w:noProof/>
              </w:rPr>
            </w:pPr>
            <w:r w:rsidRPr="00BC4EE7">
              <w:rPr>
                <w:rFonts w:cs="Times New Roman"/>
                <w:noProof/>
              </w:rPr>
              <w:t>Szerződések odaítélése legalább tíz különleges célú légi jármű (Canadair) tűzoltás céljából történő korszerűsítésére és korszerűsítésére, valamint a biológiai sokféleséggel kapcsolatos ismeretek nyomon követésére és kezelésére szolgáló rendszer rendelkezésre bocsátása. A rendszer magában foglalja a fajokkal és élőhelyekkel kapcsolatos ismeretek bővítését, valamint egy digitális platformot. A beruházásnak biztosítania kell a jelentős károkozás elkerülését célzó technikai iránymutatásnak (2021/C58/01) való megfelelést azáltal, hogy csak a meglévő légi járműveket korszerűsíti, ami nem növelheti azok élettartamát vagy kapacitását.</w:t>
            </w:r>
          </w:p>
        </w:tc>
      </w:tr>
      <w:tr w:rsidR="00D65CB4" w:rsidRPr="00BC4EE7" w14:paraId="49DC0193" w14:textId="77777777" w:rsidTr="00481CF8">
        <w:trPr>
          <w:trHeight w:val="309"/>
        </w:trPr>
        <w:tc>
          <w:tcPr>
            <w:tcW w:w="828" w:type="dxa"/>
            <w:shd w:val="clear" w:color="auto" w:fill="C6EFCE"/>
            <w:noWrap/>
          </w:tcPr>
          <w:p w14:paraId="43A19E73" w14:textId="1ED42F4E"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66</w:t>
            </w:r>
          </w:p>
        </w:tc>
        <w:tc>
          <w:tcPr>
            <w:tcW w:w="1015" w:type="dxa"/>
            <w:shd w:val="clear" w:color="auto" w:fill="C6EFCE"/>
            <w:noWrap/>
          </w:tcPr>
          <w:p w14:paraId="59DED0D3"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C4.I1</w:t>
            </w:r>
          </w:p>
        </w:tc>
        <w:tc>
          <w:tcPr>
            <w:tcW w:w="993" w:type="dxa"/>
            <w:shd w:val="clear" w:color="auto" w:fill="C6EFCE"/>
            <w:noWrap/>
          </w:tcPr>
          <w:p w14:paraId="24D19C8D"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M</w:t>
            </w:r>
          </w:p>
        </w:tc>
        <w:tc>
          <w:tcPr>
            <w:tcW w:w="1855" w:type="dxa"/>
            <w:shd w:val="clear" w:color="auto" w:fill="C6EFCE"/>
            <w:noWrap/>
          </w:tcPr>
          <w:p w14:paraId="1A68EE37" w14:textId="7C3DF2E8" w:rsidR="00D65CB4" w:rsidRPr="00BC4EE7" w:rsidRDefault="00572307">
            <w:pPr>
              <w:pStyle w:val="P68B1DB1-Normal12"/>
              <w:spacing w:after="0" w:line="240" w:lineRule="auto"/>
              <w:rPr>
                <w:rFonts w:eastAsia="MS Mincho" w:cs="Times New Roman"/>
                <w:noProof/>
              </w:rPr>
            </w:pPr>
            <w:r w:rsidRPr="00BC4EE7">
              <w:rPr>
                <w:rFonts w:cs="Times New Roman"/>
                <w:noProof/>
              </w:rPr>
              <w:t>A biológiai sokféleséggel kapcsolatos ismeretek nyomon követésére és kezelésére szolgáló rendszer befejezése és működőképessé tétele</w:t>
            </w:r>
          </w:p>
        </w:tc>
        <w:tc>
          <w:tcPr>
            <w:tcW w:w="1242" w:type="dxa"/>
            <w:shd w:val="clear" w:color="auto" w:fill="C6EFCE"/>
            <w:noWrap/>
          </w:tcPr>
          <w:p w14:paraId="4EEE0BA8" w14:textId="77777777" w:rsidR="00D65CB4" w:rsidRPr="00BC4EE7" w:rsidRDefault="00572307">
            <w:pPr>
              <w:pStyle w:val="P68B1DB1-Normal20"/>
              <w:spacing w:after="0" w:line="240" w:lineRule="auto"/>
              <w:jc w:val="center"/>
              <w:rPr>
                <w:rFonts w:eastAsia="MS Mincho" w:cs="Times New Roman"/>
                <w:noProof/>
              </w:rPr>
            </w:pPr>
            <w:r w:rsidRPr="00BC4EE7">
              <w:rPr>
                <w:rFonts w:cs="Times New Roman"/>
                <w:noProof/>
              </w:rPr>
              <w:t>ACTA de Recepción</w:t>
            </w:r>
          </w:p>
        </w:tc>
        <w:tc>
          <w:tcPr>
            <w:tcW w:w="828" w:type="dxa"/>
            <w:shd w:val="clear" w:color="auto" w:fill="C6EFCE"/>
            <w:noWrap/>
          </w:tcPr>
          <w:p w14:paraId="79E427E6"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966" w:type="dxa"/>
            <w:shd w:val="clear" w:color="auto" w:fill="C6EFCE"/>
            <w:noWrap/>
          </w:tcPr>
          <w:p w14:paraId="566C1BCE"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691" w:type="dxa"/>
            <w:shd w:val="clear" w:color="auto" w:fill="C6EFCE"/>
            <w:noWrap/>
          </w:tcPr>
          <w:p w14:paraId="1DB36F4A"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415" w:type="dxa"/>
            <w:shd w:val="clear" w:color="auto" w:fill="C6EFCE"/>
            <w:noWrap/>
          </w:tcPr>
          <w:p w14:paraId="1655411C"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Q2</w:t>
            </w:r>
          </w:p>
        </w:tc>
        <w:tc>
          <w:tcPr>
            <w:tcW w:w="553" w:type="dxa"/>
            <w:shd w:val="clear" w:color="auto" w:fill="C6EFCE"/>
            <w:noWrap/>
          </w:tcPr>
          <w:p w14:paraId="1A5F6368"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2026</w:t>
            </w:r>
          </w:p>
        </w:tc>
        <w:tc>
          <w:tcPr>
            <w:tcW w:w="5924" w:type="dxa"/>
            <w:shd w:val="clear" w:color="auto" w:fill="C6EFCE"/>
            <w:noWrap/>
          </w:tcPr>
          <w:p w14:paraId="6874F34F" w14:textId="7864295E" w:rsidR="00D65CB4" w:rsidRPr="00BC4EE7" w:rsidRDefault="00572307">
            <w:pPr>
              <w:pStyle w:val="P68B1DB1-Normal12"/>
              <w:spacing w:after="0" w:line="240" w:lineRule="auto"/>
              <w:rPr>
                <w:rFonts w:cs="Times New Roman"/>
                <w:noProof/>
              </w:rPr>
            </w:pPr>
            <w:r w:rsidRPr="00BC4EE7">
              <w:rPr>
                <w:rFonts w:cs="Times New Roman"/>
                <w:noProof/>
              </w:rPr>
              <w:t xml:space="preserve">A biológiai sokféleséggel kapcsolatos ismeretek nyomon követésére és kezelésére szolgáló rendszer elkészült és működőképes (beleértve a digitális platformot is), és az ország szárazföldi területének legalább 75%-ára kiterjedő precíziós LIDAR repülést hajtottak végre. </w:t>
            </w:r>
          </w:p>
        </w:tc>
      </w:tr>
      <w:tr w:rsidR="00D65CB4" w:rsidRPr="00BC4EE7" w14:paraId="246B8B84" w14:textId="77777777" w:rsidTr="00481CF8">
        <w:trPr>
          <w:trHeight w:val="309"/>
        </w:trPr>
        <w:tc>
          <w:tcPr>
            <w:tcW w:w="828" w:type="dxa"/>
            <w:shd w:val="clear" w:color="auto" w:fill="C6EFCE"/>
            <w:noWrap/>
          </w:tcPr>
          <w:p w14:paraId="1CB76B51"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67</w:t>
            </w:r>
          </w:p>
        </w:tc>
        <w:tc>
          <w:tcPr>
            <w:tcW w:w="1015" w:type="dxa"/>
            <w:shd w:val="clear" w:color="auto" w:fill="C6EFCE"/>
            <w:noWrap/>
          </w:tcPr>
          <w:p w14:paraId="7C064685"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C4.I2.</w:t>
            </w:r>
          </w:p>
        </w:tc>
        <w:tc>
          <w:tcPr>
            <w:tcW w:w="993" w:type="dxa"/>
            <w:shd w:val="clear" w:color="auto" w:fill="C6EFCE"/>
            <w:noWrap/>
          </w:tcPr>
          <w:p w14:paraId="067EFF58"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T</w:t>
            </w:r>
          </w:p>
        </w:tc>
        <w:tc>
          <w:tcPr>
            <w:tcW w:w="1855" w:type="dxa"/>
            <w:shd w:val="clear" w:color="auto" w:fill="C6EFCE"/>
            <w:noWrap/>
          </w:tcPr>
          <w:p w14:paraId="6E204478" w14:textId="77777777" w:rsidR="00D65CB4" w:rsidRPr="00BC4EE7" w:rsidRDefault="00572307">
            <w:pPr>
              <w:pStyle w:val="P68B1DB1-Normal12"/>
              <w:spacing w:after="0" w:line="240" w:lineRule="auto"/>
              <w:rPr>
                <w:rFonts w:eastAsia="MS Mincho" w:cs="Times New Roman"/>
                <w:noProof/>
              </w:rPr>
            </w:pPr>
            <w:r w:rsidRPr="00BC4EE7">
              <w:rPr>
                <w:rFonts w:cs="Times New Roman"/>
                <w:noProof/>
              </w:rPr>
              <w:t xml:space="preserve">Tengeri védett területek </w:t>
            </w:r>
          </w:p>
        </w:tc>
        <w:tc>
          <w:tcPr>
            <w:tcW w:w="1242" w:type="dxa"/>
            <w:shd w:val="clear" w:color="auto" w:fill="C6EFCE"/>
            <w:noWrap/>
          </w:tcPr>
          <w:p w14:paraId="61829076" w14:textId="77777777" w:rsidR="00D65CB4" w:rsidRPr="00BC4EE7" w:rsidRDefault="00D65CB4">
            <w:pPr>
              <w:spacing w:after="0" w:line="240" w:lineRule="auto"/>
              <w:jc w:val="center"/>
              <w:rPr>
                <w:rFonts w:ascii="Times New Roman" w:eastAsia="MS Mincho" w:hAnsi="Times New Roman" w:cs="Times New Roman"/>
                <w:noProof/>
                <w:sz w:val="18"/>
              </w:rPr>
            </w:pPr>
          </w:p>
        </w:tc>
        <w:tc>
          <w:tcPr>
            <w:tcW w:w="828" w:type="dxa"/>
            <w:shd w:val="clear" w:color="auto" w:fill="C6EFCE"/>
            <w:noWrap/>
          </w:tcPr>
          <w:p w14:paraId="5B6C19F2"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Spanyolország tengeri területének %-a</w:t>
            </w:r>
          </w:p>
        </w:tc>
        <w:tc>
          <w:tcPr>
            <w:tcW w:w="966" w:type="dxa"/>
            <w:shd w:val="clear" w:color="auto" w:fill="C6EFCE"/>
            <w:noWrap/>
          </w:tcPr>
          <w:p w14:paraId="5D0116D1"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13</w:t>
            </w:r>
          </w:p>
        </w:tc>
        <w:tc>
          <w:tcPr>
            <w:tcW w:w="691" w:type="dxa"/>
            <w:shd w:val="clear" w:color="auto" w:fill="C6EFCE"/>
            <w:noWrap/>
          </w:tcPr>
          <w:p w14:paraId="423D4B9D"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15</w:t>
            </w:r>
          </w:p>
        </w:tc>
        <w:tc>
          <w:tcPr>
            <w:tcW w:w="415" w:type="dxa"/>
            <w:shd w:val="clear" w:color="auto" w:fill="C6EFCE"/>
            <w:noWrap/>
          </w:tcPr>
          <w:p w14:paraId="23956E26"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Q4</w:t>
            </w:r>
          </w:p>
        </w:tc>
        <w:tc>
          <w:tcPr>
            <w:tcW w:w="553" w:type="dxa"/>
            <w:shd w:val="clear" w:color="auto" w:fill="C6EFCE"/>
            <w:noWrap/>
          </w:tcPr>
          <w:p w14:paraId="72C583B8"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2023</w:t>
            </w:r>
          </w:p>
        </w:tc>
        <w:tc>
          <w:tcPr>
            <w:tcW w:w="5924" w:type="dxa"/>
            <w:shd w:val="clear" w:color="auto" w:fill="C6EFCE"/>
            <w:noWrap/>
          </w:tcPr>
          <w:p w14:paraId="4B1A0A70" w14:textId="188B7551" w:rsidR="00D65CB4" w:rsidRPr="00BC4EE7" w:rsidRDefault="00572307">
            <w:pPr>
              <w:pStyle w:val="P68B1DB1-Normal12"/>
              <w:spacing w:after="0" w:line="240" w:lineRule="auto"/>
              <w:rPr>
                <w:rFonts w:eastAsia="MS Mincho" w:cs="Times New Roman"/>
                <w:noProof/>
              </w:rPr>
            </w:pPr>
            <w:r w:rsidRPr="00BC4EE7">
              <w:rPr>
                <w:rFonts w:cs="Times New Roman"/>
                <w:noProof/>
              </w:rPr>
              <w:t xml:space="preserve">A spanyol tengeri terület legalább 15%-án védett tengeri terület elérése. „Védett tengeri terület”: a 42/2007. sz. törvényben meghatározott Natura 2000 hálózatba vagy a védett természeti területek egyéb kategóriáiba tartozó tengeri terület; a nemzetközi jogi eszközök és a tengeri tartalékok által védett területeket adott esetben be kell vonni a RAMPE-ba (a védett tengeri területek spanyol hálózata). (Alapforgatókönyv: 2020. december 31.) </w:t>
            </w:r>
          </w:p>
        </w:tc>
      </w:tr>
      <w:tr w:rsidR="00D65CB4" w:rsidRPr="00BC4EE7" w14:paraId="39A6ECF2" w14:textId="77777777" w:rsidTr="00481CF8">
        <w:trPr>
          <w:trHeight w:val="309"/>
        </w:trPr>
        <w:tc>
          <w:tcPr>
            <w:tcW w:w="828" w:type="dxa"/>
            <w:shd w:val="clear" w:color="auto" w:fill="C6EFCE"/>
            <w:noWrap/>
          </w:tcPr>
          <w:p w14:paraId="224139B5"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68</w:t>
            </w:r>
          </w:p>
        </w:tc>
        <w:tc>
          <w:tcPr>
            <w:tcW w:w="1015" w:type="dxa"/>
            <w:shd w:val="clear" w:color="auto" w:fill="C6EFCE"/>
            <w:noWrap/>
          </w:tcPr>
          <w:p w14:paraId="08B4E5E9"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C4.I2.</w:t>
            </w:r>
          </w:p>
        </w:tc>
        <w:tc>
          <w:tcPr>
            <w:tcW w:w="993" w:type="dxa"/>
            <w:shd w:val="clear" w:color="auto" w:fill="C6EFCE"/>
            <w:noWrap/>
          </w:tcPr>
          <w:p w14:paraId="5D7BA318"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1855" w:type="dxa"/>
            <w:shd w:val="clear" w:color="auto" w:fill="C6EFCE"/>
            <w:noWrap/>
          </w:tcPr>
          <w:p w14:paraId="74522CB6" w14:textId="77777777" w:rsidR="00D65CB4" w:rsidRPr="00BC4EE7" w:rsidRDefault="00572307">
            <w:pPr>
              <w:pStyle w:val="P68B1DB1-Normal12"/>
              <w:spacing w:after="0" w:line="240" w:lineRule="auto"/>
              <w:rPr>
                <w:rFonts w:cs="Times New Roman"/>
                <w:noProof/>
              </w:rPr>
            </w:pPr>
            <w:r w:rsidRPr="00BC4EE7">
              <w:rPr>
                <w:rFonts w:cs="Times New Roman"/>
                <w:noProof/>
              </w:rPr>
              <w:t xml:space="preserve">Tengeri védett területek </w:t>
            </w:r>
          </w:p>
        </w:tc>
        <w:tc>
          <w:tcPr>
            <w:tcW w:w="1242" w:type="dxa"/>
            <w:shd w:val="clear" w:color="auto" w:fill="C6EFCE"/>
            <w:noWrap/>
          </w:tcPr>
          <w:p w14:paraId="2BA226A1" w14:textId="77777777" w:rsidR="00D65CB4" w:rsidRPr="00BC4EE7" w:rsidRDefault="00D65CB4">
            <w:pPr>
              <w:spacing w:after="0" w:line="240" w:lineRule="auto"/>
              <w:jc w:val="center"/>
              <w:rPr>
                <w:rFonts w:ascii="Times New Roman" w:hAnsi="Times New Roman" w:cs="Times New Roman"/>
                <w:noProof/>
                <w:sz w:val="18"/>
              </w:rPr>
            </w:pPr>
          </w:p>
        </w:tc>
        <w:tc>
          <w:tcPr>
            <w:tcW w:w="828" w:type="dxa"/>
            <w:shd w:val="clear" w:color="auto" w:fill="C6EFCE"/>
            <w:noWrap/>
          </w:tcPr>
          <w:p w14:paraId="017E78C1"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Spanyolország tengeri területének %-a</w:t>
            </w:r>
          </w:p>
        </w:tc>
        <w:tc>
          <w:tcPr>
            <w:tcW w:w="966" w:type="dxa"/>
            <w:shd w:val="clear" w:color="auto" w:fill="C6EFCE"/>
            <w:noWrap/>
          </w:tcPr>
          <w:p w14:paraId="4C2A823A"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15</w:t>
            </w:r>
          </w:p>
        </w:tc>
        <w:tc>
          <w:tcPr>
            <w:tcW w:w="691" w:type="dxa"/>
            <w:shd w:val="clear" w:color="auto" w:fill="C6EFCE"/>
            <w:noWrap/>
          </w:tcPr>
          <w:p w14:paraId="5D9857E1"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18</w:t>
            </w:r>
          </w:p>
        </w:tc>
        <w:tc>
          <w:tcPr>
            <w:tcW w:w="415" w:type="dxa"/>
            <w:shd w:val="clear" w:color="auto" w:fill="C6EFCE"/>
            <w:noWrap/>
          </w:tcPr>
          <w:p w14:paraId="0D4AC936"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553" w:type="dxa"/>
            <w:shd w:val="clear" w:color="auto" w:fill="C6EFCE"/>
            <w:noWrap/>
          </w:tcPr>
          <w:p w14:paraId="4FA36ACC"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2025</w:t>
            </w:r>
          </w:p>
        </w:tc>
        <w:tc>
          <w:tcPr>
            <w:tcW w:w="5924" w:type="dxa"/>
            <w:shd w:val="clear" w:color="auto" w:fill="C6EFCE"/>
            <w:noWrap/>
          </w:tcPr>
          <w:p w14:paraId="12544D96" w14:textId="3920702E" w:rsidR="00D65CB4" w:rsidRPr="00BC4EE7" w:rsidRDefault="00572307">
            <w:pPr>
              <w:pStyle w:val="P68B1DB1-Normal12"/>
              <w:spacing w:after="0" w:line="240" w:lineRule="auto"/>
              <w:rPr>
                <w:rFonts w:cs="Times New Roman"/>
                <w:noProof/>
              </w:rPr>
            </w:pPr>
            <w:r w:rsidRPr="00BC4EE7">
              <w:rPr>
                <w:rFonts w:cs="Times New Roman"/>
                <w:noProof/>
              </w:rPr>
              <w:t>A spanyol tengeri terület legalább 18%-ának védett tengeri területe. „Védett tengeri terület”: a 42/2007. sz. törvényben meghatározott Natura 2000 hálózatokba vagy a védett természeti területek egyéb kategóriáiba tartozó tengeri terület; a nemzetközi jogi eszközök és a tengeri tartalékok által védett területeket adott esetben be kell vonni a RAMPE-ba (a védett tengeri területek spanyol hálózata). (Alapforgatókönyv: 2023. december 31.)</w:t>
            </w:r>
          </w:p>
        </w:tc>
      </w:tr>
      <w:tr w:rsidR="00D65CB4" w:rsidRPr="00BC4EE7" w14:paraId="0E646B10" w14:textId="77777777" w:rsidTr="00481CF8">
        <w:trPr>
          <w:trHeight w:val="309"/>
        </w:trPr>
        <w:tc>
          <w:tcPr>
            <w:tcW w:w="828" w:type="dxa"/>
            <w:shd w:val="clear" w:color="auto" w:fill="C6EFCE"/>
            <w:noWrap/>
          </w:tcPr>
          <w:p w14:paraId="5D87285D"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69</w:t>
            </w:r>
          </w:p>
        </w:tc>
        <w:tc>
          <w:tcPr>
            <w:tcW w:w="1015" w:type="dxa"/>
            <w:shd w:val="clear" w:color="auto" w:fill="C6EFCE"/>
            <w:noWrap/>
          </w:tcPr>
          <w:p w14:paraId="3AC0FAB3"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C4.I2.</w:t>
            </w:r>
          </w:p>
        </w:tc>
        <w:tc>
          <w:tcPr>
            <w:tcW w:w="993" w:type="dxa"/>
            <w:shd w:val="clear" w:color="auto" w:fill="C6EFCE"/>
            <w:noWrap/>
          </w:tcPr>
          <w:p w14:paraId="207ECE38"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T</w:t>
            </w:r>
          </w:p>
        </w:tc>
        <w:tc>
          <w:tcPr>
            <w:tcW w:w="1855" w:type="dxa"/>
            <w:shd w:val="clear" w:color="auto" w:fill="C6EFCE"/>
            <w:noWrap/>
          </w:tcPr>
          <w:p w14:paraId="00C6CFE2" w14:textId="77777777" w:rsidR="00D65CB4" w:rsidRPr="00BC4EE7" w:rsidRDefault="00572307">
            <w:pPr>
              <w:pStyle w:val="P68B1DB1-Normal12"/>
              <w:spacing w:after="0" w:line="240" w:lineRule="auto"/>
              <w:rPr>
                <w:rFonts w:eastAsia="MS Mincho" w:cs="Times New Roman"/>
                <w:noProof/>
              </w:rPr>
            </w:pPr>
            <w:r w:rsidRPr="00BC4EE7">
              <w:rPr>
                <w:rFonts w:cs="Times New Roman"/>
                <w:noProof/>
              </w:rPr>
              <w:t>A biológiai sokféleség megőrzésére irányuló intézkedések</w:t>
            </w:r>
          </w:p>
        </w:tc>
        <w:tc>
          <w:tcPr>
            <w:tcW w:w="1242" w:type="dxa"/>
            <w:shd w:val="clear" w:color="auto" w:fill="C6EFCE"/>
            <w:noWrap/>
          </w:tcPr>
          <w:p w14:paraId="17AD93B2" w14:textId="77777777" w:rsidR="00D65CB4" w:rsidRPr="00BC4EE7" w:rsidRDefault="00D65CB4">
            <w:pPr>
              <w:spacing w:after="0" w:line="240" w:lineRule="auto"/>
              <w:jc w:val="center"/>
              <w:rPr>
                <w:rFonts w:ascii="Times New Roman" w:eastAsia="MS Mincho" w:hAnsi="Times New Roman" w:cs="Times New Roman"/>
                <w:noProof/>
                <w:sz w:val="18"/>
              </w:rPr>
            </w:pPr>
          </w:p>
        </w:tc>
        <w:tc>
          <w:tcPr>
            <w:tcW w:w="828" w:type="dxa"/>
            <w:shd w:val="clear" w:color="auto" w:fill="C6EFCE"/>
            <w:noWrap/>
          </w:tcPr>
          <w:p w14:paraId="0F314C26"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Szám (hektár)</w:t>
            </w:r>
          </w:p>
        </w:tc>
        <w:tc>
          <w:tcPr>
            <w:tcW w:w="966" w:type="dxa"/>
            <w:shd w:val="clear" w:color="auto" w:fill="C6EFCE"/>
            <w:noWrap/>
          </w:tcPr>
          <w:p w14:paraId="1E6EE343"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0</w:t>
            </w:r>
          </w:p>
        </w:tc>
        <w:tc>
          <w:tcPr>
            <w:tcW w:w="691" w:type="dxa"/>
            <w:shd w:val="clear" w:color="auto" w:fill="C6EFCE"/>
            <w:noWrap/>
          </w:tcPr>
          <w:p w14:paraId="2E818D2F"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50 000</w:t>
            </w:r>
          </w:p>
        </w:tc>
        <w:tc>
          <w:tcPr>
            <w:tcW w:w="415" w:type="dxa"/>
            <w:shd w:val="clear" w:color="auto" w:fill="C6EFCE"/>
            <w:noWrap/>
          </w:tcPr>
          <w:p w14:paraId="32D6FAE0"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Q2</w:t>
            </w:r>
          </w:p>
        </w:tc>
        <w:tc>
          <w:tcPr>
            <w:tcW w:w="553" w:type="dxa"/>
            <w:shd w:val="clear" w:color="auto" w:fill="C6EFCE"/>
            <w:noWrap/>
          </w:tcPr>
          <w:p w14:paraId="52E5F677"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2026</w:t>
            </w:r>
          </w:p>
        </w:tc>
        <w:tc>
          <w:tcPr>
            <w:tcW w:w="5924" w:type="dxa"/>
            <w:shd w:val="clear" w:color="auto" w:fill="C6EFCE"/>
            <w:noWrap/>
          </w:tcPr>
          <w:p w14:paraId="4D3026EA" w14:textId="77EB272E" w:rsidR="00D65CB4" w:rsidRPr="00BC4EE7" w:rsidRDefault="00572307">
            <w:pPr>
              <w:pStyle w:val="P68B1DB1-Normal12"/>
              <w:spacing w:after="0" w:line="240" w:lineRule="auto"/>
              <w:rPr>
                <w:rFonts w:eastAsia="MS Mincho" w:cs="Times New Roman"/>
                <w:noProof/>
              </w:rPr>
            </w:pPr>
            <w:r w:rsidRPr="00BC4EE7">
              <w:rPr>
                <w:rFonts w:cs="Times New Roman"/>
                <w:noProof/>
              </w:rPr>
              <w:t xml:space="preserve">Legalább 50 000 hektár a biológiai sokféleség megőrzésére irányuló, befejezett intézkedések által lefedett terület. A természetvédelmi intézkedések közé tartoznak a következők: i. az állat- és növényfajok pusztulásának megelőzését célzó intézkedések, ii. az invazív fajok korai felismerésére, ellenőrzésére vagy felszámolására irányuló intézkedések, iii. gazdálkodási és élőhelyjavító intézkedések, különösen a védett fajokkal kapcsolatban hozott intézkedések, iv. a vizes élőhelyek helyreállítására irányuló intézkedések, például a természetes dinamika, a vízmennyiség és -minőség, valamint a természetes állat- és növényvilág javítása, valamint v. a természeti örökség és különösen a védett területek (Natura 2000 és védett természeti területek) kezeléséhez kapcsolódó létesítmények és infrastruktúra biztosítására, felújítására és korszerűsítésére irányuló intézkedések, valamint a veszélyeztetett fajok tiltott kereskedelmére vonatkozó egyezmény (CITES) továbbfejlesztése, beleértve egy új mentési referenciaközpont létrehozását is. A különleges rendeltetésű hajók vásárlása esetén a beruházás kiválasztási kritériumainak biztosítaniuk kell a jelentős károkozás elkerülését célzó technikai iránymutatásnak (2021/C58/01) való megfelelést azáltal, hogy csak az ágazatban a legalacsonyabb környezeti hatással járó elérhető legjobb technológiákat támogatják, figyelembe véve az általuk kiszolgált különleges célt. </w:t>
            </w:r>
          </w:p>
        </w:tc>
      </w:tr>
      <w:tr w:rsidR="00D65CB4" w:rsidRPr="00BC4EE7" w14:paraId="19C39336" w14:textId="77777777" w:rsidTr="00481CF8">
        <w:trPr>
          <w:trHeight w:val="309"/>
        </w:trPr>
        <w:tc>
          <w:tcPr>
            <w:tcW w:w="828" w:type="dxa"/>
            <w:shd w:val="clear" w:color="auto" w:fill="C6EFCE"/>
            <w:noWrap/>
          </w:tcPr>
          <w:p w14:paraId="743D8313"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70</w:t>
            </w:r>
          </w:p>
        </w:tc>
        <w:tc>
          <w:tcPr>
            <w:tcW w:w="1015" w:type="dxa"/>
            <w:shd w:val="clear" w:color="auto" w:fill="C6EFCE"/>
            <w:noWrap/>
          </w:tcPr>
          <w:p w14:paraId="5FFACCF4"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C4.I3</w:t>
            </w:r>
          </w:p>
        </w:tc>
        <w:tc>
          <w:tcPr>
            <w:tcW w:w="993" w:type="dxa"/>
            <w:shd w:val="clear" w:color="auto" w:fill="C6EFCE"/>
            <w:noWrap/>
          </w:tcPr>
          <w:p w14:paraId="1663E188"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T</w:t>
            </w:r>
          </w:p>
        </w:tc>
        <w:tc>
          <w:tcPr>
            <w:tcW w:w="1855" w:type="dxa"/>
            <w:shd w:val="clear" w:color="auto" w:fill="C6EFCE"/>
            <w:noWrap/>
          </w:tcPr>
          <w:p w14:paraId="5918C8BE" w14:textId="77777777" w:rsidR="00D65CB4" w:rsidRPr="00BC4EE7" w:rsidRDefault="00572307">
            <w:pPr>
              <w:pStyle w:val="P68B1DB1-Normal12"/>
              <w:spacing w:after="0" w:line="240" w:lineRule="auto"/>
              <w:rPr>
                <w:rFonts w:eastAsia="MS Mincho" w:cs="Times New Roman"/>
                <w:noProof/>
              </w:rPr>
            </w:pPr>
            <w:r w:rsidRPr="00BC4EE7">
              <w:rPr>
                <w:rFonts w:cs="Times New Roman"/>
                <w:noProof/>
              </w:rPr>
              <w:t>Korábbi bányatelepek (legalább 20 korábbi bányatelep) rehabilitációja</w:t>
            </w:r>
          </w:p>
        </w:tc>
        <w:tc>
          <w:tcPr>
            <w:tcW w:w="1242" w:type="dxa"/>
            <w:shd w:val="clear" w:color="auto" w:fill="C6EFCE"/>
            <w:noWrap/>
          </w:tcPr>
          <w:p w14:paraId="0DE4B5B7" w14:textId="77777777" w:rsidR="00D65CB4" w:rsidRPr="00BC4EE7" w:rsidRDefault="00D65CB4">
            <w:pPr>
              <w:spacing w:after="0" w:line="240" w:lineRule="auto"/>
              <w:jc w:val="center"/>
              <w:rPr>
                <w:rFonts w:ascii="Times New Roman" w:eastAsia="MS Mincho" w:hAnsi="Times New Roman" w:cs="Times New Roman"/>
                <w:noProof/>
                <w:sz w:val="18"/>
              </w:rPr>
            </w:pPr>
          </w:p>
        </w:tc>
        <w:tc>
          <w:tcPr>
            <w:tcW w:w="828" w:type="dxa"/>
            <w:shd w:val="clear" w:color="auto" w:fill="C6EFCE"/>
            <w:noWrap/>
          </w:tcPr>
          <w:p w14:paraId="6A9BF725"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Szám (bányászati helyszínek)</w:t>
            </w:r>
          </w:p>
        </w:tc>
        <w:tc>
          <w:tcPr>
            <w:tcW w:w="966" w:type="dxa"/>
            <w:shd w:val="clear" w:color="auto" w:fill="C6EFCE"/>
            <w:noWrap/>
          </w:tcPr>
          <w:p w14:paraId="42EFDDCA"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0</w:t>
            </w:r>
          </w:p>
        </w:tc>
        <w:tc>
          <w:tcPr>
            <w:tcW w:w="691" w:type="dxa"/>
            <w:shd w:val="clear" w:color="auto" w:fill="C6EFCE"/>
            <w:noWrap/>
          </w:tcPr>
          <w:p w14:paraId="77BB07BD"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20</w:t>
            </w:r>
          </w:p>
        </w:tc>
        <w:tc>
          <w:tcPr>
            <w:tcW w:w="415" w:type="dxa"/>
            <w:shd w:val="clear" w:color="auto" w:fill="C6EFCE"/>
            <w:noWrap/>
          </w:tcPr>
          <w:p w14:paraId="7D4BE697"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Q2</w:t>
            </w:r>
          </w:p>
        </w:tc>
        <w:tc>
          <w:tcPr>
            <w:tcW w:w="553" w:type="dxa"/>
            <w:shd w:val="clear" w:color="auto" w:fill="C6EFCE"/>
            <w:noWrap/>
          </w:tcPr>
          <w:p w14:paraId="62B4D3A0"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2023</w:t>
            </w:r>
          </w:p>
        </w:tc>
        <w:tc>
          <w:tcPr>
            <w:tcW w:w="5924" w:type="dxa"/>
            <w:shd w:val="clear" w:color="auto" w:fill="C6EFCE"/>
            <w:noWrap/>
          </w:tcPr>
          <w:p w14:paraId="598D2537" w14:textId="77777777" w:rsidR="00D65CB4" w:rsidRPr="00BC4EE7" w:rsidRDefault="00572307">
            <w:pPr>
              <w:pStyle w:val="P68B1DB1-Normal12"/>
              <w:spacing w:after="0" w:line="240" w:lineRule="auto"/>
              <w:rPr>
                <w:rFonts w:eastAsia="MS Mincho" w:cs="Times New Roman"/>
                <w:noProof/>
              </w:rPr>
            </w:pPr>
            <w:r w:rsidRPr="00BC4EE7">
              <w:rPr>
                <w:rFonts w:cs="Times New Roman"/>
                <w:noProof/>
              </w:rPr>
              <w:t>Minden egyes bányatelep legalább 50%-ának rehabilitációja, legalább 20 korábbi bányatelep megcélzásával, beleértve a talaj szennyeződésmentesítését, a morfológiai helyreállítást, valamint az újratelepítést és a honosítást.</w:t>
            </w:r>
          </w:p>
        </w:tc>
      </w:tr>
      <w:tr w:rsidR="00D65CB4" w:rsidRPr="00BC4EE7" w14:paraId="16763420" w14:textId="77777777" w:rsidTr="00481CF8">
        <w:trPr>
          <w:trHeight w:val="309"/>
        </w:trPr>
        <w:tc>
          <w:tcPr>
            <w:tcW w:w="828" w:type="dxa"/>
            <w:shd w:val="clear" w:color="auto" w:fill="C6EFCE"/>
            <w:noWrap/>
          </w:tcPr>
          <w:p w14:paraId="2A4CBA15" w14:textId="16E7A848"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71</w:t>
            </w:r>
          </w:p>
        </w:tc>
        <w:tc>
          <w:tcPr>
            <w:tcW w:w="1015" w:type="dxa"/>
            <w:shd w:val="clear" w:color="auto" w:fill="C6EFCE"/>
            <w:noWrap/>
          </w:tcPr>
          <w:p w14:paraId="31CDC745"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C4.I3</w:t>
            </w:r>
          </w:p>
        </w:tc>
        <w:tc>
          <w:tcPr>
            <w:tcW w:w="993" w:type="dxa"/>
            <w:shd w:val="clear" w:color="auto" w:fill="C6EFCE"/>
            <w:noWrap/>
          </w:tcPr>
          <w:p w14:paraId="49BB626F" w14:textId="3A9620D2"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M</w:t>
            </w:r>
          </w:p>
        </w:tc>
        <w:tc>
          <w:tcPr>
            <w:tcW w:w="1855" w:type="dxa"/>
            <w:shd w:val="clear" w:color="auto" w:fill="C6EFCE"/>
            <w:noWrap/>
          </w:tcPr>
          <w:p w14:paraId="0C0DFDFF" w14:textId="77777777" w:rsidR="00D65CB4" w:rsidRPr="00BC4EE7" w:rsidRDefault="00572307">
            <w:pPr>
              <w:pStyle w:val="P68B1DB1-Normal12"/>
              <w:spacing w:after="0" w:line="240" w:lineRule="auto"/>
              <w:rPr>
                <w:rFonts w:eastAsia="MS Mincho" w:cs="Times New Roman"/>
                <w:noProof/>
              </w:rPr>
            </w:pPr>
            <w:r w:rsidRPr="00BC4EE7">
              <w:rPr>
                <w:rFonts w:cs="Times New Roman"/>
                <w:noProof/>
              </w:rPr>
              <w:t xml:space="preserve">Ökoszisztéma-helyreállítási intézkedések </w:t>
            </w:r>
          </w:p>
        </w:tc>
        <w:tc>
          <w:tcPr>
            <w:tcW w:w="1242" w:type="dxa"/>
            <w:shd w:val="clear" w:color="auto" w:fill="C6EFCE"/>
            <w:noWrap/>
          </w:tcPr>
          <w:p w14:paraId="66204FF1" w14:textId="7B82D200"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 xml:space="preserve">A befejezett munkák/projektek hivatalos tanúsítása </w:t>
            </w:r>
          </w:p>
        </w:tc>
        <w:tc>
          <w:tcPr>
            <w:tcW w:w="828" w:type="dxa"/>
            <w:shd w:val="clear" w:color="auto" w:fill="C6EFCE"/>
            <w:noWrap/>
          </w:tcPr>
          <w:p w14:paraId="32002FF6" w14:textId="2C75ECCF" w:rsidR="00D65CB4" w:rsidRPr="00BC4EE7" w:rsidRDefault="00D65CB4">
            <w:pPr>
              <w:spacing w:after="0" w:line="240" w:lineRule="auto"/>
              <w:jc w:val="right"/>
              <w:rPr>
                <w:rFonts w:ascii="Times New Roman" w:eastAsia="MS Mincho" w:hAnsi="Times New Roman" w:cs="Times New Roman"/>
                <w:noProof/>
                <w:sz w:val="18"/>
              </w:rPr>
            </w:pPr>
          </w:p>
        </w:tc>
        <w:tc>
          <w:tcPr>
            <w:tcW w:w="966" w:type="dxa"/>
            <w:shd w:val="clear" w:color="auto" w:fill="C6EFCE"/>
            <w:noWrap/>
          </w:tcPr>
          <w:p w14:paraId="624370D3" w14:textId="430A96D8" w:rsidR="00D65CB4" w:rsidRPr="00BC4EE7" w:rsidRDefault="00D65CB4">
            <w:pPr>
              <w:spacing w:after="0" w:line="240" w:lineRule="auto"/>
              <w:jc w:val="right"/>
              <w:rPr>
                <w:rFonts w:ascii="Times New Roman" w:eastAsia="MS Mincho" w:hAnsi="Times New Roman" w:cs="Times New Roman"/>
                <w:noProof/>
                <w:sz w:val="18"/>
              </w:rPr>
            </w:pPr>
          </w:p>
        </w:tc>
        <w:tc>
          <w:tcPr>
            <w:tcW w:w="691" w:type="dxa"/>
            <w:shd w:val="clear" w:color="auto" w:fill="C6EFCE"/>
            <w:noWrap/>
          </w:tcPr>
          <w:p w14:paraId="1129AE4B" w14:textId="0849A78D" w:rsidR="00D65CB4" w:rsidRPr="00BC4EE7" w:rsidRDefault="00D65CB4">
            <w:pPr>
              <w:spacing w:after="0" w:line="240" w:lineRule="auto"/>
              <w:jc w:val="right"/>
              <w:rPr>
                <w:rFonts w:ascii="Times New Roman" w:eastAsia="MS Mincho" w:hAnsi="Times New Roman" w:cs="Times New Roman"/>
                <w:noProof/>
                <w:sz w:val="18"/>
              </w:rPr>
            </w:pPr>
          </w:p>
        </w:tc>
        <w:tc>
          <w:tcPr>
            <w:tcW w:w="415" w:type="dxa"/>
            <w:shd w:val="clear" w:color="auto" w:fill="C6EFCE"/>
            <w:noWrap/>
          </w:tcPr>
          <w:p w14:paraId="1D69C1E3" w14:textId="214C37E5"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Q4</w:t>
            </w:r>
          </w:p>
        </w:tc>
        <w:tc>
          <w:tcPr>
            <w:tcW w:w="553" w:type="dxa"/>
            <w:shd w:val="clear" w:color="auto" w:fill="C6EFCE"/>
            <w:noWrap/>
          </w:tcPr>
          <w:p w14:paraId="04715A28" w14:textId="0CAD7FDA" w:rsidR="00D65CB4" w:rsidRPr="00BC4EE7" w:rsidRDefault="00572307">
            <w:pPr>
              <w:pStyle w:val="P68B1DB1-Normal12"/>
              <w:spacing w:after="0" w:line="240" w:lineRule="auto"/>
              <w:jc w:val="center"/>
              <w:rPr>
                <w:rFonts w:cs="Times New Roman"/>
                <w:noProof/>
              </w:rPr>
            </w:pPr>
            <w:r w:rsidRPr="00BC4EE7">
              <w:rPr>
                <w:rFonts w:cs="Times New Roman"/>
                <w:noProof/>
              </w:rPr>
              <w:t xml:space="preserve">2025  </w:t>
            </w:r>
          </w:p>
        </w:tc>
        <w:tc>
          <w:tcPr>
            <w:tcW w:w="5924" w:type="dxa"/>
            <w:shd w:val="clear" w:color="auto" w:fill="C6EFCE"/>
            <w:noWrap/>
          </w:tcPr>
          <w:p w14:paraId="63501E8C" w14:textId="7B240D57" w:rsidR="00D65CB4" w:rsidRPr="00BC4EE7" w:rsidRDefault="00572307">
            <w:pPr>
              <w:pStyle w:val="P68B1DB1-Normal12"/>
              <w:spacing w:after="0" w:line="240" w:lineRule="auto"/>
              <w:rPr>
                <w:rFonts w:eastAsia="MS Mincho" w:cs="Times New Roman"/>
                <w:noProof/>
              </w:rPr>
            </w:pPr>
            <w:r w:rsidRPr="00BC4EE7">
              <w:rPr>
                <w:rFonts w:cs="Times New Roman"/>
                <w:noProof/>
              </w:rPr>
              <w:t xml:space="preserve">Legalább 30 000 hektár, amely a leromlott területeken vagy ökoszisztémákban végrehajtott ökoszisztéma-helyreállítási intézkedések hatálya alá tartozik, beleértve a mesterséges elemek eltávolítását, a talaj és a morfológia javítását, az újratelepítést és honosítást, valamint a zöld infrastruktúrával kapcsolatos projektek véglegesítését legalább 30, több mint 50000 lakosú városban. </w:t>
            </w:r>
          </w:p>
        </w:tc>
      </w:tr>
      <w:tr w:rsidR="00D65CB4" w:rsidRPr="00BC4EE7" w14:paraId="68AF4929" w14:textId="77777777" w:rsidTr="00481CF8">
        <w:trPr>
          <w:trHeight w:val="309"/>
        </w:trPr>
        <w:tc>
          <w:tcPr>
            <w:tcW w:w="828" w:type="dxa"/>
            <w:shd w:val="clear" w:color="auto" w:fill="C6EFCE"/>
            <w:noWrap/>
          </w:tcPr>
          <w:p w14:paraId="23D9E551"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72</w:t>
            </w:r>
          </w:p>
        </w:tc>
        <w:tc>
          <w:tcPr>
            <w:tcW w:w="1015" w:type="dxa"/>
            <w:shd w:val="clear" w:color="auto" w:fill="C6EFCE"/>
            <w:noWrap/>
          </w:tcPr>
          <w:p w14:paraId="6D366088"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C4.I3</w:t>
            </w:r>
          </w:p>
        </w:tc>
        <w:tc>
          <w:tcPr>
            <w:tcW w:w="993" w:type="dxa"/>
            <w:shd w:val="clear" w:color="auto" w:fill="C6EFCE"/>
            <w:noWrap/>
          </w:tcPr>
          <w:p w14:paraId="2A1DC271"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T</w:t>
            </w:r>
          </w:p>
        </w:tc>
        <w:tc>
          <w:tcPr>
            <w:tcW w:w="1855" w:type="dxa"/>
            <w:shd w:val="clear" w:color="auto" w:fill="C6EFCE"/>
            <w:noWrap/>
          </w:tcPr>
          <w:p w14:paraId="2D238FBC" w14:textId="77777777" w:rsidR="00D65CB4" w:rsidRPr="00BC4EE7" w:rsidRDefault="00572307">
            <w:pPr>
              <w:pStyle w:val="P68B1DB1-Normal12"/>
              <w:spacing w:after="0" w:line="240" w:lineRule="auto"/>
              <w:rPr>
                <w:rFonts w:eastAsia="MS Mincho" w:cs="Times New Roman"/>
                <w:noProof/>
              </w:rPr>
            </w:pPr>
            <w:r w:rsidRPr="00BC4EE7">
              <w:rPr>
                <w:rFonts w:cs="Times New Roman"/>
                <w:noProof/>
              </w:rPr>
              <w:t>Korábbi bányatelepek (legalább 30 korábbi bányatelep) rehabilitációjának befejezése</w:t>
            </w:r>
          </w:p>
        </w:tc>
        <w:tc>
          <w:tcPr>
            <w:tcW w:w="1242" w:type="dxa"/>
            <w:shd w:val="clear" w:color="auto" w:fill="C6EFCE"/>
            <w:noWrap/>
          </w:tcPr>
          <w:p w14:paraId="2DBF0D7D" w14:textId="77777777" w:rsidR="00D65CB4" w:rsidRPr="00BC4EE7" w:rsidRDefault="00D65CB4">
            <w:pPr>
              <w:spacing w:after="0" w:line="240" w:lineRule="auto"/>
              <w:jc w:val="center"/>
              <w:rPr>
                <w:rFonts w:ascii="Times New Roman" w:eastAsia="MS Mincho" w:hAnsi="Times New Roman" w:cs="Times New Roman"/>
                <w:noProof/>
                <w:sz w:val="18"/>
              </w:rPr>
            </w:pPr>
          </w:p>
        </w:tc>
        <w:tc>
          <w:tcPr>
            <w:tcW w:w="828" w:type="dxa"/>
            <w:shd w:val="clear" w:color="auto" w:fill="C6EFCE"/>
            <w:noWrap/>
          </w:tcPr>
          <w:p w14:paraId="520E6432"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Szám (bányászati helyszínek)</w:t>
            </w:r>
          </w:p>
        </w:tc>
        <w:tc>
          <w:tcPr>
            <w:tcW w:w="966" w:type="dxa"/>
            <w:shd w:val="clear" w:color="auto" w:fill="C6EFCE"/>
            <w:noWrap/>
          </w:tcPr>
          <w:p w14:paraId="5353C90A"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0</w:t>
            </w:r>
          </w:p>
        </w:tc>
        <w:tc>
          <w:tcPr>
            <w:tcW w:w="691" w:type="dxa"/>
            <w:shd w:val="clear" w:color="auto" w:fill="C6EFCE"/>
            <w:noWrap/>
          </w:tcPr>
          <w:p w14:paraId="18E8C380"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30</w:t>
            </w:r>
          </w:p>
        </w:tc>
        <w:tc>
          <w:tcPr>
            <w:tcW w:w="415" w:type="dxa"/>
            <w:shd w:val="clear" w:color="auto" w:fill="C6EFCE"/>
            <w:noWrap/>
          </w:tcPr>
          <w:p w14:paraId="0E1FBC29"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Q2</w:t>
            </w:r>
          </w:p>
        </w:tc>
        <w:tc>
          <w:tcPr>
            <w:tcW w:w="553" w:type="dxa"/>
            <w:shd w:val="clear" w:color="auto" w:fill="C6EFCE"/>
            <w:noWrap/>
          </w:tcPr>
          <w:p w14:paraId="771F6154"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2026</w:t>
            </w:r>
          </w:p>
        </w:tc>
        <w:tc>
          <w:tcPr>
            <w:tcW w:w="5924" w:type="dxa"/>
            <w:shd w:val="clear" w:color="auto" w:fill="C6EFCE"/>
            <w:noWrap/>
          </w:tcPr>
          <w:p w14:paraId="7F51EC37" w14:textId="77777777" w:rsidR="00D65CB4" w:rsidRPr="00BC4EE7" w:rsidRDefault="00572307">
            <w:pPr>
              <w:pStyle w:val="P68B1DB1-Normal12"/>
              <w:spacing w:after="0" w:line="240" w:lineRule="auto"/>
              <w:rPr>
                <w:rFonts w:eastAsia="MS Mincho" w:cs="Times New Roman"/>
                <w:noProof/>
              </w:rPr>
            </w:pPr>
            <w:r w:rsidRPr="00BC4EE7">
              <w:rPr>
                <w:rFonts w:cs="Times New Roman"/>
                <w:noProof/>
              </w:rPr>
              <w:t xml:space="preserve">Legalább 30 korábbi bányatelepet rehabilitáltak, beleértve a talaj szennyeződésmentesítését, a morfológiai helyreállítást, valamint a már nem működő korábbi bányatelepek helyreállítását és honosítását. </w:t>
            </w:r>
          </w:p>
        </w:tc>
      </w:tr>
      <w:tr w:rsidR="00D65CB4" w:rsidRPr="00BC4EE7" w14:paraId="34FD8005" w14:textId="77777777" w:rsidTr="00481CF8">
        <w:trPr>
          <w:trHeight w:val="309"/>
        </w:trPr>
        <w:tc>
          <w:tcPr>
            <w:tcW w:w="828" w:type="dxa"/>
            <w:shd w:val="clear" w:color="auto" w:fill="C6EFCE"/>
            <w:noWrap/>
          </w:tcPr>
          <w:p w14:paraId="0375044D" w14:textId="3E0D4FB5" w:rsidR="00D65CB4" w:rsidRPr="00BC4EE7" w:rsidRDefault="00572307">
            <w:pPr>
              <w:pStyle w:val="P68B1DB1-Normal12"/>
              <w:spacing w:after="0" w:line="240" w:lineRule="auto"/>
              <w:jc w:val="center"/>
              <w:rPr>
                <w:rFonts w:cs="Times New Roman"/>
                <w:noProof/>
              </w:rPr>
            </w:pPr>
            <w:r w:rsidRPr="00BC4EE7">
              <w:rPr>
                <w:rFonts w:cs="Times New Roman"/>
                <w:noProof/>
              </w:rPr>
              <w:t>73</w:t>
            </w:r>
          </w:p>
        </w:tc>
        <w:tc>
          <w:tcPr>
            <w:tcW w:w="1015" w:type="dxa"/>
            <w:shd w:val="clear" w:color="auto" w:fill="C6EFCE"/>
            <w:noWrap/>
          </w:tcPr>
          <w:p w14:paraId="3B32B977" w14:textId="50FD26F3" w:rsidR="00D65CB4" w:rsidRPr="00BC4EE7" w:rsidRDefault="00572307">
            <w:pPr>
              <w:pStyle w:val="P68B1DB1-Normal12"/>
              <w:spacing w:after="0" w:line="240" w:lineRule="auto"/>
              <w:jc w:val="center"/>
              <w:rPr>
                <w:rFonts w:cs="Times New Roman"/>
                <w:noProof/>
              </w:rPr>
            </w:pPr>
            <w:r w:rsidRPr="00BC4EE7">
              <w:rPr>
                <w:rFonts w:cs="Times New Roman"/>
                <w:noProof/>
              </w:rPr>
              <w:t>C4.I4</w:t>
            </w:r>
          </w:p>
        </w:tc>
        <w:tc>
          <w:tcPr>
            <w:tcW w:w="993" w:type="dxa"/>
            <w:shd w:val="clear" w:color="auto" w:fill="C6EFCE"/>
            <w:noWrap/>
          </w:tcPr>
          <w:p w14:paraId="2401EC9D" w14:textId="1ACC20F4" w:rsidR="00D65CB4" w:rsidRPr="00BC4EE7" w:rsidRDefault="00572307">
            <w:pPr>
              <w:pStyle w:val="P68B1DB1-Normal12"/>
              <w:spacing w:after="0" w:line="240" w:lineRule="auto"/>
              <w:jc w:val="center"/>
              <w:rPr>
                <w:rFonts w:cs="Times New Roman"/>
                <w:noProof/>
              </w:rPr>
            </w:pPr>
            <w:r w:rsidRPr="00BC4EE7">
              <w:rPr>
                <w:rFonts w:cs="Times New Roman"/>
                <w:noProof/>
              </w:rPr>
              <w:t>M</w:t>
            </w:r>
          </w:p>
        </w:tc>
        <w:tc>
          <w:tcPr>
            <w:tcW w:w="1855" w:type="dxa"/>
            <w:shd w:val="clear" w:color="auto" w:fill="C6EFCE"/>
            <w:noWrap/>
          </w:tcPr>
          <w:p w14:paraId="78DF0977" w14:textId="241900F7" w:rsidR="00D65CB4" w:rsidRPr="00BC4EE7" w:rsidRDefault="00572307">
            <w:pPr>
              <w:pStyle w:val="P68B1DB1-Normal12"/>
              <w:spacing w:after="0" w:line="240" w:lineRule="auto"/>
              <w:rPr>
                <w:rFonts w:cs="Times New Roman"/>
                <w:noProof/>
              </w:rPr>
            </w:pPr>
            <w:r w:rsidRPr="00BC4EE7">
              <w:rPr>
                <w:rFonts w:cs="Times New Roman"/>
                <w:noProof/>
              </w:rPr>
              <w:t xml:space="preserve">A fenntartható erdőgazdálkodással kapcsolatos intézkedések </w:t>
            </w:r>
          </w:p>
        </w:tc>
        <w:tc>
          <w:tcPr>
            <w:tcW w:w="1242" w:type="dxa"/>
            <w:shd w:val="clear" w:color="auto" w:fill="C6EFCE"/>
            <w:noWrap/>
          </w:tcPr>
          <w:p w14:paraId="1F7B108B" w14:textId="6E46D2C7" w:rsidR="00D65CB4" w:rsidRPr="00BC4EE7" w:rsidRDefault="00572307">
            <w:pPr>
              <w:pStyle w:val="P68B1DB1-Normal12"/>
              <w:spacing w:after="0" w:line="240" w:lineRule="auto"/>
              <w:jc w:val="center"/>
              <w:rPr>
                <w:rFonts w:cs="Times New Roman"/>
                <w:noProof/>
              </w:rPr>
            </w:pPr>
            <w:r w:rsidRPr="00BC4EE7">
              <w:rPr>
                <w:rFonts w:cs="Times New Roman"/>
                <w:noProof/>
              </w:rPr>
              <w:t>A MITERD által aláírt tanúsítvány</w:t>
            </w:r>
          </w:p>
        </w:tc>
        <w:tc>
          <w:tcPr>
            <w:tcW w:w="828" w:type="dxa"/>
            <w:shd w:val="clear" w:color="auto" w:fill="C6EFCE"/>
            <w:noWrap/>
          </w:tcPr>
          <w:p w14:paraId="4F367724" w14:textId="2E110E56" w:rsidR="00D65CB4" w:rsidRPr="00BC4EE7" w:rsidRDefault="00572307">
            <w:pPr>
              <w:pStyle w:val="P68B1DB1-Normal12"/>
              <w:spacing w:after="0" w:line="240" w:lineRule="auto"/>
              <w:jc w:val="right"/>
              <w:rPr>
                <w:rFonts w:cs="Times New Roman"/>
                <w:noProof/>
              </w:rPr>
            </w:pPr>
            <w:r w:rsidRPr="00BC4EE7">
              <w:rPr>
                <w:rFonts w:cs="Times New Roman"/>
                <w:noProof/>
              </w:rPr>
              <w:t xml:space="preserve"> </w:t>
            </w:r>
          </w:p>
        </w:tc>
        <w:tc>
          <w:tcPr>
            <w:tcW w:w="966" w:type="dxa"/>
            <w:shd w:val="clear" w:color="auto" w:fill="C6EFCE"/>
            <w:noWrap/>
          </w:tcPr>
          <w:p w14:paraId="77858754" w14:textId="5F5FBE66" w:rsidR="00D65CB4" w:rsidRPr="00BC4EE7" w:rsidRDefault="00572307">
            <w:pPr>
              <w:pStyle w:val="P68B1DB1-Normal12"/>
              <w:spacing w:after="0" w:line="240" w:lineRule="auto"/>
              <w:jc w:val="right"/>
              <w:rPr>
                <w:rFonts w:cs="Times New Roman"/>
                <w:noProof/>
              </w:rPr>
            </w:pPr>
            <w:r w:rsidRPr="00BC4EE7">
              <w:rPr>
                <w:rFonts w:cs="Times New Roman"/>
                <w:noProof/>
              </w:rPr>
              <w:t xml:space="preserve"> </w:t>
            </w:r>
          </w:p>
        </w:tc>
        <w:tc>
          <w:tcPr>
            <w:tcW w:w="691" w:type="dxa"/>
            <w:shd w:val="clear" w:color="auto" w:fill="C6EFCE"/>
            <w:noWrap/>
          </w:tcPr>
          <w:p w14:paraId="58A586E4" w14:textId="771841FE" w:rsidR="00D65CB4" w:rsidRPr="00BC4EE7" w:rsidRDefault="00572307">
            <w:pPr>
              <w:pStyle w:val="P68B1DB1-Normal12"/>
              <w:spacing w:after="0" w:line="240" w:lineRule="auto"/>
              <w:jc w:val="right"/>
              <w:rPr>
                <w:rFonts w:cs="Times New Roman"/>
                <w:noProof/>
              </w:rPr>
            </w:pPr>
            <w:r w:rsidRPr="00BC4EE7">
              <w:rPr>
                <w:rFonts w:cs="Times New Roman"/>
                <w:noProof/>
              </w:rPr>
              <w:t xml:space="preserve"> </w:t>
            </w:r>
          </w:p>
        </w:tc>
        <w:tc>
          <w:tcPr>
            <w:tcW w:w="415" w:type="dxa"/>
            <w:shd w:val="clear" w:color="auto" w:fill="C6EFCE"/>
            <w:noWrap/>
          </w:tcPr>
          <w:p w14:paraId="6134CFE3" w14:textId="78A89F89"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553" w:type="dxa"/>
            <w:shd w:val="clear" w:color="auto" w:fill="C6EFCE"/>
            <w:noWrap/>
          </w:tcPr>
          <w:p w14:paraId="4218295B" w14:textId="77FD4B1E" w:rsidR="00D65CB4" w:rsidRPr="00BC4EE7" w:rsidRDefault="00572307">
            <w:pPr>
              <w:pStyle w:val="P68B1DB1-Normal12"/>
              <w:spacing w:after="0" w:line="240" w:lineRule="auto"/>
              <w:jc w:val="center"/>
              <w:rPr>
                <w:rFonts w:cs="Times New Roman"/>
                <w:noProof/>
              </w:rPr>
            </w:pPr>
            <w:r w:rsidRPr="00BC4EE7">
              <w:rPr>
                <w:rFonts w:cs="Times New Roman"/>
                <w:noProof/>
              </w:rPr>
              <w:t xml:space="preserve">2023 </w:t>
            </w:r>
          </w:p>
        </w:tc>
        <w:tc>
          <w:tcPr>
            <w:tcW w:w="5924" w:type="dxa"/>
            <w:shd w:val="clear" w:color="auto" w:fill="C6EFCE"/>
            <w:noWrap/>
          </w:tcPr>
          <w:p w14:paraId="33F7657F" w14:textId="4B37C3F2" w:rsidR="00D65CB4" w:rsidRPr="00BC4EE7" w:rsidRDefault="00572307">
            <w:pPr>
              <w:pStyle w:val="P68B1DB1-Normal12"/>
              <w:spacing w:after="0" w:line="240" w:lineRule="auto"/>
              <w:rPr>
                <w:rFonts w:cs="Times New Roman"/>
                <w:noProof/>
              </w:rPr>
            </w:pPr>
            <w:r w:rsidRPr="00BC4EE7">
              <w:rPr>
                <w:rFonts w:cs="Times New Roman"/>
                <w:noProof/>
              </w:rPr>
              <w:t xml:space="preserve">Tűzoltás céljából legalább 100 különleges rendeltetésű jármű felújítása. A beruházás kiválasztási kritériumainak biztosítaniuk kell a jelentős károkozás elkerülését célzó technikai iránymutatásnak (2021/C58/01) való megfelelést azáltal, hogy csak az ágazatban a legalacsonyabb környezeti hatással járó elérhető legjobb technológiákat támogatják, figyelembe véve az általuk kiszolgált különleges célt. </w:t>
            </w:r>
          </w:p>
        </w:tc>
      </w:tr>
      <w:tr w:rsidR="00D65CB4" w:rsidRPr="00BC4EE7" w14:paraId="23BEFE0B" w14:textId="77777777" w:rsidTr="00481CF8">
        <w:trPr>
          <w:trHeight w:val="309"/>
        </w:trPr>
        <w:tc>
          <w:tcPr>
            <w:tcW w:w="828" w:type="dxa"/>
            <w:shd w:val="clear" w:color="auto" w:fill="C6EFCE"/>
            <w:noWrap/>
          </w:tcPr>
          <w:p w14:paraId="25C60E7B" w14:textId="1588200C" w:rsidR="00D65CB4" w:rsidRPr="00BC4EE7" w:rsidRDefault="00572307">
            <w:pPr>
              <w:pStyle w:val="P68B1DB1-Normal12"/>
              <w:spacing w:after="0" w:line="240" w:lineRule="auto"/>
              <w:jc w:val="center"/>
              <w:rPr>
                <w:rFonts w:cs="Times New Roman"/>
                <w:noProof/>
              </w:rPr>
            </w:pPr>
            <w:r w:rsidRPr="00BC4EE7">
              <w:rPr>
                <w:rFonts w:cs="Times New Roman"/>
                <w:noProof/>
              </w:rPr>
              <w:t>425</w:t>
            </w:r>
          </w:p>
        </w:tc>
        <w:tc>
          <w:tcPr>
            <w:tcW w:w="1015" w:type="dxa"/>
            <w:shd w:val="clear" w:color="auto" w:fill="C6EFCE"/>
            <w:noWrap/>
          </w:tcPr>
          <w:p w14:paraId="3A265DED" w14:textId="14C3DB14" w:rsidR="00D65CB4" w:rsidRPr="00BC4EE7" w:rsidRDefault="00572307">
            <w:pPr>
              <w:pStyle w:val="P68B1DB1-Normal12"/>
              <w:spacing w:after="0" w:line="240" w:lineRule="auto"/>
              <w:jc w:val="center"/>
              <w:rPr>
                <w:rFonts w:cs="Times New Roman"/>
                <w:noProof/>
              </w:rPr>
            </w:pPr>
            <w:r w:rsidRPr="00BC4EE7">
              <w:rPr>
                <w:rFonts w:cs="Times New Roman"/>
                <w:noProof/>
              </w:rPr>
              <w:t>C4.I4</w:t>
            </w:r>
          </w:p>
        </w:tc>
        <w:tc>
          <w:tcPr>
            <w:tcW w:w="993" w:type="dxa"/>
            <w:shd w:val="clear" w:color="auto" w:fill="C6EFCE"/>
            <w:noWrap/>
          </w:tcPr>
          <w:p w14:paraId="6CEE0D62" w14:textId="2FE2B40D" w:rsidR="00D65CB4" w:rsidRPr="00BC4EE7" w:rsidRDefault="00572307">
            <w:pPr>
              <w:pStyle w:val="P68B1DB1-Normal12"/>
              <w:spacing w:after="0" w:line="240" w:lineRule="auto"/>
              <w:jc w:val="center"/>
              <w:rPr>
                <w:rFonts w:cs="Times New Roman"/>
                <w:noProof/>
              </w:rPr>
            </w:pPr>
            <w:r w:rsidRPr="00BC4EE7">
              <w:rPr>
                <w:rFonts w:cs="Times New Roman"/>
                <w:noProof/>
              </w:rPr>
              <w:t>M</w:t>
            </w:r>
          </w:p>
        </w:tc>
        <w:tc>
          <w:tcPr>
            <w:tcW w:w="1855" w:type="dxa"/>
            <w:shd w:val="clear" w:color="auto" w:fill="C6EFCE"/>
            <w:noWrap/>
          </w:tcPr>
          <w:p w14:paraId="038462F7" w14:textId="5C85A665" w:rsidR="00D65CB4" w:rsidRPr="00BC4EE7" w:rsidRDefault="00572307">
            <w:pPr>
              <w:pStyle w:val="P68B1DB1-Normal12"/>
              <w:spacing w:after="0" w:line="240" w:lineRule="auto"/>
              <w:rPr>
                <w:rFonts w:cs="Times New Roman"/>
                <w:noProof/>
              </w:rPr>
            </w:pPr>
            <w:r w:rsidRPr="00BC4EE7">
              <w:rPr>
                <w:rFonts w:cs="Times New Roman"/>
                <w:noProof/>
              </w:rPr>
              <w:t>A fenntartható erdőgazdálkodással kapcsolatos intézkedések (II. rész)</w:t>
            </w:r>
          </w:p>
        </w:tc>
        <w:tc>
          <w:tcPr>
            <w:tcW w:w="1242" w:type="dxa"/>
            <w:shd w:val="clear" w:color="auto" w:fill="C6EFCE"/>
            <w:noWrap/>
          </w:tcPr>
          <w:p w14:paraId="08D542AC" w14:textId="44C55E2E" w:rsidR="00D65CB4" w:rsidRPr="00BC4EE7" w:rsidRDefault="00572307">
            <w:pPr>
              <w:pStyle w:val="P68B1DB1-Normal12"/>
              <w:spacing w:after="0" w:line="240" w:lineRule="auto"/>
              <w:jc w:val="center"/>
              <w:rPr>
                <w:rFonts w:cs="Times New Roman"/>
                <w:noProof/>
              </w:rPr>
            </w:pPr>
            <w:r w:rsidRPr="00BC4EE7">
              <w:rPr>
                <w:rFonts w:cs="Times New Roman"/>
                <w:noProof/>
              </w:rPr>
              <w:t>A MITERD által aláírt tanúsítvány</w:t>
            </w:r>
          </w:p>
        </w:tc>
        <w:tc>
          <w:tcPr>
            <w:tcW w:w="828" w:type="dxa"/>
            <w:shd w:val="clear" w:color="auto" w:fill="C6EFCE"/>
            <w:noWrap/>
          </w:tcPr>
          <w:p w14:paraId="786B8903" w14:textId="77777777" w:rsidR="00D65CB4" w:rsidRPr="00BC4EE7" w:rsidRDefault="00D65CB4">
            <w:pPr>
              <w:spacing w:after="0" w:line="240" w:lineRule="auto"/>
              <w:jc w:val="right"/>
              <w:rPr>
                <w:rFonts w:ascii="Times New Roman" w:hAnsi="Times New Roman" w:cs="Times New Roman"/>
                <w:noProof/>
                <w:sz w:val="18"/>
              </w:rPr>
            </w:pPr>
          </w:p>
        </w:tc>
        <w:tc>
          <w:tcPr>
            <w:tcW w:w="966" w:type="dxa"/>
            <w:shd w:val="clear" w:color="auto" w:fill="C6EFCE"/>
            <w:noWrap/>
          </w:tcPr>
          <w:p w14:paraId="507431B3" w14:textId="77777777" w:rsidR="00D65CB4" w:rsidRPr="00BC4EE7" w:rsidRDefault="00D65CB4">
            <w:pPr>
              <w:spacing w:after="0" w:line="240" w:lineRule="auto"/>
              <w:jc w:val="right"/>
              <w:rPr>
                <w:rFonts w:ascii="Times New Roman" w:hAnsi="Times New Roman" w:cs="Times New Roman"/>
                <w:noProof/>
                <w:sz w:val="18"/>
              </w:rPr>
            </w:pPr>
          </w:p>
        </w:tc>
        <w:tc>
          <w:tcPr>
            <w:tcW w:w="691" w:type="dxa"/>
            <w:shd w:val="clear" w:color="auto" w:fill="C6EFCE"/>
            <w:noWrap/>
          </w:tcPr>
          <w:p w14:paraId="14A37260" w14:textId="77777777" w:rsidR="00D65CB4" w:rsidRPr="00BC4EE7" w:rsidRDefault="00D65CB4">
            <w:pPr>
              <w:spacing w:after="0" w:line="240" w:lineRule="auto"/>
              <w:jc w:val="right"/>
              <w:rPr>
                <w:rFonts w:ascii="Times New Roman" w:hAnsi="Times New Roman" w:cs="Times New Roman"/>
                <w:noProof/>
                <w:sz w:val="18"/>
              </w:rPr>
            </w:pPr>
          </w:p>
        </w:tc>
        <w:tc>
          <w:tcPr>
            <w:tcW w:w="415" w:type="dxa"/>
            <w:shd w:val="clear" w:color="auto" w:fill="C6EFCE"/>
            <w:noWrap/>
          </w:tcPr>
          <w:p w14:paraId="5D679840" w14:textId="0C83E141"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553" w:type="dxa"/>
            <w:shd w:val="clear" w:color="auto" w:fill="C6EFCE"/>
            <w:noWrap/>
          </w:tcPr>
          <w:p w14:paraId="6A48C51C" w14:textId="435E4784" w:rsidR="00D65CB4" w:rsidRPr="00BC4EE7" w:rsidRDefault="00572307">
            <w:pPr>
              <w:pStyle w:val="P68B1DB1-Normal12"/>
              <w:spacing w:after="0" w:line="240" w:lineRule="auto"/>
              <w:jc w:val="center"/>
              <w:rPr>
                <w:rFonts w:cs="Times New Roman"/>
                <w:noProof/>
              </w:rPr>
            </w:pPr>
            <w:r w:rsidRPr="00BC4EE7">
              <w:rPr>
                <w:rFonts w:cs="Times New Roman"/>
                <w:noProof/>
              </w:rPr>
              <w:t>2026</w:t>
            </w:r>
          </w:p>
        </w:tc>
        <w:tc>
          <w:tcPr>
            <w:tcW w:w="5924" w:type="dxa"/>
            <w:shd w:val="clear" w:color="auto" w:fill="C6EFCE"/>
            <w:noWrap/>
          </w:tcPr>
          <w:p w14:paraId="04BEB8AA" w14:textId="7676240A" w:rsidR="00D65CB4" w:rsidRPr="00BC4EE7" w:rsidRDefault="00572307">
            <w:pPr>
              <w:pStyle w:val="P68B1DB1-Normal12"/>
              <w:spacing w:after="0" w:line="240" w:lineRule="auto"/>
              <w:rPr>
                <w:rFonts w:cs="Times New Roman"/>
                <w:noProof/>
              </w:rPr>
            </w:pPr>
            <w:r w:rsidRPr="00BC4EE7">
              <w:rPr>
                <w:rFonts w:cs="Times New Roman"/>
                <w:noProof/>
              </w:rPr>
              <w:t>A fenntartható erdőgazdálkodásra vonatkozó intézkedések lezárása, beleértve a tűzoltók bázisainak felújítását és az erdőjavító intézkedések befejezését, beleértve az adaptív fenntartható erdőgazdálkodási gyakorlatok tervezését és a fajok gazdagodását, valamint legalább 70, a zöld vállalkozást és a helyi biogazdaságot támogató projekt befejezése, az intézkedés leírásával összhangban. A beruházás kiválasztási kritériumainak biztosítaniuk kell a jelentős károkozás elkerülését célzó technikai iránymutatásnak (2021/C58/01) való megfelelést azáltal, hogy csak az ágazatban a legalacsonyabb környezeti hatással járó elérhető legjobb technológiákat támogatják, figyelembe véve az általuk kiszolgált különleges célt.</w:t>
            </w:r>
          </w:p>
        </w:tc>
      </w:tr>
    </w:tbl>
    <w:p w14:paraId="6B62F1B3" w14:textId="77777777" w:rsidR="00D65CB4" w:rsidRPr="00BC4EE7" w:rsidRDefault="00D65CB4">
      <w:pPr>
        <w:spacing w:before="120" w:after="120" w:line="240" w:lineRule="auto"/>
        <w:jc w:val="both"/>
        <w:rPr>
          <w:rFonts w:ascii="Times New Roman" w:hAnsi="Times New Roman" w:cs="Times New Roman"/>
          <w:noProof/>
          <w:sz w:val="24"/>
        </w:rPr>
      </w:pPr>
    </w:p>
    <w:p w14:paraId="1CCA4F00" w14:textId="2C9CB4D8" w:rsidR="00D65CB4" w:rsidRPr="00BC4EE7" w:rsidRDefault="00D65CB4">
      <w:pPr>
        <w:keepNext/>
        <w:spacing w:before="120" w:after="120" w:line="240" w:lineRule="auto"/>
        <w:ind w:left="720"/>
        <w:jc w:val="both"/>
        <w:rPr>
          <w:rFonts w:ascii="Times New Roman" w:hAnsi="Times New Roman" w:cs="Times New Roman"/>
          <w:b/>
          <w:noProof/>
          <w:sz w:val="24"/>
          <w:u w:val="single"/>
        </w:rPr>
        <w:sectPr w:rsidR="00D65CB4" w:rsidRPr="00BC4EE7" w:rsidSect="00B511EF">
          <w:headerReference w:type="even" r:id="rId105"/>
          <w:headerReference w:type="default" r:id="rId106"/>
          <w:footerReference w:type="even" r:id="rId107"/>
          <w:footerReference w:type="default" r:id="rId108"/>
          <w:headerReference w:type="first" r:id="rId109"/>
          <w:footerReference w:type="first" r:id="rId110"/>
          <w:pgSz w:w="16839" w:h="11907" w:orient="landscape"/>
          <w:pgMar w:top="1134" w:right="1134" w:bottom="1134" w:left="1134" w:header="567" w:footer="567" w:gutter="0"/>
          <w:cols w:space="720"/>
          <w:docGrid w:linePitch="360"/>
        </w:sectPr>
      </w:pPr>
    </w:p>
    <w:p w14:paraId="5254717D" w14:textId="6A1075EB" w:rsidR="00D65CB4" w:rsidRPr="00BC4EE7" w:rsidRDefault="00572307">
      <w:pPr>
        <w:keepNext/>
        <w:spacing w:before="120" w:after="120" w:line="240" w:lineRule="auto"/>
        <w:ind w:left="720"/>
        <w:jc w:val="both"/>
        <w:rPr>
          <w:rFonts w:ascii="Times New Roman" w:hAnsi="Times New Roman" w:cs="Times New Roman"/>
          <w:b/>
          <w:noProof/>
          <w:sz w:val="24"/>
          <w:u w:val="single"/>
        </w:rPr>
      </w:pPr>
      <w:r w:rsidRPr="00BC4EE7">
        <w:rPr>
          <w:rFonts w:ascii="Times New Roman" w:hAnsi="Times New Roman" w:cs="Times New Roman"/>
          <w:b/>
          <w:noProof/>
          <w:sz w:val="24"/>
          <w:u w:val="single"/>
        </w:rPr>
        <w:t xml:space="preserve">D.3.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A hiteltámogatásra irányuló beruházások ismertetése</w:t>
      </w:r>
    </w:p>
    <w:p w14:paraId="3E0AEBC0" w14:textId="37122D8A" w:rsidR="00D65CB4" w:rsidRPr="00BC4EE7" w:rsidRDefault="00572307">
      <w:pPr>
        <w:pStyle w:val="P68B1DB1-Normal5"/>
        <w:spacing w:before="120" w:after="120" w:line="240" w:lineRule="auto"/>
        <w:jc w:val="both"/>
        <w:rPr>
          <w:rFonts w:cs="Times New Roman"/>
          <w:noProof/>
        </w:rPr>
      </w:pPr>
      <w:r w:rsidRPr="00BC4EE7">
        <w:rPr>
          <w:rFonts w:cs="Times New Roman"/>
          <w:noProof/>
        </w:rPr>
        <w:t>Reform (C4.R4) – Az elsivatagosodás elleni küzdelemre irányuló nemzeti stratégia</w:t>
      </w:r>
    </w:p>
    <w:p w14:paraId="5728AEA5"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Ez a reform naprakésszé teszi az elsivatagosodás elleni küzdelemre irányuló nemzeti stratégiát, felváltva az elsivatagosodás elleni küzdelemre irányuló, 2008-ban közzétett nemzeti cselekvési tervet, új stratégiai keretet hozva létre a spanyol területen az elsivatagosodás elleni küzdelemhez. E reform célja, hogy hozzájáruljon a természeti tőke védelméhez, megőrzéséhez és javításához, az arid, félszáraz és száraz szubnedves zónákra összpontosítva, és minimálisra csökkentse a talajromlást.</w:t>
      </w:r>
    </w:p>
    <w:p w14:paraId="4EC0D026"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stratégiának három pillére van: </w:t>
      </w:r>
    </w:p>
    <w:p w14:paraId="55FE2456" w14:textId="77777777" w:rsidR="00D65CB4" w:rsidRPr="00BC4EE7" w:rsidRDefault="00572307">
      <w:pPr>
        <w:pStyle w:val="P68B1DB1-ListParagraph6"/>
        <w:numPr>
          <w:ilvl w:val="0"/>
          <w:numId w:val="41"/>
        </w:numPr>
        <w:spacing w:before="120" w:after="120" w:line="240" w:lineRule="auto"/>
        <w:jc w:val="both"/>
        <w:rPr>
          <w:rFonts w:cs="Times New Roman"/>
          <w:noProof/>
        </w:rPr>
      </w:pPr>
      <w:r w:rsidRPr="00BC4EE7">
        <w:rPr>
          <w:rFonts w:cs="Times New Roman"/>
          <w:noProof/>
        </w:rPr>
        <w:t xml:space="preserve">Az elsivatagosodás megelőzésére és csökkentésére, valamint a degradálódott területek helyreállítására irányuló intézkedések. </w:t>
      </w:r>
    </w:p>
    <w:p w14:paraId="11C4CB9D" w14:textId="77777777" w:rsidR="00D65CB4" w:rsidRPr="00BC4EE7" w:rsidRDefault="00572307">
      <w:pPr>
        <w:pStyle w:val="P68B1DB1-ListParagraph6"/>
        <w:numPr>
          <w:ilvl w:val="0"/>
          <w:numId w:val="41"/>
        </w:numPr>
        <w:spacing w:before="120" w:after="120" w:line="240" w:lineRule="auto"/>
        <w:jc w:val="both"/>
        <w:rPr>
          <w:rFonts w:cs="Times New Roman"/>
          <w:noProof/>
        </w:rPr>
      </w:pPr>
      <w:r w:rsidRPr="00BC4EE7">
        <w:rPr>
          <w:rFonts w:cs="Times New Roman"/>
          <w:noProof/>
        </w:rPr>
        <w:t xml:space="preserve">Kapacitásépítés és irányítás. </w:t>
      </w:r>
    </w:p>
    <w:p w14:paraId="45C40DBE" w14:textId="77777777" w:rsidR="00D65CB4" w:rsidRPr="00BC4EE7" w:rsidRDefault="00572307">
      <w:pPr>
        <w:pStyle w:val="P68B1DB1-ListParagraph6"/>
        <w:numPr>
          <w:ilvl w:val="0"/>
          <w:numId w:val="41"/>
        </w:numPr>
        <w:spacing w:before="120" w:after="120" w:line="240" w:lineRule="auto"/>
        <w:jc w:val="both"/>
        <w:rPr>
          <w:rFonts w:cs="Times New Roman"/>
          <w:noProof/>
        </w:rPr>
      </w:pPr>
      <w:r w:rsidRPr="00BC4EE7">
        <w:rPr>
          <w:rFonts w:cs="Times New Roman"/>
          <w:noProof/>
        </w:rPr>
        <w:t xml:space="preserve">Tudás és társadalom: a tudás, az átláthatóság és a polgári részvétel javítását célzó intézkedések. </w:t>
      </w:r>
    </w:p>
    <w:p w14:paraId="0D500559" w14:textId="134B0C9F"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Ennek a reformnak a 2022–2026-os időszakra vonatkozó cselekvési tervet kell tartalmaznia. Ez az cselekvési terv hozzájárul a stratégia kidolgozásához, meghatározza a prioritásokat, valamint meghatározza azok tartalmát és végrehajtásának ütemtervét. </w:t>
      </w:r>
    </w:p>
    <w:p w14:paraId="51E9DA35"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stratégia előmozdítja továbbá az elsivatagosodás kérdéseivel foglalkozó érintett szereplők közötti koordinációt és együttműködést, és létrehozza a következő testületeket: </w:t>
      </w:r>
    </w:p>
    <w:p w14:paraId="136509E9" w14:textId="77777777" w:rsidR="00D65CB4" w:rsidRPr="00BC4EE7" w:rsidRDefault="00572307">
      <w:pPr>
        <w:pStyle w:val="P68B1DB1-ListParagraph6"/>
        <w:numPr>
          <w:ilvl w:val="0"/>
          <w:numId w:val="39"/>
        </w:numPr>
        <w:spacing w:before="120" w:after="120" w:line="240" w:lineRule="auto"/>
        <w:jc w:val="both"/>
        <w:rPr>
          <w:rFonts w:cs="Times New Roman"/>
          <w:noProof/>
        </w:rPr>
      </w:pPr>
      <w:r w:rsidRPr="00BC4EE7">
        <w:rPr>
          <w:rFonts w:cs="Times New Roman"/>
          <w:noProof/>
        </w:rPr>
        <w:t xml:space="preserve">A Nemzeti Természeti Örökség és Biológiai Sokféleség Bizottsága mellett működő, az elsivatagosodás elleni küzdelemmel foglalkozó nemzeti bizottság. A bizottság célja, hogy tanácsadó szervként működjön, és előmozdítsa a nemzeti közigazgatás és az autonóm közösségek közigazgatásai közötti együttműködést; </w:t>
      </w:r>
    </w:p>
    <w:p w14:paraId="2639DD47" w14:textId="77777777" w:rsidR="00D65CB4" w:rsidRPr="00BC4EE7" w:rsidRDefault="00572307">
      <w:pPr>
        <w:pStyle w:val="P68B1DB1-ListParagraph6"/>
        <w:numPr>
          <w:ilvl w:val="0"/>
          <w:numId w:val="39"/>
        </w:numPr>
        <w:spacing w:before="120" w:after="120" w:line="240" w:lineRule="auto"/>
        <w:jc w:val="both"/>
        <w:rPr>
          <w:rFonts w:cs="Times New Roman"/>
          <w:noProof/>
        </w:rPr>
      </w:pPr>
      <w:r w:rsidRPr="00BC4EE7">
        <w:rPr>
          <w:rFonts w:cs="Times New Roman"/>
          <w:noProof/>
        </w:rPr>
        <w:t>Az elsivatagosodás elleni küzdelemmel foglalkozó nemzeti tanács. Ez a testület tanácsadó szervként működik, amely támogatást nyújt a nemzeti közigazgatásnak, és hozzájárul a tudományos és civil társadalom koordinálásához; és</w:t>
      </w:r>
    </w:p>
    <w:p w14:paraId="14EAB806" w14:textId="77777777" w:rsidR="00D65CB4" w:rsidRPr="00BC4EE7" w:rsidRDefault="00572307">
      <w:pPr>
        <w:pStyle w:val="P68B1DB1-ListParagraph6"/>
        <w:numPr>
          <w:ilvl w:val="0"/>
          <w:numId w:val="39"/>
        </w:numPr>
        <w:spacing w:before="120" w:after="120" w:line="240" w:lineRule="auto"/>
        <w:jc w:val="both"/>
        <w:rPr>
          <w:rFonts w:cs="Times New Roman"/>
          <w:noProof/>
        </w:rPr>
      </w:pPr>
      <w:r w:rsidRPr="00BC4EE7">
        <w:rPr>
          <w:rFonts w:cs="Times New Roman"/>
          <w:noProof/>
        </w:rPr>
        <w:t xml:space="preserve">Az ökológiai átállásért és a demográfiai kihívásokért felelős minisztérium biológiai sokféleséggel, erdőkkel és elsivatagosodással foglalkozó főigazgatóságán belül az elsivatagosodás elleni küzdelem technikai egysége. Ez az egység felel az elsivatagosodással kapcsolatos intézkedések és fellépések spanyol területen történő kidolgozásáért, végrehajtásáért és koordinálásáért. </w:t>
      </w:r>
    </w:p>
    <w:p w14:paraId="1727D508" w14:textId="5E4C4118" w:rsidR="00D65CB4" w:rsidRPr="00BC4EE7" w:rsidRDefault="00572307">
      <w:pPr>
        <w:pStyle w:val="P68B1DB1-Normal4"/>
        <w:spacing w:before="120" w:after="120" w:line="240" w:lineRule="auto"/>
        <w:jc w:val="both"/>
        <w:rPr>
          <w:rFonts w:cs="Times New Roman"/>
          <w:noProof/>
        </w:rPr>
      </w:pPr>
      <w:r w:rsidRPr="00BC4EE7">
        <w:rPr>
          <w:rFonts w:cs="Times New Roman"/>
          <w:noProof/>
        </w:rPr>
        <w:t>Az intézkedés végrehajtását 2024. december 31-ig be kell fejezni.</w:t>
      </w:r>
    </w:p>
    <w:p w14:paraId="01C9430F" w14:textId="77777777" w:rsidR="00D65CB4" w:rsidRPr="00BC4EE7" w:rsidRDefault="00D65CB4">
      <w:pPr>
        <w:spacing w:before="120" w:after="120" w:line="240" w:lineRule="auto"/>
        <w:jc w:val="both"/>
        <w:rPr>
          <w:rFonts w:ascii="Times New Roman" w:hAnsi="Times New Roman" w:cs="Times New Roman"/>
          <w:noProof/>
          <w:sz w:val="24"/>
        </w:rPr>
      </w:pPr>
    </w:p>
    <w:p w14:paraId="2CBFC02A" w14:textId="23C034D3" w:rsidR="00D65CB4" w:rsidRPr="00BC4EE7" w:rsidRDefault="00572307">
      <w:pPr>
        <w:spacing w:before="120" w:after="120" w:line="240" w:lineRule="auto"/>
        <w:ind w:left="709"/>
        <w:jc w:val="both"/>
        <w:rPr>
          <w:rFonts w:ascii="Times New Roman" w:hAnsi="Times New Roman" w:cs="Times New Roman"/>
          <w:b/>
          <w:noProof/>
          <w:sz w:val="24"/>
          <w:u w:val="single"/>
        </w:rPr>
      </w:pPr>
      <w:r w:rsidRPr="00BC4EE7">
        <w:rPr>
          <w:rFonts w:ascii="Times New Roman" w:hAnsi="Times New Roman" w:cs="Times New Roman"/>
          <w:b/>
          <w:noProof/>
          <w:sz w:val="24"/>
          <w:u w:val="single"/>
        </w:rPr>
        <w:t xml:space="preserve">D.4.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 xml:space="preserve">A hiteltámogatás nyomon követésére és végrehajtására vonatkozó mérföldkövek, célok, mutatók és ütemterv </w:t>
      </w:r>
    </w:p>
    <w:p w14:paraId="533BCFD1" w14:textId="77B04D19" w:rsidR="00D65CB4" w:rsidRPr="00BC4EE7" w:rsidRDefault="00572307">
      <w:pPr>
        <w:pStyle w:val="P68B1DB1-Normal4"/>
        <w:spacing w:before="120" w:after="120" w:line="240" w:lineRule="auto"/>
        <w:jc w:val="both"/>
        <w:rPr>
          <w:rFonts w:cs="Times New Roman"/>
          <w:noProof/>
        </w:rPr>
      </w:pPr>
      <w:r w:rsidRPr="00BC4EE7">
        <w:rPr>
          <w:rFonts w:cs="Times New Roman"/>
          <w:i/>
          <w:noProof/>
        </w:rPr>
        <w:t>Táblázat alább.</w:t>
      </w:r>
      <w:r w:rsidRPr="00BC4EE7">
        <w:rPr>
          <w:rFonts w:cs="Times New Roman"/>
          <w:noProof/>
        </w:rPr>
        <w:t xml:space="preserve"> </w:t>
      </w:r>
      <w:r w:rsidRPr="00BC4EE7">
        <w:rPr>
          <w:rFonts w:cs="Times New Roman"/>
          <w:i/>
          <w:noProof/>
        </w:rPr>
        <w:t>Az összes mutató esetében az alapforgatókönyv időpontja 2020. február 1., kivéve, ha az intézkedés leírása ettől eltérően rendelkezik. A táblázatban szereplő összegek nem tartalmazzák a héát.</w:t>
      </w:r>
    </w:p>
    <w:p w14:paraId="510ED064" w14:textId="2F536112" w:rsidR="00D65CB4" w:rsidRPr="00BC4EE7" w:rsidRDefault="00D65CB4">
      <w:pPr>
        <w:spacing w:before="120" w:after="120" w:line="240" w:lineRule="auto"/>
        <w:jc w:val="both"/>
        <w:rPr>
          <w:rFonts w:ascii="Times New Roman" w:hAnsi="Times New Roman" w:cs="Times New Roman"/>
          <w:b/>
          <w:noProof/>
          <w:sz w:val="24"/>
          <w:u w:val="single"/>
        </w:rPr>
      </w:pPr>
    </w:p>
    <w:p w14:paraId="42BFB184" w14:textId="16096736" w:rsidR="00D65CB4" w:rsidRPr="00BC4EE7" w:rsidRDefault="00D65CB4">
      <w:pPr>
        <w:spacing w:before="120" w:after="120" w:line="240" w:lineRule="auto"/>
        <w:jc w:val="both"/>
        <w:rPr>
          <w:rFonts w:ascii="Times New Roman" w:hAnsi="Times New Roman" w:cs="Times New Roman"/>
          <w:noProof/>
          <w:sz w:val="24"/>
        </w:rPr>
        <w:sectPr w:rsidR="00D65CB4" w:rsidRPr="00BC4EE7" w:rsidSect="00B511EF">
          <w:headerReference w:type="even" r:id="rId111"/>
          <w:headerReference w:type="default" r:id="rId112"/>
          <w:footerReference w:type="even" r:id="rId113"/>
          <w:footerReference w:type="default" r:id="rId114"/>
          <w:headerReference w:type="first" r:id="rId115"/>
          <w:footerReference w:type="first" r:id="rId116"/>
          <w:pgSz w:w="11907" w:h="16839"/>
          <w:pgMar w:top="1134" w:right="1134" w:bottom="1134" w:left="1134" w:header="567" w:footer="567" w:gutter="0"/>
          <w:cols w:space="720"/>
          <w:docGrid w:linePitch="360"/>
        </w:sectPr>
      </w:pPr>
    </w:p>
    <w:p w14:paraId="2F4418AF" w14:textId="77777777" w:rsidR="00D65CB4" w:rsidRPr="00BC4EE7" w:rsidRDefault="00D65CB4">
      <w:pPr>
        <w:spacing w:before="120" w:after="120" w:line="240" w:lineRule="auto"/>
        <w:jc w:val="both"/>
        <w:rPr>
          <w:rFonts w:ascii="Times New Roman" w:hAnsi="Times New Roman" w:cs="Times New Roman"/>
          <w:noProof/>
          <w:sz w:val="24"/>
        </w:rPr>
      </w:pPr>
    </w:p>
    <w:tbl>
      <w:tblPr>
        <w:tblW w:w="15452"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28"/>
        <w:gridCol w:w="1016"/>
        <w:gridCol w:w="992"/>
        <w:gridCol w:w="2126"/>
        <w:gridCol w:w="1198"/>
        <w:gridCol w:w="821"/>
        <w:gridCol w:w="957"/>
        <w:gridCol w:w="685"/>
        <w:gridCol w:w="412"/>
        <w:gridCol w:w="548"/>
        <w:gridCol w:w="5869"/>
      </w:tblGrid>
      <w:tr w:rsidR="00D65CB4" w:rsidRPr="00BC4EE7" w14:paraId="0982F655" w14:textId="77777777" w:rsidTr="00481CF8">
        <w:trPr>
          <w:trHeight w:val="309"/>
          <w:tblHeader/>
        </w:trPr>
        <w:tc>
          <w:tcPr>
            <w:tcW w:w="828" w:type="dxa"/>
            <w:tcBorders>
              <w:bottom w:val="nil"/>
            </w:tcBorders>
            <w:shd w:val="clear" w:color="auto" w:fill="C6D9F1" w:themeFill="text2" w:themeFillTint="33"/>
            <w:noWrap/>
            <w:vAlign w:val="center"/>
          </w:tcPr>
          <w:p w14:paraId="434CDFC2"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Szám</w:t>
            </w:r>
          </w:p>
        </w:tc>
        <w:tc>
          <w:tcPr>
            <w:tcW w:w="1016" w:type="dxa"/>
            <w:tcBorders>
              <w:bottom w:val="nil"/>
            </w:tcBorders>
            <w:shd w:val="clear" w:color="auto" w:fill="C6D9F1" w:themeFill="text2" w:themeFillTint="33"/>
            <w:noWrap/>
            <w:vAlign w:val="center"/>
          </w:tcPr>
          <w:p w14:paraId="7730F4B5"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Intézkedés</w:t>
            </w:r>
          </w:p>
        </w:tc>
        <w:tc>
          <w:tcPr>
            <w:tcW w:w="992" w:type="dxa"/>
            <w:tcBorders>
              <w:bottom w:val="nil"/>
            </w:tcBorders>
            <w:shd w:val="clear" w:color="auto" w:fill="C6D9F1" w:themeFill="text2" w:themeFillTint="33"/>
            <w:noWrap/>
            <w:vAlign w:val="center"/>
          </w:tcPr>
          <w:p w14:paraId="2C28BECA" w14:textId="77777777" w:rsidR="00D65CB4" w:rsidRPr="00BC4EE7" w:rsidRDefault="00572307">
            <w:pPr>
              <w:spacing w:after="0" w:line="240" w:lineRule="auto"/>
              <w:jc w:val="center"/>
              <w:rPr>
                <w:rFonts w:ascii="Times New Roman" w:hAnsi="Times New Roman" w:cs="Times New Roman"/>
                <w:b/>
                <w:noProof/>
                <w:sz w:val="18"/>
              </w:rPr>
            </w:pPr>
            <w:r w:rsidRPr="00BC4EE7">
              <w:rPr>
                <w:rFonts w:ascii="Times New Roman" w:hAnsi="Times New Roman" w:cs="Times New Roman"/>
                <w:b/>
                <w:noProof/>
                <w:sz w:val="18"/>
              </w:rPr>
              <w:t>Mérföldkő</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b/>
                <w:noProof/>
                <w:sz w:val="18"/>
              </w:rPr>
              <w:t xml:space="preserve"> /Cél</w:t>
            </w:r>
          </w:p>
        </w:tc>
        <w:tc>
          <w:tcPr>
            <w:tcW w:w="2126" w:type="dxa"/>
            <w:tcBorders>
              <w:bottom w:val="nil"/>
            </w:tcBorders>
            <w:shd w:val="clear" w:color="auto" w:fill="C6D9F1" w:themeFill="text2" w:themeFillTint="33"/>
            <w:noWrap/>
            <w:vAlign w:val="center"/>
          </w:tcPr>
          <w:p w14:paraId="322C08C0"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Név</w:t>
            </w:r>
          </w:p>
        </w:tc>
        <w:tc>
          <w:tcPr>
            <w:tcW w:w="1198" w:type="dxa"/>
            <w:tcBorders>
              <w:bottom w:val="nil"/>
            </w:tcBorders>
            <w:shd w:val="clear" w:color="auto" w:fill="C6D9F1" w:themeFill="text2" w:themeFillTint="33"/>
            <w:noWrap/>
            <w:vAlign w:val="center"/>
          </w:tcPr>
          <w:p w14:paraId="5E587E85"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mérföldkövek minőségi mutatója</w:t>
            </w:r>
          </w:p>
        </w:tc>
        <w:tc>
          <w:tcPr>
            <w:tcW w:w="2463" w:type="dxa"/>
            <w:gridSpan w:val="3"/>
            <w:shd w:val="clear" w:color="auto" w:fill="C6D9F1" w:themeFill="text2" w:themeFillTint="33"/>
            <w:noWrap/>
            <w:vAlign w:val="center"/>
          </w:tcPr>
          <w:p w14:paraId="03FAAD2E"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célérték mennyiségi mutatója</w:t>
            </w:r>
          </w:p>
        </w:tc>
        <w:tc>
          <w:tcPr>
            <w:tcW w:w="960" w:type="dxa"/>
            <w:gridSpan w:val="2"/>
            <w:shd w:val="clear" w:color="auto" w:fill="C6D9F1" w:themeFill="text2" w:themeFillTint="33"/>
            <w:noWrap/>
            <w:vAlign w:val="center"/>
          </w:tcPr>
          <w:p w14:paraId="42D270AA"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Idő</w:t>
            </w:r>
          </w:p>
        </w:tc>
        <w:tc>
          <w:tcPr>
            <w:tcW w:w="5869" w:type="dxa"/>
            <w:tcBorders>
              <w:bottom w:val="nil"/>
            </w:tcBorders>
            <w:shd w:val="clear" w:color="auto" w:fill="C6D9F1" w:themeFill="text2" w:themeFillTint="33"/>
            <w:noWrap/>
            <w:vAlign w:val="center"/>
          </w:tcPr>
          <w:p w14:paraId="1E38F104"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Az egyes mérföldkövek és célértékek leírása</w:t>
            </w:r>
          </w:p>
        </w:tc>
      </w:tr>
      <w:tr w:rsidR="00D65CB4" w:rsidRPr="00BC4EE7" w14:paraId="22567CB0" w14:textId="77777777" w:rsidTr="00481CF8">
        <w:trPr>
          <w:trHeight w:val="309"/>
          <w:tblHeader/>
        </w:trPr>
        <w:tc>
          <w:tcPr>
            <w:tcW w:w="828" w:type="dxa"/>
            <w:tcBorders>
              <w:top w:val="nil"/>
            </w:tcBorders>
            <w:shd w:val="clear" w:color="auto" w:fill="C6D9F1" w:themeFill="text2" w:themeFillTint="33"/>
            <w:noWrap/>
          </w:tcPr>
          <w:p w14:paraId="0030C01F" w14:textId="77777777" w:rsidR="00D65CB4" w:rsidRPr="00BC4EE7" w:rsidRDefault="00D65CB4">
            <w:pPr>
              <w:spacing w:after="0" w:line="240" w:lineRule="auto"/>
              <w:jc w:val="center"/>
              <w:rPr>
                <w:rFonts w:ascii="Times New Roman" w:hAnsi="Times New Roman" w:cs="Times New Roman"/>
                <w:b/>
                <w:noProof/>
                <w:sz w:val="18"/>
              </w:rPr>
            </w:pPr>
          </w:p>
        </w:tc>
        <w:tc>
          <w:tcPr>
            <w:tcW w:w="1016" w:type="dxa"/>
            <w:tcBorders>
              <w:top w:val="nil"/>
            </w:tcBorders>
            <w:shd w:val="clear" w:color="auto" w:fill="C6D9F1" w:themeFill="text2" w:themeFillTint="33"/>
            <w:noWrap/>
          </w:tcPr>
          <w:p w14:paraId="6947234D" w14:textId="77777777" w:rsidR="00D65CB4" w:rsidRPr="00BC4EE7" w:rsidRDefault="00D65CB4">
            <w:pPr>
              <w:spacing w:after="0" w:line="240" w:lineRule="auto"/>
              <w:jc w:val="center"/>
              <w:rPr>
                <w:rFonts w:ascii="Times New Roman" w:hAnsi="Times New Roman" w:cs="Times New Roman"/>
                <w:b/>
                <w:noProof/>
                <w:sz w:val="18"/>
              </w:rPr>
            </w:pPr>
          </w:p>
        </w:tc>
        <w:tc>
          <w:tcPr>
            <w:tcW w:w="992" w:type="dxa"/>
            <w:tcBorders>
              <w:top w:val="nil"/>
            </w:tcBorders>
            <w:shd w:val="clear" w:color="auto" w:fill="C6D9F1" w:themeFill="text2" w:themeFillTint="33"/>
            <w:noWrap/>
          </w:tcPr>
          <w:p w14:paraId="69222A19" w14:textId="77777777" w:rsidR="00D65CB4" w:rsidRPr="00BC4EE7" w:rsidRDefault="00D65CB4">
            <w:pPr>
              <w:spacing w:after="0" w:line="240" w:lineRule="auto"/>
              <w:jc w:val="center"/>
              <w:rPr>
                <w:rFonts w:ascii="Times New Roman" w:hAnsi="Times New Roman" w:cs="Times New Roman"/>
                <w:b/>
                <w:noProof/>
                <w:sz w:val="18"/>
              </w:rPr>
            </w:pPr>
          </w:p>
        </w:tc>
        <w:tc>
          <w:tcPr>
            <w:tcW w:w="2126" w:type="dxa"/>
            <w:tcBorders>
              <w:top w:val="nil"/>
            </w:tcBorders>
            <w:shd w:val="clear" w:color="auto" w:fill="C6D9F1" w:themeFill="text2" w:themeFillTint="33"/>
            <w:noWrap/>
          </w:tcPr>
          <w:p w14:paraId="5EB5E33D" w14:textId="77777777" w:rsidR="00D65CB4" w:rsidRPr="00BC4EE7" w:rsidRDefault="00D65CB4">
            <w:pPr>
              <w:spacing w:after="0" w:line="240" w:lineRule="auto"/>
              <w:rPr>
                <w:rFonts w:ascii="Times New Roman" w:hAnsi="Times New Roman" w:cs="Times New Roman"/>
                <w:b/>
                <w:noProof/>
                <w:sz w:val="18"/>
              </w:rPr>
            </w:pPr>
          </w:p>
        </w:tc>
        <w:tc>
          <w:tcPr>
            <w:tcW w:w="1198" w:type="dxa"/>
            <w:tcBorders>
              <w:top w:val="nil"/>
            </w:tcBorders>
            <w:shd w:val="clear" w:color="auto" w:fill="C6D9F1" w:themeFill="text2" w:themeFillTint="33"/>
            <w:noWrap/>
          </w:tcPr>
          <w:p w14:paraId="02DB730E" w14:textId="77777777" w:rsidR="00D65CB4" w:rsidRPr="00BC4EE7" w:rsidRDefault="00D65CB4">
            <w:pPr>
              <w:spacing w:after="0" w:line="240" w:lineRule="auto"/>
              <w:jc w:val="center"/>
              <w:rPr>
                <w:rFonts w:ascii="Times New Roman" w:hAnsi="Times New Roman" w:cs="Times New Roman"/>
                <w:b/>
                <w:noProof/>
                <w:sz w:val="18"/>
              </w:rPr>
            </w:pPr>
          </w:p>
        </w:tc>
        <w:tc>
          <w:tcPr>
            <w:tcW w:w="821" w:type="dxa"/>
            <w:shd w:val="clear" w:color="auto" w:fill="C6D9F1" w:themeFill="text2" w:themeFillTint="33"/>
            <w:noWrap/>
            <w:vAlign w:val="center"/>
          </w:tcPr>
          <w:p w14:paraId="37D99609"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Egység</w:t>
            </w:r>
          </w:p>
        </w:tc>
        <w:tc>
          <w:tcPr>
            <w:tcW w:w="957" w:type="dxa"/>
            <w:shd w:val="clear" w:color="auto" w:fill="C6D9F1" w:themeFill="text2" w:themeFillTint="33"/>
            <w:noWrap/>
            <w:vAlign w:val="center"/>
          </w:tcPr>
          <w:p w14:paraId="315DA8B8" w14:textId="61D4829A" w:rsidR="00D65CB4" w:rsidRPr="00BC4EE7" w:rsidRDefault="00572307">
            <w:pPr>
              <w:pStyle w:val="P68B1DB1-Normal8"/>
              <w:spacing w:after="0" w:line="240" w:lineRule="auto"/>
              <w:jc w:val="center"/>
              <w:rPr>
                <w:rFonts w:cs="Times New Roman"/>
                <w:noProof/>
              </w:rPr>
            </w:pPr>
            <w:r w:rsidRPr="00BC4EE7">
              <w:rPr>
                <w:rFonts w:cs="Times New Roman"/>
                <w:noProof/>
              </w:rPr>
              <w:t>Kiindulási</w:t>
            </w:r>
          </w:p>
        </w:tc>
        <w:tc>
          <w:tcPr>
            <w:tcW w:w="685" w:type="dxa"/>
            <w:shd w:val="clear" w:color="auto" w:fill="C6D9F1" w:themeFill="text2" w:themeFillTint="33"/>
            <w:noWrap/>
            <w:vAlign w:val="center"/>
          </w:tcPr>
          <w:p w14:paraId="711E7654"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Cél</w:t>
            </w:r>
          </w:p>
        </w:tc>
        <w:tc>
          <w:tcPr>
            <w:tcW w:w="412" w:type="dxa"/>
            <w:shd w:val="clear" w:color="auto" w:fill="C6D9F1" w:themeFill="text2" w:themeFillTint="33"/>
            <w:noWrap/>
            <w:vAlign w:val="center"/>
          </w:tcPr>
          <w:p w14:paraId="38AE6C67"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Q</w:t>
            </w:r>
          </w:p>
        </w:tc>
        <w:tc>
          <w:tcPr>
            <w:tcW w:w="548" w:type="dxa"/>
            <w:shd w:val="clear" w:color="auto" w:fill="C6D9F1" w:themeFill="text2" w:themeFillTint="33"/>
            <w:noWrap/>
            <w:vAlign w:val="center"/>
          </w:tcPr>
          <w:p w14:paraId="168176E0"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Éve</w:t>
            </w:r>
          </w:p>
        </w:tc>
        <w:tc>
          <w:tcPr>
            <w:tcW w:w="5869" w:type="dxa"/>
            <w:tcBorders>
              <w:top w:val="nil"/>
            </w:tcBorders>
            <w:shd w:val="clear" w:color="auto" w:fill="C6D9F1" w:themeFill="text2" w:themeFillTint="33"/>
            <w:noWrap/>
          </w:tcPr>
          <w:p w14:paraId="7FBA1F7A" w14:textId="77777777" w:rsidR="00D65CB4" w:rsidRPr="00BC4EE7" w:rsidRDefault="00D65CB4">
            <w:pPr>
              <w:spacing w:after="0" w:line="240" w:lineRule="auto"/>
              <w:rPr>
                <w:rFonts w:ascii="Times New Roman" w:hAnsi="Times New Roman" w:cs="Times New Roman"/>
                <w:b/>
                <w:noProof/>
                <w:sz w:val="18"/>
              </w:rPr>
            </w:pPr>
          </w:p>
        </w:tc>
      </w:tr>
      <w:tr w:rsidR="00D65CB4" w:rsidRPr="00BC4EE7" w14:paraId="0CF12790" w14:textId="77777777" w:rsidTr="00481CF8">
        <w:trPr>
          <w:trHeight w:val="309"/>
        </w:trPr>
        <w:tc>
          <w:tcPr>
            <w:tcW w:w="828" w:type="dxa"/>
            <w:shd w:val="clear" w:color="auto" w:fill="C6EFCE"/>
            <w:noWrap/>
          </w:tcPr>
          <w:p w14:paraId="57980422" w14:textId="4C50EFCC"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L12</w:t>
            </w:r>
          </w:p>
          <w:p w14:paraId="6AFA3F08" w14:textId="73A98BC6" w:rsidR="00D65CB4" w:rsidRPr="00BC4EE7" w:rsidRDefault="00D65CB4">
            <w:pPr>
              <w:spacing w:after="0" w:line="240" w:lineRule="auto"/>
              <w:jc w:val="center"/>
              <w:rPr>
                <w:rFonts w:ascii="Times New Roman" w:eastAsia="MS Mincho" w:hAnsi="Times New Roman" w:cs="Times New Roman"/>
                <w:noProof/>
                <w:sz w:val="18"/>
              </w:rPr>
            </w:pPr>
          </w:p>
        </w:tc>
        <w:tc>
          <w:tcPr>
            <w:tcW w:w="1016" w:type="dxa"/>
            <w:shd w:val="clear" w:color="auto" w:fill="C6EFCE"/>
            <w:noWrap/>
          </w:tcPr>
          <w:p w14:paraId="1D51009B" w14:textId="7DFE2321"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C4.R4</w:t>
            </w:r>
          </w:p>
        </w:tc>
        <w:tc>
          <w:tcPr>
            <w:tcW w:w="992" w:type="dxa"/>
            <w:shd w:val="clear" w:color="auto" w:fill="C6EFCE"/>
            <w:noWrap/>
          </w:tcPr>
          <w:p w14:paraId="479106F6" w14:textId="7D6B9A0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M</w:t>
            </w:r>
          </w:p>
        </w:tc>
        <w:tc>
          <w:tcPr>
            <w:tcW w:w="2126" w:type="dxa"/>
            <w:shd w:val="clear" w:color="auto" w:fill="C6EFCE"/>
            <w:noWrap/>
          </w:tcPr>
          <w:p w14:paraId="21C4DE3D" w14:textId="4341CCBB" w:rsidR="00D65CB4" w:rsidRPr="00BC4EE7" w:rsidRDefault="00572307">
            <w:pPr>
              <w:pStyle w:val="P68B1DB1-Normal12"/>
              <w:spacing w:after="0" w:line="240" w:lineRule="auto"/>
              <w:rPr>
                <w:rFonts w:eastAsia="MS Mincho" w:cs="Times New Roman"/>
                <w:noProof/>
              </w:rPr>
            </w:pPr>
            <w:r w:rsidRPr="00BC4EE7">
              <w:rPr>
                <w:rFonts w:cs="Times New Roman"/>
                <w:noProof/>
              </w:rPr>
              <w:t xml:space="preserve">Az elsivatagosodás elleni küzdelemre irányuló nemzeti stratégia és a kapcsolódó cselekvési terv (2022–2026) elfogadása, valamint testületi testületek létrehozása.  </w:t>
            </w:r>
          </w:p>
        </w:tc>
        <w:tc>
          <w:tcPr>
            <w:tcW w:w="1198" w:type="dxa"/>
            <w:shd w:val="clear" w:color="auto" w:fill="C6EFCE"/>
            <w:noWrap/>
          </w:tcPr>
          <w:p w14:paraId="188E9FF5" w14:textId="79B328D4"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Közzététel a Hivatalos Lapban</w:t>
            </w:r>
          </w:p>
        </w:tc>
        <w:tc>
          <w:tcPr>
            <w:tcW w:w="821" w:type="dxa"/>
            <w:shd w:val="clear" w:color="auto" w:fill="C6EFCE"/>
            <w:noWrap/>
          </w:tcPr>
          <w:p w14:paraId="329B2CA8" w14:textId="1B21E023" w:rsidR="00D65CB4" w:rsidRPr="00BC4EE7" w:rsidRDefault="00572307">
            <w:pPr>
              <w:pStyle w:val="P68B1DB1-Normal12"/>
              <w:spacing w:after="0" w:line="240" w:lineRule="auto"/>
              <w:rPr>
                <w:rFonts w:eastAsia="MS Mincho" w:cs="Times New Roman"/>
                <w:noProof/>
              </w:rPr>
            </w:pPr>
            <w:r w:rsidRPr="00BC4EE7">
              <w:rPr>
                <w:rFonts w:cs="Times New Roman"/>
                <w:noProof/>
              </w:rPr>
              <w:t xml:space="preserve"> </w:t>
            </w:r>
          </w:p>
        </w:tc>
        <w:tc>
          <w:tcPr>
            <w:tcW w:w="957" w:type="dxa"/>
            <w:shd w:val="clear" w:color="auto" w:fill="C6EFCE"/>
            <w:noWrap/>
          </w:tcPr>
          <w:p w14:paraId="060CFAC8" w14:textId="418932F9"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685" w:type="dxa"/>
            <w:shd w:val="clear" w:color="auto" w:fill="C6EFCE"/>
            <w:noWrap/>
          </w:tcPr>
          <w:p w14:paraId="3AFD84A7" w14:textId="3D5AB106"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412" w:type="dxa"/>
            <w:shd w:val="clear" w:color="auto" w:fill="C6EFCE"/>
            <w:noWrap/>
          </w:tcPr>
          <w:p w14:paraId="2AD6C4C6" w14:textId="72BBB14D"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Q4</w:t>
            </w:r>
          </w:p>
        </w:tc>
        <w:tc>
          <w:tcPr>
            <w:tcW w:w="548" w:type="dxa"/>
            <w:shd w:val="clear" w:color="auto" w:fill="C6EFCE"/>
            <w:noWrap/>
          </w:tcPr>
          <w:p w14:paraId="0C47AC0F" w14:textId="743AEA69"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2024</w:t>
            </w:r>
          </w:p>
        </w:tc>
        <w:tc>
          <w:tcPr>
            <w:tcW w:w="5869" w:type="dxa"/>
            <w:shd w:val="clear" w:color="auto" w:fill="C6EFCE"/>
            <w:noWrap/>
          </w:tcPr>
          <w:p w14:paraId="34A083E8" w14:textId="18CB5AE9" w:rsidR="00D65CB4" w:rsidRPr="00BC4EE7" w:rsidRDefault="00572307">
            <w:pPr>
              <w:pStyle w:val="P68B1DB1-Normal12"/>
              <w:spacing w:after="0" w:line="240" w:lineRule="auto"/>
              <w:rPr>
                <w:rFonts w:eastAsia="MS Mincho" w:cs="Times New Roman"/>
                <w:noProof/>
              </w:rPr>
            </w:pPr>
            <w:r w:rsidRPr="00BC4EE7">
              <w:rPr>
                <w:rFonts w:cs="Times New Roman"/>
                <w:noProof/>
              </w:rPr>
              <w:t xml:space="preserve">Az elsivatagosodás elleni küzdelemre irányuló nemzeti stratégia és a kapcsolódó intézkedések elfogadása, az intézkedés leírásával összhangban. </w:t>
            </w:r>
          </w:p>
        </w:tc>
      </w:tr>
    </w:tbl>
    <w:p w14:paraId="02F2C34E" w14:textId="769AB717" w:rsidR="00D65CB4" w:rsidRPr="00BC4EE7" w:rsidRDefault="00D65CB4">
      <w:pPr>
        <w:spacing w:before="120" w:after="120" w:line="240" w:lineRule="auto"/>
        <w:jc w:val="both"/>
        <w:rPr>
          <w:rFonts w:ascii="Times New Roman" w:hAnsi="Times New Roman" w:cs="Times New Roman"/>
          <w:noProof/>
          <w:sz w:val="24"/>
        </w:rPr>
        <w:sectPr w:rsidR="00D65CB4" w:rsidRPr="00BC4EE7" w:rsidSect="00B511EF">
          <w:headerReference w:type="even" r:id="rId117"/>
          <w:headerReference w:type="default" r:id="rId118"/>
          <w:footerReference w:type="even" r:id="rId119"/>
          <w:footerReference w:type="default" r:id="rId120"/>
          <w:headerReference w:type="first" r:id="rId121"/>
          <w:footerReference w:type="first" r:id="rId122"/>
          <w:pgSz w:w="16839" w:h="11907" w:orient="landscape"/>
          <w:pgMar w:top="1134" w:right="1134" w:bottom="1134" w:left="1134" w:header="567" w:footer="567" w:gutter="0"/>
          <w:cols w:space="720"/>
          <w:docGrid w:linePitch="360"/>
        </w:sectPr>
      </w:pPr>
    </w:p>
    <w:p w14:paraId="53A58CED" w14:textId="77777777" w:rsidR="00D65CB4" w:rsidRPr="00BC4EE7" w:rsidRDefault="00572307">
      <w:pPr>
        <w:pStyle w:val="P68B1DB1-Heading12"/>
        <w:rPr>
          <w:rFonts w:cs="Times New Roman"/>
          <w:noProof/>
        </w:rPr>
      </w:pPr>
      <w:r w:rsidRPr="00BC4EE7">
        <w:rPr>
          <w:rFonts w:cs="Times New Roman"/>
          <w:noProof/>
        </w:rPr>
        <w:t>E. 05. KOMPONENS: Part menti és vízi erőforrások</w:t>
      </w:r>
    </w:p>
    <w:p w14:paraId="411410E6"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Ennek a komponensnek a célja a vízkészletekkel való gazdálkodás javítása, az éghajlatváltozás káros hatásainak kezelését célzó tengerparti alkalmazkodási politika végrehajtása, valamint a tengeri stratégiák és a tengeri területrendezési tervek végrehajtásának megerősítése. </w:t>
      </w:r>
    </w:p>
    <w:p w14:paraId="446DF730"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vízkészlet-gazdálkodás javítása érdekében Spanyolországnak különböző kihívásokkal kell szembenéznie, mint például az újonnan megjelenő szennyező anyagok (pl. mikroműanyagok) azonosítása, a tervezés terén meglévő beruházási hiány, a partvidék éghajlatváltozáshoz való alkalmazkodása, a közvízi terület, a tengeri-szárazföldi tulajdon és a víztisztítás ellenőrzése és kezelése, valamint az új technológiák és az IKT-technológiák késedelmes bevezetése a vízgazdálkodásban. E célból Spanyolországnak javítania kell az ágazat hatékonyságát. Spanyolország arra is törekszik, hogy vízkészlet-gazdálkodását jobban összehangolja a környezetvédelmi célkitűzésekkel, például az európai zöld megállapodásban, a 2030-ig tartó időszakra szóló biodiverzitási stratégiában és az EU szennyezőanyag-mentességi cselekvési tervében meghatározottakkal. E célból különböző stratégiákat kell alkalmazni, például a közigazgatás digitalizálását az információkhoz való hozzáférés érdekében, beleértve a vízminőséget és az ökológiai vízfolyásoknak való megfelelést, a környezeti infrastruktúra biztosítását és javítását, az infrastruktúra biztonságát, vagy a felszín alatti vizek állapotának javítását és a víztartó rétegek helyreállítását.</w:t>
      </w:r>
    </w:p>
    <w:p w14:paraId="4B419439"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Az éghajlatváltozás tovább súlyosbította az erózió és a part menti áradások hatását. Ezért a spanyol helyreállítási és rezilienciaépítési terv e komponense a spanyol partvidéknek az éghajlatváltozás káros hatásaihoz való alkalmazkodására irányuló politikát is végrehajtja. Az erózió elleni küzdelem és az árvizek kockázatának csökkentése érdekében számos alkalmazkodási intézkedést kell bevezetni, mint például a leromlott állapotú területek környezeti helyreállítása, a szárazföldi közterületekhez való szabályos és helyes hozzáférés javítása, vagy természetalapú megoldások kidolgozása és végrehajtása. Ennek a cselekvési irányvonalnak ellenállóbb partvonalat kell teremtenie az éghajlatváltozás hatásaival szemben, és jobban fel kell készítenie az idegenforgalmi ágazatot és a part menti területek állapotától függő egyéb ágazatokat. Emellett ez tovább erősíti a Kopernikusz program szerepét, amely döntő fontosságú a szélsőséges időjárási események által okozott károk és hatások megelőzése és értékelése szempontjából.</w:t>
      </w:r>
    </w:p>
    <w:p w14:paraId="7350F698"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spanyol helyreállítási és rezilienciaépítési terv e komponensének részeként Spanyolországnak elő kell mozdítania a tengeri ágazatok optimális fenntartható fejlődését, és meg kell védenie a tengeri környezetet a jó környezeti állapot elérése érdekében egy jogszabály elfogadása, a tengervédelmi stratégiáról szóló keretirányelv átültetése és végrehajtásának megerősítése révén. </w:t>
      </w:r>
    </w:p>
    <w:p w14:paraId="7921A5A8" w14:textId="7EC3B47E"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spanyol helyreállítási és rezilienciaépítési terv ezen komponense hozzájárul ahhoz, hogy a beruházásokkal kapcsolatos gazdaságpolitikát az energiahatékonyság és az erőforrás-felhasználás előmozdítására összpontosítsa (2019. évi 3. országspecifikus ajánlás). A zöld és digitális átállásra irányuló beruházásokra is összpontosít, különösen a kutatás és az innováció, az energiaforrások tiszta és hatékony előállítása és felhasználása, az energetikai infrastruktúra, a víz- és hulladékgazdálkodás, valamint a fenntartható közlekedés előmozdítása révén (2020. évi 3. országspecifikus ajánlás). Emellett fokozza a víz újrafelhasználását is (2022. évi 3. országspecifikus ajánlás). </w:t>
      </w:r>
    </w:p>
    <w:p w14:paraId="1B2C36A4"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jelentős károkozás elkerülését célzó elvről szóló technikai iránymutatásnak (2021/C58/01) megfelelően a helyreállítási és rezilienciaépítési tervben meghatározott intézkedések leírását és a helyreállítási és rezilienciaépítési tervben meghatározott enyhítő lépéseket figyelembe véve ebben a komponensben várhatóan egyetlen intézkedés sem sérti jelentős mértékben az (EU) 2020/852 rendelet 17. cikke szerinti környezeti célkitűzéseket.</w:t>
      </w:r>
    </w:p>
    <w:p w14:paraId="47EE4D1F" w14:textId="77777777" w:rsidR="00D65CB4" w:rsidRPr="00BC4EE7" w:rsidRDefault="00572307">
      <w:pPr>
        <w:keepNext/>
        <w:spacing w:before="120" w:after="120" w:line="240" w:lineRule="auto"/>
        <w:ind w:left="720"/>
        <w:jc w:val="both"/>
        <w:rPr>
          <w:rFonts w:ascii="Times New Roman" w:hAnsi="Times New Roman" w:cs="Times New Roman"/>
          <w:b/>
          <w:i/>
          <w:noProof/>
          <w:sz w:val="24"/>
        </w:rPr>
      </w:pPr>
      <w:r w:rsidRPr="00BC4EE7">
        <w:rPr>
          <w:rFonts w:ascii="Times New Roman" w:hAnsi="Times New Roman" w:cs="Times New Roman"/>
          <w:b/>
          <w:noProof/>
          <w:sz w:val="24"/>
          <w:u w:val="single"/>
        </w:rPr>
        <w:t xml:space="preserve">E.1.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Vissza nem térítendő pénzügyi támogatás – a reformok és beruházások ismertetése</w:t>
      </w:r>
    </w:p>
    <w:p w14:paraId="6B2567BA" w14:textId="77777777" w:rsidR="00D65CB4" w:rsidRPr="00BC4EE7" w:rsidRDefault="00572307">
      <w:pPr>
        <w:pStyle w:val="P68B1DB1-Normal5"/>
        <w:keepNext/>
        <w:spacing w:before="120" w:after="120" w:line="240" w:lineRule="auto"/>
        <w:jc w:val="both"/>
        <w:rPr>
          <w:rFonts w:cs="Times New Roman"/>
          <w:noProof/>
        </w:rPr>
      </w:pPr>
      <w:r w:rsidRPr="00BC4EE7">
        <w:rPr>
          <w:rFonts w:cs="Times New Roman"/>
          <w:noProof/>
        </w:rPr>
        <w:t>Reform (C5.R1) – Vízgazdálkodási tervek és stratégiák, valamint szabályozási változások</w:t>
      </w:r>
    </w:p>
    <w:p w14:paraId="20497A4A" w14:textId="77777777" w:rsidR="00D65CB4" w:rsidRPr="00BC4EE7" w:rsidRDefault="00572307">
      <w:pPr>
        <w:pStyle w:val="P68B1DB1-Normal4"/>
        <w:keepNext/>
        <w:spacing w:before="120" w:after="120" w:line="240" w:lineRule="auto"/>
        <w:jc w:val="both"/>
        <w:rPr>
          <w:rFonts w:cs="Times New Roman"/>
          <w:noProof/>
        </w:rPr>
      </w:pPr>
      <w:r w:rsidRPr="00BC4EE7">
        <w:rPr>
          <w:rFonts w:cs="Times New Roman"/>
          <w:noProof/>
        </w:rPr>
        <w:t xml:space="preserve">A reformnak foglalkoznia kell a vízügyi törvény, annak rendeletei és egyéb másodlagos jogszabályai felülvizsgálatával és aktualizálásával a beruházások ösztönzéséhez kedvező jogi keret biztosítása érdekében. A reform magában foglalja számos olyan terv és stratégia elfogadását és felülvizsgálatát, amelyek a beruházások és a vízgazdálkodás alapját képezik, és amelyek erősítik és növelik a beruházásokat. Ezeket a szabályozási változtatásokat össze kell hangolni az európai zöld megállapodással. </w:t>
      </w:r>
    </w:p>
    <w:p w14:paraId="4F41A8EA" w14:textId="44889464"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Ez a reform számos, a víztípussal kapcsolatos kérdéssel foglalkozik, mint például a szennyvíz újrafelhasználására vonatkozó pénzügyi keret javítása, a gátak és tározóik biztonságára vonatkozó műszaki szabványok elfogadása, a tisztításra, a helyreállításra, a hatékonyságra, a megtakarításra és a víz újrafelhasználására vonatkozó nemzeti terv elfogadása (tisztítás, szennyvízelvezetés, hatékonyság, megtakarítások, újrahasználat és infrastruktúra-biztonság – DSEAR-terv). </w:t>
      </w:r>
    </w:p>
    <w:p w14:paraId="34A42ADB" w14:textId="45166EA4"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Az intézkedést 2023. június 30-ig be kell fejezni. </w:t>
      </w:r>
    </w:p>
    <w:p w14:paraId="431D7824"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(C5.I1) – A kezelésre, a megfelelő higiénés körülményekre, a hatékonyságra, a megtakarításokra, az újrahasználatra és az infrastruktúra biztonságára (DESEAR) vonatkozó intézkedések végrehajtása</w:t>
      </w:r>
    </w:p>
    <w:p w14:paraId="3F9DF6FF"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Ez a beruházás a következő intézkedéseket valósítja meg:</w:t>
      </w:r>
    </w:p>
    <w:p w14:paraId="73C11D16" w14:textId="46B1A063" w:rsidR="00D65CB4" w:rsidRPr="00BC4EE7" w:rsidRDefault="00572307">
      <w:pPr>
        <w:pStyle w:val="P68B1DB1-Normal4"/>
        <w:numPr>
          <w:ilvl w:val="0"/>
          <w:numId w:val="91"/>
        </w:numPr>
        <w:spacing w:before="120" w:after="160" w:line="240" w:lineRule="auto"/>
        <w:contextualSpacing/>
        <w:jc w:val="both"/>
        <w:rPr>
          <w:rFonts w:cs="Times New Roman"/>
          <w:noProof/>
        </w:rPr>
      </w:pPr>
      <w:r w:rsidRPr="00BC4EE7">
        <w:rPr>
          <w:rFonts w:cs="Times New Roman"/>
          <w:noProof/>
        </w:rPr>
        <w:t xml:space="preserve">A tisztítási, szennyvízelvezetési és víz-újrafelhasználási intézkedések végrehajtása. E cselekvési irányvonal célja a települési szennyvíz összegyűjtésének és kezelésének javítása. Egyes esetekben az intézkedéseknek újra fel kell használniuk a települési szennyvizet, ezáltal csökkentve a jelenlegi vízkivételi nyomást. Az új kezelési intézkedéseknek a teljes szennyvízkezelő rendszer nulla nettó energiafogyasztását kell elérniük. Az infrastruktúrákat figyelembe kell venni legalább a szennyvízkezeléshez további kapacitást biztosító új vagy korszerűsített szennyvízkezelési infrastruktúrák esetében. A kezelést újonnan kijelölt vagy legalább a települési szennyvíz kezeléséről szóló irányelvvel (91/271/EGK irányelv) összhangban lévő szintre kell fejleszteni. A meglévő infrastruktúra fejlesztése és felújítása az átlagos energiafogyasztás legalább 10%-os csökkenését eredményezi. Ezeket a megtakarításokat energiahatékonysági intézkedések (kapcsolt energiatermelés, energia- és hővisszanyerés, fotovoltaikus panelek, LED-világítás stb.) végrehajtásával kell elérni a projektek kidolgozása során, valamint energiahatékonysági záradékok és kritériumok bevezetésével a projekt- és építési felhívásokban. </w:t>
      </w:r>
    </w:p>
    <w:p w14:paraId="5832932A" w14:textId="77777777" w:rsidR="00D65CB4" w:rsidRPr="00BC4EE7" w:rsidRDefault="00572307">
      <w:pPr>
        <w:pStyle w:val="P68B1DB1-Normal4"/>
        <w:numPr>
          <w:ilvl w:val="0"/>
          <w:numId w:val="91"/>
        </w:numPr>
        <w:spacing w:before="120" w:after="160" w:line="240" w:lineRule="auto"/>
        <w:contextualSpacing/>
        <w:jc w:val="both"/>
        <w:rPr>
          <w:rFonts w:cs="Times New Roman"/>
          <w:noProof/>
        </w:rPr>
      </w:pPr>
      <w:r w:rsidRPr="00BC4EE7">
        <w:rPr>
          <w:rFonts w:cs="Times New Roman"/>
          <w:noProof/>
        </w:rPr>
        <w:t xml:space="preserve">A hatékonyság javítását és a vízveszteség csökkentését célzó intézkedések. Az intézkedések a közepes és kis települések ellátási hálózatai hatékonyságának javítását célzó támogatási rendszert hajtanak végre, amely lehetővé teszi a vízellátásért felelős önkormányzatok vagy közintézmények számára, hogy az elosztóhálózatok veszteségeinek csökkentése, valamint a víztároló létesítmények, valamint a közepes és kis települések létesítményeinek javítására és javítására irányuló intézkedések révén javítsák a vízellátást. Az ezen infrastruktúrák által kiszolgált lakosoknak meg kell felelniük a vízelosztó rendszer által kiszolgált lakosoknak. </w:t>
      </w:r>
    </w:p>
    <w:p w14:paraId="1C71DD76" w14:textId="77777777" w:rsidR="00D65CB4" w:rsidRPr="00BC4EE7" w:rsidRDefault="00572307">
      <w:pPr>
        <w:pStyle w:val="P68B1DB1-Normal4"/>
        <w:numPr>
          <w:ilvl w:val="0"/>
          <w:numId w:val="91"/>
        </w:numPr>
        <w:spacing w:after="0" w:line="240" w:lineRule="auto"/>
        <w:ind w:left="357" w:hanging="357"/>
        <w:jc w:val="both"/>
        <w:rPr>
          <w:rFonts w:cs="Times New Roman"/>
          <w:noProof/>
        </w:rPr>
      </w:pPr>
      <w:r w:rsidRPr="00BC4EE7">
        <w:rPr>
          <w:rFonts w:cs="Times New Roman"/>
          <w:noProof/>
        </w:rPr>
        <w:t>A gátak és tározók biztonságának javítását célzó beruházások. Ezek az intézkedések a megfelelő vészhelyzeti tervek és egyéb kiegészítő intézkedések végrehajtása révén biztosítják a meglévő állami tulajdonban lévő nagy gátak biztonságát. Ez nem vezethet új gátak építéséhez vagy meglévő gátak bővítéséhez.</w:t>
      </w:r>
    </w:p>
    <w:p w14:paraId="5D5FA6C3" w14:textId="48C32B9A" w:rsidR="00D65CB4" w:rsidRPr="00BC4EE7" w:rsidRDefault="00572307">
      <w:pPr>
        <w:pStyle w:val="P68B1DB1-Normal4"/>
        <w:numPr>
          <w:ilvl w:val="0"/>
          <w:numId w:val="91"/>
        </w:numPr>
        <w:spacing w:after="0" w:line="240" w:lineRule="auto"/>
        <w:ind w:left="357" w:hanging="357"/>
        <w:jc w:val="both"/>
        <w:rPr>
          <w:rFonts w:cs="Times New Roman"/>
          <w:noProof/>
        </w:rPr>
      </w:pPr>
      <w:r w:rsidRPr="00BC4EE7">
        <w:rPr>
          <w:rFonts w:cs="Times New Roman"/>
          <w:noProof/>
        </w:rPr>
        <w:t xml:space="preserve">A városi vízkörforgás energia- és vízhatékonyságának javítását célzó intézkedések. Ezeknek az intézkedéseknek elő kell mozdítaniuk a víztisztítással, szennyvízelvezetéssel és -újrafelhasználással, a vízhatékonyság javításával és a vízveszteség csökkentésével kapcsolatos projekteket a vízfelhasználók digitalizációja révén. Erre a valenciai L’Horta Sud területén kerül sor, amely 250000 lakosegyenértéknek megfelelő víztisztításhoz, szennyvízelvezetéshez és -újrafelhasználáshoz szükséges új infrastruktúrákat biztosít; valamint az alicantei Rincón de León tisztítóüzemében a vízgazdálkodás javítása 18500 hektáron.  </w:t>
      </w:r>
    </w:p>
    <w:p w14:paraId="0A4C1CF3" w14:textId="1401AC90"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beruházást 2026. június 30-ig be kell fejezni. </w:t>
      </w:r>
    </w:p>
    <w:p w14:paraId="277B6F8E"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(C5.I2) – A folyami ökoszisztémák nyomon követése és helyreállítása, víztartó rétegek helyreállítása és árvízkockázat-csökkentés</w:t>
      </w:r>
    </w:p>
    <w:p w14:paraId="289BB7B3"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 beruházás céljai a következők:</w:t>
      </w:r>
    </w:p>
    <w:p w14:paraId="4D23A9E6" w14:textId="77777777" w:rsidR="00D65CB4" w:rsidRPr="00BC4EE7" w:rsidRDefault="00572307">
      <w:pPr>
        <w:pStyle w:val="P68B1DB1-Normal4"/>
        <w:numPr>
          <w:ilvl w:val="0"/>
          <w:numId w:val="92"/>
        </w:numPr>
        <w:spacing w:before="120" w:after="160" w:line="240" w:lineRule="auto"/>
        <w:contextualSpacing/>
        <w:jc w:val="both"/>
        <w:rPr>
          <w:rFonts w:cs="Times New Roman"/>
          <w:noProof/>
        </w:rPr>
      </w:pPr>
      <w:r w:rsidRPr="00BC4EE7">
        <w:rPr>
          <w:rFonts w:cs="Times New Roman"/>
          <w:noProof/>
        </w:rPr>
        <w:t>A folyami ökoszisztémák és a természetes folyami rezervátumok nyomon követése és helyreállítása. Ez a sor számos konkrét intézkedést foglal magában, amelyek célja a folyók területének helyreállítása, a megfigyelési hálózatok bővítése és az azt fenyegető hidromorfológiai terhelések nyilvántartásának javítása.</w:t>
      </w:r>
    </w:p>
    <w:p w14:paraId="00815E0F" w14:textId="77777777" w:rsidR="00D65CB4" w:rsidRPr="00BC4EE7" w:rsidRDefault="00572307">
      <w:pPr>
        <w:pStyle w:val="P68B1DB1-Normal4"/>
        <w:numPr>
          <w:ilvl w:val="0"/>
          <w:numId w:val="92"/>
        </w:numPr>
        <w:spacing w:before="120" w:after="160" w:line="240" w:lineRule="auto"/>
        <w:contextualSpacing/>
        <w:jc w:val="both"/>
        <w:rPr>
          <w:rFonts w:cs="Times New Roman"/>
          <w:noProof/>
        </w:rPr>
      </w:pPr>
      <w:r w:rsidRPr="00BC4EE7">
        <w:rPr>
          <w:rFonts w:cs="Times New Roman"/>
          <w:noProof/>
        </w:rPr>
        <w:t>Az árvízkockázat csökkentésére irányuló intézkedések kidolgozása. Ez a cselekvési irányvonal magában foglalja a már létező árvízkockázat-kezelési terveket, beleértve a területrendezési és várostervezési megelőző intézkedéseket, az árvízveszélynek kitett területek sebezhetőségének csökkentésére és a különböző gazdasági ágazatok árvízkockázathoz való alkalmazkodásának előmozdítására irányuló technikai iránymutatások kidolgozását. Ezen túlmenően az önkormányzatoknak foglalkozniuk kell a folyók helyreállítására irányuló intézkedések városi környezetben történő végrehajtásával, fenntartható vízelvezető rendszereket kell bevezetniük, valamint javítaniuk kell a városi környezetek áteresztőképességét és a városi területek folyóinak környezeti értékeivel való kapcsolatukat a víztervezés technikai iránymutatásainak és célkitűzéseinek kidolgozásával.</w:t>
      </w:r>
    </w:p>
    <w:p w14:paraId="5F010068" w14:textId="77777777" w:rsidR="00D65CB4" w:rsidRPr="00BC4EE7" w:rsidRDefault="00572307">
      <w:pPr>
        <w:pStyle w:val="P68B1DB1-Normal4"/>
        <w:numPr>
          <w:ilvl w:val="0"/>
          <w:numId w:val="92"/>
        </w:numPr>
        <w:spacing w:before="120" w:after="120" w:line="240" w:lineRule="auto"/>
        <w:ind w:left="357" w:hanging="357"/>
        <w:jc w:val="both"/>
        <w:rPr>
          <w:rFonts w:cs="Times New Roman"/>
          <w:noProof/>
        </w:rPr>
      </w:pPr>
      <w:r w:rsidRPr="00BC4EE7">
        <w:rPr>
          <w:rFonts w:cs="Times New Roman"/>
          <w:noProof/>
        </w:rPr>
        <w:t xml:space="preserve">A felszín alatti vizek kitermelésének csökkentésére irányuló intézkedések elfogadása alternatív erőforrások felhasználásával (víztartó rétegek kinyerése). Ezeknek az intézkedéseknek csökkenteniük kell egyes felszín alatti víztestek – különösen a </w:t>
      </w:r>
      <w:r w:rsidRPr="00BC4EE7">
        <w:rPr>
          <w:rFonts w:cs="Times New Roman"/>
          <w:i/>
          <w:noProof/>
        </w:rPr>
        <w:t>Doñana</w:t>
      </w:r>
      <w:r w:rsidRPr="00BC4EE7">
        <w:rPr>
          <w:rFonts w:cs="Times New Roman"/>
          <w:noProof/>
        </w:rPr>
        <w:t xml:space="preserve"> térséget fenyegető víztestek és a Spanyolország délkeleti részén található egyes víztartó rétegek – kitermelését, és ki kell terjeszteniük a piezometrikus megfigyelőhálózatokat.</w:t>
      </w:r>
    </w:p>
    <w:p w14:paraId="5B3C678C" w14:textId="2E08BE8F" w:rsidR="00D65CB4" w:rsidRPr="00BC4EE7" w:rsidRDefault="00572307">
      <w:pPr>
        <w:pStyle w:val="P68B1DB1-Normal4"/>
        <w:numPr>
          <w:ilvl w:val="0"/>
          <w:numId w:val="92"/>
        </w:numPr>
        <w:spacing w:before="120" w:after="120" w:line="240" w:lineRule="auto"/>
        <w:ind w:left="357" w:hanging="357"/>
        <w:jc w:val="both"/>
        <w:rPr>
          <w:rFonts w:cs="Times New Roman"/>
          <w:noProof/>
        </w:rPr>
      </w:pPr>
      <w:r w:rsidRPr="00BC4EE7">
        <w:rPr>
          <w:rFonts w:cs="Times New Roman"/>
          <w:noProof/>
        </w:rPr>
        <w:t xml:space="preserve">Fotovillamosenergia-szolgáltatás sótalanító üzemek számára és azok elosztása.  </w:t>
      </w:r>
    </w:p>
    <w:p w14:paraId="7CC753ED" w14:textId="1F45D746"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Az intézkedés várhatóan nem sérti jelentősen az (EU) 2020/852 rendelet 17. cikke szerinti környezetvédelmi célkitűzéseket, figyelembe véve az intézkedés leírását és a helyreállítási és rezilienciaépítési tervben meghatározott enyhítő lépéseket a jelentős károkozás elkerülését célzó elvről szóló technikai iránymutatásnak (2021/C58/01) megfelelően. A sótalanított vizet különösen az elérhető legjobb technológia alkalmazásával kell előállítani, amely az ágazatban a legkisebb környezeti hatással jár. </w:t>
      </w:r>
    </w:p>
    <w:p w14:paraId="4B2AF1BD" w14:textId="247F5344"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Ezt a beruházást 2026. június 30-ig be kell fejezni. </w:t>
      </w:r>
    </w:p>
    <w:p w14:paraId="070A9A31" w14:textId="19BC6F22"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(C5.I3) – Digitális átállás a vízügyi ágazatban (digitális környezetvédelmi végrehajtás) – Stratégiai projekt a gazdasági helyreállításra és átalakulásra (PERTE) a vízhasználat digitalizálására.</w:t>
      </w:r>
    </w:p>
    <w:p w14:paraId="554E6A8B"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digitális átállás döntő szerepet játszhat a vízügyi ágazat hatékonyságának javításában. A vízgazdálkodás digitalizálásának javítása érdekében e beruházásnak három cselekvési irányvonalat kell tartalmaznia:  </w:t>
      </w:r>
    </w:p>
    <w:p w14:paraId="215E8BC9" w14:textId="627C0C7C" w:rsidR="00D65CB4" w:rsidRPr="00BC4EE7" w:rsidRDefault="00572307">
      <w:pPr>
        <w:pStyle w:val="P68B1DB1-ListParagraph6"/>
        <w:numPr>
          <w:ilvl w:val="0"/>
          <w:numId w:val="93"/>
        </w:numPr>
        <w:spacing w:before="120" w:line="240" w:lineRule="auto"/>
        <w:jc w:val="both"/>
        <w:rPr>
          <w:rFonts w:cs="Times New Roman"/>
          <w:noProof/>
        </w:rPr>
      </w:pPr>
      <w:r w:rsidRPr="00BC4EE7">
        <w:rPr>
          <w:rFonts w:cs="Times New Roman"/>
          <w:noProof/>
        </w:rPr>
        <w:t xml:space="preserve">A vízkészletek ismeretének és felhasználásának javítása – PERTE a vízhasználat digitalizálása érdekében. Ez a PERTE digitalizáció és innováció révén korszerűsíti a vízkörforgást. Ez hatékonyabb és fenntarthatóbb vízgazdálkodást eredményez azáltal, hogy a digitalizáció révén javítja a vízhasználattal kapcsolatos ismereteket. Ezt a városi vízkörforgás digitalizációját előmozdító programok támogatásával, versenypályázati felhívások révén, valamint öntözéssel, a digitális öntözési csomagon keresztül kell megvalósítani. </w:t>
      </w:r>
    </w:p>
    <w:p w14:paraId="18993E17" w14:textId="77777777" w:rsidR="00D65CB4" w:rsidRPr="00BC4EE7" w:rsidRDefault="00572307">
      <w:pPr>
        <w:pStyle w:val="P68B1DB1-ListParagraph6"/>
        <w:numPr>
          <w:ilvl w:val="0"/>
          <w:numId w:val="93"/>
        </w:numPr>
        <w:spacing w:after="0" w:line="240" w:lineRule="auto"/>
        <w:jc w:val="both"/>
        <w:rPr>
          <w:rFonts w:cs="Times New Roman"/>
          <w:noProof/>
        </w:rPr>
      </w:pPr>
      <w:r w:rsidRPr="00BC4EE7">
        <w:rPr>
          <w:rFonts w:cs="Times New Roman"/>
          <w:noProof/>
        </w:rPr>
        <w:t xml:space="preserve">A vízgyűjtők és part menti területek csapadékmennyiségének nyomon követésére irányuló intézkedések. Ez a cselekvési irányvonal elősegíti a meteorológiai radarok hálózatának megújítását és olyan új, rövidsávú berendezésekkel való kiegészítését, mint például a radarok valós idejű kalibrálására szolgáló automatikus meteorológiai állomások felújítása és javítása, valamint a nemzeti radarközpont tervezése, fejlesztése és megvalósítása. </w:t>
      </w:r>
    </w:p>
    <w:p w14:paraId="6F6BD6C5" w14:textId="77777777" w:rsidR="00D65CB4" w:rsidRPr="00BC4EE7" w:rsidRDefault="00572307">
      <w:pPr>
        <w:pStyle w:val="P68B1DB1-Normal4"/>
        <w:numPr>
          <w:ilvl w:val="0"/>
          <w:numId w:val="93"/>
        </w:numPr>
        <w:spacing w:after="0" w:line="240" w:lineRule="auto"/>
        <w:ind w:left="357" w:hanging="357"/>
        <w:jc w:val="both"/>
        <w:rPr>
          <w:rFonts w:cs="Times New Roman"/>
          <w:noProof/>
        </w:rPr>
      </w:pPr>
      <w:r w:rsidRPr="00BC4EE7">
        <w:rPr>
          <w:rFonts w:cs="Times New Roman"/>
          <w:noProof/>
        </w:rPr>
        <w:t xml:space="preserve">A meteorológiai megfigyelés, valamint az éghajlati kockázatok jobb nyomon követése és megelőzése, ennek magában kell foglalnia egy új integrált meteorológiai támogatási rendszert, a korai előrejelzést szolgáló meteorológiai megfigyelési eszközöket, beleértve az integrált globális megfigyelőrendszer megvalósítását, a kiszervezés létrehozását, a meteorológiai adatok automatikus minőségellenőrzését és címkézését mesterségesintelligencia-technikák alkalmazásával, a nemSQL-adatok mélységét a nagy mennyiségű adat feldolgozásán alapuló adatok hatékony végrehajtása érdekében. </w:t>
      </w:r>
    </w:p>
    <w:p w14:paraId="660533E1"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beruházásnak 26 eszköz vagy megújított infrastruktúra üzembe helyezésével kell foglalkoznia a vízkészletek ismeretének és felhasználásának javítása, valamint a csapadékmennyiség és más meteorológiai adatok nyomon követése érdekében az éghajlati kockázatok megelőzése érdekében.</w:t>
      </w:r>
    </w:p>
    <w:p w14:paraId="09230588" w14:textId="0A75C870"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beruházást 2026. június 30-ig be kell fejezni. </w:t>
      </w:r>
    </w:p>
    <w:p w14:paraId="5E7C27E2" w14:textId="77777777" w:rsidR="00D65CB4" w:rsidRPr="00BC4EE7" w:rsidRDefault="00572307">
      <w:pPr>
        <w:pStyle w:val="P68B1DB1-Normal5"/>
        <w:keepNext/>
        <w:spacing w:before="120" w:after="120" w:line="240" w:lineRule="auto"/>
        <w:jc w:val="both"/>
        <w:rPr>
          <w:rFonts w:cs="Times New Roman"/>
          <w:noProof/>
        </w:rPr>
      </w:pPr>
      <w:r w:rsidRPr="00BC4EE7">
        <w:rPr>
          <w:rFonts w:cs="Times New Roman"/>
          <w:noProof/>
        </w:rPr>
        <w:t>Beruházás (C5.I4.) – A partvonal éghajlatváltozáshoz való igazítása, valamint a tengervédelmi stratégiák és a tengeri területrendezési tervek végrehajtása</w:t>
      </w:r>
    </w:p>
    <w:p w14:paraId="7A7A0757" w14:textId="63972270" w:rsidR="00D65CB4" w:rsidRPr="00BC4EE7" w:rsidRDefault="00572307">
      <w:pPr>
        <w:pStyle w:val="P68B1DB1-Normal4"/>
        <w:keepNext/>
        <w:spacing w:before="120" w:after="120" w:line="240" w:lineRule="auto"/>
        <w:jc w:val="both"/>
        <w:rPr>
          <w:rFonts w:cs="Times New Roman"/>
          <w:noProof/>
        </w:rPr>
      </w:pPr>
      <w:r w:rsidRPr="00BC4EE7">
        <w:rPr>
          <w:rFonts w:cs="Times New Roman"/>
          <w:noProof/>
        </w:rPr>
        <w:t xml:space="preserve">Az éghajlatváltozás jelentős negatív hatásokkal jár, és várhatóan is lesz a spanyol partvidéken. E beruházásnak végre kell hajtania a tengerparti területeknek az éghajlatváltozás hatásaihoz való alkalmazkodására vonatkozó stratégiát azzal a céllal, hogy növelje a spanyol partvidék éghajlatváltozással és az éghajlatváltozás változékonyságával szembeni rezilienciáját, valamint hogy az éghajlatváltozáshoz való alkalmazkodást beépítse a spanyol partvidék tervezésébe és irányításába. Ez magában foglalja a hullámtörő, a mesterséges tengerpartok, az úszó felületek, az üledékgazdálkodás, a természetalapú megoldások, a tengerparti és dűnékrendszer helyreállítása, a partvédelmi infrastruktúra, a part menti erózió távmegfigyelésére szolgáló intelligens hálózatok vagy hasonló hatású intézkedések létrehozását. </w:t>
      </w:r>
    </w:p>
    <w:p w14:paraId="6E481BF5" w14:textId="3A00F0FC"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Ez a beruházás védi és helyreállítja a part menti ökoszisztémákat vagy a leromlott területeket. Ezt különböző intézkedésekkel kell elérni, mint például: i. a visszacsúszás által érintett létesítmények áthelyezése; az állami tulajdonban lévő szárazföldi tengeri terület körülhatárolása; az állami tulajdonban lévő, nem megfelelően vagy nem megfelelően elfoglalt tengerparti területek visszaszerzése; iv. kockázatértékelés és -kezelés vagy hasonló intézkedések; v. a leromlott part menti területek és ökoszisztémák környezeti helyreállítása, a partvidék megőrzése és kezelése; és/vagy vi. hasonló hatású intézkedések. </w:t>
      </w:r>
    </w:p>
    <w:p w14:paraId="5490957C"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Az intézkedésnek emellett javítania kell a köztulajdonban lévő szárazföldi tengeri területek rendezett és helyes hozzáférhetőségét azáltal, hogy helyreállítja a földterületeket a közterülethez való hozzáférés biztosítása érdekében, valamint a hozzáférés tervezését, kezelését és helyreállítását, illetve a hasonló hatású intézkedéseket. A beruházásnak a stratégiai tengertervezési politikák végrehajtására kell irányulnia. Ezt a tengeri területrendezés, a tengerstratégiák, az óceánokra és az éghajlatra vonatkozó tudományos tanácsadás, valamint egy georeferencia-alapú webes alkalmazás kifejlesztése révén kell megvalósítani a tengeri felhasználók számára. </w:t>
      </w:r>
    </w:p>
    <w:p w14:paraId="1EB9D0C2" w14:textId="412FDB72"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Ezt a beruházást 2025. december 31-ig be kell fejezni. </w:t>
      </w:r>
    </w:p>
    <w:p w14:paraId="4AE0E1B1" w14:textId="77777777" w:rsidR="00D65CB4" w:rsidRPr="00BC4EE7" w:rsidRDefault="00572307">
      <w:pPr>
        <w:spacing w:before="120" w:after="120" w:line="240" w:lineRule="auto"/>
        <w:ind w:left="720"/>
        <w:jc w:val="both"/>
        <w:rPr>
          <w:rFonts w:ascii="Times New Roman" w:hAnsi="Times New Roman" w:cs="Times New Roman"/>
          <w:b/>
          <w:noProof/>
          <w:sz w:val="24"/>
          <w:u w:val="single"/>
        </w:rPr>
      </w:pPr>
      <w:r w:rsidRPr="00BC4EE7">
        <w:rPr>
          <w:rFonts w:ascii="Times New Roman" w:hAnsi="Times New Roman" w:cs="Times New Roman"/>
          <w:b/>
          <w:noProof/>
          <w:sz w:val="24"/>
          <w:u w:val="single"/>
        </w:rPr>
        <w:t xml:space="preserve">E.2.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Vissza nem térítendő pénzügyi támogatás – a végrehajtáshoz és a nyomon követéshez kapcsolódó mérföldkövek, célok, mutatók és ütemterv</w:t>
      </w:r>
    </w:p>
    <w:p w14:paraId="2F87F039" w14:textId="77777777" w:rsidR="00D65CB4" w:rsidRPr="00BC4EE7" w:rsidRDefault="00572307">
      <w:pPr>
        <w:pStyle w:val="P68B1DB1-Normal4"/>
        <w:spacing w:before="120" w:after="120" w:line="240" w:lineRule="auto"/>
        <w:jc w:val="both"/>
        <w:rPr>
          <w:rFonts w:cs="Times New Roman"/>
          <w:noProof/>
        </w:rPr>
      </w:pPr>
      <w:r w:rsidRPr="00BC4EE7">
        <w:rPr>
          <w:rFonts w:cs="Times New Roman"/>
          <w:i/>
          <w:noProof/>
        </w:rPr>
        <w:t>Táblázat alább.</w:t>
      </w:r>
      <w:r w:rsidRPr="00BC4EE7">
        <w:rPr>
          <w:rFonts w:cs="Times New Roman"/>
          <w:noProof/>
        </w:rPr>
        <w:t xml:space="preserve"> </w:t>
      </w:r>
      <w:r w:rsidRPr="00BC4EE7">
        <w:rPr>
          <w:rFonts w:cs="Times New Roman"/>
          <w:i/>
          <w:noProof/>
        </w:rPr>
        <w:t>Az összes mutató esetében az alapforgatókönyv időpontja 2020. február 1., kivéve, ha az intézkedés leírása ettől eltérően rendelkezik. A táblázatban szereplő összegek nem tartalmazzák a héát.</w:t>
      </w:r>
    </w:p>
    <w:p w14:paraId="680A4E5D" w14:textId="77777777" w:rsidR="00D65CB4" w:rsidRPr="00BC4EE7" w:rsidRDefault="00D65CB4">
      <w:pPr>
        <w:spacing w:before="120" w:after="120" w:line="240" w:lineRule="auto"/>
        <w:ind w:left="709"/>
        <w:jc w:val="both"/>
        <w:rPr>
          <w:rFonts w:ascii="Times New Roman" w:hAnsi="Times New Roman" w:cs="Times New Roman"/>
          <w:noProof/>
          <w:sz w:val="24"/>
        </w:rPr>
        <w:sectPr w:rsidR="00D65CB4" w:rsidRPr="00BC4EE7" w:rsidSect="00B511EF">
          <w:headerReference w:type="even" r:id="rId123"/>
          <w:headerReference w:type="default" r:id="rId124"/>
          <w:footerReference w:type="even" r:id="rId125"/>
          <w:footerReference w:type="default" r:id="rId126"/>
          <w:headerReference w:type="first" r:id="rId127"/>
          <w:footerReference w:type="first" r:id="rId128"/>
          <w:pgSz w:w="11907" w:h="16839"/>
          <w:pgMar w:top="1134" w:right="1134" w:bottom="1134" w:left="1134" w:header="567" w:footer="567" w:gutter="0"/>
          <w:cols w:space="720"/>
          <w:docGrid w:linePitch="360"/>
        </w:sectPr>
      </w:pPr>
    </w:p>
    <w:tbl>
      <w:tblPr>
        <w:tblW w:w="15452"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22"/>
        <w:gridCol w:w="1022"/>
        <w:gridCol w:w="992"/>
        <w:gridCol w:w="2126"/>
        <w:gridCol w:w="1145"/>
        <w:gridCol w:w="949"/>
        <w:gridCol w:w="949"/>
        <w:gridCol w:w="679"/>
        <w:gridCol w:w="409"/>
        <w:gridCol w:w="544"/>
        <w:gridCol w:w="5815"/>
      </w:tblGrid>
      <w:tr w:rsidR="00D65CB4" w:rsidRPr="00BC4EE7" w14:paraId="701187C7" w14:textId="77777777" w:rsidTr="00481CF8">
        <w:trPr>
          <w:trHeight w:val="309"/>
          <w:tblHeader/>
        </w:trPr>
        <w:tc>
          <w:tcPr>
            <w:tcW w:w="822" w:type="dxa"/>
            <w:tcBorders>
              <w:bottom w:val="nil"/>
            </w:tcBorders>
            <w:shd w:val="clear" w:color="auto" w:fill="C6D9F1" w:themeFill="text2" w:themeFillTint="33"/>
            <w:noWrap/>
            <w:vAlign w:val="center"/>
          </w:tcPr>
          <w:p w14:paraId="4EEC6ACA"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Szám</w:t>
            </w:r>
          </w:p>
        </w:tc>
        <w:tc>
          <w:tcPr>
            <w:tcW w:w="1022" w:type="dxa"/>
            <w:tcBorders>
              <w:bottom w:val="nil"/>
            </w:tcBorders>
            <w:shd w:val="clear" w:color="auto" w:fill="C6D9F1" w:themeFill="text2" w:themeFillTint="33"/>
            <w:noWrap/>
            <w:vAlign w:val="center"/>
          </w:tcPr>
          <w:p w14:paraId="3A6302B5"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Intézkedés</w:t>
            </w:r>
          </w:p>
        </w:tc>
        <w:tc>
          <w:tcPr>
            <w:tcW w:w="992" w:type="dxa"/>
            <w:tcBorders>
              <w:bottom w:val="nil"/>
            </w:tcBorders>
            <w:shd w:val="clear" w:color="auto" w:fill="C6D9F1" w:themeFill="text2" w:themeFillTint="33"/>
            <w:noWrap/>
            <w:vAlign w:val="center"/>
          </w:tcPr>
          <w:p w14:paraId="69514B1F" w14:textId="77777777" w:rsidR="00D65CB4" w:rsidRPr="00BC4EE7" w:rsidRDefault="00572307">
            <w:pPr>
              <w:spacing w:after="0" w:line="240" w:lineRule="auto"/>
              <w:jc w:val="center"/>
              <w:rPr>
                <w:rFonts w:ascii="Times New Roman" w:hAnsi="Times New Roman" w:cs="Times New Roman"/>
                <w:b/>
                <w:noProof/>
                <w:sz w:val="18"/>
              </w:rPr>
            </w:pPr>
            <w:r w:rsidRPr="00BC4EE7">
              <w:rPr>
                <w:rFonts w:ascii="Times New Roman" w:hAnsi="Times New Roman" w:cs="Times New Roman"/>
                <w:b/>
                <w:noProof/>
                <w:sz w:val="18"/>
              </w:rPr>
              <w:t>Mérföldkő</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b/>
                <w:noProof/>
                <w:sz w:val="18"/>
              </w:rPr>
              <w:t xml:space="preserve"> /Cél</w:t>
            </w:r>
          </w:p>
        </w:tc>
        <w:tc>
          <w:tcPr>
            <w:tcW w:w="2126" w:type="dxa"/>
            <w:tcBorders>
              <w:bottom w:val="nil"/>
            </w:tcBorders>
            <w:shd w:val="clear" w:color="auto" w:fill="C6D9F1" w:themeFill="text2" w:themeFillTint="33"/>
            <w:noWrap/>
            <w:vAlign w:val="center"/>
          </w:tcPr>
          <w:p w14:paraId="178F8722"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Név</w:t>
            </w:r>
          </w:p>
        </w:tc>
        <w:tc>
          <w:tcPr>
            <w:tcW w:w="1145" w:type="dxa"/>
            <w:tcBorders>
              <w:bottom w:val="nil"/>
            </w:tcBorders>
            <w:shd w:val="clear" w:color="auto" w:fill="C6D9F1" w:themeFill="text2" w:themeFillTint="33"/>
            <w:noWrap/>
            <w:vAlign w:val="center"/>
          </w:tcPr>
          <w:p w14:paraId="3A30B3BB"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mérföldkövek minőségi mutatója</w:t>
            </w:r>
          </w:p>
        </w:tc>
        <w:tc>
          <w:tcPr>
            <w:tcW w:w="2577" w:type="dxa"/>
            <w:gridSpan w:val="3"/>
            <w:shd w:val="clear" w:color="auto" w:fill="C6D9F1" w:themeFill="text2" w:themeFillTint="33"/>
            <w:noWrap/>
            <w:vAlign w:val="center"/>
          </w:tcPr>
          <w:p w14:paraId="0A60ADD5"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célérték mennyiségi mutatója</w:t>
            </w:r>
          </w:p>
        </w:tc>
        <w:tc>
          <w:tcPr>
            <w:tcW w:w="953" w:type="dxa"/>
            <w:gridSpan w:val="2"/>
            <w:shd w:val="clear" w:color="auto" w:fill="C6D9F1" w:themeFill="text2" w:themeFillTint="33"/>
            <w:noWrap/>
            <w:vAlign w:val="center"/>
          </w:tcPr>
          <w:p w14:paraId="32A3605C"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Idő</w:t>
            </w:r>
          </w:p>
        </w:tc>
        <w:tc>
          <w:tcPr>
            <w:tcW w:w="5815" w:type="dxa"/>
            <w:tcBorders>
              <w:bottom w:val="nil"/>
            </w:tcBorders>
            <w:shd w:val="clear" w:color="auto" w:fill="C6D9F1" w:themeFill="text2" w:themeFillTint="33"/>
            <w:noWrap/>
            <w:vAlign w:val="center"/>
          </w:tcPr>
          <w:p w14:paraId="7C1CC161"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Az egyes mérföldkövek és célértékek leírása</w:t>
            </w:r>
          </w:p>
        </w:tc>
      </w:tr>
      <w:tr w:rsidR="00D65CB4" w:rsidRPr="00BC4EE7" w14:paraId="6F9ACA8B" w14:textId="77777777" w:rsidTr="00481CF8">
        <w:trPr>
          <w:trHeight w:val="309"/>
          <w:tblHeader/>
        </w:trPr>
        <w:tc>
          <w:tcPr>
            <w:tcW w:w="822" w:type="dxa"/>
            <w:tcBorders>
              <w:top w:val="nil"/>
            </w:tcBorders>
            <w:shd w:val="clear" w:color="auto" w:fill="C6D9F1" w:themeFill="text2" w:themeFillTint="33"/>
            <w:noWrap/>
          </w:tcPr>
          <w:p w14:paraId="19219836" w14:textId="77777777" w:rsidR="00D65CB4" w:rsidRPr="00BC4EE7" w:rsidRDefault="00D65CB4">
            <w:pPr>
              <w:spacing w:after="0" w:line="240" w:lineRule="auto"/>
              <w:jc w:val="center"/>
              <w:rPr>
                <w:rFonts w:ascii="Times New Roman" w:hAnsi="Times New Roman" w:cs="Times New Roman"/>
                <w:b/>
                <w:noProof/>
                <w:sz w:val="18"/>
              </w:rPr>
            </w:pPr>
          </w:p>
        </w:tc>
        <w:tc>
          <w:tcPr>
            <w:tcW w:w="1022" w:type="dxa"/>
            <w:tcBorders>
              <w:top w:val="nil"/>
            </w:tcBorders>
            <w:shd w:val="clear" w:color="auto" w:fill="C6D9F1" w:themeFill="text2" w:themeFillTint="33"/>
            <w:noWrap/>
          </w:tcPr>
          <w:p w14:paraId="296FEF7D" w14:textId="77777777" w:rsidR="00D65CB4" w:rsidRPr="00BC4EE7" w:rsidRDefault="00D65CB4">
            <w:pPr>
              <w:spacing w:after="0" w:line="240" w:lineRule="auto"/>
              <w:jc w:val="center"/>
              <w:rPr>
                <w:rFonts w:ascii="Times New Roman" w:hAnsi="Times New Roman" w:cs="Times New Roman"/>
                <w:b/>
                <w:noProof/>
                <w:sz w:val="18"/>
              </w:rPr>
            </w:pPr>
          </w:p>
        </w:tc>
        <w:tc>
          <w:tcPr>
            <w:tcW w:w="992" w:type="dxa"/>
            <w:tcBorders>
              <w:top w:val="nil"/>
            </w:tcBorders>
            <w:shd w:val="clear" w:color="auto" w:fill="C6D9F1" w:themeFill="text2" w:themeFillTint="33"/>
            <w:noWrap/>
          </w:tcPr>
          <w:p w14:paraId="7194DBDC" w14:textId="77777777" w:rsidR="00D65CB4" w:rsidRPr="00BC4EE7" w:rsidRDefault="00D65CB4">
            <w:pPr>
              <w:spacing w:after="0" w:line="240" w:lineRule="auto"/>
              <w:jc w:val="center"/>
              <w:rPr>
                <w:rFonts w:ascii="Times New Roman" w:hAnsi="Times New Roman" w:cs="Times New Roman"/>
                <w:b/>
                <w:noProof/>
                <w:sz w:val="18"/>
              </w:rPr>
            </w:pPr>
          </w:p>
        </w:tc>
        <w:tc>
          <w:tcPr>
            <w:tcW w:w="2126" w:type="dxa"/>
            <w:tcBorders>
              <w:top w:val="nil"/>
            </w:tcBorders>
            <w:shd w:val="clear" w:color="auto" w:fill="C6D9F1" w:themeFill="text2" w:themeFillTint="33"/>
            <w:noWrap/>
          </w:tcPr>
          <w:p w14:paraId="769D0D3C" w14:textId="77777777" w:rsidR="00D65CB4" w:rsidRPr="00BC4EE7" w:rsidRDefault="00D65CB4">
            <w:pPr>
              <w:spacing w:after="0" w:line="240" w:lineRule="auto"/>
              <w:rPr>
                <w:rFonts w:ascii="Times New Roman" w:hAnsi="Times New Roman" w:cs="Times New Roman"/>
                <w:b/>
                <w:noProof/>
                <w:sz w:val="18"/>
              </w:rPr>
            </w:pPr>
          </w:p>
        </w:tc>
        <w:tc>
          <w:tcPr>
            <w:tcW w:w="1145" w:type="dxa"/>
            <w:tcBorders>
              <w:top w:val="nil"/>
            </w:tcBorders>
            <w:shd w:val="clear" w:color="auto" w:fill="C6D9F1" w:themeFill="text2" w:themeFillTint="33"/>
            <w:noWrap/>
          </w:tcPr>
          <w:p w14:paraId="54CD245A" w14:textId="77777777" w:rsidR="00D65CB4" w:rsidRPr="00BC4EE7" w:rsidRDefault="00D65CB4">
            <w:pPr>
              <w:spacing w:after="0" w:line="240" w:lineRule="auto"/>
              <w:jc w:val="center"/>
              <w:rPr>
                <w:rFonts w:ascii="Times New Roman" w:hAnsi="Times New Roman" w:cs="Times New Roman"/>
                <w:b/>
                <w:noProof/>
                <w:sz w:val="18"/>
              </w:rPr>
            </w:pPr>
          </w:p>
        </w:tc>
        <w:tc>
          <w:tcPr>
            <w:tcW w:w="949" w:type="dxa"/>
            <w:shd w:val="clear" w:color="auto" w:fill="C6D9F1" w:themeFill="text2" w:themeFillTint="33"/>
            <w:noWrap/>
            <w:vAlign w:val="center"/>
          </w:tcPr>
          <w:p w14:paraId="7B173101"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Egység</w:t>
            </w:r>
          </w:p>
        </w:tc>
        <w:tc>
          <w:tcPr>
            <w:tcW w:w="949" w:type="dxa"/>
            <w:shd w:val="clear" w:color="auto" w:fill="C6D9F1" w:themeFill="text2" w:themeFillTint="33"/>
            <w:noWrap/>
            <w:vAlign w:val="center"/>
          </w:tcPr>
          <w:p w14:paraId="005A6B31" w14:textId="5145BA51" w:rsidR="00D65CB4" w:rsidRPr="00BC4EE7" w:rsidRDefault="00572307">
            <w:pPr>
              <w:pStyle w:val="P68B1DB1-Normal8"/>
              <w:spacing w:after="0" w:line="240" w:lineRule="auto"/>
              <w:jc w:val="center"/>
              <w:rPr>
                <w:rFonts w:cs="Times New Roman"/>
                <w:noProof/>
              </w:rPr>
            </w:pPr>
            <w:r w:rsidRPr="00BC4EE7">
              <w:rPr>
                <w:rFonts w:cs="Times New Roman"/>
                <w:noProof/>
              </w:rPr>
              <w:t>Kiindulási</w:t>
            </w:r>
          </w:p>
        </w:tc>
        <w:tc>
          <w:tcPr>
            <w:tcW w:w="679" w:type="dxa"/>
            <w:shd w:val="clear" w:color="auto" w:fill="C6D9F1" w:themeFill="text2" w:themeFillTint="33"/>
            <w:noWrap/>
            <w:vAlign w:val="center"/>
          </w:tcPr>
          <w:p w14:paraId="04C27F3C"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Cél</w:t>
            </w:r>
          </w:p>
        </w:tc>
        <w:tc>
          <w:tcPr>
            <w:tcW w:w="409" w:type="dxa"/>
            <w:shd w:val="clear" w:color="auto" w:fill="C6D9F1" w:themeFill="text2" w:themeFillTint="33"/>
            <w:noWrap/>
            <w:vAlign w:val="center"/>
          </w:tcPr>
          <w:p w14:paraId="6D5F76BE"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Q</w:t>
            </w:r>
          </w:p>
        </w:tc>
        <w:tc>
          <w:tcPr>
            <w:tcW w:w="544" w:type="dxa"/>
            <w:shd w:val="clear" w:color="auto" w:fill="C6D9F1" w:themeFill="text2" w:themeFillTint="33"/>
            <w:noWrap/>
            <w:vAlign w:val="center"/>
          </w:tcPr>
          <w:p w14:paraId="72C88E70"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Éve</w:t>
            </w:r>
          </w:p>
        </w:tc>
        <w:tc>
          <w:tcPr>
            <w:tcW w:w="5815" w:type="dxa"/>
            <w:tcBorders>
              <w:top w:val="nil"/>
            </w:tcBorders>
            <w:shd w:val="clear" w:color="auto" w:fill="C6D9F1" w:themeFill="text2" w:themeFillTint="33"/>
            <w:noWrap/>
          </w:tcPr>
          <w:p w14:paraId="1231BE67" w14:textId="77777777" w:rsidR="00D65CB4" w:rsidRPr="00BC4EE7" w:rsidRDefault="00D65CB4">
            <w:pPr>
              <w:spacing w:after="0" w:line="240" w:lineRule="auto"/>
              <w:rPr>
                <w:rFonts w:ascii="Times New Roman" w:hAnsi="Times New Roman" w:cs="Times New Roman"/>
                <w:b/>
                <w:noProof/>
                <w:sz w:val="18"/>
              </w:rPr>
            </w:pPr>
          </w:p>
        </w:tc>
      </w:tr>
      <w:tr w:rsidR="00D65CB4" w:rsidRPr="00BC4EE7" w14:paraId="2F037FBF" w14:textId="77777777" w:rsidTr="00481CF8">
        <w:trPr>
          <w:trHeight w:val="309"/>
        </w:trPr>
        <w:tc>
          <w:tcPr>
            <w:tcW w:w="822" w:type="dxa"/>
            <w:shd w:val="clear" w:color="auto" w:fill="C6EFCE"/>
            <w:noWrap/>
          </w:tcPr>
          <w:p w14:paraId="72947656"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74</w:t>
            </w:r>
          </w:p>
        </w:tc>
        <w:tc>
          <w:tcPr>
            <w:tcW w:w="1022" w:type="dxa"/>
            <w:shd w:val="clear" w:color="auto" w:fill="C6EFCE"/>
            <w:noWrap/>
          </w:tcPr>
          <w:p w14:paraId="31550F39"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C5.R1</w:t>
            </w:r>
          </w:p>
        </w:tc>
        <w:tc>
          <w:tcPr>
            <w:tcW w:w="992" w:type="dxa"/>
            <w:shd w:val="clear" w:color="auto" w:fill="C6EFCE"/>
            <w:noWrap/>
          </w:tcPr>
          <w:p w14:paraId="407CADBF"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M</w:t>
            </w:r>
          </w:p>
        </w:tc>
        <w:tc>
          <w:tcPr>
            <w:tcW w:w="2126" w:type="dxa"/>
            <w:shd w:val="clear" w:color="auto" w:fill="C6EFCE"/>
            <w:noWrap/>
          </w:tcPr>
          <w:p w14:paraId="07FACBF3" w14:textId="77777777" w:rsidR="00D65CB4" w:rsidRPr="00BC4EE7" w:rsidRDefault="00572307">
            <w:pPr>
              <w:pStyle w:val="P68B1DB1-Normal12"/>
              <w:spacing w:after="0" w:line="240" w:lineRule="auto"/>
              <w:rPr>
                <w:rFonts w:eastAsia="MS Mincho" w:cs="Times New Roman"/>
                <w:noProof/>
              </w:rPr>
            </w:pPr>
            <w:r w:rsidRPr="00BC4EE7">
              <w:rPr>
                <w:rFonts w:cs="Times New Roman"/>
                <w:noProof/>
              </w:rPr>
              <w:t xml:space="preserve">A hidrológiai tervezésről szóló rendelet módosításainak hatálybalépése </w:t>
            </w:r>
          </w:p>
        </w:tc>
        <w:tc>
          <w:tcPr>
            <w:tcW w:w="1145" w:type="dxa"/>
            <w:shd w:val="clear" w:color="auto" w:fill="C6EFCE"/>
            <w:noWrap/>
          </w:tcPr>
          <w:p w14:paraId="7F6415FC"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A hatályba lépésről szóló királyi rendelet rendelkezése</w:t>
            </w:r>
          </w:p>
        </w:tc>
        <w:tc>
          <w:tcPr>
            <w:tcW w:w="949" w:type="dxa"/>
            <w:shd w:val="clear" w:color="auto" w:fill="C6EFCE"/>
            <w:noWrap/>
          </w:tcPr>
          <w:p w14:paraId="4A2859AB"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949" w:type="dxa"/>
            <w:shd w:val="clear" w:color="auto" w:fill="C6EFCE"/>
            <w:noWrap/>
          </w:tcPr>
          <w:p w14:paraId="1ECA394A"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679" w:type="dxa"/>
            <w:shd w:val="clear" w:color="auto" w:fill="C6EFCE"/>
            <w:noWrap/>
          </w:tcPr>
          <w:p w14:paraId="5F21F270"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409" w:type="dxa"/>
            <w:shd w:val="clear" w:color="auto" w:fill="C6EFCE"/>
            <w:noWrap/>
          </w:tcPr>
          <w:p w14:paraId="51B8BD07"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Q4</w:t>
            </w:r>
          </w:p>
        </w:tc>
        <w:tc>
          <w:tcPr>
            <w:tcW w:w="544" w:type="dxa"/>
            <w:shd w:val="clear" w:color="auto" w:fill="C6EFCE"/>
            <w:noWrap/>
          </w:tcPr>
          <w:p w14:paraId="55BFB259"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2021</w:t>
            </w:r>
          </w:p>
        </w:tc>
        <w:tc>
          <w:tcPr>
            <w:tcW w:w="5815" w:type="dxa"/>
            <w:shd w:val="clear" w:color="auto" w:fill="C6EFCE"/>
            <w:noWrap/>
          </w:tcPr>
          <w:p w14:paraId="3A6C8438" w14:textId="77777777" w:rsidR="00D65CB4" w:rsidRPr="00BC4EE7" w:rsidRDefault="00572307">
            <w:pPr>
              <w:pStyle w:val="P68B1DB1-Normal12"/>
              <w:spacing w:after="0" w:line="240" w:lineRule="auto"/>
              <w:rPr>
                <w:rFonts w:eastAsia="MS Mincho" w:cs="Times New Roman"/>
                <w:noProof/>
              </w:rPr>
            </w:pPr>
            <w:r w:rsidRPr="00BC4EE7">
              <w:rPr>
                <w:rFonts w:cs="Times New Roman"/>
                <w:noProof/>
              </w:rPr>
              <w:t xml:space="preserve">A hidrológiai tervezésről szóló rendeletet módosító királyi rendelet (Hivatalos Lap). A módosítások az aszályokkal és a vízhiánnyal kapcsolatos szempontokra, a víz-keretirányelv végrehajtási követelményeire és a vízügyi irányelvek végrehajtására vonatkozó közös stratégia keretében a vonatkozó előírásokra vonatkoznak. </w:t>
            </w:r>
          </w:p>
        </w:tc>
      </w:tr>
      <w:tr w:rsidR="00D65CB4" w:rsidRPr="00BC4EE7" w14:paraId="3692C050" w14:textId="77777777" w:rsidTr="00481CF8">
        <w:trPr>
          <w:trHeight w:val="309"/>
        </w:trPr>
        <w:tc>
          <w:tcPr>
            <w:tcW w:w="822" w:type="dxa"/>
            <w:shd w:val="clear" w:color="auto" w:fill="C6EFCE"/>
            <w:noWrap/>
          </w:tcPr>
          <w:p w14:paraId="58A771A2"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75</w:t>
            </w:r>
          </w:p>
        </w:tc>
        <w:tc>
          <w:tcPr>
            <w:tcW w:w="1022" w:type="dxa"/>
            <w:shd w:val="clear" w:color="auto" w:fill="C6EFCE"/>
            <w:noWrap/>
          </w:tcPr>
          <w:p w14:paraId="657A3EC8"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C5.R1</w:t>
            </w:r>
          </w:p>
        </w:tc>
        <w:tc>
          <w:tcPr>
            <w:tcW w:w="992" w:type="dxa"/>
            <w:shd w:val="clear" w:color="auto" w:fill="C6EFCE"/>
            <w:noWrap/>
          </w:tcPr>
          <w:p w14:paraId="4C62E683"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M</w:t>
            </w:r>
          </w:p>
        </w:tc>
        <w:tc>
          <w:tcPr>
            <w:tcW w:w="2126" w:type="dxa"/>
            <w:shd w:val="clear" w:color="auto" w:fill="C6EFCE"/>
            <w:noWrap/>
          </w:tcPr>
          <w:p w14:paraId="7608EE0D" w14:textId="77777777" w:rsidR="00D65CB4" w:rsidRPr="00BC4EE7" w:rsidRDefault="00572307">
            <w:pPr>
              <w:pStyle w:val="P68B1DB1-Normal12"/>
              <w:spacing w:after="0" w:line="240" w:lineRule="auto"/>
              <w:rPr>
                <w:rFonts w:cs="Times New Roman"/>
                <w:noProof/>
              </w:rPr>
            </w:pPr>
            <w:r w:rsidRPr="00BC4EE7">
              <w:rPr>
                <w:rFonts w:cs="Times New Roman"/>
                <w:noProof/>
              </w:rPr>
              <w:t>A vízügyi törvény módosításának és az 1620/2007. sz. királyi rendeletet felváltó új rendeletnek a hatálybalépése</w:t>
            </w:r>
          </w:p>
        </w:tc>
        <w:tc>
          <w:tcPr>
            <w:tcW w:w="1145" w:type="dxa"/>
            <w:shd w:val="clear" w:color="auto" w:fill="C6EFCE"/>
            <w:noWrap/>
          </w:tcPr>
          <w:p w14:paraId="6AF562B1"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 xml:space="preserve">A vízügyi törvény hatálybalépésekor alkalmazandó rendelkezés </w:t>
            </w:r>
          </w:p>
        </w:tc>
        <w:tc>
          <w:tcPr>
            <w:tcW w:w="949" w:type="dxa"/>
            <w:shd w:val="clear" w:color="auto" w:fill="C6EFCE"/>
            <w:noWrap/>
          </w:tcPr>
          <w:p w14:paraId="7146A6A2"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 xml:space="preserve"> </w:t>
            </w:r>
          </w:p>
        </w:tc>
        <w:tc>
          <w:tcPr>
            <w:tcW w:w="949" w:type="dxa"/>
            <w:shd w:val="clear" w:color="auto" w:fill="C6EFCE"/>
            <w:noWrap/>
          </w:tcPr>
          <w:p w14:paraId="3E226854"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 xml:space="preserve"> </w:t>
            </w:r>
          </w:p>
        </w:tc>
        <w:tc>
          <w:tcPr>
            <w:tcW w:w="679" w:type="dxa"/>
            <w:shd w:val="clear" w:color="auto" w:fill="C6EFCE"/>
            <w:noWrap/>
          </w:tcPr>
          <w:p w14:paraId="61965C7B"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 xml:space="preserve"> </w:t>
            </w:r>
          </w:p>
        </w:tc>
        <w:tc>
          <w:tcPr>
            <w:tcW w:w="409" w:type="dxa"/>
            <w:shd w:val="clear" w:color="auto" w:fill="C6EFCE"/>
            <w:noWrap/>
          </w:tcPr>
          <w:p w14:paraId="361C868B"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544" w:type="dxa"/>
            <w:shd w:val="clear" w:color="auto" w:fill="C6EFCE"/>
            <w:noWrap/>
          </w:tcPr>
          <w:p w14:paraId="4E8F09C0"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2023</w:t>
            </w:r>
          </w:p>
        </w:tc>
        <w:tc>
          <w:tcPr>
            <w:tcW w:w="5815" w:type="dxa"/>
            <w:shd w:val="clear" w:color="auto" w:fill="C6EFCE"/>
            <w:noWrap/>
          </w:tcPr>
          <w:p w14:paraId="3B352102" w14:textId="77777777" w:rsidR="00D65CB4" w:rsidRPr="00BC4EE7" w:rsidRDefault="00572307">
            <w:pPr>
              <w:pStyle w:val="P68B1DB1-Normal12"/>
              <w:spacing w:after="0" w:line="240" w:lineRule="auto"/>
              <w:rPr>
                <w:rFonts w:cs="Times New Roman"/>
                <w:noProof/>
              </w:rPr>
            </w:pPr>
            <w:r w:rsidRPr="00BC4EE7">
              <w:rPr>
                <w:rFonts w:cs="Times New Roman"/>
                <w:noProof/>
              </w:rPr>
              <w:t xml:space="preserve">A víztörvény módosítása a szennyvízkibocsátásra kivetett adók és a vízinfrastruktúra-költségek megtérülési rendszerének felülvizsgálata érdekében, a szennyező fizet és a költségmegtérülés elvével összhangban. Az 1620/2007. sz. királyi rendeletet felváltó új rendelet a szennyező fizet és a költségmegtérülés elvével összhangban módosítja a szennyvíz újrafelhasználására vonatkozó szabályozási és pénzügyi keretet, javítja a víztestek – köztük a felszín alatti vizek – nyomon követését és védelmét, valamint kezeli az aszályok és a szűkösség szempontjait. </w:t>
            </w:r>
          </w:p>
        </w:tc>
      </w:tr>
      <w:tr w:rsidR="00D65CB4" w:rsidRPr="00BC4EE7" w14:paraId="149D7459" w14:textId="77777777" w:rsidTr="00481CF8">
        <w:trPr>
          <w:trHeight w:val="309"/>
        </w:trPr>
        <w:tc>
          <w:tcPr>
            <w:tcW w:w="822" w:type="dxa"/>
            <w:shd w:val="clear" w:color="auto" w:fill="C6EFCE"/>
            <w:noWrap/>
          </w:tcPr>
          <w:p w14:paraId="13DC3A13"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76</w:t>
            </w:r>
          </w:p>
        </w:tc>
        <w:tc>
          <w:tcPr>
            <w:tcW w:w="1022" w:type="dxa"/>
            <w:shd w:val="clear" w:color="auto" w:fill="C6EFCE"/>
            <w:noWrap/>
          </w:tcPr>
          <w:p w14:paraId="049534DE"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C5.I1</w:t>
            </w:r>
          </w:p>
        </w:tc>
        <w:tc>
          <w:tcPr>
            <w:tcW w:w="992" w:type="dxa"/>
            <w:shd w:val="clear" w:color="auto" w:fill="C6EFCE"/>
            <w:noWrap/>
          </w:tcPr>
          <w:p w14:paraId="4BD27F86"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2126" w:type="dxa"/>
            <w:shd w:val="clear" w:color="auto" w:fill="C6EFCE"/>
            <w:noWrap/>
          </w:tcPr>
          <w:p w14:paraId="1CA7A6EA" w14:textId="77777777" w:rsidR="00D65CB4" w:rsidRPr="00BC4EE7" w:rsidRDefault="00572307">
            <w:pPr>
              <w:pStyle w:val="P68B1DB1-Normal12"/>
              <w:spacing w:after="0" w:line="240" w:lineRule="auto"/>
              <w:rPr>
                <w:rFonts w:cs="Times New Roman"/>
                <w:noProof/>
              </w:rPr>
            </w:pPr>
            <w:r w:rsidRPr="00BC4EE7">
              <w:rPr>
                <w:rFonts w:cs="Times New Roman"/>
                <w:noProof/>
              </w:rPr>
              <w:t xml:space="preserve">Jobb víz- és szennyvízkezelési infrastruktúrák </w:t>
            </w:r>
          </w:p>
        </w:tc>
        <w:tc>
          <w:tcPr>
            <w:tcW w:w="1145" w:type="dxa"/>
            <w:shd w:val="clear" w:color="auto" w:fill="C6EFCE"/>
            <w:noWrap/>
          </w:tcPr>
          <w:p w14:paraId="36FEB5B0" w14:textId="77777777" w:rsidR="00D65CB4" w:rsidRPr="00BC4EE7" w:rsidRDefault="00D65CB4">
            <w:pPr>
              <w:spacing w:after="0" w:line="240" w:lineRule="auto"/>
              <w:jc w:val="center"/>
              <w:rPr>
                <w:rFonts w:ascii="Times New Roman" w:hAnsi="Times New Roman" w:cs="Times New Roman"/>
                <w:noProof/>
                <w:sz w:val="18"/>
              </w:rPr>
            </w:pPr>
          </w:p>
        </w:tc>
        <w:tc>
          <w:tcPr>
            <w:tcW w:w="949" w:type="dxa"/>
            <w:shd w:val="clear" w:color="auto" w:fill="C6EFCE"/>
            <w:noWrap/>
          </w:tcPr>
          <w:p w14:paraId="1B2052BD"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Szám</w:t>
            </w:r>
          </w:p>
          <w:p w14:paraId="4729B1D0"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(népesség)</w:t>
            </w:r>
          </w:p>
        </w:tc>
        <w:tc>
          <w:tcPr>
            <w:tcW w:w="949" w:type="dxa"/>
            <w:shd w:val="clear" w:color="auto" w:fill="C6EFCE"/>
            <w:noWrap/>
          </w:tcPr>
          <w:p w14:paraId="5F1B12B4"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0</w:t>
            </w:r>
          </w:p>
        </w:tc>
        <w:tc>
          <w:tcPr>
            <w:tcW w:w="679" w:type="dxa"/>
            <w:shd w:val="clear" w:color="auto" w:fill="C6EFCE"/>
            <w:noWrap/>
          </w:tcPr>
          <w:p w14:paraId="1B50CB73"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175 000</w:t>
            </w:r>
          </w:p>
        </w:tc>
        <w:tc>
          <w:tcPr>
            <w:tcW w:w="409" w:type="dxa"/>
            <w:shd w:val="clear" w:color="auto" w:fill="C6EFCE"/>
            <w:noWrap/>
          </w:tcPr>
          <w:p w14:paraId="6E302E4F"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544" w:type="dxa"/>
            <w:shd w:val="clear" w:color="auto" w:fill="C6EFCE"/>
            <w:noWrap/>
          </w:tcPr>
          <w:p w14:paraId="5DA843A6" w14:textId="0D5D49CC" w:rsidR="00D65CB4" w:rsidRPr="00BC4EE7" w:rsidRDefault="00572307">
            <w:pPr>
              <w:pStyle w:val="P68B1DB1-Normal12"/>
              <w:spacing w:after="0" w:line="240" w:lineRule="auto"/>
              <w:jc w:val="center"/>
              <w:rPr>
                <w:rFonts w:cs="Times New Roman"/>
                <w:noProof/>
              </w:rPr>
            </w:pPr>
            <w:r w:rsidRPr="00BC4EE7">
              <w:rPr>
                <w:rFonts w:cs="Times New Roman"/>
                <w:noProof/>
              </w:rPr>
              <w:t>2023</w:t>
            </w:r>
          </w:p>
        </w:tc>
        <w:tc>
          <w:tcPr>
            <w:tcW w:w="5815" w:type="dxa"/>
            <w:shd w:val="clear" w:color="auto" w:fill="C6EFCE"/>
            <w:noWrap/>
          </w:tcPr>
          <w:p w14:paraId="402BDA6E" w14:textId="77777777" w:rsidR="00D65CB4" w:rsidRPr="00BC4EE7" w:rsidRDefault="00572307">
            <w:pPr>
              <w:pStyle w:val="P68B1DB1-Normal12"/>
              <w:spacing w:after="0" w:line="240" w:lineRule="auto"/>
              <w:rPr>
                <w:rFonts w:cs="Times New Roman"/>
                <w:noProof/>
              </w:rPr>
            </w:pPr>
            <w:r w:rsidRPr="00BC4EE7">
              <w:rPr>
                <w:rFonts w:cs="Times New Roman"/>
                <w:noProof/>
              </w:rPr>
              <w:t>Legalább 175000 lakosegyenértéknek megfelelő szolgáltatást nyújtó víz- és szennyvízkezelő infrastruktúrák üzembe helyezése, amelyek célja a 91/271/EGK irányelvnek való megfelelés biztosítása és az energiahatékonysági kritériumok teljesítése, vagy a vízelosztó rendszerek hatékonyságának javítása és/vagy vízveszteségének csökkentése.</w:t>
            </w:r>
          </w:p>
        </w:tc>
      </w:tr>
      <w:tr w:rsidR="00D65CB4" w:rsidRPr="00BC4EE7" w14:paraId="00E767E5" w14:textId="77777777" w:rsidTr="00481CF8">
        <w:trPr>
          <w:trHeight w:val="309"/>
        </w:trPr>
        <w:tc>
          <w:tcPr>
            <w:tcW w:w="822" w:type="dxa"/>
            <w:shd w:val="clear" w:color="auto" w:fill="C6EFCE"/>
            <w:noWrap/>
          </w:tcPr>
          <w:p w14:paraId="0280E385" w14:textId="1ED608DC" w:rsidR="00D65CB4" w:rsidRPr="00BC4EE7" w:rsidRDefault="00572307">
            <w:pPr>
              <w:pStyle w:val="P68B1DB1-Normal12"/>
              <w:spacing w:after="0" w:line="240" w:lineRule="auto"/>
              <w:jc w:val="center"/>
              <w:rPr>
                <w:rFonts w:cs="Times New Roman"/>
                <w:noProof/>
              </w:rPr>
            </w:pPr>
            <w:r w:rsidRPr="00BC4EE7">
              <w:rPr>
                <w:rFonts w:cs="Times New Roman"/>
                <w:noProof/>
              </w:rPr>
              <w:t>427</w:t>
            </w:r>
          </w:p>
        </w:tc>
        <w:tc>
          <w:tcPr>
            <w:tcW w:w="1022" w:type="dxa"/>
            <w:shd w:val="clear" w:color="auto" w:fill="C6EFCE"/>
            <w:noWrap/>
          </w:tcPr>
          <w:p w14:paraId="25A52349" w14:textId="141EA5E8" w:rsidR="00D65CB4" w:rsidRPr="00BC4EE7" w:rsidRDefault="00572307">
            <w:pPr>
              <w:pStyle w:val="P68B1DB1-Normal12"/>
              <w:spacing w:after="0" w:line="240" w:lineRule="auto"/>
              <w:jc w:val="center"/>
              <w:rPr>
                <w:rFonts w:cs="Times New Roman"/>
                <w:noProof/>
              </w:rPr>
            </w:pPr>
            <w:r w:rsidRPr="00BC4EE7">
              <w:rPr>
                <w:rFonts w:cs="Times New Roman"/>
                <w:noProof/>
              </w:rPr>
              <w:t>C5.I1</w:t>
            </w:r>
          </w:p>
        </w:tc>
        <w:tc>
          <w:tcPr>
            <w:tcW w:w="992" w:type="dxa"/>
            <w:shd w:val="clear" w:color="auto" w:fill="C6EFCE"/>
            <w:noWrap/>
          </w:tcPr>
          <w:p w14:paraId="4B476350" w14:textId="76CF81C8"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2126" w:type="dxa"/>
            <w:shd w:val="clear" w:color="auto" w:fill="C6EFCE"/>
            <w:noWrap/>
          </w:tcPr>
          <w:p w14:paraId="0CB9E2F6" w14:textId="11B2C0F5" w:rsidR="00D65CB4" w:rsidRPr="00BC4EE7" w:rsidRDefault="00572307">
            <w:pPr>
              <w:pStyle w:val="P68B1DB1-Normal12"/>
              <w:spacing w:after="0" w:line="240" w:lineRule="auto"/>
              <w:rPr>
                <w:rFonts w:cs="Times New Roman"/>
                <w:noProof/>
              </w:rPr>
            </w:pPr>
            <w:r w:rsidRPr="00BC4EE7">
              <w:rPr>
                <w:rFonts w:cs="Times New Roman"/>
                <w:noProof/>
              </w:rPr>
              <w:t>Jobb víz- és szennyvízkezelési infrastruktúrák</w:t>
            </w:r>
          </w:p>
        </w:tc>
        <w:tc>
          <w:tcPr>
            <w:tcW w:w="1145" w:type="dxa"/>
            <w:shd w:val="clear" w:color="auto" w:fill="C6EFCE"/>
            <w:noWrap/>
          </w:tcPr>
          <w:p w14:paraId="5244A440" w14:textId="77777777" w:rsidR="00D65CB4" w:rsidRPr="00BC4EE7" w:rsidRDefault="00D65CB4">
            <w:pPr>
              <w:spacing w:after="0" w:line="240" w:lineRule="auto"/>
              <w:jc w:val="center"/>
              <w:rPr>
                <w:rFonts w:ascii="Times New Roman" w:hAnsi="Times New Roman" w:cs="Times New Roman"/>
                <w:noProof/>
                <w:sz w:val="18"/>
              </w:rPr>
            </w:pPr>
          </w:p>
        </w:tc>
        <w:tc>
          <w:tcPr>
            <w:tcW w:w="949" w:type="dxa"/>
            <w:shd w:val="clear" w:color="auto" w:fill="C6EFCE"/>
            <w:noWrap/>
          </w:tcPr>
          <w:p w14:paraId="2E5DFD86" w14:textId="74FA8708" w:rsidR="00D65CB4" w:rsidRPr="00BC4EE7" w:rsidRDefault="00572307">
            <w:pPr>
              <w:pStyle w:val="P68B1DB1-Normal12"/>
              <w:spacing w:after="0" w:line="240" w:lineRule="auto"/>
              <w:jc w:val="right"/>
              <w:rPr>
                <w:rFonts w:cs="Times New Roman"/>
                <w:noProof/>
              </w:rPr>
            </w:pPr>
            <w:r w:rsidRPr="00BC4EE7">
              <w:rPr>
                <w:rFonts w:cs="Times New Roman"/>
                <w:noProof/>
              </w:rPr>
              <w:t>Szám (népesség)</w:t>
            </w:r>
          </w:p>
        </w:tc>
        <w:tc>
          <w:tcPr>
            <w:tcW w:w="949" w:type="dxa"/>
            <w:shd w:val="clear" w:color="auto" w:fill="C6EFCE"/>
            <w:noWrap/>
          </w:tcPr>
          <w:p w14:paraId="66D3C216" w14:textId="4A1B400E" w:rsidR="00D65CB4" w:rsidRPr="00BC4EE7" w:rsidRDefault="00572307">
            <w:pPr>
              <w:pStyle w:val="P68B1DB1-Normal12"/>
              <w:spacing w:after="0" w:line="240" w:lineRule="auto"/>
              <w:jc w:val="right"/>
              <w:rPr>
                <w:rFonts w:cs="Times New Roman"/>
                <w:noProof/>
              </w:rPr>
            </w:pPr>
            <w:r w:rsidRPr="00BC4EE7">
              <w:rPr>
                <w:rFonts w:cs="Times New Roman"/>
                <w:noProof/>
              </w:rPr>
              <w:t>175 000</w:t>
            </w:r>
          </w:p>
        </w:tc>
        <w:tc>
          <w:tcPr>
            <w:tcW w:w="679" w:type="dxa"/>
            <w:shd w:val="clear" w:color="auto" w:fill="C6EFCE"/>
            <w:noWrap/>
          </w:tcPr>
          <w:p w14:paraId="1275468F"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425 000</w:t>
            </w:r>
          </w:p>
          <w:p w14:paraId="64C9BFF9" w14:textId="77777777" w:rsidR="00D65CB4" w:rsidRPr="00BC4EE7" w:rsidRDefault="00D65CB4">
            <w:pPr>
              <w:spacing w:after="0" w:line="240" w:lineRule="auto"/>
              <w:jc w:val="right"/>
              <w:rPr>
                <w:rFonts w:ascii="Times New Roman" w:hAnsi="Times New Roman" w:cs="Times New Roman"/>
                <w:noProof/>
                <w:sz w:val="18"/>
              </w:rPr>
            </w:pPr>
          </w:p>
        </w:tc>
        <w:tc>
          <w:tcPr>
            <w:tcW w:w="409" w:type="dxa"/>
            <w:shd w:val="clear" w:color="auto" w:fill="C6EFCE"/>
            <w:noWrap/>
          </w:tcPr>
          <w:p w14:paraId="2AD6A892" w14:textId="38209DE3"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544" w:type="dxa"/>
            <w:shd w:val="clear" w:color="auto" w:fill="C6EFCE"/>
            <w:noWrap/>
          </w:tcPr>
          <w:p w14:paraId="080DBF36" w14:textId="5655E14F" w:rsidR="00D65CB4" w:rsidRPr="00BC4EE7" w:rsidRDefault="00572307">
            <w:pPr>
              <w:pStyle w:val="P68B1DB1-Normal12"/>
              <w:spacing w:after="0" w:line="240" w:lineRule="auto"/>
              <w:jc w:val="center"/>
              <w:rPr>
                <w:rFonts w:cs="Times New Roman"/>
                <w:noProof/>
              </w:rPr>
            </w:pPr>
            <w:r w:rsidRPr="00BC4EE7">
              <w:rPr>
                <w:rFonts w:cs="Times New Roman"/>
                <w:noProof/>
              </w:rPr>
              <w:t>2026</w:t>
            </w:r>
          </w:p>
        </w:tc>
        <w:tc>
          <w:tcPr>
            <w:tcW w:w="5815" w:type="dxa"/>
            <w:shd w:val="clear" w:color="auto" w:fill="C6EFCE"/>
            <w:noWrap/>
          </w:tcPr>
          <w:p w14:paraId="126D29C0" w14:textId="37B1775B" w:rsidR="00D65CB4" w:rsidRPr="00BC4EE7" w:rsidRDefault="00572307">
            <w:pPr>
              <w:pStyle w:val="P68B1DB1-Normal12"/>
              <w:spacing w:after="0" w:line="240" w:lineRule="auto"/>
              <w:rPr>
                <w:rFonts w:cs="Times New Roman"/>
                <w:noProof/>
              </w:rPr>
            </w:pPr>
            <w:r w:rsidRPr="00BC4EE7">
              <w:rPr>
                <w:rFonts w:cs="Times New Roman"/>
                <w:noProof/>
              </w:rPr>
              <w:t xml:space="preserve">Legalább 425000 lakosegyenértéknek megfelelő szolgáltatást nyújtó víz- és szennyvízkezelő infrastruktúrák üzembe helyezése, amelyek célja a 91/271/EGK irányelvnek való megfelelés biztosítása és az energiahatékonysági kritériumok teljesítése, és/vagy a vízelosztó rendszerek hatékonyságának javítása és/vagy vízveszteségének csökkentése. (Alapforgatókönyv: 2023. június 30.) </w:t>
            </w:r>
          </w:p>
        </w:tc>
      </w:tr>
      <w:tr w:rsidR="00D65CB4" w:rsidRPr="00BC4EE7" w14:paraId="78916C97" w14:textId="77777777" w:rsidTr="00481CF8">
        <w:trPr>
          <w:trHeight w:val="309"/>
        </w:trPr>
        <w:tc>
          <w:tcPr>
            <w:tcW w:w="822" w:type="dxa"/>
            <w:shd w:val="clear" w:color="auto" w:fill="C6EFCE"/>
            <w:noWrap/>
          </w:tcPr>
          <w:p w14:paraId="160393C8" w14:textId="42483417" w:rsidR="00D65CB4" w:rsidRPr="00BC4EE7" w:rsidRDefault="00572307">
            <w:pPr>
              <w:pStyle w:val="P68B1DB1-Normal12"/>
              <w:spacing w:after="0" w:line="240" w:lineRule="auto"/>
              <w:jc w:val="center"/>
              <w:rPr>
                <w:rFonts w:cs="Times New Roman"/>
                <w:noProof/>
              </w:rPr>
            </w:pPr>
            <w:r w:rsidRPr="00BC4EE7">
              <w:rPr>
                <w:rFonts w:cs="Times New Roman"/>
                <w:noProof/>
              </w:rPr>
              <w:t>428</w:t>
            </w:r>
          </w:p>
        </w:tc>
        <w:tc>
          <w:tcPr>
            <w:tcW w:w="1022" w:type="dxa"/>
            <w:shd w:val="clear" w:color="auto" w:fill="C6EFCE"/>
            <w:noWrap/>
          </w:tcPr>
          <w:p w14:paraId="22491947" w14:textId="67032E05" w:rsidR="00D65CB4" w:rsidRPr="00BC4EE7" w:rsidRDefault="00572307">
            <w:pPr>
              <w:pStyle w:val="P68B1DB1-Normal12"/>
              <w:spacing w:after="0" w:line="240" w:lineRule="auto"/>
              <w:jc w:val="center"/>
              <w:rPr>
                <w:rFonts w:cs="Times New Roman"/>
                <w:noProof/>
              </w:rPr>
            </w:pPr>
            <w:r w:rsidRPr="00BC4EE7">
              <w:rPr>
                <w:rFonts w:cs="Times New Roman"/>
                <w:noProof/>
              </w:rPr>
              <w:t>C5.I1</w:t>
            </w:r>
          </w:p>
        </w:tc>
        <w:tc>
          <w:tcPr>
            <w:tcW w:w="992" w:type="dxa"/>
            <w:shd w:val="clear" w:color="auto" w:fill="C6EFCE"/>
            <w:noWrap/>
          </w:tcPr>
          <w:p w14:paraId="695B866B" w14:textId="0009639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2126" w:type="dxa"/>
            <w:shd w:val="clear" w:color="auto" w:fill="C6EFCE"/>
            <w:noWrap/>
          </w:tcPr>
          <w:p w14:paraId="7740979A" w14:textId="033E4F4E" w:rsidR="00D65CB4" w:rsidRPr="00BC4EE7" w:rsidRDefault="00572307">
            <w:pPr>
              <w:pStyle w:val="P68B1DB1-Normal12"/>
              <w:spacing w:after="0" w:line="240" w:lineRule="auto"/>
              <w:rPr>
                <w:rFonts w:cs="Times New Roman"/>
                <w:noProof/>
              </w:rPr>
            </w:pPr>
            <w:r w:rsidRPr="00BC4EE7">
              <w:rPr>
                <w:rFonts w:cs="Times New Roman"/>
                <w:noProof/>
              </w:rPr>
              <w:t xml:space="preserve">Jobb víz- és szennyvízkezelési infrastruktúrák </w:t>
            </w:r>
          </w:p>
        </w:tc>
        <w:tc>
          <w:tcPr>
            <w:tcW w:w="1145" w:type="dxa"/>
            <w:shd w:val="clear" w:color="auto" w:fill="C6EFCE"/>
            <w:noWrap/>
          </w:tcPr>
          <w:p w14:paraId="0404DBE5" w14:textId="77777777" w:rsidR="00D65CB4" w:rsidRPr="00BC4EE7" w:rsidRDefault="00D65CB4">
            <w:pPr>
              <w:spacing w:after="0" w:line="240" w:lineRule="auto"/>
              <w:jc w:val="center"/>
              <w:rPr>
                <w:rFonts w:ascii="Times New Roman" w:hAnsi="Times New Roman" w:cs="Times New Roman"/>
                <w:noProof/>
                <w:sz w:val="18"/>
              </w:rPr>
            </w:pPr>
          </w:p>
        </w:tc>
        <w:tc>
          <w:tcPr>
            <w:tcW w:w="949" w:type="dxa"/>
            <w:shd w:val="clear" w:color="auto" w:fill="C6EFCE"/>
            <w:noWrap/>
          </w:tcPr>
          <w:p w14:paraId="497497DD" w14:textId="66F6BA91" w:rsidR="00D65CB4" w:rsidRPr="00BC4EE7" w:rsidRDefault="00572307">
            <w:pPr>
              <w:pStyle w:val="P68B1DB1-Normal12"/>
              <w:spacing w:after="0" w:line="240" w:lineRule="auto"/>
              <w:jc w:val="right"/>
              <w:rPr>
                <w:rFonts w:cs="Times New Roman"/>
                <w:noProof/>
              </w:rPr>
            </w:pPr>
            <w:r w:rsidRPr="00BC4EE7">
              <w:rPr>
                <w:rFonts w:cs="Times New Roman"/>
                <w:noProof/>
              </w:rPr>
              <w:t>Szám (hektár)</w:t>
            </w:r>
          </w:p>
        </w:tc>
        <w:tc>
          <w:tcPr>
            <w:tcW w:w="949" w:type="dxa"/>
            <w:shd w:val="clear" w:color="auto" w:fill="C6EFCE"/>
            <w:noWrap/>
          </w:tcPr>
          <w:p w14:paraId="18F2D18E" w14:textId="22602C10" w:rsidR="00D65CB4" w:rsidRPr="00BC4EE7" w:rsidRDefault="00572307">
            <w:pPr>
              <w:pStyle w:val="P68B1DB1-Normal12"/>
              <w:spacing w:after="0" w:line="240" w:lineRule="auto"/>
              <w:jc w:val="right"/>
              <w:rPr>
                <w:rFonts w:cs="Times New Roman"/>
                <w:noProof/>
              </w:rPr>
            </w:pPr>
            <w:r w:rsidRPr="00BC4EE7">
              <w:rPr>
                <w:rFonts w:cs="Times New Roman"/>
                <w:noProof/>
              </w:rPr>
              <w:t>0</w:t>
            </w:r>
          </w:p>
        </w:tc>
        <w:tc>
          <w:tcPr>
            <w:tcW w:w="679" w:type="dxa"/>
            <w:shd w:val="clear" w:color="auto" w:fill="C6EFCE"/>
            <w:noWrap/>
          </w:tcPr>
          <w:p w14:paraId="365DE703" w14:textId="5E87350E" w:rsidR="00D65CB4" w:rsidRPr="00BC4EE7" w:rsidRDefault="00572307">
            <w:pPr>
              <w:pStyle w:val="P68B1DB1-Normal12"/>
              <w:spacing w:after="0" w:line="240" w:lineRule="auto"/>
              <w:jc w:val="right"/>
              <w:rPr>
                <w:rFonts w:cs="Times New Roman"/>
                <w:noProof/>
              </w:rPr>
            </w:pPr>
            <w:r w:rsidRPr="00BC4EE7">
              <w:rPr>
                <w:rFonts w:cs="Times New Roman"/>
                <w:noProof/>
              </w:rPr>
              <w:t>18 500</w:t>
            </w:r>
          </w:p>
        </w:tc>
        <w:tc>
          <w:tcPr>
            <w:tcW w:w="409" w:type="dxa"/>
            <w:shd w:val="clear" w:color="auto" w:fill="C6EFCE"/>
            <w:noWrap/>
          </w:tcPr>
          <w:p w14:paraId="4B74414B" w14:textId="040B52B9"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544" w:type="dxa"/>
            <w:shd w:val="clear" w:color="auto" w:fill="C6EFCE"/>
            <w:noWrap/>
          </w:tcPr>
          <w:p w14:paraId="45F9C6F8" w14:textId="4171479E" w:rsidR="00D65CB4" w:rsidRPr="00BC4EE7" w:rsidRDefault="00572307">
            <w:pPr>
              <w:pStyle w:val="P68B1DB1-Normal12"/>
              <w:spacing w:after="0" w:line="240" w:lineRule="auto"/>
              <w:jc w:val="center"/>
              <w:rPr>
                <w:rFonts w:cs="Times New Roman"/>
                <w:noProof/>
              </w:rPr>
            </w:pPr>
            <w:r w:rsidRPr="00BC4EE7">
              <w:rPr>
                <w:rFonts w:cs="Times New Roman"/>
                <w:noProof/>
              </w:rPr>
              <w:t>2026</w:t>
            </w:r>
          </w:p>
        </w:tc>
        <w:tc>
          <w:tcPr>
            <w:tcW w:w="5815" w:type="dxa"/>
            <w:shd w:val="clear" w:color="auto" w:fill="C6EFCE"/>
            <w:noWrap/>
          </w:tcPr>
          <w:p w14:paraId="1A52E114" w14:textId="31D54C05" w:rsidR="00D65CB4" w:rsidRPr="00BC4EE7" w:rsidRDefault="00572307">
            <w:pPr>
              <w:pStyle w:val="P68B1DB1-Normal12"/>
              <w:spacing w:after="0" w:line="240" w:lineRule="auto"/>
              <w:rPr>
                <w:rFonts w:cs="Times New Roman"/>
                <w:noProof/>
              </w:rPr>
            </w:pPr>
            <w:r w:rsidRPr="00BC4EE7">
              <w:rPr>
                <w:rFonts w:cs="Times New Roman"/>
                <w:noProof/>
              </w:rPr>
              <w:t xml:space="preserve">Az alicantei Rincón de León tisztítólétesítmény szennyvízkezelő infrastruktúráiból származó újrafelhasználási víz üzembe helyezése, az öntözési célú vízgazdálkodás javítása 18500 hektáron, a 91/271/EGK irányelvnek való megfelelés biztosítása és az energiahatékonysági kritériumok teljesítése és/vagy a vízelosztó rendszerek hatékonyságának javítása és/vagy vízveszteségének csökkentése céljából. </w:t>
            </w:r>
          </w:p>
        </w:tc>
      </w:tr>
      <w:tr w:rsidR="00D65CB4" w:rsidRPr="00BC4EE7" w14:paraId="6A7BF543" w14:textId="77777777" w:rsidTr="00481CF8">
        <w:trPr>
          <w:trHeight w:val="309"/>
        </w:trPr>
        <w:tc>
          <w:tcPr>
            <w:tcW w:w="822" w:type="dxa"/>
            <w:shd w:val="clear" w:color="auto" w:fill="C6EFCE"/>
            <w:noWrap/>
          </w:tcPr>
          <w:p w14:paraId="23DB4977"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77</w:t>
            </w:r>
          </w:p>
        </w:tc>
        <w:tc>
          <w:tcPr>
            <w:tcW w:w="1022" w:type="dxa"/>
            <w:shd w:val="clear" w:color="auto" w:fill="C6EFCE"/>
            <w:noWrap/>
          </w:tcPr>
          <w:p w14:paraId="6C1DF220"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C5.I2</w:t>
            </w:r>
          </w:p>
        </w:tc>
        <w:tc>
          <w:tcPr>
            <w:tcW w:w="992" w:type="dxa"/>
            <w:shd w:val="clear" w:color="auto" w:fill="C6EFCE"/>
            <w:noWrap/>
          </w:tcPr>
          <w:p w14:paraId="4BEBFB89"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M</w:t>
            </w:r>
          </w:p>
        </w:tc>
        <w:tc>
          <w:tcPr>
            <w:tcW w:w="2126" w:type="dxa"/>
            <w:shd w:val="clear" w:color="auto" w:fill="C6EFCE"/>
            <w:noWrap/>
          </w:tcPr>
          <w:p w14:paraId="21723D5B" w14:textId="77777777" w:rsidR="00D65CB4" w:rsidRPr="00BC4EE7" w:rsidRDefault="00572307">
            <w:pPr>
              <w:pStyle w:val="P68B1DB1-Normal12"/>
              <w:spacing w:after="0" w:line="240" w:lineRule="auto"/>
              <w:rPr>
                <w:rFonts w:cs="Times New Roman"/>
                <w:noProof/>
              </w:rPr>
            </w:pPr>
            <w:r w:rsidRPr="00BC4EE7">
              <w:rPr>
                <w:rFonts w:cs="Times New Roman"/>
                <w:noProof/>
              </w:rPr>
              <w:t>A folyópartok árvízkockázatokkal szembeni védelmének helyreállítása</w:t>
            </w:r>
          </w:p>
        </w:tc>
        <w:tc>
          <w:tcPr>
            <w:tcW w:w="1145" w:type="dxa"/>
            <w:shd w:val="clear" w:color="auto" w:fill="C6EFCE"/>
            <w:noWrap/>
          </w:tcPr>
          <w:p w14:paraId="5FD6348B"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A MITERD által aláírt tanúsítványok</w:t>
            </w:r>
          </w:p>
        </w:tc>
        <w:tc>
          <w:tcPr>
            <w:tcW w:w="949" w:type="dxa"/>
            <w:shd w:val="clear" w:color="auto" w:fill="C6EFCE"/>
            <w:noWrap/>
          </w:tcPr>
          <w:p w14:paraId="3F8C8A50"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 xml:space="preserve"> </w:t>
            </w:r>
          </w:p>
        </w:tc>
        <w:tc>
          <w:tcPr>
            <w:tcW w:w="949" w:type="dxa"/>
            <w:shd w:val="clear" w:color="auto" w:fill="C6EFCE"/>
            <w:noWrap/>
          </w:tcPr>
          <w:p w14:paraId="3CEEED34"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 xml:space="preserve"> </w:t>
            </w:r>
          </w:p>
        </w:tc>
        <w:tc>
          <w:tcPr>
            <w:tcW w:w="679" w:type="dxa"/>
            <w:shd w:val="clear" w:color="auto" w:fill="C6EFCE"/>
            <w:noWrap/>
          </w:tcPr>
          <w:p w14:paraId="42F19EF9"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 xml:space="preserve"> </w:t>
            </w:r>
          </w:p>
        </w:tc>
        <w:tc>
          <w:tcPr>
            <w:tcW w:w="409" w:type="dxa"/>
            <w:shd w:val="clear" w:color="auto" w:fill="C6EFCE"/>
            <w:noWrap/>
          </w:tcPr>
          <w:p w14:paraId="6136DAB4"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544" w:type="dxa"/>
            <w:shd w:val="clear" w:color="auto" w:fill="C6EFCE"/>
            <w:noWrap/>
          </w:tcPr>
          <w:p w14:paraId="7269043E"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2022</w:t>
            </w:r>
          </w:p>
        </w:tc>
        <w:tc>
          <w:tcPr>
            <w:tcW w:w="5815" w:type="dxa"/>
            <w:shd w:val="clear" w:color="auto" w:fill="C6EFCE"/>
            <w:noWrap/>
          </w:tcPr>
          <w:p w14:paraId="02044E4F" w14:textId="77777777" w:rsidR="00D65CB4" w:rsidRPr="00BC4EE7" w:rsidRDefault="00572307">
            <w:pPr>
              <w:pStyle w:val="P68B1DB1-Normal12"/>
              <w:spacing w:after="0" w:line="240" w:lineRule="auto"/>
              <w:rPr>
                <w:rFonts w:cs="Times New Roman"/>
                <w:noProof/>
              </w:rPr>
            </w:pPr>
            <w:r w:rsidRPr="00BC4EE7">
              <w:rPr>
                <w:rFonts w:cs="Times New Roman"/>
                <w:noProof/>
              </w:rPr>
              <w:t>Legalább 200 km folyópart helyreállított, és legalább 40000 lakost védenek az árvízkockázattal szemben.</w:t>
            </w:r>
          </w:p>
        </w:tc>
      </w:tr>
      <w:tr w:rsidR="00D65CB4" w:rsidRPr="00BC4EE7" w14:paraId="0B55FCA1" w14:textId="77777777" w:rsidTr="00481CF8">
        <w:trPr>
          <w:trHeight w:val="309"/>
        </w:trPr>
        <w:tc>
          <w:tcPr>
            <w:tcW w:w="822" w:type="dxa"/>
            <w:shd w:val="clear" w:color="auto" w:fill="C6EFCE"/>
            <w:noWrap/>
          </w:tcPr>
          <w:p w14:paraId="299BFF4E" w14:textId="4E52D3FC" w:rsidR="00D65CB4" w:rsidRPr="00BC4EE7" w:rsidRDefault="00572307">
            <w:pPr>
              <w:pStyle w:val="P68B1DB1-Normal12"/>
              <w:spacing w:after="0" w:line="240" w:lineRule="auto"/>
              <w:jc w:val="center"/>
              <w:rPr>
                <w:rFonts w:cs="Times New Roman"/>
                <w:noProof/>
              </w:rPr>
            </w:pPr>
            <w:r w:rsidRPr="00BC4EE7">
              <w:rPr>
                <w:rFonts w:cs="Times New Roman"/>
                <w:noProof/>
              </w:rPr>
              <w:t>78</w:t>
            </w:r>
          </w:p>
        </w:tc>
        <w:tc>
          <w:tcPr>
            <w:tcW w:w="1022" w:type="dxa"/>
            <w:shd w:val="clear" w:color="auto" w:fill="C6EFCE"/>
            <w:noWrap/>
          </w:tcPr>
          <w:p w14:paraId="580E7276"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C5.I2</w:t>
            </w:r>
          </w:p>
        </w:tc>
        <w:tc>
          <w:tcPr>
            <w:tcW w:w="992" w:type="dxa"/>
            <w:shd w:val="clear" w:color="auto" w:fill="C6EFCE"/>
            <w:noWrap/>
          </w:tcPr>
          <w:p w14:paraId="4253F6F2"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2126" w:type="dxa"/>
            <w:shd w:val="clear" w:color="auto" w:fill="C6EFCE"/>
            <w:noWrap/>
          </w:tcPr>
          <w:p w14:paraId="3F112361" w14:textId="77777777" w:rsidR="00D65CB4" w:rsidRPr="00BC4EE7" w:rsidRDefault="00572307">
            <w:pPr>
              <w:pStyle w:val="P68B1DB1-Normal12"/>
              <w:spacing w:after="0" w:line="240" w:lineRule="auto"/>
              <w:rPr>
                <w:rFonts w:cs="Times New Roman"/>
                <w:noProof/>
              </w:rPr>
            </w:pPr>
            <w:r w:rsidRPr="00BC4EE7">
              <w:rPr>
                <w:rFonts w:cs="Times New Roman"/>
                <w:noProof/>
              </w:rPr>
              <w:t xml:space="preserve">A víztartó rétegekből kivont víz mennyiségének csökkenése </w:t>
            </w:r>
          </w:p>
        </w:tc>
        <w:tc>
          <w:tcPr>
            <w:tcW w:w="1145" w:type="dxa"/>
            <w:shd w:val="clear" w:color="auto" w:fill="C6EFCE"/>
            <w:noWrap/>
          </w:tcPr>
          <w:p w14:paraId="30D7AA69" w14:textId="77777777" w:rsidR="00D65CB4" w:rsidRPr="00BC4EE7" w:rsidRDefault="00D65CB4">
            <w:pPr>
              <w:spacing w:after="0" w:line="240" w:lineRule="auto"/>
              <w:jc w:val="center"/>
              <w:rPr>
                <w:rFonts w:ascii="Times New Roman" w:hAnsi="Times New Roman" w:cs="Times New Roman"/>
                <w:noProof/>
                <w:sz w:val="18"/>
              </w:rPr>
            </w:pPr>
          </w:p>
        </w:tc>
        <w:tc>
          <w:tcPr>
            <w:tcW w:w="949" w:type="dxa"/>
            <w:shd w:val="clear" w:color="auto" w:fill="C6EFCE"/>
            <w:noWrap/>
          </w:tcPr>
          <w:p w14:paraId="61AB7739"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Szám</w:t>
            </w:r>
          </w:p>
          <w:p w14:paraId="6E27ADFB"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(HM</w:t>
            </w:r>
            <w:r w:rsidRPr="00BC4EE7">
              <w:rPr>
                <w:rFonts w:cs="Times New Roman"/>
                <w:noProof/>
                <w:vertAlign w:val="superscript"/>
              </w:rPr>
              <w:t>/</w:t>
            </w:r>
            <w:r w:rsidRPr="00BC4EE7">
              <w:rPr>
                <w:rFonts w:cs="Times New Roman"/>
                <w:noProof/>
              </w:rPr>
              <w:t>év)</w:t>
            </w:r>
          </w:p>
        </w:tc>
        <w:tc>
          <w:tcPr>
            <w:tcW w:w="949" w:type="dxa"/>
            <w:shd w:val="clear" w:color="auto" w:fill="C6EFCE"/>
            <w:noWrap/>
          </w:tcPr>
          <w:p w14:paraId="71AFE04B"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510</w:t>
            </w:r>
          </w:p>
        </w:tc>
        <w:tc>
          <w:tcPr>
            <w:tcW w:w="679" w:type="dxa"/>
            <w:shd w:val="clear" w:color="auto" w:fill="C6EFCE"/>
            <w:noWrap/>
          </w:tcPr>
          <w:p w14:paraId="611E64A3" w14:textId="6DEC8A1F" w:rsidR="00D65CB4" w:rsidRPr="00BC4EE7" w:rsidRDefault="00572307">
            <w:pPr>
              <w:pStyle w:val="P68B1DB1-Normal12"/>
              <w:spacing w:after="0" w:line="240" w:lineRule="auto"/>
              <w:jc w:val="right"/>
              <w:rPr>
                <w:rFonts w:cs="Times New Roman"/>
                <w:noProof/>
              </w:rPr>
            </w:pPr>
            <w:r w:rsidRPr="00BC4EE7">
              <w:rPr>
                <w:rFonts w:cs="Times New Roman"/>
                <w:noProof/>
              </w:rPr>
              <w:t>470</w:t>
            </w:r>
          </w:p>
        </w:tc>
        <w:tc>
          <w:tcPr>
            <w:tcW w:w="409" w:type="dxa"/>
            <w:shd w:val="clear" w:color="auto" w:fill="C6EFCE"/>
            <w:noWrap/>
          </w:tcPr>
          <w:p w14:paraId="577E0A3D" w14:textId="38111F68"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544" w:type="dxa"/>
            <w:shd w:val="clear" w:color="auto" w:fill="C6EFCE"/>
            <w:noWrap/>
          </w:tcPr>
          <w:p w14:paraId="5D71C2FD" w14:textId="03EEAC8E" w:rsidR="00D65CB4" w:rsidRPr="00BC4EE7" w:rsidRDefault="00572307">
            <w:pPr>
              <w:pStyle w:val="P68B1DB1-Normal12"/>
              <w:spacing w:after="0" w:line="240" w:lineRule="auto"/>
              <w:jc w:val="center"/>
              <w:rPr>
                <w:rFonts w:cs="Times New Roman"/>
                <w:noProof/>
              </w:rPr>
            </w:pPr>
            <w:r w:rsidRPr="00BC4EE7">
              <w:rPr>
                <w:rFonts w:cs="Times New Roman"/>
                <w:noProof/>
              </w:rPr>
              <w:t>2025</w:t>
            </w:r>
          </w:p>
        </w:tc>
        <w:tc>
          <w:tcPr>
            <w:tcW w:w="5815" w:type="dxa"/>
            <w:shd w:val="clear" w:color="auto" w:fill="C6EFCE"/>
            <w:noWrap/>
          </w:tcPr>
          <w:p w14:paraId="3738FB87" w14:textId="212484EB" w:rsidR="00D65CB4" w:rsidRPr="00BC4EE7" w:rsidRDefault="00572307">
            <w:pPr>
              <w:pStyle w:val="P68B1DB1-Normal12"/>
              <w:spacing w:after="0" w:line="240" w:lineRule="auto"/>
              <w:rPr>
                <w:rFonts w:cs="Times New Roman"/>
                <w:noProof/>
              </w:rPr>
            </w:pPr>
            <w:r w:rsidRPr="00BC4EE7">
              <w:rPr>
                <w:rFonts w:cs="Times New Roman"/>
                <w:noProof/>
              </w:rPr>
              <w:t>A Doñana, Segura-Mar Menor és Mancha Oriental területén található víztartó rétegekből kinyert víz éves mennyiségének évi 510 óráról évi</w:t>
            </w:r>
            <w:r w:rsidRPr="00BC4EE7">
              <w:rPr>
                <w:rFonts w:cs="Times New Roman"/>
                <w:noProof/>
                <w:vertAlign w:val="superscript"/>
              </w:rPr>
              <w:t>3</w:t>
            </w:r>
            <w:r w:rsidRPr="00BC4EE7">
              <w:rPr>
                <w:rFonts w:cs="Times New Roman"/>
                <w:noProof/>
              </w:rPr>
              <w:t>órára történő</w:t>
            </w:r>
            <w:r w:rsidRPr="00BC4EE7">
              <w:rPr>
                <w:rFonts w:cs="Times New Roman"/>
                <w:noProof/>
                <w:vertAlign w:val="superscript"/>
              </w:rPr>
              <w:t>csökkentése</w:t>
            </w:r>
            <w:r w:rsidRPr="00BC4EE7">
              <w:rPr>
                <w:rFonts w:cs="Times New Roman"/>
                <w:noProof/>
              </w:rPr>
              <w:t>.</w:t>
            </w:r>
          </w:p>
        </w:tc>
      </w:tr>
      <w:tr w:rsidR="00D65CB4" w:rsidRPr="00BC4EE7" w14:paraId="7E0E198C" w14:textId="77777777" w:rsidTr="00481CF8">
        <w:trPr>
          <w:trHeight w:val="309"/>
        </w:trPr>
        <w:tc>
          <w:tcPr>
            <w:tcW w:w="822" w:type="dxa"/>
            <w:shd w:val="clear" w:color="auto" w:fill="C6EFCE"/>
            <w:noWrap/>
          </w:tcPr>
          <w:p w14:paraId="6A7DEE54" w14:textId="24F76C24" w:rsidR="00D65CB4" w:rsidRPr="00BC4EE7" w:rsidRDefault="00572307">
            <w:pPr>
              <w:pStyle w:val="P68B1DB1-Normal12"/>
              <w:spacing w:after="0" w:line="240" w:lineRule="auto"/>
              <w:jc w:val="center"/>
              <w:rPr>
                <w:rFonts w:cs="Times New Roman"/>
                <w:noProof/>
              </w:rPr>
            </w:pPr>
            <w:r w:rsidRPr="00BC4EE7">
              <w:rPr>
                <w:rFonts w:cs="Times New Roman"/>
                <w:noProof/>
              </w:rPr>
              <w:t>429</w:t>
            </w:r>
          </w:p>
        </w:tc>
        <w:tc>
          <w:tcPr>
            <w:tcW w:w="1022" w:type="dxa"/>
            <w:shd w:val="clear" w:color="auto" w:fill="C6EFCE"/>
            <w:noWrap/>
          </w:tcPr>
          <w:p w14:paraId="7C2CF9C2" w14:textId="42FC58C0" w:rsidR="00D65CB4" w:rsidRPr="00BC4EE7" w:rsidRDefault="00572307">
            <w:pPr>
              <w:pStyle w:val="P68B1DB1-Normal12"/>
              <w:spacing w:after="0" w:line="240" w:lineRule="auto"/>
              <w:jc w:val="center"/>
              <w:rPr>
                <w:rFonts w:cs="Times New Roman"/>
                <w:noProof/>
              </w:rPr>
            </w:pPr>
            <w:r w:rsidRPr="00BC4EE7">
              <w:rPr>
                <w:rFonts w:cs="Times New Roman"/>
                <w:noProof/>
              </w:rPr>
              <w:t>C5.I2</w:t>
            </w:r>
          </w:p>
        </w:tc>
        <w:tc>
          <w:tcPr>
            <w:tcW w:w="992" w:type="dxa"/>
            <w:shd w:val="clear" w:color="auto" w:fill="C6EFCE"/>
            <w:noWrap/>
          </w:tcPr>
          <w:p w14:paraId="6476813C" w14:textId="65E59603" w:rsidR="00D65CB4" w:rsidRPr="00BC4EE7" w:rsidRDefault="00572307">
            <w:pPr>
              <w:pStyle w:val="P68B1DB1-Normal12"/>
              <w:spacing w:after="0" w:line="240" w:lineRule="auto"/>
              <w:jc w:val="center"/>
              <w:rPr>
                <w:rFonts w:cs="Times New Roman"/>
                <w:noProof/>
              </w:rPr>
            </w:pPr>
            <w:r w:rsidRPr="00BC4EE7">
              <w:rPr>
                <w:rFonts w:cs="Times New Roman"/>
                <w:noProof/>
              </w:rPr>
              <w:t>M</w:t>
            </w:r>
          </w:p>
        </w:tc>
        <w:tc>
          <w:tcPr>
            <w:tcW w:w="2126" w:type="dxa"/>
            <w:shd w:val="clear" w:color="auto" w:fill="C6EFCE"/>
            <w:noWrap/>
          </w:tcPr>
          <w:p w14:paraId="3148BB15" w14:textId="33B8F03F" w:rsidR="00D65CB4" w:rsidRPr="00BC4EE7" w:rsidRDefault="00572307">
            <w:pPr>
              <w:pStyle w:val="P68B1DB1-Normal12"/>
              <w:spacing w:after="0" w:line="240" w:lineRule="auto"/>
              <w:rPr>
                <w:rFonts w:cs="Times New Roman"/>
                <w:noProof/>
              </w:rPr>
            </w:pPr>
            <w:r w:rsidRPr="00BC4EE7">
              <w:rPr>
                <w:rFonts w:cs="Times New Roman"/>
                <w:noProof/>
              </w:rPr>
              <w:t>Fotovillamosenergia-szolgáltatás sótalanító üzemek számára és elosztása</w:t>
            </w:r>
          </w:p>
        </w:tc>
        <w:tc>
          <w:tcPr>
            <w:tcW w:w="1145" w:type="dxa"/>
            <w:shd w:val="clear" w:color="auto" w:fill="C6EFCE"/>
            <w:noWrap/>
          </w:tcPr>
          <w:p w14:paraId="4E3DD7C4" w14:textId="4D3FFD06" w:rsidR="00D65CB4" w:rsidRPr="00BC4EE7" w:rsidRDefault="00572307">
            <w:pPr>
              <w:pStyle w:val="P68B1DB1-Normal12"/>
              <w:spacing w:after="0" w:line="240" w:lineRule="auto"/>
              <w:jc w:val="center"/>
              <w:rPr>
                <w:rFonts w:cs="Times New Roman"/>
                <w:noProof/>
              </w:rPr>
            </w:pPr>
            <w:r w:rsidRPr="00BC4EE7">
              <w:rPr>
                <w:rFonts w:cs="Times New Roman"/>
                <w:noProof/>
              </w:rPr>
              <w:t>A megtakarításokat igazoló külső jelentés</w:t>
            </w:r>
          </w:p>
        </w:tc>
        <w:tc>
          <w:tcPr>
            <w:tcW w:w="949" w:type="dxa"/>
            <w:shd w:val="clear" w:color="auto" w:fill="C6EFCE"/>
            <w:noWrap/>
          </w:tcPr>
          <w:p w14:paraId="358B4A74" w14:textId="77777777" w:rsidR="00D65CB4" w:rsidRPr="00BC4EE7" w:rsidRDefault="00D65CB4">
            <w:pPr>
              <w:spacing w:after="0" w:line="240" w:lineRule="auto"/>
              <w:jc w:val="right"/>
              <w:rPr>
                <w:rFonts w:ascii="Times New Roman" w:hAnsi="Times New Roman" w:cs="Times New Roman"/>
                <w:noProof/>
                <w:sz w:val="18"/>
              </w:rPr>
            </w:pPr>
          </w:p>
        </w:tc>
        <w:tc>
          <w:tcPr>
            <w:tcW w:w="949" w:type="dxa"/>
            <w:shd w:val="clear" w:color="auto" w:fill="C6EFCE"/>
            <w:noWrap/>
          </w:tcPr>
          <w:p w14:paraId="3BB40C39" w14:textId="77777777" w:rsidR="00D65CB4" w:rsidRPr="00BC4EE7" w:rsidRDefault="00D65CB4">
            <w:pPr>
              <w:spacing w:after="0" w:line="240" w:lineRule="auto"/>
              <w:jc w:val="right"/>
              <w:rPr>
                <w:rFonts w:ascii="Times New Roman" w:hAnsi="Times New Roman" w:cs="Times New Roman"/>
                <w:noProof/>
                <w:sz w:val="18"/>
              </w:rPr>
            </w:pPr>
          </w:p>
        </w:tc>
        <w:tc>
          <w:tcPr>
            <w:tcW w:w="679" w:type="dxa"/>
            <w:shd w:val="clear" w:color="auto" w:fill="C6EFCE"/>
            <w:noWrap/>
          </w:tcPr>
          <w:p w14:paraId="0545B682" w14:textId="77777777" w:rsidR="00D65CB4" w:rsidRPr="00BC4EE7" w:rsidRDefault="00D65CB4">
            <w:pPr>
              <w:spacing w:after="0" w:line="240" w:lineRule="auto"/>
              <w:jc w:val="right"/>
              <w:rPr>
                <w:rFonts w:ascii="Times New Roman" w:hAnsi="Times New Roman" w:cs="Times New Roman"/>
                <w:noProof/>
                <w:sz w:val="18"/>
              </w:rPr>
            </w:pPr>
          </w:p>
        </w:tc>
        <w:tc>
          <w:tcPr>
            <w:tcW w:w="409" w:type="dxa"/>
            <w:shd w:val="clear" w:color="auto" w:fill="C6EFCE"/>
            <w:noWrap/>
          </w:tcPr>
          <w:p w14:paraId="5E775DDC" w14:textId="2ADAA3DA"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544" w:type="dxa"/>
            <w:shd w:val="clear" w:color="auto" w:fill="C6EFCE"/>
            <w:noWrap/>
          </w:tcPr>
          <w:p w14:paraId="2458A973" w14:textId="20CC9F6A" w:rsidR="00D65CB4" w:rsidRPr="00BC4EE7" w:rsidRDefault="00572307">
            <w:pPr>
              <w:pStyle w:val="P68B1DB1-Normal12"/>
              <w:spacing w:after="0" w:line="240" w:lineRule="auto"/>
              <w:jc w:val="center"/>
              <w:rPr>
                <w:rFonts w:cs="Times New Roman"/>
                <w:noProof/>
              </w:rPr>
            </w:pPr>
            <w:r w:rsidRPr="00BC4EE7">
              <w:rPr>
                <w:rFonts w:cs="Times New Roman"/>
                <w:noProof/>
              </w:rPr>
              <w:t>2026</w:t>
            </w:r>
          </w:p>
        </w:tc>
        <w:tc>
          <w:tcPr>
            <w:tcW w:w="5815" w:type="dxa"/>
            <w:shd w:val="clear" w:color="auto" w:fill="C6EFCE"/>
            <w:noWrap/>
          </w:tcPr>
          <w:p w14:paraId="78696329" w14:textId="650C6858" w:rsidR="00D65CB4" w:rsidRPr="00BC4EE7" w:rsidRDefault="00572307">
            <w:pPr>
              <w:pStyle w:val="P68B1DB1-Normal12"/>
              <w:spacing w:after="0" w:line="240" w:lineRule="auto"/>
              <w:rPr>
                <w:rFonts w:cs="Times New Roman"/>
                <w:noProof/>
              </w:rPr>
            </w:pPr>
            <w:r w:rsidRPr="00BC4EE7">
              <w:rPr>
                <w:rFonts w:cs="Times New Roman"/>
                <w:noProof/>
              </w:rPr>
              <w:t xml:space="preserve">A murciai és almeríai sótalanító üzemekben (Torrevieja, Valdelentisco, Águilas Carboneras, Bajo Almanzora és Campo de Dalias) felhasznált energia 35%-át, valamint a Júcar-Vinalopó közötti vízszállítást fotovoltaikus energiával történő saját fogyasztással helyettesítse.  </w:t>
            </w:r>
          </w:p>
        </w:tc>
      </w:tr>
      <w:tr w:rsidR="00D65CB4" w:rsidRPr="00BC4EE7" w14:paraId="4204513B" w14:textId="77777777" w:rsidTr="00481CF8">
        <w:trPr>
          <w:trHeight w:val="309"/>
        </w:trPr>
        <w:tc>
          <w:tcPr>
            <w:tcW w:w="822" w:type="dxa"/>
            <w:shd w:val="clear" w:color="auto" w:fill="C6EFCE"/>
            <w:noWrap/>
          </w:tcPr>
          <w:p w14:paraId="454C5040" w14:textId="7249954A" w:rsidR="00D65CB4" w:rsidRPr="00BC4EE7" w:rsidRDefault="00572307">
            <w:pPr>
              <w:pStyle w:val="P68B1DB1-Normal12"/>
              <w:spacing w:after="0" w:line="240" w:lineRule="auto"/>
              <w:jc w:val="center"/>
              <w:rPr>
                <w:rFonts w:cs="Times New Roman"/>
                <w:noProof/>
              </w:rPr>
            </w:pPr>
            <w:r w:rsidRPr="00BC4EE7">
              <w:rPr>
                <w:rFonts w:cs="Times New Roman"/>
                <w:noProof/>
              </w:rPr>
              <w:t>430</w:t>
            </w:r>
          </w:p>
        </w:tc>
        <w:tc>
          <w:tcPr>
            <w:tcW w:w="1022" w:type="dxa"/>
            <w:shd w:val="clear" w:color="auto" w:fill="C6EFCE"/>
            <w:noWrap/>
          </w:tcPr>
          <w:p w14:paraId="1BAF7D32" w14:textId="0BF1273B" w:rsidR="00D65CB4" w:rsidRPr="00BC4EE7" w:rsidRDefault="00572307">
            <w:pPr>
              <w:pStyle w:val="P68B1DB1-Normal12"/>
              <w:spacing w:after="0" w:line="240" w:lineRule="auto"/>
              <w:jc w:val="center"/>
              <w:rPr>
                <w:rFonts w:cs="Times New Roman"/>
                <w:noProof/>
              </w:rPr>
            </w:pPr>
            <w:r w:rsidRPr="00BC4EE7">
              <w:rPr>
                <w:rFonts w:cs="Times New Roman"/>
                <w:noProof/>
              </w:rPr>
              <w:t>C5.I3</w:t>
            </w:r>
          </w:p>
        </w:tc>
        <w:tc>
          <w:tcPr>
            <w:tcW w:w="992" w:type="dxa"/>
            <w:shd w:val="clear" w:color="auto" w:fill="C6EFCE"/>
            <w:noWrap/>
          </w:tcPr>
          <w:p w14:paraId="3662A7C1" w14:textId="3D7AB2EA" w:rsidR="00D65CB4" w:rsidRPr="00BC4EE7" w:rsidRDefault="00572307">
            <w:pPr>
              <w:pStyle w:val="P68B1DB1-Normal12"/>
              <w:spacing w:after="0" w:line="240" w:lineRule="auto"/>
              <w:jc w:val="center"/>
              <w:rPr>
                <w:rFonts w:cs="Times New Roman"/>
                <w:noProof/>
              </w:rPr>
            </w:pPr>
            <w:r w:rsidRPr="00BC4EE7">
              <w:rPr>
                <w:rFonts w:cs="Times New Roman"/>
                <w:noProof/>
              </w:rPr>
              <w:t>M</w:t>
            </w:r>
          </w:p>
        </w:tc>
        <w:tc>
          <w:tcPr>
            <w:tcW w:w="2126" w:type="dxa"/>
            <w:shd w:val="clear" w:color="auto" w:fill="C6EFCE"/>
            <w:noWrap/>
          </w:tcPr>
          <w:p w14:paraId="01CA609F" w14:textId="272E827E" w:rsidR="00D65CB4" w:rsidRPr="00BC4EE7" w:rsidRDefault="00572307">
            <w:pPr>
              <w:pStyle w:val="P68B1DB1-Normal12"/>
              <w:spacing w:after="0" w:line="240" w:lineRule="auto"/>
              <w:rPr>
                <w:rFonts w:cs="Times New Roman"/>
                <w:noProof/>
              </w:rPr>
            </w:pPr>
            <w:r w:rsidRPr="00BC4EE7">
              <w:rPr>
                <w:rFonts w:cs="Times New Roman"/>
                <w:noProof/>
              </w:rPr>
              <w:t>A vízfelhasználók digitalizációját célzó PERTE-intézkedések</w:t>
            </w:r>
          </w:p>
        </w:tc>
        <w:tc>
          <w:tcPr>
            <w:tcW w:w="1145" w:type="dxa"/>
            <w:shd w:val="clear" w:color="auto" w:fill="C6EFCE"/>
            <w:noWrap/>
          </w:tcPr>
          <w:p w14:paraId="4BE96E81" w14:textId="689F4251" w:rsidR="00D65CB4" w:rsidRPr="00BC4EE7" w:rsidRDefault="00572307">
            <w:pPr>
              <w:pStyle w:val="P68B1DB1-Normal12"/>
              <w:spacing w:after="0" w:line="240" w:lineRule="auto"/>
              <w:jc w:val="center"/>
              <w:rPr>
                <w:rFonts w:cs="Times New Roman"/>
                <w:noProof/>
              </w:rPr>
            </w:pPr>
            <w:r w:rsidRPr="00BC4EE7">
              <w:rPr>
                <w:rFonts w:cs="Times New Roman"/>
                <w:noProof/>
              </w:rPr>
              <w:t>A munkálatokról szóló hivatalos értesítés véglegesítése</w:t>
            </w:r>
          </w:p>
        </w:tc>
        <w:tc>
          <w:tcPr>
            <w:tcW w:w="949" w:type="dxa"/>
            <w:shd w:val="clear" w:color="auto" w:fill="C6EFCE"/>
            <w:noWrap/>
          </w:tcPr>
          <w:p w14:paraId="5541344A" w14:textId="77777777" w:rsidR="00D65CB4" w:rsidRPr="00BC4EE7" w:rsidRDefault="00D65CB4">
            <w:pPr>
              <w:spacing w:after="0" w:line="240" w:lineRule="auto"/>
              <w:jc w:val="right"/>
              <w:rPr>
                <w:rFonts w:ascii="Times New Roman" w:hAnsi="Times New Roman" w:cs="Times New Roman"/>
                <w:noProof/>
                <w:sz w:val="18"/>
              </w:rPr>
            </w:pPr>
          </w:p>
        </w:tc>
        <w:tc>
          <w:tcPr>
            <w:tcW w:w="949" w:type="dxa"/>
            <w:shd w:val="clear" w:color="auto" w:fill="C6EFCE"/>
            <w:noWrap/>
          </w:tcPr>
          <w:p w14:paraId="417FDB2A" w14:textId="77777777" w:rsidR="00D65CB4" w:rsidRPr="00BC4EE7" w:rsidRDefault="00D65CB4">
            <w:pPr>
              <w:spacing w:after="0" w:line="240" w:lineRule="auto"/>
              <w:jc w:val="right"/>
              <w:rPr>
                <w:rFonts w:ascii="Times New Roman" w:hAnsi="Times New Roman" w:cs="Times New Roman"/>
                <w:noProof/>
                <w:sz w:val="18"/>
              </w:rPr>
            </w:pPr>
          </w:p>
        </w:tc>
        <w:tc>
          <w:tcPr>
            <w:tcW w:w="679" w:type="dxa"/>
            <w:shd w:val="clear" w:color="auto" w:fill="C6EFCE"/>
            <w:noWrap/>
          </w:tcPr>
          <w:p w14:paraId="6107C3C1" w14:textId="77777777" w:rsidR="00D65CB4" w:rsidRPr="00BC4EE7" w:rsidRDefault="00D65CB4">
            <w:pPr>
              <w:spacing w:after="0" w:line="240" w:lineRule="auto"/>
              <w:jc w:val="right"/>
              <w:rPr>
                <w:rFonts w:ascii="Times New Roman" w:hAnsi="Times New Roman" w:cs="Times New Roman"/>
                <w:noProof/>
                <w:sz w:val="18"/>
              </w:rPr>
            </w:pPr>
          </w:p>
        </w:tc>
        <w:tc>
          <w:tcPr>
            <w:tcW w:w="409" w:type="dxa"/>
            <w:shd w:val="clear" w:color="auto" w:fill="C6EFCE"/>
            <w:noWrap/>
          </w:tcPr>
          <w:p w14:paraId="01EDB9BB" w14:textId="40C01217"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544" w:type="dxa"/>
            <w:shd w:val="clear" w:color="auto" w:fill="C6EFCE"/>
            <w:noWrap/>
          </w:tcPr>
          <w:p w14:paraId="17FADCA7" w14:textId="2382CF14" w:rsidR="00D65CB4" w:rsidRPr="00BC4EE7" w:rsidRDefault="00572307">
            <w:pPr>
              <w:pStyle w:val="P68B1DB1-Normal12"/>
              <w:spacing w:after="0" w:line="240" w:lineRule="auto"/>
              <w:jc w:val="center"/>
              <w:rPr>
                <w:rFonts w:cs="Times New Roman"/>
                <w:noProof/>
              </w:rPr>
            </w:pPr>
            <w:r w:rsidRPr="00BC4EE7">
              <w:rPr>
                <w:rFonts w:cs="Times New Roman"/>
                <w:noProof/>
              </w:rPr>
              <w:t>2026</w:t>
            </w:r>
          </w:p>
        </w:tc>
        <w:tc>
          <w:tcPr>
            <w:tcW w:w="5815" w:type="dxa"/>
            <w:shd w:val="clear" w:color="auto" w:fill="C6EFCE"/>
            <w:noWrap/>
          </w:tcPr>
          <w:p w14:paraId="0DEFC279" w14:textId="6C4EFA1F" w:rsidR="00D65CB4" w:rsidRPr="00BC4EE7" w:rsidRDefault="00572307">
            <w:pPr>
              <w:pStyle w:val="P68B1DB1-Normal12"/>
              <w:spacing w:after="0" w:line="240" w:lineRule="auto"/>
              <w:rPr>
                <w:rFonts w:cs="Times New Roman"/>
                <w:noProof/>
              </w:rPr>
            </w:pPr>
            <w:r w:rsidRPr="00BC4EE7">
              <w:rPr>
                <w:rFonts w:cs="Times New Roman"/>
                <w:noProof/>
              </w:rPr>
              <w:t>Legalább 5000000 lakos részesül a városi vízkörforgás digitalizálására irányuló projektek használatbavételéből, és legalább 200000 hektáron részesül a digitális öntözési csomagból a vízhasználat digitalizálására irányuló PERTE részeként.</w:t>
            </w:r>
          </w:p>
        </w:tc>
      </w:tr>
      <w:tr w:rsidR="00D65CB4" w:rsidRPr="00BC4EE7" w14:paraId="15BF41AD" w14:textId="77777777" w:rsidTr="00481CF8">
        <w:trPr>
          <w:trHeight w:val="309"/>
        </w:trPr>
        <w:tc>
          <w:tcPr>
            <w:tcW w:w="822" w:type="dxa"/>
            <w:shd w:val="clear" w:color="auto" w:fill="C6EFCE"/>
            <w:noWrap/>
          </w:tcPr>
          <w:p w14:paraId="43F02807" w14:textId="06550A44" w:rsidR="00D65CB4" w:rsidRPr="00BC4EE7" w:rsidRDefault="00572307">
            <w:pPr>
              <w:pStyle w:val="P68B1DB1-Normal12"/>
              <w:spacing w:after="0" w:line="240" w:lineRule="auto"/>
              <w:jc w:val="center"/>
              <w:rPr>
                <w:rFonts w:cs="Times New Roman"/>
                <w:noProof/>
              </w:rPr>
            </w:pPr>
            <w:r w:rsidRPr="00BC4EE7">
              <w:rPr>
                <w:rFonts w:cs="Times New Roman"/>
                <w:noProof/>
              </w:rPr>
              <w:t xml:space="preserve">79 </w:t>
            </w:r>
          </w:p>
        </w:tc>
        <w:tc>
          <w:tcPr>
            <w:tcW w:w="1022" w:type="dxa"/>
            <w:shd w:val="clear" w:color="auto" w:fill="C6EFCE"/>
            <w:noWrap/>
          </w:tcPr>
          <w:p w14:paraId="69C258CB"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C5.I3</w:t>
            </w:r>
          </w:p>
        </w:tc>
        <w:tc>
          <w:tcPr>
            <w:tcW w:w="992" w:type="dxa"/>
            <w:shd w:val="clear" w:color="auto" w:fill="C6EFCE"/>
            <w:noWrap/>
          </w:tcPr>
          <w:p w14:paraId="0B4835D4"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M</w:t>
            </w:r>
          </w:p>
        </w:tc>
        <w:tc>
          <w:tcPr>
            <w:tcW w:w="2126" w:type="dxa"/>
            <w:shd w:val="clear" w:color="auto" w:fill="C6EFCE"/>
            <w:noWrap/>
          </w:tcPr>
          <w:p w14:paraId="1B2C2561" w14:textId="765E79E8" w:rsidR="00D65CB4" w:rsidRPr="00BC4EE7" w:rsidRDefault="00572307">
            <w:pPr>
              <w:pStyle w:val="P68B1DB1-Normal12"/>
              <w:spacing w:after="0" w:line="240" w:lineRule="auto"/>
              <w:rPr>
                <w:rFonts w:cs="Times New Roman"/>
                <w:noProof/>
              </w:rPr>
            </w:pPr>
            <w:r w:rsidRPr="00BC4EE7">
              <w:rPr>
                <w:rFonts w:cs="Times New Roman"/>
                <w:noProof/>
              </w:rPr>
              <w:t xml:space="preserve">A vízkészletek ismeretének és felhasználásának javítását, valamint az esőzések és más meteorológiai adatok nyomon követését szolgáló eszközök végrehajtására irányuló szerződések odaítélése </w:t>
            </w:r>
          </w:p>
        </w:tc>
        <w:tc>
          <w:tcPr>
            <w:tcW w:w="1145" w:type="dxa"/>
            <w:shd w:val="clear" w:color="auto" w:fill="C6EFCE"/>
            <w:noWrap/>
          </w:tcPr>
          <w:p w14:paraId="674C043C" w14:textId="2177AD92" w:rsidR="00D65CB4" w:rsidRPr="00BC4EE7" w:rsidRDefault="00572307">
            <w:pPr>
              <w:pStyle w:val="P68B1DB1-Normal12"/>
              <w:spacing w:after="0" w:line="240" w:lineRule="auto"/>
              <w:jc w:val="center"/>
              <w:rPr>
                <w:rFonts w:cs="Times New Roman"/>
                <w:noProof/>
              </w:rPr>
            </w:pPr>
            <w:r w:rsidRPr="00BC4EE7">
              <w:rPr>
                <w:rFonts w:cs="Times New Roman"/>
                <w:noProof/>
              </w:rPr>
              <w:t>Odaítélt szerződések</w:t>
            </w:r>
          </w:p>
        </w:tc>
        <w:tc>
          <w:tcPr>
            <w:tcW w:w="949" w:type="dxa"/>
            <w:shd w:val="clear" w:color="auto" w:fill="C6EFCE"/>
            <w:noWrap/>
          </w:tcPr>
          <w:p w14:paraId="4D855984"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 xml:space="preserve"> </w:t>
            </w:r>
          </w:p>
        </w:tc>
        <w:tc>
          <w:tcPr>
            <w:tcW w:w="949" w:type="dxa"/>
            <w:shd w:val="clear" w:color="auto" w:fill="C6EFCE"/>
            <w:noWrap/>
          </w:tcPr>
          <w:p w14:paraId="6CE2FCB8"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 xml:space="preserve"> </w:t>
            </w:r>
          </w:p>
        </w:tc>
        <w:tc>
          <w:tcPr>
            <w:tcW w:w="679" w:type="dxa"/>
            <w:shd w:val="clear" w:color="auto" w:fill="C6EFCE"/>
            <w:noWrap/>
          </w:tcPr>
          <w:p w14:paraId="6A84B78A"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 xml:space="preserve"> </w:t>
            </w:r>
          </w:p>
        </w:tc>
        <w:tc>
          <w:tcPr>
            <w:tcW w:w="409" w:type="dxa"/>
            <w:shd w:val="clear" w:color="auto" w:fill="C6EFCE"/>
            <w:noWrap/>
          </w:tcPr>
          <w:p w14:paraId="233DE13E" w14:textId="09727D1B"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544" w:type="dxa"/>
            <w:shd w:val="clear" w:color="auto" w:fill="C6EFCE"/>
            <w:noWrap/>
          </w:tcPr>
          <w:p w14:paraId="1C934F3F" w14:textId="2E968EB1" w:rsidR="00D65CB4" w:rsidRPr="00BC4EE7" w:rsidRDefault="00572307">
            <w:pPr>
              <w:pStyle w:val="P68B1DB1-Normal12"/>
              <w:spacing w:after="0" w:line="240" w:lineRule="auto"/>
              <w:jc w:val="center"/>
              <w:rPr>
                <w:rFonts w:cs="Times New Roman"/>
                <w:noProof/>
              </w:rPr>
            </w:pPr>
            <w:r w:rsidRPr="00BC4EE7">
              <w:rPr>
                <w:rFonts w:cs="Times New Roman"/>
                <w:noProof/>
              </w:rPr>
              <w:t>2023</w:t>
            </w:r>
          </w:p>
        </w:tc>
        <w:tc>
          <w:tcPr>
            <w:tcW w:w="5815" w:type="dxa"/>
            <w:shd w:val="clear" w:color="auto" w:fill="C6EFCE"/>
            <w:noWrap/>
          </w:tcPr>
          <w:p w14:paraId="43D09E20" w14:textId="074A9049" w:rsidR="00D65CB4" w:rsidRPr="00BC4EE7" w:rsidRDefault="00572307">
            <w:pPr>
              <w:pStyle w:val="P68B1DB1-Normal12"/>
              <w:spacing w:after="0" w:line="240" w:lineRule="auto"/>
              <w:rPr>
                <w:rFonts w:cs="Times New Roman"/>
                <w:noProof/>
              </w:rPr>
            </w:pPr>
            <w:r w:rsidRPr="00BC4EE7">
              <w:rPr>
                <w:rFonts w:cs="Times New Roman"/>
                <w:noProof/>
              </w:rPr>
              <w:t>26 eszköz vagy megújított infrastruktúra megvalósítására irányuló szerződések odaítélése a vízkészletek ismeretének és felhasználásának javítása, valamint az esőzések és más meteorológiai adatok nyomon követése érdekében az éghajlati kockázatok megelőzése érdekében. Az intézkedések elsősorban az elektronikus víznyilvántartás megtervezéséhez és végrehajtásához, a hidrológiai adatok kezeléséhez és a vízminőséghez, a fájlok feldolgozásának digitalizálásához, valamint a légiforgalmi meteorológiai felügyeleti hálózat korszerűsítéséhez kapcsolódnak.</w:t>
            </w:r>
          </w:p>
        </w:tc>
      </w:tr>
      <w:tr w:rsidR="00D65CB4" w:rsidRPr="00BC4EE7" w14:paraId="45F41C16" w14:textId="77777777" w:rsidTr="00481CF8">
        <w:trPr>
          <w:trHeight w:val="309"/>
        </w:trPr>
        <w:tc>
          <w:tcPr>
            <w:tcW w:w="822" w:type="dxa"/>
            <w:shd w:val="clear" w:color="auto" w:fill="C6EFCE"/>
            <w:noWrap/>
          </w:tcPr>
          <w:p w14:paraId="38F3D7FE" w14:textId="16B5EE7E" w:rsidR="00D65CB4" w:rsidRPr="00BC4EE7" w:rsidRDefault="00572307">
            <w:pPr>
              <w:pStyle w:val="P68B1DB1-Normal12"/>
              <w:spacing w:after="0" w:line="240" w:lineRule="auto"/>
              <w:jc w:val="center"/>
              <w:rPr>
                <w:rFonts w:cs="Times New Roman"/>
                <w:noProof/>
              </w:rPr>
            </w:pPr>
            <w:r w:rsidRPr="00BC4EE7">
              <w:rPr>
                <w:rFonts w:cs="Times New Roman"/>
                <w:noProof/>
              </w:rPr>
              <w:t>426</w:t>
            </w:r>
          </w:p>
        </w:tc>
        <w:tc>
          <w:tcPr>
            <w:tcW w:w="1022" w:type="dxa"/>
            <w:shd w:val="clear" w:color="auto" w:fill="C6EFCE"/>
            <w:noWrap/>
          </w:tcPr>
          <w:p w14:paraId="7DB1F380" w14:textId="3104BA05" w:rsidR="00D65CB4" w:rsidRPr="00BC4EE7" w:rsidRDefault="00572307">
            <w:pPr>
              <w:pStyle w:val="P68B1DB1-Normal12"/>
              <w:spacing w:after="0" w:line="240" w:lineRule="auto"/>
              <w:jc w:val="center"/>
              <w:rPr>
                <w:rFonts w:cs="Times New Roman"/>
                <w:noProof/>
              </w:rPr>
            </w:pPr>
            <w:r w:rsidRPr="00BC4EE7">
              <w:rPr>
                <w:rFonts w:cs="Times New Roman"/>
                <w:noProof/>
              </w:rPr>
              <w:t>C5.I3</w:t>
            </w:r>
          </w:p>
        </w:tc>
        <w:tc>
          <w:tcPr>
            <w:tcW w:w="992" w:type="dxa"/>
            <w:shd w:val="clear" w:color="auto" w:fill="C6EFCE"/>
            <w:noWrap/>
          </w:tcPr>
          <w:p w14:paraId="2ED7799A" w14:textId="51C29EC5" w:rsidR="00D65CB4" w:rsidRPr="00BC4EE7" w:rsidRDefault="00572307">
            <w:pPr>
              <w:pStyle w:val="P68B1DB1-Normal12"/>
              <w:spacing w:after="0" w:line="240" w:lineRule="auto"/>
              <w:jc w:val="center"/>
              <w:rPr>
                <w:rFonts w:cs="Times New Roman"/>
                <w:noProof/>
              </w:rPr>
            </w:pPr>
            <w:r w:rsidRPr="00BC4EE7">
              <w:rPr>
                <w:rFonts w:cs="Times New Roman"/>
                <w:noProof/>
              </w:rPr>
              <w:t>M</w:t>
            </w:r>
          </w:p>
        </w:tc>
        <w:tc>
          <w:tcPr>
            <w:tcW w:w="2126" w:type="dxa"/>
            <w:shd w:val="clear" w:color="auto" w:fill="C6EFCE"/>
            <w:noWrap/>
          </w:tcPr>
          <w:p w14:paraId="1B60C56A" w14:textId="25B3D256" w:rsidR="00D65CB4" w:rsidRPr="00BC4EE7" w:rsidRDefault="00572307">
            <w:pPr>
              <w:pStyle w:val="P68B1DB1-Normal12"/>
              <w:spacing w:after="0" w:line="240" w:lineRule="auto"/>
              <w:rPr>
                <w:rFonts w:cs="Times New Roman"/>
                <w:noProof/>
              </w:rPr>
            </w:pPr>
            <w:r w:rsidRPr="00BC4EE7">
              <w:rPr>
                <w:rFonts w:cs="Times New Roman"/>
                <w:noProof/>
              </w:rPr>
              <w:t>A vízkészletek ismeretének és felhasználásának javítását, valamint a csapadékmennyiség és más meteorológiai adatok nyomon követését szolgáló eszközök üzembe helyezése</w:t>
            </w:r>
          </w:p>
        </w:tc>
        <w:tc>
          <w:tcPr>
            <w:tcW w:w="1145" w:type="dxa"/>
            <w:shd w:val="clear" w:color="auto" w:fill="C6EFCE"/>
            <w:noWrap/>
          </w:tcPr>
          <w:p w14:paraId="6A823D63" w14:textId="2BBD2D25" w:rsidR="00D65CB4" w:rsidRPr="00BC4EE7" w:rsidRDefault="00572307">
            <w:pPr>
              <w:pStyle w:val="P68B1DB1-Normal12"/>
              <w:spacing w:after="0" w:line="240" w:lineRule="auto"/>
              <w:jc w:val="center"/>
              <w:rPr>
                <w:rFonts w:cs="Times New Roman"/>
                <w:noProof/>
              </w:rPr>
            </w:pPr>
            <w:r w:rsidRPr="00BC4EE7">
              <w:rPr>
                <w:rFonts w:cs="Times New Roman"/>
                <w:noProof/>
              </w:rPr>
              <w:t>A MITERD által aláírt tanúsítványok</w:t>
            </w:r>
          </w:p>
        </w:tc>
        <w:tc>
          <w:tcPr>
            <w:tcW w:w="949" w:type="dxa"/>
            <w:shd w:val="clear" w:color="auto" w:fill="C6EFCE"/>
            <w:noWrap/>
          </w:tcPr>
          <w:p w14:paraId="2179DC8D" w14:textId="77777777" w:rsidR="00D65CB4" w:rsidRPr="00BC4EE7" w:rsidRDefault="00D65CB4">
            <w:pPr>
              <w:spacing w:after="0" w:line="240" w:lineRule="auto"/>
              <w:jc w:val="right"/>
              <w:rPr>
                <w:rFonts w:ascii="Times New Roman" w:hAnsi="Times New Roman" w:cs="Times New Roman"/>
                <w:noProof/>
                <w:sz w:val="18"/>
              </w:rPr>
            </w:pPr>
          </w:p>
        </w:tc>
        <w:tc>
          <w:tcPr>
            <w:tcW w:w="949" w:type="dxa"/>
            <w:shd w:val="clear" w:color="auto" w:fill="C6EFCE"/>
            <w:noWrap/>
          </w:tcPr>
          <w:p w14:paraId="5B0EE20A" w14:textId="77777777" w:rsidR="00D65CB4" w:rsidRPr="00BC4EE7" w:rsidRDefault="00D65CB4">
            <w:pPr>
              <w:spacing w:after="0" w:line="240" w:lineRule="auto"/>
              <w:jc w:val="right"/>
              <w:rPr>
                <w:rFonts w:ascii="Times New Roman" w:hAnsi="Times New Roman" w:cs="Times New Roman"/>
                <w:noProof/>
                <w:sz w:val="18"/>
              </w:rPr>
            </w:pPr>
          </w:p>
        </w:tc>
        <w:tc>
          <w:tcPr>
            <w:tcW w:w="679" w:type="dxa"/>
            <w:shd w:val="clear" w:color="auto" w:fill="C6EFCE"/>
            <w:noWrap/>
          </w:tcPr>
          <w:p w14:paraId="65028B26" w14:textId="77777777" w:rsidR="00D65CB4" w:rsidRPr="00BC4EE7" w:rsidRDefault="00D65CB4">
            <w:pPr>
              <w:spacing w:after="0" w:line="240" w:lineRule="auto"/>
              <w:jc w:val="right"/>
              <w:rPr>
                <w:rFonts w:ascii="Times New Roman" w:hAnsi="Times New Roman" w:cs="Times New Roman"/>
                <w:noProof/>
                <w:sz w:val="18"/>
              </w:rPr>
            </w:pPr>
          </w:p>
        </w:tc>
        <w:tc>
          <w:tcPr>
            <w:tcW w:w="409" w:type="dxa"/>
            <w:shd w:val="clear" w:color="auto" w:fill="C6EFCE"/>
            <w:noWrap/>
          </w:tcPr>
          <w:p w14:paraId="2DA111C3" w14:textId="5F52D8EE"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544" w:type="dxa"/>
            <w:shd w:val="clear" w:color="auto" w:fill="C6EFCE"/>
            <w:noWrap/>
          </w:tcPr>
          <w:p w14:paraId="17334155" w14:textId="05F8D019" w:rsidR="00D65CB4" w:rsidRPr="00BC4EE7" w:rsidRDefault="00572307">
            <w:pPr>
              <w:pStyle w:val="P68B1DB1-Normal12"/>
              <w:spacing w:after="0" w:line="240" w:lineRule="auto"/>
              <w:jc w:val="center"/>
              <w:rPr>
                <w:rFonts w:cs="Times New Roman"/>
                <w:noProof/>
              </w:rPr>
            </w:pPr>
            <w:r w:rsidRPr="00BC4EE7">
              <w:rPr>
                <w:rFonts w:cs="Times New Roman"/>
                <w:noProof/>
              </w:rPr>
              <w:t>2026</w:t>
            </w:r>
          </w:p>
        </w:tc>
        <w:tc>
          <w:tcPr>
            <w:tcW w:w="5815" w:type="dxa"/>
            <w:shd w:val="clear" w:color="auto" w:fill="C6EFCE"/>
            <w:noWrap/>
          </w:tcPr>
          <w:p w14:paraId="245E050A" w14:textId="7FE79BF6" w:rsidR="00D65CB4" w:rsidRPr="00BC4EE7" w:rsidRDefault="00572307">
            <w:pPr>
              <w:pStyle w:val="P68B1DB1-Normal12"/>
              <w:spacing w:after="0" w:line="240" w:lineRule="auto"/>
              <w:rPr>
                <w:rFonts w:cs="Times New Roman"/>
                <w:noProof/>
              </w:rPr>
            </w:pPr>
            <w:r w:rsidRPr="00BC4EE7">
              <w:rPr>
                <w:rFonts w:cs="Times New Roman"/>
                <w:noProof/>
              </w:rPr>
              <w:t>26 eszköz üzembe helyezése vagy megújított infrastruktúra a vízkészletek ismeretének és felhasználásának javítása, valamint az esőzések és más meteorológiai adatok nyomon követése érdekében az éghajlati kockázatok megelőzése érdekében. Az intézkedések elsősorban az elektronikus víznyilvántartás megtervezéséhez és végrehajtásához, a hidrológiai adatok kezeléséhez és a vízminőséghez, a fájlok feldolgozásának digitalizálásához, valamint a légiforgalmi meteorológiai felügyeleti hálózat korszerűsítéséhez kapcsolódnak.</w:t>
            </w:r>
          </w:p>
        </w:tc>
      </w:tr>
      <w:tr w:rsidR="00D65CB4" w:rsidRPr="00BC4EE7" w14:paraId="1BAC1ACB" w14:textId="77777777" w:rsidTr="00481CF8">
        <w:trPr>
          <w:trHeight w:val="309"/>
        </w:trPr>
        <w:tc>
          <w:tcPr>
            <w:tcW w:w="822" w:type="dxa"/>
            <w:shd w:val="clear" w:color="auto" w:fill="C6EFCE"/>
            <w:noWrap/>
          </w:tcPr>
          <w:p w14:paraId="0F8EA849"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80</w:t>
            </w:r>
          </w:p>
        </w:tc>
        <w:tc>
          <w:tcPr>
            <w:tcW w:w="1022" w:type="dxa"/>
            <w:shd w:val="clear" w:color="auto" w:fill="C6EFCE"/>
            <w:noWrap/>
          </w:tcPr>
          <w:p w14:paraId="4032C757"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C5.I4</w:t>
            </w:r>
          </w:p>
        </w:tc>
        <w:tc>
          <w:tcPr>
            <w:tcW w:w="992" w:type="dxa"/>
            <w:shd w:val="clear" w:color="auto" w:fill="C6EFCE"/>
            <w:noWrap/>
          </w:tcPr>
          <w:p w14:paraId="01329650"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2126" w:type="dxa"/>
            <w:shd w:val="clear" w:color="auto" w:fill="C6EFCE"/>
            <w:noWrap/>
          </w:tcPr>
          <w:p w14:paraId="1178CAED" w14:textId="77777777" w:rsidR="00D65CB4" w:rsidRPr="00BC4EE7" w:rsidRDefault="00572307">
            <w:pPr>
              <w:pStyle w:val="P68B1DB1-Normal12"/>
              <w:spacing w:after="0" w:line="240" w:lineRule="auto"/>
              <w:rPr>
                <w:rFonts w:cs="Times New Roman"/>
                <w:noProof/>
              </w:rPr>
            </w:pPr>
            <w:r w:rsidRPr="00BC4EE7">
              <w:rPr>
                <w:rFonts w:cs="Times New Roman"/>
                <w:noProof/>
              </w:rPr>
              <w:t xml:space="preserve">A leromlott területek és ökoszisztémák helyreállítása legalább 50 kilométernyi partvonalon </w:t>
            </w:r>
          </w:p>
        </w:tc>
        <w:tc>
          <w:tcPr>
            <w:tcW w:w="1145" w:type="dxa"/>
            <w:shd w:val="clear" w:color="auto" w:fill="C6EFCE"/>
            <w:noWrap/>
          </w:tcPr>
          <w:p w14:paraId="7196D064" w14:textId="77777777" w:rsidR="00D65CB4" w:rsidRPr="00BC4EE7" w:rsidRDefault="00D65CB4">
            <w:pPr>
              <w:spacing w:after="0" w:line="240" w:lineRule="auto"/>
              <w:jc w:val="center"/>
              <w:rPr>
                <w:rFonts w:ascii="Times New Roman" w:hAnsi="Times New Roman" w:cs="Times New Roman"/>
                <w:noProof/>
                <w:sz w:val="18"/>
              </w:rPr>
            </w:pPr>
          </w:p>
        </w:tc>
        <w:tc>
          <w:tcPr>
            <w:tcW w:w="949" w:type="dxa"/>
            <w:shd w:val="clear" w:color="auto" w:fill="C6EFCE"/>
            <w:noWrap/>
          </w:tcPr>
          <w:p w14:paraId="7D0D37D8"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Szám (kilométer)</w:t>
            </w:r>
          </w:p>
        </w:tc>
        <w:tc>
          <w:tcPr>
            <w:tcW w:w="949" w:type="dxa"/>
            <w:shd w:val="clear" w:color="auto" w:fill="C6EFCE"/>
            <w:noWrap/>
          </w:tcPr>
          <w:p w14:paraId="5EC6149D"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0</w:t>
            </w:r>
          </w:p>
        </w:tc>
        <w:tc>
          <w:tcPr>
            <w:tcW w:w="679" w:type="dxa"/>
            <w:shd w:val="clear" w:color="auto" w:fill="C6EFCE"/>
            <w:noWrap/>
          </w:tcPr>
          <w:p w14:paraId="2EC8893D"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50</w:t>
            </w:r>
          </w:p>
        </w:tc>
        <w:tc>
          <w:tcPr>
            <w:tcW w:w="409" w:type="dxa"/>
            <w:shd w:val="clear" w:color="auto" w:fill="C6EFCE"/>
            <w:noWrap/>
          </w:tcPr>
          <w:p w14:paraId="76EBF224"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544" w:type="dxa"/>
            <w:shd w:val="clear" w:color="auto" w:fill="C6EFCE"/>
            <w:noWrap/>
          </w:tcPr>
          <w:p w14:paraId="7506936E"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2022</w:t>
            </w:r>
          </w:p>
        </w:tc>
        <w:tc>
          <w:tcPr>
            <w:tcW w:w="5815" w:type="dxa"/>
            <w:shd w:val="clear" w:color="auto" w:fill="C6EFCE"/>
            <w:noWrap/>
          </w:tcPr>
          <w:p w14:paraId="19ECDCCC" w14:textId="528DF69E" w:rsidR="00D65CB4" w:rsidRPr="00BC4EE7" w:rsidRDefault="00572307">
            <w:pPr>
              <w:spacing w:after="0" w:line="240" w:lineRule="auto"/>
              <w:rPr>
                <w:rFonts w:ascii="Times New Roman" w:hAnsi="Times New Roman" w:cs="Times New Roman"/>
                <w:noProof/>
                <w:sz w:val="18"/>
              </w:rPr>
            </w:pPr>
            <w:r w:rsidRPr="00BC4EE7">
              <w:rPr>
                <w:rFonts w:ascii="Times New Roman" w:hAnsi="Times New Roman" w:cs="Times New Roman"/>
                <w:noProof/>
              </w:rPr>
              <w:t>Legalább 50 kilométernyi partszakasz</w:t>
            </w:r>
            <w:r w:rsidRPr="00BC4EE7">
              <w:rPr>
                <w:rFonts w:ascii="Times New Roman" w:hAnsi="Times New Roman" w:cs="Times New Roman"/>
                <w:noProof/>
                <w:sz w:val="18"/>
              </w:rPr>
              <w:t>befejezése a leromlott állapotú területek és ökoszisztémák helyreállítása, a part menti területek védelme és hozzáférhetőségének javítása, az erózió mérséklése, a part menti területek rezilienciájának és az éghajlatváltozás hatásaihoz való alkalmazkodásnak a javítása, a távoli megfigyelés és a stratégiai tengertervezési politikák végrehajtása. Az intézkedések a következők bármelyikét figyelembe veszik:</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 spanyol partvidék éghajlatváltozás káros hatásaival szembeni ellenálló képességének növelése az erózió elleni küzdelem és a partvidék megerősítése révén. Ez magában foglalja a hullámtörő, a mesterséges tengerpartok, az úszó felületek, az üledékgazdálkodás, a természetalapú megoldások, a tengerparti és dűnékrendszer helyreállítása, a partvédelmi infrastruktúra, a part menti erózió figyelemmel kísérésére szolgáló intelligens hálózatok vagy hasonló hatású intézkedések létrehozását.</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 part menti ökoszisztémák vagy a leromlott területek védelme és helyreállítása. Ezt a) a visszacsúszás által érintett létesítmények áthelyezésével kell elvégezni; az állami tulajdonban lévő szárazföldi tengeri terület körülhatárolása; a nem megfelelően vagy nem megfelelően elfoglalt állami tulajdonban lévő tengerparti területek visszaszerzése; d) kockázatértékelés és -kezelés vagy hasonló intézkedések; e) a leromlott part menti területek és ökoszisztémák környezeti helyreállítása; a partvidék védelme és kezelése; és/vagy g) hasonló hatású intézkedések.</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 nyilvános szárazföldi tengeri területek rendezett és helyes hozzáférhetőségének javítása. Ezt a földterületnek a közterülethez való hozzáférés biztosítása érdekében történő visszaszerzésével, a hozzáférés tervezésével, kezelésével és helyreállításával, illetve a hasonló hatású intézkedésekkel kell megvalósítani.</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 stratégiai tengertervezési politikák végrehajtása. Ezt a tengeri területrendezés, a tengerstratégiák, az óceánokra, az éghajlatra és a tengerpartokra vonatkozó tudományos tanácsadás, valamint egy georeferencia-alapú webalkalmazás kifejlesztése révén kell megvalósítani a tengeri felhasználók számára.</w:t>
            </w:r>
          </w:p>
        </w:tc>
      </w:tr>
      <w:tr w:rsidR="00D65CB4" w:rsidRPr="00BC4EE7" w14:paraId="52BFA199" w14:textId="77777777" w:rsidTr="00481CF8">
        <w:trPr>
          <w:trHeight w:val="309"/>
        </w:trPr>
        <w:tc>
          <w:tcPr>
            <w:tcW w:w="822" w:type="dxa"/>
            <w:shd w:val="clear" w:color="auto" w:fill="C6EFCE"/>
            <w:noWrap/>
          </w:tcPr>
          <w:p w14:paraId="1944BFB1"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81</w:t>
            </w:r>
          </w:p>
        </w:tc>
        <w:tc>
          <w:tcPr>
            <w:tcW w:w="1022" w:type="dxa"/>
            <w:shd w:val="clear" w:color="auto" w:fill="C6EFCE"/>
            <w:noWrap/>
          </w:tcPr>
          <w:p w14:paraId="20E2CDE1"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C5.I4</w:t>
            </w:r>
          </w:p>
        </w:tc>
        <w:tc>
          <w:tcPr>
            <w:tcW w:w="992" w:type="dxa"/>
            <w:shd w:val="clear" w:color="auto" w:fill="C6EFCE"/>
            <w:noWrap/>
          </w:tcPr>
          <w:p w14:paraId="3678FA0E"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2126" w:type="dxa"/>
            <w:shd w:val="clear" w:color="auto" w:fill="C6EFCE"/>
            <w:noWrap/>
          </w:tcPr>
          <w:p w14:paraId="2FA11EB4" w14:textId="77777777" w:rsidR="00D65CB4" w:rsidRPr="00BC4EE7" w:rsidRDefault="00572307">
            <w:pPr>
              <w:pStyle w:val="P68B1DB1-Normal12"/>
              <w:spacing w:after="0" w:line="240" w:lineRule="auto"/>
              <w:rPr>
                <w:rFonts w:cs="Times New Roman"/>
                <w:noProof/>
              </w:rPr>
            </w:pPr>
            <w:r w:rsidRPr="00BC4EE7">
              <w:rPr>
                <w:rFonts w:cs="Times New Roman"/>
                <w:noProof/>
              </w:rPr>
              <w:t>A leromlott területek és ökoszisztémák helyreállítása legalább 100 kilométernyi partvonalon</w:t>
            </w:r>
          </w:p>
        </w:tc>
        <w:tc>
          <w:tcPr>
            <w:tcW w:w="1145" w:type="dxa"/>
            <w:shd w:val="clear" w:color="auto" w:fill="C6EFCE"/>
            <w:noWrap/>
          </w:tcPr>
          <w:p w14:paraId="34FF1C98" w14:textId="77777777" w:rsidR="00D65CB4" w:rsidRPr="00BC4EE7" w:rsidRDefault="00D65CB4">
            <w:pPr>
              <w:spacing w:after="0" w:line="240" w:lineRule="auto"/>
              <w:jc w:val="center"/>
              <w:rPr>
                <w:rFonts w:ascii="Times New Roman" w:hAnsi="Times New Roman" w:cs="Times New Roman"/>
                <w:noProof/>
                <w:sz w:val="18"/>
              </w:rPr>
            </w:pPr>
          </w:p>
        </w:tc>
        <w:tc>
          <w:tcPr>
            <w:tcW w:w="949" w:type="dxa"/>
            <w:shd w:val="clear" w:color="auto" w:fill="C6EFCE"/>
            <w:noWrap/>
          </w:tcPr>
          <w:p w14:paraId="20A5B720"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Szám (kilométer)</w:t>
            </w:r>
          </w:p>
        </w:tc>
        <w:tc>
          <w:tcPr>
            <w:tcW w:w="949" w:type="dxa"/>
            <w:shd w:val="clear" w:color="auto" w:fill="C6EFCE"/>
            <w:noWrap/>
          </w:tcPr>
          <w:p w14:paraId="5AE91C80"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50</w:t>
            </w:r>
          </w:p>
        </w:tc>
        <w:tc>
          <w:tcPr>
            <w:tcW w:w="679" w:type="dxa"/>
            <w:shd w:val="clear" w:color="auto" w:fill="C6EFCE"/>
            <w:noWrap/>
          </w:tcPr>
          <w:p w14:paraId="02B72823" w14:textId="1F2B50A6" w:rsidR="00D65CB4" w:rsidRPr="00BC4EE7" w:rsidRDefault="00572307">
            <w:pPr>
              <w:pStyle w:val="P68B1DB1-Normal12"/>
              <w:spacing w:after="0" w:line="240" w:lineRule="auto"/>
              <w:jc w:val="right"/>
              <w:rPr>
                <w:rFonts w:cs="Times New Roman"/>
                <w:noProof/>
              </w:rPr>
            </w:pPr>
            <w:r w:rsidRPr="00BC4EE7">
              <w:rPr>
                <w:rFonts w:cs="Times New Roman"/>
                <w:noProof/>
              </w:rPr>
              <w:t>100</w:t>
            </w:r>
          </w:p>
        </w:tc>
        <w:tc>
          <w:tcPr>
            <w:tcW w:w="409" w:type="dxa"/>
            <w:shd w:val="clear" w:color="auto" w:fill="C6EFCE"/>
            <w:noWrap/>
          </w:tcPr>
          <w:p w14:paraId="5E4CD473"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544" w:type="dxa"/>
            <w:shd w:val="clear" w:color="auto" w:fill="C6EFCE"/>
            <w:noWrap/>
          </w:tcPr>
          <w:p w14:paraId="665C4E8C" w14:textId="776FA070" w:rsidR="00D65CB4" w:rsidRPr="00BC4EE7" w:rsidRDefault="00572307">
            <w:pPr>
              <w:pStyle w:val="P68B1DB1-Normal12"/>
              <w:spacing w:after="0" w:line="240" w:lineRule="auto"/>
              <w:jc w:val="center"/>
              <w:rPr>
                <w:rFonts w:cs="Times New Roman"/>
                <w:noProof/>
              </w:rPr>
            </w:pPr>
            <w:r w:rsidRPr="00BC4EE7">
              <w:rPr>
                <w:rFonts w:cs="Times New Roman"/>
                <w:noProof/>
              </w:rPr>
              <w:t>2023</w:t>
            </w:r>
          </w:p>
        </w:tc>
        <w:tc>
          <w:tcPr>
            <w:tcW w:w="5815" w:type="dxa"/>
            <w:shd w:val="clear" w:color="auto" w:fill="C6EFCE"/>
            <w:noWrap/>
          </w:tcPr>
          <w:p w14:paraId="4956F0E0" w14:textId="58271923" w:rsidR="00D65CB4" w:rsidRPr="00BC4EE7" w:rsidRDefault="00572307">
            <w:pPr>
              <w:spacing w:after="0" w:line="240" w:lineRule="auto"/>
              <w:rPr>
                <w:rFonts w:ascii="Times New Roman" w:hAnsi="Times New Roman" w:cs="Times New Roman"/>
                <w:noProof/>
                <w:sz w:val="18"/>
              </w:rPr>
            </w:pPr>
            <w:r w:rsidRPr="00BC4EE7">
              <w:rPr>
                <w:rFonts w:ascii="Times New Roman" w:hAnsi="Times New Roman" w:cs="Times New Roman"/>
                <w:noProof/>
              </w:rPr>
              <w:t>Legalább 100 kilométernyi partszakaszon végzett munkálatok</w:t>
            </w:r>
            <w:r w:rsidRPr="00BC4EE7">
              <w:rPr>
                <w:rFonts w:ascii="Times New Roman" w:hAnsi="Times New Roman" w:cs="Times New Roman"/>
                <w:noProof/>
                <w:sz w:val="18"/>
              </w:rPr>
              <w:t>befejezése a leromlott állapotú területek és ökoszisztémák helyreállítása, a part menti területek védelme és hozzáférhetőségének javítása, az erózió mérséklése, a part menti területek rezilienciájának és az éghajlatváltozás hatásaihoz való alkalmazkodásnak a javítása, a távoli megfigyelés és a stratégiai tengertervezési politikák végrehajtása. A munkálatoknak magukban kell foglalniuk a következők bármelyikét:</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 spanyol partvidék éghajlatváltozás káros hatásaival szembeni ellenálló képességének növelése az erózió elleni küzdelem és a partvidék megerősítése révén. Ez magában foglalja a hullámtörő, a mesterséges tengerpartok, az úszó felületek, az üledékgazdálkodás, a természetalapú megoldások, a tengerparti és dűnékrendszer helyreállítása, a partvédelmi infrastruktúra, a part menti erózió figyelemmel kísérésére szolgáló intelligens hálózatok vagy hasonló hatású intézkedések létrehozását.</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 part menti ökoszisztémák vagy a leromlott területek védelme és helyreállítása. Ezt a) a visszacsúszás által érintett létesítmények áthelyezésével kell elvégezni; az állami tulajdonban lévő szárazföldi tengeri terület körülhatárolása; a nem megfelelően vagy nem megfelelően elfoglalt állami tulajdonban lévő tengerparti területek visszaszerzése; d) kockázatértékelés és -kezelés vagy hasonló intézkedések; e) a leromlott part menti területek és ökoszisztémák környezeti helyreállítása; a partvidék védelme és kezelése; és/vagy g) hasonló hatású intézkedések.</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 nyilvános szárazföldi tengeri területek rendezett és helyes hozzáférhetőségének javítása. Ezt a földterületnek a közterülethez való hozzáférés biztosítása érdekében történő visszaszerzésével, a hozzáférés tervezésével, kezelésével és helyreállításával, illetve a hasonló hatású intézkedésekkel kell megvalósítani.</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 stratégiai tengertervezési politikák végrehajtása. Ezt a tengeri területrendezés, a tengerstratégiák, az óceánokra, az éghajlatra és a tengerpartokra vonatkozó tudományos tanácsadás, valamint egy georeferencia-alapú webalkalmazás kifejlesztése révén kell megvalósítani a tengeri felhasználók számára. (Alapforgatókönyv: 2022. december 31.)</w:t>
            </w:r>
          </w:p>
        </w:tc>
      </w:tr>
      <w:tr w:rsidR="00D65CB4" w:rsidRPr="00BC4EE7" w14:paraId="792C4F9E" w14:textId="77777777" w:rsidTr="00481CF8">
        <w:trPr>
          <w:trHeight w:val="309"/>
        </w:trPr>
        <w:tc>
          <w:tcPr>
            <w:tcW w:w="822" w:type="dxa"/>
            <w:shd w:val="clear" w:color="auto" w:fill="C6EFCE"/>
            <w:noWrap/>
          </w:tcPr>
          <w:p w14:paraId="6129792C" w14:textId="34D0A125" w:rsidR="00D65CB4" w:rsidRPr="00BC4EE7" w:rsidRDefault="00572307">
            <w:pPr>
              <w:pStyle w:val="P68B1DB1-Normal12"/>
              <w:spacing w:after="0" w:line="240" w:lineRule="auto"/>
              <w:jc w:val="center"/>
              <w:rPr>
                <w:rFonts w:cs="Times New Roman"/>
                <w:noProof/>
              </w:rPr>
            </w:pPr>
            <w:r w:rsidRPr="00BC4EE7">
              <w:rPr>
                <w:rFonts w:cs="Times New Roman"/>
                <w:noProof/>
              </w:rPr>
              <w:t>81b</w:t>
            </w:r>
          </w:p>
        </w:tc>
        <w:tc>
          <w:tcPr>
            <w:tcW w:w="1022" w:type="dxa"/>
            <w:shd w:val="clear" w:color="auto" w:fill="C6EFCE"/>
            <w:noWrap/>
          </w:tcPr>
          <w:p w14:paraId="0F1A69C0" w14:textId="0A5C6C45" w:rsidR="00D65CB4" w:rsidRPr="00BC4EE7" w:rsidRDefault="00572307">
            <w:pPr>
              <w:pStyle w:val="P68B1DB1-Normal12"/>
              <w:spacing w:after="0" w:line="240" w:lineRule="auto"/>
              <w:jc w:val="center"/>
              <w:rPr>
                <w:rFonts w:cs="Times New Roman"/>
                <w:noProof/>
              </w:rPr>
            </w:pPr>
            <w:r w:rsidRPr="00BC4EE7">
              <w:rPr>
                <w:rFonts w:cs="Times New Roman"/>
                <w:noProof/>
              </w:rPr>
              <w:t>C5.I4</w:t>
            </w:r>
          </w:p>
        </w:tc>
        <w:tc>
          <w:tcPr>
            <w:tcW w:w="992" w:type="dxa"/>
            <w:shd w:val="clear" w:color="auto" w:fill="C6EFCE"/>
            <w:noWrap/>
          </w:tcPr>
          <w:p w14:paraId="03579949" w14:textId="49B4C112"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2126" w:type="dxa"/>
            <w:shd w:val="clear" w:color="auto" w:fill="C6EFCE"/>
            <w:noWrap/>
          </w:tcPr>
          <w:p w14:paraId="52A03147" w14:textId="28B998E9" w:rsidR="00D65CB4" w:rsidRPr="00BC4EE7" w:rsidRDefault="00572307">
            <w:pPr>
              <w:pStyle w:val="P68B1DB1-Normal12"/>
              <w:spacing w:after="0" w:line="240" w:lineRule="auto"/>
              <w:rPr>
                <w:rFonts w:cs="Times New Roman"/>
                <w:noProof/>
              </w:rPr>
            </w:pPr>
            <w:r w:rsidRPr="00BC4EE7">
              <w:rPr>
                <w:rFonts w:cs="Times New Roman"/>
                <w:noProof/>
              </w:rPr>
              <w:t>A leromlott területek és ökoszisztémák helyreállítása legalább 145 kilométernyi partvonalon</w:t>
            </w:r>
          </w:p>
        </w:tc>
        <w:tc>
          <w:tcPr>
            <w:tcW w:w="1145" w:type="dxa"/>
            <w:shd w:val="clear" w:color="auto" w:fill="C6EFCE"/>
            <w:noWrap/>
          </w:tcPr>
          <w:p w14:paraId="668F4DA1" w14:textId="77777777" w:rsidR="00D65CB4" w:rsidRPr="00BC4EE7" w:rsidRDefault="00D65CB4">
            <w:pPr>
              <w:spacing w:after="0" w:line="240" w:lineRule="auto"/>
              <w:jc w:val="center"/>
              <w:rPr>
                <w:rFonts w:ascii="Times New Roman" w:hAnsi="Times New Roman" w:cs="Times New Roman"/>
                <w:noProof/>
                <w:sz w:val="18"/>
              </w:rPr>
            </w:pPr>
          </w:p>
        </w:tc>
        <w:tc>
          <w:tcPr>
            <w:tcW w:w="949" w:type="dxa"/>
            <w:shd w:val="clear" w:color="auto" w:fill="C6EFCE"/>
            <w:noWrap/>
          </w:tcPr>
          <w:p w14:paraId="22A1F55A" w14:textId="0F961F79" w:rsidR="00D65CB4" w:rsidRPr="00BC4EE7" w:rsidRDefault="00572307">
            <w:pPr>
              <w:pStyle w:val="P68B1DB1-Normal12"/>
              <w:spacing w:after="0" w:line="240" w:lineRule="auto"/>
              <w:jc w:val="right"/>
              <w:rPr>
                <w:rFonts w:cs="Times New Roman"/>
                <w:noProof/>
              </w:rPr>
            </w:pPr>
            <w:r w:rsidRPr="00BC4EE7">
              <w:rPr>
                <w:rFonts w:cs="Times New Roman"/>
                <w:noProof/>
              </w:rPr>
              <w:t>Szám (kilométer)</w:t>
            </w:r>
          </w:p>
        </w:tc>
        <w:tc>
          <w:tcPr>
            <w:tcW w:w="949" w:type="dxa"/>
            <w:shd w:val="clear" w:color="auto" w:fill="C6EFCE"/>
            <w:noWrap/>
          </w:tcPr>
          <w:p w14:paraId="3A4E4BB2" w14:textId="71217CD5" w:rsidR="00D65CB4" w:rsidRPr="00BC4EE7" w:rsidRDefault="00572307">
            <w:pPr>
              <w:pStyle w:val="P68B1DB1-Normal12"/>
              <w:spacing w:after="0" w:line="240" w:lineRule="auto"/>
              <w:jc w:val="right"/>
              <w:rPr>
                <w:rFonts w:cs="Times New Roman"/>
                <w:noProof/>
              </w:rPr>
            </w:pPr>
            <w:r w:rsidRPr="00BC4EE7">
              <w:rPr>
                <w:rFonts w:cs="Times New Roman"/>
                <w:noProof/>
              </w:rPr>
              <w:t>100</w:t>
            </w:r>
          </w:p>
        </w:tc>
        <w:tc>
          <w:tcPr>
            <w:tcW w:w="679" w:type="dxa"/>
            <w:shd w:val="clear" w:color="auto" w:fill="C6EFCE"/>
            <w:noWrap/>
          </w:tcPr>
          <w:p w14:paraId="68BAC8DF" w14:textId="582E983F" w:rsidR="00D65CB4" w:rsidRPr="00BC4EE7" w:rsidRDefault="00572307">
            <w:pPr>
              <w:pStyle w:val="P68B1DB1-Normal12"/>
              <w:spacing w:after="0" w:line="240" w:lineRule="auto"/>
              <w:jc w:val="right"/>
              <w:rPr>
                <w:rFonts w:cs="Times New Roman"/>
                <w:noProof/>
              </w:rPr>
            </w:pPr>
            <w:r w:rsidRPr="00BC4EE7">
              <w:rPr>
                <w:rFonts w:cs="Times New Roman"/>
                <w:noProof/>
              </w:rPr>
              <w:t>145</w:t>
            </w:r>
          </w:p>
        </w:tc>
        <w:tc>
          <w:tcPr>
            <w:tcW w:w="409" w:type="dxa"/>
            <w:shd w:val="clear" w:color="auto" w:fill="C6EFCE"/>
            <w:noWrap/>
          </w:tcPr>
          <w:p w14:paraId="60B911B7" w14:textId="33DF8A76"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544" w:type="dxa"/>
            <w:shd w:val="clear" w:color="auto" w:fill="C6EFCE"/>
            <w:noWrap/>
          </w:tcPr>
          <w:p w14:paraId="36E9793D" w14:textId="7E9AC3D5" w:rsidR="00D65CB4" w:rsidRPr="00BC4EE7" w:rsidRDefault="00572307">
            <w:pPr>
              <w:pStyle w:val="P68B1DB1-Normal12"/>
              <w:spacing w:after="0" w:line="240" w:lineRule="auto"/>
              <w:jc w:val="center"/>
              <w:rPr>
                <w:rFonts w:cs="Times New Roman"/>
                <w:noProof/>
              </w:rPr>
            </w:pPr>
            <w:r w:rsidRPr="00BC4EE7">
              <w:rPr>
                <w:rFonts w:cs="Times New Roman"/>
                <w:noProof/>
              </w:rPr>
              <w:t>2025</w:t>
            </w:r>
          </w:p>
        </w:tc>
        <w:tc>
          <w:tcPr>
            <w:tcW w:w="5815" w:type="dxa"/>
            <w:shd w:val="clear" w:color="auto" w:fill="C6EFCE"/>
            <w:noWrap/>
          </w:tcPr>
          <w:p w14:paraId="35DCF83F" w14:textId="2A848F3B" w:rsidR="00D65CB4" w:rsidRPr="00BC4EE7" w:rsidRDefault="00572307">
            <w:pPr>
              <w:spacing w:after="0" w:line="240" w:lineRule="auto"/>
              <w:rPr>
                <w:rFonts w:ascii="Times New Roman" w:hAnsi="Times New Roman" w:cs="Times New Roman"/>
                <w:noProof/>
                <w:sz w:val="18"/>
              </w:rPr>
            </w:pPr>
            <w:r w:rsidRPr="00BC4EE7">
              <w:rPr>
                <w:rFonts w:ascii="Times New Roman" w:hAnsi="Times New Roman" w:cs="Times New Roman"/>
                <w:noProof/>
              </w:rPr>
              <w:t>Legalább 145 kilométernyi partszakaszon végzett munkálatok</w:t>
            </w:r>
            <w:r w:rsidRPr="00BC4EE7">
              <w:rPr>
                <w:rFonts w:ascii="Times New Roman" w:hAnsi="Times New Roman" w:cs="Times New Roman"/>
                <w:noProof/>
                <w:sz w:val="18"/>
              </w:rPr>
              <w:t>befejezése a leromlott állapotú területek és ökoszisztémák helyreállítása, a part menti területek védelme és hozzáférhetőségének növelése, az erózió mérséklése, a part menti területek rezilienciájának és az éghajlatváltozás hatásaihoz való alkalmazkodásnak a javítása, a távoli megfigyelés és a stratégiai tengertervezési politikák végrehajtása. A munkálatoknak magukban kell foglalniuk a következők bármelyikét:</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 spanyol partvidék éghajlatváltozás káros hatásaival szembeni ellenálló képességének növelése az erózió elleni küzdelem és a partvidék megerősítése révén. Ez magában foglalja a hullámtörő, a mesterséges tengerpartok, az úszó felületek, az üledékgazdálkodás, a természetalapú megoldások, a tengerparti és dűnékrendszer helyreállítása, a partvédelmi infrastruktúra, a part menti erózió figyelemmel kísérésére szolgáló intelligens hálózatok vagy hasonló hatású intézkedések létrehozását.</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 part menti ökoszisztémák vagy a leromlott területek védelme és helyreállítása. Ezt a) a visszacsúszás által érintett létesítmények áthelyezésével kell elvégezni; az állami tulajdonban lévő szárazföldi tengeri terület körülhatárolása; a nem megfelelően vagy nem megfelelően elfoglalt állami tulajdonban lévő tengerparti területek visszaszerzése; d) kockázatértékelés és -kezelés vagy hasonló intézkedések; e) a leromlott part menti területek és ökoszisztémák környezeti helyreállítása; a partvidék védelme és kezelése; és/vagy g) hasonló hatású intézkedések.</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 nyilvános szárazföldi tengeri területek rendezett és helyes hozzáférhetőségének javítása. Ezt a földterületnek a közterülethez való hozzáférés biztosítása érdekében történő visszaszerzésével, a hozzáférés tervezésével, kezelésével és helyreállításával, illetve a hasonló hatású intézkedésekkel kell megvalósítani.</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 stratégiai tengertervezési politikák végrehajtása. Ezt a tengeri területrendezés, a tengerstratégiák, az óceánokra, az éghajlatra és a tengerpartokra vonatkozó tudományos tanácsadás, valamint egy georeferencia-alapú webalkalmazás kifejlesztése révén kell megvalósítani a tengeri felhasználók számára. (Alapforgatókönyv: 2023. december 31.)</w:t>
            </w:r>
          </w:p>
        </w:tc>
      </w:tr>
    </w:tbl>
    <w:p w14:paraId="48B77EB9" w14:textId="77777777" w:rsidR="00D65CB4" w:rsidRPr="00BC4EE7" w:rsidRDefault="00D65CB4">
      <w:pPr>
        <w:keepNext/>
        <w:spacing w:before="120" w:after="120" w:line="240" w:lineRule="auto"/>
        <w:ind w:left="720"/>
        <w:jc w:val="both"/>
        <w:rPr>
          <w:rFonts w:ascii="Times New Roman" w:hAnsi="Times New Roman" w:cs="Times New Roman"/>
          <w:b/>
          <w:noProof/>
          <w:sz w:val="24"/>
          <w:u w:val="single"/>
        </w:rPr>
      </w:pPr>
    </w:p>
    <w:p w14:paraId="74AFE277" w14:textId="77777777" w:rsidR="00D65CB4" w:rsidRPr="00BC4EE7" w:rsidRDefault="00D65CB4">
      <w:pPr>
        <w:keepNext/>
        <w:spacing w:before="120" w:after="120" w:line="240" w:lineRule="auto"/>
        <w:ind w:left="720"/>
        <w:jc w:val="both"/>
        <w:rPr>
          <w:rFonts w:ascii="Times New Roman" w:hAnsi="Times New Roman" w:cs="Times New Roman"/>
          <w:noProof/>
          <w:sz w:val="24"/>
          <w:u w:val="single"/>
        </w:rPr>
        <w:sectPr w:rsidR="00D65CB4" w:rsidRPr="00BC4EE7" w:rsidSect="00B511EF">
          <w:headerReference w:type="even" r:id="rId129"/>
          <w:headerReference w:type="default" r:id="rId130"/>
          <w:footerReference w:type="even" r:id="rId131"/>
          <w:footerReference w:type="default" r:id="rId132"/>
          <w:headerReference w:type="first" r:id="rId133"/>
          <w:footerReference w:type="first" r:id="rId134"/>
          <w:pgSz w:w="16839" w:h="11907" w:orient="landscape"/>
          <w:pgMar w:top="1134" w:right="1134" w:bottom="1134" w:left="1134" w:header="567" w:footer="567" w:gutter="0"/>
          <w:cols w:space="720"/>
          <w:docGrid w:linePitch="360"/>
        </w:sectPr>
      </w:pPr>
    </w:p>
    <w:p w14:paraId="18EB0796" w14:textId="525474E5" w:rsidR="00D65CB4" w:rsidRPr="00BC4EE7" w:rsidRDefault="00572307">
      <w:pPr>
        <w:keepNext/>
        <w:spacing w:before="120" w:after="120" w:line="240" w:lineRule="auto"/>
        <w:ind w:left="720"/>
        <w:jc w:val="both"/>
        <w:rPr>
          <w:rFonts w:ascii="Times New Roman" w:hAnsi="Times New Roman" w:cs="Times New Roman"/>
          <w:b/>
          <w:noProof/>
          <w:sz w:val="24"/>
          <w:u w:val="single"/>
        </w:rPr>
      </w:pPr>
      <w:r w:rsidRPr="00BC4EE7">
        <w:rPr>
          <w:rFonts w:ascii="Times New Roman" w:hAnsi="Times New Roman" w:cs="Times New Roman"/>
          <w:b/>
          <w:noProof/>
          <w:sz w:val="24"/>
          <w:u w:val="single"/>
        </w:rPr>
        <w:t xml:space="preserve">E.3.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A hiteltámogatásra irányuló beruházások ismertetése</w:t>
      </w:r>
    </w:p>
    <w:p w14:paraId="3D9C6AA9" w14:textId="2203FDE3" w:rsidR="00D65CB4" w:rsidRPr="00BC4EE7" w:rsidRDefault="00572307">
      <w:pPr>
        <w:pStyle w:val="P68B1DB1-Text119"/>
        <w:ind w:left="0"/>
        <w:rPr>
          <w:rFonts w:cs="Times New Roman"/>
          <w:noProof/>
        </w:rPr>
      </w:pPr>
      <w:r w:rsidRPr="00BC4EE7">
        <w:rPr>
          <w:rFonts w:cs="Times New Roman"/>
          <w:noProof/>
        </w:rPr>
        <w:t>Beruházás (C5.I5) – A víztartó réteg helyreállítása alternatív erőforrásokkal</w:t>
      </w:r>
    </w:p>
    <w:p w14:paraId="570A1B4B" w14:textId="618E6C0E" w:rsidR="00D65CB4" w:rsidRPr="00BC4EE7" w:rsidRDefault="00572307">
      <w:pPr>
        <w:pStyle w:val="P68B1DB1-Text118"/>
        <w:ind w:left="0"/>
        <w:rPr>
          <w:rFonts w:cs="Times New Roman"/>
          <w:noProof/>
        </w:rPr>
      </w:pPr>
      <w:r w:rsidRPr="00BC4EE7">
        <w:rPr>
          <w:rFonts w:cs="Times New Roman"/>
          <w:noProof/>
        </w:rPr>
        <w:t xml:space="preserve">E beruházás célja a felszín alatti vízkivétel csökkentése, különösen a Segura folyó vízgyűjtőjében, a Földközi-tenger és az Andalúz vízgyűjtő területén, valamint Katalónia belső vízgyűjtőjében. </w:t>
      </w:r>
    </w:p>
    <w:p w14:paraId="70874476" w14:textId="3D6EA4C5" w:rsidR="00D65CB4" w:rsidRPr="00BC4EE7" w:rsidRDefault="00572307">
      <w:pPr>
        <w:pStyle w:val="P68B1DB1-Text118"/>
        <w:ind w:left="0"/>
        <w:rPr>
          <w:rFonts w:cs="Times New Roman"/>
          <w:noProof/>
        </w:rPr>
      </w:pPr>
      <w:r w:rsidRPr="00BC4EE7">
        <w:rPr>
          <w:rFonts w:cs="Times New Roman"/>
          <w:noProof/>
        </w:rPr>
        <w:t xml:space="preserve">E beruházás célja i. a Segura folyó különböző sótalanító létesítményeinek összekapcsolása a Tajo-Segura Aqueduct vízfelhasználói számára a vízbiztonság biztosítása érdekében, ii. az Alicante régió különböző újrafelhasználó létesítményeiből származó víz bevezetése a rendszerbe, valamint iii. sótalanítási intézkedések végrehajtása Katalónia (Tordera II – Foix) és Földközi- és Andalúzia (Costa del Sol és Levante Almeriense) belső vízgyűjtő kerületében. Ezeknek az intézkedéseknek csökkenteniük kell a túlhalászott és rossz ökológiai állapotban lévő víztartó rétegekből kinyert felszín alatti vizek mennyiségét, ugyanakkor biztosítaniuk kell a vízbiztonságot a különböző felhasználók számára, és elő kell segíteniük a víztartó rétegek helyreállítását.  </w:t>
      </w:r>
    </w:p>
    <w:p w14:paraId="0930EAAC" w14:textId="21635E0D" w:rsidR="00D65CB4" w:rsidRPr="00BC4EE7" w:rsidRDefault="00572307">
      <w:pPr>
        <w:pStyle w:val="P68B1DB1-Text118"/>
        <w:ind w:left="0"/>
        <w:rPr>
          <w:rFonts w:cs="Times New Roman"/>
          <w:noProof/>
        </w:rPr>
      </w:pPr>
      <w:r w:rsidRPr="00BC4EE7">
        <w:rPr>
          <w:rFonts w:cs="Times New Roman"/>
          <w:noProof/>
        </w:rPr>
        <w:t xml:space="preserve">Az intézkedés várhatóan nem sérti jelentősen az (EU) 2020/852 rendelet 17. cikke szerinti környezetvédelmi célkitűzéseket, figyelembe véve az intézkedés leírását és a helyreállítási és rezilienciaépítési tervben meghatározott enyhítő lépéseket a jelentős károkozás elkerülését célzó elvről szóló technikai iránymutatásnak (2021/C58/01) megfelelően. A sótalanított vizet különösen az elérhető legjobb technológia alkalmazásával kell előállítani, amely az ágazatban a legkisebb környezeti hatással jár. Ezenkívül a beruházás nem vezethet az öntözött területek bővítéséhez, sem az öntözés intenzitásának növekedéséhez.  </w:t>
      </w:r>
    </w:p>
    <w:p w14:paraId="192FF083" w14:textId="77777777" w:rsidR="00D65CB4" w:rsidRPr="00BC4EE7" w:rsidRDefault="00572307">
      <w:pPr>
        <w:pStyle w:val="P68B1DB1-Text118"/>
        <w:ind w:left="0"/>
        <w:rPr>
          <w:rFonts w:cs="Times New Roman"/>
          <w:noProof/>
        </w:rPr>
      </w:pPr>
      <w:r w:rsidRPr="00BC4EE7">
        <w:rPr>
          <w:rFonts w:cs="Times New Roman"/>
          <w:noProof/>
        </w:rPr>
        <w:t xml:space="preserve">Ezt a beruházást 2026. június 30-ig be kell fejezni. </w:t>
      </w:r>
    </w:p>
    <w:p w14:paraId="731ED120" w14:textId="20D7EEA9" w:rsidR="00D65CB4" w:rsidRPr="00BC4EE7" w:rsidRDefault="00572307">
      <w:pPr>
        <w:pStyle w:val="P68B1DB1-Text119"/>
        <w:ind w:left="0"/>
        <w:rPr>
          <w:rFonts w:cs="Times New Roman"/>
          <w:noProof/>
        </w:rPr>
      </w:pPr>
      <w:r w:rsidRPr="00BC4EE7">
        <w:rPr>
          <w:rFonts w:cs="Times New Roman"/>
          <w:noProof/>
        </w:rPr>
        <w:t>Beruházás (C5.I6.) – A vízhasználat digitalizálására irányuló PERTE</w:t>
      </w:r>
    </w:p>
    <w:p w14:paraId="35B74DE3" w14:textId="77C208DE" w:rsidR="00D65CB4" w:rsidRPr="00BC4EE7" w:rsidRDefault="00572307">
      <w:pPr>
        <w:pStyle w:val="P68B1DB1-Text118"/>
        <w:ind w:left="0"/>
        <w:rPr>
          <w:rFonts w:cs="Times New Roman"/>
          <w:noProof/>
        </w:rPr>
      </w:pPr>
      <w:r w:rsidRPr="00BC4EE7">
        <w:rPr>
          <w:rFonts w:cs="Times New Roman"/>
          <w:noProof/>
        </w:rPr>
        <w:t xml:space="preserve">E beruházás célja olyan technológiák bevezetésére irányuló projektek támogatása, amelyek előmozdítják a digitalizációt, és megerősítik a vízhasználat nyomon követésére és ellenőrzésére szolgáló keretet a városi vízkörforgásban, a közepes és nagy településekre, valamint az ipari ágazatra összpontosítva. </w:t>
      </w:r>
    </w:p>
    <w:p w14:paraId="4A0A5EDD" w14:textId="2045F899" w:rsidR="00D65CB4" w:rsidRPr="00BC4EE7" w:rsidRDefault="00572307">
      <w:pPr>
        <w:pStyle w:val="P68B1DB1-Text118"/>
        <w:ind w:left="0"/>
        <w:rPr>
          <w:rFonts w:cs="Times New Roman"/>
          <w:noProof/>
        </w:rPr>
      </w:pPr>
      <w:r w:rsidRPr="00BC4EE7">
        <w:rPr>
          <w:rFonts w:cs="Times New Roman"/>
          <w:noProof/>
        </w:rPr>
        <w:t xml:space="preserve">Ezt a beruházást 2026. június 30-ig be kell fejezni. </w:t>
      </w:r>
    </w:p>
    <w:p w14:paraId="47321117" w14:textId="77777777" w:rsidR="00D65CB4" w:rsidRPr="00BC4EE7" w:rsidRDefault="00D65CB4">
      <w:pPr>
        <w:pStyle w:val="Text1"/>
        <w:ind w:left="0"/>
        <w:rPr>
          <w:rFonts w:ascii="Times New Roman" w:eastAsia="MS Mincho" w:hAnsi="Times New Roman" w:cs="Times New Roman"/>
          <w:noProof/>
        </w:rPr>
      </w:pPr>
    </w:p>
    <w:p w14:paraId="3DBF2AF7" w14:textId="5D74396D" w:rsidR="00D65CB4" w:rsidRPr="00BC4EE7" w:rsidRDefault="00572307">
      <w:pPr>
        <w:spacing w:before="120" w:after="120" w:line="240" w:lineRule="auto"/>
        <w:ind w:left="709"/>
        <w:jc w:val="both"/>
        <w:rPr>
          <w:rFonts w:ascii="Times New Roman" w:hAnsi="Times New Roman" w:cs="Times New Roman"/>
          <w:b/>
          <w:noProof/>
          <w:sz w:val="24"/>
          <w:u w:val="single"/>
        </w:rPr>
      </w:pPr>
      <w:r w:rsidRPr="00BC4EE7">
        <w:rPr>
          <w:rFonts w:ascii="Times New Roman" w:hAnsi="Times New Roman" w:cs="Times New Roman"/>
          <w:b/>
          <w:noProof/>
          <w:sz w:val="24"/>
          <w:u w:val="single"/>
        </w:rPr>
        <w:t xml:space="preserve">E.4.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A hiteltámogatás nyomon követésére és végrehajtására vonatkozó mérföldkövek, célok, mutatók és ütemterv</w:t>
      </w:r>
    </w:p>
    <w:p w14:paraId="69E02543" w14:textId="2D0A3480" w:rsidR="00D65CB4" w:rsidRPr="00BC4EE7" w:rsidRDefault="00572307">
      <w:pPr>
        <w:pStyle w:val="P68B1DB1-Normal4"/>
        <w:spacing w:before="120" w:after="120" w:line="240" w:lineRule="auto"/>
        <w:jc w:val="both"/>
        <w:rPr>
          <w:rFonts w:cs="Times New Roman"/>
          <w:i/>
          <w:noProof/>
        </w:rPr>
      </w:pPr>
      <w:r w:rsidRPr="00BC4EE7">
        <w:rPr>
          <w:rFonts w:cs="Times New Roman"/>
          <w:i/>
          <w:noProof/>
        </w:rPr>
        <w:t>Táblázat alább.</w:t>
      </w:r>
      <w:r w:rsidRPr="00BC4EE7">
        <w:rPr>
          <w:rFonts w:cs="Times New Roman"/>
          <w:noProof/>
        </w:rPr>
        <w:t xml:space="preserve"> </w:t>
      </w:r>
      <w:r w:rsidRPr="00BC4EE7">
        <w:rPr>
          <w:rFonts w:cs="Times New Roman"/>
          <w:i/>
          <w:noProof/>
        </w:rPr>
        <w:t>Az összes mutató esetében az alapforgatókönyv időpontja 2020. február 1., kivéve, ha az intézkedés leírása ettől eltérően rendelkezik. A táblázatban szereplő összegek nem tartalmazzák a héát.</w:t>
      </w:r>
    </w:p>
    <w:p w14:paraId="77C6D6B5" w14:textId="77777777" w:rsidR="00D65CB4" w:rsidRPr="00BC4EE7" w:rsidRDefault="00D65CB4">
      <w:pPr>
        <w:spacing w:before="120" w:after="120" w:line="240" w:lineRule="auto"/>
        <w:jc w:val="both"/>
        <w:rPr>
          <w:rFonts w:ascii="Times New Roman" w:hAnsi="Times New Roman" w:cs="Times New Roman"/>
          <w:noProof/>
        </w:rPr>
        <w:sectPr w:rsidR="00D65CB4" w:rsidRPr="00BC4EE7" w:rsidSect="00B511EF">
          <w:headerReference w:type="even" r:id="rId135"/>
          <w:headerReference w:type="default" r:id="rId136"/>
          <w:footerReference w:type="even" r:id="rId137"/>
          <w:footerReference w:type="default" r:id="rId138"/>
          <w:headerReference w:type="first" r:id="rId139"/>
          <w:footerReference w:type="first" r:id="rId140"/>
          <w:pgSz w:w="11907" w:h="16839"/>
          <w:pgMar w:top="1134" w:right="1134" w:bottom="1134" w:left="1134" w:header="567" w:footer="567" w:gutter="0"/>
          <w:cols w:space="720"/>
          <w:docGrid w:linePitch="360"/>
        </w:sectPr>
      </w:pPr>
    </w:p>
    <w:p w14:paraId="1B72A816" w14:textId="77777777" w:rsidR="00D65CB4" w:rsidRPr="00BC4EE7" w:rsidRDefault="00D65CB4">
      <w:pPr>
        <w:spacing w:before="120" w:after="120" w:line="240" w:lineRule="auto"/>
        <w:jc w:val="both"/>
        <w:rPr>
          <w:rFonts w:ascii="Times New Roman" w:hAnsi="Times New Roman" w:cs="Times New Roman"/>
          <w:noProof/>
        </w:rPr>
      </w:pPr>
    </w:p>
    <w:p w14:paraId="23906EED" w14:textId="77777777" w:rsidR="00D65CB4" w:rsidRPr="00BC4EE7" w:rsidRDefault="00D65CB4">
      <w:pPr>
        <w:pStyle w:val="Text1"/>
        <w:ind w:left="0"/>
        <w:rPr>
          <w:rFonts w:ascii="Times New Roman" w:eastAsia="MS Mincho" w:hAnsi="Times New Roman" w:cs="Times New Roman"/>
          <w:noProof/>
        </w:rPr>
      </w:pPr>
    </w:p>
    <w:tbl>
      <w:tblPr>
        <w:tblW w:w="15452"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28"/>
        <w:gridCol w:w="1016"/>
        <w:gridCol w:w="992"/>
        <w:gridCol w:w="2126"/>
        <w:gridCol w:w="1198"/>
        <w:gridCol w:w="821"/>
        <w:gridCol w:w="957"/>
        <w:gridCol w:w="685"/>
        <w:gridCol w:w="412"/>
        <w:gridCol w:w="548"/>
        <w:gridCol w:w="5869"/>
      </w:tblGrid>
      <w:tr w:rsidR="00D65CB4" w:rsidRPr="00BC4EE7" w14:paraId="391966F2" w14:textId="77777777" w:rsidTr="00481CF8">
        <w:trPr>
          <w:trHeight w:val="309"/>
          <w:tblHeader/>
        </w:trPr>
        <w:tc>
          <w:tcPr>
            <w:tcW w:w="828" w:type="dxa"/>
            <w:tcBorders>
              <w:bottom w:val="nil"/>
            </w:tcBorders>
            <w:shd w:val="clear" w:color="auto" w:fill="C6D9F1" w:themeFill="text2" w:themeFillTint="33"/>
            <w:noWrap/>
            <w:vAlign w:val="center"/>
          </w:tcPr>
          <w:p w14:paraId="12BD0FD1" w14:textId="77777777" w:rsidR="00D65CB4" w:rsidRPr="00BC4EE7" w:rsidRDefault="00572307">
            <w:pPr>
              <w:pStyle w:val="P68B1DB1-Normal8"/>
              <w:spacing w:after="0" w:line="240" w:lineRule="auto"/>
              <w:jc w:val="center"/>
              <w:rPr>
                <w:rFonts w:cs="Times New Roman"/>
                <w:noProof/>
              </w:rPr>
            </w:pPr>
            <w:bookmarkStart w:id="15" w:name="_Hlk138346203"/>
            <w:r w:rsidRPr="00BC4EE7">
              <w:rPr>
                <w:rFonts w:cs="Times New Roman"/>
                <w:noProof/>
              </w:rPr>
              <w:t>Szám</w:t>
            </w:r>
          </w:p>
        </w:tc>
        <w:tc>
          <w:tcPr>
            <w:tcW w:w="1016" w:type="dxa"/>
            <w:tcBorders>
              <w:bottom w:val="nil"/>
            </w:tcBorders>
            <w:shd w:val="clear" w:color="auto" w:fill="C6D9F1" w:themeFill="text2" w:themeFillTint="33"/>
            <w:noWrap/>
            <w:vAlign w:val="center"/>
          </w:tcPr>
          <w:p w14:paraId="7A1486DC"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Intézkedés</w:t>
            </w:r>
          </w:p>
        </w:tc>
        <w:tc>
          <w:tcPr>
            <w:tcW w:w="992" w:type="dxa"/>
            <w:tcBorders>
              <w:bottom w:val="nil"/>
            </w:tcBorders>
            <w:shd w:val="clear" w:color="auto" w:fill="C6D9F1" w:themeFill="text2" w:themeFillTint="33"/>
            <w:noWrap/>
            <w:vAlign w:val="center"/>
          </w:tcPr>
          <w:p w14:paraId="0086A022" w14:textId="77777777" w:rsidR="00D65CB4" w:rsidRPr="00BC4EE7" w:rsidRDefault="00572307">
            <w:pPr>
              <w:spacing w:after="0" w:line="240" w:lineRule="auto"/>
              <w:jc w:val="center"/>
              <w:rPr>
                <w:rFonts w:ascii="Times New Roman" w:hAnsi="Times New Roman" w:cs="Times New Roman"/>
                <w:b/>
                <w:noProof/>
                <w:sz w:val="18"/>
              </w:rPr>
            </w:pPr>
            <w:r w:rsidRPr="00BC4EE7">
              <w:rPr>
                <w:rFonts w:ascii="Times New Roman" w:hAnsi="Times New Roman" w:cs="Times New Roman"/>
                <w:b/>
                <w:noProof/>
                <w:sz w:val="18"/>
              </w:rPr>
              <w:t>Mérföldkő</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b/>
                <w:noProof/>
                <w:sz w:val="18"/>
              </w:rPr>
              <w:t xml:space="preserve"> /Cél</w:t>
            </w:r>
          </w:p>
        </w:tc>
        <w:tc>
          <w:tcPr>
            <w:tcW w:w="2126" w:type="dxa"/>
            <w:tcBorders>
              <w:bottom w:val="nil"/>
            </w:tcBorders>
            <w:shd w:val="clear" w:color="auto" w:fill="C6D9F1" w:themeFill="text2" w:themeFillTint="33"/>
            <w:noWrap/>
            <w:vAlign w:val="center"/>
          </w:tcPr>
          <w:p w14:paraId="47B9F5B8"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Név</w:t>
            </w:r>
          </w:p>
        </w:tc>
        <w:tc>
          <w:tcPr>
            <w:tcW w:w="1198" w:type="dxa"/>
            <w:tcBorders>
              <w:bottom w:val="nil"/>
            </w:tcBorders>
            <w:shd w:val="clear" w:color="auto" w:fill="C6D9F1" w:themeFill="text2" w:themeFillTint="33"/>
            <w:noWrap/>
            <w:vAlign w:val="center"/>
          </w:tcPr>
          <w:p w14:paraId="4414649E"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mérföldkövek minőségi mutatója</w:t>
            </w:r>
          </w:p>
        </w:tc>
        <w:tc>
          <w:tcPr>
            <w:tcW w:w="2463" w:type="dxa"/>
            <w:gridSpan w:val="3"/>
            <w:shd w:val="clear" w:color="auto" w:fill="C6D9F1" w:themeFill="text2" w:themeFillTint="33"/>
            <w:noWrap/>
            <w:vAlign w:val="center"/>
          </w:tcPr>
          <w:p w14:paraId="5D64DF5B"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célérték mennyiségi mutatója</w:t>
            </w:r>
          </w:p>
        </w:tc>
        <w:tc>
          <w:tcPr>
            <w:tcW w:w="960" w:type="dxa"/>
            <w:gridSpan w:val="2"/>
            <w:shd w:val="clear" w:color="auto" w:fill="C6D9F1" w:themeFill="text2" w:themeFillTint="33"/>
            <w:noWrap/>
            <w:vAlign w:val="center"/>
          </w:tcPr>
          <w:p w14:paraId="01D99DB9"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Idő</w:t>
            </w:r>
          </w:p>
        </w:tc>
        <w:tc>
          <w:tcPr>
            <w:tcW w:w="5869" w:type="dxa"/>
            <w:tcBorders>
              <w:bottom w:val="nil"/>
            </w:tcBorders>
            <w:shd w:val="clear" w:color="auto" w:fill="C6D9F1" w:themeFill="text2" w:themeFillTint="33"/>
            <w:noWrap/>
            <w:vAlign w:val="center"/>
          </w:tcPr>
          <w:p w14:paraId="148478C2"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Az egyes mérföldkövek és célértékek leírása</w:t>
            </w:r>
          </w:p>
        </w:tc>
      </w:tr>
      <w:tr w:rsidR="00D65CB4" w:rsidRPr="00BC4EE7" w14:paraId="54EFC1AE" w14:textId="77777777" w:rsidTr="00481CF8">
        <w:trPr>
          <w:trHeight w:val="309"/>
          <w:tblHeader/>
        </w:trPr>
        <w:tc>
          <w:tcPr>
            <w:tcW w:w="828" w:type="dxa"/>
            <w:tcBorders>
              <w:top w:val="nil"/>
            </w:tcBorders>
            <w:shd w:val="clear" w:color="auto" w:fill="C6D9F1" w:themeFill="text2" w:themeFillTint="33"/>
            <w:noWrap/>
          </w:tcPr>
          <w:p w14:paraId="1E8F32CC" w14:textId="77777777" w:rsidR="00D65CB4" w:rsidRPr="00BC4EE7" w:rsidRDefault="00D65CB4">
            <w:pPr>
              <w:spacing w:after="0" w:line="240" w:lineRule="auto"/>
              <w:jc w:val="center"/>
              <w:rPr>
                <w:rFonts w:ascii="Times New Roman" w:hAnsi="Times New Roman" w:cs="Times New Roman"/>
                <w:b/>
                <w:noProof/>
                <w:sz w:val="18"/>
              </w:rPr>
            </w:pPr>
          </w:p>
        </w:tc>
        <w:tc>
          <w:tcPr>
            <w:tcW w:w="1016" w:type="dxa"/>
            <w:tcBorders>
              <w:top w:val="nil"/>
            </w:tcBorders>
            <w:shd w:val="clear" w:color="auto" w:fill="C6D9F1" w:themeFill="text2" w:themeFillTint="33"/>
            <w:noWrap/>
          </w:tcPr>
          <w:p w14:paraId="769C90A0" w14:textId="77777777" w:rsidR="00D65CB4" w:rsidRPr="00BC4EE7" w:rsidRDefault="00D65CB4">
            <w:pPr>
              <w:spacing w:after="0" w:line="240" w:lineRule="auto"/>
              <w:jc w:val="center"/>
              <w:rPr>
                <w:rFonts w:ascii="Times New Roman" w:hAnsi="Times New Roman" w:cs="Times New Roman"/>
                <w:b/>
                <w:noProof/>
                <w:sz w:val="18"/>
              </w:rPr>
            </w:pPr>
          </w:p>
        </w:tc>
        <w:tc>
          <w:tcPr>
            <w:tcW w:w="992" w:type="dxa"/>
            <w:tcBorders>
              <w:top w:val="nil"/>
            </w:tcBorders>
            <w:shd w:val="clear" w:color="auto" w:fill="C6D9F1" w:themeFill="text2" w:themeFillTint="33"/>
            <w:noWrap/>
          </w:tcPr>
          <w:p w14:paraId="6F654621" w14:textId="77777777" w:rsidR="00D65CB4" w:rsidRPr="00BC4EE7" w:rsidRDefault="00D65CB4">
            <w:pPr>
              <w:spacing w:after="0" w:line="240" w:lineRule="auto"/>
              <w:jc w:val="center"/>
              <w:rPr>
                <w:rFonts w:ascii="Times New Roman" w:hAnsi="Times New Roman" w:cs="Times New Roman"/>
                <w:b/>
                <w:noProof/>
                <w:sz w:val="18"/>
              </w:rPr>
            </w:pPr>
          </w:p>
        </w:tc>
        <w:tc>
          <w:tcPr>
            <w:tcW w:w="2126" w:type="dxa"/>
            <w:tcBorders>
              <w:top w:val="nil"/>
            </w:tcBorders>
            <w:shd w:val="clear" w:color="auto" w:fill="C6D9F1" w:themeFill="text2" w:themeFillTint="33"/>
            <w:noWrap/>
          </w:tcPr>
          <w:p w14:paraId="1B405182" w14:textId="77777777" w:rsidR="00D65CB4" w:rsidRPr="00BC4EE7" w:rsidRDefault="00D65CB4">
            <w:pPr>
              <w:spacing w:after="0" w:line="240" w:lineRule="auto"/>
              <w:rPr>
                <w:rFonts w:ascii="Times New Roman" w:hAnsi="Times New Roman" w:cs="Times New Roman"/>
                <w:b/>
                <w:noProof/>
                <w:sz w:val="18"/>
              </w:rPr>
            </w:pPr>
          </w:p>
        </w:tc>
        <w:tc>
          <w:tcPr>
            <w:tcW w:w="1198" w:type="dxa"/>
            <w:tcBorders>
              <w:top w:val="nil"/>
            </w:tcBorders>
            <w:shd w:val="clear" w:color="auto" w:fill="C6D9F1" w:themeFill="text2" w:themeFillTint="33"/>
            <w:noWrap/>
          </w:tcPr>
          <w:p w14:paraId="0D83A2E6" w14:textId="77777777" w:rsidR="00D65CB4" w:rsidRPr="00BC4EE7" w:rsidRDefault="00D65CB4">
            <w:pPr>
              <w:spacing w:after="0" w:line="240" w:lineRule="auto"/>
              <w:jc w:val="center"/>
              <w:rPr>
                <w:rFonts w:ascii="Times New Roman" w:hAnsi="Times New Roman" w:cs="Times New Roman"/>
                <w:b/>
                <w:noProof/>
                <w:sz w:val="18"/>
              </w:rPr>
            </w:pPr>
          </w:p>
        </w:tc>
        <w:tc>
          <w:tcPr>
            <w:tcW w:w="821" w:type="dxa"/>
            <w:shd w:val="clear" w:color="auto" w:fill="C6D9F1" w:themeFill="text2" w:themeFillTint="33"/>
            <w:noWrap/>
            <w:vAlign w:val="center"/>
          </w:tcPr>
          <w:p w14:paraId="0E0D0DA7"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Egység</w:t>
            </w:r>
          </w:p>
        </w:tc>
        <w:tc>
          <w:tcPr>
            <w:tcW w:w="957" w:type="dxa"/>
            <w:shd w:val="clear" w:color="auto" w:fill="C6D9F1" w:themeFill="text2" w:themeFillTint="33"/>
            <w:noWrap/>
            <w:vAlign w:val="center"/>
          </w:tcPr>
          <w:p w14:paraId="25D166B5" w14:textId="0F1DCE1B" w:rsidR="00D65CB4" w:rsidRPr="00BC4EE7" w:rsidRDefault="00572307">
            <w:pPr>
              <w:pStyle w:val="P68B1DB1-Normal8"/>
              <w:spacing w:after="0" w:line="240" w:lineRule="auto"/>
              <w:jc w:val="center"/>
              <w:rPr>
                <w:rFonts w:cs="Times New Roman"/>
                <w:noProof/>
              </w:rPr>
            </w:pPr>
            <w:r w:rsidRPr="00BC4EE7">
              <w:rPr>
                <w:rFonts w:cs="Times New Roman"/>
                <w:noProof/>
              </w:rPr>
              <w:t>Kiindulási</w:t>
            </w:r>
          </w:p>
        </w:tc>
        <w:tc>
          <w:tcPr>
            <w:tcW w:w="685" w:type="dxa"/>
            <w:shd w:val="clear" w:color="auto" w:fill="C6D9F1" w:themeFill="text2" w:themeFillTint="33"/>
            <w:noWrap/>
            <w:vAlign w:val="center"/>
          </w:tcPr>
          <w:p w14:paraId="6D5DF994"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Cél</w:t>
            </w:r>
          </w:p>
        </w:tc>
        <w:tc>
          <w:tcPr>
            <w:tcW w:w="412" w:type="dxa"/>
            <w:shd w:val="clear" w:color="auto" w:fill="C6D9F1" w:themeFill="text2" w:themeFillTint="33"/>
            <w:noWrap/>
            <w:vAlign w:val="center"/>
          </w:tcPr>
          <w:p w14:paraId="493C9C13"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Q</w:t>
            </w:r>
          </w:p>
        </w:tc>
        <w:tc>
          <w:tcPr>
            <w:tcW w:w="548" w:type="dxa"/>
            <w:shd w:val="clear" w:color="auto" w:fill="C6D9F1" w:themeFill="text2" w:themeFillTint="33"/>
            <w:noWrap/>
            <w:vAlign w:val="center"/>
          </w:tcPr>
          <w:p w14:paraId="353C61BD"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Éve</w:t>
            </w:r>
          </w:p>
        </w:tc>
        <w:tc>
          <w:tcPr>
            <w:tcW w:w="5869" w:type="dxa"/>
            <w:tcBorders>
              <w:top w:val="nil"/>
            </w:tcBorders>
            <w:shd w:val="clear" w:color="auto" w:fill="C6D9F1" w:themeFill="text2" w:themeFillTint="33"/>
            <w:noWrap/>
          </w:tcPr>
          <w:p w14:paraId="687E6B85" w14:textId="77777777" w:rsidR="00D65CB4" w:rsidRPr="00BC4EE7" w:rsidRDefault="00D65CB4">
            <w:pPr>
              <w:spacing w:after="0" w:line="240" w:lineRule="auto"/>
              <w:rPr>
                <w:rFonts w:ascii="Times New Roman" w:hAnsi="Times New Roman" w:cs="Times New Roman"/>
                <w:b/>
                <w:noProof/>
                <w:sz w:val="18"/>
              </w:rPr>
            </w:pPr>
          </w:p>
        </w:tc>
      </w:tr>
      <w:tr w:rsidR="00D65CB4" w:rsidRPr="00BC4EE7" w14:paraId="4DB045D4" w14:textId="77777777" w:rsidTr="00481CF8">
        <w:trPr>
          <w:trHeight w:val="309"/>
        </w:trPr>
        <w:tc>
          <w:tcPr>
            <w:tcW w:w="828" w:type="dxa"/>
            <w:shd w:val="clear" w:color="auto" w:fill="C6EFCE"/>
            <w:noWrap/>
          </w:tcPr>
          <w:p w14:paraId="0CE60D6D" w14:textId="569AC578"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L13</w:t>
            </w:r>
          </w:p>
        </w:tc>
        <w:tc>
          <w:tcPr>
            <w:tcW w:w="1016" w:type="dxa"/>
            <w:shd w:val="clear" w:color="auto" w:fill="C6EFCE"/>
            <w:noWrap/>
          </w:tcPr>
          <w:p w14:paraId="709DC092" w14:textId="721839BE"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C5.I5</w:t>
            </w:r>
          </w:p>
        </w:tc>
        <w:tc>
          <w:tcPr>
            <w:tcW w:w="992" w:type="dxa"/>
            <w:shd w:val="clear" w:color="auto" w:fill="C6EFCE"/>
            <w:noWrap/>
          </w:tcPr>
          <w:p w14:paraId="6EF1A728" w14:textId="60702C0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T</w:t>
            </w:r>
          </w:p>
        </w:tc>
        <w:tc>
          <w:tcPr>
            <w:tcW w:w="2126" w:type="dxa"/>
            <w:shd w:val="clear" w:color="auto" w:fill="C6EFCE"/>
            <w:noWrap/>
          </w:tcPr>
          <w:p w14:paraId="47A6AF21" w14:textId="0491A6D9" w:rsidR="00D65CB4" w:rsidRPr="00BC4EE7" w:rsidRDefault="00572307">
            <w:pPr>
              <w:pStyle w:val="P68B1DB1-Normal12"/>
              <w:spacing w:after="0" w:line="240" w:lineRule="auto"/>
              <w:rPr>
                <w:rFonts w:eastAsia="MS Mincho" w:cs="Times New Roman"/>
                <w:noProof/>
              </w:rPr>
            </w:pPr>
            <w:r w:rsidRPr="00BC4EE7">
              <w:rPr>
                <w:rFonts w:cs="Times New Roman"/>
                <w:noProof/>
              </w:rPr>
              <w:t>A felszín alatti vizek kitermelésének csökkentése</w:t>
            </w:r>
          </w:p>
        </w:tc>
        <w:tc>
          <w:tcPr>
            <w:tcW w:w="1198" w:type="dxa"/>
            <w:shd w:val="clear" w:color="auto" w:fill="C6EFCE"/>
            <w:noWrap/>
          </w:tcPr>
          <w:p w14:paraId="609959BB" w14:textId="39228FF8" w:rsidR="00D65CB4" w:rsidRPr="00BC4EE7" w:rsidRDefault="00D65CB4">
            <w:pPr>
              <w:spacing w:after="0" w:line="240" w:lineRule="auto"/>
              <w:jc w:val="center"/>
              <w:rPr>
                <w:rFonts w:ascii="Times New Roman" w:hAnsi="Times New Roman" w:cs="Times New Roman"/>
                <w:noProof/>
                <w:sz w:val="18"/>
              </w:rPr>
            </w:pPr>
          </w:p>
        </w:tc>
        <w:tc>
          <w:tcPr>
            <w:tcW w:w="821" w:type="dxa"/>
            <w:shd w:val="clear" w:color="auto" w:fill="C6EFCE"/>
            <w:noWrap/>
          </w:tcPr>
          <w:p w14:paraId="7614457B" w14:textId="7744038C" w:rsidR="00D65CB4" w:rsidRPr="00BC4EE7" w:rsidRDefault="00572307">
            <w:pPr>
              <w:pStyle w:val="P68B1DB1-Normal12"/>
              <w:spacing w:after="0" w:line="240" w:lineRule="auto"/>
              <w:rPr>
                <w:rFonts w:eastAsia="MS Mincho" w:cs="Times New Roman"/>
                <w:noProof/>
              </w:rPr>
            </w:pPr>
            <w:r w:rsidRPr="00BC4EE7">
              <w:rPr>
                <w:rFonts w:cs="Times New Roman"/>
                <w:noProof/>
              </w:rPr>
              <w:t xml:space="preserve">Szám (hm3/év)  </w:t>
            </w:r>
          </w:p>
        </w:tc>
        <w:tc>
          <w:tcPr>
            <w:tcW w:w="957" w:type="dxa"/>
            <w:shd w:val="clear" w:color="auto" w:fill="C6EFCE"/>
            <w:noWrap/>
          </w:tcPr>
          <w:p w14:paraId="02BA64C4" w14:textId="1E482E31"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0 </w:t>
            </w:r>
          </w:p>
        </w:tc>
        <w:tc>
          <w:tcPr>
            <w:tcW w:w="685" w:type="dxa"/>
            <w:shd w:val="clear" w:color="auto" w:fill="C6EFCE"/>
            <w:noWrap/>
          </w:tcPr>
          <w:p w14:paraId="43B86807" w14:textId="69674AB9"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60 </w:t>
            </w:r>
          </w:p>
        </w:tc>
        <w:tc>
          <w:tcPr>
            <w:tcW w:w="412" w:type="dxa"/>
            <w:shd w:val="clear" w:color="auto" w:fill="C6EFCE"/>
            <w:noWrap/>
          </w:tcPr>
          <w:p w14:paraId="147BB08F" w14:textId="15C6E9E9"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Q2</w:t>
            </w:r>
          </w:p>
        </w:tc>
        <w:tc>
          <w:tcPr>
            <w:tcW w:w="548" w:type="dxa"/>
            <w:shd w:val="clear" w:color="auto" w:fill="C6EFCE"/>
            <w:noWrap/>
          </w:tcPr>
          <w:p w14:paraId="68312A86" w14:textId="2757FA3D"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2026</w:t>
            </w:r>
          </w:p>
        </w:tc>
        <w:tc>
          <w:tcPr>
            <w:tcW w:w="5869" w:type="dxa"/>
            <w:shd w:val="clear" w:color="auto" w:fill="C6EFCE"/>
            <w:noWrap/>
          </w:tcPr>
          <w:p w14:paraId="413948F2" w14:textId="26E4F286" w:rsidR="00D65CB4" w:rsidRPr="00BC4EE7" w:rsidRDefault="00572307">
            <w:pPr>
              <w:pStyle w:val="P68B1DB1-Normal12"/>
              <w:spacing w:after="0" w:line="240" w:lineRule="auto"/>
              <w:rPr>
                <w:rFonts w:eastAsia="MS Mincho" w:cs="Times New Roman"/>
                <w:noProof/>
              </w:rPr>
            </w:pPr>
            <w:r w:rsidRPr="00BC4EE7">
              <w:rPr>
                <w:rFonts w:cs="Times New Roman"/>
                <w:noProof/>
              </w:rPr>
              <w:t xml:space="preserve">Sótalanító üzemekből származó alternatív erőforrások biztosítása, a Katalónia és a Földközi-tenger és az Andalúzia közötti vízgyűjtőkben található víztartó rétegekből kinyert felszín alatti vizek éves mennyiségének ezzel egyenértékű csökkentése mellett, az intézkedés leírásával összhangban. </w:t>
            </w:r>
          </w:p>
        </w:tc>
      </w:tr>
      <w:tr w:rsidR="00D65CB4" w:rsidRPr="00BC4EE7" w14:paraId="236752E1" w14:textId="77777777" w:rsidTr="00481CF8">
        <w:trPr>
          <w:trHeight w:val="309"/>
        </w:trPr>
        <w:tc>
          <w:tcPr>
            <w:tcW w:w="828" w:type="dxa"/>
            <w:shd w:val="clear" w:color="auto" w:fill="C6EFCE"/>
            <w:noWrap/>
          </w:tcPr>
          <w:p w14:paraId="7E73AEA7" w14:textId="42D94A6F" w:rsidR="00D65CB4" w:rsidRPr="00BC4EE7" w:rsidRDefault="00572307">
            <w:pPr>
              <w:pStyle w:val="P68B1DB1-Normal12"/>
              <w:spacing w:after="0" w:line="240" w:lineRule="auto"/>
              <w:jc w:val="center"/>
              <w:rPr>
                <w:rFonts w:cs="Times New Roman"/>
                <w:noProof/>
              </w:rPr>
            </w:pPr>
            <w:r w:rsidRPr="00BC4EE7">
              <w:rPr>
                <w:rFonts w:cs="Times New Roman"/>
                <w:noProof/>
              </w:rPr>
              <w:t>L14</w:t>
            </w:r>
          </w:p>
        </w:tc>
        <w:tc>
          <w:tcPr>
            <w:tcW w:w="1016" w:type="dxa"/>
            <w:shd w:val="clear" w:color="auto" w:fill="C6EFCE"/>
            <w:noWrap/>
          </w:tcPr>
          <w:p w14:paraId="3700384D" w14:textId="7473AFB4" w:rsidR="00D65CB4" w:rsidRPr="00BC4EE7" w:rsidRDefault="00572307">
            <w:pPr>
              <w:pStyle w:val="P68B1DB1-Normal12"/>
              <w:spacing w:after="0" w:line="240" w:lineRule="auto"/>
              <w:jc w:val="center"/>
              <w:rPr>
                <w:rFonts w:cs="Times New Roman"/>
                <w:noProof/>
              </w:rPr>
            </w:pPr>
            <w:r w:rsidRPr="00BC4EE7">
              <w:rPr>
                <w:rFonts w:cs="Times New Roman"/>
                <w:noProof/>
              </w:rPr>
              <w:t>C5.I6</w:t>
            </w:r>
          </w:p>
        </w:tc>
        <w:tc>
          <w:tcPr>
            <w:tcW w:w="992" w:type="dxa"/>
            <w:shd w:val="clear" w:color="auto" w:fill="C6EFCE"/>
            <w:noWrap/>
          </w:tcPr>
          <w:p w14:paraId="1E7CB0BA" w14:textId="0C4B5D5E" w:rsidR="00D65CB4" w:rsidRPr="00BC4EE7" w:rsidRDefault="00572307">
            <w:pPr>
              <w:pStyle w:val="P68B1DB1-Normal12"/>
              <w:spacing w:after="0" w:line="240" w:lineRule="auto"/>
              <w:jc w:val="center"/>
              <w:rPr>
                <w:rFonts w:cs="Times New Roman"/>
                <w:noProof/>
              </w:rPr>
            </w:pPr>
            <w:r w:rsidRPr="00BC4EE7">
              <w:rPr>
                <w:rFonts w:cs="Times New Roman"/>
                <w:noProof/>
              </w:rPr>
              <w:t>M</w:t>
            </w:r>
          </w:p>
        </w:tc>
        <w:tc>
          <w:tcPr>
            <w:tcW w:w="2126" w:type="dxa"/>
            <w:shd w:val="clear" w:color="auto" w:fill="C6EFCE"/>
            <w:noWrap/>
          </w:tcPr>
          <w:p w14:paraId="30947F60" w14:textId="006CF621" w:rsidR="00D65CB4" w:rsidRPr="00BC4EE7" w:rsidRDefault="00572307">
            <w:pPr>
              <w:pStyle w:val="P68B1DB1-Normal12"/>
              <w:spacing w:after="0" w:line="240" w:lineRule="auto"/>
              <w:rPr>
                <w:rFonts w:cs="Times New Roman"/>
                <w:noProof/>
              </w:rPr>
            </w:pPr>
            <w:r w:rsidRPr="00BC4EE7">
              <w:rPr>
                <w:rFonts w:cs="Times New Roman"/>
                <w:noProof/>
              </w:rPr>
              <w:t>A városi vízkörforgás és az ipari ágazat digitalizálására irányuló intézkedések</w:t>
            </w:r>
          </w:p>
        </w:tc>
        <w:tc>
          <w:tcPr>
            <w:tcW w:w="1198" w:type="dxa"/>
            <w:shd w:val="clear" w:color="auto" w:fill="C6EFCE"/>
            <w:noWrap/>
          </w:tcPr>
          <w:p w14:paraId="4BE75B5E" w14:textId="31B0FCDD" w:rsidR="00D65CB4" w:rsidRPr="00BC4EE7" w:rsidRDefault="00572307">
            <w:pPr>
              <w:pStyle w:val="P68B1DB1-Normal12"/>
              <w:spacing w:after="0" w:line="240" w:lineRule="auto"/>
              <w:jc w:val="center"/>
              <w:rPr>
                <w:rFonts w:cs="Times New Roman"/>
                <w:noProof/>
              </w:rPr>
            </w:pPr>
            <w:r w:rsidRPr="00BC4EE7">
              <w:rPr>
                <w:rFonts w:cs="Times New Roman"/>
                <w:noProof/>
              </w:rPr>
              <w:t xml:space="preserve"> A munkálatokról szóló hivatalos értesítés véglegesítése</w:t>
            </w:r>
          </w:p>
        </w:tc>
        <w:tc>
          <w:tcPr>
            <w:tcW w:w="821" w:type="dxa"/>
            <w:shd w:val="clear" w:color="auto" w:fill="C6EFCE"/>
            <w:noWrap/>
          </w:tcPr>
          <w:p w14:paraId="05A908A8" w14:textId="70F58511" w:rsidR="00D65CB4" w:rsidRPr="00BC4EE7" w:rsidRDefault="00572307">
            <w:pPr>
              <w:pStyle w:val="P68B1DB1-Normal12"/>
              <w:spacing w:after="0" w:line="240" w:lineRule="auto"/>
              <w:jc w:val="right"/>
              <w:rPr>
                <w:rFonts w:cs="Times New Roman"/>
                <w:noProof/>
              </w:rPr>
            </w:pPr>
            <w:r w:rsidRPr="00BC4EE7">
              <w:rPr>
                <w:rFonts w:cs="Times New Roman"/>
                <w:noProof/>
              </w:rPr>
              <w:t xml:space="preserve"> </w:t>
            </w:r>
          </w:p>
        </w:tc>
        <w:tc>
          <w:tcPr>
            <w:tcW w:w="957" w:type="dxa"/>
            <w:shd w:val="clear" w:color="auto" w:fill="C6EFCE"/>
            <w:noWrap/>
          </w:tcPr>
          <w:p w14:paraId="40BDD0E6" w14:textId="6FFB4C1C" w:rsidR="00D65CB4" w:rsidRPr="00BC4EE7" w:rsidRDefault="00D65CB4">
            <w:pPr>
              <w:spacing w:after="0" w:line="240" w:lineRule="auto"/>
              <w:jc w:val="right"/>
              <w:rPr>
                <w:rFonts w:ascii="Times New Roman" w:hAnsi="Times New Roman" w:cs="Times New Roman"/>
                <w:noProof/>
                <w:sz w:val="18"/>
              </w:rPr>
            </w:pPr>
          </w:p>
        </w:tc>
        <w:tc>
          <w:tcPr>
            <w:tcW w:w="685" w:type="dxa"/>
            <w:shd w:val="clear" w:color="auto" w:fill="C6EFCE"/>
            <w:noWrap/>
          </w:tcPr>
          <w:p w14:paraId="4D03E66A" w14:textId="48B971C1" w:rsidR="00D65CB4" w:rsidRPr="00BC4EE7" w:rsidRDefault="00D65CB4">
            <w:pPr>
              <w:spacing w:after="0" w:line="240" w:lineRule="auto"/>
              <w:jc w:val="right"/>
              <w:rPr>
                <w:rFonts w:ascii="Times New Roman" w:hAnsi="Times New Roman" w:cs="Times New Roman"/>
                <w:noProof/>
                <w:sz w:val="18"/>
              </w:rPr>
            </w:pPr>
          </w:p>
        </w:tc>
        <w:tc>
          <w:tcPr>
            <w:tcW w:w="412" w:type="dxa"/>
            <w:shd w:val="clear" w:color="auto" w:fill="C6EFCE"/>
            <w:noWrap/>
          </w:tcPr>
          <w:p w14:paraId="29AB48B3" w14:textId="765DF2FB" w:rsidR="00D65CB4" w:rsidRPr="00BC4EE7" w:rsidRDefault="00572307">
            <w:pPr>
              <w:pStyle w:val="P68B1DB1-Normal12"/>
              <w:spacing w:after="0" w:line="240" w:lineRule="auto"/>
              <w:jc w:val="center"/>
              <w:rPr>
                <w:rFonts w:cs="Times New Roman"/>
                <w:noProof/>
              </w:rPr>
            </w:pPr>
            <w:r w:rsidRPr="00BC4EE7">
              <w:rPr>
                <w:rFonts w:cs="Times New Roman"/>
                <w:noProof/>
              </w:rPr>
              <w:t xml:space="preserve">Q2 </w:t>
            </w:r>
          </w:p>
        </w:tc>
        <w:tc>
          <w:tcPr>
            <w:tcW w:w="548" w:type="dxa"/>
            <w:shd w:val="clear" w:color="auto" w:fill="C6EFCE"/>
            <w:noWrap/>
          </w:tcPr>
          <w:p w14:paraId="2B10CCDA" w14:textId="6F2A8907" w:rsidR="00D65CB4" w:rsidRPr="00BC4EE7" w:rsidRDefault="00572307">
            <w:pPr>
              <w:pStyle w:val="P68B1DB1-Normal12"/>
              <w:spacing w:after="0" w:line="240" w:lineRule="auto"/>
              <w:jc w:val="center"/>
              <w:rPr>
                <w:rFonts w:cs="Times New Roman"/>
                <w:noProof/>
              </w:rPr>
            </w:pPr>
            <w:r w:rsidRPr="00BC4EE7">
              <w:rPr>
                <w:rFonts w:cs="Times New Roman"/>
                <w:noProof/>
              </w:rPr>
              <w:t>2026</w:t>
            </w:r>
          </w:p>
        </w:tc>
        <w:tc>
          <w:tcPr>
            <w:tcW w:w="5869" w:type="dxa"/>
            <w:shd w:val="clear" w:color="auto" w:fill="C6EFCE"/>
            <w:noWrap/>
          </w:tcPr>
          <w:p w14:paraId="3E8F8829" w14:textId="445A439E" w:rsidR="00D65CB4" w:rsidRPr="00BC4EE7" w:rsidRDefault="00572307">
            <w:pPr>
              <w:pStyle w:val="P68B1DB1-Normal12"/>
              <w:spacing w:after="0" w:line="240" w:lineRule="auto"/>
              <w:rPr>
                <w:rFonts w:cs="Times New Roman"/>
                <w:noProof/>
              </w:rPr>
            </w:pPr>
            <w:r w:rsidRPr="00BC4EE7">
              <w:rPr>
                <w:rFonts w:cs="Times New Roman"/>
                <w:noProof/>
              </w:rPr>
              <w:t xml:space="preserve">10000000 lakos részesült a városi vízkörforgás digitalizálására irányuló projektekből és legalább 90 vízügyi ipari projektből. </w:t>
            </w:r>
          </w:p>
        </w:tc>
      </w:tr>
      <w:bookmarkEnd w:id="15"/>
    </w:tbl>
    <w:p w14:paraId="02DCC3DF" w14:textId="6426C795" w:rsidR="00D65CB4" w:rsidRPr="00BC4EE7" w:rsidRDefault="00D65CB4">
      <w:pPr>
        <w:pStyle w:val="Text1"/>
        <w:ind w:left="0"/>
        <w:rPr>
          <w:rFonts w:ascii="Times New Roman" w:eastAsia="Calibri" w:hAnsi="Times New Roman" w:cs="Times New Roman"/>
          <w:noProof/>
        </w:rPr>
        <w:sectPr w:rsidR="00D65CB4" w:rsidRPr="00BC4EE7" w:rsidSect="00B511EF">
          <w:headerReference w:type="even" r:id="rId141"/>
          <w:headerReference w:type="default" r:id="rId142"/>
          <w:footerReference w:type="even" r:id="rId143"/>
          <w:footerReference w:type="default" r:id="rId144"/>
          <w:headerReference w:type="first" r:id="rId145"/>
          <w:footerReference w:type="first" r:id="rId146"/>
          <w:pgSz w:w="16839" w:h="11907" w:orient="landscape"/>
          <w:pgMar w:top="1134" w:right="1134" w:bottom="1134" w:left="1134" w:header="567" w:footer="567" w:gutter="0"/>
          <w:cols w:space="720"/>
          <w:docGrid w:linePitch="360"/>
        </w:sectPr>
      </w:pPr>
    </w:p>
    <w:p w14:paraId="711F0FB5" w14:textId="6A0A0092" w:rsidR="00D65CB4" w:rsidRPr="00BC4EE7" w:rsidRDefault="00572307">
      <w:pPr>
        <w:pStyle w:val="P68B1DB1-Heading12"/>
        <w:rPr>
          <w:rFonts w:cs="Times New Roman"/>
          <w:noProof/>
        </w:rPr>
      </w:pPr>
      <w:r w:rsidRPr="00BC4EE7">
        <w:rPr>
          <w:rFonts w:cs="Times New Roman"/>
          <w:noProof/>
        </w:rPr>
        <w:t>F. 06. KOMPONENS: Fenntartható mobilitás (távolság)</w:t>
      </w:r>
    </w:p>
    <w:p w14:paraId="4BA2FD7C" w14:textId="77777777" w:rsidR="00D65CB4" w:rsidRPr="00BC4EE7" w:rsidRDefault="00572307">
      <w:pPr>
        <w:pStyle w:val="P68B1DB1-Normal4"/>
        <w:spacing w:line="240" w:lineRule="auto"/>
        <w:jc w:val="both"/>
        <w:rPr>
          <w:rFonts w:cs="Times New Roman"/>
          <w:noProof/>
        </w:rPr>
      </w:pPr>
      <w:r w:rsidRPr="00BC4EE7">
        <w:rPr>
          <w:rFonts w:cs="Times New Roman"/>
          <w:noProof/>
        </w:rPr>
        <w:t>A spanyol helyreállítási és rezilienciaépítési terv ezen komponense a következő kihívásokkal foglalkozik: A fenntarthatóbb közlekedési módokra való átállás; 2. a közlekedési ágazat kibocsátásainak csökkentése; A közlekedési ágazat biztonságosabbá, hozzáférhetőbbé, fenntarthatóbbá és inkluzívabbá tétele.</w:t>
      </w:r>
    </w:p>
    <w:p w14:paraId="719433C5" w14:textId="77777777" w:rsidR="00D65CB4" w:rsidRPr="00BC4EE7" w:rsidRDefault="00572307">
      <w:pPr>
        <w:pStyle w:val="P68B1DB1-Normal4"/>
        <w:spacing w:line="240" w:lineRule="auto"/>
        <w:jc w:val="both"/>
        <w:rPr>
          <w:rFonts w:cs="Times New Roman"/>
          <w:noProof/>
        </w:rPr>
      </w:pPr>
      <w:r w:rsidRPr="00BC4EE7">
        <w:rPr>
          <w:rFonts w:cs="Times New Roman"/>
          <w:noProof/>
        </w:rPr>
        <w:t xml:space="preserve">A komponens célkitűzései a következők: a spanyol vasúti hálózat (különösen a TEN-T törzshálózat és a nem törzshálózati TEN-T hálózat) fejlesztése; interoperábilisabb közlekedési hálózat (vasút, közút, kikötők) létrehozása szénlábnyomának csökkentése céljából; a Franciaországgal és Portugáliával való határokon átnyúló összeköttetések javítása; a közlekedési ágazat korszerűsítése fejlett digitális technológiák bevezetésével. </w:t>
      </w:r>
    </w:p>
    <w:p w14:paraId="3BF698B3" w14:textId="77777777" w:rsidR="00D65CB4" w:rsidRPr="00BC4EE7" w:rsidRDefault="00572307">
      <w:pPr>
        <w:pStyle w:val="P68B1DB1-Normal4"/>
        <w:spacing w:line="240" w:lineRule="auto"/>
        <w:jc w:val="both"/>
        <w:rPr>
          <w:rFonts w:cs="Times New Roman"/>
          <w:noProof/>
        </w:rPr>
      </w:pPr>
      <w:r w:rsidRPr="00BC4EE7">
        <w:rPr>
          <w:rFonts w:cs="Times New Roman"/>
          <w:noProof/>
        </w:rPr>
        <w:t>Ez a komponens az energiahatékonyságra és az erőforrás-felhasználásra irányuló beruházások előmozdításáról, valamint a vasúti árufuvarozási infrastruktúra előmozdításáról szóló országspecifikus ajánlásokkal (2019. évi 3. országspecifikus ajánlás), valamint a zöld és digitális átállásra és a fenntartható közlekedésre irányuló beruházással (2020. évi 3. országspecifikus ajánlás) foglalkozik.</w:t>
      </w:r>
    </w:p>
    <w:p w14:paraId="121535DA" w14:textId="77777777" w:rsidR="00D65CB4" w:rsidRPr="00BC4EE7" w:rsidRDefault="00572307">
      <w:pPr>
        <w:pStyle w:val="P68B1DB1-Normal4"/>
        <w:spacing w:line="240" w:lineRule="auto"/>
        <w:jc w:val="both"/>
        <w:rPr>
          <w:rFonts w:cs="Times New Roman"/>
          <w:noProof/>
        </w:rPr>
      </w:pPr>
      <w:r w:rsidRPr="00BC4EE7">
        <w:rPr>
          <w:rFonts w:cs="Times New Roman"/>
          <w:noProof/>
        </w:rPr>
        <w:t>A jelentős károkozás elkerülését célzó elvről szóló technikai iránymutatásnak (2021/C58/01) megfelelően a helyreállítási és rezilienciaépítési tervben meghatározott intézkedések leírását és a helyreállítási és rezilienciaépítési tervben meghatározott enyhítő lépéseket figyelembe véve ebben a komponensben várhatóan egyetlen intézkedés sem sérti jelentős mértékben az (EU) 2020/852 rendelet 17. cikke szerinti környezeti célkitűzéseket.</w:t>
      </w:r>
    </w:p>
    <w:p w14:paraId="1097947D" w14:textId="77777777" w:rsidR="00D65CB4" w:rsidRPr="00BC4EE7" w:rsidRDefault="00572307">
      <w:pPr>
        <w:spacing w:before="120" w:after="120" w:line="240" w:lineRule="auto"/>
        <w:ind w:left="709"/>
        <w:jc w:val="both"/>
        <w:rPr>
          <w:rFonts w:ascii="Times New Roman" w:hAnsi="Times New Roman" w:cs="Times New Roman"/>
          <w:b/>
          <w:i/>
          <w:noProof/>
          <w:sz w:val="24"/>
        </w:rPr>
      </w:pPr>
      <w:r w:rsidRPr="00BC4EE7">
        <w:rPr>
          <w:rFonts w:ascii="Times New Roman" w:hAnsi="Times New Roman" w:cs="Times New Roman"/>
          <w:b/>
          <w:noProof/>
          <w:sz w:val="24"/>
          <w:u w:val="single"/>
        </w:rPr>
        <w:t xml:space="preserve">F.1.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Vissza nem térítendő pénzügyi támogatás – a reformok és beruházások ismertetése</w:t>
      </w:r>
    </w:p>
    <w:p w14:paraId="7CF8E487" w14:textId="77777777" w:rsidR="00D65CB4" w:rsidRPr="00BC4EE7" w:rsidRDefault="00572307">
      <w:pPr>
        <w:pStyle w:val="P68B1DB1-Normal5"/>
        <w:spacing w:line="240" w:lineRule="auto"/>
        <w:jc w:val="both"/>
        <w:rPr>
          <w:rFonts w:cs="Times New Roman"/>
          <w:noProof/>
        </w:rPr>
      </w:pPr>
      <w:r w:rsidRPr="00BC4EE7">
        <w:rPr>
          <w:rFonts w:cs="Times New Roman"/>
          <w:noProof/>
        </w:rPr>
        <w:t>Reform (C6.R1) – Biztonságos, fenntartható és összekapcsolt mobilitási stratégia</w:t>
      </w:r>
    </w:p>
    <w:p w14:paraId="52F710EE" w14:textId="77777777" w:rsidR="00D65CB4" w:rsidRPr="00BC4EE7" w:rsidRDefault="00572307">
      <w:pPr>
        <w:pStyle w:val="P68B1DB1-Normal4"/>
        <w:spacing w:line="240" w:lineRule="auto"/>
        <w:jc w:val="both"/>
        <w:rPr>
          <w:rFonts w:cs="Times New Roman"/>
          <w:noProof/>
        </w:rPr>
      </w:pPr>
      <w:r w:rsidRPr="00BC4EE7">
        <w:rPr>
          <w:rFonts w:cs="Times New Roman"/>
          <w:noProof/>
        </w:rPr>
        <w:t xml:space="preserve">Az intézkedés célkitűzései a következők: </w:t>
      </w:r>
    </w:p>
    <w:p w14:paraId="409A6AA4" w14:textId="77777777" w:rsidR="00D65CB4" w:rsidRPr="00BC4EE7" w:rsidRDefault="00572307">
      <w:pPr>
        <w:pStyle w:val="P68B1DB1-ListParagraph6"/>
        <w:numPr>
          <w:ilvl w:val="0"/>
          <w:numId w:val="171"/>
        </w:numPr>
        <w:spacing w:line="240" w:lineRule="auto"/>
        <w:jc w:val="both"/>
        <w:rPr>
          <w:rFonts w:cs="Times New Roman"/>
          <w:noProof/>
        </w:rPr>
      </w:pPr>
      <w:r w:rsidRPr="00BC4EE7">
        <w:rPr>
          <w:rFonts w:cs="Times New Roman"/>
          <w:noProof/>
        </w:rPr>
        <w:t xml:space="preserve">A mobilitási hálózat biztonságának növelése a személyek és áruk jobb védelme, a szabványok javítása és a balesetek csökkentése érdekében. </w:t>
      </w:r>
    </w:p>
    <w:p w14:paraId="48EAEA90" w14:textId="77777777" w:rsidR="00D65CB4" w:rsidRPr="00BC4EE7" w:rsidRDefault="00572307">
      <w:pPr>
        <w:pStyle w:val="P68B1DB1-ListParagraph6"/>
        <w:numPr>
          <w:ilvl w:val="0"/>
          <w:numId w:val="171"/>
        </w:numPr>
        <w:spacing w:line="240" w:lineRule="auto"/>
        <w:jc w:val="both"/>
        <w:rPr>
          <w:rFonts w:cs="Times New Roman"/>
          <w:noProof/>
        </w:rPr>
      </w:pPr>
      <w:r w:rsidRPr="00BC4EE7">
        <w:rPr>
          <w:rFonts w:cs="Times New Roman"/>
          <w:noProof/>
        </w:rPr>
        <w:t xml:space="preserve">A fenntarthatóság növelése, előnyben részesítve a napi mobilitást, a gazdasági és társadalmi igazságosságot, az energiahatékonyságot és az éghajlatváltozás elleni küzdelmet. </w:t>
      </w:r>
    </w:p>
    <w:p w14:paraId="688326EE" w14:textId="77777777" w:rsidR="00D65CB4" w:rsidRPr="00BC4EE7" w:rsidRDefault="00572307">
      <w:pPr>
        <w:pStyle w:val="P68B1DB1-ListParagraph6"/>
        <w:numPr>
          <w:ilvl w:val="0"/>
          <w:numId w:val="171"/>
        </w:numPr>
        <w:spacing w:line="240" w:lineRule="auto"/>
        <w:jc w:val="both"/>
        <w:rPr>
          <w:rFonts w:cs="Times New Roman"/>
          <w:noProof/>
        </w:rPr>
      </w:pPr>
      <w:r w:rsidRPr="00BC4EE7">
        <w:rPr>
          <w:rFonts w:cs="Times New Roman"/>
          <w:noProof/>
        </w:rPr>
        <w:t>A konnektivitás javítása a digitalizációval, a technológiai fejlődéssel és a multimodális konnektivitással.</w:t>
      </w:r>
    </w:p>
    <w:p w14:paraId="3C003996" w14:textId="77777777" w:rsidR="00D65CB4" w:rsidRPr="00BC4EE7" w:rsidRDefault="00572307">
      <w:pPr>
        <w:pStyle w:val="P68B1DB1-Normal4"/>
        <w:spacing w:line="240" w:lineRule="auto"/>
        <w:jc w:val="both"/>
        <w:rPr>
          <w:rFonts w:cs="Times New Roman"/>
          <w:noProof/>
        </w:rPr>
      </w:pPr>
      <w:r w:rsidRPr="00BC4EE7">
        <w:rPr>
          <w:rFonts w:cs="Times New Roman"/>
          <w:noProof/>
        </w:rPr>
        <w:t xml:space="preserve">A stratégiának a következő kilenc területen kell konkrét intézkedéseket tartalmaznia: </w:t>
      </w:r>
    </w:p>
    <w:p w14:paraId="2CF7308B" w14:textId="77777777" w:rsidR="00D65CB4" w:rsidRPr="00BC4EE7" w:rsidRDefault="00572307">
      <w:pPr>
        <w:pStyle w:val="P68B1DB1-ListParagraph6"/>
        <w:numPr>
          <w:ilvl w:val="0"/>
          <w:numId w:val="172"/>
        </w:numPr>
        <w:spacing w:line="240" w:lineRule="auto"/>
        <w:jc w:val="both"/>
        <w:rPr>
          <w:rFonts w:cs="Times New Roman"/>
          <w:noProof/>
        </w:rPr>
      </w:pPr>
      <w:r w:rsidRPr="00BC4EE7">
        <w:rPr>
          <w:rFonts w:cs="Times New Roman"/>
          <w:noProof/>
        </w:rPr>
        <w:t xml:space="preserve">Mobilitás mindenki számára (az általános hozzáférhetőség biztosítása észszerű költségek mellett); </w:t>
      </w:r>
    </w:p>
    <w:p w14:paraId="7CFBDBEE" w14:textId="77777777" w:rsidR="00D65CB4" w:rsidRPr="00BC4EE7" w:rsidRDefault="00572307">
      <w:pPr>
        <w:pStyle w:val="P68B1DB1-ListParagraph6"/>
        <w:numPr>
          <w:ilvl w:val="0"/>
          <w:numId w:val="172"/>
        </w:numPr>
        <w:spacing w:line="240" w:lineRule="auto"/>
        <w:jc w:val="both"/>
        <w:rPr>
          <w:rFonts w:cs="Times New Roman"/>
          <w:noProof/>
        </w:rPr>
      </w:pPr>
      <w:r w:rsidRPr="00BC4EE7">
        <w:rPr>
          <w:rFonts w:cs="Times New Roman"/>
          <w:noProof/>
        </w:rPr>
        <w:t xml:space="preserve">Új beruházási politikák (a közlekedési infrastruktúrák és szolgáltatások megfelelő finanszírozásának biztosítása érdekében); </w:t>
      </w:r>
    </w:p>
    <w:p w14:paraId="4DF51691" w14:textId="77777777" w:rsidR="00D65CB4" w:rsidRPr="00BC4EE7" w:rsidRDefault="00572307">
      <w:pPr>
        <w:pStyle w:val="P68B1DB1-ListParagraph6"/>
        <w:numPr>
          <w:ilvl w:val="0"/>
          <w:numId w:val="172"/>
        </w:numPr>
        <w:spacing w:line="240" w:lineRule="auto"/>
        <w:jc w:val="both"/>
        <w:rPr>
          <w:rFonts w:cs="Times New Roman"/>
          <w:noProof/>
        </w:rPr>
      </w:pPr>
      <w:r w:rsidRPr="00BC4EE7">
        <w:rPr>
          <w:rFonts w:cs="Times New Roman"/>
          <w:noProof/>
        </w:rPr>
        <w:t xml:space="preserve">Biztonságos mobilitás (a nyomon követésre, karbantartásra és kiberbiztonságra irányuló beruházások előtérbe helyezése); </w:t>
      </w:r>
    </w:p>
    <w:p w14:paraId="47C9B44E" w14:textId="77777777" w:rsidR="00D65CB4" w:rsidRPr="00BC4EE7" w:rsidRDefault="00572307">
      <w:pPr>
        <w:pStyle w:val="P68B1DB1-ListParagraph6"/>
        <w:numPr>
          <w:ilvl w:val="0"/>
          <w:numId w:val="172"/>
        </w:numPr>
        <w:spacing w:line="240" w:lineRule="auto"/>
        <w:jc w:val="both"/>
        <w:rPr>
          <w:rFonts w:cs="Times New Roman"/>
          <w:noProof/>
        </w:rPr>
      </w:pPr>
      <w:r w:rsidRPr="00BC4EE7">
        <w:rPr>
          <w:rFonts w:cs="Times New Roman"/>
          <w:noProof/>
        </w:rPr>
        <w:t xml:space="preserve">Alacsony kibocsátású mobilitás (a hatékonyság növelése, az energiafogyasztás csökkentése); </w:t>
      </w:r>
    </w:p>
    <w:p w14:paraId="65035110" w14:textId="77777777" w:rsidR="00D65CB4" w:rsidRPr="00BC4EE7" w:rsidRDefault="00572307">
      <w:pPr>
        <w:pStyle w:val="P68B1DB1-ListParagraph6"/>
        <w:numPr>
          <w:ilvl w:val="0"/>
          <w:numId w:val="172"/>
        </w:numPr>
        <w:spacing w:line="240" w:lineRule="auto"/>
        <w:jc w:val="both"/>
        <w:rPr>
          <w:rFonts w:cs="Times New Roman"/>
          <w:noProof/>
        </w:rPr>
      </w:pPr>
      <w:r w:rsidRPr="00BC4EE7">
        <w:rPr>
          <w:rFonts w:cs="Times New Roman"/>
          <w:noProof/>
        </w:rPr>
        <w:t xml:space="preserve">Intelligens mobilitás (a K+F és a mobilitási innováció fellendítése, intelligens infrastruktúra kiépítése és kezelése); </w:t>
      </w:r>
    </w:p>
    <w:p w14:paraId="0ED2C07F" w14:textId="77777777" w:rsidR="00D65CB4" w:rsidRPr="00BC4EE7" w:rsidRDefault="00572307">
      <w:pPr>
        <w:pStyle w:val="P68B1DB1-ListParagraph6"/>
        <w:numPr>
          <w:ilvl w:val="0"/>
          <w:numId w:val="172"/>
        </w:numPr>
        <w:spacing w:line="240" w:lineRule="auto"/>
        <w:jc w:val="both"/>
        <w:rPr>
          <w:rFonts w:cs="Times New Roman"/>
          <w:noProof/>
        </w:rPr>
      </w:pPr>
      <w:r w:rsidRPr="00BC4EE7">
        <w:rPr>
          <w:rFonts w:cs="Times New Roman"/>
          <w:noProof/>
        </w:rPr>
        <w:t xml:space="preserve">Intelligens intermodális logisztikai láncok (a köz- és magánjellegű menetrendekben prioritásként kell kezelni a vasúti áruszállítást); </w:t>
      </w:r>
    </w:p>
    <w:p w14:paraId="33DEC856" w14:textId="77777777" w:rsidR="00D65CB4" w:rsidRPr="00BC4EE7" w:rsidRDefault="00572307">
      <w:pPr>
        <w:pStyle w:val="P68B1DB1-ListParagraph6"/>
        <w:numPr>
          <w:ilvl w:val="0"/>
          <w:numId w:val="172"/>
        </w:numPr>
        <w:spacing w:line="240" w:lineRule="auto"/>
        <w:jc w:val="both"/>
        <w:rPr>
          <w:rFonts w:cs="Times New Roman"/>
          <w:noProof/>
        </w:rPr>
      </w:pPr>
      <w:r w:rsidRPr="00BC4EE7">
        <w:rPr>
          <w:rFonts w:cs="Times New Roman"/>
          <w:noProof/>
        </w:rPr>
        <w:t xml:space="preserve">Európa és a világ összekapcsolása (kikötők összekapcsolása intermodális logisztikai terminálokkal, valamint a szomszédos országokkal való együttműködés fokozása a határokon átnyúló infrastruktúrák kiépítésének és/vagy javításának koordinálása érdekében); </w:t>
      </w:r>
    </w:p>
    <w:p w14:paraId="29ECA6C5" w14:textId="77777777" w:rsidR="00D65CB4" w:rsidRPr="00BC4EE7" w:rsidRDefault="00572307">
      <w:pPr>
        <w:pStyle w:val="P68B1DB1-ListParagraph6"/>
        <w:numPr>
          <w:ilvl w:val="0"/>
          <w:numId w:val="172"/>
        </w:numPr>
        <w:spacing w:line="240" w:lineRule="auto"/>
        <w:jc w:val="both"/>
        <w:rPr>
          <w:rFonts w:cs="Times New Roman"/>
          <w:noProof/>
        </w:rPr>
      </w:pPr>
      <w:r w:rsidRPr="00BC4EE7">
        <w:rPr>
          <w:rFonts w:cs="Times New Roman"/>
          <w:noProof/>
        </w:rPr>
        <w:t>Szociális és munkaügyi szempontok (a nemek közötti egyensúly, valamint a közlekedési munkaerő átképzésére és továbbképzésére irányuló intézkedések); és</w:t>
      </w:r>
    </w:p>
    <w:p w14:paraId="3A87BF4B" w14:textId="77777777" w:rsidR="00D65CB4" w:rsidRPr="00BC4EE7" w:rsidRDefault="00572307">
      <w:pPr>
        <w:pStyle w:val="P68B1DB1-ListParagraph6"/>
        <w:numPr>
          <w:ilvl w:val="0"/>
          <w:numId w:val="172"/>
        </w:numPr>
        <w:spacing w:line="240" w:lineRule="auto"/>
        <w:jc w:val="both"/>
        <w:rPr>
          <w:rFonts w:cs="Times New Roman"/>
          <w:noProof/>
        </w:rPr>
      </w:pPr>
      <w:r w:rsidRPr="00BC4EE7">
        <w:rPr>
          <w:rFonts w:cs="Times New Roman"/>
          <w:noProof/>
        </w:rPr>
        <w:t>A közlekedési, mobilitási és városfejlesztési minisztérium digitalizációja a digitális átállás megvalósítása, valamint a nyitottabbá és innovatívabbá válás érdekében.</w:t>
      </w:r>
    </w:p>
    <w:p w14:paraId="52B14BA0" w14:textId="77777777" w:rsidR="00D65CB4" w:rsidRPr="00BC4EE7" w:rsidRDefault="00572307">
      <w:pPr>
        <w:pStyle w:val="P68B1DB1-Normal4"/>
        <w:autoSpaceDE w:val="0"/>
        <w:autoSpaceDN w:val="0"/>
        <w:spacing w:before="40" w:after="40" w:line="240" w:lineRule="auto"/>
        <w:jc w:val="both"/>
        <w:rPr>
          <w:rFonts w:eastAsia="MS Mincho" w:cs="Times New Roman"/>
          <w:noProof/>
        </w:rPr>
      </w:pPr>
      <w:r w:rsidRPr="00BC4EE7">
        <w:rPr>
          <w:rFonts w:cs="Times New Roman"/>
          <w:noProof/>
        </w:rPr>
        <w:t>Az intézkedés végrehajtását 2021. december 31-ig be kell fejezni.</w:t>
      </w:r>
    </w:p>
    <w:p w14:paraId="5366D74F" w14:textId="77777777" w:rsidR="00D65CB4" w:rsidRPr="00BC4EE7" w:rsidRDefault="00D65CB4">
      <w:pPr>
        <w:keepNext/>
        <w:spacing w:line="240" w:lineRule="auto"/>
        <w:jc w:val="both"/>
        <w:rPr>
          <w:rFonts w:ascii="Times New Roman" w:hAnsi="Times New Roman" w:cs="Times New Roman"/>
          <w:noProof/>
          <w:sz w:val="24"/>
          <w:u w:val="single"/>
        </w:rPr>
      </w:pPr>
    </w:p>
    <w:p w14:paraId="4703E1F8" w14:textId="4C3975BE" w:rsidR="00D65CB4" w:rsidRPr="00BC4EE7" w:rsidRDefault="00572307">
      <w:pPr>
        <w:pStyle w:val="P68B1DB1-Normal5"/>
        <w:keepNext/>
        <w:spacing w:line="240" w:lineRule="auto"/>
        <w:jc w:val="both"/>
        <w:rPr>
          <w:rFonts w:cs="Times New Roman"/>
          <w:noProof/>
        </w:rPr>
      </w:pPr>
      <w:r w:rsidRPr="00BC4EE7">
        <w:rPr>
          <w:rFonts w:cs="Times New Roman"/>
          <w:noProof/>
        </w:rPr>
        <w:t>Reform (C6.R2) – Indikatív vasúti stratégia</w:t>
      </w:r>
    </w:p>
    <w:p w14:paraId="624738E4" w14:textId="77777777" w:rsidR="00D65CB4" w:rsidRPr="00BC4EE7" w:rsidRDefault="00572307">
      <w:pPr>
        <w:pStyle w:val="P68B1DB1-Normal4"/>
        <w:spacing w:line="240" w:lineRule="auto"/>
        <w:jc w:val="both"/>
        <w:rPr>
          <w:rFonts w:cs="Times New Roman"/>
          <w:noProof/>
        </w:rPr>
      </w:pPr>
      <w:r w:rsidRPr="00BC4EE7">
        <w:rPr>
          <w:rFonts w:cs="Times New Roman"/>
          <w:noProof/>
        </w:rPr>
        <w:t>A reform célja olyan eszközök létrehozása, amelyek biztosítják, hogy a vasúthálózat koherens és hatékony módon kielégítse a jövő mobilitási igényeit. A stratégiának egyértelmű tervezési forgatókönyvet kell kidolgoznia a vasúti közlekedési módra vonatkozóan, és lehetővé kell tennie a beruházási prioritások összehangolását a biztonságos, fenntartható és összekapcsolt mobilitás stratégiájával (R1).</w:t>
      </w:r>
    </w:p>
    <w:p w14:paraId="7C129B8F" w14:textId="77777777" w:rsidR="00D65CB4" w:rsidRPr="00BC4EE7" w:rsidRDefault="00572307">
      <w:pPr>
        <w:pStyle w:val="P68B1DB1-Normal4"/>
        <w:spacing w:line="240" w:lineRule="auto"/>
        <w:jc w:val="both"/>
        <w:rPr>
          <w:rFonts w:cs="Times New Roman"/>
          <w:noProof/>
        </w:rPr>
      </w:pPr>
      <w:r w:rsidRPr="00BC4EE7">
        <w:rPr>
          <w:rFonts w:cs="Times New Roman"/>
          <w:noProof/>
        </w:rPr>
        <w:t xml:space="preserve">A reform több intézkedésből áll, többek között a következőkből: </w:t>
      </w:r>
    </w:p>
    <w:p w14:paraId="79891D7F" w14:textId="77777777" w:rsidR="00D65CB4" w:rsidRPr="00BC4EE7" w:rsidRDefault="00572307">
      <w:pPr>
        <w:pStyle w:val="P68B1DB1-ListParagraph6"/>
        <w:numPr>
          <w:ilvl w:val="0"/>
          <w:numId w:val="173"/>
        </w:numPr>
        <w:spacing w:line="240" w:lineRule="auto"/>
        <w:jc w:val="both"/>
        <w:rPr>
          <w:rFonts w:cs="Times New Roman"/>
          <w:noProof/>
        </w:rPr>
      </w:pPr>
      <w:r w:rsidRPr="00BC4EE7">
        <w:rPr>
          <w:rFonts w:cs="Times New Roman"/>
          <w:noProof/>
        </w:rPr>
        <w:t xml:space="preserve">a vasúti ágazat tevékenységeinek világosabb tervezése, különös tekintettel a mindennapi mobilitásra; </w:t>
      </w:r>
    </w:p>
    <w:p w14:paraId="44EEB80D" w14:textId="77777777" w:rsidR="00D65CB4" w:rsidRPr="00BC4EE7" w:rsidRDefault="00572307">
      <w:pPr>
        <w:pStyle w:val="P68B1DB1-ListParagraph6"/>
        <w:numPr>
          <w:ilvl w:val="0"/>
          <w:numId w:val="173"/>
        </w:numPr>
        <w:spacing w:line="240" w:lineRule="auto"/>
        <w:jc w:val="both"/>
        <w:rPr>
          <w:rFonts w:cs="Times New Roman"/>
          <w:noProof/>
        </w:rPr>
      </w:pPr>
      <w:r w:rsidRPr="00BC4EE7">
        <w:rPr>
          <w:rFonts w:cs="Times New Roman"/>
          <w:noProof/>
        </w:rPr>
        <w:t xml:space="preserve">a hálózat karbantartásának javítása; </w:t>
      </w:r>
    </w:p>
    <w:p w14:paraId="1776C835" w14:textId="77777777" w:rsidR="00D65CB4" w:rsidRPr="00BC4EE7" w:rsidRDefault="00572307">
      <w:pPr>
        <w:pStyle w:val="P68B1DB1-ListParagraph6"/>
        <w:numPr>
          <w:ilvl w:val="0"/>
          <w:numId w:val="173"/>
        </w:numPr>
        <w:spacing w:line="240" w:lineRule="auto"/>
        <w:jc w:val="both"/>
        <w:rPr>
          <w:rFonts w:cs="Times New Roman"/>
          <w:noProof/>
        </w:rPr>
      </w:pPr>
      <w:r w:rsidRPr="00BC4EE7">
        <w:rPr>
          <w:rFonts w:cs="Times New Roman"/>
          <w:noProof/>
        </w:rPr>
        <w:t xml:space="preserve">a vasúti hálózat gazdasági fenntarthatóságának biztosítása; </w:t>
      </w:r>
    </w:p>
    <w:p w14:paraId="40CC3A21" w14:textId="77777777" w:rsidR="00D65CB4" w:rsidRPr="00BC4EE7" w:rsidRDefault="00572307">
      <w:pPr>
        <w:pStyle w:val="P68B1DB1-ListParagraph6"/>
        <w:numPr>
          <w:ilvl w:val="0"/>
          <w:numId w:val="173"/>
        </w:numPr>
        <w:spacing w:line="240" w:lineRule="auto"/>
        <w:jc w:val="both"/>
        <w:rPr>
          <w:rFonts w:cs="Times New Roman"/>
          <w:noProof/>
        </w:rPr>
      </w:pPr>
      <w:r w:rsidRPr="00BC4EE7">
        <w:rPr>
          <w:rFonts w:cs="Times New Roman"/>
          <w:noProof/>
        </w:rPr>
        <w:t xml:space="preserve">az erőforrás-hatékonyság előtérbe helyezése a beruházási projektek előzetes és utólagos értékelésével; </w:t>
      </w:r>
    </w:p>
    <w:p w14:paraId="50F30C3F" w14:textId="77777777" w:rsidR="00D65CB4" w:rsidRPr="00BC4EE7" w:rsidRDefault="00572307">
      <w:pPr>
        <w:pStyle w:val="P68B1DB1-ListParagraph6"/>
        <w:numPr>
          <w:ilvl w:val="0"/>
          <w:numId w:val="173"/>
        </w:numPr>
        <w:spacing w:line="240" w:lineRule="auto"/>
        <w:jc w:val="both"/>
        <w:rPr>
          <w:rFonts w:cs="Times New Roman"/>
          <w:noProof/>
        </w:rPr>
      </w:pPr>
      <w:r w:rsidRPr="00BC4EE7">
        <w:rPr>
          <w:rFonts w:cs="Times New Roman"/>
          <w:noProof/>
        </w:rPr>
        <w:t xml:space="preserve">a hálózat interoperabilitásának fokozása, különösen a transzeurópai hálózati folyosókon, valamint a hálózat intermodalitása; </w:t>
      </w:r>
    </w:p>
    <w:p w14:paraId="00A3CD9D" w14:textId="77777777" w:rsidR="00D65CB4" w:rsidRPr="00BC4EE7" w:rsidRDefault="00572307">
      <w:pPr>
        <w:pStyle w:val="P68B1DB1-ListParagraph6"/>
        <w:numPr>
          <w:ilvl w:val="0"/>
          <w:numId w:val="173"/>
        </w:numPr>
        <w:spacing w:line="240" w:lineRule="auto"/>
        <w:jc w:val="both"/>
        <w:rPr>
          <w:rFonts w:cs="Times New Roman"/>
          <w:noProof/>
        </w:rPr>
      </w:pPr>
      <w:r w:rsidRPr="00BC4EE7">
        <w:rPr>
          <w:rFonts w:cs="Times New Roman"/>
          <w:noProof/>
        </w:rPr>
        <w:t xml:space="preserve">a vasúti teherforgalom fellendítése; </w:t>
      </w:r>
    </w:p>
    <w:p w14:paraId="190B71EE" w14:textId="77777777" w:rsidR="00D65CB4" w:rsidRPr="00BC4EE7" w:rsidRDefault="00572307">
      <w:pPr>
        <w:pStyle w:val="P68B1DB1-ListParagraph6"/>
        <w:numPr>
          <w:ilvl w:val="0"/>
          <w:numId w:val="173"/>
        </w:numPr>
        <w:spacing w:line="240" w:lineRule="auto"/>
        <w:jc w:val="both"/>
        <w:rPr>
          <w:rFonts w:cs="Times New Roman"/>
          <w:noProof/>
        </w:rPr>
      </w:pPr>
      <w:r w:rsidRPr="00BC4EE7">
        <w:rPr>
          <w:rFonts w:cs="Times New Roman"/>
          <w:noProof/>
        </w:rPr>
        <w:t>a vasúti közlekedés biztonságának fokozása, valamint</w:t>
      </w:r>
    </w:p>
    <w:p w14:paraId="60599542" w14:textId="77777777" w:rsidR="00D65CB4" w:rsidRPr="00BC4EE7" w:rsidRDefault="00572307">
      <w:pPr>
        <w:pStyle w:val="P68B1DB1-ListParagraph6"/>
        <w:numPr>
          <w:ilvl w:val="0"/>
          <w:numId w:val="173"/>
        </w:numPr>
        <w:spacing w:line="240" w:lineRule="auto"/>
        <w:jc w:val="both"/>
        <w:rPr>
          <w:rFonts w:cs="Times New Roman"/>
          <w:noProof/>
        </w:rPr>
      </w:pPr>
      <w:r w:rsidRPr="00BC4EE7">
        <w:rPr>
          <w:rFonts w:cs="Times New Roman"/>
          <w:noProof/>
        </w:rPr>
        <w:t>a közlekedés digitalizációjának és az innovációnak az előmozdítása az összekapcsolt mobilitás biztosítása érdekében.</w:t>
      </w:r>
    </w:p>
    <w:p w14:paraId="29CB9B9C" w14:textId="77777777" w:rsidR="00D65CB4" w:rsidRPr="00BC4EE7" w:rsidRDefault="00572307">
      <w:pPr>
        <w:pStyle w:val="P68B1DB1-Normal4"/>
        <w:spacing w:line="240" w:lineRule="auto"/>
        <w:jc w:val="both"/>
        <w:rPr>
          <w:rFonts w:cs="Times New Roman"/>
          <w:noProof/>
        </w:rPr>
      </w:pPr>
      <w:r w:rsidRPr="00BC4EE7">
        <w:rPr>
          <w:rFonts w:cs="Times New Roman"/>
          <w:noProof/>
        </w:rPr>
        <w:t>Az intézkedés végrehajtását 2022. december 31-ig be kell fejezni.</w:t>
      </w:r>
    </w:p>
    <w:p w14:paraId="63DE0F88" w14:textId="17705106" w:rsidR="00D65CB4" w:rsidRPr="00BC4EE7" w:rsidRDefault="00572307">
      <w:pPr>
        <w:pStyle w:val="P68B1DB1-Normal5"/>
        <w:spacing w:line="240" w:lineRule="auto"/>
        <w:jc w:val="both"/>
        <w:rPr>
          <w:rFonts w:cs="Times New Roman"/>
          <w:noProof/>
        </w:rPr>
      </w:pPr>
      <w:r w:rsidRPr="00BC4EE7">
        <w:rPr>
          <w:rFonts w:cs="Times New Roman"/>
          <w:noProof/>
        </w:rPr>
        <w:t>Beruházás (C6.I1) – Nemzeti átviteli hálózat: Európai közlekedési folyosók</w:t>
      </w:r>
    </w:p>
    <w:p w14:paraId="36F21E81" w14:textId="77777777" w:rsidR="00D65CB4" w:rsidRPr="00BC4EE7" w:rsidRDefault="00572307">
      <w:pPr>
        <w:pStyle w:val="P68B1DB1-Normal4"/>
        <w:spacing w:line="240" w:lineRule="auto"/>
        <w:jc w:val="both"/>
        <w:rPr>
          <w:rFonts w:cs="Times New Roman"/>
          <w:noProof/>
        </w:rPr>
      </w:pPr>
      <w:r w:rsidRPr="00BC4EE7">
        <w:rPr>
          <w:rFonts w:cs="Times New Roman"/>
          <w:noProof/>
        </w:rPr>
        <w:t>Az intézkedés célja új vasúti infrastruktúra kiépítése az európai TEN-T törzshálózati folyosókon, valamint a meglévők korszerűsítése és korszerűsítése.</w:t>
      </w:r>
    </w:p>
    <w:p w14:paraId="5E43C7F3" w14:textId="77777777" w:rsidR="00D65CB4" w:rsidRPr="00BC4EE7" w:rsidRDefault="00572307">
      <w:pPr>
        <w:pStyle w:val="P68B1DB1-Normal4"/>
        <w:spacing w:line="240" w:lineRule="auto"/>
        <w:jc w:val="both"/>
        <w:rPr>
          <w:rFonts w:cs="Times New Roman"/>
          <w:noProof/>
        </w:rPr>
      </w:pPr>
      <w:r w:rsidRPr="00BC4EE7">
        <w:rPr>
          <w:rFonts w:cs="Times New Roman"/>
          <w:noProof/>
        </w:rPr>
        <w:t xml:space="preserve">A beruházás a következő fő dimenziókkal kapcsolatos intézkedésekből áll: </w:t>
      </w:r>
    </w:p>
    <w:p w14:paraId="1F40726A" w14:textId="77777777" w:rsidR="00D65CB4" w:rsidRPr="00BC4EE7" w:rsidRDefault="00572307">
      <w:pPr>
        <w:pStyle w:val="P68B1DB1-ListParagraph6"/>
        <w:numPr>
          <w:ilvl w:val="0"/>
          <w:numId w:val="174"/>
        </w:numPr>
        <w:spacing w:line="240" w:lineRule="auto"/>
        <w:jc w:val="both"/>
        <w:rPr>
          <w:rFonts w:cs="Times New Roman"/>
          <w:noProof/>
        </w:rPr>
      </w:pPr>
      <w:r w:rsidRPr="00BC4EE7">
        <w:rPr>
          <w:rFonts w:cs="Times New Roman"/>
          <w:noProof/>
        </w:rPr>
        <w:t>Alkalmazás: Olyan projektek, amelyek lehetővé teszik a vasúti vágányokat támogató infrastruktúra létrehozását, beleértve a töltést, a mentesítést, alagutakat, alagutakat stb.; ezek főként új infrastruktúra építése;</w:t>
      </w:r>
    </w:p>
    <w:p w14:paraId="2A3A78ED" w14:textId="77777777" w:rsidR="00D65CB4" w:rsidRPr="00BC4EE7" w:rsidRDefault="00572307">
      <w:pPr>
        <w:pStyle w:val="P68B1DB1-ListParagraph6"/>
        <w:numPr>
          <w:ilvl w:val="0"/>
          <w:numId w:val="174"/>
        </w:numPr>
        <w:spacing w:line="240" w:lineRule="auto"/>
        <w:jc w:val="both"/>
        <w:rPr>
          <w:rFonts w:cs="Times New Roman"/>
          <w:noProof/>
        </w:rPr>
      </w:pPr>
      <w:r w:rsidRPr="00BC4EE7">
        <w:rPr>
          <w:rFonts w:cs="Times New Roman"/>
          <w:noProof/>
        </w:rPr>
        <w:t>Szolgáltatások helyettesítése: A vasúti munkálatok kivitelezése során érintett meglévő szolgáltatások (fény, öntözés, víz stb.) helyreállítását célzó intézkedések;</w:t>
      </w:r>
    </w:p>
    <w:p w14:paraId="5DEB5229" w14:textId="77777777" w:rsidR="00D65CB4" w:rsidRPr="00BC4EE7" w:rsidRDefault="00572307">
      <w:pPr>
        <w:pStyle w:val="P68B1DB1-ListParagraph6"/>
        <w:numPr>
          <w:ilvl w:val="0"/>
          <w:numId w:val="174"/>
        </w:numPr>
        <w:spacing w:line="240" w:lineRule="auto"/>
        <w:jc w:val="both"/>
        <w:rPr>
          <w:rFonts w:cs="Times New Roman"/>
          <w:noProof/>
        </w:rPr>
      </w:pPr>
      <w:r w:rsidRPr="00BC4EE7">
        <w:rPr>
          <w:rFonts w:cs="Times New Roman"/>
          <w:noProof/>
        </w:rPr>
        <w:t>Vágányok: Vágányanyagok (ballasztok, talpfák, sínek, kapcsolók és tágító eszközök) új vasúti szakaszokon történő összeszerelésére és szállítására, valamint a meglévő vágányok felújítására irányuló intézkedések;</w:t>
      </w:r>
    </w:p>
    <w:p w14:paraId="5D9AC05F" w14:textId="77777777" w:rsidR="00D65CB4" w:rsidRPr="00BC4EE7" w:rsidRDefault="00572307">
      <w:pPr>
        <w:pStyle w:val="P68B1DB1-ListParagraph6"/>
        <w:numPr>
          <w:ilvl w:val="0"/>
          <w:numId w:val="174"/>
        </w:numPr>
        <w:spacing w:line="240" w:lineRule="auto"/>
        <w:jc w:val="both"/>
        <w:rPr>
          <w:rFonts w:cs="Times New Roman"/>
          <w:noProof/>
        </w:rPr>
      </w:pPr>
      <w:r w:rsidRPr="00BC4EE7">
        <w:rPr>
          <w:rFonts w:cs="Times New Roman"/>
          <w:noProof/>
        </w:rPr>
        <w:t>Villamos energia: A vonalak villamosításával kapcsolatos intézkedések, beleértve a következőket: felsővezeték, vontatási alállomások, átalakítási központok, távirányítás, nagyfeszültségű elektromos vezetékek;</w:t>
      </w:r>
    </w:p>
    <w:p w14:paraId="124CBBCC" w14:textId="77777777" w:rsidR="00D65CB4" w:rsidRPr="00BC4EE7" w:rsidRDefault="00572307">
      <w:pPr>
        <w:pStyle w:val="P68B1DB1-ListParagraph6"/>
        <w:numPr>
          <w:ilvl w:val="0"/>
          <w:numId w:val="174"/>
        </w:numPr>
        <w:spacing w:line="240" w:lineRule="auto"/>
        <w:jc w:val="both"/>
        <w:rPr>
          <w:rFonts w:cs="Times New Roman"/>
          <w:noProof/>
        </w:rPr>
      </w:pPr>
      <w:r w:rsidRPr="00BC4EE7">
        <w:rPr>
          <w:rFonts w:cs="Times New Roman"/>
          <w:noProof/>
        </w:rPr>
        <w:t>Forgalmi jelzések és irányítás: Új jelző- és forgalomirányító rendszerek megvalósítására irányuló projektek;</w:t>
      </w:r>
    </w:p>
    <w:p w14:paraId="5CD85DA3" w14:textId="77777777" w:rsidR="00D65CB4" w:rsidRPr="00BC4EE7" w:rsidRDefault="00572307">
      <w:pPr>
        <w:pStyle w:val="P68B1DB1-ListParagraph6"/>
        <w:numPr>
          <w:ilvl w:val="0"/>
          <w:numId w:val="174"/>
        </w:numPr>
        <w:spacing w:line="240" w:lineRule="auto"/>
        <w:jc w:val="both"/>
        <w:rPr>
          <w:rFonts w:cs="Times New Roman"/>
          <w:noProof/>
        </w:rPr>
      </w:pPr>
      <w:r w:rsidRPr="00BC4EE7">
        <w:rPr>
          <w:rFonts w:cs="Times New Roman"/>
          <w:noProof/>
        </w:rPr>
        <w:t>Távközlés: A vezetékes és mobil távközléssel kapcsolatos projektek a vasútvonalakon.</w:t>
      </w:r>
    </w:p>
    <w:p w14:paraId="661B790D" w14:textId="77777777" w:rsidR="00D65CB4" w:rsidRPr="00BC4EE7" w:rsidRDefault="00572307">
      <w:pPr>
        <w:pStyle w:val="P68B1DB1-ListParagraph6"/>
        <w:numPr>
          <w:ilvl w:val="0"/>
          <w:numId w:val="174"/>
        </w:numPr>
        <w:spacing w:line="240" w:lineRule="auto"/>
        <w:jc w:val="both"/>
        <w:rPr>
          <w:rFonts w:cs="Times New Roman"/>
          <w:noProof/>
        </w:rPr>
      </w:pPr>
      <w:r w:rsidRPr="00BC4EE7">
        <w:rPr>
          <w:rFonts w:cs="Times New Roman"/>
          <w:noProof/>
        </w:rPr>
        <w:t>Állomások: A meglévő állomások korszerűsítése és rehabilitációja, valamint új állomások építése.</w:t>
      </w:r>
    </w:p>
    <w:p w14:paraId="5A851514" w14:textId="77777777" w:rsidR="00D65CB4" w:rsidRPr="00BC4EE7" w:rsidRDefault="00572307">
      <w:pPr>
        <w:pStyle w:val="P68B1DB1-Normal4"/>
        <w:spacing w:line="240" w:lineRule="auto"/>
        <w:jc w:val="both"/>
        <w:rPr>
          <w:rFonts w:cs="Times New Roman"/>
          <w:noProof/>
        </w:rPr>
      </w:pPr>
      <w:r w:rsidRPr="00BC4EE7">
        <w:rPr>
          <w:rFonts w:cs="Times New Roman"/>
          <w:noProof/>
        </w:rPr>
        <w:t xml:space="preserve">A munkálatokat legalább 1400 kilométernyi, az Atlanti-óceánon és a Földközi-tenger térségében található folyosón el kell végezni, beleértve a meglévő szakaszok fejlesztésére irányuló intézkedéseket és az új szakaszok építésének előrehaladását célzó beruházásokat. </w:t>
      </w:r>
    </w:p>
    <w:p w14:paraId="1EFEFCA5" w14:textId="77777777" w:rsidR="00D65CB4" w:rsidRPr="00BC4EE7" w:rsidRDefault="00572307">
      <w:pPr>
        <w:pStyle w:val="P68B1DB1-Normal4"/>
        <w:spacing w:line="240" w:lineRule="auto"/>
        <w:jc w:val="both"/>
        <w:rPr>
          <w:rFonts w:cs="Times New Roman"/>
          <w:noProof/>
        </w:rPr>
      </w:pPr>
      <w:r w:rsidRPr="00BC4EE7">
        <w:rPr>
          <w:rFonts w:cs="Times New Roman"/>
          <w:noProof/>
        </w:rPr>
        <w:t>A beruházás végrehajtását 2026. június 30-ig be kell fejezni.</w:t>
      </w:r>
    </w:p>
    <w:p w14:paraId="568CF66A" w14:textId="77777777" w:rsidR="00D65CB4" w:rsidRPr="00BC4EE7" w:rsidRDefault="00572307">
      <w:pPr>
        <w:pStyle w:val="P68B1DB1-Normal5"/>
        <w:spacing w:line="240" w:lineRule="auto"/>
        <w:jc w:val="both"/>
        <w:rPr>
          <w:rFonts w:cs="Times New Roman"/>
          <w:noProof/>
        </w:rPr>
      </w:pPr>
      <w:r w:rsidRPr="00BC4EE7">
        <w:rPr>
          <w:rFonts w:cs="Times New Roman"/>
          <w:noProof/>
        </w:rPr>
        <w:t>Beruházás (C6.I2) – Transzeurópai közlekedési hálózat programja, egyéb munkák</w:t>
      </w:r>
    </w:p>
    <w:p w14:paraId="653154FC" w14:textId="77777777" w:rsidR="00D65CB4" w:rsidRPr="00BC4EE7" w:rsidRDefault="00572307">
      <w:pPr>
        <w:pStyle w:val="P68B1DB1-Normal4"/>
        <w:spacing w:before="60" w:afterLines="60" w:after="144" w:line="240" w:lineRule="auto"/>
        <w:jc w:val="both"/>
        <w:rPr>
          <w:rFonts w:cs="Times New Roman"/>
          <w:noProof/>
        </w:rPr>
      </w:pPr>
      <w:r w:rsidRPr="00BC4EE7">
        <w:rPr>
          <w:rFonts w:cs="Times New Roman"/>
          <w:noProof/>
        </w:rPr>
        <w:t xml:space="preserve">Az intézkedés célja az összes közlekedési módra (vasúti, közúti, légi) kiterjedő nemzeti közlekedési hálózat javítása annak érdekében, hogy az megbízhatóbbá, fenntarthatóbbá, biztonságosabbá és reziliensebbé váljon. </w:t>
      </w:r>
    </w:p>
    <w:p w14:paraId="5DA01CD6" w14:textId="77777777" w:rsidR="00D65CB4" w:rsidRPr="00BC4EE7" w:rsidRDefault="00572307">
      <w:pPr>
        <w:pStyle w:val="P68B1DB1-Normal4"/>
        <w:spacing w:before="60" w:afterLines="60" w:after="144" w:line="240" w:lineRule="auto"/>
        <w:jc w:val="both"/>
        <w:rPr>
          <w:rFonts w:cs="Times New Roman"/>
          <w:noProof/>
        </w:rPr>
      </w:pPr>
      <w:r w:rsidRPr="00BC4EE7">
        <w:rPr>
          <w:rFonts w:cs="Times New Roman"/>
          <w:noProof/>
        </w:rPr>
        <w:t>A beruházás a következő intézkedésekből áll:</w:t>
      </w:r>
    </w:p>
    <w:p w14:paraId="4DEB9CC4" w14:textId="77777777" w:rsidR="00D65CB4" w:rsidRPr="00BC4EE7" w:rsidRDefault="00572307">
      <w:pPr>
        <w:pStyle w:val="P68B1DB1-ListParagraph6"/>
        <w:numPr>
          <w:ilvl w:val="0"/>
          <w:numId w:val="177"/>
        </w:numPr>
        <w:spacing w:before="60" w:afterLines="60" w:after="144" w:line="240" w:lineRule="auto"/>
        <w:ind w:left="993" w:hanging="284"/>
        <w:jc w:val="both"/>
        <w:rPr>
          <w:rFonts w:cs="Times New Roman"/>
          <w:noProof/>
        </w:rPr>
      </w:pPr>
      <w:r w:rsidRPr="00BC4EE7">
        <w:rPr>
          <w:rFonts w:cs="Times New Roman"/>
          <w:noProof/>
        </w:rPr>
        <w:t>A vasúti hálózat korszerűsítése a nem központi TEN-T hálózathoz képest, legalább 900 kilométernyi munkálatokkal;</w:t>
      </w:r>
    </w:p>
    <w:p w14:paraId="78BD8813" w14:textId="359A0732" w:rsidR="00D65CB4" w:rsidRPr="00BC4EE7" w:rsidRDefault="00572307">
      <w:pPr>
        <w:pStyle w:val="P68B1DB1-ListParagraph6"/>
        <w:numPr>
          <w:ilvl w:val="0"/>
          <w:numId w:val="177"/>
        </w:numPr>
        <w:spacing w:before="60" w:afterLines="60" w:after="144" w:line="240" w:lineRule="auto"/>
        <w:ind w:left="993" w:hanging="284"/>
        <w:jc w:val="both"/>
        <w:rPr>
          <w:rFonts w:cs="Times New Roman"/>
          <w:noProof/>
        </w:rPr>
      </w:pPr>
      <w:r w:rsidRPr="00BC4EE7">
        <w:rPr>
          <w:rFonts w:cs="Times New Roman"/>
          <w:noProof/>
        </w:rPr>
        <w:t>A közúti hálózat biztonságosabbá tétele a nemzeti és európai szabályozásokkal összhangban, fenntarthatóbbá tétele, a digitalizáció javítása és intelligens közlekedési rendszerek megvalósítása, valamint a Gibraltári-szoroson áthaladó állandó összeköttetés elsődleges előzetes tervezetének frissítése;</w:t>
      </w:r>
    </w:p>
    <w:p w14:paraId="20F4A635" w14:textId="77777777" w:rsidR="00D65CB4" w:rsidRPr="00BC4EE7" w:rsidRDefault="00572307">
      <w:pPr>
        <w:pStyle w:val="P68B1DB1-ListParagraph6"/>
        <w:numPr>
          <w:ilvl w:val="0"/>
          <w:numId w:val="177"/>
        </w:numPr>
        <w:spacing w:before="60" w:afterLines="60" w:after="144" w:line="240" w:lineRule="auto"/>
        <w:ind w:left="993" w:hanging="284"/>
        <w:jc w:val="both"/>
        <w:rPr>
          <w:rFonts w:cs="Times New Roman"/>
          <w:noProof/>
        </w:rPr>
      </w:pPr>
      <w:r w:rsidRPr="00BC4EE7">
        <w:rPr>
          <w:rFonts w:cs="Times New Roman"/>
          <w:noProof/>
        </w:rPr>
        <w:t xml:space="preserve">Az egységes európai égbolt fejlesztésének ösztönzése (20 projekt); </w:t>
      </w:r>
    </w:p>
    <w:p w14:paraId="30B597CF" w14:textId="77777777" w:rsidR="00D65CB4" w:rsidRPr="00BC4EE7" w:rsidRDefault="00572307">
      <w:pPr>
        <w:pStyle w:val="P68B1DB1-ListParagraph6"/>
        <w:numPr>
          <w:ilvl w:val="0"/>
          <w:numId w:val="177"/>
        </w:numPr>
        <w:spacing w:before="60" w:afterLines="60" w:after="144" w:line="240" w:lineRule="auto"/>
        <w:ind w:left="993" w:hanging="284"/>
        <w:jc w:val="both"/>
        <w:rPr>
          <w:rFonts w:cs="Times New Roman"/>
          <w:noProof/>
        </w:rPr>
      </w:pPr>
      <w:r w:rsidRPr="00BC4EE7">
        <w:rPr>
          <w:rFonts w:cs="Times New Roman"/>
          <w:noProof/>
        </w:rPr>
        <w:t xml:space="preserve">A Közlekedési, Mobilitásügyi és Városfejlesztési Minisztérium digitális átalakításának támogatása. </w:t>
      </w:r>
    </w:p>
    <w:p w14:paraId="3D6D2685" w14:textId="217DA4E1" w:rsidR="00D65CB4" w:rsidRPr="00BC4EE7" w:rsidRDefault="00572307">
      <w:pPr>
        <w:pStyle w:val="P68B1DB1-Normal4"/>
        <w:spacing w:before="60" w:afterLines="60" w:after="144" w:line="240" w:lineRule="auto"/>
        <w:jc w:val="both"/>
        <w:rPr>
          <w:rFonts w:cs="Times New Roman"/>
          <w:noProof/>
        </w:rPr>
      </w:pPr>
      <w:r w:rsidRPr="00BC4EE7">
        <w:rPr>
          <w:rFonts w:cs="Times New Roman"/>
          <w:noProof/>
        </w:rPr>
        <w:t>A kiválasztási kritériumoknak biztosítaniuk kell, hogy a Helyreállítási és Rezilienciaépítési Eszközről szóló (EU) 2021/241 rendelet VI. mellékletével összhangban legalább 1 010 000 000 EUR 100%-os éghajlati együtthatóval, legalább 301 000 000 EUR pedig legalább 40%-os éghajlati együtthatóval járuljon hozzá az éghajlat-változási célkitűzésekhez.</w:t>
      </w:r>
    </w:p>
    <w:p w14:paraId="4168DB18" w14:textId="77777777" w:rsidR="00D65CB4" w:rsidRPr="00BC4EE7" w:rsidRDefault="00572307">
      <w:pPr>
        <w:pStyle w:val="P68B1DB1-Normal4"/>
        <w:spacing w:before="60" w:afterLines="60" w:after="144" w:line="240" w:lineRule="auto"/>
        <w:jc w:val="both"/>
        <w:rPr>
          <w:rFonts w:cs="Times New Roman"/>
          <w:noProof/>
        </w:rPr>
      </w:pPr>
      <w:r w:rsidRPr="00BC4EE7">
        <w:rPr>
          <w:rFonts w:cs="Times New Roman"/>
          <w:noProof/>
        </w:rPr>
        <w:t>A beruházás végrehajtását 2026. június 30-ig be kell fejezni.</w:t>
      </w:r>
    </w:p>
    <w:p w14:paraId="43EE3CA8" w14:textId="77777777" w:rsidR="00D65CB4" w:rsidRPr="00BC4EE7" w:rsidRDefault="00572307">
      <w:pPr>
        <w:pStyle w:val="P68B1DB1-Normal5"/>
        <w:spacing w:line="240" w:lineRule="auto"/>
        <w:jc w:val="both"/>
        <w:rPr>
          <w:rFonts w:cs="Times New Roman"/>
          <w:noProof/>
        </w:rPr>
      </w:pPr>
      <w:r w:rsidRPr="00BC4EE7">
        <w:rPr>
          <w:rFonts w:cs="Times New Roman"/>
          <w:noProof/>
        </w:rPr>
        <w:t>Beruházás (C6.I3) – Intermodalitás és logisztika</w:t>
      </w:r>
    </w:p>
    <w:p w14:paraId="0960D80B" w14:textId="77777777" w:rsidR="00D65CB4" w:rsidRPr="00BC4EE7" w:rsidRDefault="00572307">
      <w:pPr>
        <w:pStyle w:val="P68B1DB1-Normal4"/>
        <w:spacing w:line="240" w:lineRule="auto"/>
        <w:jc w:val="both"/>
        <w:rPr>
          <w:rFonts w:cs="Times New Roman"/>
          <w:noProof/>
        </w:rPr>
      </w:pPr>
      <w:r w:rsidRPr="00BC4EE7">
        <w:rPr>
          <w:rFonts w:cs="Times New Roman"/>
          <w:noProof/>
        </w:rPr>
        <w:t>Az intézkedés célja az intelligens intermodális logisztikai láncokra vonatkozó biztonságos, fenntartható és összekapcsolt mobilitási stratégia (R1) 6. tengelyének végrehajtása.</w:t>
      </w:r>
    </w:p>
    <w:p w14:paraId="39D659E0" w14:textId="77777777" w:rsidR="00D65CB4" w:rsidRPr="00BC4EE7" w:rsidRDefault="00572307">
      <w:pPr>
        <w:pStyle w:val="P68B1DB1-Normal4"/>
        <w:spacing w:line="240" w:lineRule="auto"/>
        <w:jc w:val="both"/>
        <w:rPr>
          <w:rFonts w:cs="Times New Roman"/>
          <w:noProof/>
        </w:rPr>
      </w:pPr>
      <w:r w:rsidRPr="00BC4EE7">
        <w:rPr>
          <w:rFonts w:cs="Times New Roman"/>
          <w:noProof/>
        </w:rPr>
        <w:t xml:space="preserve">A beruházás három cselekvési irányból áll: </w:t>
      </w:r>
    </w:p>
    <w:p w14:paraId="10D30F47" w14:textId="77777777" w:rsidR="00D65CB4" w:rsidRPr="00BC4EE7" w:rsidRDefault="00572307">
      <w:pPr>
        <w:pStyle w:val="P68B1DB1-ListParagraph6"/>
        <w:numPr>
          <w:ilvl w:val="0"/>
          <w:numId w:val="176"/>
        </w:numPr>
        <w:spacing w:line="240" w:lineRule="auto"/>
        <w:ind w:left="993" w:hanging="284"/>
        <w:jc w:val="both"/>
        <w:rPr>
          <w:rFonts w:cs="Times New Roman"/>
          <w:noProof/>
        </w:rPr>
      </w:pPr>
      <w:r w:rsidRPr="00BC4EE7">
        <w:rPr>
          <w:rFonts w:cs="Times New Roman"/>
          <w:noProof/>
        </w:rPr>
        <w:t xml:space="preserve">kilenc stratégiai intermodális és logisztikai terminál fejlesztése vagy korszerűsítése egyes esetekben az intermodális terminálok logisztikai területbe való integrálása és minden esetben az árufuvarozás közútról vasútra való áthelyezésének ösztönzése érdekében; </w:t>
      </w:r>
    </w:p>
    <w:p w14:paraId="5262CC62" w14:textId="77777777" w:rsidR="00D65CB4" w:rsidRPr="00BC4EE7" w:rsidRDefault="00572307">
      <w:pPr>
        <w:pStyle w:val="P68B1DB1-ListParagraph6"/>
        <w:numPr>
          <w:ilvl w:val="0"/>
          <w:numId w:val="176"/>
        </w:numPr>
        <w:spacing w:line="240" w:lineRule="auto"/>
        <w:ind w:left="993" w:hanging="284"/>
        <w:jc w:val="both"/>
        <w:rPr>
          <w:rFonts w:cs="Times New Roman"/>
          <w:noProof/>
        </w:rPr>
      </w:pPr>
      <w:r w:rsidRPr="00BC4EE7">
        <w:rPr>
          <w:rFonts w:cs="Times New Roman"/>
          <w:noProof/>
        </w:rPr>
        <w:t xml:space="preserve">a spanyol kikötőkhöz való vasúti és közúti hozzáférés javítása a vasúti árufuvarozás fellendítése érdekében a kikötők vasúttal (2 kikötő) és közúthálózattal (egy kikötő) való összeköttetésének javítása révén; </w:t>
      </w:r>
    </w:p>
    <w:p w14:paraId="183C0C7A" w14:textId="77777777" w:rsidR="00D65CB4" w:rsidRPr="00BC4EE7" w:rsidRDefault="00572307">
      <w:pPr>
        <w:pStyle w:val="P68B1DB1-ListParagraph6"/>
        <w:numPr>
          <w:ilvl w:val="0"/>
          <w:numId w:val="176"/>
        </w:numPr>
        <w:spacing w:line="240" w:lineRule="auto"/>
        <w:ind w:left="993" w:hanging="284"/>
        <w:jc w:val="both"/>
        <w:rPr>
          <w:rFonts w:cs="Times New Roman"/>
          <w:noProof/>
        </w:rPr>
      </w:pPr>
      <w:r w:rsidRPr="00BC4EE7">
        <w:rPr>
          <w:rFonts w:cs="Times New Roman"/>
          <w:noProof/>
        </w:rPr>
        <w:t>jobb hozzáférhetőség (19 projekt) és fenntarthatóság a kikötőkben (25 kikötői hatóság projektjei).</w:t>
      </w:r>
    </w:p>
    <w:p w14:paraId="13AF8CCF" w14:textId="3CFB05EA" w:rsidR="00D65CB4" w:rsidRPr="00BC4EE7" w:rsidRDefault="00572307">
      <w:pPr>
        <w:pStyle w:val="P68B1DB1-Normal4"/>
        <w:spacing w:line="240" w:lineRule="auto"/>
        <w:jc w:val="both"/>
        <w:rPr>
          <w:rFonts w:cs="Times New Roman"/>
          <w:noProof/>
        </w:rPr>
      </w:pPr>
      <w:r w:rsidRPr="00BC4EE7">
        <w:rPr>
          <w:rFonts w:cs="Times New Roman"/>
          <w:noProof/>
        </w:rPr>
        <w:t>A kiválasztási kritériumoknak biztosítaniuk kell, hogy a Helyreállítási és Rezilienciaépítési Eszközről szóló (EU) 2021/241 rendelet VI. mellékletével összhangban legalább 584 000 000 EUR 100%-os éghajlati együtthatóval, legalább 217 000 000 EUR pedig legalább 40%-os éghajlati együtthatóval járuljon hozzá az éghajlat-változási célkitűzésekhez.</w:t>
      </w:r>
    </w:p>
    <w:p w14:paraId="38AB270D" w14:textId="77777777" w:rsidR="00D65CB4" w:rsidRPr="00BC4EE7" w:rsidRDefault="00572307">
      <w:pPr>
        <w:pStyle w:val="P68B1DB1-Normal4"/>
        <w:spacing w:line="240" w:lineRule="auto"/>
        <w:jc w:val="both"/>
        <w:rPr>
          <w:rFonts w:cs="Times New Roman"/>
          <w:noProof/>
        </w:rPr>
      </w:pPr>
      <w:r w:rsidRPr="00BC4EE7">
        <w:rPr>
          <w:rFonts w:cs="Times New Roman"/>
          <w:noProof/>
        </w:rPr>
        <w:t>A beruházás végrehajtását 2026. június 30-ig be kell fejezni.</w:t>
      </w:r>
    </w:p>
    <w:p w14:paraId="4FC3640E" w14:textId="77777777" w:rsidR="00D65CB4" w:rsidRPr="00BC4EE7" w:rsidRDefault="00572307">
      <w:pPr>
        <w:pStyle w:val="P68B1DB1-Normal5"/>
        <w:spacing w:line="240" w:lineRule="auto"/>
        <w:jc w:val="both"/>
        <w:rPr>
          <w:rFonts w:cs="Times New Roman"/>
          <w:noProof/>
        </w:rPr>
      </w:pPr>
      <w:r w:rsidRPr="00BC4EE7">
        <w:rPr>
          <w:rFonts w:cs="Times New Roman"/>
          <w:noProof/>
        </w:rPr>
        <w:t>Beruházás (C6.I4) – A fenntartható és digitális közlekedést támogató program</w:t>
      </w:r>
    </w:p>
    <w:p w14:paraId="7847248B" w14:textId="77777777" w:rsidR="00D65CB4" w:rsidRPr="00BC4EE7" w:rsidRDefault="00572307">
      <w:pPr>
        <w:pStyle w:val="P68B1DB1-Normal4"/>
        <w:spacing w:line="240" w:lineRule="auto"/>
        <w:jc w:val="both"/>
        <w:rPr>
          <w:rFonts w:cs="Times New Roman"/>
          <w:noProof/>
        </w:rPr>
      </w:pPr>
      <w:r w:rsidRPr="00BC4EE7">
        <w:rPr>
          <w:rFonts w:cs="Times New Roman"/>
          <w:noProof/>
        </w:rPr>
        <w:t>Az intézkedés célja a közlekedési rendszer hatékonyságának javítása az ágazaton belüli új technológiák digitalizálása és bevezetése, valamint a legfenntarthatóbb közlekedési eszközök, különösen a vasút támogatása révén. Ez a beruházás összhangban van az Európai Hálózatfinanszírozási Eszköz (CEF) munkaprogramjának kezdeményezéseivel, és felszólít a transzeurópai közlekedési hálózat fejlesztésére.</w:t>
      </w:r>
    </w:p>
    <w:p w14:paraId="472FA319" w14:textId="79B5D066" w:rsidR="00D65CB4" w:rsidRPr="00BC4EE7" w:rsidRDefault="00572307">
      <w:pPr>
        <w:pStyle w:val="P68B1DB1-Normal4"/>
        <w:spacing w:line="240" w:lineRule="auto"/>
        <w:jc w:val="both"/>
        <w:rPr>
          <w:rFonts w:cs="Times New Roman"/>
          <w:noProof/>
        </w:rPr>
      </w:pPr>
      <w:r w:rsidRPr="00BC4EE7">
        <w:rPr>
          <w:rFonts w:cs="Times New Roman"/>
          <w:noProof/>
        </w:rPr>
        <w:t>A beruházás a következőkből álló csomagból áll:</w:t>
      </w:r>
    </w:p>
    <w:p w14:paraId="7C1C0663" w14:textId="77777777" w:rsidR="00D65CB4" w:rsidRPr="00BC4EE7" w:rsidRDefault="00572307">
      <w:pPr>
        <w:pStyle w:val="P68B1DB1-ListParagraph6"/>
        <w:numPr>
          <w:ilvl w:val="0"/>
          <w:numId w:val="789"/>
        </w:numPr>
        <w:spacing w:after="200" w:line="240" w:lineRule="auto"/>
        <w:jc w:val="both"/>
        <w:rPr>
          <w:rFonts w:cs="Times New Roman"/>
          <w:noProof/>
        </w:rPr>
      </w:pPr>
      <w:r w:rsidRPr="00BC4EE7">
        <w:rPr>
          <w:rFonts w:cs="Times New Roman"/>
          <w:noProof/>
        </w:rPr>
        <w:t>a fenntartható árufuvarozást támogató rendszer, amely az ECO-INCENTIVES-en alapul vasúti és tengeri célokra;</w:t>
      </w:r>
    </w:p>
    <w:p w14:paraId="578E4AA2" w14:textId="77777777" w:rsidR="00D65CB4" w:rsidRPr="00BC4EE7" w:rsidRDefault="00572307">
      <w:pPr>
        <w:pStyle w:val="P68B1DB1-ListParagraph6"/>
        <w:numPr>
          <w:ilvl w:val="0"/>
          <w:numId w:val="789"/>
        </w:numPr>
        <w:spacing w:after="200" w:line="240" w:lineRule="auto"/>
        <w:jc w:val="both"/>
        <w:rPr>
          <w:rFonts w:cs="Times New Roman"/>
          <w:noProof/>
        </w:rPr>
      </w:pPr>
      <w:r w:rsidRPr="00BC4EE7">
        <w:rPr>
          <w:rFonts w:cs="Times New Roman"/>
          <w:noProof/>
        </w:rPr>
        <w:t xml:space="preserve">pénzeszközök átutalása az autonóm közösségeknek a személy- és áruszállítási szolgáltatások digitalizálására irányuló regionális és helyi szintű projektekhez nyújtott támogatások odaítélése céljából; </w:t>
      </w:r>
    </w:p>
    <w:p w14:paraId="08D21953" w14:textId="77777777" w:rsidR="00D65CB4" w:rsidRPr="00BC4EE7" w:rsidRDefault="00572307">
      <w:pPr>
        <w:pStyle w:val="P68B1DB1-ListParagraph6"/>
        <w:numPr>
          <w:ilvl w:val="0"/>
          <w:numId w:val="789"/>
        </w:numPr>
        <w:spacing w:after="200" w:line="240" w:lineRule="auto"/>
        <w:jc w:val="both"/>
        <w:rPr>
          <w:rFonts w:cs="Times New Roman"/>
          <w:noProof/>
        </w:rPr>
      </w:pPr>
      <w:r w:rsidRPr="00BC4EE7">
        <w:rPr>
          <w:rFonts w:cs="Times New Roman"/>
          <w:noProof/>
        </w:rPr>
        <w:t xml:space="preserve">pénzeszközök átutalása az autonóm közösségeknek a személy- és áruszállítási szolgáltatások digitalizálására irányuló regionális és helyi szintű projektekre vonatkozó szerződések vagy más jogi eszközök odaítélése céljából; és  </w:t>
      </w:r>
    </w:p>
    <w:p w14:paraId="7F222AEA" w14:textId="6070AC3D" w:rsidR="00D65CB4" w:rsidRPr="00BC4EE7" w:rsidRDefault="00572307">
      <w:pPr>
        <w:pStyle w:val="P68B1DB1-ListParagraph6"/>
        <w:numPr>
          <w:ilvl w:val="0"/>
          <w:numId w:val="789"/>
        </w:numPr>
        <w:spacing w:after="200" w:line="240" w:lineRule="auto"/>
        <w:jc w:val="both"/>
        <w:rPr>
          <w:rFonts w:cs="Times New Roman"/>
          <w:noProof/>
        </w:rPr>
      </w:pPr>
      <w:r w:rsidRPr="00BC4EE7">
        <w:rPr>
          <w:rFonts w:cs="Times New Roman"/>
          <w:noProof/>
        </w:rPr>
        <w:t xml:space="preserve">projektek odaítélése a következő tevékenységekre: </w:t>
      </w:r>
    </w:p>
    <w:p w14:paraId="30FC8C22" w14:textId="77777777" w:rsidR="00D65CB4" w:rsidRPr="00BC4EE7" w:rsidRDefault="00572307">
      <w:pPr>
        <w:pStyle w:val="P68B1DB1-Normal17"/>
        <w:spacing w:line="240" w:lineRule="auto"/>
        <w:ind w:firstLine="709"/>
        <w:jc w:val="both"/>
        <w:rPr>
          <w:rFonts w:cs="Times New Roman"/>
          <w:noProof/>
        </w:rPr>
      </w:pPr>
      <w:r w:rsidRPr="00BC4EE7">
        <w:rPr>
          <w:rFonts w:cs="Times New Roman"/>
          <w:noProof/>
        </w:rPr>
        <w:t xml:space="preserve">Cselekvési irányvonal. Kölcsönös átjárhatóság a vasúti árufuvarozásban </w:t>
      </w:r>
    </w:p>
    <w:p w14:paraId="26BB990F" w14:textId="77777777" w:rsidR="00D65CB4" w:rsidRPr="00BC4EE7" w:rsidRDefault="00572307">
      <w:pPr>
        <w:pStyle w:val="P68B1DB1-Normal4"/>
        <w:spacing w:line="240" w:lineRule="auto"/>
        <w:ind w:left="709"/>
        <w:jc w:val="both"/>
        <w:rPr>
          <w:rFonts w:cs="Times New Roman"/>
          <w:noProof/>
        </w:rPr>
      </w:pPr>
      <w:r w:rsidRPr="00BC4EE7">
        <w:rPr>
          <w:rFonts w:cs="Times New Roman"/>
          <w:noProof/>
        </w:rPr>
        <w:t xml:space="preserve">1. Fedélzeti Európai Vasúti Forgalomirányítási Rendszerek (ERTMS); </w:t>
      </w:r>
    </w:p>
    <w:p w14:paraId="3B85F9B0" w14:textId="77777777" w:rsidR="00D65CB4" w:rsidRPr="00BC4EE7" w:rsidRDefault="00572307">
      <w:pPr>
        <w:pStyle w:val="P68B1DB1-Normal4"/>
        <w:spacing w:line="240" w:lineRule="auto"/>
        <w:ind w:left="709"/>
        <w:jc w:val="both"/>
        <w:rPr>
          <w:rFonts w:cs="Times New Roman"/>
          <w:noProof/>
        </w:rPr>
      </w:pPr>
      <w:r w:rsidRPr="00BC4EE7">
        <w:rPr>
          <w:rFonts w:cs="Times New Roman"/>
          <w:noProof/>
        </w:rPr>
        <w:t>2. A vasutak kölcsönös átjárhatósága előtt álló akadályok felszámolására irányuló intézkedések;</w:t>
      </w:r>
    </w:p>
    <w:p w14:paraId="5DE276B0" w14:textId="77777777" w:rsidR="00D65CB4" w:rsidRPr="00BC4EE7" w:rsidRDefault="00572307">
      <w:pPr>
        <w:pStyle w:val="P68B1DB1-Normal4"/>
        <w:spacing w:line="240" w:lineRule="auto"/>
        <w:ind w:left="709"/>
        <w:jc w:val="both"/>
        <w:rPr>
          <w:rFonts w:cs="Times New Roman"/>
          <w:noProof/>
        </w:rPr>
      </w:pPr>
      <w:r w:rsidRPr="00BC4EE7">
        <w:rPr>
          <w:rFonts w:cs="Times New Roman"/>
          <w:noProof/>
        </w:rPr>
        <w:t>3. A mozdonyok változó nyomtávú tengelyének innovációja és fejlesztése;</w:t>
      </w:r>
    </w:p>
    <w:p w14:paraId="1FBCE622" w14:textId="77777777" w:rsidR="00D65CB4" w:rsidRPr="00BC4EE7" w:rsidRDefault="00572307">
      <w:pPr>
        <w:pStyle w:val="P68B1DB1-Normal17"/>
        <w:spacing w:line="240" w:lineRule="auto"/>
        <w:ind w:firstLine="709"/>
        <w:jc w:val="both"/>
        <w:rPr>
          <w:rFonts w:cs="Times New Roman"/>
          <w:noProof/>
        </w:rPr>
      </w:pPr>
      <w:r w:rsidRPr="00BC4EE7">
        <w:rPr>
          <w:rFonts w:cs="Times New Roman"/>
          <w:noProof/>
        </w:rPr>
        <w:t xml:space="preserve">Cselekvési irányvonal. A közlekedés intermodalitásának előmozdítása </w:t>
      </w:r>
    </w:p>
    <w:p w14:paraId="3C87EE9B" w14:textId="77777777" w:rsidR="00D65CB4" w:rsidRPr="00BC4EE7" w:rsidRDefault="00572307">
      <w:pPr>
        <w:pStyle w:val="P68B1DB1-Normal4"/>
        <w:spacing w:line="240" w:lineRule="auto"/>
        <w:ind w:left="709"/>
        <w:jc w:val="both"/>
        <w:rPr>
          <w:rFonts w:cs="Times New Roman"/>
          <w:noProof/>
        </w:rPr>
      </w:pPr>
      <w:r w:rsidRPr="00BC4EE7">
        <w:rPr>
          <w:rFonts w:cs="Times New Roman"/>
          <w:noProof/>
        </w:rPr>
        <w:t>4. Rakományok és intermodális vasúti-közúti terminálok és szárazföldi összeköttetéseik építése, átalakítása vagy korszerűsítése;</w:t>
      </w:r>
    </w:p>
    <w:p w14:paraId="643CEABC" w14:textId="77777777" w:rsidR="00D65CB4" w:rsidRPr="00BC4EE7" w:rsidRDefault="00572307">
      <w:pPr>
        <w:pStyle w:val="P68B1DB1-Normal17"/>
        <w:spacing w:line="240" w:lineRule="auto"/>
        <w:ind w:firstLine="709"/>
        <w:jc w:val="both"/>
        <w:rPr>
          <w:rFonts w:cs="Times New Roman"/>
          <w:noProof/>
        </w:rPr>
      </w:pPr>
      <w:r w:rsidRPr="00BC4EE7">
        <w:rPr>
          <w:rFonts w:cs="Times New Roman"/>
          <w:noProof/>
        </w:rPr>
        <w:t>Cselekvési irányvonal. Vasúti áruszállító berendezések korszerűsítése</w:t>
      </w:r>
    </w:p>
    <w:p w14:paraId="170E29B3" w14:textId="61FA3C75" w:rsidR="00D65CB4" w:rsidRPr="00BC4EE7" w:rsidRDefault="00572307">
      <w:pPr>
        <w:pStyle w:val="P68B1DB1-Normal4"/>
        <w:spacing w:line="240" w:lineRule="auto"/>
        <w:ind w:left="709"/>
        <w:jc w:val="both"/>
        <w:rPr>
          <w:rFonts w:cs="Times New Roman"/>
          <w:noProof/>
        </w:rPr>
      </w:pPr>
      <w:r w:rsidRPr="00BC4EE7">
        <w:rPr>
          <w:rFonts w:cs="Times New Roman"/>
          <w:noProof/>
        </w:rPr>
        <w:t>5. A vasúti árufuvarozást végző kocsik felújítását vagy korszerűsítését támogató intézkedések, beleértve a vasúti autópálya-szolgáltatások létrehozását is;</w:t>
      </w:r>
    </w:p>
    <w:p w14:paraId="38774CFD" w14:textId="29841364" w:rsidR="00D65CB4" w:rsidRPr="00BC4EE7" w:rsidRDefault="00572307">
      <w:pPr>
        <w:pStyle w:val="P68B1DB1-Normal4"/>
        <w:spacing w:line="240" w:lineRule="auto"/>
        <w:ind w:left="709"/>
        <w:jc w:val="both"/>
        <w:rPr>
          <w:rFonts w:cs="Times New Roman"/>
          <w:noProof/>
        </w:rPr>
      </w:pPr>
      <w:r w:rsidRPr="00BC4EE7">
        <w:rPr>
          <w:rFonts w:cs="Times New Roman"/>
          <w:noProof/>
        </w:rPr>
        <w:t>6. A vasúti berendezések alternatív üzemanyagokat hidrogénként vagy villamos energiaként használó egyéb anyagokkal való felújításának vagy átalakításának támogatására irányuló intézkedések;</w:t>
      </w:r>
    </w:p>
    <w:p w14:paraId="4B288179" w14:textId="77777777" w:rsidR="00D65CB4" w:rsidRPr="00BC4EE7" w:rsidRDefault="00572307">
      <w:pPr>
        <w:pStyle w:val="P68B1DB1-Normal17"/>
        <w:spacing w:line="240" w:lineRule="auto"/>
        <w:ind w:firstLine="709"/>
        <w:jc w:val="both"/>
        <w:rPr>
          <w:rFonts w:cs="Times New Roman"/>
          <w:noProof/>
        </w:rPr>
      </w:pPr>
      <w:r w:rsidRPr="00BC4EE7">
        <w:rPr>
          <w:rFonts w:cs="Times New Roman"/>
          <w:noProof/>
        </w:rPr>
        <w:t>Cselekvési irányvonal. Biztonságos, fenntartható és összekapcsolt közúti közlekedés</w:t>
      </w:r>
    </w:p>
    <w:p w14:paraId="5BFDD935" w14:textId="69377084" w:rsidR="00D65CB4" w:rsidRPr="00BC4EE7" w:rsidRDefault="00572307">
      <w:pPr>
        <w:pStyle w:val="P68B1DB1-Normal4"/>
        <w:spacing w:line="240" w:lineRule="auto"/>
        <w:ind w:left="709"/>
        <w:jc w:val="both"/>
        <w:rPr>
          <w:rFonts w:cs="Times New Roman"/>
          <w:noProof/>
        </w:rPr>
      </w:pPr>
      <w:r w:rsidRPr="00BC4EE7">
        <w:rPr>
          <w:rFonts w:cs="Times New Roman"/>
          <w:noProof/>
        </w:rPr>
        <w:t>7. A haszongépjárművek biztonságos parkolóhelyeinek építése és korszerűsítése, valamint információs szolgáltatások nyújtása;</w:t>
      </w:r>
    </w:p>
    <w:p w14:paraId="1A688CE0" w14:textId="0EE461AE" w:rsidR="00D65CB4" w:rsidRPr="00BC4EE7" w:rsidRDefault="00572307">
      <w:pPr>
        <w:pStyle w:val="P68B1DB1-Normal4"/>
        <w:spacing w:line="240" w:lineRule="auto"/>
        <w:ind w:left="709"/>
        <w:jc w:val="both"/>
        <w:rPr>
          <w:rFonts w:cs="Times New Roman"/>
          <w:noProof/>
        </w:rPr>
      </w:pPr>
      <w:r w:rsidRPr="00BC4EE7">
        <w:rPr>
          <w:rFonts w:cs="Times New Roman"/>
          <w:noProof/>
        </w:rPr>
        <w:t>8. Intelligens közúti közlekedési szolgáltatások (ITS) díjköteles autópálya-koncessziókban és egyéb közúti közlekedésbiztonsági és -megőrzési szolgáltatásokban;</w:t>
      </w:r>
    </w:p>
    <w:p w14:paraId="6153E05C" w14:textId="6A840F00" w:rsidR="00D65CB4" w:rsidRPr="00BC4EE7" w:rsidRDefault="00572307">
      <w:pPr>
        <w:pStyle w:val="P68B1DB1-Normal4"/>
        <w:spacing w:line="240" w:lineRule="auto"/>
        <w:ind w:left="709"/>
        <w:jc w:val="both"/>
        <w:rPr>
          <w:rFonts w:cs="Times New Roman"/>
          <w:noProof/>
        </w:rPr>
      </w:pPr>
      <w:r w:rsidRPr="00BC4EE7">
        <w:rPr>
          <w:rFonts w:cs="Times New Roman"/>
          <w:noProof/>
        </w:rPr>
        <w:t>9. A nehézgépjárművek alternatív üzemanyagtöltő infrastruktúrájának a közúthálózaton történő kiépítését támogató intézkedések. Ezen intézkedés támogathatósági kritériumainak biztosítaniuk kell a jelentős károkozás elkerülését célzó technikai iránymutatásnak (2021/C58/01) való megfelelést azáltal, hogy meghatározzák azt a feltételt, amely szerint a megújuló és alacsony szén-dioxid-kibocsátású gázok szállítására szolgáló átmeneti és elosztási infrastruktúrát az építés időpontjában lehetővé kell tenni;</w:t>
      </w:r>
    </w:p>
    <w:p w14:paraId="585B0BAC" w14:textId="67405514" w:rsidR="00D65CB4" w:rsidRPr="00BC4EE7" w:rsidRDefault="00572307">
      <w:pPr>
        <w:pStyle w:val="P68B1DB1-Normal4"/>
        <w:spacing w:line="240" w:lineRule="auto"/>
        <w:ind w:left="709"/>
        <w:jc w:val="both"/>
        <w:rPr>
          <w:rFonts w:cs="Times New Roman"/>
          <w:noProof/>
        </w:rPr>
      </w:pPr>
      <w:r w:rsidRPr="00BC4EE7">
        <w:rPr>
          <w:rFonts w:cs="Times New Roman"/>
          <w:noProof/>
        </w:rPr>
        <w:t>10. A fenntartható útburkolatra, a szénlábnyom csökkentésére és a zajcsökkentésre szolgáló gépek felújítását vagy átalakítását támogató intézkedések;</w:t>
      </w:r>
    </w:p>
    <w:p w14:paraId="58F57D9D" w14:textId="77777777" w:rsidR="00D65CB4" w:rsidRPr="00BC4EE7" w:rsidRDefault="00572307">
      <w:pPr>
        <w:pStyle w:val="P68B1DB1-Normal17"/>
        <w:spacing w:line="240" w:lineRule="auto"/>
        <w:ind w:firstLine="709"/>
        <w:jc w:val="both"/>
        <w:rPr>
          <w:rFonts w:cs="Times New Roman"/>
          <w:noProof/>
        </w:rPr>
      </w:pPr>
      <w:r w:rsidRPr="00BC4EE7">
        <w:rPr>
          <w:rFonts w:cs="Times New Roman"/>
          <w:noProof/>
        </w:rPr>
        <w:t>Cselekvési irányvonal. A tengeri és légi közlekedés fenntarthatósága</w:t>
      </w:r>
    </w:p>
    <w:p w14:paraId="5D543C70" w14:textId="2A0CD78E" w:rsidR="00D65CB4" w:rsidRPr="00BC4EE7" w:rsidRDefault="00572307">
      <w:pPr>
        <w:pStyle w:val="P68B1DB1-Normal4"/>
        <w:spacing w:line="240" w:lineRule="auto"/>
        <w:ind w:left="709"/>
        <w:jc w:val="both"/>
        <w:rPr>
          <w:rFonts w:cs="Times New Roman"/>
          <w:noProof/>
        </w:rPr>
      </w:pPr>
      <w:r w:rsidRPr="00BC4EE7">
        <w:rPr>
          <w:rFonts w:cs="Times New Roman"/>
          <w:noProof/>
        </w:rPr>
        <w:t>11. Az alternatív üzemanyagok kikötőkben és repülőtereken való bevezetésének támogatása. Ezen intézkedés támogathatósági kritériumainak biztosítaniuk kell a jelentős károkozás elkerülését célzó technikai iránymutatásnak (2021/C58/01) való megfelelést azáltal, hogy meghatározzák azt a feltételt, amely szerint a megújuló és alacsony szén-dioxid-kibocsátású gázok szállítására szolgáló átmeneti és elosztási infrastruktúrát az építés időpontjában lehetővé kell tenni;</w:t>
      </w:r>
    </w:p>
    <w:p w14:paraId="031CE937" w14:textId="49B61CA8" w:rsidR="00D65CB4" w:rsidRPr="00BC4EE7" w:rsidRDefault="00572307">
      <w:pPr>
        <w:pStyle w:val="P68B1DB1-Normal4"/>
        <w:spacing w:line="240" w:lineRule="auto"/>
        <w:ind w:left="709"/>
        <w:jc w:val="both"/>
        <w:rPr>
          <w:rFonts w:cs="Times New Roman"/>
          <w:noProof/>
        </w:rPr>
      </w:pPr>
      <w:r w:rsidRPr="00BC4EE7">
        <w:rPr>
          <w:rFonts w:cs="Times New Roman"/>
          <w:noProof/>
        </w:rPr>
        <w:t>12. Az alternatív energiatechnológiák tengerhasznosítási ágazatban való elterjedésének támogatása;</w:t>
      </w:r>
    </w:p>
    <w:p w14:paraId="164B7123" w14:textId="77777777" w:rsidR="00D65CB4" w:rsidRPr="00BC4EE7" w:rsidRDefault="00572307">
      <w:pPr>
        <w:pStyle w:val="P68B1DB1-Normal17"/>
        <w:spacing w:line="240" w:lineRule="auto"/>
        <w:ind w:firstLine="709"/>
        <w:jc w:val="both"/>
        <w:rPr>
          <w:rFonts w:cs="Times New Roman"/>
          <w:noProof/>
        </w:rPr>
      </w:pPr>
      <w:r w:rsidRPr="00BC4EE7">
        <w:rPr>
          <w:rFonts w:cs="Times New Roman"/>
          <w:noProof/>
        </w:rPr>
        <w:t>Cselekvési irányvonal. A közlekedés digitalizálása</w:t>
      </w:r>
    </w:p>
    <w:p w14:paraId="144D893F" w14:textId="6A762A1A" w:rsidR="00D65CB4" w:rsidRPr="00BC4EE7" w:rsidRDefault="00572307">
      <w:pPr>
        <w:pStyle w:val="P68B1DB1-Normal4"/>
        <w:spacing w:line="240" w:lineRule="auto"/>
        <w:ind w:left="709"/>
        <w:jc w:val="both"/>
        <w:rPr>
          <w:rFonts w:cs="Times New Roman"/>
          <w:noProof/>
        </w:rPr>
      </w:pPr>
      <w:r w:rsidRPr="00BC4EE7">
        <w:rPr>
          <w:rFonts w:cs="Times New Roman"/>
          <w:noProof/>
        </w:rPr>
        <w:t>13. A személy- és áruszállítási szolgáltatások digitalizálására irányuló projektek nemzeti szinten;</w:t>
      </w:r>
    </w:p>
    <w:p w14:paraId="1151D345" w14:textId="2113D5B2" w:rsidR="00D65CB4" w:rsidRPr="00BC4EE7" w:rsidRDefault="00572307">
      <w:pPr>
        <w:pStyle w:val="P68B1DB1-Normal4"/>
        <w:spacing w:line="240" w:lineRule="auto"/>
        <w:jc w:val="both"/>
        <w:rPr>
          <w:rFonts w:cs="Times New Roman"/>
          <w:noProof/>
        </w:rPr>
      </w:pPr>
      <w:r w:rsidRPr="00BC4EE7">
        <w:rPr>
          <w:rFonts w:cs="Times New Roman"/>
          <w:noProof/>
        </w:rPr>
        <w:t>A kiválasztási kritériumoknak biztosítaniuk kell, hogy a Helyreállítási és Rezilienciaépítési Eszközről szóló (EU) 2021/241 rendelet VI. mellékletével összhangban legalább 63 500 000 EUR 100%-os éghajlati együtthatóval, legalább 210 000 000 EUR pedig legalább 40%-os éghajlati együtthatóval járuljon hozzá az éghajlat-változási célkitűzésekhez.</w:t>
      </w:r>
    </w:p>
    <w:p w14:paraId="6A97E3B3" w14:textId="77777777" w:rsidR="00D65CB4" w:rsidRPr="00BC4EE7" w:rsidRDefault="00572307">
      <w:pPr>
        <w:pStyle w:val="P68B1DB1-Normal4"/>
        <w:spacing w:line="240" w:lineRule="auto"/>
        <w:jc w:val="both"/>
        <w:rPr>
          <w:rFonts w:cs="Times New Roman"/>
          <w:b/>
          <w:noProof/>
          <w:u w:val="single"/>
        </w:rPr>
      </w:pPr>
      <w:r w:rsidRPr="00BC4EE7">
        <w:rPr>
          <w:rFonts w:cs="Times New Roman"/>
          <w:noProof/>
        </w:rPr>
        <w:t>A beruházás végrehajtását 2026. június 30-ig be kell fejezni.</w:t>
      </w:r>
    </w:p>
    <w:p w14:paraId="58835673" w14:textId="77777777" w:rsidR="00D65CB4" w:rsidRPr="00BC4EE7" w:rsidRDefault="00572307">
      <w:pPr>
        <w:spacing w:before="120" w:after="120" w:line="240" w:lineRule="auto"/>
        <w:ind w:left="709"/>
        <w:jc w:val="both"/>
        <w:rPr>
          <w:rFonts w:ascii="Times New Roman" w:hAnsi="Times New Roman" w:cs="Times New Roman"/>
          <w:b/>
          <w:noProof/>
          <w:sz w:val="24"/>
          <w:u w:val="single"/>
        </w:rPr>
      </w:pPr>
      <w:r w:rsidRPr="00BC4EE7">
        <w:rPr>
          <w:rFonts w:ascii="Times New Roman" w:hAnsi="Times New Roman" w:cs="Times New Roman"/>
          <w:b/>
          <w:noProof/>
          <w:sz w:val="24"/>
          <w:u w:val="single"/>
        </w:rPr>
        <w:t xml:space="preserve">F.2.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Vissza nem térítendő pénzügyi támogatás – a végrehajtáshoz és a nyomon követéshez kapcsolódó mérföldkövek, célok, mutatók és ütemterv</w:t>
      </w:r>
    </w:p>
    <w:p w14:paraId="19D0813A" w14:textId="77777777" w:rsidR="00D65CB4" w:rsidRPr="00BC4EE7" w:rsidRDefault="00572307">
      <w:pPr>
        <w:pStyle w:val="P68B1DB1-Normal4"/>
        <w:spacing w:before="120" w:after="120" w:line="240" w:lineRule="auto"/>
        <w:jc w:val="both"/>
        <w:rPr>
          <w:rFonts w:cs="Times New Roman"/>
          <w:noProof/>
        </w:rPr>
      </w:pPr>
      <w:r w:rsidRPr="00BC4EE7">
        <w:rPr>
          <w:rFonts w:cs="Times New Roman"/>
          <w:i/>
          <w:noProof/>
        </w:rPr>
        <w:t>Táblázat alább.</w:t>
      </w:r>
      <w:r w:rsidRPr="00BC4EE7">
        <w:rPr>
          <w:rFonts w:cs="Times New Roman"/>
          <w:noProof/>
        </w:rPr>
        <w:t xml:space="preserve"> </w:t>
      </w:r>
      <w:r w:rsidRPr="00BC4EE7">
        <w:rPr>
          <w:rFonts w:cs="Times New Roman"/>
          <w:i/>
          <w:noProof/>
        </w:rPr>
        <w:t>Az összes mutató esetében az alapforgatókönyv időpontja 2020. február 1., kivéve, ha az intézkedés leírása ettől eltérően rendelkezik. A táblázatban szereplő összegek nem tartalmazzák a héát.</w:t>
      </w:r>
    </w:p>
    <w:p w14:paraId="48A21919" w14:textId="77777777" w:rsidR="00D65CB4" w:rsidRPr="00BC4EE7" w:rsidRDefault="00D65CB4">
      <w:pPr>
        <w:spacing w:before="120" w:after="120" w:line="240" w:lineRule="auto"/>
        <w:jc w:val="both"/>
        <w:rPr>
          <w:rFonts w:ascii="Times New Roman" w:hAnsi="Times New Roman" w:cs="Times New Roman"/>
          <w:b/>
          <w:noProof/>
          <w:sz w:val="24"/>
          <w:u w:val="single"/>
        </w:rPr>
      </w:pPr>
    </w:p>
    <w:p w14:paraId="6BD18F9B" w14:textId="77777777" w:rsidR="00D65CB4" w:rsidRPr="00BC4EE7" w:rsidRDefault="00D65CB4">
      <w:pPr>
        <w:spacing w:before="120" w:after="120" w:line="240" w:lineRule="auto"/>
        <w:ind w:left="709"/>
        <w:jc w:val="both"/>
        <w:rPr>
          <w:rFonts w:ascii="Times New Roman" w:hAnsi="Times New Roman" w:cs="Times New Roman"/>
          <w:noProof/>
          <w:sz w:val="24"/>
        </w:rPr>
      </w:pPr>
    </w:p>
    <w:p w14:paraId="238601FE" w14:textId="77777777" w:rsidR="00D65CB4" w:rsidRPr="00BC4EE7" w:rsidRDefault="00D65CB4">
      <w:pPr>
        <w:spacing w:before="120" w:after="120" w:line="240" w:lineRule="auto"/>
        <w:ind w:left="709"/>
        <w:jc w:val="both"/>
        <w:rPr>
          <w:rFonts w:ascii="Times New Roman" w:hAnsi="Times New Roman" w:cs="Times New Roman"/>
          <w:noProof/>
          <w:sz w:val="24"/>
        </w:rPr>
        <w:sectPr w:rsidR="00D65CB4" w:rsidRPr="00BC4EE7" w:rsidSect="00B511EF">
          <w:headerReference w:type="even" r:id="rId147"/>
          <w:headerReference w:type="default" r:id="rId148"/>
          <w:footerReference w:type="even" r:id="rId149"/>
          <w:footerReference w:type="default" r:id="rId150"/>
          <w:headerReference w:type="first" r:id="rId151"/>
          <w:footerReference w:type="first" r:id="rId152"/>
          <w:pgSz w:w="11907" w:h="16839"/>
          <w:pgMar w:top="1134" w:right="1134" w:bottom="1134" w:left="1134" w:header="567" w:footer="567" w:gutter="0"/>
          <w:cols w:space="720"/>
          <w:docGrid w:linePitch="360"/>
        </w:sectPr>
      </w:pPr>
    </w:p>
    <w:tbl>
      <w:tblPr>
        <w:tblW w:w="14288"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22"/>
        <w:gridCol w:w="880"/>
        <w:gridCol w:w="992"/>
        <w:gridCol w:w="1134"/>
        <w:gridCol w:w="1215"/>
        <w:gridCol w:w="980"/>
        <w:gridCol w:w="953"/>
        <w:gridCol w:w="546"/>
        <w:gridCol w:w="410"/>
        <w:gridCol w:w="546"/>
        <w:gridCol w:w="5810"/>
      </w:tblGrid>
      <w:tr w:rsidR="00D65CB4" w:rsidRPr="00BC4EE7" w14:paraId="2264A0BA" w14:textId="77777777" w:rsidTr="00481CF8">
        <w:trPr>
          <w:trHeight w:val="309"/>
          <w:tblHeader/>
        </w:trPr>
        <w:tc>
          <w:tcPr>
            <w:tcW w:w="822" w:type="dxa"/>
            <w:tcBorders>
              <w:bottom w:val="nil"/>
            </w:tcBorders>
            <w:shd w:val="clear" w:color="auto" w:fill="C6D9F1" w:themeFill="text2" w:themeFillTint="33"/>
            <w:noWrap/>
            <w:vAlign w:val="center"/>
          </w:tcPr>
          <w:p w14:paraId="3E7FF3B6"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Szám</w:t>
            </w:r>
          </w:p>
        </w:tc>
        <w:tc>
          <w:tcPr>
            <w:tcW w:w="880" w:type="dxa"/>
            <w:tcBorders>
              <w:bottom w:val="nil"/>
            </w:tcBorders>
            <w:shd w:val="clear" w:color="auto" w:fill="C6D9F1" w:themeFill="text2" w:themeFillTint="33"/>
            <w:noWrap/>
            <w:vAlign w:val="center"/>
          </w:tcPr>
          <w:p w14:paraId="1BA64599"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Intézkedés</w:t>
            </w:r>
          </w:p>
        </w:tc>
        <w:tc>
          <w:tcPr>
            <w:tcW w:w="992" w:type="dxa"/>
            <w:tcBorders>
              <w:bottom w:val="nil"/>
            </w:tcBorders>
            <w:shd w:val="clear" w:color="auto" w:fill="C6D9F1" w:themeFill="text2" w:themeFillTint="33"/>
            <w:noWrap/>
            <w:vAlign w:val="center"/>
          </w:tcPr>
          <w:p w14:paraId="7CC8C155" w14:textId="77777777" w:rsidR="00D65CB4" w:rsidRPr="00BC4EE7" w:rsidRDefault="00572307">
            <w:pPr>
              <w:spacing w:after="0" w:line="240" w:lineRule="auto"/>
              <w:jc w:val="center"/>
              <w:rPr>
                <w:rFonts w:ascii="Times New Roman" w:hAnsi="Times New Roman" w:cs="Times New Roman"/>
                <w:b/>
                <w:noProof/>
                <w:sz w:val="18"/>
              </w:rPr>
            </w:pPr>
            <w:r w:rsidRPr="00BC4EE7">
              <w:rPr>
                <w:rFonts w:ascii="Times New Roman" w:hAnsi="Times New Roman" w:cs="Times New Roman"/>
                <w:b/>
                <w:noProof/>
                <w:sz w:val="18"/>
              </w:rPr>
              <w:t>Mérföldkő</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b/>
                <w:noProof/>
                <w:sz w:val="18"/>
              </w:rPr>
              <w:t xml:space="preserve"> /Cél</w:t>
            </w:r>
          </w:p>
        </w:tc>
        <w:tc>
          <w:tcPr>
            <w:tcW w:w="1134" w:type="dxa"/>
            <w:tcBorders>
              <w:bottom w:val="nil"/>
            </w:tcBorders>
            <w:shd w:val="clear" w:color="auto" w:fill="C6D9F1" w:themeFill="text2" w:themeFillTint="33"/>
            <w:noWrap/>
            <w:vAlign w:val="center"/>
          </w:tcPr>
          <w:p w14:paraId="69C41B3B"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Név</w:t>
            </w:r>
          </w:p>
        </w:tc>
        <w:tc>
          <w:tcPr>
            <w:tcW w:w="1215" w:type="dxa"/>
            <w:tcBorders>
              <w:bottom w:val="nil"/>
            </w:tcBorders>
            <w:shd w:val="clear" w:color="auto" w:fill="C6D9F1" w:themeFill="text2" w:themeFillTint="33"/>
            <w:noWrap/>
            <w:vAlign w:val="center"/>
          </w:tcPr>
          <w:p w14:paraId="36402FE8"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mérföldkövek minőségi mutatója</w:t>
            </w:r>
          </w:p>
        </w:tc>
        <w:tc>
          <w:tcPr>
            <w:tcW w:w="2479" w:type="dxa"/>
            <w:gridSpan w:val="3"/>
            <w:shd w:val="clear" w:color="auto" w:fill="C6D9F1" w:themeFill="text2" w:themeFillTint="33"/>
            <w:noWrap/>
            <w:vAlign w:val="center"/>
          </w:tcPr>
          <w:p w14:paraId="12A6E265"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célérték mennyiségi mutatója</w:t>
            </w:r>
          </w:p>
        </w:tc>
        <w:tc>
          <w:tcPr>
            <w:tcW w:w="956" w:type="dxa"/>
            <w:gridSpan w:val="2"/>
            <w:shd w:val="clear" w:color="auto" w:fill="C6D9F1" w:themeFill="text2" w:themeFillTint="33"/>
            <w:noWrap/>
            <w:vAlign w:val="center"/>
          </w:tcPr>
          <w:p w14:paraId="728075A5"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Idő</w:t>
            </w:r>
          </w:p>
        </w:tc>
        <w:tc>
          <w:tcPr>
            <w:tcW w:w="5810" w:type="dxa"/>
            <w:tcBorders>
              <w:bottom w:val="nil"/>
            </w:tcBorders>
            <w:shd w:val="clear" w:color="auto" w:fill="C6D9F1" w:themeFill="text2" w:themeFillTint="33"/>
            <w:noWrap/>
            <w:vAlign w:val="center"/>
          </w:tcPr>
          <w:p w14:paraId="5AC1046A"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Az egyes mérföldkövek és célértékek leírása</w:t>
            </w:r>
          </w:p>
        </w:tc>
      </w:tr>
      <w:tr w:rsidR="00D65CB4" w:rsidRPr="00BC4EE7" w14:paraId="6F717916" w14:textId="77777777" w:rsidTr="00481CF8">
        <w:trPr>
          <w:trHeight w:val="309"/>
          <w:tblHeader/>
        </w:trPr>
        <w:tc>
          <w:tcPr>
            <w:tcW w:w="822" w:type="dxa"/>
            <w:tcBorders>
              <w:top w:val="nil"/>
            </w:tcBorders>
            <w:shd w:val="clear" w:color="auto" w:fill="C6D9F1" w:themeFill="text2" w:themeFillTint="33"/>
            <w:noWrap/>
          </w:tcPr>
          <w:p w14:paraId="0F3CABC7" w14:textId="77777777" w:rsidR="00D65CB4" w:rsidRPr="00BC4EE7" w:rsidRDefault="00D65CB4">
            <w:pPr>
              <w:spacing w:after="0" w:line="240" w:lineRule="auto"/>
              <w:jc w:val="center"/>
              <w:rPr>
                <w:rFonts w:ascii="Times New Roman" w:hAnsi="Times New Roman" w:cs="Times New Roman"/>
                <w:b/>
                <w:noProof/>
                <w:sz w:val="18"/>
              </w:rPr>
            </w:pPr>
          </w:p>
        </w:tc>
        <w:tc>
          <w:tcPr>
            <w:tcW w:w="880" w:type="dxa"/>
            <w:tcBorders>
              <w:top w:val="nil"/>
            </w:tcBorders>
            <w:shd w:val="clear" w:color="auto" w:fill="C6D9F1" w:themeFill="text2" w:themeFillTint="33"/>
            <w:noWrap/>
          </w:tcPr>
          <w:p w14:paraId="5B08B5D1" w14:textId="77777777" w:rsidR="00D65CB4" w:rsidRPr="00BC4EE7" w:rsidRDefault="00D65CB4">
            <w:pPr>
              <w:spacing w:after="0" w:line="240" w:lineRule="auto"/>
              <w:jc w:val="center"/>
              <w:rPr>
                <w:rFonts w:ascii="Times New Roman" w:hAnsi="Times New Roman" w:cs="Times New Roman"/>
                <w:b/>
                <w:noProof/>
                <w:sz w:val="18"/>
              </w:rPr>
            </w:pPr>
          </w:p>
        </w:tc>
        <w:tc>
          <w:tcPr>
            <w:tcW w:w="992" w:type="dxa"/>
            <w:tcBorders>
              <w:top w:val="nil"/>
            </w:tcBorders>
            <w:shd w:val="clear" w:color="auto" w:fill="C6D9F1" w:themeFill="text2" w:themeFillTint="33"/>
            <w:noWrap/>
          </w:tcPr>
          <w:p w14:paraId="16DEB4AB" w14:textId="77777777" w:rsidR="00D65CB4" w:rsidRPr="00BC4EE7" w:rsidRDefault="00D65CB4">
            <w:pPr>
              <w:spacing w:after="0" w:line="240" w:lineRule="auto"/>
              <w:jc w:val="center"/>
              <w:rPr>
                <w:rFonts w:ascii="Times New Roman" w:hAnsi="Times New Roman" w:cs="Times New Roman"/>
                <w:b/>
                <w:noProof/>
                <w:sz w:val="18"/>
              </w:rPr>
            </w:pPr>
          </w:p>
        </w:tc>
        <w:tc>
          <w:tcPr>
            <w:tcW w:w="1134" w:type="dxa"/>
            <w:tcBorders>
              <w:top w:val="nil"/>
            </w:tcBorders>
            <w:shd w:val="clear" w:color="auto" w:fill="C6D9F1" w:themeFill="text2" w:themeFillTint="33"/>
            <w:noWrap/>
          </w:tcPr>
          <w:p w14:paraId="0AD9C6F4" w14:textId="77777777" w:rsidR="00D65CB4" w:rsidRPr="00BC4EE7" w:rsidRDefault="00D65CB4">
            <w:pPr>
              <w:spacing w:after="0" w:line="240" w:lineRule="auto"/>
              <w:rPr>
                <w:rFonts w:ascii="Times New Roman" w:hAnsi="Times New Roman" w:cs="Times New Roman"/>
                <w:b/>
                <w:noProof/>
                <w:sz w:val="18"/>
              </w:rPr>
            </w:pPr>
          </w:p>
        </w:tc>
        <w:tc>
          <w:tcPr>
            <w:tcW w:w="1215" w:type="dxa"/>
            <w:tcBorders>
              <w:top w:val="nil"/>
            </w:tcBorders>
            <w:shd w:val="clear" w:color="auto" w:fill="C6D9F1" w:themeFill="text2" w:themeFillTint="33"/>
            <w:noWrap/>
          </w:tcPr>
          <w:p w14:paraId="4B1F511A" w14:textId="77777777" w:rsidR="00D65CB4" w:rsidRPr="00BC4EE7" w:rsidRDefault="00D65CB4">
            <w:pPr>
              <w:spacing w:after="0" w:line="240" w:lineRule="auto"/>
              <w:jc w:val="center"/>
              <w:rPr>
                <w:rFonts w:ascii="Times New Roman" w:hAnsi="Times New Roman" w:cs="Times New Roman"/>
                <w:b/>
                <w:noProof/>
                <w:sz w:val="18"/>
              </w:rPr>
            </w:pPr>
          </w:p>
        </w:tc>
        <w:tc>
          <w:tcPr>
            <w:tcW w:w="980" w:type="dxa"/>
            <w:shd w:val="clear" w:color="auto" w:fill="C6D9F1" w:themeFill="text2" w:themeFillTint="33"/>
            <w:noWrap/>
            <w:vAlign w:val="center"/>
          </w:tcPr>
          <w:p w14:paraId="444B5E16"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Egység</w:t>
            </w:r>
          </w:p>
        </w:tc>
        <w:tc>
          <w:tcPr>
            <w:tcW w:w="953" w:type="dxa"/>
            <w:shd w:val="clear" w:color="auto" w:fill="C6D9F1" w:themeFill="text2" w:themeFillTint="33"/>
            <w:noWrap/>
            <w:vAlign w:val="center"/>
          </w:tcPr>
          <w:p w14:paraId="4AA23600" w14:textId="0578A519" w:rsidR="00D65CB4" w:rsidRPr="00BC4EE7" w:rsidRDefault="00572307">
            <w:pPr>
              <w:pStyle w:val="P68B1DB1-Normal8"/>
              <w:spacing w:after="0" w:line="240" w:lineRule="auto"/>
              <w:jc w:val="center"/>
              <w:rPr>
                <w:rFonts w:cs="Times New Roman"/>
                <w:noProof/>
              </w:rPr>
            </w:pPr>
            <w:r w:rsidRPr="00BC4EE7">
              <w:rPr>
                <w:rFonts w:cs="Times New Roman"/>
                <w:noProof/>
              </w:rPr>
              <w:t>Kiindulási</w:t>
            </w:r>
          </w:p>
        </w:tc>
        <w:tc>
          <w:tcPr>
            <w:tcW w:w="546" w:type="dxa"/>
            <w:shd w:val="clear" w:color="auto" w:fill="C6D9F1" w:themeFill="text2" w:themeFillTint="33"/>
            <w:noWrap/>
            <w:vAlign w:val="center"/>
          </w:tcPr>
          <w:p w14:paraId="21A36EB4"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Cél</w:t>
            </w:r>
          </w:p>
        </w:tc>
        <w:tc>
          <w:tcPr>
            <w:tcW w:w="410" w:type="dxa"/>
            <w:shd w:val="clear" w:color="auto" w:fill="C6D9F1" w:themeFill="text2" w:themeFillTint="33"/>
            <w:noWrap/>
            <w:vAlign w:val="center"/>
          </w:tcPr>
          <w:p w14:paraId="5A5446A4"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Q</w:t>
            </w:r>
          </w:p>
        </w:tc>
        <w:tc>
          <w:tcPr>
            <w:tcW w:w="546" w:type="dxa"/>
            <w:shd w:val="clear" w:color="auto" w:fill="C6D9F1" w:themeFill="text2" w:themeFillTint="33"/>
            <w:noWrap/>
            <w:vAlign w:val="center"/>
          </w:tcPr>
          <w:p w14:paraId="2F79DAA1"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Éve</w:t>
            </w:r>
          </w:p>
        </w:tc>
        <w:tc>
          <w:tcPr>
            <w:tcW w:w="5810" w:type="dxa"/>
            <w:tcBorders>
              <w:top w:val="nil"/>
            </w:tcBorders>
            <w:shd w:val="clear" w:color="auto" w:fill="C6D9F1" w:themeFill="text2" w:themeFillTint="33"/>
            <w:noWrap/>
          </w:tcPr>
          <w:p w14:paraId="65F9C3DC" w14:textId="77777777" w:rsidR="00D65CB4" w:rsidRPr="00BC4EE7" w:rsidRDefault="00D65CB4">
            <w:pPr>
              <w:spacing w:after="0" w:line="240" w:lineRule="auto"/>
              <w:rPr>
                <w:rFonts w:ascii="Times New Roman" w:hAnsi="Times New Roman" w:cs="Times New Roman"/>
                <w:b/>
                <w:noProof/>
                <w:sz w:val="18"/>
              </w:rPr>
            </w:pPr>
          </w:p>
        </w:tc>
      </w:tr>
      <w:tr w:rsidR="00D65CB4" w:rsidRPr="00BC4EE7" w14:paraId="7093E2CB" w14:textId="77777777" w:rsidTr="00481CF8">
        <w:trPr>
          <w:trHeight w:val="309"/>
        </w:trPr>
        <w:tc>
          <w:tcPr>
            <w:tcW w:w="822" w:type="dxa"/>
            <w:shd w:val="clear" w:color="auto" w:fill="C6EFCE"/>
            <w:noWrap/>
          </w:tcPr>
          <w:p w14:paraId="49D83C2D"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82</w:t>
            </w:r>
          </w:p>
        </w:tc>
        <w:tc>
          <w:tcPr>
            <w:tcW w:w="880" w:type="dxa"/>
            <w:shd w:val="clear" w:color="auto" w:fill="C6EFCE"/>
            <w:noWrap/>
          </w:tcPr>
          <w:p w14:paraId="2D6099C9"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C6.R1</w:t>
            </w:r>
          </w:p>
        </w:tc>
        <w:tc>
          <w:tcPr>
            <w:tcW w:w="992" w:type="dxa"/>
            <w:shd w:val="clear" w:color="auto" w:fill="C6EFCE"/>
            <w:noWrap/>
          </w:tcPr>
          <w:p w14:paraId="7F5CD847"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M</w:t>
            </w:r>
          </w:p>
        </w:tc>
        <w:tc>
          <w:tcPr>
            <w:tcW w:w="1134" w:type="dxa"/>
            <w:shd w:val="clear" w:color="auto" w:fill="C6EFCE"/>
            <w:noWrap/>
          </w:tcPr>
          <w:p w14:paraId="5B0922AD" w14:textId="77777777" w:rsidR="00D65CB4" w:rsidRPr="00BC4EE7" w:rsidRDefault="00572307">
            <w:pPr>
              <w:pStyle w:val="P68B1DB1-Normal12"/>
              <w:spacing w:after="0" w:line="240" w:lineRule="auto"/>
              <w:rPr>
                <w:rFonts w:eastAsia="MS Mincho" w:cs="Times New Roman"/>
                <w:noProof/>
              </w:rPr>
            </w:pPr>
            <w:r w:rsidRPr="00BC4EE7">
              <w:rPr>
                <w:rFonts w:cs="Times New Roman"/>
                <w:noProof/>
              </w:rPr>
              <w:t>A fenntartható, biztonságos és összekapcsolt mobilitásra vonatkozó stratégia (nyilvános konzultáció)</w:t>
            </w:r>
          </w:p>
        </w:tc>
        <w:tc>
          <w:tcPr>
            <w:tcW w:w="1215" w:type="dxa"/>
            <w:shd w:val="clear" w:color="auto" w:fill="C6EFCE"/>
            <w:noWrap/>
          </w:tcPr>
          <w:p w14:paraId="1FD62937"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Értesítés a konzultáció befejezéséről</w:t>
            </w:r>
          </w:p>
        </w:tc>
        <w:tc>
          <w:tcPr>
            <w:tcW w:w="980" w:type="dxa"/>
            <w:shd w:val="clear" w:color="auto" w:fill="C6EFCE"/>
            <w:noWrap/>
          </w:tcPr>
          <w:p w14:paraId="4467701B"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953" w:type="dxa"/>
            <w:shd w:val="clear" w:color="auto" w:fill="C6EFCE"/>
            <w:noWrap/>
          </w:tcPr>
          <w:p w14:paraId="762EAA38"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546" w:type="dxa"/>
            <w:shd w:val="clear" w:color="auto" w:fill="C6EFCE"/>
            <w:noWrap/>
          </w:tcPr>
          <w:p w14:paraId="16E66445"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410" w:type="dxa"/>
            <w:shd w:val="clear" w:color="auto" w:fill="C6EFCE"/>
            <w:noWrap/>
          </w:tcPr>
          <w:p w14:paraId="46E2525C"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Q4</w:t>
            </w:r>
          </w:p>
        </w:tc>
        <w:tc>
          <w:tcPr>
            <w:tcW w:w="546" w:type="dxa"/>
            <w:shd w:val="clear" w:color="auto" w:fill="C6EFCE"/>
            <w:noWrap/>
          </w:tcPr>
          <w:p w14:paraId="6458ECF6"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2020</w:t>
            </w:r>
          </w:p>
        </w:tc>
        <w:tc>
          <w:tcPr>
            <w:tcW w:w="5810" w:type="dxa"/>
            <w:shd w:val="clear" w:color="auto" w:fill="C6EFCE"/>
            <w:noWrap/>
          </w:tcPr>
          <w:p w14:paraId="082F3B67" w14:textId="77777777" w:rsidR="00D65CB4" w:rsidRPr="00BC4EE7" w:rsidRDefault="00572307">
            <w:pPr>
              <w:spacing w:after="0" w:line="240" w:lineRule="auto"/>
              <w:rPr>
                <w:rFonts w:ascii="Times New Roman" w:eastAsia="MS Mincho" w:hAnsi="Times New Roman" w:cs="Times New Roman"/>
                <w:noProof/>
                <w:sz w:val="18"/>
              </w:rPr>
            </w:pPr>
            <w:r w:rsidRPr="00BC4EE7">
              <w:rPr>
                <w:rFonts w:ascii="Times New Roman" w:hAnsi="Times New Roman" w:cs="Times New Roman"/>
                <w:noProof/>
                <w:sz w:val="18"/>
              </w:rPr>
              <w:t>A stratégia nyilvános konzultációs folyamatának lezárása, amely a következő kilenc területen hozott intézkedésekkel foglalkozik:</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Mobilitás mindenki számára (az egyetemes hozzáférhetőség észszerű költségek mellett történő biztosítása érdekében);</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Új beruházási politikák (a közlekedési infrastruktúrák és szolgáltatások megfelelő finanszírozásának biztosítása érdekében);</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Biztonságos mobilitás (a nyomon követésre, karbantartásra és kiberbiztonságra irányuló beruházások előtérbe helyezése);</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Alacsony kibocsátású mobilitás (a hatékonyság növelése, az energiafogyasztás csökkentése);</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Intelligens mobilitás (a K+F és a mobilitási innováció fellendítése, intelligens infrastruktúra kiépítése és irányítása);</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Intelligens intermodális logisztikai láncok (az áruk vasúti szállításának előnyben részesítése érdekében);</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7) Európa összekapcsolása és a világhoz való kapcsolódás (kikötők összekapcsolása intermodális logisztikai terminálokkal, valamint a szomszédos országokkal való együttműködés fokozása a határokon átnyúló infrastruktúrák kiépítésének és/vagy fejlesztésének koordinálása érdekében);</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Szociális és munkaügyi szempontok (a nemek közötti egyensúly, valamint a közlekedési munkaerő átképzésére és továbbképzésére irányuló intézkedések);</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 közlekedési minisztérium digitalizációja (MITMA).</w:t>
            </w:r>
          </w:p>
        </w:tc>
      </w:tr>
      <w:tr w:rsidR="00D65CB4" w:rsidRPr="00BC4EE7" w14:paraId="25E71458" w14:textId="77777777" w:rsidTr="00481CF8">
        <w:trPr>
          <w:trHeight w:val="309"/>
        </w:trPr>
        <w:tc>
          <w:tcPr>
            <w:tcW w:w="822" w:type="dxa"/>
            <w:shd w:val="clear" w:color="auto" w:fill="C6EFCE"/>
            <w:noWrap/>
          </w:tcPr>
          <w:p w14:paraId="702436C1"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83</w:t>
            </w:r>
          </w:p>
        </w:tc>
        <w:tc>
          <w:tcPr>
            <w:tcW w:w="880" w:type="dxa"/>
            <w:shd w:val="clear" w:color="auto" w:fill="C6EFCE"/>
            <w:noWrap/>
          </w:tcPr>
          <w:p w14:paraId="4325626B"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C6.R1</w:t>
            </w:r>
          </w:p>
        </w:tc>
        <w:tc>
          <w:tcPr>
            <w:tcW w:w="992" w:type="dxa"/>
            <w:shd w:val="clear" w:color="auto" w:fill="C6EFCE"/>
            <w:noWrap/>
          </w:tcPr>
          <w:p w14:paraId="2C576514"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M</w:t>
            </w:r>
          </w:p>
        </w:tc>
        <w:tc>
          <w:tcPr>
            <w:tcW w:w="1134" w:type="dxa"/>
            <w:shd w:val="clear" w:color="auto" w:fill="C6EFCE"/>
            <w:noWrap/>
          </w:tcPr>
          <w:p w14:paraId="4598375C" w14:textId="77777777" w:rsidR="00D65CB4" w:rsidRPr="00BC4EE7" w:rsidRDefault="00572307">
            <w:pPr>
              <w:pStyle w:val="P68B1DB1-Normal12"/>
              <w:spacing w:after="0" w:line="240" w:lineRule="auto"/>
              <w:rPr>
                <w:rFonts w:eastAsia="MS Mincho" w:cs="Times New Roman"/>
                <w:noProof/>
              </w:rPr>
            </w:pPr>
            <w:r w:rsidRPr="00BC4EE7">
              <w:rPr>
                <w:rFonts w:cs="Times New Roman"/>
                <w:noProof/>
              </w:rPr>
              <w:t xml:space="preserve">A fenntartható, biztonságos és összekapcsolt mobilitásra vonatkozó stratégia (jóváhagyás) </w:t>
            </w:r>
          </w:p>
        </w:tc>
        <w:tc>
          <w:tcPr>
            <w:tcW w:w="1215" w:type="dxa"/>
            <w:shd w:val="clear" w:color="auto" w:fill="C6EFCE"/>
            <w:noWrap/>
          </w:tcPr>
          <w:p w14:paraId="3A6DB7E6" w14:textId="77777777" w:rsidR="00D65CB4" w:rsidRPr="00BC4EE7" w:rsidRDefault="00572307">
            <w:pPr>
              <w:pStyle w:val="P68B1DB1-Normal12"/>
              <w:spacing w:after="0" w:line="240" w:lineRule="auto"/>
              <w:jc w:val="center"/>
              <w:rPr>
                <w:rFonts w:eastAsia="MS Mincho" w:cs="Times New Roman"/>
                <w:noProof/>
              </w:rPr>
            </w:pPr>
            <w:r w:rsidRPr="00BC4EE7">
              <w:rPr>
                <w:rFonts w:cs="Times New Roman"/>
                <w:noProof/>
              </w:rPr>
              <w:t>A Miniszterek Tanácsa általi jóváhagyás</w:t>
            </w:r>
          </w:p>
        </w:tc>
        <w:tc>
          <w:tcPr>
            <w:tcW w:w="980" w:type="dxa"/>
            <w:shd w:val="clear" w:color="auto" w:fill="C6EFCE"/>
            <w:noWrap/>
          </w:tcPr>
          <w:p w14:paraId="7DE13593"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953" w:type="dxa"/>
            <w:shd w:val="clear" w:color="auto" w:fill="C6EFCE"/>
            <w:noWrap/>
          </w:tcPr>
          <w:p w14:paraId="6EBA70B7" w14:textId="77777777" w:rsidR="00D65CB4" w:rsidRPr="00BC4EE7" w:rsidRDefault="00572307">
            <w:pPr>
              <w:pStyle w:val="P68B1DB1-Normal12"/>
              <w:spacing w:after="0" w:line="240" w:lineRule="auto"/>
              <w:jc w:val="right"/>
              <w:rPr>
                <w:rFonts w:eastAsia="MS Mincho" w:cs="Times New Roman"/>
                <w:noProof/>
              </w:rPr>
            </w:pPr>
            <w:r w:rsidRPr="00BC4EE7">
              <w:rPr>
                <w:rFonts w:cs="Times New Roman"/>
                <w:noProof/>
              </w:rPr>
              <w:t xml:space="preserve"> </w:t>
            </w:r>
          </w:p>
        </w:tc>
        <w:tc>
          <w:tcPr>
            <w:tcW w:w="546" w:type="dxa"/>
            <w:shd w:val="clear" w:color="auto" w:fill="C6EFCE"/>
            <w:noWrap/>
          </w:tcPr>
          <w:p w14:paraId="3F2CD050" w14:textId="77777777" w:rsidR="00D65CB4" w:rsidRPr="00BC4EE7" w:rsidRDefault="00572307">
            <w:pPr>
              <w:pStyle w:val="P68B1DB1-Normal12"/>
              <w:spacing w:after="0" w:line="240" w:lineRule="auto"/>
              <w:jc w:val="right"/>
              <w:rPr>
                <w:rFonts w:eastAsia="Calibri" w:cs="Times New Roman"/>
                <w:noProof/>
              </w:rPr>
            </w:pPr>
            <w:r w:rsidRPr="00BC4EE7">
              <w:rPr>
                <w:rFonts w:cs="Times New Roman"/>
                <w:noProof/>
              </w:rPr>
              <w:t xml:space="preserve"> </w:t>
            </w:r>
          </w:p>
        </w:tc>
        <w:tc>
          <w:tcPr>
            <w:tcW w:w="410" w:type="dxa"/>
            <w:shd w:val="clear" w:color="auto" w:fill="C6EFCE"/>
            <w:noWrap/>
          </w:tcPr>
          <w:p w14:paraId="1B8E0E01"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Q4</w:t>
            </w:r>
          </w:p>
        </w:tc>
        <w:tc>
          <w:tcPr>
            <w:tcW w:w="546" w:type="dxa"/>
            <w:shd w:val="clear" w:color="auto" w:fill="C6EFCE"/>
            <w:noWrap/>
          </w:tcPr>
          <w:p w14:paraId="62DDAFF6"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2021</w:t>
            </w:r>
          </w:p>
        </w:tc>
        <w:tc>
          <w:tcPr>
            <w:tcW w:w="5810" w:type="dxa"/>
            <w:shd w:val="clear" w:color="auto" w:fill="C6EFCE"/>
            <w:noWrap/>
          </w:tcPr>
          <w:p w14:paraId="65F89C6C" w14:textId="77777777" w:rsidR="00D65CB4" w:rsidRPr="00BC4EE7" w:rsidRDefault="00572307">
            <w:pPr>
              <w:spacing w:after="0" w:line="240" w:lineRule="auto"/>
              <w:rPr>
                <w:rFonts w:ascii="Times New Roman" w:eastAsia="Calibri" w:hAnsi="Times New Roman" w:cs="Times New Roman"/>
                <w:noProof/>
                <w:sz w:val="18"/>
              </w:rPr>
            </w:pPr>
            <w:r w:rsidRPr="00BC4EE7">
              <w:rPr>
                <w:rFonts w:ascii="Times New Roman" w:hAnsi="Times New Roman" w:cs="Times New Roman"/>
                <w:noProof/>
                <w:sz w:val="18"/>
              </w:rPr>
              <w:t>A Miniszterek Tanácsa hagyja jóvá a következő kilenc területen végrehajtandó intézkedésekre vonatkozó stratégiát:</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Mobilitás mindenki számára (az egyetemes hozzáférhetőség észszerű költségek mellett történő biztosítása céljából);</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Új beruházási politikák (a közlekedési infrastruktúrák és szolgáltatások megfelelő finanszírozásának biztosítása érdekében);</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Biztonságos mobilitás (a nyomon követésre, karbantartásra és kiberbiztonságra irányuló beruházások előtérbe helyezése);</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Alacsony kibocsátású mobilitás (a hatékonyság növelése, az energiafogyasztás csökkentése);</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Intelligens mobilitás (a K+F és a mobilitási innováció fellendítése, intelligens infrastruktúra kiépítése és irányítása);</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Intelligens intermodális logisztikai láncok (az állami és magánjellegű menetrendekben prioritásként kell kezelni a vasúti áruszállítást);</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7) Európa összekapcsolása és a világhoz való kapcsolódás (kikötők összekapcsolása intermodális logisztikai terminálokkal, valamint a szomszédos országokkal való együttműködés fokozása a határokon átnyúló infrastruktúrák kiépítésének és/vagy fejlesztésének koordinálása érdekében);</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Szociális és munkaügyi szempontok (a nemek közötti egyensúly, valamint a közlekedési munkaerő átképzésére és továbbképzésére irányuló intézkedések);</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9) A közlekedési minisztérium digitalizációja, MITMA.</w:t>
            </w:r>
          </w:p>
        </w:tc>
      </w:tr>
      <w:tr w:rsidR="00D65CB4" w:rsidRPr="00BC4EE7" w14:paraId="7D05ACBB" w14:textId="77777777" w:rsidTr="00481CF8">
        <w:trPr>
          <w:trHeight w:val="309"/>
        </w:trPr>
        <w:tc>
          <w:tcPr>
            <w:tcW w:w="822" w:type="dxa"/>
            <w:shd w:val="clear" w:color="auto" w:fill="C6EFCE"/>
            <w:noWrap/>
          </w:tcPr>
          <w:p w14:paraId="31B2963F"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84</w:t>
            </w:r>
          </w:p>
        </w:tc>
        <w:tc>
          <w:tcPr>
            <w:tcW w:w="880" w:type="dxa"/>
            <w:shd w:val="clear" w:color="auto" w:fill="C6EFCE"/>
            <w:noWrap/>
          </w:tcPr>
          <w:p w14:paraId="7C599BFA"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C6.R2</w:t>
            </w:r>
          </w:p>
        </w:tc>
        <w:tc>
          <w:tcPr>
            <w:tcW w:w="992" w:type="dxa"/>
            <w:shd w:val="clear" w:color="auto" w:fill="C6EFCE"/>
            <w:noWrap/>
          </w:tcPr>
          <w:p w14:paraId="696A3350"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M</w:t>
            </w:r>
          </w:p>
        </w:tc>
        <w:tc>
          <w:tcPr>
            <w:tcW w:w="1134" w:type="dxa"/>
            <w:shd w:val="clear" w:color="auto" w:fill="C6EFCE"/>
            <w:noWrap/>
          </w:tcPr>
          <w:p w14:paraId="038B2FB2" w14:textId="77777777" w:rsidR="00D65CB4" w:rsidRPr="00BC4EE7" w:rsidRDefault="00572307">
            <w:pPr>
              <w:pStyle w:val="P68B1DB1-Normal12"/>
              <w:spacing w:after="0" w:line="240" w:lineRule="auto"/>
              <w:rPr>
                <w:rFonts w:eastAsia="Calibri" w:cs="Times New Roman"/>
                <w:noProof/>
              </w:rPr>
            </w:pPr>
            <w:r w:rsidRPr="00BC4EE7">
              <w:rPr>
                <w:rFonts w:cs="Times New Roman"/>
                <w:noProof/>
              </w:rPr>
              <w:t>Indikatív vasúti stratégia</w:t>
            </w:r>
          </w:p>
        </w:tc>
        <w:tc>
          <w:tcPr>
            <w:tcW w:w="1215" w:type="dxa"/>
            <w:shd w:val="clear" w:color="auto" w:fill="C6EFCE"/>
            <w:noWrap/>
          </w:tcPr>
          <w:p w14:paraId="3DA68056"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Közzététel a Hivatalos Lapban</w:t>
            </w:r>
          </w:p>
        </w:tc>
        <w:tc>
          <w:tcPr>
            <w:tcW w:w="980" w:type="dxa"/>
            <w:shd w:val="clear" w:color="auto" w:fill="C6EFCE"/>
            <w:noWrap/>
          </w:tcPr>
          <w:p w14:paraId="72121151" w14:textId="77777777" w:rsidR="00D65CB4" w:rsidRPr="00BC4EE7" w:rsidRDefault="00572307">
            <w:pPr>
              <w:pStyle w:val="P68B1DB1-Normal12"/>
              <w:spacing w:after="0" w:line="240" w:lineRule="auto"/>
              <w:jc w:val="right"/>
              <w:rPr>
                <w:rFonts w:eastAsia="Calibri" w:cs="Times New Roman"/>
                <w:noProof/>
              </w:rPr>
            </w:pPr>
            <w:r w:rsidRPr="00BC4EE7">
              <w:rPr>
                <w:rFonts w:cs="Times New Roman"/>
                <w:noProof/>
              </w:rPr>
              <w:t xml:space="preserve"> </w:t>
            </w:r>
          </w:p>
        </w:tc>
        <w:tc>
          <w:tcPr>
            <w:tcW w:w="953" w:type="dxa"/>
            <w:shd w:val="clear" w:color="auto" w:fill="C6EFCE"/>
            <w:noWrap/>
          </w:tcPr>
          <w:p w14:paraId="32D65AFA" w14:textId="77777777" w:rsidR="00D65CB4" w:rsidRPr="00BC4EE7" w:rsidRDefault="00572307">
            <w:pPr>
              <w:pStyle w:val="P68B1DB1-Normal12"/>
              <w:spacing w:after="0" w:line="240" w:lineRule="auto"/>
              <w:jc w:val="right"/>
              <w:rPr>
                <w:rFonts w:eastAsia="Calibri" w:cs="Times New Roman"/>
                <w:noProof/>
              </w:rPr>
            </w:pPr>
            <w:r w:rsidRPr="00BC4EE7">
              <w:rPr>
                <w:rFonts w:cs="Times New Roman"/>
                <w:noProof/>
              </w:rPr>
              <w:t xml:space="preserve"> </w:t>
            </w:r>
          </w:p>
        </w:tc>
        <w:tc>
          <w:tcPr>
            <w:tcW w:w="546" w:type="dxa"/>
            <w:shd w:val="clear" w:color="auto" w:fill="C6EFCE"/>
            <w:noWrap/>
          </w:tcPr>
          <w:p w14:paraId="09845CEA" w14:textId="77777777" w:rsidR="00D65CB4" w:rsidRPr="00BC4EE7" w:rsidRDefault="00572307">
            <w:pPr>
              <w:pStyle w:val="P68B1DB1-Normal12"/>
              <w:spacing w:after="0" w:line="240" w:lineRule="auto"/>
              <w:jc w:val="right"/>
              <w:rPr>
                <w:rFonts w:eastAsia="Calibri" w:cs="Times New Roman"/>
                <w:noProof/>
              </w:rPr>
            </w:pPr>
            <w:r w:rsidRPr="00BC4EE7">
              <w:rPr>
                <w:rFonts w:cs="Times New Roman"/>
                <w:noProof/>
              </w:rPr>
              <w:t xml:space="preserve"> </w:t>
            </w:r>
          </w:p>
        </w:tc>
        <w:tc>
          <w:tcPr>
            <w:tcW w:w="410" w:type="dxa"/>
            <w:shd w:val="clear" w:color="auto" w:fill="C6EFCE"/>
            <w:noWrap/>
          </w:tcPr>
          <w:p w14:paraId="47A1A93F"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Q4</w:t>
            </w:r>
          </w:p>
        </w:tc>
        <w:tc>
          <w:tcPr>
            <w:tcW w:w="546" w:type="dxa"/>
            <w:shd w:val="clear" w:color="auto" w:fill="C6EFCE"/>
            <w:noWrap/>
          </w:tcPr>
          <w:p w14:paraId="10646892"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2022</w:t>
            </w:r>
          </w:p>
        </w:tc>
        <w:tc>
          <w:tcPr>
            <w:tcW w:w="5810" w:type="dxa"/>
            <w:shd w:val="clear" w:color="auto" w:fill="C6EFCE"/>
            <w:noWrap/>
          </w:tcPr>
          <w:p w14:paraId="755A0E16" w14:textId="77777777" w:rsidR="00D65CB4" w:rsidRPr="00BC4EE7" w:rsidRDefault="00572307">
            <w:pPr>
              <w:spacing w:after="0" w:line="240" w:lineRule="auto"/>
              <w:rPr>
                <w:rFonts w:ascii="Times New Roman" w:eastAsia="Calibri" w:hAnsi="Times New Roman" w:cs="Times New Roman"/>
                <w:noProof/>
                <w:sz w:val="18"/>
              </w:rPr>
            </w:pPr>
            <w:r w:rsidRPr="00BC4EE7">
              <w:rPr>
                <w:rFonts w:ascii="Times New Roman" w:hAnsi="Times New Roman" w:cs="Times New Roman"/>
                <w:noProof/>
              </w:rPr>
              <w:t>Az indikatív vasúti stratégia jóváhagyási állásfoglalásának</w:t>
            </w:r>
            <w:r w:rsidRPr="00BC4EE7">
              <w:rPr>
                <w:rFonts w:ascii="Times New Roman" w:hAnsi="Times New Roman" w:cs="Times New Roman"/>
                <w:noProof/>
                <w:sz w:val="18"/>
              </w:rPr>
              <w:t xml:space="preserve">közzététele a Hivatalos Lapban, amely a következő intézkedéseket tartalmazza: </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a vasúti ágazat tevékenységeinek világosabb tervezése, különös tekintettel a mindennapi mobilitásra; </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a hálózat karbantartásának javítása; </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a vasúti hálózat gazdasági fenntarthatóságának biztosítása; </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az erőforrás-hatékonyság előtérbe helyezése, a beruházási projektek előzetes és utólagos értékelésével; </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a hálózat interoperabilitásának fokozása, különösen a transzeurópai hálózati folyosókon, valamint a hálózat intermodalitása; </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F) a vasúti teherforgalom fellendítése; </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a vasúti közlekedés biztonságának fokozása; </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 közlekedés digitalizációjának és az innovációnak az előmozdítása az összekapcsolt mobilitás biztosítása érdekében.</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Az „Indikatív vasúti stratégiában” szereplő valamennyi intézkedés tekintetében biztosítsa a környezeti hatásvizsgálatról szóló 21/2013. sz. törvény és a 21/2013. sz. törvény módosításáról szóló 9/2018. sz. törvény rendelkezéseinek teljesítését, és hajtsa végre a környezeti hatásvizsgálatban (KHV) előírt környezetvédelmi mérséklési intézkedéseket.</w:t>
            </w:r>
          </w:p>
        </w:tc>
      </w:tr>
      <w:tr w:rsidR="00D65CB4" w:rsidRPr="00BC4EE7" w14:paraId="0AFEE561" w14:textId="77777777" w:rsidTr="00481CF8">
        <w:trPr>
          <w:trHeight w:val="309"/>
        </w:trPr>
        <w:tc>
          <w:tcPr>
            <w:tcW w:w="822" w:type="dxa"/>
            <w:shd w:val="clear" w:color="auto" w:fill="C6EFCE"/>
            <w:noWrap/>
          </w:tcPr>
          <w:p w14:paraId="663C344E" w14:textId="0BCEE8DD"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85</w:t>
            </w:r>
          </w:p>
        </w:tc>
        <w:tc>
          <w:tcPr>
            <w:tcW w:w="880" w:type="dxa"/>
            <w:shd w:val="clear" w:color="auto" w:fill="C6EFCE"/>
            <w:noWrap/>
          </w:tcPr>
          <w:p w14:paraId="0F519D59"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C6.I1</w:t>
            </w:r>
          </w:p>
        </w:tc>
        <w:tc>
          <w:tcPr>
            <w:tcW w:w="992" w:type="dxa"/>
            <w:shd w:val="clear" w:color="auto" w:fill="C6EFCE"/>
            <w:noWrap/>
          </w:tcPr>
          <w:p w14:paraId="5BB7AFFC" w14:textId="5A9E9179"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T</w:t>
            </w:r>
          </w:p>
        </w:tc>
        <w:tc>
          <w:tcPr>
            <w:tcW w:w="1134" w:type="dxa"/>
            <w:shd w:val="clear" w:color="auto" w:fill="C6EFCE"/>
            <w:noWrap/>
          </w:tcPr>
          <w:p w14:paraId="6FDBCDCA" w14:textId="73F32BB1" w:rsidR="00D65CB4" w:rsidRPr="00BC4EE7" w:rsidRDefault="00572307">
            <w:pPr>
              <w:pStyle w:val="P68B1DB1-Normal12"/>
              <w:spacing w:after="0" w:line="240" w:lineRule="auto"/>
              <w:rPr>
                <w:rFonts w:eastAsia="Calibri" w:cs="Times New Roman"/>
                <w:noProof/>
              </w:rPr>
            </w:pPr>
            <w:r w:rsidRPr="00BC4EE7">
              <w:rPr>
                <w:rFonts w:cs="Times New Roman"/>
                <w:noProof/>
              </w:rPr>
              <w:t>TEN-T törzshálózat: szerződések odaítélése</w:t>
            </w:r>
          </w:p>
        </w:tc>
        <w:tc>
          <w:tcPr>
            <w:tcW w:w="1215" w:type="dxa"/>
            <w:shd w:val="clear" w:color="auto" w:fill="C6EFCE"/>
            <w:noWrap/>
          </w:tcPr>
          <w:p w14:paraId="576BD3EB" w14:textId="52E019AA" w:rsidR="00D65CB4" w:rsidRPr="00BC4EE7" w:rsidRDefault="00D65CB4">
            <w:pPr>
              <w:spacing w:after="0" w:line="240" w:lineRule="auto"/>
              <w:jc w:val="center"/>
              <w:rPr>
                <w:rFonts w:ascii="Times New Roman" w:eastAsia="Calibri" w:hAnsi="Times New Roman" w:cs="Times New Roman"/>
                <w:noProof/>
                <w:sz w:val="18"/>
              </w:rPr>
            </w:pPr>
          </w:p>
        </w:tc>
        <w:tc>
          <w:tcPr>
            <w:tcW w:w="980" w:type="dxa"/>
            <w:shd w:val="clear" w:color="auto" w:fill="C6EFCE"/>
            <w:noWrap/>
          </w:tcPr>
          <w:p w14:paraId="3E40803B" w14:textId="464DE357" w:rsidR="00D65CB4" w:rsidRPr="00BC4EE7" w:rsidRDefault="00572307">
            <w:pPr>
              <w:pStyle w:val="P68B1DB1-Normal12"/>
              <w:spacing w:after="0" w:line="240" w:lineRule="auto"/>
              <w:jc w:val="right"/>
              <w:rPr>
                <w:rFonts w:eastAsia="Calibri" w:cs="Times New Roman"/>
                <w:noProof/>
              </w:rPr>
            </w:pPr>
            <w:r w:rsidRPr="00BC4EE7">
              <w:rPr>
                <w:rFonts w:cs="Times New Roman"/>
                <w:noProof/>
              </w:rPr>
              <w:t xml:space="preserve">Szerződés vagy egyéb jogi eszköz </w:t>
            </w:r>
          </w:p>
        </w:tc>
        <w:tc>
          <w:tcPr>
            <w:tcW w:w="953" w:type="dxa"/>
            <w:shd w:val="clear" w:color="auto" w:fill="C6EFCE"/>
            <w:noWrap/>
          </w:tcPr>
          <w:p w14:paraId="3AA4ADE7" w14:textId="4C8679AE" w:rsidR="00D65CB4" w:rsidRPr="00BC4EE7" w:rsidRDefault="00572307">
            <w:pPr>
              <w:pStyle w:val="P68B1DB1-Normal12"/>
              <w:spacing w:after="0" w:line="240" w:lineRule="auto"/>
              <w:jc w:val="right"/>
              <w:rPr>
                <w:rFonts w:eastAsia="Calibri" w:cs="Times New Roman"/>
                <w:noProof/>
              </w:rPr>
            </w:pPr>
            <w:r w:rsidRPr="00BC4EE7">
              <w:rPr>
                <w:rFonts w:cs="Times New Roman"/>
                <w:noProof/>
              </w:rPr>
              <w:t xml:space="preserve">0 </w:t>
            </w:r>
          </w:p>
        </w:tc>
        <w:tc>
          <w:tcPr>
            <w:tcW w:w="546" w:type="dxa"/>
            <w:shd w:val="clear" w:color="auto" w:fill="C6EFCE"/>
            <w:noWrap/>
          </w:tcPr>
          <w:p w14:paraId="3ADD6AFE" w14:textId="5A2AC88D" w:rsidR="00D65CB4" w:rsidRPr="00BC4EE7" w:rsidRDefault="00572307">
            <w:pPr>
              <w:pStyle w:val="P68B1DB1-Normal12"/>
              <w:spacing w:after="0" w:line="240" w:lineRule="auto"/>
              <w:jc w:val="right"/>
              <w:rPr>
                <w:rFonts w:eastAsia="Calibri" w:cs="Times New Roman"/>
                <w:noProof/>
              </w:rPr>
            </w:pPr>
            <w:r w:rsidRPr="00BC4EE7">
              <w:rPr>
                <w:rFonts w:cs="Times New Roman"/>
                <w:noProof/>
              </w:rPr>
              <w:t>144</w:t>
            </w:r>
          </w:p>
        </w:tc>
        <w:tc>
          <w:tcPr>
            <w:tcW w:w="410" w:type="dxa"/>
            <w:shd w:val="clear" w:color="auto" w:fill="C6EFCE"/>
            <w:noWrap/>
          </w:tcPr>
          <w:p w14:paraId="0BD78B8F"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Q4</w:t>
            </w:r>
          </w:p>
        </w:tc>
        <w:tc>
          <w:tcPr>
            <w:tcW w:w="546" w:type="dxa"/>
            <w:shd w:val="clear" w:color="auto" w:fill="C6EFCE"/>
            <w:noWrap/>
          </w:tcPr>
          <w:p w14:paraId="1C646597"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2022</w:t>
            </w:r>
          </w:p>
        </w:tc>
        <w:tc>
          <w:tcPr>
            <w:tcW w:w="5810" w:type="dxa"/>
            <w:shd w:val="clear" w:color="auto" w:fill="C6EFCE"/>
            <w:noWrap/>
          </w:tcPr>
          <w:p w14:paraId="72DDA19B" w14:textId="365CACE1" w:rsidR="00D65CB4" w:rsidRPr="00BC4EE7" w:rsidRDefault="00572307">
            <w:pPr>
              <w:spacing w:after="0" w:line="240" w:lineRule="auto"/>
              <w:rPr>
                <w:rFonts w:ascii="Times New Roman" w:hAnsi="Times New Roman" w:cs="Times New Roman"/>
                <w:noProof/>
                <w:sz w:val="18"/>
              </w:rPr>
            </w:pPr>
            <w:r w:rsidRPr="00BC4EE7">
              <w:rPr>
                <w:rFonts w:ascii="Times New Roman" w:hAnsi="Times New Roman" w:cs="Times New Roman"/>
                <w:noProof/>
                <w:sz w:val="18"/>
              </w:rPr>
              <w:t xml:space="preserve">Legalább 144 odaítélt szerződés vagy egyéb jogi eszköz, amelyek a TEN-T törzshálózat egy vagy több következő folyosójára vonatkozó intézkedéseket tartalmaznak: </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ATLANTI-FOLYOSÓ</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Y Vasca: Vitoria-Bilbao-San Sebastian/Astigarraga-Irun</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Valladolid-Palencia-León</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León-La Robla-Pola de Lena</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Castejón-Pamplona-Logroño-Bilbao</w:t>
            </w:r>
          </w:p>
          <w:p w14:paraId="4F7E14A6" w14:textId="0C25F427" w:rsidR="00D65CB4" w:rsidRPr="00BC4EE7" w:rsidRDefault="00572307">
            <w:pPr>
              <w:spacing w:after="0" w:line="240" w:lineRule="auto"/>
              <w:rPr>
                <w:rFonts w:ascii="Times New Roman" w:hAnsi="Times New Roman" w:cs="Times New Roman"/>
                <w:noProof/>
                <w:sz w:val="18"/>
              </w:rPr>
            </w:pPr>
            <w:r w:rsidRPr="00BC4EE7">
              <w:rPr>
                <w:rFonts w:ascii="Times New Roman" w:hAnsi="Times New Roman" w:cs="Times New Roman"/>
                <w:noProof/>
                <w:sz w:val="18"/>
              </w:rPr>
              <w:t>• La Coruña-Vigo-Ourense</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Ourense-Monforte</w:t>
            </w:r>
          </w:p>
          <w:p w14:paraId="25A8B19A" w14:textId="5983C8F2" w:rsidR="00D65CB4" w:rsidRPr="00BC4EE7" w:rsidRDefault="00572307">
            <w:pPr>
              <w:spacing w:after="0"/>
              <w:rPr>
                <w:rFonts w:ascii="Times New Roman" w:hAnsi="Times New Roman" w:cs="Times New Roman"/>
                <w:noProof/>
                <w:sz w:val="18"/>
              </w:rPr>
            </w:pPr>
            <w:r w:rsidRPr="00BC4EE7">
              <w:rPr>
                <w:rFonts w:ascii="Times New Roman" w:hAnsi="Times New Roman" w:cs="Times New Roman"/>
                <w:noProof/>
                <w:sz w:val="18"/>
              </w:rPr>
              <w:t>• Monforte-León</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Talayuela-Plasencia-Cáceres-Mérida-Badajoz</w:t>
            </w:r>
          </w:p>
          <w:p w14:paraId="1C814A71" w14:textId="3719664A" w:rsidR="00D65CB4" w:rsidRPr="00BC4EE7" w:rsidRDefault="00572307">
            <w:pPr>
              <w:pStyle w:val="P68B1DB1-Normal12"/>
              <w:spacing w:after="0"/>
              <w:jc w:val="both"/>
              <w:rPr>
                <w:rFonts w:cs="Times New Roman"/>
                <w:noProof/>
              </w:rPr>
            </w:pPr>
            <w:r w:rsidRPr="00BC4EE7">
              <w:rPr>
                <w:rFonts w:cs="Times New Roman"/>
                <w:noProof/>
              </w:rPr>
              <w:t xml:space="preserve">• Talayuela-Madrid-Valladolid-Vitoria </w:t>
            </w:r>
          </w:p>
          <w:p w14:paraId="2711880D" w14:textId="45762D7F" w:rsidR="00D65CB4" w:rsidRPr="00BC4EE7" w:rsidRDefault="00572307">
            <w:pPr>
              <w:pStyle w:val="P68B1DB1-Normal12"/>
              <w:spacing w:after="0"/>
              <w:jc w:val="both"/>
              <w:rPr>
                <w:rFonts w:cs="Times New Roman"/>
                <w:noProof/>
              </w:rPr>
            </w:pPr>
            <w:r w:rsidRPr="00BC4EE7">
              <w:rPr>
                <w:rFonts w:cs="Times New Roman"/>
                <w:noProof/>
              </w:rPr>
              <w:t>• Sevilla-Huelva</w:t>
            </w:r>
          </w:p>
          <w:p w14:paraId="7E352252" w14:textId="45762D7F" w:rsidR="00D65CB4" w:rsidRPr="00BC4EE7" w:rsidRDefault="00572307">
            <w:pPr>
              <w:spacing w:after="0" w:line="240" w:lineRule="auto"/>
              <w:rPr>
                <w:rFonts w:ascii="Times New Roman" w:hAnsi="Times New Roman" w:cs="Times New Roman"/>
                <w:noProof/>
                <w:sz w:val="18"/>
              </w:rPr>
            </w:pP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MEDITERRÁN FOLYOSÓ:</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Madrid-Zaragoza-Tarragona</w:t>
            </w:r>
          </w:p>
          <w:p w14:paraId="324E204A" w14:textId="45762D7F" w:rsidR="00D65CB4" w:rsidRPr="00BC4EE7" w:rsidRDefault="00D65CB4">
            <w:pPr>
              <w:spacing w:after="0" w:line="240" w:lineRule="auto"/>
              <w:rPr>
                <w:rFonts w:ascii="Times New Roman" w:hAnsi="Times New Roman" w:cs="Times New Roman"/>
                <w:noProof/>
                <w:sz w:val="18"/>
              </w:rPr>
            </w:pPr>
          </w:p>
          <w:p w14:paraId="43858E69" w14:textId="45762D7F" w:rsidR="00D65CB4" w:rsidRPr="00BC4EE7" w:rsidRDefault="00572307">
            <w:pPr>
              <w:pStyle w:val="P68B1DB1-Normal12"/>
              <w:spacing w:after="0" w:line="240" w:lineRule="auto"/>
              <w:rPr>
                <w:rFonts w:cs="Times New Roman"/>
                <w:noProof/>
              </w:rPr>
            </w:pPr>
            <w:r w:rsidRPr="00BC4EE7">
              <w:rPr>
                <w:rFonts w:cs="Times New Roman"/>
                <w:noProof/>
              </w:rPr>
              <w:t>• Frontera francesa-Barcelona/Tarragona-Vandellós</w:t>
            </w:r>
          </w:p>
          <w:p w14:paraId="4A5AD4EF" w14:textId="45762D7F" w:rsidR="00D65CB4" w:rsidRPr="00BC4EE7" w:rsidRDefault="00572307">
            <w:pPr>
              <w:spacing w:after="0" w:line="240" w:lineRule="auto"/>
              <w:rPr>
                <w:rFonts w:ascii="Times New Roman" w:hAnsi="Times New Roman" w:cs="Times New Roman"/>
                <w:noProof/>
                <w:sz w:val="18"/>
              </w:rPr>
            </w:pPr>
            <w:r w:rsidRPr="00BC4EE7">
              <w:rPr>
                <w:rFonts w:ascii="Times New Roman" w:hAnsi="Times New Roman" w:cs="Times New Roman"/>
                <w:noProof/>
                <w:sz w:val="18"/>
              </w:rPr>
              <w:t>• Vandellós-Castellón</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Sagunto-Teruel – Zaragoza</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Zaragoza-Tarragona</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Castellón-Valencia-La Encina-Alicante</w:t>
            </w:r>
          </w:p>
          <w:p w14:paraId="7246D609" w14:textId="7888A4DB" w:rsidR="00D65CB4" w:rsidRPr="00BC4EE7" w:rsidRDefault="00572307">
            <w:pPr>
              <w:spacing w:after="0"/>
              <w:rPr>
                <w:rFonts w:ascii="Times New Roman" w:hAnsi="Times New Roman" w:cs="Times New Roman"/>
                <w:noProof/>
                <w:sz w:val="18"/>
              </w:rPr>
            </w:pPr>
            <w:r w:rsidRPr="00BC4EE7">
              <w:rPr>
                <w:rFonts w:ascii="Times New Roman" w:hAnsi="Times New Roman" w:cs="Times New Roman"/>
                <w:noProof/>
                <w:sz w:val="18"/>
              </w:rPr>
              <w:t>• Alcázar de San Juan-La Encina</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Murcia-Cartagena</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Murcia-Almería</w:t>
            </w:r>
          </w:p>
          <w:p w14:paraId="6D7E4E24" w14:textId="45762D7F" w:rsidR="00D65CB4" w:rsidRPr="00BC4EE7" w:rsidRDefault="00572307">
            <w:pPr>
              <w:pStyle w:val="P68B1DB1-Normal12"/>
              <w:spacing w:after="0"/>
              <w:rPr>
                <w:rFonts w:cs="Times New Roman"/>
                <w:noProof/>
              </w:rPr>
            </w:pPr>
            <w:r w:rsidRPr="00BC4EE7">
              <w:rPr>
                <w:rFonts w:cs="Times New Roman"/>
                <w:noProof/>
              </w:rPr>
              <w:t>• Utrera-Antequera Santa Ana</w:t>
            </w:r>
          </w:p>
          <w:p w14:paraId="2188A029" w14:textId="45762D7F" w:rsidR="00D65CB4" w:rsidRPr="00BC4EE7" w:rsidRDefault="00572307">
            <w:pPr>
              <w:pStyle w:val="P68B1DB1-Normal12"/>
              <w:spacing w:after="0"/>
              <w:jc w:val="both"/>
              <w:rPr>
                <w:rFonts w:cs="Times New Roman"/>
                <w:noProof/>
              </w:rPr>
            </w:pPr>
            <w:r w:rsidRPr="00BC4EE7">
              <w:rPr>
                <w:rFonts w:cs="Times New Roman"/>
                <w:noProof/>
              </w:rPr>
              <w:t>• Madrid-Valencia</w:t>
            </w:r>
          </w:p>
          <w:p w14:paraId="5EB1FC24" w14:textId="1C60FD8C" w:rsidR="00D65CB4" w:rsidRPr="00BC4EE7" w:rsidRDefault="00572307">
            <w:pPr>
              <w:spacing w:after="0" w:line="240" w:lineRule="auto"/>
              <w:rPr>
                <w:rFonts w:ascii="Times New Roman" w:hAnsi="Times New Roman" w:cs="Times New Roman"/>
                <w:noProof/>
                <w:sz w:val="18"/>
              </w:rPr>
            </w:pP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MINDKÉT FOLYOSÓ ESETÉBEN KÖZÖS</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A HSL Barcelona és a HSL Levante összekapcsolása</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Aranjuez-Alcázar de San Juan-Manzanares-Córdoba-Algeciras</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Madrid-Seville</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xml:space="preserve">A tevékenységek a következő egy vagy több típusba tartoznak: </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Platform. Olyan projekteket foglal magában, amelyek lehetővé teszik a vágányokat támogató infrastruktúra létrehozását, és amely magában foglalja a töltést, a mentesítést, az átvezető csatornákat, alagutakat stb. Ezek főként új infrastruktúra építését jelentik.</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A szolgáltatások cseréje. Magában foglalja a vasúti munkálatok kivitelezése során érintett meglévő szolgáltatások (fény, öntözés, víz stb.) helyreállítását célzó intézkedéseket.</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Vágányok. Magában foglalja a vágányanyagok (ballaszt, aljzat, sín, kapcsolók és tágító eszközök) új vasúti szakaszokon történő összeszerelését és szállítását, valamint a meglévő vágányok felújítását.</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Villamos energia. Magában foglalja a vonalak villamosítását célzó intézkedéseket, többek között a következőket: felsővezeték, vontatási alállomások, átalakítási központok, távirányítás, nagyfeszültségű elektromos vezetékek stb.</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Forgalmi jelzések és irányítás. Ide tartoznak az új jelző- és forgalomirányító rendszerek (ERTMS stb.) megvalósítását célzó projektek.</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Távközlés. Magában foglalja a vezetékes és mobil távközléssel kapcsolatos projekteket a vasútvonalakon (például száloptikás, GSM-R)</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Állomások. Magában foglalja a meglévő állomások korszerűsítését és rehabilitációját, valamint új állomások építését.</w:t>
            </w:r>
          </w:p>
        </w:tc>
      </w:tr>
      <w:tr w:rsidR="00D65CB4" w:rsidRPr="00BC4EE7" w14:paraId="79F038B6" w14:textId="77777777" w:rsidTr="00481CF8">
        <w:trPr>
          <w:trHeight w:val="309"/>
        </w:trPr>
        <w:tc>
          <w:tcPr>
            <w:tcW w:w="822" w:type="dxa"/>
            <w:shd w:val="clear" w:color="auto" w:fill="C6EFCE"/>
            <w:noWrap/>
          </w:tcPr>
          <w:p w14:paraId="4894D1EF"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86</w:t>
            </w:r>
          </w:p>
        </w:tc>
        <w:tc>
          <w:tcPr>
            <w:tcW w:w="880" w:type="dxa"/>
            <w:shd w:val="clear" w:color="auto" w:fill="C6EFCE"/>
            <w:noWrap/>
          </w:tcPr>
          <w:p w14:paraId="6E297F68"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C6.I1</w:t>
            </w:r>
          </w:p>
        </w:tc>
        <w:tc>
          <w:tcPr>
            <w:tcW w:w="992" w:type="dxa"/>
            <w:shd w:val="clear" w:color="auto" w:fill="C6EFCE"/>
            <w:noWrap/>
          </w:tcPr>
          <w:p w14:paraId="5CEACC07"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1134" w:type="dxa"/>
            <w:shd w:val="clear" w:color="auto" w:fill="C6EFCE"/>
            <w:noWrap/>
          </w:tcPr>
          <w:p w14:paraId="73D30899" w14:textId="77777777" w:rsidR="00D65CB4" w:rsidRPr="00BC4EE7" w:rsidRDefault="00572307">
            <w:pPr>
              <w:pStyle w:val="P68B1DB1-Normal12"/>
              <w:spacing w:after="0" w:line="240" w:lineRule="auto"/>
              <w:rPr>
                <w:rFonts w:cs="Times New Roman"/>
                <w:noProof/>
              </w:rPr>
            </w:pPr>
            <w:r w:rsidRPr="00BC4EE7">
              <w:rPr>
                <w:rFonts w:cs="Times New Roman"/>
                <w:noProof/>
              </w:rPr>
              <w:t xml:space="preserve">TEN-T törzshálózat: a munka előrehaladása </w:t>
            </w:r>
          </w:p>
        </w:tc>
        <w:tc>
          <w:tcPr>
            <w:tcW w:w="1215" w:type="dxa"/>
            <w:shd w:val="clear" w:color="auto" w:fill="C6EFCE"/>
            <w:noWrap/>
          </w:tcPr>
          <w:p w14:paraId="6A09E912"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w:t>
            </w:r>
          </w:p>
        </w:tc>
        <w:tc>
          <w:tcPr>
            <w:tcW w:w="980" w:type="dxa"/>
            <w:shd w:val="clear" w:color="auto" w:fill="C6EFCE"/>
            <w:noWrap/>
          </w:tcPr>
          <w:p w14:paraId="3E935E90"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Szám (km)</w:t>
            </w:r>
          </w:p>
        </w:tc>
        <w:tc>
          <w:tcPr>
            <w:tcW w:w="953" w:type="dxa"/>
            <w:shd w:val="clear" w:color="auto" w:fill="C6EFCE"/>
            <w:noWrap/>
          </w:tcPr>
          <w:p w14:paraId="674C0320"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0</w:t>
            </w:r>
          </w:p>
        </w:tc>
        <w:tc>
          <w:tcPr>
            <w:tcW w:w="546" w:type="dxa"/>
            <w:shd w:val="clear" w:color="auto" w:fill="C6EFCE"/>
            <w:noWrap/>
          </w:tcPr>
          <w:p w14:paraId="14BEB24D"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335</w:t>
            </w:r>
          </w:p>
        </w:tc>
        <w:tc>
          <w:tcPr>
            <w:tcW w:w="410" w:type="dxa"/>
            <w:shd w:val="clear" w:color="auto" w:fill="C6EFCE"/>
            <w:noWrap/>
          </w:tcPr>
          <w:p w14:paraId="0171B95B"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546" w:type="dxa"/>
            <w:shd w:val="clear" w:color="auto" w:fill="C6EFCE"/>
            <w:noWrap/>
          </w:tcPr>
          <w:p w14:paraId="665BC6A2"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2024</w:t>
            </w:r>
          </w:p>
        </w:tc>
        <w:tc>
          <w:tcPr>
            <w:tcW w:w="5810" w:type="dxa"/>
            <w:shd w:val="clear" w:color="auto" w:fill="C6EFCE"/>
            <w:noWrap/>
          </w:tcPr>
          <w:p w14:paraId="3DD4BD97" w14:textId="77777777" w:rsidR="00D65CB4" w:rsidRPr="00BC4EE7" w:rsidRDefault="00572307">
            <w:pPr>
              <w:pStyle w:val="P68B1DB1-Normal12"/>
              <w:spacing w:after="0" w:line="240" w:lineRule="auto"/>
              <w:rPr>
                <w:rFonts w:cs="Times New Roman"/>
                <w:noProof/>
              </w:rPr>
            </w:pPr>
            <w:r w:rsidRPr="00BC4EE7">
              <w:rPr>
                <w:rFonts w:cs="Times New Roman"/>
                <w:noProof/>
              </w:rPr>
              <w:t xml:space="preserve">Legalább 335 kilométernyi befejezett építési beruházás a TEN-T törzshálózaton a folyosókon és a 2022 negyedik negyedévének #85. céljában meghatározott jellemzőkkel </w:t>
            </w:r>
          </w:p>
        </w:tc>
      </w:tr>
      <w:tr w:rsidR="00D65CB4" w:rsidRPr="00BC4EE7" w14:paraId="33F640E8" w14:textId="77777777" w:rsidTr="00481CF8">
        <w:trPr>
          <w:trHeight w:val="309"/>
        </w:trPr>
        <w:tc>
          <w:tcPr>
            <w:tcW w:w="822" w:type="dxa"/>
            <w:shd w:val="clear" w:color="auto" w:fill="C6EFCE"/>
            <w:noWrap/>
          </w:tcPr>
          <w:p w14:paraId="67DDB69B"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87</w:t>
            </w:r>
          </w:p>
        </w:tc>
        <w:tc>
          <w:tcPr>
            <w:tcW w:w="880" w:type="dxa"/>
            <w:shd w:val="clear" w:color="auto" w:fill="C6EFCE"/>
            <w:noWrap/>
          </w:tcPr>
          <w:p w14:paraId="1322D1FC"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C6.I1</w:t>
            </w:r>
          </w:p>
        </w:tc>
        <w:tc>
          <w:tcPr>
            <w:tcW w:w="992" w:type="dxa"/>
            <w:shd w:val="clear" w:color="auto" w:fill="C6EFCE"/>
            <w:noWrap/>
          </w:tcPr>
          <w:p w14:paraId="3C81BE46"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T</w:t>
            </w:r>
          </w:p>
        </w:tc>
        <w:tc>
          <w:tcPr>
            <w:tcW w:w="1134" w:type="dxa"/>
            <w:shd w:val="clear" w:color="auto" w:fill="C6EFCE"/>
            <w:noWrap/>
          </w:tcPr>
          <w:p w14:paraId="70B957AF" w14:textId="77777777" w:rsidR="00D65CB4" w:rsidRPr="00BC4EE7" w:rsidRDefault="00572307">
            <w:pPr>
              <w:pStyle w:val="P68B1DB1-Normal12"/>
              <w:spacing w:after="0" w:line="240" w:lineRule="auto"/>
              <w:rPr>
                <w:rFonts w:eastAsia="Calibri" w:cs="Times New Roman"/>
                <w:noProof/>
              </w:rPr>
            </w:pPr>
            <w:r w:rsidRPr="00BC4EE7">
              <w:rPr>
                <w:rFonts w:cs="Times New Roman"/>
                <w:noProof/>
              </w:rPr>
              <w:t xml:space="preserve">TEN-T törzshálózat: a munkálatok befejezése </w:t>
            </w:r>
          </w:p>
        </w:tc>
        <w:tc>
          <w:tcPr>
            <w:tcW w:w="1215" w:type="dxa"/>
            <w:shd w:val="clear" w:color="auto" w:fill="C6EFCE"/>
            <w:noWrap/>
          </w:tcPr>
          <w:p w14:paraId="33E67AC6"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w:t>
            </w:r>
          </w:p>
        </w:tc>
        <w:tc>
          <w:tcPr>
            <w:tcW w:w="980" w:type="dxa"/>
            <w:shd w:val="clear" w:color="auto" w:fill="C6EFCE"/>
            <w:noWrap/>
          </w:tcPr>
          <w:p w14:paraId="1C84F6D9"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Szám (km)</w:t>
            </w:r>
          </w:p>
        </w:tc>
        <w:tc>
          <w:tcPr>
            <w:tcW w:w="953" w:type="dxa"/>
            <w:shd w:val="clear" w:color="auto" w:fill="C6EFCE"/>
            <w:noWrap/>
          </w:tcPr>
          <w:p w14:paraId="2996073B" w14:textId="77777777" w:rsidR="00D65CB4" w:rsidRPr="00BC4EE7" w:rsidRDefault="00572307">
            <w:pPr>
              <w:pStyle w:val="P68B1DB1-Normal12"/>
              <w:spacing w:after="0" w:line="240" w:lineRule="auto"/>
              <w:jc w:val="right"/>
              <w:rPr>
                <w:rFonts w:eastAsia="Calibri" w:cs="Times New Roman"/>
                <w:noProof/>
              </w:rPr>
            </w:pPr>
            <w:r w:rsidRPr="00BC4EE7">
              <w:rPr>
                <w:rFonts w:cs="Times New Roman"/>
                <w:noProof/>
              </w:rPr>
              <w:t>335</w:t>
            </w:r>
          </w:p>
        </w:tc>
        <w:tc>
          <w:tcPr>
            <w:tcW w:w="546" w:type="dxa"/>
            <w:shd w:val="clear" w:color="auto" w:fill="C6EFCE"/>
            <w:noWrap/>
          </w:tcPr>
          <w:p w14:paraId="6671B730" w14:textId="77777777" w:rsidR="00D65CB4" w:rsidRPr="00BC4EE7" w:rsidRDefault="00572307">
            <w:pPr>
              <w:pStyle w:val="P68B1DB1-Normal12"/>
              <w:spacing w:after="0" w:line="240" w:lineRule="auto"/>
              <w:jc w:val="right"/>
              <w:rPr>
                <w:rFonts w:eastAsia="Calibri" w:cs="Times New Roman"/>
                <w:noProof/>
              </w:rPr>
            </w:pPr>
            <w:r w:rsidRPr="00BC4EE7">
              <w:rPr>
                <w:rFonts w:cs="Times New Roman"/>
                <w:noProof/>
              </w:rPr>
              <w:t>1 400</w:t>
            </w:r>
          </w:p>
        </w:tc>
        <w:tc>
          <w:tcPr>
            <w:tcW w:w="410" w:type="dxa"/>
            <w:shd w:val="clear" w:color="auto" w:fill="C6EFCE"/>
            <w:noWrap/>
          </w:tcPr>
          <w:p w14:paraId="39627014"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Q2</w:t>
            </w:r>
          </w:p>
        </w:tc>
        <w:tc>
          <w:tcPr>
            <w:tcW w:w="546" w:type="dxa"/>
            <w:shd w:val="clear" w:color="auto" w:fill="C6EFCE"/>
            <w:noWrap/>
          </w:tcPr>
          <w:p w14:paraId="10641807"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2026</w:t>
            </w:r>
          </w:p>
        </w:tc>
        <w:tc>
          <w:tcPr>
            <w:tcW w:w="5810" w:type="dxa"/>
            <w:shd w:val="clear" w:color="auto" w:fill="C6EFCE"/>
            <w:noWrap/>
          </w:tcPr>
          <w:p w14:paraId="79709815" w14:textId="77777777" w:rsidR="00D65CB4" w:rsidRPr="00BC4EE7" w:rsidRDefault="00572307">
            <w:pPr>
              <w:pStyle w:val="P68B1DB1-Normal12"/>
              <w:spacing w:after="0" w:line="240" w:lineRule="auto"/>
              <w:rPr>
                <w:rFonts w:eastAsia="Calibri" w:cs="Times New Roman"/>
                <w:noProof/>
              </w:rPr>
            </w:pPr>
            <w:r w:rsidRPr="00BC4EE7">
              <w:rPr>
                <w:rFonts w:cs="Times New Roman"/>
                <w:noProof/>
              </w:rPr>
              <w:t>Legalább 1400 kilométernyi befejezett építési beruházás a TEN-T törzshálózaton a folyosókon és a 2022 negyedik negyedévének #85. céljában meghatározott jellemzőkkel. (alapforgatókönyv: 2024. december 31.).</w:t>
            </w:r>
          </w:p>
        </w:tc>
      </w:tr>
      <w:tr w:rsidR="00D65CB4" w:rsidRPr="00BC4EE7" w14:paraId="476E2B6F" w14:textId="77777777" w:rsidTr="00481CF8">
        <w:trPr>
          <w:trHeight w:val="309"/>
        </w:trPr>
        <w:tc>
          <w:tcPr>
            <w:tcW w:w="822" w:type="dxa"/>
            <w:shd w:val="clear" w:color="auto" w:fill="C6EFCE"/>
            <w:noWrap/>
          </w:tcPr>
          <w:p w14:paraId="1DCB3458" w14:textId="3096FFE1"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88</w:t>
            </w:r>
          </w:p>
        </w:tc>
        <w:tc>
          <w:tcPr>
            <w:tcW w:w="880" w:type="dxa"/>
            <w:shd w:val="clear" w:color="auto" w:fill="C6EFCE"/>
            <w:noWrap/>
          </w:tcPr>
          <w:p w14:paraId="36E9323E"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C6.I2</w:t>
            </w:r>
          </w:p>
        </w:tc>
        <w:tc>
          <w:tcPr>
            <w:tcW w:w="992" w:type="dxa"/>
            <w:shd w:val="clear" w:color="auto" w:fill="C6EFCE"/>
            <w:noWrap/>
          </w:tcPr>
          <w:p w14:paraId="374870AA" w14:textId="4FEB941D"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T</w:t>
            </w:r>
          </w:p>
        </w:tc>
        <w:tc>
          <w:tcPr>
            <w:tcW w:w="1134" w:type="dxa"/>
            <w:shd w:val="clear" w:color="auto" w:fill="C6EFCE"/>
            <w:noWrap/>
          </w:tcPr>
          <w:p w14:paraId="11FE6E32" w14:textId="1B9DF57A" w:rsidR="00D65CB4" w:rsidRPr="00BC4EE7" w:rsidRDefault="00572307">
            <w:pPr>
              <w:pStyle w:val="P68B1DB1-Normal12"/>
              <w:spacing w:after="0" w:line="240" w:lineRule="auto"/>
              <w:rPr>
                <w:rFonts w:eastAsia="Calibri" w:cs="Times New Roman"/>
                <w:noProof/>
              </w:rPr>
            </w:pPr>
            <w:r w:rsidRPr="00BC4EE7">
              <w:rPr>
                <w:rFonts w:cs="Times New Roman"/>
                <w:noProof/>
              </w:rPr>
              <w:t xml:space="preserve">TEN-T hálózat vasúti közlekedési és állami közúthálózati szerződések </w:t>
            </w:r>
          </w:p>
        </w:tc>
        <w:tc>
          <w:tcPr>
            <w:tcW w:w="1215" w:type="dxa"/>
            <w:shd w:val="clear" w:color="auto" w:fill="C6EFCE"/>
            <w:noWrap/>
          </w:tcPr>
          <w:p w14:paraId="112BB7C3" w14:textId="15DF141A" w:rsidR="00D65CB4" w:rsidRPr="00BC4EE7" w:rsidRDefault="00D65CB4">
            <w:pPr>
              <w:spacing w:after="0" w:line="240" w:lineRule="auto"/>
              <w:jc w:val="center"/>
              <w:rPr>
                <w:rFonts w:ascii="Times New Roman" w:eastAsia="Calibri" w:hAnsi="Times New Roman" w:cs="Times New Roman"/>
                <w:noProof/>
                <w:sz w:val="18"/>
              </w:rPr>
            </w:pPr>
          </w:p>
        </w:tc>
        <w:tc>
          <w:tcPr>
            <w:tcW w:w="980" w:type="dxa"/>
            <w:shd w:val="clear" w:color="auto" w:fill="C6EFCE"/>
            <w:noWrap/>
          </w:tcPr>
          <w:p w14:paraId="3BAC30D4" w14:textId="1E65182C" w:rsidR="00D65CB4" w:rsidRPr="00BC4EE7" w:rsidRDefault="00572307">
            <w:pPr>
              <w:pStyle w:val="P68B1DB1-Normal12"/>
              <w:spacing w:after="0" w:line="240" w:lineRule="auto"/>
              <w:jc w:val="right"/>
              <w:rPr>
                <w:rFonts w:eastAsia="Calibri" w:cs="Times New Roman"/>
                <w:noProof/>
              </w:rPr>
            </w:pPr>
            <w:r w:rsidRPr="00BC4EE7">
              <w:rPr>
                <w:rFonts w:cs="Times New Roman"/>
                <w:noProof/>
              </w:rPr>
              <w:t xml:space="preserve">Szerződés vagy egyéb jogi eszköz </w:t>
            </w:r>
          </w:p>
        </w:tc>
        <w:tc>
          <w:tcPr>
            <w:tcW w:w="953" w:type="dxa"/>
            <w:shd w:val="clear" w:color="auto" w:fill="C6EFCE"/>
            <w:noWrap/>
          </w:tcPr>
          <w:p w14:paraId="77ABD302" w14:textId="7FFAB9CF" w:rsidR="00D65CB4" w:rsidRPr="00BC4EE7" w:rsidRDefault="00572307">
            <w:pPr>
              <w:pStyle w:val="P68B1DB1-Normal12"/>
              <w:spacing w:after="0" w:line="240" w:lineRule="auto"/>
              <w:jc w:val="right"/>
              <w:rPr>
                <w:rFonts w:eastAsia="Calibri" w:cs="Times New Roman"/>
                <w:noProof/>
              </w:rPr>
            </w:pPr>
            <w:r w:rsidRPr="00BC4EE7">
              <w:rPr>
                <w:rFonts w:cs="Times New Roman"/>
                <w:noProof/>
              </w:rPr>
              <w:t xml:space="preserve">0 </w:t>
            </w:r>
          </w:p>
        </w:tc>
        <w:tc>
          <w:tcPr>
            <w:tcW w:w="546" w:type="dxa"/>
            <w:shd w:val="clear" w:color="auto" w:fill="C6EFCE"/>
            <w:noWrap/>
          </w:tcPr>
          <w:p w14:paraId="68605206" w14:textId="5EE29FE5" w:rsidR="00D65CB4" w:rsidRPr="00BC4EE7" w:rsidRDefault="00572307">
            <w:pPr>
              <w:pStyle w:val="P68B1DB1-Normal12"/>
              <w:spacing w:after="0" w:line="240" w:lineRule="auto"/>
              <w:jc w:val="right"/>
              <w:rPr>
                <w:rFonts w:eastAsia="Calibri" w:cs="Times New Roman"/>
                <w:noProof/>
              </w:rPr>
            </w:pPr>
            <w:r w:rsidRPr="00BC4EE7">
              <w:rPr>
                <w:rFonts w:cs="Times New Roman"/>
                <w:noProof/>
              </w:rPr>
              <w:t xml:space="preserve">188 </w:t>
            </w:r>
          </w:p>
        </w:tc>
        <w:tc>
          <w:tcPr>
            <w:tcW w:w="410" w:type="dxa"/>
            <w:shd w:val="clear" w:color="auto" w:fill="C6EFCE"/>
            <w:noWrap/>
          </w:tcPr>
          <w:p w14:paraId="79A890B5"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Q4</w:t>
            </w:r>
          </w:p>
        </w:tc>
        <w:tc>
          <w:tcPr>
            <w:tcW w:w="546" w:type="dxa"/>
            <w:shd w:val="clear" w:color="auto" w:fill="C6EFCE"/>
            <w:noWrap/>
          </w:tcPr>
          <w:p w14:paraId="069484E3"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2022</w:t>
            </w:r>
          </w:p>
        </w:tc>
        <w:tc>
          <w:tcPr>
            <w:tcW w:w="5810" w:type="dxa"/>
            <w:shd w:val="clear" w:color="auto" w:fill="C6EFCE"/>
            <w:noWrap/>
          </w:tcPr>
          <w:p w14:paraId="29B783A3" w14:textId="412149BB" w:rsidR="00D65CB4" w:rsidRPr="00BC4EE7" w:rsidRDefault="00572307">
            <w:pPr>
              <w:spacing w:after="0" w:line="240" w:lineRule="auto"/>
              <w:rPr>
                <w:rFonts w:ascii="Times New Roman" w:eastAsia="Calibri" w:hAnsi="Times New Roman" w:cs="Times New Roman"/>
                <w:noProof/>
                <w:sz w:val="18"/>
              </w:rPr>
            </w:pPr>
            <w:r w:rsidRPr="00BC4EE7">
              <w:rPr>
                <w:rFonts w:ascii="Times New Roman" w:hAnsi="Times New Roman" w:cs="Times New Roman"/>
                <w:noProof/>
                <w:sz w:val="18"/>
              </w:rPr>
              <w:t xml:space="preserve">Legalább 188 olyan szerződést vagy egyéb jogi eszközt ítéltek oda, amelyek különböző közlekedési módokba történő beavatkozásokat foglalnak magukban: a TEN-T törzshálózaton kívüli vasúti beavatkozások és az állami közúthálózat útjai esetében </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 vasút esetében a beavatkozások a következő beavatkozástípusok közül egyhez vagy többhöz tartoznak:</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A vasúti forgalomirányítás technológiai infrastruktúrájának javítása</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Biztonság (például kiberbiztonság, balesetérzékelők felszerelése)</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Akusztikus védelem/zajtérképek</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Az ERTMS vasúti jelzőrendszerére alkalmazott műholdas technológia fejlesztése</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A szakaszok villamosítása (például Monforte-Lugo)</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A pálya felújítása (például Soria-Torralba és Monforte-Lugo)</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Az ellenőrző-irányító és jelző alrendszer (például Soria-Torralba és Ávila-Salamanca) fejlesztése</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xml:space="preserve">• Új szakaszok vagy változatok létrehozása (pl. Palencia-Santander, Rincón de Soto variáns és Ourense variáns) </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a közutak esetében a beavatkozások a következő beavatkozástípusok közül egyhez vagy többhöz tartoznak:</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 A közúti biztonság javítása: beleértve a közúti közlekedés biztonságát az alagutakban, a veszélyeztetett vadon élő állatok és növények védelmét és a veszélyeztetett felhasználók védelmét </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xml:space="preserve">• Fenntarthatóság: a levegőminőség javítása, a városi mobilitás új formái, a biológiai sokféleség védelme, az éghajlati kockázatok megelőzése, energiahatékonyság, zajcsökkentés </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xml:space="preserve">• Digitalizáció: Hidak, alagutak, nagy adathalmazok elemzését és a dolgok internetét alkalmazó ellenőrző rendszerek bevezetése; az út digitalizálása nyomon követés és karbantartás céljából </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xml:space="preserve">• Intelligens közlekedési rendszerek megvalósítása a busz-VAO sávokban </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xml:space="preserve">• A Gibraltári-szoroson áthaladó állandó összeköttetés elsődleges előzetes tervezetének aktualizálása </w:t>
            </w:r>
            <w:r w:rsidRPr="00BC4EE7">
              <w:rPr>
                <w:rFonts w:ascii="Times New Roman" w:hAnsi="Times New Roman" w:cs="Times New Roman"/>
                <w:noProof/>
              </w:rPr>
              <w:t xml:space="preserve"> </w:t>
            </w:r>
            <w:r w:rsidRPr="00BC4EE7">
              <w:rPr>
                <w:rFonts w:ascii="Times New Roman" w:hAnsi="Times New Roman" w:cs="Times New Roman"/>
                <w:noProof/>
              </w:rPr>
              <w:br/>
            </w:r>
          </w:p>
        </w:tc>
      </w:tr>
      <w:tr w:rsidR="00D65CB4" w:rsidRPr="00BC4EE7" w14:paraId="53B93168" w14:textId="77777777" w:rsidTr="00481CF8">
        <w:trPr>
          <w:trHeight w:val="309"/>
        </w:trPr>
        <w:tc>
          <w:tcPr>
            <w:tcW w:w="822" w:type="dxa"/>
            <w:shd w:val="clear" w:color="auto" w:fill="C6EFCE"/>
            <w:noWrap/>
          </w:tcPr>
          <w:p w14:paraId="4EF93A77" w14:textId="6559D143"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89</w:t>
            </w:r>
          </w:p>
        </w:tc>
        <w:tc>
          <w:tcPr>
            <w:tcW w:w="880" w:type="dxa"/>
            <w:shd w:val="clear" w:color="auto" w:fill="C6EFCE"/>
            <w:noWrap/>
          </w:tcPr>
          <w:p w14:paraId="63469D30"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C6.I2</w:t>
            </w:r>
          </w:p>
        </w:tc>
        <w:tc>
          <w:tcPr>
            <w:tcW w:w="992" w:type="dxa"/>
            <w:shd w:val="clear" w:color="auto" w:fill="C6EFCE"/>
            <w:noWrap/>
          </w:tcPr>
          <w:p w14:paraId="7010B219"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T</w:t>
            </w:r>
          </w:p>
        </w:tc>
        <w:tc>
          <w:tcPr>
            <w:tcW w:w="1134" w:type="dxa"/>
            <w:shd w:val="clear" w:color="auto" w:fill="C6EFCE"/>
            <w:noWrap/>
          </w:tcPr>
          <w:p w14:paraId="76322FAB" w14:textId="77777777" w:rsidR="00D65CB4" w:rsidRPr="00BC4EE7" w:rsidRDefault="00572307">
            <w:pPr>
              <w:pStyle w:val="P68B1DB1-Normal12"/>
              <w:spacing w:after="0" w:line="240" w:lineRule="auto"/>
              <w:rPr>
                <w:rFonts w:eastAsia="Calibri" w:cs="Times New Roman"/>
                <w:noProof/>
              </w:rPr>
            </w:pPr>
            <w:r w:rsidRPr="00BC4EE7">
              <w:rPr>
                <w:rFonts w:cs="Times New Roman"/>
                <w:noProof/>
              </w:rPr>
              <w:t>Nem törzshálózati TEN-T hálózat: a vasúti munkálatok előrehaladása</w:t>
            </w:r>
          </w:p>
        </w:tc>
        <w:tc>
          <w:tcPr>
            <w:tcW w:w="1215" w:type="dxa"/>
            <w:shd w:val="clear" w:color="auto" w:fill="C6EFCE"/>
            <w:noWrap/>
          </w:tcPr>
          <w:p w14:paraId="1BBD13F9"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w:t>
            </w:r>
          </w:p>
        </w:tc>
        <w:tc>
          <w:tcPr>
            <w:tcW w:w="980" w:type="dxa"/>
            <w:shd w:val="clear" w:color="auto" w:fill="C6EFCE"/>
            <w:noWrap/>
          </w:tcPr>
          <w:p w14:paraId="610FC190"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Szám (km)</w:t>
            </w:r>
          </w:p>
        </w:tc>
        <w:tc>
          <w:tcPr>
            <w:tcW w:w="953" w:type="dxa"/>
            <w:shd w:val="clear" w:color="auto" w:fill="C6EFCE"/>
            <w:noWrap/>
          </w:tcPr>
          <w:p w14:paraId="222157C1" w14:textId="77777777" w:rsidR="00D65CB4" w:rsidRPr="00BC4EE7" w:rsidRDefault="00572307">
            <w:pPr>
              <w:pStyle w:val="P68B1DB1-Normal12"/>
              <w:spacing w:after="0" w:line="240" w:lineRule="auto"/>
              <w:jc w:val="right"/>
              <w:rPr>
                <w:rFonts w:eastAsia="Calibri" w:cs="Times New Roman"/>
                <w:noProof/>
              </w:rPr>
            </w:pPr>
            <w:r w:rsidRPr="00BC4EE7">
              <w:rPr>
                <w:rFonts w:cs="Times New Roman"/>
                <w:noProof/>
              </w:rPr>
              <w:t>0</w:t>
            </w:r>
          </w:p>
        </w:tc>
        <w:tc>
          <w:tcPr>
            <w:tcW w:w="546" w:type="dxa"/>
            <w:shd w:val="clear" w:color="auto" w:fill="C6EFCE"/>
            <w:noWrap/>
          </w:tcPr>
          <w:p w14:paraId="036AC05E" w14:textId="77777777" w:rsidR="00D65CB4" w:rsidRPr="00BC4EE7" w:rsidRDefault="00572307">
            <w:pPr>
              <w:pStyle w:val="P68B1DB1-Normal12"/>
              <w:spacing w:after="0" w:line="240" w:lineRule="auto"/>
              <w:jc w:val="right"/>
              <w:rPr>
                <w:rFonts w:eastAsia="Calibri" w:cs="Times New Roman"/>
                <w:noProof/>
              </w:rPr>
            </w:pPr>
            <w:r w:rsidRPr="00BC4EE7">
              <w:rPr>
                <w:rFonts w:cs="Times New Roman"/>
                <w:noProof/>
              </w:rPr>
              <w:t>347</w:t>
            </w:r>
          </w:p>
        </w:tc>
        <w:tc>
          <w:tcPr>
            <w:tcW w:w="410" w:type="dxa"/>
            <w:shd w:val="clear" w:color="auto" w:fill="C6EFCE"/>
            <w:noWrap/>
          </w:tcPr>
          <w:p w14:paraId="12360FBC"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Q4</w:t>
            </w:r>
          </w:p>
        </w:tc>
        <w:tc>
          <w:tcPr>
            <w:tcW w:w="546" w:type="dxa"/>
            <w:shd w:val="clear" w:color="auto" w:fill="C6EFCE"/>
            <w:noWrap/>
          </w:tcPr>
          <w:p w14:paraId="1B012AA2"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2024</w:t>
            </w:r>
          </w:p>
        </w:tc>
        <w:tc>
          <w:tcPr>
            <w:tcW w:w="5810" w:type="dxa"/>
            <w:shd w:val="clear" w:color="auto" w:fill="C6EFCE"/>
            <w:noWrap/>
          </w:tcPr>
          <w:p w14:paraId="47B3F21C" w14:textId="078D8498" w:rsidR="00D65CB4" w:rsidRPr="00BC4EE7" w:rsidRDefault="00572307">
            <w:pPr>
              <w:pStyle w:val="P68B1DB1-Normal12"/>
              <w:spacing w:after="0" w:line="240" w:lineRule="auto"/>
              <w:rPr>
                <w:rFonts w:eastAsia="Calibri" w:cs="Times New Roman"/>
                <w:noProof/>
              </w:rPr>
            </w:pPr>
            <w:r w:rsidRPr="00BC4EE7">
              <w:rPr>
                <w:rFonts w:cs="Times New Roman"/>
                <w:noProof/>
              </w:rPr>
              <w:t>Legalább 347 kilométernyi munkálatok elvégzése azzal a céllal, hogy a vasúti hálózatot átjárhatóbbá tegyék, főként a TEN-T hálózattal kapcsolatban, azzal a végső céllal, hogy a teljes munkálatok legalább 900 kilométernyi hálózaton valósuljanak meg. A munkálatoknak összhangban kell lenniük a 88. cél a) pontjában meghatározott beavatkozástípusokkal.</w:t>
            </w:r>
          </w:p>
        </w:tc>
      </w:tr>
      <w:tr w:rsidR="00D65CB4" w:rsidRPr="00BC4EE7" w14:paraId="69D24A91" w14:textId="77777777" w:rsidTr="00481CF8">
        <w:trPr>
          <w:trHeight w:val="309"/>
        </w:trPr>
        <w:tc>
          <w:tcPr>
            <w:tcW w:w="822" w:type="dxa"/>
            <w:shd w:val="clear" w:color="auto" w:fill="C6EFCE"/>
            <w:noWrap/>
          </w:tcPr>
          <w:p w14:paraId="5AA05B6E"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90</w:t>
            </w:r>
          </w:p>
        </w:tc>
        <w:tc>
          <w:tcPr>
            <w:tcW w:w="880" w:type="dxa"/>
            <w:shd w:val="clear" w:color="auto" w:fill="C6EFCE"/>
            <w:noWrap/>
          </w:tcPr>
          <w:p w14:paraId="2994C83D"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C6.I2</w:t>
            </w:r>
          </w:p>
        </w:tc>
        <w:tc>
          <w:tcPr>
            <w:tcW w:w="992" w:type="dxa"/>
            <w:shd w:val="clear" w:color="auto" w:fill="C6EFCE"/>
            <w:noWrap/>
          </w:tcPr>
          <w:p w14:paraId="336A9382"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T</w:t>
            </w:r>
          </w:p>
        </w:tc>
        <w:tc>
          <w:tcPr>
            <w:tcW w:w="1134" w:type="dxa"/>
            <w:shd w:val="clear" w:color="auto" w:fill="C6EFCE"/>
            <w:noWrap/>
          </w:tcPr>
          <w:p w14:paraId="4C190BEA" w14:textId="77777777" w:rsidR="00D65CB4" w:rsidRPr="00BC4EE7" w:rsidRDefault="00572307">
            <w:pPr>
              <w:pStyle w:val="P68B1DB1-Normal12"/>
              <w:spacing w:after="0" w:line="240" w:lineRule="auto"/>
              <w:rPr>
                <w:rFonts w:eastAsia="Calibri" w:cs="Times New Roman"/>
                <w:noProof/>
              </w:rPr>
            </w:pPr>
            <w:r w:rsidRPr="00BC4EE7">
              <w:rPr>
                <w:rFonts w:cs="Times New Roman"/>
                <w:noProof/>
              </w:rPr>
              <w:t>Egységes európai égbolt: az odaítélt projekt és a projektek befejezésének előrehaladása</w:t>
            </w:r>
          </w:p>
        </w:tc>
        <w:tc>
          <w:tcPr>
            <w:tcW w:w="1215" w:type="dxa"/>
            <w:shd w:val="clear" w:color="auto" w:fill="C6EFCE"/>
            <w:noWrap/>
          </w:tcPr>
          <w:p w14:paraId="0BE14808"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w:t>
            </w:r>
          </w:p>
        </w:tc>
        <w:tc>
          <w:tcPr>
            <w:tcW w:w="980" w:type="dxa"/>
            <w:shd w:val="clear" w:color="auto" w:fill="C6EFCE"/>
            <w:noWrap/>
          </w:tcPr>
          <w:p w14:paraId="114A3362"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 xml:space="preserve">Szám </w:t>
            </w:r>
          </w:p>
        </w:tc>
        <w:tc>
          <w:tcPr>
            <w:tcW w:w="953" w:type="dxa"/>
            <w:shd w:val="clear" w:color="auto" w:fill="C6EFCE"/>
            <w:noWrap/>
          </w:tcPr>
          <w:p w14:paraId="69777341" w14:textId="77777777" w:rsidR="00D65CB4" w:rsidRPr="00BC4EE7" w:rsidRDefault="00572307">
            <w:pPr>
              <w:pStyle w:val="P68B1DB1-Normal12"/>
              <w:spacing w:after="0" w:line="240" w:lineRule="auto"/>
              <w:jc w:val="right"/>
              <w:rPr>
                <w:rFonts w:eastAsia="Calibri" w:cs="Times New Roman"/>
                <w:noProof/>
              </w:rPr>
            </w:pPr>
            <w:r w:rsidRPr="00BC4EE7">
              <w:rPr>
                <w:rFonts w:cs="Times New Roman"/>
                <w:noProof/>
              </w:rPr>
              <w:t>0</w:t>
            </w:r>
          </w:p>
        </w:tc>
        <w:tc>
          <w:tcPr>
            <w:tcW w:w="546" w:type="dxa"/>
            <w:shd w:val="clear" w:color="auto" w:fill="C6EFCE"/>
            <w:noWrap/>
          </w:tcPr>
          <w:p w14:paraId="41150DF2" w14:textId="77777777" w:rsidR="00D65CB4" w:rsidRPr="00BC4EE7" w:rsidRDefault="00572307">
            <w:pPr>
              <w:pStyle w:val="P68B1DB1-Normal12"/>
              <w:spacing w:after="0" w:line="240" w:lineRule="auto"/>
              <w:jc w:val="right"/>
              <w:rPr>
                <w:rFonts w:eastAsia="Calibri" w:cs="Times New Roman"/>
                <w:noProof/>
              </w:rPr>
            </w:pPr>
            <w:r w:rsidRPr="00BC4EE7">
              <w:rPr>
                <w:rFonts w:cs="Times New Roman"/>
                <w:noProof/>
              </w:rPr>
              <w:t>15</w:t>
            </w:r>
          </w:p>
        </w:tc>
        <w:tc>
          <w:tcPr>
            <w:tcW w:w="410" w:type="dxa"/>
            <w:shd w:val="clear" w:color="auto" w:fill="C6EFCE"/>
            <w:noWrap/>
          </w:tcPr>
          <w:p w14:paraId="41A11207"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Q4</w:t>
            </w:r>
          </w:p>
        </w:tc>
        <w:tc>
          <w:tcPr>
            <w:tcW w:w="546" w:type="dxa"/>
            <w:shd w:val="clear" w:color="auto" w:fill="C6EFCE"/>
            <w:noWrap/>
          </w:tcPr>
          <w:p w14:paraId="3A98CC6F"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2024</w:t>
            </w:r>
          </w:p>
        </w:tc>
        <w:tc>
          <w:tcPr>
            <w:tcW w:w="5810" w:type="dxa"/>
            <w:shd w:val="clear" w:color="auto" w:fill="C6EFCE"/>
            <w:noWrap/>
          </w:tcPr>
          <w:p w14:paraId="7E26515C" w14:textId="77777777" w:rsidR="00D65CB4" w:rsidRPr="00BC4EE7" w:rsidRDefault="00572307">
            <w:pPr>
              <w:spacing w:after="0" w:line="240" w:lineRule="auto"/>
              <w:rPr>
                <w:rFonts w:ascii="Times New Roman" w:eastAsia="Calibri" w:hAnsi="Times New Roman" w:cs="Times New Roman"/>
                <w:noProof/>
                <w:sz w:val="18"/>
              </w:rPr>
            </w:pPr>
            <w:r w:rsidRPr="00BC4EE7">
              <w:rPr>
                <w:rFonts w:ascii="Times New Roman" w:hAnsi="Times New Roman" w:cs="Times New Roman"/>
                <w:noProof/>
                <w:sz w:val="18"/>
              </w:rPr>
              <w:t>Összesen legalább 15 befejezett projekt (végső cél: 20 projekt) az egységes európai égbolt fejlesztéséhez a digitalizáció és a biztonság területén az alábbi kiválasztási kritériumok közül: Összesen legalább 15 befejezett projekt (végső cél: 20 projekt) az egységes európai égbolt fejlesztéséhez a digitalizáció és a biztonság területén az alábbi kiválasztási kritériumok közül:</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Közvetlen beruházások az ENAIRE (léginavigáció-kezelő Spanyolországban) révén az egységes európai égbolt fejlesztésére, a légiforgalmi irányító és légtérellenőrző rendszerek korszerűsítéséhez, az információs rendszerek digitális átalakításához és a kommunikációs rendszerek fejlesztéséhez kapcsolódóan.</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A repülések üzemeltetéséhez a felhasználók rendelkezésére álló légiforgalmi dokumentáció (adatok és feltérképezés) digitalizálása</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A Föld/légi lefedettség kiterjesztése és a hang digitalizálása a pilóta-ellenőr kommunikációban. Az alacsony szintű lefedettség javítása bizonyos légtérterületeken a földi kommunikációs infrastruktúra korszerűsítése révén</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A légiforgalmi irányító központok hangkommunikációs rendszerének fejlesztése digitalizáció és fejlett technológia révén, jobb minőséget, fokozott biztonságot, az információk rendelkezésre állását és a vészhelyzeti kapacitás növelését biztosítva</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Az elsődleges radarhálózat technológiai korszerűsítése, a teljesítmény javítása és a rendszerek irányítása az elsődleges radarok teljes digitalizálása felé, az összes rendelkezésre álló technológiai fejlődés felhasználásával a működési hatékonyság növelése érdekében</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Az S modulhoz képest másodlagos radarrendszerek fejlődése, amelyek információt szolgáltatnak a légiforgalmi irányítórendszer számára</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A különböző ENAIRE rendszerek hardverberendezéseinek cseréje</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Különböző irányítási és működési alkalmazások kifejlesztése az ENAIRE irányítása céljából</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A hajózási rendszerek technológiai korszerűsítése, előtérbe helyezve azok teljes digitalizálását, valamint a rendszerellenőrzési és távellenőrzési megoldások megvalósítását</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Infrastruktúra létrehozása az új légiforgalmi irányítási rendszerek megvalósítása érdekében. Alapvető fontosságú az új működési koncepciók spanyolországi végrehajtásának biztosításához. Emellett magában foglalja a létesítmények korszerűsítését a meghibásodásokkal szembeni ellenálló képesség biztosítása érdekében.</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A műszaki üzemeltetés irányításának digitalizálása és automatizálása a távoli rendszerek nyomon követésére szolgáló eszközök integrált fejlesztése érdekében</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A légiforgalmi irányítási rendszer korszerűsítése a szabályozási kritériumoknak való megfelelés érdekében, amely magában foglalja az egységes európai égboltból eredő kapacitás-, biztonsági, kiberbiztonsági és digitalizációs koncepciók javítását</w:t>
            </w:r>
          </w:p>
        </w:tc>
      </w:tr>
      <w:tr w:rsidR="00D65CB4" w:rsidRPr="00BC4EE7" w14:paraId="28651AEB" w14:textId="77777777" w:rsidTr="00481CF8">
        <w:trPr>
          <w:trHeight w:val="309"/>
        </w:trPr>
        <w:tc>
          <w:tcPr>
            <w:tcW w:w="822" w:type="dxa"/>
            <w:shd w:val="clear" w:color="auto" w:fill="C6EFCE"/>
            <w:noWrap/>
          </w:tcPr>
          <w:p w14:paraId="7E57E621"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91</w:t>
            </w:r>
          </w:p>
        </w:tc>
        <w:tc>
          <w:tcPr>
            <w:tcW w:w="880" w:type="dxa"/>
            <w:shd w:val="clear" w:color="auto" w:fill="C6EFCE"/>
            <w:noWrap/>
          </w:tcPr>
          <w:p w14:paraId="31A8D38A"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C6.I2</w:t>
            </w:r>
          </w:p>
        </w:tc>
        <w:tc>
          <w:tcPr>
            <w:tcW w:w="992" w:type="dxa"/>
            <w:shd w:val="clear" w:color="auto" w:fill="C6EFCE"/>
            <w:noWrap/>
          </w:tcPr>
          <w:p w14:paraId="7FE72E92"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M</w:t>
            </w:r>
          </w:p>
        </w:tc>
        <w:tc>
          <w:tcPr>
            <w:tcW w:w="1134" w:type="dxa"/>
            <w:shd w:val="clear" w:color="auto" w:fill="C6EFCE"/>
            <w:noWrap/>
          </w:tcPr>
          <w:p w14:paraId="6DE5166A" w14:textId="77777777" w:rsidR="00D65CB4" w:rsidRPr="00BC4EE7" w:rsidRDefault="00572307">
            <w:pPr>
              <w:pStyle w:val="P68B1DB1-Normal12"/>
              <w:spacing w:after="0" w:line="240" w:lineRule="auto"/>
              <w:rPr>
                <w:rFonts w:eastAsia="Calibri" w:cs="Times New Roman"/>
                <w:noProof/>
              </w:rPr>
            </w:pPr>
            <w:r w:rsidRPr="00BC4EE7">
              <w:rPr>
                <w:rFonts w:cs="Times New Roman"/>
                <w:noProof/>
              </w:rPr>
              <w:t>A Közlekedési, Mobilitásügyi és Városfejlesztési Minisztérium digitalizációja</w:t>
            </w:r>
          </w:p>
        </w:tc>
        <w:tc>
          <w:tcPr>
            <w:tcW w:w="1215" w:type="dxa"/>
            <w:shd w:val="clear" w:color="auto" w:fill="C6EFCE"/>
            <w:noWrap/>
          </w:tcPr>
          <w:p w14:paraId="7A8F370F"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Hivatalos értesítés a munka befejezéséről</w:t>
            </w:r>
          </w:p>
        </w:tc>
        <w:tc>
          <w:tcPr>
            <w:tcW w:w="980" w:type="dxa"/>
            <w:shd w:val="clear" w:color="auto" w:fill="C6EFCE"/>
            <w:noWrap/>
          </w:tcPr>
          <w:p w14:paraId="26105B5D"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 xml:space="preserve"> </w:t>
            </w:r>
          </w:p>
        </w:tc>
        <w:tc>
          <w:tcPr>
            <w:tcW w:w="953" w:type="dxa"/>
            <w:shd w:val="clear" w:color="auto" w:fill="C6EFCE"/>
            <w:noWrap/>
          </w:tcPr>
          <w:p w14:paraId="15B3EB6E" w14:textId="77777777" w:rsidR="00D65CB4" w:rsidRPr="00BC4EE7" w:rsidRDefault="00572307">
            <w:pPr>
              <w:pStyle w:val="P68B1DB1-Normal12"/>
              <w:spacing w:after="0" w:line="240" w:lineRule="auto"/>
              <w:jc w:val="right"/>
              <w:rPr>
                <w:rFonts w:eastAsia="Calibri" w:cs="Times New Roman"/>
                <w:noProof/>
              </w:rPr>
            </w:pPr>
            <w:r w:rsidRPr="00BC4EE7">
              <w:rPr>
                <w:rFonts w:cs="Times New Roman"/>
                <w:noProof/>
              </w:rPr>
              <w:t xml:space="preserve"> </w:t>
            </w:r>
          </w:p>
        </w:tc>
        <w:tc>
          <w:tcPr>
            <w:tcW w:w="546" w:type="dxa"/>
            <w:shd w:val="clear" w:color="auto" w:fill="C6EFCE"/>
            <w:noWrap/>
          </w:tcPr>
          <w:p w14:paraId="42CAE146" w14:textId="77777777" w:rsidR="00D65CB4" w:rsidRPr="00BC4EE7" w:rsidRDefault="00572307">
            <w:pPr>
              <w:pStyle w:val="P68B1DB1-Normal12"/>
              <w:spacing w:after="0" w:line="240" w:lineRule="auto"/>
              <w:jc w:val="right"/>
              <w:rPr>
                <w:rFonts w:eastAsia="Calibri" w:cs="Times New Roman"/>
                <w:noProof/>
              </w:rPr>
            </w:pPr>
            <w:r w:rsidRPr="00BC4EE7">
              <w:rPr>
                <w:rFonts w:cs="Times New Roman"/>
                <w:noProof/>
              </w:rPr>
              <w:t xml:space="preserve"> </w:t>
            </w:r>
          </w:p>
        </w:tc>
        <w:tc>
          <w:tcPr>
            <w:tcW w:w="410" w:type="dxa"/>
            <w:shd w:val="clear" w:color="auto" w:fill="C6EFCE"/>
            <w:noWrap/>
          </w:tcPr>
          <w:p w14:paraId="6B987D97"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Q4</w:t>
            </w:r>
          </w:p>
        </w:tc>
        <w:tc>
          <w:tcPr>
            <w:tcW w:w="546" w:type="dxa"/>
            <w:shd w:val="clear" w:color="auto" w:fill="C6EFCE"/>
            <w:noWrap/>
          </w:tcPr>
          <w:p w14:paraId="378F7546"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2024</w:t>
            </w:r>
          </w:p>
        </w:tc>
        <w:tc>
          <w:tcPr>
            <w:tcW w:w="5810" w:type="dxa"/>
            <w:shd w:val="clear" w:color="auto" w:fill="C6EFCE"/>
            <w:noWrap/>
          </w:tcPr>
          <w:p w14:paraId="13ACFA3D" w14:textId="77777777" w:rsidR="00D65CB4" w:rsidRPr="00BC4EE7" w:rsidRDefault="00572307">
            <w:pPr>
              <w:spacing w:after="0" w:line="240" w:lineRule="auto"/>
              <w:rPr>
                <w:rFonts w:ascii="Times New Roman" w:eastAsia="Calibri" w:hAnsi="Times New Roman" w:cs="Times New Roman"/>
                <w:noProof/>
                <w:sz w:val="18"/>
              </w:rPr>
            </w:pPr>
            <w:r w:rsidRPr="00BC4EE7">
              <w:rPr>
                <w:rFonts w:ascii="Times New Roman" w:hAnsi="Times New Roman" w:cs="Times New Roman"/>
                <w:noProof/>
                <w:sz w:val="18"/>
              </w:rPr>
              <w:t>A következő projektek lezárása:</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Információmodellezés (BIM) kiépítése, amely együttműködési platformot indít a digitális információk és modellek kezelésére.</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A mobilitás mint szolgáltatás fellendítése, nyílt adatok biztosítása, valamint új technológiák alkalmazása a mobilitás elemzéséhez és optimalizálásához.</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 Elemzési, nyomonkövetési, felügyeleti, igényellenőrzési, szolgáltatási rendszer bevezetése, új technológiák bevezetése és alkalmazása a szárazföldi közlekedésben. </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A Közutak Főigazgatóságának digitalizálási terve.</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Új szolgáltatások kifejlesztése és jobb irányítás többek között a légi, tengeri és földrajzi információk területén.</w:t>
            </w:r>
          </w:p>
        </w:tc>
      </w:tr>
      <w:tr w:rsidR="00D65CB4" w:rsidRPr="00BC4EE7" w14:paraId="78FBFD04" w14:textId="77777777" w:rsidTr="00481CF8">
        <w:trPr>
          <w:trHeight w:val="309"/>
        </w:trPr>
        <w:tc>
          <w:tcPr>
            <w:tcW w:w="822" w:type="dxa"/>
            <w:shd w:val="clear" w:color="auto" w:fill="C6EFCE"/>
            <w:noWrap/>
          </w:tcPr>
          <w:p w14:paraId="54E323BA"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92</w:t>
            </w:r>
          </w:p>
        </w:tc>
        <w:tc>
          <w:tcPr>
            <w:tcW w:w="880" w:type="dxa"/>
            <w:shd w:val="clear" w:color="auto" w:fill="C6EFCE"/>
            <w:noWrap/>
          </w:tcPr>
          <w:p w14:paraId="28DF5B12"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C6.I2</w:t>
            </w:r>
          </w:p>
        </w:tc>
        <w:tc>
          <w:tcPr>
            <w:tcW w:w="992" w:type="dxa"/>
            <w:shd w:val="clear" w:color="auto" w:fill="C6EFCE"/>
            <w:noWrap/>
          </w:tcPr>
          <w:p w14:paraId="1BE4F848"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T</w:t>
            </w:r>
          </w:p>
        </w:tc>
        <w:tc>
          <w:tcPr>
            <w:tcW w:w="1134" w:type="dxa"/>
            <w:shd w:val="clear" w:color="auto" w:fill="C6EFCE"/>
            <w:noWrap/>
          </w:tcPr>
          <w:p w14:paraId="1AA5D08D" w14:textId="77777777" w:rsidR="00D65CB4" w:rsidRPr="00BC4EE7" w:rsidRDefault="00572307">
            <w:pPr>
              <w:pStyle w:val="P68B1DB1-Normal12"/>
              <w:spacing w:after="0" w:line="240" w:lineRule="auto"/>
              <w:rPr>
                <w:rFonts w:eastAsia="Calibri" w:cs="Times New Roman"/>
                <w:noProof/>
              </w:rPr>
            </w:pPr>
            <w:r w:rsidRPr="00BC4EE7">
              <w:rPr>
                <w:rFonts w:cs="Times New Roman"/>
                <w:noProof/>
              </w:rPr>
              <w:t xml:space="preserve">Új vagy korszerűsített TEN-T hálózat, egyéb munkák </w:t>
            </w:r>
          </w:p>
        </w:tc>
        <w:tc>
          <w:tcPr>
            <w:tcW w:w="1215" w:type="dxa"/>
            <w:shd w:val="clear" w:color="auto" w:fill="C6EFCE"/>
            <w:noWrap/>
          </w:tcPr>
          <w:p w14:paraId="09FA2A7E"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w:t>
            </w:r>
          </w:p>
        </w:tc>
        <w:tc>
          <w:tcPr>
            <w:tcW w:w="980" w:type="dxa"/>
            <w:shd w:val="clear" w:color="auto" w:fill="C6EFCE"/>
            <w:noWrap/>
          </w:tcPr>
          <w:p w14:paraId="71E02098"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 xml:space="preserve">Szám (km) </w:t>
            </w:r>
          </w:p>
        </w:tc>
        <w:tc>
          <w:tcPr>
            <w:tcW w:w="953" w:type="dxa"/>
            <w:shd w:val="clear" w:color="auto" w:fill="C6EFCE"/>
            <w:noWrap/>
          </w:tcPr>
          <w:p w14:paraId="083C8542" w14:textId="77777777" w:rsidR="00D65CB4" w:rsidRPr="00BC4EE7" w:rsidRDefault="00572307">
            <w:pPr>
              <w:pStyle w:val="P68B1DB1-Normal12"/>
              <w:spacing w:after="0" w:line="240" w:lineRule="auto"/>
              <w:jc w:val="right"/>
              <w:rPr>
                <w:rFonts w:eastAsia="Calibri" w:cs="Times New Roman"/>
                <w:noProof/>
              </w:rPr>
            </w:pPr>
            <w:r w:rsidRPr="00BC4EE7">
              <w:rPr>
                <w:rFonts w:cs="Times New Roman"/>
                <w:noProof/>
              </w:rPr>
              <w:t>347</w:t>
            </w:r>
          </w:p>
        </w:tc>
        <w:tc>
          <w:tcPr>
            <w:tcW w:w="546" w:type="dxa"/>
            <w:shd w:val="clear" w:color="auto" w:fill="C6EFCE"/>
            <w:noWrap/>
          </w:tcPr>
          <w:p w14:paraId="686A1351" w14:textId="77777777" w:rsidR="00D65CB4" w:rsidRPr="00BC4EE7" w:rsidRDefault="00572307">
            <w:pPr>
              <w:pStyle w:val="P68B1DB1-Normal12"/>
              <w:spacing w:after="0" w:line="240" w:lineRule="auto"/>
              <w:jc w:val="right"/>
              <w:rPr>
                <w:rFonts w:eastAsia="Calibri" w:cs="Times New Roman"/>
                <w:noProof/>
              </w:rPr>
            </w:pPr>
            <w:r w:rsidRPr="00BC4EE7">
              <w:rPr>
                <w:rFonts w:cs="Times New Roman"/>
                <w:noProof/>
              </w:rPr>
              <w:t>900</w:t>
            </w:r>
          </w:p>
        </w:tc>
        <w:tc>
          <w:tcPr>
            <w:tcW w:w="410" w:type="dxa"/>
            <w:shd w:val="clear" w:color="auto" w:fill="C6EFCE"/>
            <w:noWrap/>
          </w:tcPr>
          <w:p w14:paraId="5AF26E6F"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Q2</w:t>
            </w:r>
          </w:p>
        </w:tc>
        <w:tc>
          <w:tcPr>
            <w:tcW w:w="546" w:type="dxa"/>
            <w:shd w:val="clear" w:color="auto" w:fill="C6EFCE"/>
            <w:noWrap/>
          </w:tcPr>
          <w:p w14:paraId="7B84253B"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2026</w:t>
            </w:r>
          </w:p>
        </w:tc>
        <w:tc>
          <w:tcPr>
            <w:tcW w:w="5810" w:type="dxa"/>
            <w:shd w:val="clear" w:color="auto" w:fill="C6EFCE"/>
            <w:noWrap/>
          </w:tcPr>
          <w:p w14:paraId="136DBF99" w14:textId="501113D2" w:rsidR="00D65CB4" w:rsidRPr="00BC4EE7" w:rsidRDefault="00572307">
            <w:pPr>
              <w:pStyle w:val="P68B1DB1-Normal12"/>
              <w:spacing w:after="0" w:line="240" w:lineRule="auto"/>
              <w:rPr>
                <w:rFonts w:eastAsia="Calibri" w:cs="Times New Roman"/>
                <w:noProof/>
              </w:rPr>
            </w:pPr>
            <w:r w:rsidRPr="00BC4EE7">
              <w:rPr>
                <w:rFonts w:cs="Times New Roman"/>
                <w:noProof/>
              </w:rPr>
              <w:t>Legalább 900 kilométernyi munkálatok elvégzése azzal a céllal, hogy a vasúti hálózat átjárhatóbbá váljon, főként a TEN-T és a munkálatok tekintetében. A munkálatoknak összhangban kell lenniük a 88. cél a) pontjában meghatározott beavatkozástípusokkal. (alapforgatókönyv: 2024. december 31.).</w:t>
            </w:r>
          </w:p>
        </w:tc>
      </w:tr>
      <w:tr w:rsidR="00D65CB4" w:rsidRPr="00BC4EE7" w14:paraId="26C7BB39" w14:textId="77777777" w:rsidTr="00481CF8">
        <w:trPr>
          <w:trHeight w:val="309"/>
        </w:trPr>
        <w:tc>
          <w:tcPr>
            <w:tcW w:w="822" w:type="dxa"/>
            <w:shd w:val="clear" w:color="auto" w:fill="C6EFCE"/>
            <w:noWrap/>
          </w:tcPr>
          <w:p w14:paraId="52205903"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93</w:t>
            </w:r>
          </w:p>
        </w:tc>
        <w:tc>
          <w:tcPr>
            <w:tcW w:w="880" w:type="dxa"/>
            <w:shd w:val="clear" w:color="auto" w:fill="C6EFCE"/>
            <w:noWrap/>
          </w:tcPr>
          <w:p w14:paraId="4307AF87"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C6.I2</w:t>
            </w:r>
          </w:p>
        </w:tc>
        <w:tc>
          <w:tcPr>
            <w:tcW w:w="992" w:type="dxa"/>
            <w:shd w:val="clear" w:color="auto" w:fill="C6EFCE"/>
            <w:noWrap/>
          </w:tcPr>
          <w:p w14:paraId="40406B83"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T</w:t>
            </w:r>
          </w:p>
        </w:tc>
        <w:tc>
          <w:tcPr>
            <w:tcW w:w="1134" w:type="dxa"/>
            <w:shd w:val="clear" w:color="auto" w:fill="C6EFCE"/>
            <w:noWrap/>
          </w:tcPr>
          <w:p w14:paraId="45C2620C" w14:textId="77777777" w:rsidR="00D65CB4" w:rsidRPr="00BC4EE7" w:rsidRDefault="00572307">
            <w:pPr>
              <w:pStyle w:val="P68B1DB1-Normal12"/>
              <w:spacing w:after="0" w:line="240" w:lineRule="auto"/>
              <w:rPr>
                <w:rFonts w:eastAsia="Calibri" w:cs="Times New Roman"/>
                <w:noProof/>
              </w:rPr>
            </w:pPr>
            <w:r w:rsidRPr="00BC4EE7">
              <w:rPr>
                <w:rFonts w:cs="Times New Roman"/>
                <w:noProof/>
              </w:rPr>
              <w:t>Egységes európai égbolt: a projekt lezárása</w:t>
            </w:r>
          </w:p>
        </w:tc>
        <w:tc>
          <w:tcPr>
            <w:tcW w:w="1215" w:type="dxa"/>
            <w:shd w:val="clear" w:color="auto" w:fill="C6EFCE"/>
            <w:noWrap/>
          </w:tcPr>
          <w:p w14:paraId="237AFA41"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w:t>
            </w:r>
          </w:p>
        </w:tc>
        <w:tc>
          <w:tcPr>
            <w:tcW w:w="980" w:type="dxa"/>
            <w:shd w:val="clear" w:color="auto" w:fill="C6EFCE"/>
            <w:noWrap/>
          </w:tcPr>
          <w:p w14:paraId="1CB940D8" w14:textId="77777777" w:rsidR="00D65CB4" w:rsidRPr="00BC4EE7" w:rsidRDefault="00572307">
            <w:pPr>
              <w:pStyle w:val="P68B1DB1-Normal12"/>
              <w:spacing w:after="0" w:line="240" w:lineRule="auto"/>
              <w:jc w:val="right"/>
              <w:rPr>
                <w:rFonts w:eastAsia="Calibri" w:cs="Times New Roman"/>
                <w:noProof/>
              </w:rPr>
            </w:pPr>
            <w:r w:rsidRPr="00BC4EE7">
              <w:rPr>
                <w:rFonts w:cs="Times New Roman"/>
                <w:noProof/>
              </w:rPr>
              <w:t>Szám</w:t>
            </w:r>
          </w:p>
        </w:tc>
        <w:tc>
          <w:tcPr>
            <w:tcW w:w="953" w:type="dxa"/>
            <w:shd w:val="clear" w:color="auto" w:fill="C6EFCE"/>
            <w:noWrap/>
          </w:tcPr>
          <w:p w14:paraId="46BB2669" w14:textId="77777777" w:rsidR="00D65CB4" w:rsidRPr="00BC4EE7" w:rsidRDefault="00572307">
            <w:pPr>
              <w:pStyle w:val="P68B1DB1-Normal12"/>
              <w:spacing w:after="0" w:line="240" w:lineRule="auto"/>
              <w:jc w:val="right"/>
              <w:rPr>
                <w:rFonts w:eastAsia="Calibri" w:cs="Times New Roman"/>
                <w:noProof/>
              </w:rPr>
            </w:pPr>
            <w:r w:rsidRPr="00BC4EE7">
              <w:rPr>
                <w:rFonts w:cs="Times New Roman"/>
                <w:noProof/>
              </w:rPr>
              <w:t>15</w:t>
            </w:r>
          </w:p>
        </w:tc>
        <w:tc>
          <w:tcPr>
            <w:tcW w:w="546" w:type="dxa"/>
            <w:shd w:val="clear" w:color="auto" w:fill="C6EFCE"/>
            <w:noWrap/>
          </w:tcPr>
          <w:p w14:paraId="74BC2F5A" w14:textId="77777777" w:rsidR="00D65CB4" w:rsidRPr="00BC4EE7" w:rsidRDefault="00572307">
            <w:pPr>
              <w:pStyle w:val="P68B1DB1-Normal12"/>
              <w:spacing w:after="0" w:line="240" w:lineRule="auto"/>
              <w:jc w:val="right"/>
              <w:rPr>
                <w:rFonts w:eastAsia="Calibri" w:cs="Times New Roman"/>
                <w:noProof/>
              </w:rPr>
            </w:pPr>
            <w:r w:rsidRPr="00BC4EE7">
              <w:rPr>
                <w:rFonts w:cs="Times New Roman"/>
                <w:noProof/>
              </w:rPr>
              <w:t>20</w:t>
            </w:r>
          </w:p>
        </w:tc>
        <w:tc>
          <w:tcPr>
            <w:tcW w:w="410" w:type="dxa"/>
            <w:shd w:val="clear" w:color="auto" w:fill="C6EFCE"/>
            <w:noWrap/>
          </w:tcPr>
          <w:p w14:paraId="1D92D728"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Q2</w:t>
            </w:r>
          </w:p>
        </w:tc>
        <w:tc>
          <w:tcPr>
            <w:tcW w:w="546" w:type="dxa"/>
            <w:shd w:val="clear" w:color="auto" w:fill="C6EFCE"/>
            <w:noWrap/>
          </w:tcPr>
          <w:p w14:paraId="7E23C7FD"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2026</w:t>
            </w:r>
          </w:p>
        </w:tc>
        <w:tc>
          <w:tcPr>
            <w:tcW w:w="5810" w:type="dxa"/>
            <w:shd w:val="clear" w:color="auto" w:fill="C6EFCE"/>
            <w:noWrap/>
          </w:tcPr>
          <w:p w14:paraId="315DD83C" w14:textId="77777777" w:rsidR="00D65CB4" w:rsidRPr="00BC4EE7" w:rsidRDefault="00572307">
            <w:pPr>
              <w:pStyle w:val="P68B1DB1-Normal12"/>
              <w:spacing w:after="0" w:line="240" w:lineRule="auto"/>
              <w:rPr>
                <w:rFonts w:eastAsia="Calibri" w:cs="Times New Roman"/>
                <w:noProof/>
              </w:rPr>
            </w:pPr>
            <w:r w:rsidRPr="00BC4EE7">
              <w:rPr>
                <w:rFonts w:cs="Times New Roman"/>
                <w:noProof/>
              </w:rPr>
              <w:t>Legalább 20, az egységes európai égbolt fejlesztésére irányuló digitalizáció és biztonság terén befejezett projekt, amelyeket a projekt-odaítélési (90. mérföldkő) kiválasztási kritériumoknak megfelelően választottak ki.(alapforgatókönyv: 2024. december 31.).</w:t>
            </w:r>
          </w:p>
        </w:tc>
      </w:tr>
      <w:tr w:rsidR="00D65CB4" w:rsidRPr="00BC4EE7" w14:paraId="7AE80DCA" w14:textId="77777777" w:rsidTr="00481CF8">
        <w:trPr>
          <w:trHeight w:val="309"/>
        </w:trPr>
        <w:tc>
          <w:tcPr>
            <w:tcW w:w="822" w:type="dxa"/>
            <w:shd w:val="clear" w:color="auto" w:fill="C6EFCE"/>
            <w:noWrap/>
          </w:tcPr>
          <w:p w14:paraId="662CABB4"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94</w:t>
            </w:r>
          </w:p>
        </w:tc>
        <w:tc>
          <w:tcPr>
            <w:tcW w:w="880" w:type="dxa"/>
            <w:shd w:val="clear" w:color="auto" w:fill="C6EFCE"/>
            <w:noWrap/>
          </w:tcPr>
          <w:p w14:paraId="606FE42A"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C6.I2</w:t>
            </w:r>
          </w:p>
        </w:tc>
        <w:tc>
          <w:tcPr>
            <w:tcW w:w="992" w:type="dxa"/>
            <w:shd w:val="clear" w:color="auto" w:fill="C6EFCE"/>
            <w:noWrap/>
          </w:tcPr>
          <w:p w14:paraId="1F965BD1"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M</w:t>
            </w:r>
          </w:p>
        </w:tc>
        <w:tc>
          <w:tcPr>
            <w:tcW w:w="1134" w:type="dxa"/>
            <w:shd w:val="clear" w:color="auto" w:fill="C6EFCE"/>
            <w:noWrap/>
          </w:tcPr>
          <w:p w14:paraId="76D8F0EF" w14:textId="77777777" w:rsidR="00D65CB4" w:rsidRPr="00BC4EE7" w:rsidRDefault="00572307">
            <w:pPr>
              <w:pStyle w:val="P68B1DB1-Normal12"/>
              <w:spacing w:after="0" w:line="240" w:lineRule="auto"/>
              <w:rPr>
                <w:rFonts w:eastAsia="Calibri" w:cs="Times New Roman"/>
                <w:noProof/>
              </w:rPr>
            </w:pPr>
            <w:r w:rsidRPr="00BC4EE7">
              <w:rPr>
                <w:rFonts w:cs="Times New Roman"/>
                <w:noProof/>
              </w:rPr>
              <w:t xml:space="preserve">A jelenlegi szabályozáshoz igazított államút-hálózat </w:t>
            </w:r>
          </w:p>
        </w:tc>
        <w:tc>
          <w:tcPr>
            <w:tcW w:w="1215" w:type="dxa"/>
            <w:shd w:val="clear" w:color="auto" w:fill="C6EFCE"/>
            <w:noWrap/>
          </w:tcPr>
          <w:p w14:paraId="5ED31B6D"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A projekt lezárása</w:t>
            </w:r>
          </w:p>
        </w:tc>
        <w:tc>
          <w:tcPr>
            <w:tcW w:w="980" w:type="dxa"/>
            <w:shd w:val="clear" w:color="auto" w:fill="C6EFCE"/>
            <w:noWrap/>
          </w:tcPr>
          <w:p w14:paraId="1AF05E09" w14:textId="77777777" w:rsidR="00D65CB4" w:rsidRPr="00BC4EE7" w:rsidRDefault="00572307">
            <w:pPr>
              <w:pStyle w:val="P68B1DB1-Normal12"/>
              <w:spacing w:after="0" w:line="240" w:lineRule="auto"/>
              <w:jc w:val="right"/>
              <w:rPr>
                <w:rFonts w:eastAsia="Calibri" w:cs="Times New Roman"/>
                <w:noProof/>
              </w:rPr>
            </w:pPr>
            <w:r w:rsidRPr="00BC4EE7">
              <w:rPr>
                <w:rFonts w:cs="Times New Roman"/>
                <w:noProof/>
              </w:rPr>
              <w:t xml:space="preserve"> </w:t>
            </w:r>
          </w:p>
        </w:tc>
        <w:tc>
          <w:tcPr>
            <w:tcW w:w="953" w:type="dxa"/>
            <w:shd w:val="clear" w:color="auto" w:fill="C6EFCE"/>
            <w:noWrap/>
          </w:tcPr>
          <w:p w14:paraId="0C9381D1" w14:textId="77777777" w:rsidR="00D65CB4" w:rsidRPr="00BC4EE7" w:rsidRDefault="00572307">
            <w:pPr>
              <w:pStyle w:val="P68B1DB1-Normal12"/>
              <w:spacing w:after="0" w:line="240" w:lineRule="auto"/>
              <w:jc w:val="right"/>
              <w:rPr>
                <w:rFonts w:eastAsia="Calibri" w:cs="Times New Roman"/>
                <w:noProof/>
              </w:rPr>
            </w:pPr>
            <w:r w:rsidRPr="00BC4EE7">
              <w:rPr>
                <w:rFonts w:cs="Times New Roman"/>
                <w:noProof/>
              </w:rPr>
              <w:t xml:space="preserve"> </w:t>
            </w:r>
          </w:p>
        </w:tc>
        <w:tc>
          <w:tcPr>
            <w:tcW w:w="546" w:type="dxa"/>
            <w:shd w:val="clear" w:color="auto" w:fill="C6EFCE"/>
            <w:noWrap/>
          </w:tcPr>
          <w:p w14:paraId="6BF368CB" w14:textId="77777777" w:rsidR="00D65CB4" w:rsidRPr="00BC4EE7" w:rsidRDefault="00572307">
            <w:pPr>
              <w:pStyle w:val="P68B1DB1-Normal12"/>
              <w:spacing w:after="0" w:line="240" w:lineRule="auto"/>
              <w:jc w:val="right"/>
              <w:rPr>
                <w:rFonts w:eastAsia="Calibri" w:cs="Times New Roman"/>
                <w:noProof/>
              </w:rPr>
            </w:pPr>
            <w:r w:rsidRPr="00BC4EE7">
              <w:rPr>
                <w:rFonts w:cs="Times New Roman"/>
                <w:noProof/>
              </w:rPr>
              <w:t xml:space="preserve"> </w:t>
            </w:r>
          </w:p>
        </w:tc>
        <w:tc>
          <w:tcPr>
            <w:tcW w:w="410" w:type="dxa"/>
            <w:shd w:val="clear" w:color="auto" w:fill="C6EFCE"/>
            <w:noWrap/>
          </w:tcPr>
          <w:p w14:paraId="0BC2A4FB"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Q2</w:t>
            </w:r>
          </w:p>
        </w:tc>
        <w:tc>
          <w:tcPr>
            <w:tcW w:w="546" w:type="dxa"/>
            <w:shd w:val="clear" w:color="auto" w:fill="C6EFCE"/>
            <w:noWrap/>
          </w:tcPr>
          <w:p w14:paraId="2C164734"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2026</w:t>
            </w:r>
          </w:p>
        </w:tc>
        <w:tc>
          <w:tcPr>
            <w:tcW w:w="5810" w:type="dxa"/>
            <w:shd w:val="clear" w:color="auto" w:fill="C6EFCE"/>
            <w:noWrap/>
          </w:tcPr>
          <w:p w14:paraId="55CF59BF" w14:textId="58F3975C" w:rsidR="00D65CB4" w:rsidRPr="00BC4EE7" w:rsidRDefault="00572307">
            <w:pPr>
              <w:pStyle w:val="P68B1DB1-Normal12"/>
              <w:spacing w:after="0" w:line="240" w:lineRule="auto"/>
              <w:rPr>
                <w:rFonts w:eastAsia="Calibri" w:cs="Times New Roman"/>
                <w:noProof/>
              </w:rPr>
            </w:pPr>
            <w:r w:rsidRPr="00BC4EE7">
              <w:rPr>
                <w:rFonts w:cs="Times New Roman"/>
                <w:noProof/>
              </w:rPr>
              <w:t>Az állami közúthálózat munkálatainak befejezése a 88. cél b) pontjában meghatározott beavatkozástípusokkal összhangban. Magában kell foglalnia legalább 80 alagútban végzett munkálatokat, a kerítések és jelzések javítására irányuló munkálatokat a vadon élő állatok és növények sérülése valószínűségének csökkentése érdekében, a legveszélyeztetettebb úthasználók, például a gyalogosok és kerékpárosok (gyalogosok, kerékpársávok) biztonsági feltételeinek javítását célzó intézkedések végrehajtását, a fenntarthatóságot (a levegőminőség javítása, a városi mobilitás új formái, a biológiai sokféleség védelme, az éghajlati kockázatok megelőzése), az energiahatékonyság, a zajcsökkentés, a digitalizáció (a hidak, alagutak, nagy adathalmazok elemzése és a dolgok internetének nyomon követésére szolgáló rendszerek bevezetése); az út digitalizálása a nyomon követés és karbantartás érdekében), az intelligens közlekedési rendszerek megvalósítása a buszsávokban, a Gibraltári-szoroson áthaladó állandó összeköttetés elsődleges előzetes tervezetének aktualizálása.</w:t>
            </w:r>
          </w:p>
        </w:tc>
      </w:tr>
      <w:tr w:rsidR="00D65CB4" w:rsidRPr="00BC4EE7" w14:paraId="72C896A4" w14:textId="77777777" w:rsidTr="00481CF8">
        <w:trPr>
          <w:trHeight w:val="309"/>
        </w:trPr>
        <w:tc>
          <w:tcPr>
            <w:tcW w:w="822" w:type="dxa"/>
            <w:shd w:val="clear" w:color="auto" w:fill="C6EFCE"/>
            <w:noWrap/>
          </w:tcPr>
          <w:p w14:paraId="3A9150B4" w14:textId="533798C6"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95</w:t>
            </w:r>
          </w:p>
        </w:tc>
        <w:tc>
          <w:tcPr>
            <w:tcW w:w="880" w:type="dxa"/>
            <w:shd w:val="clear" w:color="auto" w:fill="C6EFCE"/>
            <w:noWrap/>
          </w:tcPr>
          <w:p w14:paraId="5291B500"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C6.I3</w:t>
            </w:r>
          </w:p>
        </w:tc>
        <w:tc>
          <w:tcPr>
            <w:tcW w:w="992" w:type="dxa"/>
            <w:shd w:val="clear" w:color="auto" w:fill="C6EFCE"/>
            <w:noWrap/>
          </w:tcPr>
          <w:p w14:paraId="7731F430" w14:textId="151A777A"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T</w:t>
            </w:r>
          </w:p>
        </w:tc>
        <w:tc>
          <w:tcPr>
            <w:tcW w:w="1134" w:type="dxa"/>
            <w:shd w:val="clear" w:color="auto" w:fill="C6EFCE"/>
            <w:noWrap/>
          </w:tcPr>
          <w:p w14:paraId="678348CE" w14:textId="777E51AB" w:rsidR="00D65CB4" w:rsidRPr="00BC4EE7" w:rsidRDefault="00572307">
            <w:pPr>
              <w:pStyle w:val="P68B1DB1-Normal12"/>
              <w:spacing w:after="0" w:line="240" w:lineRule="auto"/>
              <w:rPr>
                <w:rFonts w:eastAsia="Calibri" w:cs="Times New Roman"/>
                <w:noProof/>
              </w:rPr>
            </w:pPr>
            <w:r w:rsidRPr="00BC4EE7">
              <w:rPr>
                <w:rFonts w:cs="Times New Roman"/>
                <w:noProof/>
              </w:rPr>
              <w:t>T1: az intermodális és logisztikai infrastruktúrák fejlesztésére odaítélt szerződések vagy egyéb jogi eszközök száma</w:t>
            </w:r>
          </w:p>
        </w:tc>
        <w:tc>
          <w:tcPr>
            <w:tcW w:w="1215" w:type="dxa"/>
            <w:shd w:val="clear" w:color="auto" w:fill="C6EFCE"/>
            <w:noWrap/>
          </w:tcPr>
          <w:p w14:paraId="2F4859FA" w14:textId="3704391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 xml:space="preserve"> –</w:t>
            </w:r>
          </w:p>
        </w:tc>
        <w:tc>
          <w:tcPr>
            <w:tcW w:w="980" w:type="dxa"/>
            <w:shd w:val="clear" w:color="auto" w:fill="C6EFCE"/>
            <w:noWrap/>
          </w:tcPr>
          <w:p w14:paraId="7EE978CC" w14:textId="6E5356F4" w:rsidR="00D65CB4" w:rsidRPr="00BC4EE7" w:rsidRDefault="00572307">
            <w:pPr>
              <w:pStyle w:val="P68B1DB1-Normal12"/>
              <w:spacing w:after="0" w:line="240" w:lineRule="auto"/>
              <w:jc w:val="right"/>
              <w:rPr>
                <w:rFonts w:eastAsia="Calibri" w:cs="Times New Roman"/>
                <w:noProof/>
              </w:rPr>
            </w:pPr>
            <w:r w:rsidRPr="00BC4EE7">
              <w:rPr>
                <w:rFonts w:cs="Times New Roman"/>
                <w:noProof/>
              </w:rPr>
              <w:t xml:space="preserve">Szerződés vagy egyéb jogi eszköz </w:t>
            </w:r>
          </w:p>
        </w:tc>
        <w:tc>
          <w:tcPr>
            <w:tcW w:w="953" w:type="dxa"/>
            <w:shd w:val="clear" w:color="auto" w:fill="C6EFCE"/>
            <w:noWrap/>
          </w:tcPr>
          <w:p w14:paraId="5DD46645" w14:textId="7D046DFA" w:rsidR="00D65CB4" w:rsidRPr="00BC4EE7" w:rsidRDefault="00572307">
            <w:pPr>
              <w:pStyle w:val="P68B1DB1-Normal12"/>
              <w:spacing w:after="0" w:line="240" w:lineRule="auto"/>
              <w:jc w:val="right"/>
              <w:rPr>
                <w:rFonts w:eastAsia="Calibri" w:cs="Times New Roman"/>
                <w:noProof/>
              </w:rPr>
            </w:pPr>
            <w:r w:rsidRPr="00BC4EE7">
              <w:rPr>
                <w:rFonts w:cs="Times New Roman"/>
                <w:noProof/>
              </w:rPr>
              <w:t xml:space="preserve">0 </w:t>
            </w:r>
          </w:p>
        </w:tc>
        <w:tc>
          <w:tcPr>
            <w:tcW w:w="546" w:type="dxa"/>
            <w:shd w:val="clear" w:color="auto" w:fill="C6EFCE"/>
            <w:noWrap/>
          </w:tcPr>
          <w:p w14:paraId="4B9B179D" w14:textId="7AFEC89E" w:rsidR="00D65CB4" w:rsidRPr="00BC4EE7" w:rsidRDefault="00572307">
            <w:pPr>
              <w:pStyle w:val="P68B1DB1-Normal12"/>
              <w:spacing w:after="0" w:line="240" w:lineRule="auto"/>
              <w:jc w:val="right"/>
              <w:rPr>
                <w:rFonts w:eastAsia="Calibri" w:cs="Times New Roman"/>
                <w:noProof/>
              </w:rPr>
            </w:pPr>
            <w:r w:rsidRPr="00BC4EE7">
              <w:rPr>
                <w:rFonts w:cs="Times New Roman"/>
                <w:noProof/>
              </w:rPr>
              <w:t xml:space="preserve">66 </w:t>
            </w:r>
          </w:p>
        </w:tc>
        <w:tc>
          <w:tcPr>
            <w:tcW w:w="410" w:type="dxa"/>
            <w:shd w:val="clear" w:color="auto" w:fill="C6EFCE"/>
            <w:noWrap/>
          </w:tcPr>
          <w:p w14:paraId="03B6F028"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Q4</w:t>
            </w:r>
          </w:p>
        </w:tc>
        <w:tc>
          <w:tcPr>
            <w:tcW w:w="546" w:type="dxa"/>
            <w:shd w:val="clear" w:color="auto" w:fill="C6EFCE"/>
            <w:noWrap/>
          </w:tcPr>
          <w:p w14:paraId="72CB7BC4"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2022</w:t>
            </w:r>
          </w:p>
        </w:tc>
        <w:tc>
          <w:tcPr>
            <w:tcW w:w="5810" w:type="dxa"/>
            <w:shd w:val="clear" w:color="auto" w:fill="C6EFCE"/>
            <w:noWrap/>
          </w:tcPr>
          <w:p w14:paraId="1DE3A4F2" w14:textId="6EF724FB" w:rsidR="00D65CB4" w:rsidRPr="00BC4EE7" w:rsidRDefault="00572307">
            <w:pPr>
              <w:spacing w:after="0" w:line="240" w:lineRule="auto"/>
              <w:rPr>
                <w:rFonts w:ascii="Times New Roman" w:hAnsi="Times New Roman" w:cs="Times New Roman"/>
                <w:noProof/>
                <w:sz w:val="18"/>
              </w:rPr>
            </w:pPr>
            <w:r w:rsidRPr="00BC4EE7">
              <w:rPr>
                <w:rFonts w:ascii="Times New Roman" w:hAnsi="Times New Roman" w:cs="Times New Roman"/>
                <w:noProof/>
                <w:sz w:val="18"/>
              </w:rPr>
              <w:t>Legalább 66 szerződést vagy egyéb jogi eszközt ítéltek oda, beleértve az intermodális és logisztikai infrastruktúrák javítását célzó beavatkozásokat.</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 beavatkozások a következő területek közül egy vagy több területhez tartoznak:</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stratégiai intermodális és logisztikai terminálok fejlesztése és korszerűsítése az alábbi helyszínek közül egy vagy több helyszínen:</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Vicálvaro, Madrid;</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La Llagosta Barcelonában</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San Luis Valenciában</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Júndiz Álavában.</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Can Tunis logisztikai létesítménye (Barcelona)</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Orduña terminál (Bizkaia)</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Logisztikai létesítmény Lezoban (Gipuzkoa)</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Muriedas (Santander)</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Escombreras terminál (Murcia);</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mellékvágányok építése vagy legalább 750 méter hosszúra történő bővítése;</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az A Coruña kikötőhöz és a Castellón kikötőhöz való vasúti hozzáférés javítása;</w:t>
            </w:r>
          </w:p>
          <w:p w14:paraId="3B8DF5D2" w14:textId="77777777" w:rsidR="00D65CB4" w:rsidRPr="00BC4EE7" w:rsidRDefault="00572307">
            <w:pPr>
              <w:pStyle w:val="P68B1DB1-Normal12"/>
              <w:spacing w:after="0" w:line="240" w:lineRule="auto"/>
              <w:rPr>
                <w:rFonts w:cs="Times New Roman"/>
                <w:noProof/>
              </w:rPr>
            </w:pPr>
            <w:r w:rsidRPr="00BC4EE7">
              <w:rPr>
                <w:rFonts w:cs="Times New Roman"/>
                <w:noProof/>
              </w:rPr>
              <w:t>az algecirasi kikötő közúti megközelíthetőségének javítása; és</w:t>
            </w:r>
          </w:p>
          <w:p w14:paraId="5E6C250E" w14:textId="10B64A2A" w:rsidR="00D65CB4" w:rsidRPr="00BC4EE7" w:rsidRDefault="00572307">
            <w:pPr>
              <w:spacing w:after="0" w:line="240" w:lineRule="auto"/>
              <w:rPr>
                <w:rFonts w:ascii="Times New Roman" w:eastAsia="Calibri" w:hAnsi="Times New Roman" w:cs="Times New Roman"/>
                <w:noProof/>
                <w:sz w:val="18"/>
              </w:rPr>
            </w:pPr>
            <w:r w:rsidRPr="00BC4EE7">
              <w:rPr>
                <w:rFonts w:ascii="Times New Roman" w:hAnsi="Times New Roman" w:cs="Times New Roman"/>
                <w:noProof/>
                <w:sz w:val="18"/>
              </w:rPr>
              <w:t>a kikötők jobb megközelíthetősége és fenntarthatósága, beleértve a következőket:</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Hozzáférhetőség: vasúti hozzáférési munkák, beleértve a felújítási és korszerűsítési munkálatokat, valamint a kikötők belső forgalmának új megközelítését és javítását a külső szárazföldi hozzáférést biztosító infrastruktúra átalakítása révén.</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 Fenntarthatóság: beleértve a vízellátási és szennyvízelvezetési rendszerek megfelelőségét; levegőminőség-javítási tervek; hatékonyabb energiahálózatok kiépítése; fotovoltaikus napenergia-berendezések; világítási hálózatok felújítása és LED-technológia telepítése; energiafogyasztás-szabályozó rendszerek; a feldolgozó rendszerek felújítása. </w:t>
            </w:r>
          </w:p>
        </w:tc>
      </w:tr>
      <w:tr w:rsidR="00D65CB4" w:rsidRPr="00BC4EE7" w14:paraId="205345C6" w14:textId="77777777" w:rsidTr="00481CF8">
        <w:trPr>
          <w:trHeight w:val="309"/>
        </w:trPr>
        <w:tc>
          <w:tcPr>
            <w:tcW w:w="822" w:type="dxa"/>
            <w:shd w:val="clear" w:color="auto" w:fill="C6EFCE"/>
            <w:noWrap/>
          </w:tcPr>
          <w:p w14:paraId="5E240B06"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96</w:t>
            </w:r>
          </w:p>
        </w:tc>
        <w:tc>
          <w:tcPr>
            <w:tcW w:w="880" w:type="dxa"/>
            <w:shd w:val="clear" w:color="auto" w:fill="C6EFCE"/>
            <w:noWrap/>
          </w:tcPr>
          <w:p w14:paraId="0423B15F"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C6.I3</w:t>
            </w:r>
          </w:p>
        </w:tc>
        <w:tc>
          <w:tcPr>
            <w:tcW w:w="992" w:type="dxa"/>
            <w:shd w:val="clear" w:color="auto" w:fill="C6EFCE"/>
            <w:noWrap/>
          </w:tcPr>
          <w:p w14:paraId="2A206639" w14:textId="2FBE313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T</w:t>
            </w:r>
          </w:p>
        </w:tc>
        <w:tc>
          <w:tcPr>
            <w:tcW w:w="1134" w:type="dxa"/>
            <w:shd w:val="clear" w:color="auto" w:fill="C6EFCE"/>
            <w:noWrap/>
          </w:tcPr>
          <w:p w14:paraId="3BA36AFE" w14:textId="7DD3611C" w:rsidR="00D65CB4" w:rsidRPr="00BC4EE7" w:rsidRDefault="00572307">
            <w:pPr>
              <w:pStyle w:val="P68B1DB1-Normal12"/>
              <w:spacing w:after="0" w:line="240" w:lineRule="auto"/>
              <w:rPr>
                <w:rFonts w:eastAsia="Calibri" w:cs="Times New Roman"/>
                <w:noProof/>
              </w:rPr>
            </w:pPr>
            <w:r w:rsidRPr="00BC4EE7">
              <w:rPr>
                <w:rFonts w:cs="Times New Roman"/>
                <w:noProof/>
              </w:rPr>
              <w:t xml:space="preserve">T2: Az intermodális és logisztikai infrastruktúrák fejlesztésére odaítélt szerződések vagy egyéb jogi eszközök száma  </w:t>
            </w:r>
          </w:p>
        </w:tc>
        <w:tc>
          <w:tcPr>
            <w:tcW w:w="1215" w:type="dxa"/>
            <w:shd w:val="clear" w:color="auto" w:fill="C6EFCE"/>
            <w:noWrap/>
          </w:tcPr>
          <w:p w14:paraId="21530F9C" w14:textId="332D0C26"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 xml:space="preserve"> –</w:t>
            </w:r>
          </w:p>
        </w:tc>
        <w:tc>
          <w:tcPr>
            <w:tcW w:w="980" w:type="dxa"/>
            <w:shd w:val="clear" w:color="auto" w:fill="C6EFCE"/>
            <w:noWrap/>
          </w:tcPr>
          <w:p w14:paraId="38BC71DC" w14:textId="6256657F" w:rsidR="00D65CB4" w:rsidRPr="00BC4EE7" w:rsidRDefault="00572307">
            <w:pPr>
              <w:pStyle w:val="P68B1DB1-Normal12"/>
              <w:spacing w:after="0" w:line="240" w:lineRule="auto"/>
              <w:jc w:val="right"/>
              <w:rPr>
                <w:rFonts w:eastAsia="Calibri" w:cs="Times New Roman"/>
                <w:noProof/>
              </w:rPr>
            </w:pPr>
            <w:r w:rsidRPr="00BC4EE7">
              <w:rPr>
                <w:rFonts w:cs="Times New Roman"/>
                <w:noProof/>
              </w:rPr>
              <w:t xml:space="preserve">Szerződések vagy egyéb jogi eszközök száma </w:t>
            </w:r>
          </w:p>
        </w:tc>
        <w:tc>
          <w:tcPr>
            <w:tcW w:w="953" w:type="dxa"/>
            <w:shd w:val="clear" w:color="auto" w:fill="C6EFCE"/>
            <w:noWrap/>
          </w:tcPr>
          <w:p w14:paraId="66978A9C" w14:textId="39CFE5CB" w:rsidR="00D65CB4" w:rsidRPr="00BC4EE7" w:rsidRDefault="00572307">
            <w:pPr>
              <w:pStyle w:val="P68B1DB1-Normal12"/>
              <w:spacing w:after="0" w:line="240" w:lineRule="auto"/>
              <w:jc w:val="right"/>
              <w:rPr>
                <w:rFonts w:eastAsia="Calibri" w:cs="Times New Roman"/>
                <w:noProof/>
                <w:highlight w:val="yellow"/>
              </w:rPr>
            </w:pPr>
            <w:r w:rsidRPr="00BC4EE7">
              <w:rPr>
                <w:rFonts w:cs="Times New Roman"/>
                <w:noProof/>
              </w:rPr>
              <w:t xml:space="preserve">66 </w:t>
            </w:r>
          </w:p>
        </w:tc>
        <w:tc>
          <w:tcPr>
            <w:tcW w:w="546" w:type="dxa"/>
            <w:shd w:val="clear" w:color="auto" w:fill="C6EFCE"/>
            <w:noWrap/>
          </w:tcPr>
          <w:p w14:paraId="4CD2E59C" w14:textId="7569975F" w:rsidR="00D65CB4" w:rsidRPr="00BC4EE7" w:rsidRDefault="00572307">
            <w:pPr>
              <w:pStyle w:val="P68B1DB1-Normal12"/>
              <w:spacing w:after="0" w:line="240" w:lineRule="auto"/>
              <w:jc w:val="right"/>
              <w:rPr>
                <w:rFonts w:eastAsia="Calibri" w:cs="Times New Roman"/>
                <w:noProof/>
              </w:rPr>
            </w:pPr>
            <w:r w:rsidRPr="00BC4EE7">
              <w:rPr>
                <w:rFonts w:cs="Times New Roman"/>
                <w:noProof/>
              </w:rPr>
              <w:t xml:space="preserve">105 </w:t>
            </w:r>
          </w:p>
        </w:tc>
        <w:tc>
          <w:tcPr>
            <w:tcW w:w="410" w:type="dxa"/>
            <w:shd w:val="clear" w:color="auto" w:fill="C6EFCE"/>
            <w:noWrap/>
          </w:tcPr>
          <w:p w14:paraId="36174567"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Q4</w:t>
            </w:r>
          </w:p>
        </w:tc>
        <w:tc>
          <w:tcPr>
            <w:tcW w:w="546" w:type="dxa"/>
            <w:shd w:val="clear" w:color="auto" w:fill="C6EFCE"/>
            <w:noWrap/>
          </w:tcPr>
          <w:p w14:paraId="05689B90"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2024</w:t>
            </w:r>
          </w:p>
        </w:tc>
        <w:tc>
          <w:tcPr>
            <w:tcW w:w="5810" w:type="dxa"/>
            <w:shd w:val="clear" w:color="auto" w:fill="C6EFCE"/>
            <w:noWrap/>
          </w:tcPr>
          <w:p w14:paraId="0816BCB3" w14:textId="1CB2D09C" w:rsidR="00D65CB4" w:rsidRPr="00BC4EE7" w:rsidRDefault="00572307">
            <w:pPr>
              <w:pStyle w:val="P68B1DB1-Normal12"/>
              <w:tabs>
                <w:tab w:val="left" w:pos="5071"/>
              </w:tabs>
              <w:spacing w:after="0" w:line="240" w:lineRule="auto"/>
              <w:rPr>
                <w:rFonts w:eastAsia="Calibri" w:cs="Times New Roman"/>
                <w:noProof/>
              </w:rPr>
            </w:pPr>
            <w:r w:rsidRPr="00BC4EE7">
              <w:rPr>
                <w:rFonts w:cs="Times New Roman"/>
                <w:noProof/>
              </w:rPr>
              <w:t xml:space="preserve">Összesen legalább 105 odaítélt szerződés vagy egyéb jogi eszköz, figyelembe véve a 95. cél keretében már értékelt szerződéseket vagy egyéb jogi eszközöket, beleértve az intermodális és logisztikai infrastruktúrák javítását célzó beavatkozásokat, a 95. cél a), b), c), d) vagy e) pontjában meghatározott területekkel összhangban. </w:t>
            </w:r>
          </w:p>
        </w:tc>
      </w:tr>
      <w:tr w:rsidR="00D65CB4" w:rsidRPr="00BC4EE7" w14:paraId="48B359EC" w14:textId="77777777" w:rsidTr="00481CF8">
        <w:trPr>
          <w:trHeight w:val="309"/>
        </w:trPr>
        <w:tc>
          <w:tcPr>
            <w:tcW w:w="822" w:type="dxa"/>
            <w:shd w:val="clear" w:color="auto" w:fill="C6EFCE"/>
            <w:noWrap/>
          </w:tcPr>
          <w:p w14:paraId="5C30BB71"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97</w:t>
            </w:r>
          </w:p>
        </w:tc>
        <w:tc>
          <w:tcPr>
            <w:tcW w:w="880" w:type="dxa"/>
            <w:shd w:val="clear" w:color="auto" w:fill="C6EFCE"/>
            <w:noWrap/>
          </w:tcPr>
          <w:p w14:paraId="7C3AC971"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C6.I3</w:t>
            </w:r>
          </w:p>
        </w:tc>
        <w:tc>
          <w:tcPr>
            <w:tcW w:w="992" w:type="dxa"/>
            <w:shd w:val="clear" w:color="auto" w:fill="C6EFCE"/>
            <w:noWrap/>
          </w:tcPr>
          <w:p w14:paraId="495C5B68"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T</w:t>
            </w:r>
          </w:p>
        </w:tc>
        <w:tc>
          <w:tcPr>
            <w:tcW w:w="1134" w:type="dxa"/>
            <w:shd w:val="clear" w:color="auto" w:fill="C6EFCE"/>
            <w:noWrap/>
          </w:tcPr>
          <w:p w14:paraId="7FE03AC2" w14:textId="12F9C126" w:rsidR="00D65CB4" w:rsidRPr="00BC4EE7" w:rsidRDefault="00572307">
            <w:pPr>
              <w:pStyle w:val="P68B1DB1-Normal12"/>
              <w:spacing w:after="0" w:line="240" w:lineRule="auto"/>
              <w:rPr>
                <w:rFonts w:eastAsia="Calibri" w:cs="Times New Roman"/>
                <w:noProof/>
              </w:rPr>
            </w:pPr>
            <w:r w:rsidRPr="00BC4EE7">
              <w:rPr>
                <w:rFonts w:cs="Times New Roman"/>
                <w:noProof/>
              </w:rPr>
              <w:t xml:space="preserve">Intermodális és logisztikai terminálokkal, kikötőkkel és 750 méteres mellékvágányokkal kapcsolatos projektek lezárása </w:t>
            </w:r>
          </w:p>
        </w:tc>
        <w:tc>
          <w:tcPr>
            <w:tcW w:w="1215" w:type="dxa"/>
            <w:shd w:val="clear" w:color="auto" w:fill="C6EFCE"/>
            <w:noWrap/>
          </w:tcPr>
          <w:p w14:paraId="3AD8BB85"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w:t>
            </w:r>
          </w:p>
        </w:tc>
        <w:tc>
          <w:tcPr>
            <w:tcW w:w="980" w:type="dxa"/>
            <w:shd w:val="clear" w:color="auto" w:fill="C6EFCE"/>
            <w:noWrap/>
          </w:tcPr>
          <w:p w14:paraId="3B29AAD3" w14:textId="77777777" w:rsidR="00D65CB4" w:rsidRPr="00BC4EE7" w:rsidRDefault="00572307">
            <w:pPr>
              <w:pStyle w:val="P68B1DB1-Normal12"/>
              <w:spacing w:after="0" w:line="240" w:lineRule="auto"/>
              <w:jc w:val="right"/>
              <w:rPr>
                <w:rFonts w:eastAsia="Calibri" w:cs="Times New Roman"/>
                <w:noProof/>
              </w:rPr>
            </w:pPr>
            <w:r w:rsidRPr="00BC4EE7">
              <w:rPr>
                <w:rFonts w:cs="Times New Roman"/>
                <w:noProof/>
              </w:rPr>
              <w:t>Szám</w:t>
            </w:r>
          </w:p>
        </w:tc>
        <w:tc>
          <w:tcPr>
            <w:tcW w:w="953" w:type="dxa"/>
            <w:shd w:val="clear" w:color="auto" w:fill="C6EFCE"/>
            <w:noWrap/>
          </w:tcPr>
          <w:p w14:paraId="290A9710" w14:textId="77777777" w:rsidR="00D65CB4" w:rsidRPr="00BC4EE7" w:rsidRDefault="00572307">
            <w:pPr>
              <w:pStyle w:val="P68B1DB1-Normal12"/>
              <w:spacing w:after="0" w:line="240" w:lineRule="auto"/>
              <w:jc w:val="right"/>
              <w:rPr>
                <w:rFonts w:eastAsia="Calibri" w:cs="Times New Roman"/>
                <w:noProof/>
              </w:rPr>
            </w:pPr>
            <w:r w:rsidRPr="00BC4EE7">
              <w:rPr>
                <w:rFonts w:cs="Times New Roman"/>
                <w:noProof/>
              </w:rPr>
              <w:t>0</w:t>
            </w:r>
          </w:p>
        </w:tc>
        <w:tc>
          <w:tcPr>
            <w:tcW w:w="546" w:type="dxa"/>
            <w:shd w:val="clear" w:color="auto" w:fill="C6EFCE"/>
            <w:noWrap/>
          </w:tcPr>
          <w:p w14:paraId="60A8096C" w14:textId="502D502D" w:rsidR="00D65CB4" w:rsidRPr="00BC4EE7" w:rsidRDefault="00572307">
            <w:pPr>
              <w:pStyle w:val="P68B1DB1-Normal12"/>
              <w:spacing w:after="0" w:line="240" w:lineRule="auto"/>
              <w:jc w:val="right"/>
              <w:rPr>
                <w:rFonts w:cs="Times New Roman"/>
                <w:noProof/>
              </w:rPr>
            </w:pPr>
            <w:r w:rsidRPr="00BC4EE7">
              <w:rPr>
                <w:rFonts w:cs="Times New Roman"/>
                <w:noProof/>
              </w:rPr>
              <w:t>14</w:t>
            </w:r>
          </w:p>
          <w:p w14:paraId="14D1BF0E" w14:textId="77777777" w:rsidR="00D65CB4" w:rsidRPr="00BC4EE7" w:rsidRDefault="00D65CB4">
            <w:pPr>
              <w:spacing w:after="0" w:line="240" w:lineRule="auto"/>
              <w:jc w:val="right"/>
              <w:rPr>
                <w:rFonts w:ascii="Times New Roman" w:hAnsi="Times New Roman" w:cs="Times New Roman"/>
                <w:noProof/>
                <w:sz w:val="18"/>
              </w:rPr>
            </w:pPr>
          </w:p>
          <w:p w14:paraId="48DF98D7" w14:textId="48B1AD19" w:rsidR="00D65CB4" w:rsidRPr="00BC4EE7" w:rsidRDefault="00D65CB4">
            <w:pPr>
              <w:spacing w:after="0" w:line="240" w:lineRule="auto"/>
              <w:jc w:val="right"/>
              <w:rPr>
                <w:rFonts w:ascii="Times New Roman" w:eastAsia="Calibri" w:hAnsi="Times New Roman" w:cs="Times New Roman"/>
                <w:noProof/>
                <w:sz w:val="18"/>
              </w:rPr>
            </w:pPr>
          </w:p>
        </w:tc>
        <w:tc>
          <w:tcPr>
            <w:tcW w:w="410" w:type="dxa"/>
            <w:shd w:val="clear" w:color="auto" w:fill="C6EFCE"/>
            <w:noWrap/>
          </w:tcPr>
          <w:p w14:paraId="1081CEB9"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Q2</w:t>
            </w:r>
          </w:p>
        </w:tc>
        <w:tc>
          <w:tcPr>
            <w:tcW w:w="546" w:type="dxa"/>
            <w:shd w:val="clear" w:color="auto" w:fill="C6EFCE"/>
            <w:noWrap/>
          </w:tcPr>
          <w:p w14:paraId="03D54D94"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2026</w:t>
            </w:r>
          </w:p>
        </w:tc>
        <w:tc>
          <w:tcPr>
            <w:tcW w:w="5810" w:type="dxa"/>
            <w:shd w:val="clear" w:color="auto" w:fill="C6EFCE"/>
            <w:noWrap/>
          </w:tcPr>
          <w:p w14:paraId="6DA6CB92" w14:textId="224C54E4" w:rsidR="00D65CB4" w:rsidRPr="00BC4EE7" w:rsidRDefault="00572307">
            <w:pPr>
              <w:pStyle w:val="P68B1DB1-Normal12"/>
              <w:spacing w:after="0" w:line="240" w:lineRule="auto"/>
              <w:rPr>
                <w:rFonts w:eastAsia="Calibri" w:cs="Times New Roman"/>
                <w:noProof/>
              </w:rPr>
            </w:pPr>
            <w:r w:rsidRPr="00BC4EE7">
              <w:rPr>
                <w:rFonts w:cs="Times New Roman"/>
                <w:noProof/>
              </w:rPr>
              <w:t xml:space="preserve">Kilenc stratégiai intermodális és logisztikai terminál építési munkálatainak befejezése (Tilos és három kikötő új vagy korszerűsített, a vasúti árufuvarozás fellendítése érdekében), valamint legalább két mellékvágány építése vagy bővítése legalább 750 méter hosszúra. A munkálatoknak összhangban kell lenniük a 95. cél a), b), c) és d) pontjában meghatározott beavatkozástípusokkal.  </w:t>
            </w:r>
          </w:p>
        </w:tc>
      </w:tr>
      <w:tr w:rsidR="00D65CB4" w:rsidRPr="00BC4EE7" w14:paraId="55E37360" w14:textId="77777777" w:rsidTr="00481CF8">
        <w:trPr>
          <w:trHeight w:val="309"/>
        </w:trPr>
        <w:tc>
          <w:tcPr>
            <w:tcW w:w="822" w:type="dxa"/>
            <w:shd w:val="clear" w:color="auto" w:fill="C6EFCE"/>
            <w:noWrap/>
          </w:tcPr>
          <w:p w14:paraId="1D3E6FDD"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98</w:t>
            </w:r>
          </w:p>
        </w:tc>
        <w:tc>
          <w:tcPr>
            <w:tcW w:w="880" w:type="dxa"/>
            <w:shd w:val="clear" w:color="auto" w:fill="C6EFCE"/>
            <w:noWrap/>
          </w:tcPr>
          <w:p w14:paraId="62B12274"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C6.I3</w:t>
            </w:r>
          </w:p>
        </w:tc>
        <w:tc>
          <w:tcPr>
            <w:tcW w:w="992" w:type="dxa"/>
            <w:shd w:val="clear" w:color="auto" w:fill="C6EFCE"/>
            <w:noWrap/>
          </w:tcPr>
          <w:p w14:paraId="6B68F24E"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T</w:t>
            </w:r>
          </w:p>
        </w:tc>
        <w:tc>
          <w:tcPr>
            <w:tcW w:w="1134" w:type="dxa"/>
            <w:shd w:val="clear" w:color="auto" w:fill="C6EFCE"/>
            <w:noWrap/>
          </w:tcPr>
          <w:p w14:paraId="2FEE4FFB" w14:textId="77777777" w:rsidR="00D65CB4" w:rsidRPr="00BC4EE7" w:rsidRDefault="00572307">
            <w:pPr>
              <w:pStyle w:val="P68B1DB1-Normal12"/>
              <w:spacing w:after="0" w:line="240" w:lineRule="auto"/>
              <w:rPr>
                <w:rFonts w:eastAsia="Calibri" w:cs="Times New Roman"/>
                <w:noProof/>
              </w:rPr>
            </w:pPr>
            <w:r w:rsidRPr="00BC4EE7">
              <w:rPr>
                <w:rFonts w:cs="Times New Roman"/>
                <w:noProof/>
              </w:rPr>
              <w:t xml:space="preserve">A vasúti akadálymentesítési és a fenntarthatósági projektek lezárása a kikötőkben </w:t>
            </w:r>
          </w:p>
        </w:tc>
        <w:tc>
          <w:tcPr>
            <w:tcW w:w="1215" w:type="dxa"/>
            <w:shd w:val="clear" w:color="auto" w:fill="C6EFCE"/>
            <w:noWrap/>
          </w:tcPr>
          <w:p w14:paraId="3AC2E41B"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w:t>
            </w:r>
          </w:p>
        </w:tc>
        <w:tc>
          <w:tcPr>
            <w:tcW w:w="980" w:type="dxa"/>
            <w:shd w:val="clear" w:color="auto" w:fill="C6EFCE"/>
            <w:noWrap/>
          </w:tcPr>
          <w:p w14:paraId="5E79806A" w14:textId="77777777" w:rsidR="00D65CB4" w:rsidRPr="00BC4EE7" w:rsidRDefault="00572307">
            <w:pPr>
              <w:pStyle w:val="P68B1DB1-Normal12"/>
              <w:spacing w:after="0" w:line="240" w:lineRule="auto"/>
              <w:jc w:val="right"/>
              <w:rPr>
                <w:rFonts w:eastAsia="Calibri" w:cs="Times New Roman"/>
                <w:noProof/>
              </w:rPr>
            </w:pPr>
            <w:r w:rsidRPr="00BC4EE7">
              <w:rPr>
                <w:rFonts w:cs="Times New Roman"/>
                <w:noProof/>
              </w:rPr>
              <w:t>Szám</w:t>
            </w:r>
          </w:p>
        </w:tc>
        <w:tc>
          <w:tcPr>
            <w:tcW w:w="953" w:type="dxa"/>
            <w:shd w:val="clear" w:color="auto" w:fill="C6EFCE"/>
            <w:noWrap/>
          </w:tcPr>
          <w:p w14:paraId="40717F1A" w14:textId="77777777" w:rsidR="00D65CB4" w:rsidRPr="00BC4EE7" w:rsidRDefault="00572307">
            <w:pPr>
              <w:pStyle w:val="P68B1DB1-Normal12"/>
              <w:spacing w:after="0" w:line="240" w:lineRule="auto"/>
              <w:jc w:val="right"/>
              <w:rPr>
                <w:rFonts w:eastAsia="Calibri" w:cs="Times New Roman"/>
                <w:noProof/>
              </w:rPr>
            </w:pPr>
            <w:r w:rsidRPr="00BC4EE7">
              <w:rPr>
                <w:rFonts w:cs="Times New Roman"/>
                <w:noProof/>
              </w:rPr>
              <w:t>0</w:t>
            </w:r>
          </w:p>
        </w:tc>
        <w:tc>
          <w:tcPr>
            <w:tcW w:w="546" w:type="dxa"/>
            <w:shd w:val="clear" w:color="auto" w:fill="C6EFCE"/>
            <w:noWrap/>
          </w:tcPr>
          <w:p w14:paraId="270091A6" w14:textId="77777777" w:rsidR="00D65CB4" w:rsidRPr="00BC4EE7" w:rsidRDefault="00572307">
            <w:pPr>
              <w:pStyle w:val="P68B1DB1-Normal12"/>
              <w:spacing w:after="0" w:line="240" w:lineRule="auto"/>
              <w:jc w:val="right"/>
              <w:rPr>
                <w:rFonts w:eastAsia="Calibri" w:cs="Times New Roman"/>
                <w:noProof/>
              </w:rPr>
            </w:pPr>
            <w:r w:rsidRPr="00BC4EE7">
              <w:rPr>
                <w:rFonts w:cs="Times New Roman"/>
                <w:noProof/>
              </w:rPr>
              <w:t>44</w:t>
            </w:r>
          </w:p>
        </w:tc>
        <w:tc>
          <w:tcPr>
            <w:tcW w:w="410" w:type="dxa"/>
            <w:shd w:val="clear" w:color="auto" w:fill="C6EFCE"/>
            <w:noWrap/>
          </w:tcPr>
          <w:p w14:paraId="17B62A45"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Q2</w:t>
            </w:r>
          </w:p>
        </w:tc>
        <w:tc>
          <w:tcPr>
            <w:tcW w:w="546" w:type="dxa"/>
            <w:shd w:val="clear" w:color="auto" w:fill="C6EFCE"/>
            <w:noWrap/>
          </w:tcPr>
          <w:p w14:paraId="56E4FF22"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2026</w:t>
            </w:r>
          </w:p>
        </w:tc>
        <w:tc>
          <w:tcPr>
            <w:tcW w:w="5810" w:type="dxa"/>
            <w:shd w:val="clear" w:color="auto" w:fill="C6EFCE"/>
            <w:noWrap/>
          </w:tcPr>
          <w:p w14:paraId="6C922BF8" w14:textId="1FC33D90" w:rsidR="00D65CB4" w:rsidRPr="00BC4EE7" w:rsidRDefault="00572307">
            <w:pPr>
              <w:pStyle w:val="P68B1DB1-Normal12"/>
              <w:spacing w:after="0" w:line="240" w:lineRule="auto"/>
              <w:rPr>
                <w:rFonts w:eastAsia="Calibri" w:cs="Times New Roman"/>
                <w:noProof/>
              </w:rPr>
            </w:pPr>
            <w:r w:rsidRPr="00BC4EE7">
              <w:rPr>
                <w:rFonts w:cs="Times New Roman"/>
                <w:noProof/>
              </w:rPr>
              <w:t xml:space="preserve">44 fellépés (19+ 25) lezárása: legalább 19 vasúti akadálymentesítési projekt és a fenntarthatósági projektek lezárása 25 különböző kikötői hatóság kikötőiben. A munkálatoknak összhangban kell lenniük a 95. cél e) pontjában meghatározott beavatkozástípusokkal. </w:t>
            </w:r>
          </w:p>
        </w:tc>
      </w:tr>
      <w:tr w:rsidR="00D65CB4" w:rsidRPr="00BC4EE7" w14:paraId="52A0EDE1" w14:textId="77777777" w:rsidTr="00481CF8">
        <w:trPr>
          <w:trHeight w:val="309"/>
        </w:trPr>
        <w:tc>
          <w:tcPr>
            <w:tcW w:w="822" w:type="dxa"/>
            <w:shd w:val="clear" w:color="auto" w:fill="C6EFCE"/>
            <w:noWrap/>
          </w:tcPr>
          <w:p w14:paraId="4C1829E2" w14:textId="1BC823A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99</w:t>
            </w:r>
          </w:p>
        </w:tc>
        <w:tc>
          <w:tcPr>
            <w:tcW w:w="880" w:type="dxa"/>
            <w:shd w:val="clear" w:color="auto" w:fill="C6EFCE"/>
            <w:noWrap/>
          </w:tcPr>
          <w:p w14:paraId="3B30915B"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C6.I4</w:t>
            </w:r>
          </w:p>
        </w:tc>
        <w:tc>
          <w:tcPr>
            <w:tcW w:w="992" w:type="dxa"/>
            <w:shd w:val="clear" w:color="auto" w:fill="C6EFCE"/>
            <w:noWrap/>
          </w:tcPr>
          <w:p w14:paraId="6D421D03"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M</w:t>
            </w:r>
          </w:p>
        </w:tc>
        <w:tc>
          <w:tcPr>
            <w:tcW w:w="1134" w:type="dxa"/>
            <w:shd w:val="clear" w:color="auto" w:fill="C6EFCE"/>
            <w:noWrap/>
          </w:tcPr>
          <w:p w14:paraId="7ACB2AAB" w14:textId="77777777" w:rsidR="00D65CB4" w:rsidRPr="00BC4EE7" w:rsidRDefault="00572307">
            <w:pPr>
              <w:pStyle w:val="P68B1DB1-Normal12"/>
              <w:spacing w:after="0" w:line="240" w:lineRule="auto"/>
              <w:rPr>
                <w:rFonts w:eastAsia="Calibri" w:cs="Times New Roman"/>
                <w:noProof/>
              </w:rPr>
            </w:pPr>
            <w:r w:rsidRPr="00BC4EE7">
              <w:rPr>
                <w:rFonts w:cs="Times New Roman"/>
                <w:noProof/>
              </w:rPr>
              <w:t xml:space="preserve">A fenntartható és digitális közlekedés programjának támogatása. </w:t>
            </w:r>
          </w:p>
        </w:tc>
        <w:tc>
          <w:tcPr>
            <w:tcW w:w="1215" w:type="dxa"/>
            <w:shd w:val="clear" w:color="auto" w:fill="C6EFCE"/>
            <w:noWrap/>
          </w:tcPr>
          <w:p w14:paraId="0E045576" w14:textId="0E5DFEF6"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A Hivatalos Lapban való közzététel és a hivatalos állásfoglalások elfogadása</w:t>
            </w:r>
          </w:p>
        </w:tc>
        <w:tc>
          <w:tcPr>
            <w:tcW w:w="980" w:type="dxa"/>
            <w:shd w:val="clear" w:color="auto" w:fill="C6EFCE"/>
            <w:noWrap/>
          </w:tcPr>
          <w:p w14:paraId="6F8FFF11" w14:textId="77777777" w:rsidR="00D65CB4" w:rsidRPr="00BC4EE7" w:rsidRDefault="00572307">
            <w:pPr>
              <w:pStyle w:val="P68B1DB1-Normal12"/>
              <w:spacing w:after="0" w:line="240" w:lineRule="auto"/>
              <w:jc w:val="right"/>
              <w:rPr>
                <w:rFonts w:eastAsia="Calibri" w:cs="Times New Roman"/>
                <w:noProof/>
              </w:rPr>
            </w:pPr>
            <w:r w:rsidRPr="00BC4EE7">
              <w:rPr>
                <w:rFonts w:cs="Times New Roman"/>
                <w:noProof/>
              </w:rPr>
              <w:t xml:space="preserve"> </w:t>
            </w:r>
          </w:p>
        </w:tc>
        <w:tc>
          <w:tcPr>
            <w:tcW w:w="953" w:type="dxa"/>
            <w:shd w:val="clear" w:color="auto" w:fill="C6EFCE"/>
            <w:noWrap/>
          </w:tcPr>
          <w:p w14:paraId="336B16C7" w14:textId="77777777" w:rsidR="00D65CB4" w:rsidRPr="00BC4EE7" w:rsidRDefault="00572307">
            <w:pPr>
              <w:pStyle w:val="P68B1DB1-Normal12"/>
              <w:spacing w:after="0" w:line="240" w:lineRule="auto"/>
              <w:jc w:val="right"/>
              <w:rPr>
                <w:rFonts w:eastAsia="Calibri" w:cs="Times New Roman"/>
                <w:noProof/>
              </w:rPr>
            </w:pPr>
            <w:r w:rsidRPr="00BC4EE7">
              <w:rPr>
                <w:rFonts w:cs="Times New Roman"/>
                <w:noProof/>
              </w:rPr>
              <w:t xml:space="preserve"> </w:t>
            </w:r>
          </w:p>
        </w:tc>
        <w:tc>
          <w:tcPr>
            <w:tcW w:w="546" w:type="dxa"/>
            <w:shd w:val="clear" w:color="auto" w:fill="C6EFCE"/>
            <w:noWrap/>
          </w:tcPr>
          <w:p w14:paraId="597B45D8" w14:textId="77777777" w:rsidR="00D65CB4" w:rsidRPr="00BC4EE7" w:rsidRDefault="00572307">
            <w:pPr>
              <w:pStyle w:val="P68B1DB1-Normal12"/>
              <w:spacing w:after="0" w:line="240" w:lineRule="auto"/>
              <w:jc w:val="right"/>
              <w:rPr>
                <w:rFonts w:eastAsia="Calibri" w:cs="Times New Roman"/>
                <w:noProof/>
              </w:rPr>
            </w:pPr>
            <w:r w:rsidRPr="00BC4EE7">
              <w:rPr>
                <w:rFonts w:cs="Times New Roman"/>
                <w:noProof/>
              </w:rPr>
              <w:t xml:space="preserve"> </w:t>
            </w:r>
          </w:p>
        </w:tc>
        <w:tc>
          <w:tcPr>
            <w:tcW w:w="410" w:type="dxa"/>
            <w:shd w:val="clear" w:color="auto" w:fill="C6EFCE"/>
            <w:noWrap/>
          </w:tcPr>
          <w:p w14:paraId="73216A16"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Q4</w:t>
            </w:r>
          </w:p>
        </w:tc>
        <w:tc>
          <w:tcPr>
            <w:tcW w:w="546" w:type="dxa"/>
            <w:shd w:val="clear" w:color="auto" w:fill="C6EFCE"/>
            <w:noWrap/>
          </w:tcPr>
          <w:p w14:paraId="4E312855"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2022</w:t>
            </w:r>
          </w:p>
        </w:tc>
        <w:tc>
          <w:tcPr>
            <w:tcW w:w="5810" w:type="dxa"/>
            <w:shd w:val="clear" w:color="auto" w:fill="C6EFCE"/>
            <w:noWrap/>
          </w:tcPr>
          <w:p w14:paraId="56EE7AA2" w14:textId="1C19110D" w:rsidR="00D65CB4" w:rsidRPr="00BC4EE7" w:rsidRDefault="00572307">
            <w:pPr>
              <w:spacing w:after="0" w:line="240" w:lineRule="auto"/>
              <w:rPr>
                <w:rFonts w:ascii="Times New Roman" w:hAnsi="Times New Roman" w:cs="Times New Roman"/>
                <w:noProof/>
                <w:sz w:val="18"/>
              </w:rPr>
            </w:pPr>
            <w:r w:rsidRPr="00BC4EE7">
              <w:rPr>
                <w:rFonts w:ascii="Times New Roman" w:hAnsi="Times New Roman" w:cs="Times New Roman"/>
                <w:noProof/>
                <w:sz w:val="18"/>
              </w:rPr>
              <w:t xml:space="preserve">800000000 EUR összegű támogatás a fenntartható és digitális közlekedést támogató program keretében a következők révén: </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az ECO-INCENTIVES-en alapuló, a fenntartható árufuvarozást támogató rendszert létrehozó miniszteri rendelet(ek) Hivatalos Lapjában való közzétételeket;</w:t>
            </w:r>
          </w:p>
          <w:p w14:paraId="1D518C11" w14:textId="454C7B51" w:rsidR="00D65CB4" w:rsidRPr="00BC4EE7" w:rsidRDefault="00572307">
            <w:pPr>
              <w:pStyle w:val="P68B1DB1-Normal12"/>
              <w:spacing w:after="0" w:line="240" w:lineRule="auto"/>
              <w:rPr>
                <w:rFonts w:cs="Times New Roman"/>
                <w:noProof/>
              </w:rPr>
            </w:pPr>
            <w:r w:rsidRPr="00BC4EE7">
              <w:rPr>
                <w:rFonts w:cs="Times New Roman"/>
                <w:noProof/>
              </w:rPr>
              <w:t>a királyi rendeletben meghatározott átutalásokat jóváhagyó hivatalos határozatok, amelyek a regionális és helyi szintű személy- és áruszállítási szolgáltatások digitalizálására irányuló projektekhez nyújtott támogatások odaítélése céljából az autonóm közösségeknek juttatják a pénzeszközöket;</w:t>
            </w:r>
          </w:p>
          <w:p w14:paraId="0F0FE3B1" w14:textId="04FC41CE" w:rsidR="00D65CB4" w:rsidRPr="00BC4EE7" w:rsidRDefault="00572307">
            <w:pPr>
              <w:pStyle w:val="P68B1DB1-Normal12"/>
              <w:spacing w:after="0" w:line="240" w:lineRule="auto"/>
              <w:rPr>
                <w:rFonts w:cs="Times New Roman"/>
                <w:noProof/>
              </w:rPr>
            </w:pPr>
            <w:r w:rsidRPr="00BC4EE7">
              <w:rPr>
                <w:rFonts w:cs="Times New Roman"/>
                <w:noProof/>
              </w:rPr>
              <w:t xml:space="preserve">a Közlekedési, Mobilitáspolitikai és Várospolitikai Államtitkárság határozatában meghatározott, az autonóm közösségek számára a személy- és áruszállítási szolgáltatások digitalizálására irányuló regionális és helyi szintű projektekre vonatkozó szerződések vagy más jogi eszközök odaítélése céljából történő pénzátutalásokat jóváhagyó hivatalos határozatok; és  </w:t>
            </w:r>
          </w:p>
          <w:p w14:paraId="23E33EAD" w14:textId="474C035A" w:rsidR="00D65CB4" w:rsidRPr="00BC4EE7" w:rsidRDefault="00572307">
            <w:pPr>
              <w:spacing w:after="0" w:line="240" w:lineRule="auto"/>
              <w:rPr>
                <w:rFonts w:ascii="Times New Roman" w:hAnsi="Times New Roman" w:cs="Times New Roman"/>
                <w:noProof/>
                <w:sz w:val="18"/>
              </w:rPr>
            </w:pPr>
            <w:r w:rsidRPr="00BC4EE7">
              <w:rPr>
                <w:rFonts w:ascii="Times New Roman" w:hAnsi="Times New Roman" w:cs="Times New Roman"/>
                <w:noProof/>
                <w:sz w:val="18"/>
              </w:rPr>
              <w:t>d) a Közlekedési, Mobilitáspolitikai és Várospolitikai Államtitkárság határozata a következő intézkedések projektjeinek odaítéléséről:</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Cselekvési irányvonal. Kölcsönös átjárhatóság a vasúti árufuvarozásban</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xml:space="preserve">1. Fedélzeti Európai Vasúti Forgalomirányítási Rendszerek (ERTMS) </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2. A vasutak kölcsönös átjárhatósága előtt álló akadályok megszüntetésére irányuló intézkedések az ÁME-kkel összhangban.</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3. A mozdonyok változó nyomtávú tengelyének innovációja és fejlesztése.</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Cselekvési irányvonal. A közlekedés intermodalitásának előmozdítása </w:t>
            </w:r>
          </w:p>
          <w:p w14:paraId="57EDFA9F" w14:textId="1C1039A5" w:rsidR="00D65CB4" w:rsidRPr="00BC4EE7" w:rsidRDefault="00572307">
            <w:pPr>
              <w:spacing w:after="0" w:line="240" w:lineRule="auto"/>
              <w:rPr>
                <w:rFonts w:ascii="Times New Roman" w:hAnsi="Times New Roman" w:cs="Times New Roman"/>
                <w:noProof/>
                <w:sz w:val="18"/>
              </w:rPr>
            </w:pPr>
            <w:r w:rsidRPr="00BC4EE7">
              <w:rPr>
                <w:rFonts w:ascii="Times New Roman" w:hAnsi="Times New Roman" w:cs="Times New Roman"/>
                <w:noProof/>
                <w:sz w:val="18"/>
              </w:rPr>
              <w:t xml:space="preserve">4. Rakományok, intermodális vasúti-közúti terminálok és szárazföldi összeköttetéseik építése, átalakítása vagy korszerűsítése </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Cselekvési irányvonal. Vasúti áruszállító berendezések korszerűsítése </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5. A vasúti árufuvarozást végző kocsik felújítását vagy korszerűsítését támogató intézkedések, beleértve a vasúti autópálya-szolgáltatások létrehozását is.</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6. A vasúti vontatóberendezések más anyagokkal (hidrogén vagy villamos energia) történő felújításának vagy átalakításának támogatására irányuló intézkedések. </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Cselekvési irányvonal. Biztonságos, fenntartható és összekapcsolt közúti közlekedés </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7. A haszongépjárművek biztonságos parkolóhelyeinek építése és korszerűsítése, valamint információs szolgáltatások nyújtása (885/2013/EU felhatalmazáson alapuló rendelet).</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8. Intelligens közúti közlekedési szolgáltatások (ITS) díjköteles autópálya-koncessziókban és egyéb közúti közlekedésbiztonsági és -megőrzési szolgáltatásokban.</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9. A nehézgépjárművek alternatívüzemanyag-töltő infrastruktúrájának a közúthálózaton való kiépítését támogató intézkedések</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xml:space="preserve">10. Az eszközök és gépek felújítását vagy átalakítását támogató intézkedések a fenntartható útburkolat megvalósítása érdekében: a szénlábnyom és a zajcsökkentők csökkentése </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xml:space="preserve">Cselekvési irányvonal. A tengeri és légi közlekedés fenntarthatósága </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11. Az alternatív üzemanyagok kikötőkben és repülőtereken való bevezetésének támogatása.</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12. A propulzív alternatív energiatechnológiák tengerhasznosítási ágazatban való elterjedésének támogatása.</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Cselekvési irányvonal. A közlekedés digitalizálása </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13. A személy- és áruszállítási szolgáltatások digitalizálására irányuló projektek nemzeti szinten.</w:t>
            </w:r>
            <w:r w:rsidRPr="00BC4EE7">
              <w:rPr>
                <w:rFonts w:ascii="Times New Roman" w:hAnsi="Times New Roman" w:cs="Times New Roman"/>
                <w:noProof/>
              </w:rPr>
              <w:t xml:space="preserve"> </w:t>
            </w:r>
            <w:r w:rsidRPr="00BC4EE7">
              <w:rPr>
                <w:rFonts w:ascii="Times New Roman" w:hAnsi="Times New Roman" w:cs="Times New Roman"/>
                <w:noProof/>
              </w:rPr>
              <w:br/>
            </w:r>
          </w:p>
          <w:p w14:paraId="769F7FD6" w14:textId="4635D8A9" w:rsidR="00D65CB4" w:rsidRPr="00BC4EE7" w:rsidRDefault="00572307">
            <w:pPr>
              <w:spacing w:after="0" w:line="240" w:lineRule="auto"/>
              <w:rPr>
                <w:rFonts w:ascii="Times New Roman" w:eastAsia="Calibri" w:hAnsi="Times New Roman" w:cs="Times New Roman"/>
                <w:noProof/>
                <w:sz w:val="18"/>
              </w:rPr>
            </w:pPr>
            <w:r w:rsidRPr="00BC4EE7">
              <w:rPr>
                <w:rFonts w:ascii="Times New Roman" w:hAnsi="Times New Roman" w:cs="Times New Roman"/>
                <w:noProof/>
                <w:sz w:val="18"/>
              </w:rPr>
              <w:t>A 9. és 11. intézkedés esetében a kiválasztási kritériumoknak meg kell felelniük a jelentős károkozás elkerülését célzó technikai iránymutatásnak (2021/C58/01), amely biztosítja, hogy az infrastruktúra az építés időpontjában lehetővé váljon a megújuló és alacsony szén-dioxid-kibocsátású gázok szállítására.</w:t>
            </w:r>
            <w:r w:rsidRPr="00BC4EE7">
              <w:rPr>
                <w:rFonts w:ascii="Times New Roman" w:hAnsi="Times New Roman" w:cs="Times New Roman"/>
                <w:noProof/>
              </w:rPr>
              <w:t xml:space="preserve"> </w:t>
            </w:r>
            <w:r w:rsidRPr="00BC4EE7">
              <w:rPr>
                <w:rFonts w:ascii="Times New Roman" w:hAnsi="Times New Roman" w:cs="Times New Roman"/>
                <w:noProof/>
              </w:rPr>
              <w:br/>
            </w:r>
          </w:p>
        </w:tc>
      </w:tr>
      <w:tr w:rsidR="00D65CB4" w:rsidRPr="00BC4EE7" w14:paraId="19F42941" w14:textId="77777777" w:rsidTr="00481CF8">
        <w:trPr>
          <w:trHeight w:val="309"/>
        </w:trPr>
        <w:tc>
          <w:tcPr>
            <w:tcW w:w="822" w:type="dxa"/>
            <w:shd w:val="clear" w:color="auto" w:fill="C6EFCE"/>
            <w:noWrap/>
          </w:tcPr>
          <w:p w14:paraId="7863B65F"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100</w:t>
            </w:r>
          </w:p>
        </w:tc>
        <w:tc>
          <w:tcPr>
            <w:tcW w:w="880" w:type="dxa"/>
            <w:shd w:val="clear" w:color="auto" w:fill="C6EFCE"/>
            <w:noWrap/>
          </w:tcPr>
          <w:p w14:paraId="17F5D837"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C6.I4</w:t>
            </w:r>
          </w:p>
        </w:tc>
        <w:tc>
          <w:tcPr>
            <w:tcW w:w="992" w:type="dxa"/>
            <w:shd w:val="clear" w:color="auto" w:fill="C6EFCE"/>
            <w:noWrap/>
          </w:tcPr>
          <w:p w14:paraId="17EBD725"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M</w:t>
            </w:r>
          </w:p>
        </w:tc>
        <w:tc>
          <w:tcPr>
            <w:tcW w:w="1134" w:type="dxa"/>
            <w:shd w:val="clear" w:color="auto" w:fill="C6EFCE"/>
            <w:noWrap/>
          </w:tcPr>
          <w:p w14:paraId="6BF83F4C" w14:textId="2BDC5AE9" w:rsidR="00D65CB4" w:rsidRPr="00BC4EE7" w:rsidRDefault="00572307">
            <w:pPr>
              <w:pStyle w:val="P68B1DB1-Normal12"/>
              <w:spacing w:after="0" w:line="240" w:lineRule="auto"/>
              <w:rPr>
                <w:rFonts w:eastAsia="Calibri" w:cs="Times New Roman"/>
                <w:noProof/>
              </w:rPr>
            </w:pPr>
            <w:r w:rsidRPr="00BC4EE7">
              <w:rPr>
                <w:rFonts w:cs="Times New Roman"/>
                <w:noProof/>
              </w:rPr>
              <w:t>Az ECO-INCENTIVES díja és hivatalos értesítés a fenntartható és digitális közlekedést támogató program keretében végzett munka megkezdéséről</w:t>
            </w:r>
          </w:p>
        </w:tc>
        <w:tc>
          <w:tcPr>
            <w:tcW w:w="1215" w:type="dxa"/>
            <w:shd w:val="clear" w:color="auto" w:fill="C6EFCE"/>
            <w:noWrap/>
          </w:tcPr>
          <w:p w14:paraId="24CF6479"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 xml:space="preserve">Hivatalos értesítés a munkálatok megkezdéséről </w:t>
            </w:r>
          </w:p>
        </w:tc>
        <w:tc>
          <w:tcPr>
            <w:tcW w:w="980" w:type="dxa"/>
            <w:shd w:val="clear" w:color="auto" w:fill="C6EFCE"/>
            <w:noWrap/>
          </w:tcPr>
          <w:p w14:paraId="582CCBB7" w14:textId="77777777" w:rsidR="00D65CB4" w:rsidRPr="00BC4EE7" w:rsidRDefault="00572307">
            <w:pPr>
              <w:pStyle w:val="P68B1DB1-Normal12"/>
              <w:spacing w:after="0" w:line="240" w:lineRule="auto"/>
              <w:jc w:val="right"/>
              <w:rPr>
                <w:rFonts w:eastAsia="Calibri" w:cs="Times New Roman"/>
                <w:noProof/>
              </w:rPr>
            </w:pPr>
            <w:r w:rsidRPr="00BC4EE7">
              <w:rPr>
                <w:rFonts w:cs="Times New Roman"/>
                <w:noProof/>
              </w:rPr>
              <w:t xml:space="preserve"> </w:t>
            </w:r>
          </w:p>
        </w:tc>
        <w:tc>
          <w:tcPr>
            <w:tcW w:w="953" w:type="dxa"/>
            <w:shd w:val="clear" w:color="auto" w:fill="C6EFCE"/>
            <w:noWrap/>
          </w:tcPr>
          <w:p w14:paraId="7737F961" w14:textId="77777777" w:rsidR="00D65CB4" w:rsidRPr="00BC4EE7" w:rsidRDefault="00572307">
            <w:pPr>
              <w:pStyle w:val="P68B1DB1-Normal12"/>
              <w:spacing w:after="0" w:line="240" w:lineRule="auto"/>
              <w:jc w:val="right"/>
              <w:rPr>
                <w:rFonts w:eastAsia="Calibri" w:cs="Times New Roman"/>
                <w:noProof/>
              </w:rPr>
            </w:pPr>
            <w:r w:rsidRPr="00BC4EE7">
              <w:rPr>
                <w:rFonts w:cs="Times New Roman"/>
                <w:noProof/>
              </w:rPr>
              <w:t xml:space="preserve"> </w:t>
            </w:r>
          </w:p>
        </w:tc>
        <w:tc>
          <w:tcPr>
            <w:tcW w:w="546" w:type="dxa"/>
            <w:shd w:val="clear" w:color="auto" w:fill="C6EFCE"/>
            <w:noWrap/>
          </w:tcPr>
          <w:p w14:paraId="339FCE4D" w14:textId="77777777" w:rsidR="00D65CB4" w:rsidRPr="00BC4EE7" w:rsidRDefault="00572307">
            <w:pPr>
              <w:pStyle w:val="P68B1DB1-Normal12"/>
              <w:spacing w:after="0" w:line="240" w:lineRule="auto"/>
              <w:jc w:val="right"/>
              <w:rPr>
                <w:rFonts w:eastAsia="Calibri" w:cs="Times New Roman"/>
                <w:noProof/>
              </w:rPr>
            </w:pPr>
            <w:r w:rsidRPr="00BC4EE7">
              <w:rPr>
                <w:rFonts w:cs="Times New Roman"/>
                <w:noProof/>
              </w:rPr>
              <w:t xml:space="preserve"> </w:t>
            </w:r>
          </w:p>
        </w:tc>
        <w:tc>
          <w:tcPr>
            <w:tcW w:w="410" w:type="dxa"/>
            <w:shd w:val="clear" w:color="auto" w:fill="C6EFCE"/>
            <w:noWrap/>
          </w:tcPr>
          <w:p w14:paraId="65FAD227"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Q4</w:t>
            </w:r>
          </w:p>
        </w:tc>
        <w:tc>
          <w:tcPr>
            <w:tcW w:w="546" w:type="dxa"/>
            <w:shd w:val="clear" w:color="auto" w:fill="C6EFCE"/>
            <w:noWrap/>
          </w:tcPr>
          <w:p w14:paraId="66D14CBD"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2024</w:t>
            </w:r>
          </w:p>
        </w:tc>
        <w:tc>
          <w:tcPr>
            <w:tcW w:w="5810" w:type="dxa"/>
            <w:shd w:val="clear" w:color="auto" w:fill="C6EFCE"/>
            <w:noWrap/>
          </w:tcPr>
          <w:p w14:paraId="05C5E7B3" w14:textId="23226B78" w:rsidR="00D65CB4" w:rsidRPr="00BC4EE7" w:rsidRDefault="00572307">
            <w:pPr>
              <w:pStyle w:val="P68B1DB1-Normal12"/>
              <w:spacing w:after="0" w:line="240" w:lineRule="auto"/>
              <w:rPr>
                <w:rFonts w:eastAsia="Calibri" w:cs="Times New Roman"/>
                <w:noProof/>
              </w:rPr>
            </w:pPr>
            <w:r w:rsidRPr="00BC4EE7">
              <w:rPr>
                <w:rFonts w:cs="Times New Roman"/>
                <w:noProof/>
              </w:rPr>
              <w:t xml:space="preserve">Legalább 30 000 000 EUR odaítélése az ECO-INCENTIVES-ben vasúti és tengeri célokra, valamint a 99. mérföldkő b), c) és d) pontjában meghatározottak szerint odaítélt projektek munkálatainak megkezdése, ami legalább 665 371 038 EUR pénzbeli értéket jelent. </w:t>
            </w:r>
          </w:p>
        </w:tc>
      </w:tr>
      <w:tr w:rsidR="00D65CB4" w:rsidRPr="00BC4EE7" w14:paraId="6668EE6D" w14:textId="77777777" w:rsidTr="00481CF8">
        <w:trPr>
          <w:trHeight w:val="309"/>
        </w:trPr>
        <w:tc>
          <w:tcPr>
            <w:tcW w:w="822" w:type="dxa"/>
            <w:shd w:val="clear" w:color="auto" w:fill="C6EFCE"/>
            <w:noWrap/>
          </w:tcPr>
          <w:p w14:paraId="6666C624"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101</w:t>
            </w:r>
          </w:p>
        </w:tc>
        <w:tc>
          <w:tcPr>
            <w:tcW w:w="880" w:type="dxa"/>
            <w:shd w:val="clear" w:color="auto" w:fill="C6EFCE"/>
            <w:noWrap/>
          </w:tcPr>
          <w:p w14:paraId="57632699"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C6.I4</w:t>
            </w:r>
          </w:p>
        </w:tc>
        <w:tc>
          <w:tcPr>
            <w:tcW w:w="992" w:type="dxa"/>
            <w:shd w:val="clear" w:color="auto" w:fill="C6EFCE"/>
            <w:noWrap/>
          </w:tcPr>
          <w:p w14:paraId="702ECB99"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M</w:t>
            </w:r>
          </w:p>
        </w:tc>
        <w:tc>
          <w:tcPr>
            <w:tcW w:w="1134" w:type="dxa"/>
            <w:shd w:val="clear" w:color="auto" w:fill="C6EFCE"/>
            <w:noWrap/>
          </w:tcPr>
          <w:p w14:paraId="7422091B" w14:textId="77777777" w:rsidR="00D65CB4" w:rsidRPr="00BC4EE7" w:rsidRDefault="00572307">
            <w:pPr>
              <w:pStyle w:val="P68B1DB1-Normal12"/>
              <w:spacing w:after="0" w:line="240" w:lineRule="auto"/>
              <w:rPr>
                <w:rFonts w:eastAsia="Calibri" w:cs="Times New Roman"/>
                <w:noProof/>
              </w:rPr>
            </w:pPr>
            <w:r w:rsidRPr="00BC4EE7">
              <w:rPr>
                <w:rFonts w:cs="Times New Roman"/>
                <w:noProof/>
              </w:rPr>
              <w:t>Fenntartható és digitális közlekedés: a munkálatok befejezése</w:t>
            </w:r>
          </w:p>
        </w:tc>
        <w:tc>
          <w:tcPr>
            <w:tcW w:w="1215" w:type="dxa"/>
            <w:shd w:val="clear" w:color="auto" w:fill="C6EFCE"/>
            <w:noWrap/>
          </w:tcPr>
          <w:p w14:paraId="60E5B26E"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Hivatalos értesítés a munka befejezéséről</w:t>
            </w:r>
          </w:p>
        </w:tc>
        <w:tc>
          <w:tcPr>
            <w:tcW w:w="980" w:type="dxa"/>
            <w:shd w:val="clear" w:color="auto" w:fill="C6EFCE"/>
            <w:noWrap/>
          </w:tcPr>
          <w:p w14:paraId="5F11E8D2" w14:textId="77777777" w:rsidR="00D65CB4" w:rsidRPr="00BC4EE7" w:rsidRDefault="00572307">
            <w:pPr>
              <w:pStyle w:val="P68B1DB1-Normal12"/>
              <w:spacing w:after="0" w:line="240" w:lineRule="auto"/>
              <w:jc w:val="right"/>
              <w:rPr>
                <w:rFonts w:eastAsia="Calibri" w:cs="Times New Roman"/>
                <w:noProof/>
              </w:rPr>
            </w:pPr>
            <w:r w:rsidRPr="00BC4EE7">
              <w:rPr>
                <w:rFonts w:cs="Times New Roman"/>
                <w:noProof/>
              </w:rPr>
              <w:t xml:space="preserve"> </w:t>
            </w:r>
          </w:p>
        </w:tc>
        <w:tc>
          <w:tcPr>
            <w:tcW w:w="953" w:type="dxa"/>
            <w:shd w:val="clear" w:color="auto" w:fill="C6EFCE"/>
            <w:noWrap/>
          </w:tcPr>
          <w:p w14:paraId="56156A73" w14:textId="77777777" w:rsidR="00D65CB4" w:rsidRPr="00BC4EE7" w:rsidRDefault="00572307">
            <w:pPr>
              <w:pStyle w:val="P68B1DB1-Normal12"/>
              <w:spacing w:after="0" w:line="240" w:lineRule="auto"/>
              <w:jc w:val="right"/>
              <w:rPr>
                <w:rFonts w:eastAsia="Calibri" w:cs="Times New Roman"/>
                <w:noProof/>
              </w:rPr>
            </w:pPr>
            <w:r w:rsidRPr="00BC4EE7">
              <w:rPr>
                <w:rFonts w:cs="Times New Roman"/>
                <w:noProof/>
              </w:rPr>
              <w:t xml:space="preserve"> </w:t>
            </w:r>
          </w:p>
        </w:tc>
        <w:tc>
          <w:tcPr>
            <w:tcW w:w="546" w:type="dxa"/>
            <w:shd w:val="clear" w:color="auto" w:fill="C6EFCE"/>
            <w:noWrap/>
          </w:tcPr>
          <w:p w14:paraId="693C4773" w14:textId="77777777" w:rsidR="00D65CB4" w:rsidRPr="00BC4EE7" w:rsidRDefault="00572307">
            <w:pPr>
              <w:pStyle w:val="P68B1DB1-Normal12"/>
              <w:spacing w:after="0" w:line="240" w:lineRule="auto"/>
              <w:jc w:val="right"/>
              <w:rPr>
                <w:rFonts w:eastAsia="Calibri" w:cs="Times New Roman"/>
                <w:noProof/>
              </w:rPr>
            </w:pPr>
            <w:r w:rsidRPr="00BC4EE7">
              <w:rPr>
                <w:rFonts w:cs="Times New Roman"/>
                <w:noProof/>
              </w:rPr>
              <w:t xml:space="preserve"> </w:t>
            </w:r>
          </w:p>
        </w:tc>
        <w:tc>
          <w:tcPr>
            <w:tcW w:w="410" w:type="dxa"/>
            <w:shd w:val="clear" w:color="auto" w:fill="C6EFCE"/>
            <w:noWrap/>
          </w:tcPr>
          <w:p w14:paraId="5A0931A9"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Q2</w:t>
            </w:r>
          </w:p>
        </w:tc>
        <w:tc>
          <w:tcPr>
            <w:tcW w:w="546" w:type="dxa"/>
            <w:shd w:val="clear" w:color="auto" w:fill="C6EFCE"/>
            <w:noWrap/>
          </w:tcPr>
          <w:p w14:paraId="4C391F0A"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2026</w:t>
            </w:r>
          </w:p>
        </w:tc>
        <w:tc>
          <w:tcPr>
            <w:tcW w:w="5810" w:type="dxa"/>
            <w:shd w:val="clear" w:color="auto" w:fill="C6EFCE"/>
            <w:noWrap/>
          </w:tcPr>
          <w:p w14:paraId="421AB524" w14:textId="77777777" w:rsidR="00D65CB4" w:rsidRPr="00BC4EE7" w:rsidRDefault="00572307">
            <w:pPr>
              <w:spacing w:after="0" w:line="240" w:lineRule="auto"/>
              <w:rPr>
                <w:rFonts w:ascii="Times New Roman" w:eastAsia="Calibri" w:hAnsi="Times New Roman" w:cs="Times New Roman"/>
                <w:noProof/>
                <w:sz w:val="18"/>
              </w:rPr>
            </w:pPr>
            <w:r w:rsidRPr="00BC4EE7">
              <w:rPr>
                <w:rFonts w:ascii="Times New Roman" w:hAnsi="Times New Roman" w:cs="Times New Roman"/>
                <w:noProof/>
              </w:rPr>
              <w:t>A fenntartható és digitális közlekedés előmozdítását célzó, 2022 negyedik negyedévében odaítélt projektek (99. mérföldkő)</w:t>
            </w:r>
            <w:r w:rsidRPr="00BC4EE7">
              <w:rPr>
                <w:rFonts w:ascii="Times New Roman" w:hAnsi="Times New Roman" w:cs="Times New Roman"/>
                <w:noProof/>
                <w:sz w:val="18"/>
              </w:rPr>
              <w:t>lezárása. A munkálatok a 2022 negyedik negyedévi projekt-odaítélés kiválasztási kritériumaiban meghatározott területeken találhatók.</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 10. és 12. intézkedés esetében a kiválasztási kritériumoknak meg kell felelniük a jelentős károkozás elkerülését célzó technikai iránymutatásnak (2021/C58/01), amely biztosítja, hogy az infrastruktúra az építés időpontjában lehetővé váljon a megújuló és alacsony szén-dioxid-kibocsátású gázok szállítására.</w:t>
            </w:r>
          </w:p>
        </w:tc>
      </w:tr>
    </w:tbl>
    <w:p w14:paraId="1F3B1409" w14:textId="77777777" w:rsidR="00D65CB4" w:rsidRPr="00BC4EE7" w:rsidRDefault="00D65CB4">
      <w:pPr>
        <w:spacing w:before="120" w:after="120" w:line="240" w:lineRule="auto"/>
        <w:jc w:val="both"/>
        <w:rPr>
          <w:rFonts w:ascii="Times New Roman" w:hAnsi="Times New Roman" w:cs="Times New Roman"/>
          <w:noProof/>
          <w:sz w:val="24"/>
        </w:rPr>
        <w:sectPr w:rsidR="00D65CB4" w:rsidRPr="00BC4EE7" w:rsidSect="00B511EF">
          <w:headerReference w:type="even" r:id="rId153"/>
          <w:headerReference w:type="default" r:id="rId154"/>
          <w:footerReference w:type="even" r:id="rId155"/>
          <w:footerReference w:type="default" r:id="rId156"/>
          <w:headerReference w:type="first" r:id="rId157"/>
          <w:footerReference w:type="first" r:id="rId158"/>
          <w:pgSz w:w="16839" w:h="11907" w:orient="landscape"/>
          <w:pgMar w:top="1134" w:right="1134" w:bottom="1134" w:left="1134" w:header="567" w:footer="567" w:gutter="0"/>
          <w:cols w:space="720"/>
          <w:docGrid w:linePitch="360"/>
        </w:sectPr>
      </w:pPr>
    </w:p>
    <w:p w14:paraId="480D5346" w14:textId="2A10D28A" w:rsidR="00D65CB4" w:rsidRPr="00BC4EE7" w:rsidRDefault="00572307">
      <w:pPr>
        <w:keepNext/>
        <w:spacing w:before="120" w:after="120" w:line="240" w:lineRule="auto"/>
        <w:ind w:left="720"/>
        <w:jc w:val="both"/>
        <w:rPr>
          <w:rFonts w:ascii="Times New Roman" w:hAnsi="Times New Roman" w:cs="Times New Roman"/>
          <w:b/>
          <w:noProof/>
          <w:sz w:val="24"/>
          <w:u w:val="single"/>
        </w:rPr>
      </w:pPr>
      <w:r w:rsidRPr="00BC4EE7">
        <w:rPr>
          <w:rFonts w:ascii="Times New Roman" w:hAnsi="Times New Roman" w:cs="Times New Roman"/>
          <w:b/>
          <w:noProof/>
          <w:sz w:val="24"/>
          <w:u w:val="single"/>
        </w:rPr>
        <w:t xml:space="preserve">F.3.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A hiteltámogatásra irányuló beruházások ismertetése</w:t>
      </w:r>
    </w:p>
    <w:p w14:paraId="41E41CB2" w14:textId="28BB7C4E" w:rsidR="00D65CB4" w:rsidRPr="00BC4EE7" w:rsidRDefault="00572307">
      <w:pPr>
        <w:pStyle w:val="P68B1DB1-Normal5"/>
        <w:keepNext/>
        <w:spacing w:before="120" w:after="120" w:line="240" w:lineRule="auto"/>
        <w:jc w:val="both"/>
        <w:rPr>
          <w:rFonts w:cs="Times New Roman"/>
          <w:noProof/>
        </w:rPr>
      </w:pPr>
      <w:r w:rsidRPr="00BC4EE7">
        <w:rPr>
          <w:rFonts w:cs="Times New Roman"/>
          <w:noProof/>
        </w:rPr>
        <w:t>Reform (C6.R3) – A nemzeti autópálya-hálózat energiahatékonysági stratégiája</w:t>
      </w:r>
    </w:p>
    <w:p w14:paraId="672DC29C" w14:textId="53DA354B" w:rsidR="00D65CB4" w:rsidRPr="00BC4EE7" w:rsidRDefault="00572307">
      <w:pPr>
        <w:pStyle w:val="P68B1DB1-Normal4"/>
        <w:keepNext/>
        <w:spacing w:before="120" w:after="120" w:line="240" w:lineRule="auto"/>
        <w:jc w:val="both"/>
        <w:rPr>
          <w:rFonts w:cs="Times New Roman"/>
          <w:noProof/>
        </w:rPr>
      </w:pPr>
      <w:bookmarkStart w:id="16" w:name="_Hlk145340180"/>
      <w:r w:rsidRPr="00BC4EE7">
        <w:rPr>
          <w:rFonts w:cs="Times New Roman"/>
          <w:noProof/>
        </w:rPr>
        <w:t xml:space="preserve">E reform célja az energiahatékonyságra vonatkozó stratégia közzététele az állami közúthálózatban, valamint az állami közúthálózat energiahatékonyságának javítását célzó intézkedéscsomag létrehozása. </w:t>
      </w:r>
    </w:p>
    <w:bookmarkEnd w:id="16"/>
    <w:p w14:paraId="618FD4BA" w14:textId="77777777" w:rsidR="00D65CB4" w:rsidRPr="00BC4EE7" w:rsidRDefault="00572307">
      <w:pPr>
        <w:pStyle w:val="P68B1DB1-Normal4"/>
        <w:keepNext/>
        <w:spacing w:before="120" w:after="120" w:line="240" w:lineRule="auto"/>
        <w:jc w:val="both"/>
        <w:rPr>
          <w:rFonts w:cs="Times New Roman"/>
          <w:noProof/>
        </w:rPr>
      </w:pPr>
      <w:r w:rsidRPr="00BC4EE7">
        <w:rPr>
          <w:rFonts w:cs="Times New Roman"/>
          <w:noProof/>
        </w:rPr>
        <w:t>Ez a stratégia legalább a következő elemekre terjed ki:</w:t>
      </w:r>
    </w:p>
    <w:p w14:paraId="65E0DFA6" w14:textId="03A60BEA" w:rsidR="00D65CB4" w:rsidRPr="00BC4EE7" w:rsidRDefault="00572307">
      <w:pPr>
        <w:pStyle w:val="P68B1DB1-ListParagraph6"/>
        <w:keepNext/>
        <w:numPr>
          <w:ilvl w:val="0"/>
          <w:numId w:val="299"/>
        </w:numPr>
        <w:spacing w:before="120" w:after="120" w:line="240" w:lineRule="auto"/>
        <w:ind w:left="426"/>
        <w:jc w:val="both"/>
        <w:rPr>
          <w:rFonts w:cs="Times New Roman"/>
          <w:noProof/>
        </w:rPr>
      </w:pPr>
      <w:r w:rsidRPr="00BC4EE7">
        <w:rPr>
          <w:rFonts w:cs="Times New Roman"/>
          <w:noProof/>
        </w:rPr>
        <w:t>a Nemzeti Közúti Hálózat energiaellátásának elemzése;</w:t>
      </w:r>
    </w:p>
    <w:p w14:paraId="7EF0DBB6" w14:textId="5AB7F952" w:rsidR="00D65CB4" w:rsidRPr="00BC4EE7" w:rsidRDefault="00572307">
      <w:pPr>
        <w:pStyle w:val="P68B1DB1-ListParagraph6"/>
        <w:keepNext/>
        <w:numPr>
          <w:ilvl w:val="0"/>
          <w:numId w:val="299"/>
        </w:numPr>
        <w:spacing w:before="120" w:after="120" w:line="240" w:lineRule="auto"/>
        <w:ind w:left="426"/>
        <w:jc w:val="both"/>
        <w:rPr>
          <w:rFonts w:cs="Times New Roman"/>
          <w:noProof/>
        </w:rPr>
      </w:pPr>
      <w:r w:rsidRPr="00BC4EE7">
        <w:rPr>
          <w:rFonts w:cs="Times New Roman"/>
          <w:noProof/>
        </w:rPr>
        <w:t>a nemzeti közúthálózat jelenlegi helyzetének elemzése a hálózat megvilágítása és a lehetséges megoldások indoklása tekintetében;</w:t>
      </w:r>
    </w:p>
    <w:p w14:paraId="7929D158" w14:textId="02C1B6F2" w:rsidR="00D65CB4" w:rsidRPr="00BC4EE7" w:rsidRDefault="00572307">
      <w:pPr>
        <w:pStyle w:val="P68B1DB1-ListParagraph6"/>
        <w:keepNext/>
        <w:numPr>
          <w:ilvl w:val="0"/>
          <w:numId w:val="299"/>
        </w:numPr>
        <w:spacing w:before="120" w:after="120" w:line="240" w:lineRule="auto"/>
        <w:ind w:left="426"/>
        <w:jc w:val="both"/>
        <w:rPr>
          <w:rFonts w:cs="Times New Roman"/>
          <w:noProof/>
        </w:rPr>
      </w:pPr>
      <w:r w:rsidRPr="00BC4EE7">
        <w:rPr>
          <w:rFonts w:cs="Times New Roman"/>
          <w:noProof/>
        </w:rPr>
        <w:t>a végrehajtandó intézkedések felsorolása a végrehajtásukra vonatkozó határidőkkel együtt;</w:t>
      </w:r>
    </w:p>
    <w:p w14:paraId="54512377" w14:textId="28C22302" w:rsidR="00D65CB4" w:rsidRPr="00BC4EE7" w:rsidRDefault="00572307">
      <w:pPr>
        <w:pStyle w:val="P68B1DB1-ListParagraph6"/>
        <w:keepNext/>
        <w:numPr>
          <w:ilvl w:val="0"/>
          <w:numId w:val="299"/>
        </w:numPr>
        <w:spacing w:before="120" w:after="120" w:line="240" w:lineRule="auto"/>
        <w:ind w:left="426"/>
        <w:jc w:val="both"/>
        <w:rPr>
          <w:rFonts w:cs="Times New Roman"/>
          <w:noProof/>
        </w:rPr>
      </w:pPr>
      <w:r w:rsidRPr="00BC4EE7">
        <w:rPr>
          <w:rFonts w:cs="Times New Roman"/>
          <w:noProof/>
        </w:rPr>
        <w:t>az úthálózat-megvilágítási rendszerben végrehajtandó intézkedések felsorolása; és</w:t>
      </w:r>
    </w:p>
    <w:p w14:paraId="47CA67DE" w14:textId="18DC2347" w:rsidR="00D65CB4" w:rsidRPr="00BC4EE7" w:rsidRDefault="00572307">
      <w:pPr>
        <w:pStyle w:val="P68B1DB1-ListParagraph6"/>
        <w:keepNext/>
        <w:numPr>
          <w:ilvl w:val="0"/>
          <w:numId w:val="299"/>
        </w:numPr>
        <w:spacing w:before="120" w:after="120" w:line="240" w:lineRule="auto"/>
        <w:ind w:left="426"/>
        <w:jc w:val="both"/>
        <w:rPr>
          <w:rFonts w:cs="Times New Roman"/>
          <w:noProof/>
        </w:rPr>
      </w:pPr>
      <w:r w:rsidRPr="00BC4EE7">
        <w:rPr>
          <w:rFonts w:cs="Times New Roman"/>
          <w:noProof/>
        </w:rPr>
        <w:t>beruházási és finanszírozási terv a végrehajtandó intézkedésekre vonatkozóan, az ütemtervvel együtt.</w:t>
      </w:r>
    </w:p>
    <w:p w14:paraId="6260E200" w14:textId="264D0D4B" w:rsidR="00D65CB4" w:rsidRPr="00BC4EE7" w:rsidRDefault="00572307">
      <w:pPr>
        <w:pStyle w:val="P68B1DB1-Normal4"/>
        <w:keepNext/>
        <w:spacing w:before="120" w:after="120" w:line="240" w:lineRule="auto"/>
        <w:jc w:val="both"/>
        <w:rPr>
          <w:rFonts w:cs="Times New Roman"/>
          <w:noProof/>
        </w:rPr>
      </w:pPr>
      <w:r w:rsidRPr="00BC4EE7">
        <w:rPr>
          <w:rFonts w:cs="Times New Roman"/>
          <w:noProof/>
        </w:rPr>
        <w:t xml:space="preserve">A stratégiát 2024 első negyedévében teszik közzé. </w:t>
      </w:r>
    </w:p>
    <w:p w14:paraId="3AFF8F1C" w14:textId="367E3C2F" w:rsidR="00D65CB4" w:rsidRPr="00BC4EE7" w:rsidRDefault="00572307">
      <w:pPr>
        <w:pStyle w:val="P68B1DB1-Normal4"/>
        <w:keepNext/>
        <w:spacing w:before="120" w:after="120" w:line="240" w:lineRule="auto"/>
        <w:jc w:val="both"/>
        <w:rPr>
          <w:rFonts w:cs="Times New Roman"/>
          <w:noProof/>
        </w:rPr>
      </w:pPr>
      <w:r w:rsidRPr="00BC4EE7">
        <w:rPr>
          <w:rFonts w:cs="Times New Roman"/>
          <w:noProof/>
        </w:rPr>
        <w:t>A nemzeti autópálya-hálózatra vonatkozó energiahatékonysági stratégia végrehajtásának részeként a Közúti Főigazgatóság 2024-re kiszámítja a szénlábnyomot, amelynek eredményeit 2025-ben mutatják be.</w:t>
      </w:r>
    </w:p>
    <w:p w14:paraId="3C71D9C4" w14:textId="47F5B719" w:rsidR="00D65CB4" w:rsidRPr="00BC4EE7" w:rsidRDefault="00572307">
      <w:pPr>
        <w:pStyle w:val="P68B1DB1-Normal4"/>
        <w:keepNext/>
        <w:spacing w:before="120" w:after="120" w:line="240" w:lineRule="auto"/>
        <w:jc w:val="both"/>
        <w:rPr>
          <w:rFonts w:cs="Times New Roman"/>
          <w:noProof/>
        </w:rPr>
      </w:pPr>
      <w:r w:rsidRPr="00BC4EE7">
        <w:rPr>
          <w:rFonts w:cs="Times New Roman"/>
          <w:noProof/>
        </w:rPr>
        <w:t>Az intézkedés végrehajtását 2025. december 31-ig be kell fejezni.</w:t>
      </w:r>
    </w:p>
    <w:p w14:paraId="6073A5AE" w14:textId="32A6F5A7" w:rsidR="00D65CB4" w:rsidRPr="00BC4EE7" w:rsidRDefault="00572307">
      <w:pPr>
        <w:keepNext/>
        <w:spacing w:before="120" w:after="120" w:line="240" w:lineRule="auto"/>
        <w:ind w:left="709"/>
        <w:jc w:val="both"/>
        <w:rPr>
          <w:rFonts w:ascii="Times New Roman" w:hAnsi="Times New Roman" w:cs="Times New Roman"/>
          <w:b/>
          <w:noProof/>
          <w:sz w:val="24"/>
          <w:u w:val="single"/>
        </w:rPr>
      </w:pPr>
      <w:r w:rsidRPr="00BC4EE7">
        <w:rPr>
          <w:rFonts w:ascii="Times New Roman" w:hAnsi="Times New Roman" w:cs="Times New Roman"/>
          <w:b/>
          <w:noProof/>
          <w:sz w:val="24"/>
          <w:u w:val="single"/>
        </w:rPr>
        <w:t xml:space="preserve">F.4.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A hiteltámogatás nyomon követésére és végrehajtására vonatkozó mérföldkövek, célok, mutatók és ütemterv</w:t>
      </w:r>
    </w:p>
    <w:p w14:paraId="1B69D7D8" w14:textId="77777777" w:rsidR="00D65CB4" w:rsidRPr="00BC4EE7" w:rsidRDefault="00572307">
      <w:pPr>
        <w:pStyle w:val="P68B1DB1-Normal17"/>
        <w:keepNext/>
        <w:spacing w:before="120" w:after="120" w:line="240" w:lineRule="auto"/>
        <w:jc w:val="both"/>
        <w:rPr>
          <w:rFonts w:cs="Times New Roman"/>
          <w:noProof/>
        </w:rPr>
        <w:sectPr w:rsidR="00D65CB4" w:rsidRPr="00BC4EE7" w:rsidSect="00B511EF">
          <w:headerReference w:type="even" r:id="rId159"/>
          <w:headerReference w:type="default" r:id="rId160"/>
          <w:footerReference w:type="even" r:id="rId161"/>
          <w:footerReference w:type="default" r:id="rId162"/>
          <w:headerReference w:type="first" r:id="rId163"/>
          <w:footerReference w:type="first" r:id="rId164"/>
          <w:pgSz w:w="11907" w:h="16839"/>
          <w:pgMar w:top="1134" w:right="1134" w:bottom="1134" w:left="1134" w:header="567" w:footer="567" w:gutter="0"/>
          <w:cols w:space="720"/>
          <w:docGrid w:linePitch="360"/>
        </w:sectPr>
      </w:pPr>
      <w:r w:rsidRPr="00BC4EE7">
        <w:rPr>
          <w:rFonts w:cs="Times New Roman"/>
          <w:noProof/>
        </w:rPr>
        <w:t>Táblázat alább. A kiindulási időpont valamennyi mutató esetében február 1-je, kivéve, ha az intézkedés leírása ettől eltérően rendelkezik. A táblázatban szereplő összegek nem tartalmazzák a héát.</w:t>
      </w:r>
    </w:p>
    <w:tbl>
      <w:tblPr>
        <w:tblW w:w="14288"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31"/>
        <w:gridCol w:w="1013"/>
        <w:gridCol w:w="992"/>
        <w:gridCol w:w="992"/>
        <w:gridCol w:w="1271"/>
        <w:gridCol w:w="826"/>
        <w:gridCol w:w="964"/>
        <w:gridCol w:w="552"/>
        <w:gridCol w:w="414"/>
        <w:gridCol w:w="552"/>
        <w:gridCol w:w="5881"/>
      </w:tblGrid>
      <w:tr w:rsidR="00D65CB4" w:rsidRPr="00BC4EE7" w14:paraId="6C70091A" w14:textId="77777777" w:rsidTr="00481CF8">
        <w:trPr>
          <w:trHeight w:val="309"/>
          <w:tblHeader/>
        </w:trPr>
        <w:tc>
          <w:tcPr>
            <w:tcW w:w="831" w:type="dxa"/>
            <w:tcBorders>
              <w:bottom w:val="nil"/>
            </w:tcBorders>
            <w:shd w:val="clear" w:color="auto" w:fill="C6D9F1" w:themeFill="text2" w:themeFillTint="33"/>
            <w:noWrap/>
            <w:vAlign w:val="center"/>
          </w:tcPr>
          <w:p w14:paraId="0F94297D"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Szám</w:t>
            </w:r>
          </w:p>
        </w:tc>
        <w:tc>
          <w:tcPr>
            <w:tcW w:w="1013" w:type="dxa"/>
            <w:tcBorders>
              <w:bottom w:val="nil"/>
            </w:tcBorders>
            <w:shd w:val="clear" w:color="auto" w:fill="C6D9F1" w:themeFill="text2" w:themeFillTint="33"/>
            <w:noWrap/>
            <w:vAlign w:val="center"/>
          </w:tcPr>
          <w:p w14:paraId="42085BC1"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Intézkedés</w:t>
            </w:r>
          </w:p>
        </w:tc>
        <w:tc>
          <w:tcPr>
            <w:tcW w:w="992" w:type="dxa"/>
            <w:tcBorders>
              <w:bottom w:val="nil"/>
            </w:tcBorders>
            <w:shd w:val="clear" w:color="auto" w:fill="C6D9F1" w:themeFill="text2" w:themeFillTint="33"/>
            <w:noWrap/>
            <w:vAlign w:val="center"/>
          </w:tcPr>
          <w:p w14:paraId="55B4CF8E" w14:textId="77777777" w:rsidR="00D65CB4" w:rsidRPr="00BC4EE7" w:rsidRDefault="00572307">
            <w:pPr>
              <w:spacing w:after="0" w:line="240" w:lineRule="auto"/>
              <w:jc w:val="center"/>
              <w:rPr>
                <w:rFonts w:ascii="Times New Roman" w:hAnsi="Times New Roman" w:cs="Times New Roman"/>
                <w:b/>
                <w:noProof/>
                <w:sz w:val="18"/>
              </w:rPr>
            </w:pPr>
            <w:r w:rsidRPr="00BC4EE7">
              <w:rPr>
                <w:rFonts w:ascii="Times New Roman" w:hAnsi="Times New Roman" w:cs="Times New Roman"/>
                <w:b/>
                <w:noProof/>
                <w:sz w:val="18"/>
              </w:rPr>
              <w:t>Mérföldkő</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b/>
                <w:noProof/>
                <w:sz w:val="18"/>
              </w:rPr>
              <w:t xml:space="preserve"> /Cél</w:t>
            </w:r>
          </w:p>
        </w:tc>
        <w:tc>
          <w:tcPr>
            <w:tcW w:w="992" w:type="dxa"/>
            <w:tcBorders>
              <w:bottom w:val="nil"/>
            </w:tcBorders>
            <w:shd w:val="clear" w:color="auto" w:fill="C6D9F1" w:themeFill="text2" w:themeFillTint="33"/>
            <w:noWrap/>
            <w:vAlign w:val="center"/>
          </w:tcPr>
          <w:p w14:paraId="148B6FA0"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Név</w:t>
            </w:r>
          </w:p>
        </w:tc>
        <w:tc>
          <w:tcPr>
            <w:tcW w:w="1271" w:type="dxa"/>
            <w:tcBorders>
              <w:bottom w:val="nil"/>
            </w:tcBorders>
            <w:shd w:val="clear" w:color="auto" w:fill="C6D9F1" w:themeFill="text2" w:themeFillTint="33"/>
            <w:noWrap/>
            <w:vAlign w:val="center"/>
          </w:tcPr>
          <w:p w14:paraId="44461C53"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mérföldkövek minőségi mutatója</w:t>
            </w:r>
          </w:p>
        </w:tc>
        <w:tc>
          <w:tcPr>
            <w:tcW w:w="2342" w:type="dxa"/>
            <w:gridSpan w:val="3"/>
            <w:shd w:val="clear" w:color="auto" w:fill="C6D9F1" w:themeFill="text2" w:themeFillTint="33"/>
            <w:noWrap/>
            <w:vAlign w:val="center"/>
          </w:tcPr>
          <w:p w14:paraId="50B975C4"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célérték mennyiségi mutatója</w:t>
            </w:r>
          </w:p>
        </w:tc>
        <w:tc>
          <w:tcPr>
            <w:tcW w:w="966" w:type="dxa"/>
            <w:gridSpan w:val="2"/>
            <w:shd w:val="clear" w:color="auto" w:fill="C6D9F1" w:themeFill="text2" w:themeFillTint="33"/>
            <w:noWrap/>
            <w:vAlign w:val="center"/>
          </w:tcPr>
          <w:p w14:paraId="75E7C355"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Idő</w:t>
            </w:r>
          </w:p>
        </w:tc>
        <w:tc>
          <w:tcPr>
            <w:tcW w:w="5881" w:type="dxa"/>
            <w:tcBorders>
              <w:bottom w:val="nil"/>
            </w:tcBorders>
            <w:shd w:val="clear" w:color="auto" w:fill="C6D9F1" w:themeFill="text2" w:themeFillTint="33"/>
            <w:noWrap/>
            <w:vAlign w:val="center"/>
          </w:tcPr>
          <w:p w14:paraId="573D79A1"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Az egyes mérföldkövek és célértékek leírása</w:t>
            </w:r>
          </w:p>
        </w:tc>
      </w:tr>
      <w:tr w:rsidR="00D65CB4" w:rsidRPr="00BC4EE7" w14:paraId="127AB19D" w14:textId="77777777" w:rsidTr="00481CF8">
        <w:trPr>
          <w:trHeight w:val="309"/>
          <w:tblHeader/>
        </w:trPr>
        <w:tc>
          <w:tcPr>
            <w:tcW w:w="831" w:type="dxa"/>
            <w:tcBorders>
              <w:top w:val="nil"/>
            </w:tcBorders>
            <w:shd w:val="clear" w:color="auto" w:fill="C6D9F1" w:themeFill="text2" w:themeFillTint="33"/>
            <w:noWrap/>
          </w:tcPr>
          <w:p w14:paraId="211A0EB4" w14:textId="77777777" w:rsidR="00D65CB4" w:rsidRPr="00BC4EE7" w:rsidRDefault="00D65CB4">
            <w:pPr>
              <w:spacing w:after="0" w:line="240" w:lineRule="auto"/>
              <w:jc w:val="center"/>
              <w:rPr>
                <w:rFonts w:ascii="Times New Roman" w:hAnsi="Times New Roman" w:cs="Times New Roman"/>
                <w:b/>
                <w:noProof/>
                <w:sz w:val="18"/>
              </w:rPr>
            </w:pPr>
          </w:p>
        </w:tc>
        <w:tc>
          <w:tcPr>
            <w:tcW w:w="1013" w:type="dxa"/>
            <w:tcBorders>
              <w:top w:val="nil"/>
            </w:tcBorders>
            <w:shd w:val="clear" w:color="auto" w:fill="C6D9F1" w:themeFill="text2" w:themeFillTint="33"/>
            <w:noWrap/>
          </w:tcPr>
          <w:p w14:paraId="7FB2C45D" w14:textId="77777777" w:rsidR="00D65CB4" w:rsidRPr="00BC4EE7" w:rsidRDefault="00D65CB4">
            <w:pPr>
              <w:spacing w:after="0" w:line="240" w:lineRule="auto"/>
              <w:jc w:val="center"/>
              <w:rPr>
                <w:rFonts w:ascii="Times New Roman" w:hAnsi="Times New Roman" w:cs="Times New Roman"/>
                <w:b/>
                <w:noProof/>
                <w:sz w:val="18"/>
              </w:rPr>
            </w:pPr>
          </w:p>
        </w:tc>
        <w:tc>
          <w:tcPr>
            <w:tcW w:w="992" w:type="dxa"/>
            <w:tcBorders>
              <w:top w:val="nil"/>
            </w:tcBorders>
            <w:shd w:val="clear" w:color="auto" w:fill="C6D9F1" w:themeFill="text2" w:themeFillTint="33"/>
            <w:noWrap/>
          </w:tcPr>
          <w:p w14:paraId="08240DBD" w14:textId="77777777" w:rsidR="00D65CB4" w:rsidRPr="00BC4EE7" w:rsidRDefault="00D65CB4">
            <w:pPr>
              <w:spacing w:after="0" w:line="240" w:lineRule="auto"/>
              <w:jc w:val="center"/>
              <w:rPr>
                <w:rFonts w:ascii="Times New Roman" w:hAnsi="Times New Roman" w:cs="Times New Roman"/>
                <w:b/>
                <w:noProof/>
                <w:sz w:val="18"/>
              </w:rPr>
            </w:pPr>
          </w:p>
        </w:tc>
        <w:tc>
          <w:tcPr>
            <w:tcW w:w="992" w:type="dxa"/>
            <w:tcBorders>
              <w:top w:val="nil"/>
            </w:tcBorders>
            <w:shd w:val="clear" w:color="auto" w:fill="C6D9F1" w:themeFill="text2" w:themeFillTint="33"/>
            <w:noWrap/>
          </w:tcPr>
          <w:p w14:paraId="6A2FB924" w14:textId="77777777" w:rsidR="00D65CB4" w:rsidRPr="00BC4EE7" w:rsidRDefault="00D65CB4">
            <w:pPr>
              <w:spacing w:after="0" w:line="240" w:lineRule="auto"/>
              <w:rPr>
                <w:rFonts w:ascii="Times New Roman" w:hAnsi="Times New Roman" w:cs="Times New Roman"/>
                <w:b/>
                <w:noProof/>
                <w:sz w:val="18"/>
              </w:rPr>
            </w:pPr>
          </w:p>
        </w:tc>
        <w:tc>
          <w:tcPr>
            <w:tcW w:w="1271" w:type="dxa"/>
            <w:tcBorders>
              <w:top w:val="nil"/>
            </w:tcBorders>
            <w:shd w:val="clear" w:color="auto" w:fill="C6D9F1" w:themeFill="text2" w:themeFillTint="33"/>
            <w:noWrap/>
          </w:tcPr>
          <w:p w14:paraId="43DE7DBC" w14:textId="77777777" w:rsidR="00D65CB4" w:rsidRPr="00BC4EE7" w:rsidRDefault="00D65CB4">
            <w:pPr>
              <w:spacing w:after="0" w:line="240" w:lineRule="auto"/>
              <w:jc w:val="center"/>
              <w:rPr>
                <w:rFonts w:ascii="Times New Roman" w:hAnsi="Times New Roman" w:cs="Times New Roman"/>
                <w:b/>
                <w:noProof/>
                <w:sz w:val="18"/>
              </w:rPr>
            </w:pPr>
          </w:p>
        </w:tc>
        <w:tc>
          <w:tcPr>
            <w:tcW w:w="826" w:type="dxa"/>
            <w:shd w:val="clear" w:color="auto" w:fill="C6D9F1" w:themeFill="text2" w:themeFillTint="33"/>
            <w:noWrap/>
            <w:vAlign w:val="center"/>
          </w:tcPr>
          <w:p w14:paraId="498A5F1A"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Egység</w:t>
            </w:r>
          </w:p>
        </w:tc>
        <w:tc>
          <w:tcPr>
            <w:tcW w:w="964" w:type="dxa"/>
            <w:shd w:val="clear" w:color="auto" w:fill="C6D9F1" w:themeFill="text2" w:themeFillTint="33"/>
            <w:noWrap/>
            <w:vAlign w:val="center"/>
          </w:tcPr>
          <w:p w14:paraId="5C6F3F10" w14:textId="006267E8" w:rsidR="00D65CB4" w:rsidRPr="00BC4EE7" w:rsidRDefault="00572307">
            <w:pPr>
              <w:pStyle w:val="P68B1DB1-Normal8"/>
              <w:spacing w:after="0" w:line="240" w:lineRule="auto"/>
              <w:jc w:val="center"/>
              <w:rPr>
                <w:rFonts w:cs="Times New Roman"/>
                <w:noProof/>
              </w:rPr>
            </w:pPr>
            <w:r w:rsidRPr="00BC4EE7">
              <w:rPr>
                <w:rFonts w:cs="Times New Roman"/>
                <w:noProof/>
              </w:rPr>
              <w:t>Kiindulási</w:t>
            </w:r>
          </w:p>
        </w:tc>
        <w:tc>
          <w:tcPr>
            <w:tcW w:w="552" w:type="dxa"/>
            <w:shd w:val="clear" w:color="auto" w:fill="C6D9F1" w:themeFill="text2" w:themeFillTint="33"/>
            <w:noWrap/>
            <w:vAlign w:val="center"/>
          </w:tcPr>
          <w:p w14:paraId="32D321C1"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Cél</w:t>
            </w:r>
          </w:p>
        </w:tc>
        <w:tc>
          <w:tcPr>
            <w:tcW w:w="414" w:type="dxa"/>
            <w:shd w:val="clear" w:color="auto" w:fill="C6D9F1" w:themeFill="text2" w:themeFillTint="33"/>
            <w:noWrap/>
            <w:vAlign w:val="center"/>
          </w:tcPr>
          <w:p w14:paraId="68C2B3E4"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Q</w:t>
            </w:r>
          </w:p>
        </w:tc>
        <w:tc>
          <w:tcPr>
            <w:tcW w:w="552" w:type="dxa"/>
            <w:shd w:val="clear" w:color="auto" w:fill="C6D9F1" w:themeFill="text2" w:themeFillTint="33"/>
            <w:noWrap/>
            <w:vAlign w:val="center"/>
          </w:tcPr>
          <w:p w14:paraId="107C164F"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Éve</w:t>
            </w:r>
          </w:p>
        </w:tc>
        <w:tc>
          <w:tcPr>
            <w:tcW w:w="5881" w:type="dxa"/>
            <w:tcBorders>
              <w:top w:val="nil"/>
            </w:tcBorders>
            <w:shd w:val="clear" w:color="auto" w:fill="C6D9F1" w:themeFill="text2" w:themeFillTint="33"/>
            <w:noWrap/>
          </w:tcPr>
          <w:p w14:paraId="03709E6F" w14:textId="77777777" w:rsidR="00D65CB4" w:rsidRPr="00BC4EE7" w:rsidRDefault="00D65CB4">
            <w:pPr>
              <w:spacing w:after="0" w:line="240" w:lineRule="auto"/>
              <w:rPr>
                <w:rFonts w:ascii="Times New Roman" w:hAnsi="Times New Roman" w:cs="Times New Roman"/>
                <w:b/>
                <w:noProof/>
                <w:sz w:val="18"/>
              </w:rPr>
            </w:pPr>
          </w:p>
        </w:tc>
      </w:tr>
      <w:tr w:rsidR="00D65CB4" w:rsidRPr="00BC4EE7" w14:paraId="20DE5AEE" w14:textId="77777777" w:rsidTr="00481CF8">
        <w:trPr>
          <w:trHeight w:val="309"/>
        </w:trPr>
        <w:tc>
          <w:tcPr>
            <w:tcW w:w="831" w:type="dxa"/>
            <w:shd w:val="clear" w:color="auto" w:fill="C6EFCE"/>
            <w:noWrap/>
          </w:tcPr>
          <w:p w14:paraId="07FC8ABD" w14:textId="45474011"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L15</w:t>
            </w:r>
          </w:p>
        </w:tc>
        <w:tc>
          <w:tcPr>
            <w:tcW w:w="1013" w:type="dxa"/>
            <w:shd w:val="clear" w:color="auto" w:fill="C6EFCE"/>
            <w:noWrap/>
          </w:tcPr>
          <w:p w14:paraId="7E6318B2"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C6.R3</w:t>
            </w:r>
          </w:p>
        </w:tc>
        <w:tc>
          <w:tcPr>
            <w:tcW w:w="992" w:type="dxa"/>
            <w:shd w:val="clear" w:color="auto" w:fill="C6EFCE"/>
            <w:noWrap/>
          </w:tcPr>
          <w:p w14:paraId="3AB77307"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M</w:t>
            </w:r>
          </w:p>
        </w:tc>
        <w:tc>
          <w:tcPr>
            <w:tcW w:w="992" w:type="dxa"/>
            <w:shd w:val="clear" w:color="auto" w:fill="C6EFCE"/>
            <w:noWrap/>
          </w:tcPr>
          <w:p w14:paraId="2AC4B1E1" w14:textId="77777777" w:rsidR="00D65CB4" w:rsidRPr="00BC4EE7" w:rsidRDefault="00572307">
            <w:pPr>
              <w:pStyle w:val="P68B1DB1-Normal12"/>
              <w:keepNext/>
              <w:spacing w:line="240" w:lineRule="auto"/>
              <w:jc w:val="both"/>
              <w:rPr>
                <w:rFonts w:cs="Times New Roman"/>
                <w:noProof/>
              </w:rPr>
            </w:pPr>
            <w:r w:rsidRPr="00BC4EE7">
              <w:rPr>
                <w:rFonts w:cs="Times New Roman"/>
                <w:noProof/>
              </w:rPr>
              <w:t>Energiahatékonysági stratégia</w:t>
            </w:r>
          </w:p>
        </w:tc>
        <w:tc>
          <w:tcPr>
            <w:tcW w:w="1271" w:type="dxa"/>
            <w:shd w:val="clear" w:color="auto" w:fill="C6EFCE"/>
            <w:noWrap/>
          </w:tcPr>
          <w:p w14:paraId="56E8D283"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Közzététel a Hivatalos Lapban</w:t>
            </w:r>
          </w:p>
        </w:tc>
        <w:tc>
          <w:tcPr>
            <w:tcW w:w="826" w:type="dxa"/>
            <w:shd w:val="clear" w:color="auto" w:fill="C6EFCE"/>
            <w:noWrap/>
          </w:tcPr>
          <w:p w14:paraId="3CE0DA42" w14:textId="77777777" w:rsidR="00D65CB4" w:rsidRPr="00BC4EE7" w:rsidRDefault="00D65CB4">
            <w:pPr>
              <w:spacing w:after="0" w:line="240" w:lineRule="auto"/>
              <w:jc w:val="right"/>
              <w:rPr>
                <w:rFonts w:ascii="Times New Roman" w:eastAsia="MS Mincho" w:hAnsi="Times New Roman" w:cs="Times New Roman"/>
                <w:noProof/>
                <w:sz w:val="18"/>
              </w:rPr>
            </w:pPr>
          </w:p>
        </w:tc>
        <w:tc>
          <w:tcPr>
            <w:tcW w:w="964" w:type="dxa"/>
            <w:shd w:val="clear" w:color="auto" w:fill="C6EFCE"/>
            <w:noWrap/>
          </w:tcPr>
          <w:p w14:paraId="1921FAAF" w14:textId="77777777" w:rsidR="00D65CB4" w:rsidRPr="00BC4EE7" w:rsidRDefault="00D65CB4">
            <w:pPr>
              <w:spacing w:after="0" w:line="240" w:lineRule="auto"/>
              <w:jc w:val="right"/>
              <w:rPr>
                <w:rFonts w:ascii="Times New Roman" w:eastAsia="MS Mincho" w:hAnsi="Times New Roman" w:cs="Times New Roman"/>
                <w:noProof/>
                <w:sz w:val="18"/>
              </w:rPr>
            </w:pPr>
          </w:p>
        </w:tc>
        <w:tc>
          <w:tcPr>
            <w:tcW w:w="552" w:type="dxa"/>
            <w:shd w:val="clear" w:color="auto" w:fill="C6EFCE"/>
            <w:noWrap/>
          </w:tcPr>
          <w:p w14:paraId="479AC3D8" w14:textId="77777777" w:rsidR="00D65CB4" w:rsidRPr="00BC4EE7" w:rsidRDefault="00D65CB4">
            <w:pPr>
              <w:spacing w:after="0" w:line="240" w:lineRule="auto"/>
              <w:jc w:val="right"/>
              <w:rPr>
                <w:rFonts w:ascii="Times New Roman" w:eastAsia="MS Mincho" w:hAnsi="Times New Roman" w:cs="Times New Roman"/>
                <w:noProof/>
                <w:sz w:val="18"/>
              </w:rPr>
            </w:pPr>
          </w:p>
        </w:tc>
        <w:tc>
          <w:tcPr>
            <w:tcW w:w="414" w:type="dxa"/>
            <w:shd w:val="clear" w:color="auto" w:fill="C6EFCE"/>
            <w:noWrap/>
          </w:tcPr>
          <w:p w14:paraId="17581F1F" w14:textId="0875343C" w:rsidR="00D65CB4" w:rsidRPr="00BC4EE7" w:rsidRDefault="00572307">
            <w:pPr>
              <w:pStyle w:val="P68B1DB1-Normal12"/>
              <w:spacing w:after="0" w:line="240" w:lineRule="auto"/>
              <w:jc w:val="center"/>
              <w:rPr>
                <w:rFonts w:cs="Times New Roman"/>
                <w:noProof/>
              </w:rPr>
            </w:pPr>
            <w:r w:rsidRPr="00BC4EE7">
              <w:rPr>
                <w:rFonts w:cs="Times New Roman"/>
                <w:noProof/>
              </w:rPr>
              <w:t>Q1</w:t>
            </w:r>
          </w:p>
        </w:tc>
        <w:tc>
          <w:tcPr>
            <w:tcW w:w="552" w:type="dxa"/>
            <w:shd w:val="clear" w:color="auto" w:fill="C6EFCE"/>
            <w:noWrap/>
          </w:tcPr>
          <w:p w14:paraId="2AAEA016" w14:textId="13619E7E" w:rsidR="00D65CB4" w:rsidRPr="00BC4EE7" w:rsidRDefault="00572307">
            <w:pPr>
              <w:pStyle w:val="P68B1DB1-Normal12"/>
              <w:spacing w:after="0" w:line="240" w:lineRule="auto"/>
              <w:jc w:val="center"/>
              <w:rPr>
                <w:rFonts w:cs="Times New Roman"/>
                <w:noProof/>
              </w:rPr>
            </w:pPr>
            <w:r w:rsidRPr="00BC4EE7">
              <w:rPr>
                <w:rFonts w:cs="Times New Roman"/>
                <w:noProof/>
              </w:rPr>
              <w:t>2024</w:t>
            </w:r>
          </w:p>
        </w:tc>
        <w:tc>
          <w:tcPr>
            <w:tcW w:w="5881" w:type="dxa"/>
            <w:shd w:val="clear" w:color="auto" w:fill="C6EFCE"/>
            <w:noWrap/>
          </w:tcPr>
          <w:p w14:paraId="08402BD6" w14:textId="77777777" w:rsidR="00D65CB4" w:rsidRPr="00BC4EE7" w:rsidRDefault="00572307">
            <w:pPr>
              <w:pStyle w:val="P68B1DB1-Normal12"/>
              <w:spacing w:after="0" w:line="240" w:lineRule="auto"/>
              <w:rPr>
                <w:rFonts w:cs="Times New Roman"/>
                <w:noProof/>
              </w:rPr>
            </w:pPr>
            <w:r w:rsidRPr="00BC4EE7">
              <w:rPr>
                <w:rFonts w:cs="Times New Roman"/>
                <w:noProof/>
              </w:rPr>
              <w:t>A Nemzeti Úthálózat energiahatékonysági stratégiája jóváhagyásának közzététele a Hivatalos Lapban, amely az intézkedés leírásával összhangban lévő elemeket tartalmazza.</w:t>
            </w:r>
          </w:p>
        </w:tc>
      </w:tr>
      <w:tr w:rsidR="00D65CB4" w:rsidRPr="00BC4EE7" w14:paraId="136392DF" w14:textId="77777777" w:rsidTr="00481CF8">
        <w:trPr>
          <w:trHeight w:val="309"/>
        </w:trPr>
        <w:tc>
          <w:tcPr>
            <w:tcW w:w="831" w:type="dxa"/>
            <w:shd w:val="clear" w:color="auto" w:fill="C6EFCE"/>
            <w:noWrap/>
          </w:tcPr>
          <w:p w14:paraId="0D531A0E" w14:textId="26DB87DE" w:rsidR="00D65CB4" w:rsidRPr="00BC4EE7" w:rsidRDefault="00572307">
            <w:pPr>
              <w:pStyle w:val="P68B1DB1-Normal12"/>
              <w:spacing w:after="0" w:line="240" w:lineRule="auto"/>
              <w:jc w:val="center"/>
              <w:rPr>
                <w:rFonts w:cs="Times New Roman"/>
                <w:noProof/>
              </w:rPr>
            </w:pPr>
            <w:r w:rsidRPr="00BC4EE7">
              <w:rPr>
                <w:rFonts w:cs="Times New Roman"/>
                <w:noProof/>
              </w:rPr>
              <w:t>L16</w:t>
            </w:r>
          </w:p>
        </w:tc>
        <w:tc>
          <w:tcPr>
            <w:tcW w:w="1013" w:type="dxa"/>
            <w:shd w:val="clear" w:color="auto" w:fill="C6EFCE"/>
            <w:noWrap/>
          </w:tcPr>
          <w:p w14:paraId="481B4A66"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C6.R3</w:t>
            </w:r>
          </w:p>
        </w:tc>
        <w:tc>
          <w:tcPr>
            <w:tcW w:w="992" w:type="dxa"/>
            <w:shd w:val="clear" w:color="auto" w:fill="C6EFCE"/>
            <w:noWrap/>
          </w:tcPr>
          <w:p w14:paraId="5A02178D"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M</w:t>
            </w:r>
          </w:p>
        </w:tc>
        <w:tc>
          <w:tcPr>
            <w:tcW w:w="992" w:type="dxa"/>
            <w:shd w:val="clear" w:color="auto" w:fill="C6EFCE"/>
            <w:noWrap/>
          </w:tcPr>
          <w:p w14:paraId="1D4E56AA" w14:textId="77777777" w:rsidR="00D65CB4" w:rsidRPr="00BC4EE7" w:rsidRDefault="00572307">
            <w:pPr>
              <w:pStyle w:val="P68B1DB1-Normal12"/>
              <w:keepNext/>
              <w:spacing w:line="240" w:lineRule="auto"/>
              <w:jc w:val="both"/>
              <w:rPr>
                <w:rFonts w:cs="Times New Roman"/>
                <w:noProof/>
              </w:rPr>
            </w:pPr>
            <w:r w:rsidRPr="00BC4EE7">
              <w:rPr>
                <w:rFonts w:cs="Times New Roman"/>
                <w:noProof/>
              </w:rPr>
              <w:t>A szénlábnyom kiszámítása a Közutak Főigazgatósága által</w:t>
            </w:r>
          </w:p>
        </w:tc>
        <w:tc>
          <w:tcPr>
            <w:tcW w:w="1271" w:type="dxa"/>
            <w:shd w:val="clear" w:color="auto" w:fill="C6EFCE"/>
            <w:noWrap/>
          </w:tcPr>
          <w:p w14:paraId="615F7473"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Az eredmények közzététele a hivatalos online platformon</w:t>
            </w:r>
          </w:p>
        </w:tc>
        <w:tc>
          <w:tcPr>
            <w:tcW w:w="826" w:type="dxa"/>
            <w:shd w:val="clear" w:color="auto" w:fill="C6EFCE"/>
            <w:noWrap/>
          </w:tcPr>
          <w:p w14:paraId="26033E90" w14:textId="77777777" w:rsidR="00D65CB4" w:rsidRPr="00BC4EE7" w:rsidRDefault="00D65CB4">
            <w:pPr>
              <w:spacing w:after="0" w:line="240" w:lineRule="auto"/>
              <w:jc w:val="right"/>
              <w:rPr>
                <w:rFonts w:ascii="Times New Roman" w:eastAsia="MS Mincho" w:hAnsi="Times New Roman" w:cs="Times New Roman"/>
                <w:noProof/>
                <w:sz w:val="18"/>
              </w:rPr>
            </w:pPr>
          </w:p>
        </w:tc>
        <w:tc>
          <w:tcPr>
            <w:tcW w:w="964" w:type="dxa"/>
            <w:shd w:val="clear" w:color="auto" w:fill="C6EFCE"/>
            <w:noWrap/>
          </w:tcPr>
          <w:p w14:paraId="6583EB88" w14:textId="77777777" w:rsidR="00D65CB4" w:rsidRPr="00BC4EE7" w:rsidRDefault="00D65CB4">
            <w:pPr>
              <w:spacing w:after="0" w:line="240" w:lineRule="auto"/>
              <w:jc w:val="right"/>
              <w:rPr>
                <w:rFonts w:ascii="Times New Roman" w:eastAsia="MS Mincho" w:hAnsi="Times New Roman" w:cs="Times New Roman"/>
                <w:noProof/>
                <w:sz w:val="18"/>
              </w:rPr>
            </w:pPr>
          </w:p>
        </w:tc>
        <w:tc>
          <w:tcPr>
            <w:tcW w:w="552" w:type="dxa"/>
            <w:shd w:val="clear" w:color="auto" w:fill="C6EFCE"/>
            <w:noWrap/>
          </w:tcPr>
          <w:p w14:paraId="10EFBCB7" w14:textId="77777777" w:rsidR="00D65CB4" w:rsidRPr="00BC4EE7" w:rsidRDefault="00D65CB4">
            <w:pPr>
              <w:spacing w:after="0" w:line="240" w:lineRule="auto"/>
              <w:jc w:val="right"/>
              <w:rPr>
                <w:rFonts w:ascii="Times New Roman" w:eastAsia="MS Mincho" w:hAnsi="Times New Roman" w:cs="Times New Roman"/>
                <w:noProof/>
                <w:sz w:val="18"/>
              </w:rPr>
            </w:pPr>
          </w:p>
        </w:tc>
        <w:tc>
          <w:tcPr>
            <w:tcW w:w="414" w:type="dxa"/>
            <w:shd w:val="clear" w:color="auto" w:fill="C6EFCE"/>
            <w:noWrap/>
          </w:tcPr>
          <w:p w14:paraId="58277911"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552" w:type="dxa"/>
            <w:shd w:val="clear" w:color="auto" w:fill="C6EFCE"/>
            <w:noWrap/>
          </w:tcPr>
          <w:p w14:paraId="7D5C710A"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2025</w:t>
            </w:r>
          </w:p>
        </w:tc>
        <w:tc>
          <w:tcPr>
            <w:tcW w:w="5881" w:type="dxa"/>
            <w:shd w:val="clear" w:color="auto" w:fill="C6EFCE"/>
            <w:noWrap/>
          </w:tcPr>
          <w:p w14:paraId="5E69941A" w14:textId="750AAB04" w:rsidR="00D65CB4" w:rsidRPr="00BC4EE7" w:rsidRDefault="00572307">
            <w:pPr>
              <w:pStyle w:val="P68B1DB1-Normal12"/>
              <w:spacing w:after="0" w:line="240" w:lineRule="auto"/>
              <w:rPr>
                <w:rFonts w:cs="Times New Roman"/>
                <w:noProof/>
              </w:rPr>
            </w:pPr>
            <w:r w:rsidRPr="00BC4EE7">
              <w:rPr>
                <w:rFonts w:cs="Times New Roman"/>
                <w:noProof/>
              </w:rPr>
              <w:t xml:space="preserve">A 2024-es évre vonatkozó szénlábnyom kiszámítása a Közúti Főigazgatóság által, amelynek eredményét 2025-ben, az energiahatékonysági stratégia végrehajtásának részeként mutatják be. </w:t>
            </w:r>
          </w:p>
        </w:tc>
      </w:tr>
    </w:tbl>
    <w:p w14:paraId="387E03AA" w14:textId="5596F60B" w:rsidR="00D65CB4" w:rsidRPr="00BC4EE7" w:rsidRDefault="00D65CB4">
      <w:pPr>
        <w:keepNext/>
        <w:spacing w:before="120" w:after="120" w:line="240" w:lineRule="auto"/>
        <w:jc w:val="both"/>
        <w:rPr>
          <w:rFonts w:ascii="Times New Roman" w:hAnsi="Times New Roman" w:cs="Times New Roman"/>
          <w:i/>
          <w:noProof/>
          <w:sz w:val="24"/>
        </w:rPr>
        <w:sectPr w:rsidR="00D65CB4" w:rsidRPr="00BC4EE7" w:rsidSect="00B511EF">
          <w:headerReference w:type="even" r:id="rId165"/>
          <w:headerReference w:type="default" r:id="rId166"/>
          <w:footerReference w:type="even" r:id="rId167"/>
          <w:footerReference w:type="default" r:id="rId168"/>
          <w:headerReference w:type="first" r:id="rId169"/>
          <w:footerReference w:type="first" r:id="rId170"/>
          <w:pgSz w:w="16839" w:h="11907" w:orient="landscape"/>
          <w:pgMar w:top="1134" w:right="1134" w:bottom="1134" w:left="1134" w:header="567" w:footer="567" w:gutter="0"/>
          <w:cols w:space="720"/>
          <w:docGrid w:linePitch="360"/>
        </w:sectPr>
      </w:pPr>
    </w:p>
    <w:p w14:paraId="53C80719" w14:textId="7CE1C40B" w:rsidR="00D65CB4" w:rsidRPr="00BC4EE7" w:rsidRDefault="00572307">
      <w:pPr>
        <w:pStyle w:val="P68B1DB1-Heading12"/>
        <w:rPr>
          <w:rFonts w:cs="Times New Roman"/>
          <w:noProof/>
        </w:rPr>
      </w:pPr>
      <w:r w:rsidRPr="00BC4EE7">
        <w:rPr>
          <w:rFonts w:cs="Times New Roman"/>
          <w:noProof/>
        </w:rPr>
        <w:t>G. 07. KOMPONENS: A megújuló energiaforrások bevezetése és integrálása</w:t>
      </w:r>
    </w:p>
    <w:p w14:paraId="0BCA915E"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Spanyolország 2021–2030-as időszakra vonatkozó nemzeti energia- és klímaterve (NEKT) a megújuló energia elterjedtségének jelentős növekedését vetíti előre Spanyolországban: 2030-ra a villamosenergia-ágazatban 74%-ot, a végső felhasználás pedig 42%-ot tesz ki. Ezzel összefüggésben a spanyol helyreállítási és rezilienciaépítési terv ezen komponensének célja a megújuló energia használatának növelése a következő elemek révén: </w:t>
      </w:r>
    </w:p>
    <w:p w14:paraId="19807A53" w14:textId="77777777" w:rsidR="00D65CB4" w:rsidRPr="00BC4EE7" w:rsidRDefault="00572307">
      <w:pPr>
        <w:pStyle w:val="P68B1DB1-Normal4"/>
        <w:numPr>
          <w:ilvl w:val="0"/>
          <w:numId w:val="63"/>
        </w:numPr>
        <w:spacing w:before="120" w:after="120" w:line="240" w:lineRule="auto"/>
        <w:jc w:val="both"/>
        <w:rPr>
          <w:rFonts w:cs="Times New Roman"/>
          <w:noProof/>
        </w:rPr>
      </w:pPr>
      <w:r w:rsidRPr="00BC4EE7">
        <w:rPr>
          <w:rFonts w:cs="Times New Roman"/>
          <w:noProof/>
        </w:rPr>
        <w:t xml:space="preserve">egyértelmű és kiszámítható szabályozási keret kidolgozása, amely előmozdítja a megújuló energiaforrásokba történő beruházásokat; </w:t>
      </w:r>
    </w:p>
    <w:p w14:paraId="34DD1FF7" w14:textId="77777777" w:rsidR="00D65CB4" w:rsidRPr="00BC4EE7" w:rsidRDefault="00572307">
      <w:pPr>
        <w:pStyle w:val="P68B1DB1-Normal4"/>
        <w:numPr>
          <w:ilvl w:val="0"/>
          <w:numId w:val="63"/>
        </w:numPr>
        <w:spacing w:before="120" w:after="120" w:line="240" w:lineRule="auto"/>
        <w:jc w:val="both"/>
        <w:rPr>
          <w:rFonts w:cs="Times New Roman"/>
          <w:noProof/>
        </w:rPr>
      </w:pPr>
      <w:r w:rsidRPr="00BC4EE7">
        <w:rPr>
          <w:rFonts w:cs="Times New Roman"/>
          <w:noProof/>
        </w:rPr>
        <w:t xml:space="preserve">az ipari értéklánc létrehozása és megszilárdítása a megújuló energiaforrások területén; </w:t>
      </w:r>
    </w:p>
    <w:p w14:paraId="2EB428BC" w14:textId="77777777" w:rsidR="00D65CB4" w:rsidRPr="00BC4EE7" w:rsidRDefault="00572307">
      <w:pPr>
        <w:pStyle w:val="P68B1DB1-Normal4"/>
        <w:numPr>
          <w:ilvl w:val="0"/>
          <w:numId w:val="63"/>
        </w:numPr>
        <w:spacing w:before="120" w:after="120" w:line="240" w:lineRule="auto"/>
        <w:jc w:val="both"/>
        <w:rPr>
          <w:rFonts w:cs="Times New Roman"/>
          <w:noProof/>
        </w:rPr>
      </w:pPr>
      <w:r w:rsidRPr="00BC4EE7">
        <w:rPr>
          <w:rFonts w:cs="Times New Roman"/>
          <w:noProof/>
        </w:rPr>
        <w:t xml:space="preserve">a megújulóenergia-termelési technológiák innovatív forrásainak támogatása, beleértve a végfelhasználásba való integrálásukat is; és </w:t>
      </w:r>
    </w:p>
    <w:p w14:paraId="08C3D8B9" w14:textId="77777777" w:rsidR="00D65CB4" w:rsidRPr="00BC4EE7" w:rsidRDefault="00572307">
      <w:pPr>
        <w:pStyle w:val="P68B1DB1-Normal4"/>
        <w:numPr>
          <w:ilvl w:val="0"/>
          <w:numId w:val="63"/>
        </w:numPr>
        <w:spacing w:before="120" w:after="120" w:line="240" w:lineRule="auto"/>
        <w:jc w:val="both"/>
        <w:rPr>
          <w:rFonts w:cs="Times New Roman"/>
          <w:noProof/>
        </w:rPr>
      </w:pPr>
      <w:r w:rsidRPr="00BC4EE7">
        <w:rPr>
          <w:rFonts w:cs="Times New Roman"/>
          <w:noProof/>
        </w:rPr>
        <w:t xml:space="preserve">a zöld készségek fejlesztése. </w:t>
      </w:r>
    </w:p>
    <w:p w14:paraId="6DE6D20B"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Emellett a komponens kifejezetten arra törekszik, hogy előmozdítsa a megújuló energiák elterjedését a spanyol szigeteken, valamint a polgárok megújulóenergia-közösségeken keresztüli részvételét.</w:t>
      </w:r>
    </w:p>
    <w:p w14:paraId="071ABE97"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komponens az innovációba és az energiahatékonyságba történő beruházások előmozdításához kapcsolódik (2019. évi 3. országspecifikus ajánlás). Emellett előmozdítja a köz- és magánberuházásokat, és előmozdítja a zöld átállást (2020. évi 3. országspecifikus ajánlás).</w:t>
      </w:r>
    </w:p>
    <w:p w14:paraId="1018E939"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jelentős károkozás elkerülését célzó elvről szóló technikai iránymutatásnak (2021/C58/01) megfelelően a helyreállítási és rezilienciaépítési tervben meghatározott intézkedések leírását és a helyreállítási és rezilienciaépítési tervben meghatározott enyhítő lépéseket figyelembe véve ebben a komponensben várhatóan egyetlen intézkedés sem sérti jelentős mértékben az (EU) 2020/852 rendelet 17. cikke szerinti környezeti célkitűzéseket.  </w:t>
      </w:r>
    </w:p>
    <w:p w14:paraId="2458F8B1" w14:textId="77777777" w:rsidR="00D65CB4" w:rsidRPr="00BC4EE7" w:rsidRDefault="00572307">
      <w:pPr>
        <w:spacing w:before="120" w:after="120" w:line="240" w:lineRule="auto"/>
        <w:ind w:left="709"/>
        <w:jc w:val="both"/>
        <w:rPr>
          <w:rFonts w:ascii="Times New Roman" w:hAnsi="Times New Roman" w:cs="Times New Roman"/>
          <w:b/>
          <w:i/>
          <w:noProof/>
          <w:sz w:val="24"/>
        </w:rPr>
      </w:pPr>
      <w:r w:rsidRPr="00BC4EE7">
        <w:rPr>
          <w:rFonts w:ascii="Times New Roman" w:hAnsi="Times New Roman" w:cs="Times New Roman"/>
          <w:b/>
          <w:noProof/>
          <w:sz w:val="24"/>
          <w:u w:val="single"/>
        </w:rPr>
        <w:t xml:space="preserve">G.1.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Vissza nem térítendő pénzügyi támogatás – a reformok és beruházások ismertetése</w:t>
      </w:r>
    </w:p>
    <w:p w14:paraId="1E488386"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Reform (C7.R1) – A megújulóenergia-termelés előmozdításának szabályozási kerete</w:t>
      </w:r>
    </w:p>
    <w:p w14:paraId="5340AD5C"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Ezen intézkedés célja a megújulóenergia-termelés előmozdítását szolgáló szabályozási keret megerősítése a biztonság növelése és a megújuló energiába történő magánberuházások ösztönzése, a megújuló energiaforrások elterjedése előtt álló akadályok felszámolása, valamint a környezetbe, az elektromos rendszerbe és a különböző ágazatokba való integrálásuk javítása érdekében. </w:t>
      </w:r>
    </w:p>
    <w:p w14:paraId="1B4AD724"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Az intézkedés számos jogalkotási és szabályozási lépést tartalmaz, beleértve a következőket: </w:t>
      </w:r>
    </w:p>
    <w:p w14:paraId="5043E0B8" w14:textId="77777777" w:rsidR="00D65CB4" w:rsidRPr="00BC4EE7" w:rsidRDefault="00572307">
      <w:pPr>
        <w:pStyle w:val="P68B1DB1-ListParagraph6"/>
        <w:numPr>
          <w:ilvl w:val="0"/>
          <w:numId w:val="295"/>
        </w:numPr>
        <w:spacing w:before="120" w:after="120" w:line="240" w:lineRule="auto"/>
        <w:jc w:val="both"/>
        <w:rPr>
          <w:rFonts w:cs="Times New Roman"/>
          <w:noProof/>
        </w:rPr>
      </w:pPr>
      <w:r w:rsidRPr="00BC4EE7">
        <w:rPr>
          <w:rFonts w:cs="Times New Roman"/>
          <w:noProof/>
        </w:rPr>
        <w:t xml:space="preserve">a 23/2020. sz. királyi törvényerejű rendelet 2020. júniusi elfogadása, amely új aukciós rendszert hoz létre a megújulóenergia-termelés számára, és javítja a megújulóenergia-termelés villamosenergia-hálózathoz való hozzáférésének mechanizmusát; </w:t>
      </w:r>
    </w:p>
    <w:p w14:paraId="486E4DAB" w14:textId="77777777" w:rsidR="00D65CB4" w:rsidRPr="00BC4EE7" w:rsidRDefault="00572307">
      <w:pPr>
        <w:pStyle w:val="P68B1DB1-Normal4"/>
        <w:numPr>
          <w:ilvl w:val="0"/>
          <w:numId w:val="295"/>
        </w:numPr>
        <w:spacing w:before="120" w:after="120" w:line="240" w:lineRule="auto"/>
        <w:jc w:val="both"/>
        <w:rPr>
          <w:rFonts w:cs="Times New Roman"/>
          <w:noProof/>
        </w:rPr>
      </w:pPr>
      <w:r w:rsidRPr="00BC4EE7">
        <w:rPr>
          <w:rFonts w:cs="Times New Roman"/>
          <w:noProof/>
        </w:rPr>
        <w:t xml:space="preserve">a 960/2020. sz. királyi rendelet 2020. novemberi elfogadása, amely növeli az új árveréseken a megújulóenergia-termelésből származó bevételek kiszámíthatóságát; </w:t>
      </w:r>
    </w:p>
    <w:p w14:paraId="7C6CC9A8" w14:textId="77777777" w:rsidR="00D65CB4" w:rsidRPr="00BC4EE7" w:rsidRDefault="00572307">
      <w:pPr>
        <w:pStyle w:val="P68B1DB1-Normal4"/>
        <w:numPr>
          <w:ilvl w:val="0"/>
          <w:numId w:val="295"/>
        </w:numPr>
        <w:spacing w:before="120" w:after="120" w:line="240" w:lineRule="auto"/>
        <w:jc w:val="both"/>
        <w:rPr>
          <w:rFonts w:cs="Times New Roman"/>
          <w:noProof/>
        </w:rPr>
      </w:pPr>
      <w:r w:rsidRPr="00BC4EE7">
        <w:rPr>
          <w:rFonts w:cs="Times New Roman"/>
          <w:noProof/>
        </w:rPr>
        <w:t>A 2020. decemberi 1183/2020. sz. királyi rendelet, amely a 23/2020. sz. királyi törvényerejű rendelet rendelkezéseivel összhangban szabályozza a megújulóenergia-termelés hozzáférési és csatlakozási feltételeit; és</w:t>
      </w:r>
    </w:p>
    <w:p w14:paraId="79636C6F" w14:textId="77777777" w:rsidR="00D65CB4" w:rsidRPr="00BC4EE7" w:rsidRDefault="00572307">
      <w:pPr>
        <w:pStyle w:val="P68B1DB1-Normal4"/>
        <w:numPr>
          <w:ilvl w:val="0"/>
          <w:numId w:val="295"/>
        </w:numPr>
        <w:spacing w:before="120" w:after="120" w:line="240" w:lineRule="auto"/>
        <w:jc w:val="both"/>
        <w:rPr>
          <w:rFonts w:cs="Times New Roman"/>
          <w:noProof/>
        </w:rPr>
      </w:pPr>
      <w:r w:rsidRPr="00BC4EE7">
        <w:rPr>
          <w:rFonts w:cs="Times New Roman"/>
          <w:noProof/>
        </w:rPr>
        <w:t>Az éghajlatváltozásról és az energetikai átállásról szóló törvény, amelynek elfogadása 2021 első felében várható, és amely jogszabályba foglalja a megújuló energiaforrásokra vonatkozó 2030-as célokat és a 2050-ig megvalósítandó klímasemlegességi célkitűzést (beleértve a 100%-ban megújuló energiaforrásokból előállított villamosenergia-rendszert). Ez a törvény a terv egyéb elemei szempontjából releváns elemeket is tartalmaz (például az adminisztratív akadályok csökkentése és a nyilvános elektromos töltőpontok telepítésére vonatkozó követelmények).</w:t>
      </w:r>
    </w:p>
    <w:p w14:paraId="3B7B3BD7"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Az intézkedés végrehajtását 2023. december 31-ig be kell fejezni. </w:t>
      </w:r>
    </w:p>
    <w:p w14:paraId="248D7355"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Reform (C7.R2) – A saját fogyasztásra vonatkozó nemzeti stratégia</w:t>
      </w:r>
    </w:p>
    <w:p w14:paraId="563AF658"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Ezen intézkedés célja, hogy fellendítse a saját fogyasztást mint a megújulóenergia-termelés alternatív formáját, célokat tűzzön ki ezen a területen a 2021–2030-as időszakra, valamint meghatározza és kidolgozza azokat az intézkedéseket, amelyek enyhítik a megújulóenergia-termelés előtt álló fő akadályokat. A saját fogyasztás hozzájárul a megújulóenergia-termelés integrációjához az épületekben és a városi környezetben, és fellendíti a helyi foglalkoztatást. </w:t>
      </w:r>
    </w:p>
    <w:p w14:paraId="72FA2ACE"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Az intézkedésnek magában kell foglalnia, hogy a spanyol kormány 2021 második felében nemzeti sajátfogyasztási stratégiát fogadjon el a saját fogyasztás adminisztratív akadályainak csökkentése érdekében. A stratégiának azonosítania kell a jelenlegi és a potenciális spanyolországi helyzetet, és meg kell határoznia a következőkre irányuló intézkedéseket: a közigazgatási szervek közötti jobb koordináció; b) a fogyasztók tájékoztatása és a tudatosság növelése; a meglévő releváns készségek, valamint a saját fogyasztás bevezetéséhez kapcsolódó továbbképzési lehetőségek azonosítása. </w:t>
      </w:r>
    </w:p>
    <w:p w14:paraId="48BFAA29"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Az intézkedésnek foglalkoznia kell a nemzeti önfogyasztási stratégia kulcsfontosságú elemeinek végrehajtásával, beleértve a saját fogyasztás előmozdítására vonatkozó iránymutatás közzétételét és a szükséges készségek fejlesztését célzó képzések elvégzését. </w:t>
      </w:r>
    </w:p>
    <w:p w14:paraId="6AA14A28"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Az intézkedés végrehajtását 2023. június 30-ig be kell fejezni. </w:t>
      </w:r>
    </w:p>
    <w:p w14:paraId="59B44448"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Reform (C7.R3) – Energiaközösségek fejlesztése</w:t>
      </w:r>
    </w:p>
    <w:p w14:paraId="25766895" w14:textId="1E565195"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Ennek az intézkedésnek az a célja, hogy energiaközösségeket alakítson ki annak érdekében, hogy a megújulóenergia-közösségek és a helyi energiaközösségek révén fokozzák a polgárok részvételét az energetikai átállásban. Az intézkedés támogatni fogja a képzési, részvételi és közösségépítési folyamatokat, valamint konkrét projektek támogatását. </w:t>
      </w:r>
    </w:p>
    <w:p w14:paraId="483AED78" w14:textId="5EE49F85"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Az intézkedés versenypályázati felhívás alapján ítél oda egy első kísérleti projektet energiaközösségek számára, hogy bizonyítsa e modell életképességét. 2024 végéig 37 kísérleti projektet hajt végre a helyi közösség részvételével, a végrehajtott intézkedések ütemtervével és a megfelelő jövőbeli lépések meghatározásával. E projekteknek megújuló energián kell alapulniuk. </w:t>
      </w:r>
    </w:p>
    <w:p w14:paraId="7D97F96C" w14:textId="03C89E44"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Az intézkedés végrehajtását 2024. december 31-ig be kell fejezni. </w:t>
      </w:r>
    </w:p>
    <w:p w14:paraId="2BB0E1F3"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Reform (C7.R4) – A megújuló energiával kapcsolatos innováció és technológiai fejlődés kerete</w:t>
      </w:r>
    </w:p>
    <w:p w14:paraId="58BF458E"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Ennek az intézkedésnek meg kell erősítenie számos megújuló energiaforrás innovációs és technológiai fejlesztési keretét, és hozzá kell járulnia ahhoz a célkitűzéshez, hogy az energiaigény 100%-ban megújuló energiaforrásokból származzon. Az ezen intézkedés hatálya alá tartozó megújuló energiaforrások magukban foglalják a tengeri szélenergiát és a biogázt. Az intézkedésnek elő kell segítenie a megújulóenergia-technológiákkal kapcsolatos K+F-et is. </w:t>
      </w:r>
    </w:p>
    <w:p w14:paraId="7D861CFF"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Az intézkedés magában foglalja a tengeri szélenergiára és más tengeri energiára vonatkozó ütemterv közzétételét. Az ütemterv célja, hogy csökkentse az e megújuló energiaforrás fejlesztése előtt álló adminisztratív akadályokat. Az ütemterv különösen a következőkre törekszik: a) a kutatás, a fejlesztés és az innováció előmozdítása egy dinamikusabb szabályozási keret, valamint az új prototípusok technológiai központjainak és tesztelési platformjainak megerősítése révén; b) a kulcsfontosságú ipari ágazatokkal fennálló lehetőségek és szinergiák azonosítása; C) megfelelő szabályozási keret kidolgozása a spanyolországi bevezetéshez (különösen a lebegő technológiák esetében); valamint d) a környezeti hatások minimalizálását célzó intézkedések meghatározása (az adminisztratív eljárások egyszerűsítése mellett). Az intézkedésnek végre kell hajtania az ütemtervben meghatározott kulcsfontosságú szabályozási intézkedéseket a tengeri szélerőműparkok előmozdítása, a kutatás és fejlesztés fellendítése, valamint az úszó technológiák alkalmazásának támogatása érdekében.</w:t>
      </w:r>
    </w:p>
    <w:p w14:paraId="4E54DCE7"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Ezen intézkedés második eleme a biogázra vonatkozó ütemterv közzététele, amely elemzi a biogáz előmozdítását szolgáló megfelelő szabályozási és ágazati eszközöket, különös tekintettel ezen energiaforrás hatékony felhasználására (például az agráripari alkalmazásokban, valamint a nehézgépjárművek esetében, ahol a villamosítás még nem alternatív megoldás). A reform e része a biogáz-ütemterv kulcsfontosságú tevékenységeinek végrehajtásával foglalkozik, beleértve a következőket: a) a megújuló gázokra vonatkozó származási garanciák rendszerének létrehozása, amelynek célja a biogázba történő beruházások ösztönzése és az olyan ágazatok dekarbonizációja, mint az ipar és a közlekedés; b) a biogáz dekarbonizációhoz való hozzájárulásának kiszámítására szolgáló eszköz kifejlesztése; és c) előzetes megvalósíthatósági tanulmányok a biogáz-előállító létesítmények megvalósításának előmozdítása érdekében. </w:t>
      </w:r>
    </w:p>
    <w:p w14:paraId="31D254F7"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Az intézkedés végrehajtását 2023. december 31-ig be kell fejezni.</w:t>
      </w:r>
    </w:p>
    <w:p w14:paraId="6C72BB72"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(C7.I1) – Az épületekbe és a termelési folyamatokba integrált, innovatív megújuló energiák fejlesztése</w:t>
      </w:r>
    </w:p>
    <w:p w14:paraId="6D9582E1"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Ezen intézkedés célja az innovatív megújuló energiák, valamint az épületekbe és a termelési folyamatokba beépítendő megújuló energiák fejlesztésének előmozdítása. Támogatja a saját megújulóenergia-fogyasztást és a még nem teljesen versenyképes technológiákat, beleértve a mezőgazdasági ágazatban a megújuló energiaforrásokat és a hőenergiát, a lakossági és szolgáltatási ágazat hűtési/fűtési követelményeit szolgáló megújuló energiaforrásokat, az ipari folyamatokban megújuló forrásokból előállított hőenergiát, a bioenergiát és a tengeri megújuló energiaforrásokat. A támogatás beruházási támogatás formájában valósul meg, amelyet költséghatékony eredményt biztosító pályázatokon keresztül ítélnek oda, vagy a megújulóenergia-projekteknek nyújtott közvetlen tőketámogatás formájában. A beruházás az átképzést és a továbbképzést is támogatná a megújulóenergia-termelés területén. </w:t>
      </w:r>
    </w:p>
    <w:p w14:paraId="73AEC436"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 beruházás keretében 2026 első félévéig legalább 3 800 MW innovatív vagy hozzáadott értéket képviselő megújulóenergia-termelést kell telepíteni.</w:t>
      </w:r>
    </w:p>
    <w:p w14:paraId="3D18D682"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beruházás végrehajtását 2026. június 30-ig be kell fejezni. </w:t>
      </w:r>
    </w:p>
    <w:p w14:paraId="60E0F2E7"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(C7.I2) – Fenntartható energia a szigeteken</w:t>
      </w:r>
    </w:p>
    <w:p w14:paraId="2F377D1A"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Ez a beruházás a szigetek energetikai átállását támogató átfogóbb stratégia részeként támogatja a fenntartható energiát a spanyol szigeteken (a Kanári-szigeteken és a Baleár-szigeteken), különösen a megújuló energiának a szigeteken és a nem félszigeti rendszerekben való elterjesztésére és integrálására irányuló projektek támogatása révén. Ez összhangban van Spanyolország nemzeti energia- és klímatervével, amely intézkedéseket tartalmaz a szigetek szén-dioxid-mentesítésére és olajfüggőségük csökkentésére.</w:t>
      </w:r>
    </w:p>
    <w:p w14:paraId="085FD631"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támogatandó konkrét beruházások magukban foglalják a megújuló villamosenergia-forrásokat, a tárolási megoldásokat és az intelligens projekteket (az „Intelligens szigetek” program részeként). Az e beruházás keretében végzett tevékenységek egy része a „Tiszta energia az EU-szigeteknek” program keretében szerzett ismeretekre fog támaszkodni.  </w:t>
      </w:r>
    </w:p>
    <w:p w14:paraId="0F983BEF" w14:textId="08A34F2D" w:rsidR="00D65CB4" w:rsidRPr="00BC4EE7" w:rsidRDefault="00572307">
      <w:pPr>
        <w:pStyle w:val="P68B1DB1-Normal4"/>
        <w:spacing w:before="120" w:after="120" w:line="240" w:lineRule="auto"/>
        <w:jc w:val="both"/>
        <w:rPr>
          <w:rFonts w:cs="Times New Roman"/>
          <w:noProof/>
        </w:rPr>
      </w:pPr>
      <w:r w:rsidRPr="00BC4EE7">
        <w:rPr>
          <w:rFonts w:cs="Times New Roman"/>
          <w:noProof/>
        </w:rPr>
        <w:t>E beruházás keretében legalább 180 MW megújulóenergia-termelést, valamint legalább 600 támogatott vagy végrehajtott intézkedést, projektet vagy programot kell telepíteni, beleértve a következőket: „intelligens szigetek” vagy „Tiszta energia az EU szigeteinek” programokhoz kapcsolódó dinamizálási programok vagy irodák, szigeti ütemtervek, beruházási vagy támogatási projektek, fenntartható megújulóenergia-projektek vagy -tárolási projektek.</w:t>
      </w:r>
    </w:p>
    <w:p w14:paraId="408422B9" w14:textId="514254FA"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beruházás végrehajtását 2026. június 30-ig be kell fejezni. </w:t>
      </w:r>
    </w:p>
    <w:p w14:paraId="7D397997" w14:textId="77777777" w:rsidR="00D65CB4" w:rsidRPr="00BC4EE7" w:rsidRDefault="00572307">
      <w:pPr>
        <w:keepNext/>
        <w:spacing w:before="120" w:after="120" w:line="240" w:lineRule="auto"/>
        <w:ind w:left="709"/>
        <w:jc w:val="both"/>
        <w:rPr>
          <w:rFonts w:ascii="Times New Roman" w:hAnsi="Times New Roman" w:cs="Times New Roman"/>
          <w:b/>
          <w:noProof/>
          <w:sz w:val="24"/>
          <w:u w:val="single"/>
        </w:rPr>
      </w:pPr>
      <w:r w:rsidRPr="00BC4EE7">
        <w:rPr>
          <w:rFonts w:ascii="Times New Roman" w:hAnsi="Times New Roman" w:cs="Times New Roman"/>
          <w:b/>
          <w:noProof/>
          <w:sz w:val="24"/>
          <w:u w:val="single"/>
        </w:rPr>
        <w:t xml:space="preserve">G.2.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Vissza nem térítendő pénzügyi támogatás – a végrehajtáshoz és a nyomon követéshez kapcsolódó mérföldkövek, célok, mutatók és ütemterv</w:t>
      </w:r>
    </w:p>
    <w:p w14:paraId="2B466D42" w14:textId="77777777" w:rsidR="00D65CB4" w:rsidRPr="00BC4EE7" w:rsidRDefault="00572307">
      <w:pPr>
        <w:pStyle w:val="P68B1DB1-Normal17"/>
        <w:keepNext/>
        <w:spacing w:before="120" w:after="120" w:line="240" w:lineRule="auto"/>
        <w:rPr>
          <w:rFonts w:cs="Times New Roman"/>
          <w:noProof/>
          <w:u w:val="single"/>
        </w:rPr>
        <w:sectPr w:rsidR="00D65CB4" w:rsidRPr="00BC4EE7" w:rsidSect="00B511EF">
          <w:headerReference w:type="even" r:id="rId171"/>
          <w:headerReference w:type="default" r:id="rId172"/>
          <w:footerReference w:type="even" r:id="rId173"/>
          <w:footerReference w:type="default" r:id="rId174"/>
          <w:headerReference w:type="first" r:id="rId175"/>
          <w:footerReference w:type="first" r:id="rId176"/>
          <w:pgSz w:w="11907" w:h="16839"/>
          <w:pgMar w:top="1134" w:right="1134" w:bottom="1134" w:left="1134" w:header="567" w:footer="567" w:gutter="0"/>
          <w:cols w:space="720"/>
          <w:docGrid w:linePitch="360"/>
        </w:sectPr>
      </w:pPr>
      <w:r w:rsidRPr="00BC4EE7">
        <w:rPr>
          <w:rFonts w:cs="Times New Roman"/>
          <w:noProof/>
        </w:rPr>
        <w:t>Táblázat alább. A kiindulási időpont valamennyi mutató esetében 2020. február 1-je, kivéve, ha az intézkedés leírása ettől eltérően rendelkezik. A táblázatban szereplő összegek nem tartalmazzák a héát.</w:t>
      </w:r>
    </w:p>
    <w:tbl>
      <w:tblPr>
        <w:tblW w:w="1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79"/>
        <w:gridCol w:w="992"/>
        <w:gridCol w:w="2807"/>
        <w:gridCol w:w="1276"/>
        <w:gridCol w:w="850"/>
        <w:gridCol w:w="709"/>
        <w:gridCol w:w="737"/>
        <w:gridCol w:w="567"/>
        <w:gridCol w:w="567"/>
        <w:gridCol w:w="5217"/>
      </w:tblGrid>
      <w:tr w:rsidR="00D65CB4" w:rsidRPr="00BC4EE7" w14:paraId="43629D1D" w14:textId="77777777" w:rsidTr="00481CF8">
        <w:trPr>
          <w:trHeight w:val="309"/>
          <w:tblHeader/>
        </w:trPr>
        <w:tc>
          <w:tcPr>
            <w:tcW w:w="709" w:type="dxa"/>
            <w:tcBorders>
              <w:bottom w:val="nil"/>
            </w:tcBorders>
            <w:shd w:val="clear" w:color="auto" w:fill="C6D9F1" w:themeFill="text2" w:themeFillTint="33"/>
            <w:noWrap/>
            <w:vAlign w:val="center"/>
          </w:tcPr>
          <w:p w14:paraId="1137F6FE"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Szám</w:t>
            </w:r>
          </w:p>
        </w:tc>
        <w:tc>
          <w:tcPr>
            <w:tcW w:w="879" w:type="dxa"/>
            <w:tcBorders>
              <w:bottom w:val="nil"/>
            </w:tcBorders>
            <w:shd w:val="clear" w:color="auto" w:fill="C6D9F1" w:themeFill="text2" w:themeFillTint="33"/>
            <w:noWrap/>
            <w:vAlign w:val="center"/>
          </w:tcPr>
          <w:p w14:paraId="2D2030B1"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Intézkedés</w:t>
            </w:r>
          </w:p>
        </w:tc>
        <w:tc>
          <w:tcPr>
            <w:tcW w:w="992" w:type="dxa"/>
            <w:tcBorders>
              <w:bottom w:val="nil"/>
            </w:tcBorders>
            <w:shd w:val="clear" w:color="auto" w:fill="C6D9F1" w:themeFill="text2" w:themeFillTint="33"/>
            <w:noWrap/>
            <w:vAlign w:val="center"/>
          </w:tcPr>
          <w:p w14:paraId="7A014B3E" w14:textId="77777777" w:rsidR="00D65CB4" w:rsidRPr="00BC4EE7" w:rsidRDefault="00572307">
            <w:pPr>
              <w:spacing w:after="0" w:line="240" w:lineRule="auto"/>
              <w:jc w:val="center"/>
              <w:rPr>
                <w:rFonts w:ascii="Times New Roman" w:hAnsi="Times New Roman" w:cs="Times New Roman"/>
                <w:b/>
                <w:noProof/>
                <w:sz w:val="18"/>
              </w:rPr>
            </w:pPr>
            <w:r w:rsidRPr="00BC4EE7">
              <w:rPr>
                <w:rFonts w:ascii="Times New Roman" w:hAnsi="Times New Roman" w:cs="Times New Roman"/>
                <w:b/>
                <w:noProof/>
                <w:sz w:val="18"/>
              </w:rPr>
              <w:t>Mérföldkő</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b/>
                <w:noProof/>
                <w:sz w:val="18"/>
              </w:rPr>
              <w:t xml:space="preserve"> /Cél</w:t>
            </w:r>
          </w:p>
        </w:tc>
        <w:tc>
          <w:tcPr>
            <w:tcW w:w="2807" w:type="dxa"/>
            <w:tcBorders>
              <w:bottom w:val="nil"/>
            </w:tcBorders>
            <w:shd w:val="clear" w:color="auto" w:fill="C6D9F1" w:themeFill="text2" w:themeFillTint="33"/>
            <w:noWrap/>
            <w:vAlign w:val="center"/>
          </w:tcPr>
          <w:p w14:paraId="76B22AC8"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Név</w:t>
            </w:r>
          </w:p>
        </w:tc>
        <w:tc>
          <w:tcPr>
            <w:tcW w:w="1276" w:type="dxa"/>
            <w:tcBorders>
              <w:bottom w:val="nil"/>
            </w:tcBorders>
            <w:shd w:val="clear" w:color="auto" w:fill="C6D9F1" w:themeFill="text2" w:themeFillTint="33"/>
            <w:noWrap/>
            <w:vAlign w:val="center"/>
          </w:tcPr>
          <w:p w14:paraId="2DDB3F40"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mérföldkövek minőségi mutatója</w:t>
            </w:r>
          </w:p>
        </w:tc>
        <w:tc>
          <w:tcPr>
            <w:tcW w:w="2296" w:type="dxa"/>
            <w:gridSpan w:val="3"/>
            <w:shd w:val="clear" w:color="auto" w:fill="C6D9F1" w:themeFill="text2" w:themeFillTint="33"/>
            <w:noWrap/>
            <w:vAlign w:val="center"/>
          </w:tcPr>
          <w:p w14:paraId="3218836D"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célérték mennyiségi mutatója</w:t>
            </w:r>
          </w:p>
        </w:tc>
        <w:tc>
          <w:tcPr>
            <w:tcW w:w="1134" w:type="dxa"/>
            <w:gridSpan w:val="2"/>
            <w:shd w:val="clear" w:color="auto" w:fill="C6D9F1" w:themeFill="text2" w:themeFillTint="33"/>
            <w:noWrap/>
            <w:vAlign w:val="center"/>
          </w:tcPr>
          <w:p w14:paraId="1DEC776A"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Idő</w:t>
            </w:r>
          </w:p>
        </w:tc>
        <w:tc>
          <w:tcPr>
            <w:tcW w:w="5217" w:type="dxa"/>
            <w:tcBorders>
              <w:bottom w:val="nil"/>
            </w:tcBorders>
            <w:shd w:val="clear" w:color="auto" w:fill="C6D9F1" w:themeFill="text2" w:themeFillTint="33"/>
            <w:noWrap/>
            <w:vAlign w:val="center"/>
          </w:tcPr>
          <w:p w14:paraId="3B519A6D"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Az egyes mérföldkövek és célértékek leírása</w:t>
            </w:r>
          </w:p>
        </w:tc>
      </w:tr>
      <w:tr w:rsidR="00D65CB4" w:rsidRPr="00BC4EE7" w14:paraId="600D2986" w14:textId="77777777" w:rsidTr="00481CF8">
        <w:trPr>
          <w:trHeight w:val="309"/>
          <w:tblHeader/>
        </w:trPr>
        <w:tc>
          <w:tcPr>
            <w:tcW w:w="709" w:type="dxa"/>
            <w:tcBorders>
              <w:top w:val="nil"/>
            </w:tcBorders>
            <w:shd w:val="clear" w:color="auto" w:fill="C6D9F1" w:themeFill="text2" w:themeFillTint="33"/>
            <w:noWrap/>
          </w:tcPr>
          <w:p w14:paraId="562C75D1" w14:textId="77777777" w:rsidR="00D65CB4" w:rsidRPr="00BC4EE7" w:rsidRDefault="00D65CB4">
            <w:pPr>
              <w:spacing w:after="0" w:line="240" w:lineRule="auto"/>
              <w:jc w:val="center"/>
              <w:rPr>
                <w:rFonts w:ascii="Times New Roman" w:hAnsi="Times New Roman" w:cs="Times New Roman"/>
                <w:b/>
                <w:noProof/>
                <w:sz w:val="18"/>
              </w:rPr>
            </w:pPr>
          </w:p>
        </w:tc>
        <w:tc>
          <w:tcPr>
            <w:tcW w:w="879" w:type="dxa"/>
            <w:tcBorders>
              <w:top w:val="nil"/>
            </w:tcBorders>
            <w:shd w:val="clear" w:color="auto" w:fill="C6D9F1" w:themeFill="text2" w:themeFillTint="33"/>
            <w:noWrap/>
          </w:tcPr>
          <w:p w14:paraId="664355AD" w14:textId="77777777" w:rsidR="00D65CB4" w:rsidRPr="00BC4EE7" w:rsidRDefault="00D65CB4">
            <w:pPr>
              <w:spacing w:after="0" w:line="240" w:lineRule="auto"/>
              <w:jc w:val="center"/>
              <w:rPr>
                <w:rFonts w:ascii="Times New Roman" w:hAnsi="Times New Roman" w:cs="Times New Roman"/>
                <w:b/>
                <w:noProof/>
                <w:sz w:val="18"/>
              </w:rPr>
            </w:pPr>
          </w:p>
        </w:tc>
        <w:tc>
          <w:tcPr>
            <w:tcW w:w="992" w:type="dxa"/>
            <w:tcBorders>
              <w:top w:val="nil"/>
            </w:tcBorders>
            <w:shd w:val="clear" w:color="auto" w:fill="C6D9F1" w:themeFill="text2" w:themeFillTint="33"/>
            <w:noWrap/>
          </w:tcPr>
          <w:p w14:paraId="1A965116" w14:textId="77777777" w:rsidR="00D65CB4" w:rsidRPr="00BC4EE7" w:rsidRDefault="00D65CB4">
            <w:pPr>
              <w:spacing w:after="0" w:line="240" w:lineRule="auto"/>
              <w:jc w:val="center"/>
              <w:rPr>
                <w:rFonts w:ascii="Times New Roman" w:hAnsi="Times New Roman" w:cs="Times New Roman"/>
                <w:b/>
                <w:noProof/>
                <w:sz w:val="18"/>
              </w:rPr>
            </w:pPr>
          </w:p>
        </w:tc>
        <w:tc>
          <w:tcPr>
            <w:tcW w:w="2807" w:type="dxa"/>
            <w:tcBorders>
              <w:top w:val="nil"/>
            </w:tcBorders>
            <w:shd w:val="clear" w:color="auto" w:fill="C6D9F1" w:themeFill="text2" w:themeFillTint="33"/>
            <w:noWrap/>
          </w:tcPr>
          <w:p w14:paraId="7DF4E37C" w14:textId="77777777" w:rsidR="00D65CB4" w:rsidRPr="00BC4EE7" w:rsidRDefault="00D65CB4">
            <w:pPr>
              <w:spacing w:after="0" w:line="240" w:lineRule="auto"/>
              <w:rPr>
                <w:rFonts w:ascii="Times New Roman" w:hAnsi="Times New Roman" w:cs="Times New Roman"/>
                <w:b/>
                <w:noProof/>
                <w:sz w:val="18"/>
              </w:rPr>
            </w:pPr>
          </w:p>
        </w:tc>
        <w:tc>
          <w:tcPr>
            <w:tcW w:w="1276" w:type="dxa"/>
            <w:tcBorders>
              <w:top w:val="nil"/>
            </w:tcBorders>
            <w:shd w:val="clear" w:color="auto" w:fill="C6D9F1" w:themeFill="text2" w:themeFillTint="33"/>
            <w:noWrap/>
          </w:tcPr>
          <w:p w14:paraId="44FB30F8" w14:textId="77777777" w:rsidR="00D65CB4" w:rsidRPr="00BC4EE7" w:rsidRDefault="00D65CB4">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tcPr>
          <w:p w14:paraId="701EC728"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Egység</w:t>
            </w:r>
          </w:p>
        </w:tc>
        <w:tc>
          <w:tcPr>
            <w:tcW w:w="709" w:type="dxa"/>
            <w:shd w:val="clear" w:color="auto" w:fill="C6D9F1" w:themeFill="text2" w:themeFillTint="33"/>
            <w:noWrap/>
          </w:tcPr>
          <w:p w14:paraId="7D9F17E7"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Kiindulási</w:t>
            </w:r>
          </w:p>
        </w:tc>
        <w:tc>
          <w:tcPr>
            <w:tcW w:w="737" w:type="dxa"/>
            <w:shd w:val="clear" w:color="auto" w:fill="C6D9F1" w:themeFill="text2" w:themeFillTint="33"/>
            <w:noWrap/>
          </w:tcPr>
          <w:p w14:paraId="3D8A4BCD"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Cél</w:t>
            </w:r>
          </w:p>
        </w:tc>
        <w:tc>
          <w:tcPr>
            <w:tcW w:w="567" w:type="dxa"/>
            <w:shd w:val="clear" w:color="auto" w:fill="C6D9F1" w:themeFill="text2" w:themeFillTint="33"/>
            <w:noWrap/>
          </w:tcPr>
          <w:p w14:paraId="0C327E37"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Q</w:t>
            </w:r>
          </w:p>
        </w:tc>
        <w:tc>
          <w:tcPr>
            <w:tcW w:w="567" w:type="dxa"/>
            <w:shd w:val="clear" w:color="auto" w:fill="C6D9F1" w:themeFill="text2" w:themeFillTint="33"/>
            <w:noWrap/>
          </w:tcPr>
          <w:p w14:paraId="00A6A508"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Éve</w:t>
            </w:r>
          </w:p>
        </w:tc>
        <w:tc>
          <w:tcPr>
            <w:tcW w:w="5217" w:type="dxa"/>
            <w:tcBorders>
              <w:top w:val="nil"/>
            </w:tcBorders>
            <w:shd w:val="clear" w:color="auto" w:fill="C6D9F1" w:themeFill="text2" w:themeFillTint="33"/>
            <w:noWrap/>
          </w:tcPr>
          <w:p w14:paraId="1DA6542E" w14:textId="77777777" w:rsidR="00D65CB4" w:rsidRPr="00BC4EE7" w:rsidRDefault="00D65CB4">
            <w:pPr>
              <w:spacing w:after="0" w:line="240" w:lineRule="auto"/>
              <w:rPr>
                <w:rFonts w:ascii="Times New Roman" w:hAnsi="Times New Roman" w:cs="Times New Roman"/>
                <w:b/>
                <w:noProof/>
                <w:sz w:val="18"/>
              </w:rPr>
            </w:pPr>
          </w:p>
        </w:tc>
      </w:tr>
      <w:tr w:rsidR="00D65CB4" w:rsidRPr="00BC4EE7" w14:paraId="26963381" w14:textId="77777777" w:rsidTr="00481CF8">
        <w:trPr>
          <w:trHeight w:val="309"/>
        </w:trPr>
        <w:tc>
          <w:tcPr>
            <w:tcW w:w="709" w:type="dxa"/>
            <w:shd w:val="clear" w:color="auto" w:fill="C6EFCE"/>
            <w:noWrap/>
          </w:tcPr>
          <w:p w14:paraId="69F24933"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102</w:t>
            </w:r>
          </w:p>
        </w:tc>
        <w:tc>
          <w:tcPr>
            <w:tcW w:w="879" w:type="dxa"/>
            <w:shd w:val="clear" w:color="auto" w:fill="C6EFCE"/>
            <w:noWrap/>
          </w:tcPr>
          <w:p w14:paraId="7BFFF9DE"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C7.R1</w:t>
            </w:r>
          </w:p>
        </w:tc>
        <w:tc>
          <w:tcPr>
            <w:tcW w:w="992" w:type="dxa"/>
            <w:shd w:val="clear" w:color="auto" w:fill="C6EFCE"/>
            <w:noWrap/>
          </w:tcPr>
          <w:p w14:paraId="5F9049A3"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M</w:t>
            </w:r>
          </w:p>
        </w:tc>
        <w:tc>
          <w:tcPr>
            <w:tcW w:w="2807" w:type="dxa"/>
            <w:shd w:val="clear" w:color="auto" w:fill="C6EFCE"/>
            <w:noWrap/>
          </w:tcPr>
          <w:p w14:paraId="0918C12D" w14:textId="77777777" w:rsidR="00D65CB4" w:rsidRPr="00BC4EE7" w:rsidRDefault="00572307">
            <w:pPr>
              <w:pStyle w:val="P68B1DB1-Normal12"/>
              <w:spacing w:after="0" w:line="240" w:lineRule="auto"/>
              <w:rPr>
                <w:rFonts w:eastAsia="Calibri" w:cs="Times New Roman"/>
                <w:noProof/>
              </w:rPr>
            </w:pPr>
            <w:r w:rsidRPr="00BC4EE7">
              <w:rPr>
                <w:rFonts w:cs="Times New Roman"/>
                <w:noProof/>
              </w:rPr>
              <w:t>A 23/2020. sz. királyi törvényerejű rendelet hatálybalépése (energiaintézkedések)</w:t>
            </w:r>
          </w:p>
        </w:tc>
        <w:tc>
          <w:tcPr>
            <w:tcW w:w="1276" w:type="dxa"/>
            <w:shd w:val="clear" w:color="auto" w:fill="C6EFCE"/>
            <w:noWrap/>
          </w:tcPr>
          <w:p w14:paraId="51A46B4C"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A hatálybalépésről szóló 23/2020. sz. királyi törvényerejű rendelet rendelkezése</w:t>
            </w:r>
          </w:p>
        </w:tc>
        <w:tc>
          <w:tcPr>
            <w:tcW w:w="850" w:type="dxa"/>
            <w:shd w:val="clear" w:color="auto" w:fill="C6EFCE"/>
            <w:noWrap/>
          </w:tcPr>
          <w:p w14:paraId="714FDA4A" w14:textId="77777777" w:rsidR="00D65CB4" w:rsidRPr="00BC4EE7" w:rsidRDefault="00572307">
            <w:pPr>
              <w:pStyle w:val="P68B1DB1-Normal12"/>
              <w:spacing w:after="0" w:line="240" w:lineRule="auto"/>
              <w:jc w:val="right"/>
              <w:rPr>
                <w:rFonts w:eastAsia="Calibri" w:cs="Times New Roman"/>
                <w:noProof/>
              </w:rPr>
            </w:pPr>
            <w:r w:rsidRPr="00BC4EE7">
              <w:rPr>
                <w:rFonts w:cs="Times New Roman"/>
                <w:noProof/>
              </w:rPr>
              <w:t xml:space="preserve"> </w:t>
            </w:r>
          </w:p>
        </w:tc>
        <w:tc>
          <w:tcPr>
            <w:tcW w:w="709" w:type="dxa"/>
            <w:shd w:val="clear" w:color="auto" w:fill="C6EFCE"/>
            <w:noWrap/>
          </w:tcPr>
          <w:p w14:paraId="7B0679C1" w14:textId="77777777" w:rsidR="00D65CB4" w:rsidRPr="00BC4EE7" w:rsidRDefault="00572307">
            <w:pPr>
              <w:pStyle w:val="P68B1DB1-Normal12"/>
              <w:spacing w:after="0" w:line="240" w:lineRule="auto"/>
              <w:jc w:val="right"/>
              <w:rPr>
                <w:rFonts w:eastAsia="Calibri" w:cs="Times New Roman"/>
                <w:noProof/>
              </w:rPr>
            </w:pPr>
            <w:r w:rsidRPr="00BC4EE7">
              <w:rPr>
                <w:rFonts w:cs="Times New Roman"/>
                <w:noProof/>
              </w:rPr>
              <w:t xml:space="preserve"> </w:t>
            </w:r>
          </w:p>
        </w:tc>
        <w:tc>
          <w:tcPr>
            <w:tcW w:w="737" w:type="dxa"/>
            <w:shd w:val="clear" w:color="auto" w:fill="C6EFCE"/>
            <w:noWrap/>
          </w:tcPr>
          <w:p w14:paraId="637C29F4" w14:textId="77777777" w:rsidR="00D65CB4" w:rsidRPr="00BC4EE7" w:rsidRDefault="00572307">
            <w:pPr>
              <w:pStyle w:val="P68B1DB1-Normal12"/>
              <w:spacing w:after="0" w:line="240" w:lineRule="auto"/>
              <w:jc w:val="right"/>
              <w:rPr>
                <w:rFonts w:eastAsia="Calibri" w:cs="Times New Roman"/>
                <w:noProof/>
              </w:rPr>
            </w:pPr>
            <w:r w:rsidRPr="00BC4EE7">
              <w:rPr>
                <w:rFonts w:cs="Times New Roman"/>
                <w:noProof/>
              </w:rPr>
              <w:t xml:space="preserve"> </w:t>
            </w:r>
          </w:p>
        </w:tc>
        <w:tc>
          <w:tcPr>
            <w:tcW w:w="567" w:type="dxa"/>
            <w:shd w:val="clear" w:color="auto" w:fill="C6EFCE"/>
            <w:noWrap/>
          </w:tcPr>
          <w:p w14:paraId="69FB017B"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Q4</w:t>
            </w:r>
          </w:p>
        </w:tc>
        <w:tc>
          <w:tcPr>
            <w:tcW w:w="567" w:type="dxa"/>
            <w:shd w:val="clear" w:color="auto" w:fill="C6EFCE"/>
            <w:noWrap/>
          </w:tcPr>
          <w:p w14:paraId="12406FD9"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2020</w:t>
            </w:r>
          </w:p>
        </w:tc>
        <w:tc>
          <w:tcPr>
            <w:tcW w:w="5217" w:type="dxa"/>
            <w:shd w:val="clear" w:color="auto" w:fill="C6EFCE"/>
            <w:noWrap/>
          </w:tcPr>
          <w:p w14:paraId="346A3E69" w14:textId="77777777" w:rsidR="00D65CB4" w:rsidRPr="00BC4EE7" w:rsidRDefault="00572307">
            <w:pPr>
              <w:pStyle w:val="P68B1DB1-Normal12"/>
              <w:spacing w:after="0" w:line="240" w:lineRule="auto"/>
              <w:rPr>
                <w:rFonts w:eastAsia="Calibri" w:cs="Times New Roman"/>
                <w:noProof/>
              </w:rPr>
            </w:pPr>
            <w:r w:rsidRPr="00BC4EE7">
              <w:rPr>
                <w:rFonts w:cs="Times New Roman"/>
                <w:noProof/>
              </w:rPr>
              <w:t>A 23/2020. sz. királyi törvényerejű rendelet olyan energiaügyi intézkedéseket hagy jóvá, amelyek célja egy új aukciós rendszer jogalapjának megteremtése, az energiaágazat új résztvevőinek – például független beszerzési közösségeknek és megújulóenergia-közösségeknek – a meghatározása, valamint a hozzáférési és csatlakozási engedélyek racionalizálásához való hozzájárulás.</w:t>
            </w:r>
          </w:p>
        </w:tc>
      </w:tr>
      <w:tr w:rsidR="00D65CB4" w:rsidRPr="00BC4EE7" w14:paraId="63DBD210" w14:textId="77777777" w:rsidTr="00481CF8">
        <w:trPr>
          <w:trHeight w:val="309"/>
        </w:trPr>
        <w:tc>
          <w:tcPr>
            <w:tcW w:w="709" w:type="dxa"/>
            <w:shd w:val="clear" w:color="auto" w:fill="C6EFCE"/>
            <w:noWrap/>
          </w:tcPr>
          <w:p w14:paraId="49FB466E"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103</w:t>
            </w:r>
          </w:p>
        </w:tc>
        <w:tc>
          <w:tcPr>
            <w:tcW w:w="879" w:type="dxa"/>
            <w:shd w:val="clear" w:color="auto" w:fill="C6EFCE"/>
            <w:noWrap/>
          </w:tcPr>
          <w:p w14:paraId="01286CF5"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C7.R1</w:t>
            </w:r>
          </w:p>
        </w:tc>
        <w:tc>
          <w:tcPr>
            <w:tcW w:w="992" w:type="dxa"/>
            <w:shd w:val="clear" w:color="auto" w:fill="C6EFCE"/>
            <w:noWrap/>
          </w:tcPr>
          <w:p w14:paraId="765D4946"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M</w:t>
            </w:r>
          </w:p>
        </w:tc>
        <w:tc>
          <w:tcPr>
            <w:tcW w:w="2807" w:type="dxa"/>
            <w:shd w:val="clear" w:color="auto" w:fill="C6EFCE"/>
            <w:noWrap/>
          </w:tcPr>
          <w:p w14:paraId="409437D4" w14:textId="77777777" w:rsidR="00D65CB4" w:rsidRPr="00BC4EE7" w:rsidRDefault="00572307">
            <w:pPr>
              <w:pStyle w:val="P68B1DB1-Normal12"/>
              <w:spacing w:after="0" w:line="240" w:lineRule="auto"/>
              <w:rPr>
                <w:rFonts w:eastAsia="Calibri" w:cs="Times New Roman"/>
                <w:noProof/>
              </w:rPr>
            </w:pPr>
            <w:r w:rsidRPr="00BC4EE7">
              <w:rPr>
                <w:rFonts w:cs="Times New Roman"/>
                <w:noProof/>
              </w:rPr>
              <w:t>A 960/2020. sz. királyi rendelet hatálybalépése (a megújuló energiára vonatkozó gazdasági rendszer)</w:t>
            </w:r>
          </w:p>
        </w:tc>
        <w:tc>
          <w:tcPr>
            <w:tcW w:w="1276" w:type="dxa"/>
            <w:shd w:val="clear" w:color="auto" w:fill="C6EFCE"/>
            <w:noWrap/>
          </w:tcPr>
          <w:p w14:paraId="01B679B0"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 xml:space="preserve">A hatálybalépésről szóló 960/2020. sz. királyi rendelet rendelkezése </w:t>
            </w:r>
          </w:p>
        </w:tc>
        <w:tc>
          <w:tcPr>
            <w:tcW w:w="850" w:type="dxa"/>
            <w:shd w:val="clear" w:color="auto" w:fill="C6EFCE"/>
            <w:noWrap/>
          </w:tcPr>
          <w:p w14:paraId="7913A28A" w14:textId="77777777" w:rsidR="00D65CB4" w:rsidRPr="00BC4EE7" w:rsidRDefault="00572307">
            <w:pPr>
              <w:pStyle w:val="P68B1DB1-Normal12"/>
              <w:spacing w:after="0" w:line="240" w:lineRule="auto"/>
              <w:jc w:val="right"/>
              <w:rPr>
                <w:rFonts w:eastAsia="Calibri" w:cs="Times New Roman"/>
                <w:noProof/>
              </w:rPr>
            </w:pPr>
            <w:r w:rsidRPr="00BC4EE7">
              <w:rPr>
                <w:rFonts w:cs="Times New Roman"/>
                <w:noProof/>
              </w:rPr>
              <w:t xml:space="preserve"> </w:t>
            </w:r>
          </w:p>
        </w:tc>
        <w:tc>
          <w:tcPr>
            <w:tcW w:w="709" w:type="dxa"/>
            <w:shd w:val="clear" w:color="auto" w:fill="C6EFCE"/>
            <w:noWrap/>
          </w:tcPr>
          <w:p w14:paraId="2F0EC2E1" w14:textId="77777777" w:rsidR="00D65CB4" w:rsidRPr="00BC4EE7" w:rsidRDefault="00572307">
            <w:pPr>
              <w:pStyle w:val="P68B1DB1-Normal12"/>
              <w:spacing w:after="0" w:line="240" w:lineRule="auto"/>
              <w:jc w:val="right"/>
              <w:rPr>
                <w:rFonts w:eastAsia="Calibri" w:cs="Times New Roman"/>
                <w:noProof/>
              </w:rPr>
            </w:pPr>
            <w:r w:rsidRPr="00BC4EE7">
              <w:rPr>
                <w:rFonts w:cs="Times New Roman"/>
                <w:noProof/>
              </w:rPr>
              <w:t xml:space="preserve"> </w:t>
            </w:r>
          </w:p>
        </w:tc>
        <w:tc>
          <w:tcPr>
            <w:tcW w:w="737" w:type="dxa"/>
            <w:shd w:val="clear" w:color="auto" w:fill="C6EFCE"/>
            <w:noWrap/>
          </w:tcPr>
          <w:p w14:paraId="1B642F88" w14:textId="77777777" w:rsidR="00D65CB4" w:rsidRPr="00BC4EE7" w:rsidRDefault="00572307">
            <w:pPr>
              <w:pStyle w:val="P68B1DB1-Normal12"/>
              <w:spacing w:after="0" w:line="240" w:lineRule="auto"/>
              <w:jc w:val="right"/>
              <w:rPr>
                <w:rFonts w:eastAsia="Calibri" w:cs="Times New Roman"/>
                <w:noProof/>
              </w:rPr>
            </w:pPr>
            <w:r w:rsidRPr="00BC4EE7">
              <w:rPr>
                <w:rFonts w:cs="Times New Roman"/>
                <w:noProof/>
              </w:rPr>
              <w:t xml:space="preserve"> </w:t>
            </w:r>
          </w:p>
        </w:tc>
        <w:tc>
          <w:tcPr>
            <w:tcW w:w="567" w:type="dxa"/>
            <w:shd w:val="clear" w:color="auto" w:fill="C6EFCE"/>
            <w:noWrap/>
          </w:tcPr>
          <w:p w14:paraId="791A9D45"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Q4</w:t>
            </w:r>
          </w:p>
        </w:tc>
        <w:tc>
          <w:tcPr>
            <w:tcW w:w="567" w:type="dxa"/>
            <w:shd w:val="clear" w:color="auto" w:fill="C6EFCE"/>
            <w:noWrap/>
          </w:tcPr>
          <w:p w14:paraId="0D42C9D5"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2020</w:t>
            </w:r>
          </w:p>
        </w:tc>
        <w:tc>
          <w:tcPr>
            <w:tcW w:w="5217" w:type="dxa"/>
            <w:shd w:val="clear" w:color="auto" w:fill="C6EFCE"/>
            <w:noWrap/>
          </w:tcPr>
          <w:p w14:paraId="0B5BED5E" w14:textId="77777777" w:rsidR="00D65CB4" w:rsidRPr="00BC4EE7" w:rsidRDefault="00572307">
            <w:pPr>
              <w:pStyle w:val="P68B1DB1-Normal12"/>
              <w:spacing w:after="0" w:line="240" w:lineRule="auto"/>
              <w:rPr>
                <w:rFonts w:eastAsia="Calibri" w:cs="Times New Roman"/>
                <w:noProof/>
              </w:rPr>
            </w:pPr>
            <w:r w:rsidRPr="00BC4EE7">
              <w:rPr>
                <w:rFonts w:cs="Times New Roman"/>
                <w:noProof/>
              </w:rPr>
              <w:t>A 960/2020. sz. királyi rendelet szabályozza a megújuló energia gazdasági rendszerét</w:t>
            </w:r>
          </w:p>
        </w:tc>
      </w:tr>
      <w:tr w:rsidR="00D65CB4" w:rsidRPr="00BC4EE7" w14:paraId="15FC492C" w14:textId="77777777" w:rsidTr="00481CF8">
        <w:trPr>
          <w:trHeight w:val="309"/>
        </w:trPr>
        <w:tc>
          <w:tcPr>
            <w:tcW w:w="709" w:type="dxa"/>
            <w:shd w:val="clear" w:color="auto" w:fill="C6EFCE"/>
            <w:noWrap/>
          </w:tcPr>
          <w:p w14:paraId="0F3167D2"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104</w:t>
            </w:r>
          </w:p>
        </w:tc>
        <w:tc>
          <w:tcPr>
            <w:tcW w:w="879" w:type="dxa"/>
            <w:shd w:val="clear" w:color="auto" w:fill="C6EFCE"/>
            <w:noWrap/>
          </w:tcPr>
          <w:p w14:paraId="4A127E87"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C7.R1</w:t>
            </w:r>
          </w:p>
        </w:tc>
        <w:tc>
          <w:tcPr>
            <w:tcW w:w="992" w:type="dxa"/>
            <w:shd w:val="clear" w:color="auto" w:fill="C6EFCE"/>
            <w:noWrap/>
          </w:tcPr>
          <w:p w14:paraId="05C89D75"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M</w:t>
            </w:r>
          </w:p>
        </w:tc>
        <w:tc>
          <w:tcPr>
            <w:tcW w:w="2807" w:type="dxa"/>
            <w:shd w:val="clear" w:color="auto" w:fill="C6EFCE"/>
            <w:noWrap/>
          </w:tcPr>
          <w:p w14:paraId="69548247" w14:textId="77777777" w:rsidR="00D65CB4" w:rsidRPr="00BC4EE7" w:rsidRDefault="00572307">
            <w:pPr>
              <w:pStyle w:val="P68B1DB1-Normal12"/>
              <w:spacing w:after="0" w:line="240" w:lineRule="auto"/>
              <w:rPr>
                <w:rFonts w:eastAsia="Calibri" w:cs="Times New Roman"/>
                <w:noProof/>
              </w:rPr>
            </w:pPr>
            <w:r w:rsidRPr="00BC4EE7">
              <w:rPr>
                <w:rFonts w:cs="Times New Roman"/>
                <w:noProof/>
              </w:rPr>
              <w:t>Az 1183/2020. sz. királyi rendelet hatálybalépése (a megújuló energiaforrások villamosenergia-hálózathoz való csatlakoztatása)</w:t>
            </w:r>
          </w:p>
        </w:tc>
        <w:tc>
          <w:tcPr>
            <w:tcW w:w="1276" w:type="dxa"/>
            <w:shd w:val="clear" w:color="auto" w:fill="C6EFCE"/>
            <w:noWrap/>
          </w:tcPr>
          <w:p w14:paraId="22819967" w14:textId="77777777" w:rsidR="00D65CB4" w:rsidRPr="00BC4EE7" w:rsidRDefault="00572307">
            <w:pPr>
              <w:pStyle w:val="P68B1DB1-Normal12"/>
              <w:spacing w:after="0" w:line="240" w:lineRule="auto"/>
              <w:jc w:val="center"/>
              <w:rPr>
                <w:rFonts w:eastAsia="Calibri" w:cs="Times New Roman"/>
                <w:noProof/>
              </w:rPr>
            </w:pPr>
            <w:r w:rsidRPr="00BC4EE7">
              <w:rPr>
                <w:rFonts w:cs="Times New Roman"/>
                <w:noProof/>
              </w:rPr>
              <w:t>A hatálybalépésről szóló 1183/2020. sz. királyi rendelet rendelkezése</w:t>
            </w:r>
          </w:p>
        </w:tc>
        <w:tc>
          <w:tcPr>
            <w:tcW w:w="850" w:type="dxa"/>
            <w:shd w:val="clear" w:color="auto" w:fill="C6EFCE"/>
            <w:noWrap/>
          </w:tcPr>
          <w:p w14:paraId="35847AC3" w14:textId="77777777" w:rsidR="00D65CB4" w:rsidRPr="00BC4EE7" w:rsidRDefault="00572307">
            <w:pPr>
              <w:pStyle w:val="P68B1DB1-Normal12"/>
              <w:spacing w:after="0" w:line="240" w:lineRule="auto"/>
              <w:jc w:val="right"/>
              <w:rPr>
                <w:rFonts w:eastAsia="Symbol" w:cs="Times New Roman"/>
                <w:noProof/>
              </w:rPr>
            </w:pPr>
            <w:r w:rsidRPr="00BC4EE7">
              <w:rPr>
                <w:rFonts w:cs="Times New Roman"/>
                <w:noProof/>
              </w:rPr>
              <w:t xml:space="preserve"> </w:t>
            </w:r>
          </w:p>
        </w:tc>
        <w:tc>
          <w:tcPr>
            <w:tcW w:w="709" w:type="dxa"/>
            <w:shd w:val="clear" w:color="auto" w:fill="C6EFCE"/>
            <w:noWrap/>
          </w:tcPr>
          <w:p w14:paraId="2F1B62F3" w14:textId="77777777" w:rsidR="00D65CB4" w:rsidRPr="00BC4EE7" w:rsidRDefault="00572307">
            <w:pPr>
              <w:pStyle w:val="P68B1DB1-Normal12"/>
              <w:spacing w:after="0" w:line="240" w:lineRule="auto"/>
              <w:jc w:val="right"/>
              <w:rPr>
                <w:rFonts w:eastAsia="Symbol" w:cs="Times New Roman"/>
                <w:noProof/>
              </w:rPr>
            </w:pPr>
            <w:r w:rsidRPr="00BC4EE7">
              <w:rPr>
                <w:rFonts w:cs="Times New Roman"/>
                <w:noProof/>
              </w:rPr>
              <w:t xml:space="preserve"> </w:t>
            </w:r>
          </w:p>
        </w:tc>
        <w:tc>
          <w:tcPr>
            <w:tcW w:w="737" w:type="dxa"/>
            <w:shd w:val="clear" w:color="auto" w:fill="C6EFCE"/>
            <w:noWrap/>
          </w:tcPr>
          <w:p w14:paraId="26E74E7B" w14:textId="77777777" w:rsidR="00D65CB4" w:rsidRPr="00BC4EE7" w:rsidRDefault="00572307">
            <w:pPr>
              <w:pStyle w:val="P68B1DB1-Normal12"/>
              <w:spacing w:after="0" w:line="240" w:lineRule="auto"/>
              <w:jc w:val="right"/>
              <w:rPr>
                <w:rFonts w:eastAsia="Symbol" w:cs="Times New Roman"/>
                <w:noProof/>
              </w:rPr>
            </w:pPr>
            <w:r w:rsidRPr="00BC4EE7">
              <w:rPr>
                <w:rFonts w:cs="Times New Roman"/>
                <w:noProof/>
              </w:rPr>
              <w:t xml:space="preserve"> </w:t>
            </w:r>
          </w:p>
        </w:tc>
        <w:tc>
          <w:tcPr>
            <w:tcW w:w="567" w:type="dxa"/>
            <w:shd w:val="clear" w:color="auto" w:fill="C6EFCE"/>
            <w:noWrap/>
          </w:tcPr>
          <w:p w14:paraId="2A9AACBE"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Q4</w:t>
            </w:r>
          </w:p>
        </w:tc>
        <w:tc>
          <w:tcPr>
            <w:tcW w:w="567" w:type="dxa"/>
            <w:shd w:val="clear" w:color="auto" w:fill="C6EFCE"/>
            <w:noWrap/>
          </w:tcPr>
          <w:p w14:paraId="3E9589A3"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2020</w:t>
            </w:r>
          </w:p>
        </w:tc>
        <w:tc>
          <w:tcPr>
            <w:tcW w:w="5217" w:type="dxa"/>
            <w:shd w:val="clear" w:color="auto" w:fill="C6EFCE"/>
            <w:noWrap/>
          </w:tcPr>
          <w:p w14:paraId="470396B6"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Az 1183/2020. sz. királyi rendelet szabályozza a hibridizációt, valamint a megújuló energiaforrások villamosenergia-hálózathoz való hozzáférésének és az ahhoz való csatlakozásának elrendelését.</w:t>
            </w:r>
          </w:p>
        </w:tc>
      </w:tr>
      <w:tr w:rsidR="00D65CB4" w:rsidRPr="00BC4EE7" w14:paraId="142D8E94" w14:textId="77777777" w:rsidTr="00481CF8">
        <w:trPr>
          <w:trHeight w:val="309"/>
        </w:trPr>
        <w:tc>
          <w:tcPr>
            <w:tcW w:w="709" w:type="dxa"/>
            <w:shd w:val="clear" w:color="auto" w:fill="C6EFCE"/>
            <w:noWrap/>
          </w:tcPr>
          <w:p w14:paraId="7A8958E4"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105</w:t>
            </w:r>
          </w:p>
        </w:tc>
        <w:tc>
          <w:tcPr>
            <w:tcW w:w="879" w:type="dxa"/>
            <w:shd w:val="clear" w:color="auto" w:fill="C6EFCE"/>
            <w:noWrap/>
          </w:tcPr>
          <w:p w14:paraId="17E4B06D"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C7.R1</w:t>
            </w:r>
          </w:p>
        </w:tc>
        <w:tc>
          <w:tcPr>
            <w:tcW w:w="992" w:type="dxa"/>
            <w:shd w:val="clear" w:color="auto" w:fill="C6EFCE"/>
            <w:noWrap/>
          </w:tcPr>
          <w:p w14:paraId="4381807A"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M</w:t>
            </w:r>
          </w:p>
        </w:tc>
        <w:tc>
          <w:tcPr>
            <w:tcW w:w="2807" w:type="dxa"/>
            <w:shd w:val="clear" w:color="auto" w:fill="C6EFCE"/>
            <w:noWrap/>
          </w:tcPr>
          <w:p w14:paraId="65BB656F"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 xml:space="preserve">Az éghajlatváltozásról és az energetikai átállásról szóló törvény hatálybalépése </w:t>
            </w:r>
          </w:p>
        </w:tc>
        <w:tc>
          <w:tcPr>
            <w:tcW w:w="1276" w:type="dxa"/>
            <w:shd w:val="clear" w:color="auto" w:fill="C6EFCE"/>
            <w:noWrap/>
          </w:tcPr>
          <w:p w14:paraId="342B54EB"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 xml:space="preserve">Az éghajlatváltozásról és az energetikai átállásról szóló törvény hatálybalépésekor alkalmazandó rendelkezés </w:t>
            </w:r>
          </w:p>
        </w:tc>
        <w:tc>
          <w:tcPr>
            <w:tcW w:w="850" w:type="dxa"/>
            <w:shd w:val="clear" w:color="auto" w:fill="C6EFCE"/>
            <w:noWrap/>
          </w:tcPr>
          <w:p w14:paraId="40612A33" w14:textId="77777777" w:rsidR="00D65CB4" w:rsidRPr="00BC4EE7" w:rsidRDefault="00572307">
            <w:pPr>
              <w:pStyle w:val="P68B1DB1-Normal12"/>
              <w:spacing w:after="0" w:line="240" w:lineRule="auto"/>
              <w:jc w:val="right"/>
              <w:rPr>
                <w:rFonts w:eastAsia="Symbol" w:cs="Times New Roman"/>
                <w:noProof/>
              </w:rPr>
            </w:pPr>
            <w:r w:rsidRPr="00BC4EE7">
              <w:rPr>
                <w:rFonts w:cs="Times New Roman"/>
                <w:noProof/>
              </w:rPr>
              <w:t xml:space="preserve"> </w:t>
            </w:r>
          </w:p>
        </w:tc>
        <w:tc>
          <w:tcPr>
            <w:tcW w:w="709" w:type="dxa"/>
            <w:shd w:val="clear" w:color="auto" w:fill="C6EFCE"/>
            <w:noWrap/>
          </w:tcPr>
          <w:p w14:paraId="7E728875" w14:textId="77777777" w:rsidR="00D65CB4" w:rsidRPr="00BC4EE7" w:rsidRDefault="00572307">
            <w:pPr>
              <w:pStyle w:val="P68B1DB1-Normal12"/>
              <w:spacing w:after="0" w:line="240" w:lineRule="auto"/>
              <w:jc w:val="right"/>
              <w:rPr>
                <w:rFonts w:eastAsia="Symbol" w:cs="Times New Roman"/>
                <w:noProof/>
              </w:rPr>
            </w:pPr>
            <w:r w:rsidRPr="00BC4EE7">
              <w:rPr>
                <w:rFonts w:cs="Times New Roman"/>
                <w:noProof/>
              </w:rPr>
              <w:t xml:space="preserve"> </w:t>
            </w:r>
          </w:p>
        </w:tc>
        <w:tc>
          <w:tcPr>
            <w:tcW w:w="737" w:type="dxa"/>
            <w:shd w:val="clear" w:color="auto" w:fill="C6EFCE"/>
            <w:noWrap/>
          </w:tcPr>
          <w:p w14:paraId="57E04963" w14:textId="77777777" w:rsidR="00D65CB4" w:rsidRPr="00BC4EE7" w:rsidRDefault="00572307">
            <w:pPr>
              <w:pStyle w:val="P68B1DB1-Normal12"/>
              <w:spacing w:after="0" w:line="240" w:lineRule="auto"/>
              <w:jc w:val="right"/>
              <w:rPr>
                <w:rFonts w:eastAsia="Symbol" w:cs="Times New Roman"/>
                <w:noProof/>
              </w:rPr>
            </w:pPr>
            <w:r w:rsidRPr="00BC4EE7">
              <w:rPr>
                <w:rFonts w:cs="Times New Roman"/>
                <w:noProof/>
              </w:rPr>
              <w:t xml:space="preserve"> </w:t>
            </w:r>
          </w:p>
        </w:tc>
        <w:tc>
          <w:tcPr>
            <w:tcW w:w="567" w:type="dxa"/>
            <w:shd w:val="clear" w:color="auto" w:fill="C6EFCE"/>
            <w:noWrap/>
          </w:tcPr>
          <w:p w14:paraId="19FB8615"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Q2</w:t>
            </w:r>
          </w:p>
        </w:tc>
        <w:tc>
          <w:tcPr>
            <w:tcW w:w="567" w:type="dxa"/>
            <w:shd w:val="clear" w:color="auto" w:fill="C6EFCE"/>
            <w:noWrap/>
          </w:tcPr>
          <w:p w14:paraId="03E6644A"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2021</w:t>
            </w:r>
          </w:p>
        </w:tc>
        <w:tc>
          <w:tcPr>
            <w:tcW w:w="5217" w:type="dxa"/>
            <w:shd w:val="clear" w:color="auto" w:fill="C6EFCE"/>
            <w:noWrap/>
          </w:tcPr>
          <w:p w14:paraId="36E39784"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Az éghajlatváltozásról és az energetikai átállásról szóló törvény alternatív szabályozási stabilitást biztosít a megújuló erőforrások fejlesztéséhez, az adminisztratív akadályok csökkentéséhez és a nyilvános elektromos töltőpontok üzembe helyezésére vonatkozó minimumkövetelményekhez.</w:t>
            </w:r>
          </w:p>
        </w:tc>
      </w:tr>
      <w:tr w:rsidR="00D65CB4" w:rsidRPr="00BC4EE7" w14:paraId="7F384457" w14:textId="77777777" w:rsidTr="00481CF8">
        <w:trPr>
          <w:trHeight w:val="309"/>
        </w:trPr>
        <w:tc>
          <w:tcPr>
            <w:tcW w:w="709" w:type="dxa"/>
            <w:shd w:val="clear" w:color="auto" w:fill="C6EFCE"/>
            <w:noWrap/>
          </w:tcPr>
          <w:p w14:paraId="30CBA9E8"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106</w:t>
            </w:r>
          </w:p>
        </w:tc>
        <w:tc>
          <w:tcPr>
            <w:tcW w:w="879" w:type="dxa"/>
            <w:shd w:val="clear" w:color="auto" w:fill="C6EFCE"/>
            <w:noWrap/>
          </w:tcPr>
          <w:p w14:paraId="4A649FD6"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C7.R1</w:t>
            </w:r>
          </w:p>
        </w:tc>
        <w:tc>
          <w:tcPr>
            <w:tcW w:w="992" w:type="dxa"/>
            <w:shd w:val="clear" w:color="auto" w:fill="C6EFCE"/>
            <w:noWrap/>
          </w:tcPr>
          <w:p w14:paraId="62FA7435"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T</w:t>
            </w:r>
          </w:p>
        </w:tc>
        <w:tc>
          <w:tcPr>
            <w:tcW w:w="2807" w:type="dxa"/>
            <w:shd w:val="clear" w:color="auto" w:fill="C6EFCE"/>
            <w:noWrap/>
          </w:tcPr>
          <w:p w14:paraId="102B9A1A"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 xml:space="preserve">További megújulóenergia-termelési kapacitás </w:t>
            </w:r>
          </w:p>
        </w:tc>
        <w:tc>
          <w:tcPr>
            <w:tcW w:w="1276" w:type="dxa"/>
            <w:shd w:val="clear" w:color="auto" w:fill="C6EFCE"/>
            <w:noWrap/>
          </w:tcPr>
          <w:p w14:paraId="09D9AC6E"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w:t>
            </w:r>
          </w:p>
        </w:tc>
        <w:tc>
          <w:tcPr>
            <w:tcW w:w="850" w:type="dxa"/>
            <w:shd w:val="clear" w:color="auto" w:fill="C6EFCE"/>
            <w:noWrap/>
          </w:tcPr>
          <w:p w14:paraId="3352E0E4"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Szám (MW)</w:t>
            </w:r>
          </w:p>
        </w:tc>
        <w:tc>
          <w:tcPr>
            <w:tcW w:w="709" w:type="dxa"/>
            <w:shd w:val="clear" w:color="auto" w:fill="C6EFCE"/>
            <w:noWrap/>
          </w:tcPr>
          <w:p w14:paraId="486DD9CC"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0</w:t>
            </w:r>
          </w:p>
        </w:tc>
        <w:tc>
          <w:tcPr>
            <w:tcW w:w="737" w:type="dxa"/>
            <w:shd w:val="clear" w:color="auto" w:fill="C6EFCE"/>
            <w:noWrap/>
          </w:tcPr>
          <w:p w14:paraId="7B685F59" w14:textId="7A81B208" w:rsidR="00D65CB4" w:rsidRPr="00BC4EE7" w:rsidRDefault="00572307">
            <w:pPr>
              <w:pStyle w:val="P68B1DB1-Normal12"/>
              <w:spacing w:after="0" w:line="240" w:lineRule="auto"/>
              <w:jc w:val="center"/>
              <w:rPr>
                <w:rFonts w:eastAsia="Symbol" w:cs="Times New Roman"/>
                <w:noProof/>
              </w:rPr>
            </w:pPr>
            <w:r w:rsidRPr="00BC4EE7">
              <w:rPr>
                <w:rFonts w:cs="Times New Roman"/>
                <w:noProof/>
              </w:rPr>
              <w:t xml:space="preserve">6 000            </w:t>
            </w:r>
          </w:p>
        </w:tc>
        <w:tc>
          <w:tcPr>
            <w:tcW w:w="567" w:type="dxa"/>
            <w:shd w:val="clear" w:color="auto" w:fill="C6EFCE"/>
            <w:noWrap/>
          </w:tcPr>
          <w:p w14:paraId="5F4F02C7"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Q4</w:t>
            </w:r>
          </w:p>
        </w:tc>
        <w:tc>
          <w:tcPr>
            <w:tcW w:w="567" w:type="dxa"/>
            <w:shd w:val="clear" w:color="auto" w:fill="C6EFCE"/>
            <w:noWrap/>
          </w:tcPr>
          <w:p w14:paraId="6C9F1CE5"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2023</w:t>
            </w:r>
          </w:p>
        </w:tc>
        <w:tc>
          <w:tcPr>
            <w:tcW w:w="5217" w:type="dxa"/>
            <w:shd w:val="clear" w:color="auto" w:fill="C6EFCE"/>
            <w:noWrap/>
          </w:tcPr>
          <w:p w14:paraId="6524BBCC" w14:textId="3D5BF628" w:rsidR="00D65CB4" w:rsidRPr="00BC4EE7" w:rsidRDefault="00572307">
            <w:pPr>
              <w:pStyle w:val="P68B1DB1-Normal12"/>
              <w:spacing w:after="0" w:line="240" w:lineRule="auto"/>
              <w:rPr>
                <w:rFonts w:eastAsia="Symbol" w:cs="Times New Roman"/>
                <w:noProof/>
              </w:rPr>
            </w:pPr>
            <w:r w:rsidRPr="00BC4EE7">
              <w:rPr>
                <w:rFonts w:cs="Times New Roman"/>
                <w:noProof/>
              </w:rPr>
              <w:t xml:space="preserve">A C7.R1 reformban foglalt új támogató jogszabályi keret (beleértve a 960/2020. sz. királyi rendelettel létrehozott aukciós mechanizmust, a hozzáférési és csatlakozási engedélyekről, valamint a hibridizációról szóló új rendeletet) keretében támogatott halmozott megújulóenergia-termelési kapacitás: legalább 6 000 MW odaítélt </w:t>
            </w:r>
          </w:p>
        </w:tc>
      </w:tr>
      <w:tr w:rsidR="00D65CB4" w:rsidRPr="00BC4EE7" w14:paraId="36A95F07" w14:textId="77777777" w:rsidTr="00481CF8">
        <w:trPr>
          <w:trHeight w:val="309"/>
        </w:trPr>
        <w:tc>
          <w:tcPr>
            <w:tcW w:w="709" w:type="dxa"/>
            <w:shd w:val="clear" w:color="auto" w:fill="C6EFCE"/>
            <w:noWrap/>
          </w:tcPr>
          <w:p w14:paraId="4C3C3ED4"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107</w:t>
            </w:r>
          </w:p>
        </w:tc>
        <w:tc>
          <w:tcPr>
            <w:tcW w:w="879" w:type="dxa"/>
            <w:shd w:val="clear" w:color="auto" w:fill="C6EFCE"/>
            <w:noWrap/>
          </w:tcPr>
          <w:p w14:paraId="78AAB5D7"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C7.R1</w:t>
            </w:r>
          </w:p>
        </w:tc>
        <w:tc>
          <w:tcPr>
            <w:tcW w:w="992" w:type="dxa"/>
            <w:shd w:val="clear" w:color="auto" w:fill="C6EFCE"/>
            <w:noWrap/>
          </w:tcPr>
          <w:p w14:paraId="6FCEBF26"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T</w:t>
            </w:r>
          </w:p>
        </w:tc>
        <w:tc>
          <w:tcPr>
            <w:tcW w:w="2807" w:type="dxa"/>
            <w:shd w:val="clear" w:color="auto" w:fill="C6EFCE"/>
            <w:noWrap/>
          </w:tcPr>
          <w:p w14:paraId="49689A7A"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 xml:space="preserve">A Spanyolországban telepített összesített további megújulóenergia-kapacitás </w:t>
            </w:r>
          </w:p>
        </w:tc>
        <w:tc>
          <w:tcPr>
            <w:tcW w:w="1276" w:type="dxa"/>
            <w:shd w:val="clear" w:color="auto" w:fill="C6EFCE"/>
            <w:noWrap/>
          </w:tcPr>
          <w:p w14:paraId="2A9CB6E2"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w:t>
            </w:r>
          </w:p>
        </w:tc>
        <w:tc>
          <w:tcPr>
            <w:tcW w:w="850" w:type="dxa"/>
            <w:shd w:val="clear" w:color="auto" w:fill="C6EFCE"/>
            <w:noWrap/>
          </w:tcPr>
          <w:p w14:paraId="766B1FE6"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Szám (MW)</w:t>
            </w:r>
          </w:p>
        </w:tc>
        <w:tc>
          <w:tcPr>
            <w:tcW w:w="709" w:type="dxa"/>
            <w:shd w:val="clear" w:color="auto" w:fill="C6EFCE"/>
            <w:noWrap/>
          </w:tcPr>
          <w:p w14:paraId="7DCFEC48"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0</w:t>
            </w:r>
          </w:p>
        </w:tc>
        <w:tc>
          <w:tcPr>
            <w:tcW w:w="737" w:type="dxa"/>
            <w:shd w:val="clear" w:color="auto" w:fill="C6EFCE"/>
            <w:noWrap/>
          </w:tcPr>
          <w:p w14:paraId="60C44B81" w14:textId="5543954F" w:rsidR="00D65CB4" w:rsidRPr="00BC4EE7" w:rsidRDefault="00572307">
            <w:pPr>
              <w:pStyle w:val="P68B1DB1-Normal12"/>
              <w:spacing w:after="0" w:line="240" w:lineRule="auto"/>
              <w:jc w:val="center"/>
              <w:rPr>
                <w:rFonts w:eastAsia="Symbol" w:cs="Times New Roman"/>
                <w:noProof/>
              </w:rPr>
            </w:pPr>
            <w:r w:rsidRPr="00BC4EE7">
              <w:rPr>
                <w:rFonts w:cs="Times New Roman"/>
                <w:noProof/>
              </w:rPr>
              <w:t>6 000</w:t>
            </w:r>
          </w:p>
        </w:tc>
        <w:tc>
          <w:tcPr>
            <w:tcW w:w="567" w:type="dxa"/>
            <w:shd w:val="clear" w:color="auto" w:fill="C6EFCE"/>
            <w:noWrap/>
          </w:tcPr>
          <w:p w14:paraId="2871EA41"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Q4</w:t>
            </w:r>
          </w:p>
        </w:tc>
        <w:tc>
          <w:tcPr>
            <w:tcW w:w="567" w:type="dxa"/>
            <w:shd w:val="clear" w:color="auto" w:fill="C6EFCE"/>
            <w:noWrap/>
          </w:tcPr>
          <w:p w14:paraId="6CB78806"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2023</w:t>
            </w:r>
          </w:p>
        </w:tc>
        <w:tc>
          <w:tcPr>
            <w:tcW w:w="5217" w:type="dxa"/>
            <w:shd w:val="clear" w:color="auto" w:fill="C6EFCE"/>
            <w:noWrap/>
          </w:tcPr>
          <w:p w14:paraId="4F128F40" w14:textId="05D44932" w:rsidR="00D65CB4" w:rsidRPr="00BC4EE7" w:rsidRDefault="00572307">
            <w:pPr>
              <w:pStyle w:val="P68B1DB1-Normal12"/>
              <w:spacing w:after="0" w:line="240" w:lineRule="auto"/>
              <w:rPr>
                <w:rFonts w:eastAsia="Symbol" w:cs="Times New Roman"/>
                <w:noProof/>
              </w:rPr>
            </w:pPr>
            <w:r w:rsidRPr="00BC4EE7">
              <w:rPr>
                <w:rFonts w:cs="Times New Roman"/>
                <w:noProof/>
              </w:rPr>
              <w:t>A 2020 első negyedéve, 42023 negyedéve között Spanyolországban a C7.R1. reformban foglalt új támogató jogszabályi keret alapján (beleértve a 960/2020. sz. királyi rendelet által létrehozott aukciós mechanizmust, a hozzáférési és csatlakozási engedélyekről, valamint a hibridizációról szóló új rendeletet) szerint telepített halmozott további megújulóenergia-kapacitás: legalább 6 000 MW megépített</w:t>
            </w:r>
          </w:p>
        </w:tc>
      </w:tr>
      <w:tr w:rsidR="00D65CB4" w:rsidRPr="00BC4EE7" w14:paraId="64EFED29" w14:textId="77777777" w:rsidTr="00481CF8">
        <w:trPr>
          <w:trHeight w:val="309"/>
        </w:trPr>
        <w:tc>
          <w:tcPr>
            <w:tcW w:w="709" w:type="dxa"/>
            <w:shd w:val="clear" w:color="auto" w:fill="C6EFCE"/>
            <w:noWrap/>
          </w:tcPr>
          <w:p w14:paraId="352E6F29"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108</w:t>
            </w:r>
          </w:p>
        </w:tc>
        <w:tc>
          <w:tcPr>
            <w:tcW w:w="879" w:type="dxa"/>
            <w:shd w:val="clear" w:color="auto" w:fill="C6EFCE"/>
            <w:noWrap/>
          </w:tcPr>
          <w:p w14:paraId="1C68794A"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C7.R2</w:t>
            </w:r>
          </w:p>
        </w:tc>
        <w:tc>
          <w:tcPr>
            <w:tcW w:w="992" w:type="dxa"/>
            <w:shd w:val="clear" w:color="auto" w:fill="C6EFCE"/>
            <w:noWrap/>
          </w:tcPr>
          <w:p w14:paraId="15EB8CE3"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M</w:t>
            </w:r>
          </w:p>
        </w:tc>
        <w:tc>
          <w:tcPr>
            <w:tcW w:w="2807" w:type="dxa"/>
            <w:shd w:val="clear" w:color="auto" w:fill="C6EFCE"/>
            <w:noWrap/>
          </w:tcPr>
          <w:p w14:paraId="27D78FE3"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A saját fogyasztásra vonatkozó nemzeti stratégia</w:t>
            </w:r>
          </w:p>
        </w:tc>
        <w:tc>
          <w:tcPr>
            <w:tcW w:w="1276" w:type="dxa"/>
            <w:shd w:val="clear" w:color="auto" w:fill="C6EFCE"/>
            <w:noWrap/>
          </w:tcPr>
          <w:p w14:paraId="1D51184E"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Közzététel a honlapon</w:t>
            </w:r>
          </w:p>
        </w:tc>
        <w:tc>
          <w:tcPr>
            <w:tcW w:w="850" w:type="dxa"/>
            <w:shd w:val="clear" w:color="auto" w:fill="C6EFCE"/>
            <w:noWrap/>
          </w:tcPr>
          <w:p w14:paraId="2181972A"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 xml:space="preserve"> </w:t>
            </w:r>
          </w:p>
        </w:tc>
        <w:tc>
          <w:tcPr>
            <w:tcW w:w="709" w:type="dxa"/>
            <w:shd w:val="clear" w:color="auto" w:fill="C6EFCE"/>
            <w:noWrap/>
          </w:tcPr>
          <w:p w14:paraId="51756CA6"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 xml:space="preserve"> </w:t>
            </w:r>
          </w:p>
        </w:tc>
        <w:tc>
          <w:tcPr>
            <w:tcW w:w="737" w:type="dxa"/>
            <w:shd w:val="clear" w:color="auto" w:fill="C6EFCE"/>
            <w:noWrap/>
          </w:tcPr>
          <w:p w14:paraId="6AB54743"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 xml:space="preserve"> </w:t>
            </w:r>
          </w:p>
        </w:tc>
        <w:tc>
          <w:tcPr>
            <w:tcW w:w="567" w:type="dxa"/>
            <w:shd w:val="clear" w:color="auto" w:fill="C6EFCE"/>
            <w:noWrap/>
          </w:tcPr>
          <w:p w14:paraId="6934BEC0"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Q4</w:t>
            </w:r>
          </w:p>
        </w:tc>
        <w:tc>
          <w:tcPr>
            <w:tcW w:w="567" w:type="dxa"/>
            <w:shd w:val="clear" w:color="auto" w:fill="C6EFCE"/>
            <w:noWrap/>
          </w:tcPr>
          <w:p w14:paraId="79BB372B"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2021</w:t>
            </w:r>
          </w:p>
        </w:tc>
        <w:tc>
          <w:tcPr>
            <w:tcW w:w="5217" w:type="dxa"/>
            <w:shd w:val="clear" w:color="auto" w:fill="C6EFCE"/>
            <w:noWrap/>
          </w:tcPr>
          <w:p w14:paraId="183C65A8"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A Miniszterek Tanácsa elfogadja és közzéteszi a nemzeti önellátási stratégiát a saját fogyasztás adminisztratív akadályainak csökkentése érdekében.</w:t>
            </w:r>
          </w:p>
        </w:tc>
      </w:tr>
      <w:tr w:rsidR="00D65CB4" w:rsidRPr="00BC4EE7" w14:paraId="07695FFA" w14:textId="77777777" w:rsidTr="00481CF8">
        <w:trPr>
          <w:trHeight w:val="309"/>
        </w:trPr>
        <w:tc>
          <w:tcPr>
            <w:tcW w:w="709" w:type="dxa"/>
            <w:shd w:val="clear" w:color="auto" w:fill="C6EFCE"/>
            <w:noWrap/>
          </w:tcPr>
          <w:p w14:paraId="15A025E3"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109</w:t>
            </w:r>
          </w:p>
        </w:tc>
        <w:tc>
          <w:tcPr>
            <w:tcW w:w="879" w:type="dxa"/>
            <w:shd w:val="clear" w:color="auto" w:fill="C6EFCE"/>
            <w:noWrap/>
          </w:tcPr>
          <w:p w14:paraId="3309A0AA"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C7.R2</w:t>
            </w:r>
          </w:p>
        </w:tc>
        <w:tc>
          <w:tcPr>
            <w:tcW w:w="992" w:type="dxa"/>
            <w:shd w:val="clear" w:color="auto" w:fill="C6EFCE"/>
            <w:noWrap/>
          </w:tcPr>
          <w:p w14:paraId="72A29E6B"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M</w:t>
            </w:r>
          </w:p>
        </w:tc>
        <w:tc>
          <w:tcPr>
            <w:tcW w:w="2807" w:type="dxa"/>
            <w:shd w:val="clear" w:color="auto" w:fill="C6EFCE"/>
            <w:noWrap/>
          </w:tcPr>
          <w:p w14:paraId="763347A0"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A nemzeti önellátási stratégia intézkedéseinek lezárása</w:t>
            </w:r>
          </w:p>
        </w:tc>
        <w:tc>
          <w:tcPr>
            <w:tcW w:w="1276" w:type="dxa"/>
            <w:shd w:val="clear" w:color="auto" w:fill="C6EFCE"/>
            <w:noWrap/>
          </w:tcPr>
          <w:p w14:paraId="5816E567"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Az eredmények közzététele a honlapon</w:t>
            </w:r>
          </w:p>
        </w:tc>
        <w:tc>
          <w:tcPr>
            <w:tcW w:w="850" w:type="dxa"/>
            <w:shd w:val="clear" w:color="auto" w:fill="C6EFCE"/>
            <w:noWrap/>
          </w:tcPr>
          <w:p w14:paraId="3B89598A"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 xml:space="preserve"> </w:t>
            </w:r>
          </w:p>
        </w:tc>
        <w:tc>
          <w:tcPr>
            <w:tcW w:w="709" w:type="dxa"/>
            <w:shd w:val="clear" w:color="auto" w:fill="C6EFCE"/>
            <w:noWrap/>
          </w:tcPr>
          <w:p w14:paraId="1D9BD9BE"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 xml:space="preserve"> </w:t>
            </w:r>
          </w:p>
        </w:tc>
        <w:tc>
          <w:tcPr>
            <w:tcW w:w="737" w:type="dxa"/>
            <w:shd w:val="clear" w:color="auto" w:fill="C6EFCE"/>
            <w:noWrap/>
          </w:tcPr>
          <w:p w14:paraId="4B690AF8"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 xml:space="preserve"> </w:t>
            </w:r>
          </w:p>
        </w:tc>
        <w:tc>
          <w:tcPr>
            <w:tcW w:w="567" w:type="dxa"/>
            <w:shd w:val="clear" w:color="auto" w:fill="C6EFCE"/>
            <w:noWrap/>
          </w:tcPr>
          <w:p w14:paraId="6DE06FBE"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Q2</w:t>
            </w:r>
          </w:p>
        </w:tc>
        <w:tc>
          <w:tcPr>
            <w:tcW w:w="567" w:type="dxa"/>
            <w:shd w:val="clear" w:color="auto" w:fill="C6EFCE"/>
            <w:noWrap/>
          </w:tcPr>
          <w:p w14:paraId="0D860353"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2023</w:t>
            </w:r>
          </w:p>
        </w:tc>
        <w:tc>
          <w:tcPr>
            <w:tcW w:w="5217" w:type="dxa"/>
            <w:shd w:val="clear" w:color="auto" w:fill="C6EFCE"/>
            <w:noWrap/>
          </w:tcPr>
          <w:p w14:paraId="62B486A3"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A nemzeti sajátfogyasztási stratégia kulcsfontosságú intézkedéseinek befejezése, beleértve a következőket: az ökológiai átállásért felelős minisztérium honlapján közzétett technikai iránymutatás és az önkormányzatoknak szóló iránymutatás közzététele arról, hogy miként lehet előmozdítani a saját fogyasztást, valamint a megújuló energiaforrásokkal kapcsolatos saját megújulóenergia-fogyasztással kapcsolatos szükséges műszaki készségek fejlesztésére irányuló képzések elvégzése legalább 500 szakember számára.</w:t>
            </w:r>
          </w:p>
        </w:tc>
      </w:tr>
      <w:tr w:rsidR="00D65CB4" w:rsidRPr="00BC4EE7" w14:paraId="0F86EE98" w14:textId="77777777" w:rsidTr="00481CF8">
        <w:trPr>
          <w:trHeight w:val="309"/>
        </w:trPr>
        <w:tc>
          <w:tcPr>
            <w:tcW w:w="709" w:type="dxa"/>
            <w:shd w:val="clear" w:color="auto" w:fill="C6EFCE"/>
            <w:noWrap/>
          </w:tcPr>
          <w:p w14:paraId="1C213BED"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110</w:t>
            </w:r>
          </w:p>
        </w:tc>
        <w:tc>
          <w:tcPr>
            <w:tcW w:w="879" w:type="dxa"/>
            <w:shd w:val="clear" w:color="auto" w:fill="C6EFCE"/>
            <w:noWrap/>
          </w:tcPr>
          <w:p w14:paraId="637C99B4"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C7.R3</w:t>
            </w:r>
          </w:p>
        </w:tc>
        <w:tc>
          <w:tcPr>
            <w:tcW w:w="992" w:type="dxa"/>
            <w:shd w:val="clear" w:color="auto" w:fill="C6EFCE"/>
            <w:noWrap/>
          </w:tcPr>
          <w:p w14:paraId="627E5AD6"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M</w:t>
            </w:r>
          </w:p>
        </w:tc>
        <w:tc>
          <w:tcPr>
            <w:tcW w:w="2807" w:type="dxa"/>
            <w:shd w:val="clear" w:color="auto" w:fill="C6EFCE"/>
            <w:noWrap/>
          </w:tcPr>
          <w:p w14:paraId="28BAB183"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 xml:space="preserve">Kísérleti projekt az energiaközösségek számára </w:t>
            </w:r>
          </w:p>
        </w:tc>
        <w:tc>
          <w:tcPr>
            <w:tcW w:w="1276" w:type="dxa"/>
            <w:shd w:val="clear" w:color="auto" w:fill="C6EFCE"/>
            <w:noWrap/>
          </w:tcPr>
          <w:p w14:paraId="4FB2D6F1"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Közzététel a honlapon</w:t>
            </w:r>
          </w:p>
        </w:tc>
        <w:tc>
          <w:tcPr>
            <w:tcW w:w="850" w:type="dxa"/>
            <w:shd w:val="clear" w:color="auto" w:fill="C6EFCE"/>
            <w:noWrap/>
          </w:tcPr>
          <w:p w14:paraId="5D2FFEEA"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 xml:space="preserve"> </w:t>
            </w:r>
          </w:p>
        </w:tc>
        <w:tc>
          <w:tcPr>
            <w:tcW w:w="709" w:type="dxa"/>
            <w:shd w:val="clear" w:color="auto" w:fill="C6EFCE"/>
            <w:noWrap/>
          </w:tcPr>
          <w:p w14:paraId="142A0355"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 xml:space="preserve"> </w:t>
            </w:r>
          </w:p>
        </w:tc>
        <w:tc>
          <w:tcPr>
            <w:tcW w:w="737" w:type="dxa"/>
            <w:shd w:val="clear" w:color="auto" w:fill="C6EFCE"/>
            <w:noWrap/>
          </w:tcPr>
          <w:p w14:paraId="7069FD48"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 xml:space="preserve"> </w:t>
            </w:r>
          </w:p>
        </w:tc>
        <w:tc>
          <w:tcPr>
            <w:tcW w:w="567" w:type="dxa"/>
            <w:shd w:val="clear" w:color="auto" w:fill="C6EFCE"/>
            <w:noWrap/>
          </w:tcPr>
          <w:p w14:paraId="5D15D15B"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Q2</w:t>
            </w:r>
          </w:p>
        </w:tc>
        <w:tc>
          <w:tcPr>
            <w:tcW w:w="567" w:type="dxa"/>
            <w:shd w:val="clear" w:color="auto" w:fill="C6EFCE"/>
            <w:noWrap/>
          </w:tcPr>
          <w:p w14:paraId="0BA06E4D"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2022</w:t>
            </w:r>
          </w:p>
        </w:tc>
        <w:tc>
          <w:tcPr>
            <w:tcW w:w="5217" w:type="dxa"/>
            <w:shd w:val="clear" w:color="auto" w:fill="C6EFCE"/>
            <w:noWrap/>
          </w:tcPr>
          <w:p w14:paraId="70A37D06"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 xml:space="preserve">Az energiaközösségeknek szóló első kísérleti projekt odaítélése ajánlati felhívások alapján, e modell életképességének bizonyítása érdekében. </w:t>
            </w:r>
          </w:p>
        </w:tc>
      </w:tr>
      <w:tr w:rsidR="00D65CB4" w:rsidRPr="00BC4EE7" w14:paraId="7DCEBF7A" w14:textId="77777777" w:rsidTr="00481CF8">
        <w:trPr>
          <w:trHeight w:val="309"/>
        </w:trPr>
        <w:tc>
          <w:tcPr>
            <w:tcW w:w="709" w:type="dxa"/>
            <w:shd w:val="clear" w:color="auto" w:fill="C6EFCE"/>
            <w:noWrap/>
          </w:tcPr>
          <w:p w14:paraId="4F5DFF28"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111</w:t>
            </w:r>
          </w:p>
        </w:tc>
        <w:tc>
          <w:tcPr>
            <w:tcW w:w="879" w:type="dxa"/>
            <w:shd w:val="clear" w:color="auto" w:fill="C6EFCE"/>
            <w:noWrap/>
          </w:tcPr>
          <w:p w14:paraId="02552346"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C7.R3</w:t>
            </w:r>
          </w:p>
        </w:tc>
        <w:tc>
          <w:tcPr>
            <w:tcW w:w="992" w:type="dxa"/>
            <w:shd w:val="clear" w:color="auto" w:fill="C6EFCE"/>
            <w:noWrap/>
          </w:tcPr>
          <w:p w14:paraId="2941F8A8"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T</w:t>
            </w:r>
          </w:p>
        </w:tc>
        <w:tc>
          <w:tcPr>
            <w:tcW w:w="2807" w:type="dxa"/>
            <w:shd w:val="clear" w:color="auto" w:fill="C6EFCE"/>
            <w:noWrap/>
          </w:tcPr>
          <w:p w14:paraId="6B4E7492"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Energiával kapcsolatos kísérleti projektek lezárása a helyi közösségekben</w:t>
            </w:r>
          </w:p>
        </w:tc>
        <w:tc>
          <w:tcPr>
            <w:tcW w:w="1276" w:type="dxa"/>
            <w:shd w:val="clear" w:color="auto" w:fill="C6EFCE"/>
            <w:noWrap/>
          </w:tcPr>
          <w:p w14:paraId="0A5B7069"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w:t>
            </w:r>
          </w:p>
        </w:tc>
        <w:tc>
          <w:tcPr>
            <w:tcW w:w="850" w:type="dxa"/>
            <w:shd w:val="clear" w:color="auto" w:fill="C6EFCE"/>
            <w:noWrap/>
          </w:tcPr>
          <w:p w14:paraId="4D4AEED7"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Szám</w:t>
            </w:r>
          </w:p>
        </w:tc>
        <w:tc>
          <w:tcPr>
            <w:tcW w:w="709" w:type="dxa"/>
            <w:shd w:val="clear" w:color="auto" w:fill="C6EFCE"/>
            <w:noWrap/>
          </w:tcPr>
          <w:p w14:paraId="1CAC2DF5"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 0</w:t>
            </w:r>
          </w:p>
        </w:tc>
        <w:tc>
          <w:tcPr>
            <w:tcW w:w="737" w:type="dxa"/>
            <w:shd w:val="clear" w:color="auto" w:fill="C6EFCE"/>
            <w:noWrap/>
          </w:tcPr>
          <w:p w14:paraId="1F392030"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37</w:t>
            </w:r>
          </w:p>
        </w:tc>
        <w:tc>
          <w:tcPr>
            <w:tcW w:w="567" w:type="dxa"/>
            <w:shd w:val="clear" w:color="auto" w:fill="C6EFCE"/>
            <w:noWrap/>
          </w:tcPr>
          <w:p w14:paraId="04C84B27"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Q4</w:t>
            </w:r>
          </w:p>
        </w:tc>
        <w:tc>
          <w:tcPr>
            <w:tcW w:w="567" w:type="dxa"/>
            <w:shd w:val="clear" w:color="auto" w:fill="C6EFCE"/>
            <w:noWrap/>
          </w:tcPr>
          <w:p w14:paraId="475D344D" w14:textId="7C2136F4" w:rsidR="00D65CB4" w:rsidRPr="00BC4EE7" w:rsidRDefault="00572307">
            <w:pPr>
              <w:pStyle w:val="P68B1DB1-Normal12"/>
              <w:spacing w:after="0" w:line="240" w:lineRule="auto"/>
              <w:jc w:val="center"/>
              <w:rPr>
                <w:rFonts w:eastAsia="Symbol" w:cs="Times New Roman"/>
                <w:noProof/>
              </w:rPr>
            </w:pPr>
            <w:r w:rsidRPr="00BC4EE7">
              <w:rPr>
                <w:rFonts w:cs="Times New Roman"/>
                <w:noProof/>
              </w:rPr>
              <w:t>2024</w:t>
            </w:r>
          </w:p>
        </w:tc>
        <w:tc>
          <w:tcPr>
            <w:tcW w:w="5217" w:type="dxa"/>
            <w:shd w:val="clear" w:color="auto" w:fill="C6EFCE"/>
            <w:noWrap/>
          </w:tcPr>
          <w:p w14:paraId="346E211B"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Legalább 37, energiával kapcsolatos kísérleti projekt lezárása a helyi közösség részvételével, a végrehajtott intézkedéseket és a következő lépéseket meghatározó ütemterv alapján. Ezek a kísérleti projektek magukban foglalhatják a részvételi folyamatokat, a helyi energiaközösségek létrehozásának támogatását vagy maguknak a megújulóenergia-projekteknek a megvalósítását.</w:t>
            </w:r>
          </w:p>
        </w:tc>
      </w:tr>
      <w:tr w:rsidR="00D65CB4" w:rsidRPr="00BC4EE7" w14:paraId="293E68CC" w14:textId="77777777" w:rsidTr="00481CF8">
        <w:trPr>
          <w:trHeight w:val="309"/>
        </w:trPr>
        <w:tc>
          <w:tcPr>
            <w:tcW w:w="709" w:type="dxa"/>
            <w:shd w:val="clear" w:color="auto" w:fill="C6EFCE"/>
            <w:noWrap/>
          </w:tcPr>
          <w:p w14:paraId="5F0CA593"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112</w:t>
            </w:r>
          </w:p>
        </w:tc>
        <w:tc>
          <w:tcPr>
            <w:tcW w:w="879" w:type="dxa"/>
            <w:shd w:val="clear" w:color="auto" w:fill="C6EFCE"/>
            <w:noWrap/>
          </w:tcPr>
          <w:p w14:paraId="20AE2DF1"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C7.R4</w:t>
            </w:r>
          </w:p>
        </w:tc>
        <w:tc>
          <w:tcPr>
            <w:tcW w:w="992" w:type="dxa"/>
            <w:shd w:val="clear" w:color="auto" w:fill="C6EFCE"/>
            <w:noWrap/>
          </w:tcPr>
          <w:p w14:paraId="61A57A1C"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M</w:t>
            </w:r>
          </w:p>
        </w:tc>
        <w:tc>
          <w:tcPr>
            <w:tcW w:w="2807" w:type="dxa"/>
            <w:shd w:val="clear" w:color="auto" w:fill="C6EFCE"/>
            <w:noWrap/>
          </w:tcPr>
          <w:p w14:paraId="1A09D8EB"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A tengeri szélenergiára és egyéb tengeri energiára vonatkozó ütemterv</w:t>
            </w:r>
          </w:p>
        </w:tc>
        <w:tc>
          <w:tcPr>
            <w:tcW w:w="1276" w:type="dxa"/>
            <w:shd w:val="clear" w:color="auto" w:fill="C6EFCE"/>
            <w:noWrap/>
          </w:tcPr>
          <w:p w14:paraId="7149803A"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Közzététel a honlapon</w:t>
            </w:r>
          </w:p>
        </w:tc>
        <w:tc>
          <w:tcPr>
            <w:tcW w:w="850" w:type="dxa"/>
            <w:shd w:val="clear" w:color="auto" w:fill="C6EFCE"/>
            <w:noWrap/>
          </w:tcPr>
          <w:p w14:paraId="4FA58E2B"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 xml:space="preserve"> </w:t>
            </w:r>
          </w:p>
        </w:tc>
        <w:tc>
          <w:tcPr>
            <w:tcW w:w="709" w:type="dxa"/>
            <w:shd w:val="clear" w:color="auto" w:fill="C6EFCE"/>
            <w:noWrap/>
          </w:tcPr>
          <w:p w14:paraId="705B4414"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 xml:space="preserve"> </w:t>
            </w:r>
          </w:p>
        </w:tc>
        <w:tc>
          <w:tcPr>
            <w:tcW w:w="737" w:type="dxa"/>
            <w:shd w:val="clear" w:color="auto" w:fill="C6EFCE"/>
            <w:noWrap/>
          </w:tcPr>
          <w:p w14:paraId="17B578C6"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 xml:space="preserve"> </w:t>
            </w:r>
          </w:p>
        </w:tc>
        <w:tc>
          <w:tcPr>
            <w:tcW w:w="567" w:type="dxa"/>
            <w:shd w:val="clear" w:color="auto" w:fill="C6EFCE"/>
            <w:noWrap/>
          </w:tcPr>
          <w:p w14:paraId="4DDB2106"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Q4</w:t>
            </w:r>
          </w:p>
        </w:tc>
        <w:tc>
          <w:tcPr>
            <w:tcW w:w="567" w:type="dxa"/>
            <w:shd w:val="clear" w:color="auto" w:fill="C6EFCE"/>
            <w:noWrap/>
          </w:tcPr>
          <w:p w14:paraId="116D4EA9"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2021</w:t>
            </w:r>
          </w:p>
        </w:tc>
        <w:tc>
          <w:tcPr>
            <w:tcW w:w="5217" w:type="dxa"/>
            <w:shd w:val="clear" w:color="auto" w:fill="C6EFCE"/>
            <w:noWrap/>
          </w:tcPr>
          <w:p w14:paraId="77EDC287"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A tengeri szélenergiára és más tengeri energiára vonatkozó ütemterv közzététele a megújuló energiaforrás fejlesztése előtt álló adminisztratív akadályok csökkentése érdekében</w:t>
            </w:r>
          </w:p>
        </w:tc>
      </w:tr>
      <w:tr w:rsidR="00D65CB4" w:rsidRPr="00BC4EE7" w14:paraId="78B4477D" w14:textId="77777777" w:rsidTr="00481CF8">
        <w:trPr>
          <w:trHeight w:val="309"/>
        </w:trPr>
        <w:tc>
          <w:tcPr>
            <w:tcW w:w="709" w:type="dxa"/>
            <w:shd w:val="clear" w:color="auto" w:fill="C6EFCE"/>
            <w:noWrap/>
          </w:tcPr>
          <w:p w14:paraId="63F14F84"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113</w:t>
            </w:r>
          </w:p>
        </w:tc>
        <w:tc>
          <w:tcPr>
            <w:tcW w:w="879" w:type="dxa"/>
            <w:shd w:val="clear" w:color="auto" w:fill="C6EFCE"/>
            <w:noWrap/>
          </w:tcPr>
          <w:p w14:paraId="29C2D4C9"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C7.R4</w:t>
            </w:r>
          </w:p>
        </w:tc>
        <w:tc>
          <w:tcPr>
            <w:tcW w:w="992" w:type="dxa"/>
            <w:shd w:val="clear" w:color="auto" w:fill="C6EFCE"/>
            <w:noWrap/>
          </w:tcPr>
          <w:p w14:paraId="524630E2"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M</w:t>
            </w:r>
          </w:p>
        </w:tc>
        <w:tc>
          <w:tcPr>
            <w:tcW w:w="2807" w:type="dxa"/>
            <w:shd w:val="clear" w:color="auto" w:fill="C6EFCE"/>
            <w:noWrap/>
          </w:tcPr>
          <w:p w14:paraId="03200769"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A tengeri szélenergiára és egyéb tengeri energiára vonatkozó térképen meghatározott szabályozási intézkedések hatálybalépése</w:t>
            </w:r>
          </w:p>
        </w:tc>
        <w:tc>
          <w:tcPr>
            <w:tcW w:w="1276" w:type="dxa"/>
            <w:shd w:val="clear" w:color="auto" w:fill="C6EFCE"/>
            <w:noWrap/>
          </w:tcPr>
          <w:p w14:paraId="517C0551"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A szabályozási intézkedések rendelkezései a hatálybalépéskor</w:t>
            </w:r>
          </w:p>
        </w:tc>
        <w:tc>
          <w:tcPr>
            <w:tcW w:w="850" w:type="dxa"/>
            <w:shd w:val="clear" w:color="auto" w:fill="C6EFCE"/>
            <w:noWrap/>
          </w:tcPr>
          <w:p w14:paraId="1FA429CE"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 xml:space="preserve"> </w:t>
            </w:r>
          </w:p>
        </w:tc>
        <w:tc>
          <w:tcPr>
            <w:tcW w:w="709" w:type="dxa"/>
            <w:shd w:val="clear" w:color="auto" w:fill="C6EFCE"/>
            <w:noWrap/>
          </w:tcPr>
          <w:p w14:paraId="4E64FEAB"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 xml:space="preserve"> </w:t>
            </w:r>
          </w:p>
        </w:tc>
        <w:tc>
          <w:tcPr>
            <w:tcW w:w="737" w:type="dxa"/>
            <w:shd w:val="clear" w:color="auto" w:fill="C6EFCE"/>
            <w:noWrap/>
          </w:tcPr>
          <w:p w14:paraId="0F5B8C8A"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 xml:space="preserve"> </w:t>
            </w:r>
          </w:p>
        </w:tc>
        <w:tc>
          <w:tcPr>
            <w:tcW w:w="567" w:type="dxa"/>
            <w:shd w:val="clear" w:color="auto" w:fill="C6EFCE"/>
            <w:noWrap/>
          </w:tcPr>
          <w:p w14:paraId="1D8520B8"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Q2</w:t>
            </w:r>
          </w:p>
        </w:tc>
        <w:tc>
          <w:tcPr>
            <w:tcW w:w="567" w:type="dxa"/>
            <w:shd w:val="clear" w:color="auto" w:fill="C6EFCE"/>
            <w:noWrap/>
          </w:tcPr>
          <w:p w14:paraId="3E931638"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2023</w:t>
            </w:r>
          </w:p>
        </w:tc>
        <w:tc>
          <w:tcPr>
            <w:tcW w:w="5217" w:type="dxa"/>
            <w:shd w:val="clear" w:color="auto" w:fill="C6EFCE"/>
            <w:noWrap/>
          </w:tcPr>
          <w:p w14:paraId="76BAAB49"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A tengeri szélenergiára és más tengeri energiára vonatkozó térképen meghatározott kulcsfontosságú szabályozási intézkedések hatálybalépése a kutatás és az innováció előmozdítása, valamint az úszó technológiák alkalmazásának támogatása érdekében. Ezek a kulcsfontosságú intézkedések a következőket foglalják magukban: a tengeri területrendezési tervek végleges jóváhagyása, a hálózattervezés és az offshore stratégia jobb összehangolása, valamint a szabályozási keret aktualizálása.</w:t>
            </w:r>
          </w:p>
        </w:tc>
      </w:tr>
      <w:tr w:rsidR="00D65CB4" w:rsidRPr="00BC4EE7" w14:paraId="4EE8FC0F" w14:textId="77777777" w:rsidTr="00481CF8">
        <w:trPr>
          <w:trHeight w:val="309"/>
        </w:trPr>
        <w:tc>
          <w:tcPr>
            <w:tcW w:w="709" w:type="dxa"/>
            <w:shd w:val="clear" w:color="auto" w:fill="C6EFCE"/>
            <w:noWrap/>
          </w:tcPr>
          <w:p w14:paraId="31A92431"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114</w:t>
            </w:r>
          </w:p>
        </w:tc>
        <w:tc>
          <w:tcPr>
            <w:tcW w:w="879" w:type="dxa"/>
            <w:shd w:val="clear" w:color="auto" w:fill="C6EFCE"/>
            <w:noWrap/>
          </w:tcPr>
          <w:p w14:paraId="78568058"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C7.R4</w:t>
            </w:r>
          </w:p>
        </w:tc>
        <w:tc>
          <w:tcPr>
            <w:tcW w:w="992" w:type="dxa"/>
            <w:shd w:val="clear" w:color="auto" w:fill="C6EFCE"/>
            <w:noWrap/>
          </w:tcPr>
          <w:p w14:paraId="36E3BA94"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M</w:t>
            </w:r>
          </w:p>
        </w:tc>
        <w:tc>
          <w:tcPr>
            <w:tcW w:w="2807" w:type="dxa"/>
            <w:shd w:val="clear" w:color="auto" w:fill="C6EFCE"/>
            <w:noWrap/>
          </w:tcPr>
          <w:p w14:paraId="66D801F0"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A biogázra vonatkozó ütemtervben meghatározott intézkedések befejezése</w:t>
            </w:r>
          </w:p>
        </w:tc>
        <w:tc>
          <w:tcPr>
            <w:tcW w:w="1276" w:type="dxa"/>
            <w:shd w:val="clear" w:color="auto" w:fill="C6EFCE"/>
            <w:noWrap/>
          </w:tcPr>
          <w:p w14:paraId="526D0C03"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Közzététel a honlapon</w:t>
            </w:r>
          </w:p>
        </w:tc>
        <w:tc>
          <w:tcPr>
            <w:tcW w:w="850" w:type="dxa"/>
            <w:shd w:val="clear" w:color="auto" w:fill="C6EFCE"/>
            <w:noWrap/>
          </w:tcPr>
          <w:p w14:paraId="248DBDE2"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 xml:space="preserve"> </w:t>
            </w:r>
          </w:p>
        </w:tc>
        <w:tc>
          <w:tcPr>
            <w:tcW w:w="709" w:type="dxa"/>
            <w:shd w:val="clear" w:color="auto" w:fill="C6EFCE"/>
            <w:noWrap/>
          </w:tcPr>
          <w:p w14:paraId="452D7DC3"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 xml:space="preserve"> </w:t>
            </w:r>
          </w:p>
        </w:tc>
        <w:tc>
          <w:tcPr>
            <w:tcW w:w="737" w:type="dxa"/>
            <w:shd w:val="clear" w:color="auto" w:fill="C6EFCE"/>
            <w:noWrap/>
          </w:tcPr>
          <w:p w14:paraId="3E835728"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 xml:space="preserve"> </w:t>
            </w:r>
          </w:p>
        </w:tc>
        <w:tc>
          <w:tcPr>
            <w:tcW w:w="567" w:type="dxa"/>
            <w:shd w:val="clear" w:color="auto" w:fill="C6EFCE"/>
            <w:noWrap/>
          </w:tcPr>
          <w:p w14:paraId="2D4F3C3B"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Q4</w:t>
            </w:r>
          </w:p>
        </w:tc>
        <w:tc>
          <w:tcPr>
            <w:tcW w:w="567" w:type="dxa"/>
            <w:shd w:val="clear" w:color="auto" w:fill="C6EFCE"/>
            <w:noWrap/>
          </w:tcPr>
          <w:p w14:paraId="78EF15BC"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2023</w:t>
            </w:r>
          </w:p>
        </w:tc>
        <w:tc>
          <w:tcPr>
            <w:tcW w:w="5217" w:type="dxa"/>
            <w:shd w:val="clear" w:color="auto" w:fill="C6EFCE"/>
            <w:noWrap/>
          </w:tcPr>
          <w:p w14:paraId="15988DBC"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A biogázra vonatkozó ütemtervben meghatározott kulcsfontosságú intézkedések befejezése, beleértve a megújuló gázokra vonatkozó származási garanciák rendszerének létrehozását, a biogáz versenyképességének javítása és a biogáztermelésbe történő beruházások előmozdítása érdekében, biztosítva a gyorsabb dekarbonizációt az olyan ágazatokban, mint az ipar és a közlekedés.</w:t>
            </w:r>
          </w:p>
        </w:tc>
      </w:tr>
      <w:tr w:rsidR="00D65CB4" w:rsidRPr="00BC4EE7" w14:paraId="63C384DE" w14:textId="77777777" w:rsidTr="00481CF8">
        <w:trPr>
          <w:trHeight w:val="309"/>
        </w:trPr>
        <w:tc>
          <w:tcPr>
            <w:tcW w:w="709" w:type="dxa"/>
            <w:shd w:val="clear" w:color="auto" w:fill="C6EFCE"/>
            <w:noWrap/>
          </w:tcPr>
          <w:p w14:paraId="7FBB681B"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115</w:t>
            </w:r>
          </w:p>
        </w:tc>
        <w:tc>
          <w:tcPr>
            <w:tcW w:w="879" w:type="dxa"/>
            <w:shd w:val="clear" w:color="auto" w:fill="C6EFCE"/>
            <w:noWrap/>
          </w:tcPr>
          <w:p w14:paraId="362CDE17"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C7.I1</w:t>
            </w:r>
          </w:p>
        </w:tc>
        <w:tc>
          <w:tcPr>
            <w:tcW w:w="992" w:type="dxa"/>
            <w:shd w:val="clear" w:color="auto" w:fill="C6EFCE"/>
            <w:noWrap/>
          </w:tcPr>
          <w:p w14:paraId="700066EE"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M</w:t>
            </w:r>
          </w:p>
        </w:tc>
        <w:tc>
          <w:tcPr>
            <w:tcW w:w="2807" w:type="dxa"/>
            <w:shd w:val="clear" w:color="auto" w:fill="C6EFCE"/>
            <w:noWrap/>
          </w:tcPr>
          <w:p w14:paraId="229661EF"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Pályázat innovatív vagy hozzáadott értéket képviselő megújulóenergia-kapacitás beruházási támogatására</w:t>
            </w:r>
          </w:p>
        </w:tc>
        <w:tc>
          <w:tcPr>
            <w:tcW w:w="1276" w:type="dxa"/>
            <w:shd w:val="clear" w:color="auto" w:fill="C6EFCE"/>
            <w:noWrap/>
          </w:tcPr>
          <w:p w14:paraId="40DBECFF"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Közzététel a HL-ben</w:t>
            </w:r>
          </w:p>
        </w:tc>
        <w:tc>
          <w:tcPr>
            <w:tcW w:w="850" w:type="dxa"/>
            <w:shd w:val="clear" w:color="auto" w:fill="C6EFCE"/>
            <w:noWrap/>
          </w:tcPr>
          <w:p w14:paraId="46FD6BF3"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 xml:space="preserve"> </w:t>
            </w:r>
          </w:p>
        </w:tc>
        <w:tc>
          <w:tcPr>
            <w:tcW w:w="709" w:type="dxa"/>
            <w:shd w:val="clear" w:color="auto" w:fill="C6EFCE"/>
            <w:noWrap/>
          </w:tcPr>
          <w:p w14:paraId="0EEEC1AA"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 xml:space="preserve"> </w:t>
            </w:r>
          </w:p>
        </w:tc>
        <w:tc>
          <w:tcPr>
            <w:tcW w:w="737" w:type="dxa"/>
            <w:shd w:val="clear" w:color="auto" w:fill="C6EFCE"/>
            <w:noWrap/>
          </w:tcPr>
          <w:p w14:paraId="19C7E312"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 xml:space="preserve"> </w:t>
            </w:r>
          </w:p>
        </w:tc>
        <w:tc>
          <w:tcPr>
            <w:tcW w:w="567" w:type="dxa"/>
            <w:shd w:val="clear" w:color="auto" w:fill="C6EFCE"/>
            <w:noWrap/>
          </w:tcPr>
          <w:p w14:paraId="62BCC829"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Q2</w:t>
            </w:r>
          </w:p>
        </w:tc>
        <w:tc>
          <w:tcPr>
            <w:tcW w:w="567" w:type="dxa"/>
            <w:shd w:val="clear" w:color="auto" w:fill="C6EFCE"/>
            <w:noWrap/>
          </w:tcPr>
          <w:p w14:paraId="4B1264B9"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2022</w:t>
            </w:r>
          </w:p>
        </w:tc>
        <w:tc>
          <w:tcPr>
            <w:tcW w:w="5217" w:type="dxa"/>
            <w:shd w:val="clear" w:color="auto" w:fill="C6EFCE"/>
            <w:noWrap/>
          </w:tcPr>
          <w:p w14:paraId="558321B8"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 xml:space="preserve">Az innovatív vagy hozzáadott értéket képviselő megújulóenergia-kapacitás beruházási támogatására irányuló első pályázat közzététele a Hivatalos Lapban </w:t>
            </w:r>
          </w:p>
        </w:tc>
      </w:tr>
      <w:tr w:rsidR="00D65CB4" w:rsidRPr="00BC4EE7" w14:paraId="525CA3D7" w14:textId="77777777" w:rsidTr="00481CF8">
        <w:trPr>
          <w:trHeight w:val="309"/>
        </w:trPr>
        <w:tc>
          <w:tcPr>
            <w:tcW w:w="709" w:type="dxa"/>
            <w:shd w:val="clear" w:color="auto" w:fill="C6EFCE"/>
            <w:noWrap/>
          </w:tcPr>
          <w:p w14:paraId="0ED21733"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116</w:t>
            </w:r>
          </w:p>
        </w:tc>
        <w:tc>
          <w:tcPr>
            <w:tcW w:w="879" w:type="dxa"/>
            <w:shd w:val="clear" w:color="auto" w:fill="C6EFCE"/>
            <w:noWrap/>
          </w:tcPr>
          <w:p w14:paraId="30D6F564"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C7.I1</w:t>
            </w:r>
          </w:p>
        </w:tc>
        <w:tc>
          <w:tcPr>
            <w:tcW w:w="992" w:type="dxa"/>
            <w:shd w:val="clear" w:color="auto" w:fill="C6EFCE"/>
            <w:noWrap/>
          </w:tcPr>
          <w:p w14:paraId="36F1F5A9"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M</w:t>
            </w:r>
          </w:p>
        </w:tc>
        <w:tc>
          <w:tcPr>
            <w:tcW w:w="2807" w:type="dxa"/>
            <w:shd w:val="clear" w:color="auto" w:fill="C6EFCE"/>
            <w:noWrap/>
          </w:tcPr>
          <w:p w14:paraId="55EFD344"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A tengeri megújulóenergia-infrastruktúra új projektjei, technológiái vagy létesítményei</w:t>
            </w:r>
          </w:p>
        </w:tc>
        <w:tc>
          <w:tcPr>
            <w:tcW w:w="1276" w:type="dxa"/>
            <w:shd w:val="clear" w:color="auto" w:fill="C6EFCE"/>
            <w:noWrap/>
          </w:tcPr>
          <w:p w14:paraId="5F5B292E"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Az odaítélésről szóló határozat/a beruházási hatóság határozata</w:t>
            </w:r>
          </w:p>
        </w:tc>
        <w:tc>
          <w:tcPr>
            <w:tcW w:w="850" w:type="dxa"/>
            <w:shd w:val="clear" w:color="auto" w:fill="C6EFCE"/>
            <w:noWrap/>
          </w:tcPr>
          <w:p w14:paraId="3E85448D"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 xml:space="preserve"> </w:t>
            </w:r>
          </w:p>
        </w:tc>
        <w:tc>
          <w:tcPr>
            <w:tcW w:w="709" w:type="dxa"/>
            <w:shd w:val="clear" w:color="auto" w:fill="C6EFCE"/>
            <w:noWrap/>
          </w:tcPr>
          <w:p w14:paraId="70342F75"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 xml:space="preserve"> </w:t>
            </w:r>
          </w:p>
        </w:tc>
        <w:tc>
          <w:tcPr>
            <w:tcW w:w="737" w:type="dxa"/>
            <w:shd w:val="clear" w:color="auto" w:fill="C6EFCE"/>
            <w:noWrap/>
          </w:tcPr>
          <w:p w14:paraId="0E6A004A"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 xml:space="preserve"> </w:t>
            </w:r>
          </w:p>
        </w:tc>
        <w:tc>
          <w:tcPr>
            <w:tcW w:w="567" w:type="dxa"/>
            <w:shd w:val="clear" w:color="auto" w:fill="C6EFCE"/>
            <w:noWrap/>
          </w:tcPr>
          <w:p w14:paraId="62FEC388"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Q3</w:t>
            </w:r>
          </w:p>
        </w:tc>
        <w:tc>
          <w:tcPr>
            <w:tcW w:w="567" w:type="dxa"/>
            <w:shd w:val="clear" w:color="auto" w:fill="C6EFCE"/>
            <w:noWrap/>
          </w:tcPr>
          <w:p w14:paraId="44F941C4"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2023</w:t>
            </w:r>
          </w:p>
        </w:tc>
        <w:tc>
          <w:tcPr>
            <w:tcW w:w="5217" w:type="dxa"/>
            <w:shd w:val="clear" w:color="auto" w:fill="C6EFCE"/>
            <w:noWrap/>
          </w:tcPr>
          <w:p w14:paraId="4DF240FF"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 xml:space="preserve">Legalább 6 olyan fejlesztés, amely a tengeri megújulóenergia-infrastruktúra új projektjeit, technológiáit vagy létesítményeit mozdítja elő. A hat fejlesztésnek hozzá kell járulnia a tengeri megújuló energiával kapcsolatos projektek spanyolországi végrehajtásához. A fejlesztések közé tartozhatnak a tengeri megújuló energiával foglalkozó olyan kkv-k, amelyek vissza nem térítendő támogatásban, kölcsönben vagy sajáttőke-befektetésben részesülnek, részt vesznek a kereskedelmi hasznosítást megelőző közbeszerzésben, valamint a tengeri megújulóenergia-projektekhez vagy az új technológiák tengeri megújulóenergia-termelésének vagy -alkalmazásának prototípusához közvetlenül nyújtott vissza nem térítendő támogatások. </w:t>
            </w:r>
          </w:p>
        </w:tc>
      </w:tr>
      <w:tr w:rsidR="00D65CB4" w:rsidRPr="00BC4EE7" w14:paraId="3343B885" w14:textId="77777777" w:rsidTr="00481CF8">
        <w:trPr>
          <w:trHeight w:val="309"/>
        </w:trPr>
        <w:tc>
          <w:tcPr>
            <w:tcW w:w="709" w:type="dxa"/>
            <w:shd w:val="clear" w:color="auto" w:fill="C6EFCE"/>
            <w:noWrap/>
          </w:tcPr>
          <w:p w14:paraId="759D24EC"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117</w:t>
            </w:r>
          </w:p>
        </w:tc>
        <w:tc>
          <w:tcPr>
            <w:tcW w:w="879" w:type="dxa"/>
            <w:shd w:val="clear" w:color="auto" w:fill="C6EFCE"/>
            <w:noWrap/>
          </w:tcPr>
          <w:p w14:paraId="1FCB6415"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C7.I1</w:t>
            </w:r>
          </w:p>
        </w:tc>
        <w:tc>
          <w:tcPr>
            <w:tcW w:w="992" w:type="dxa"/>
            <w:shd w:val="clear" w:color="auto" w:fill="C6EFCE"/>
            <w:noWrap/>
          </w:tcPr>
          <w:p w14:paraId="6B6D6E84"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T</w:t>
            </w:r>
          </w:p>
        </w:tc>
        <w:tc>
          <w:tcPr>
            <w:tcW w:w="2807" w:type="dxa"/>
            <w:shd w:val="clear" w:color="auto" w:fill="C6EFCE"/>
            <w:noWrap/>
          </w:tcPr>
          <w:p w14:paraId="296A9DA6"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További termelési kapacitás innovatív vagy hozzáadott értéket képviselő megújuló energia előállítására</w:t>
            </w:r>
          </w:p>
        </w:tc>
        <w:tc>
          <w:tcPr>
            <w:tcW w:w="1276" w:type="dxa"/>
            <w:shd w:val="clear" w:color="auto" w:fill="C6EFCE"/>
            <w:noWrap/>
          </w:tcPr>
          <w:p w14:paraId="6DF7B9A8"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w:t>
            </w:r>
          </w:p>
        </w:tc>
        <w:tc>
          <w:tcPr>
            <w:tcW w:w="850" w:type="dxa"/>
            <w:shd w:val="clear" w:color="auto" w:fill="C6EFCE"/>
            <w:noWrap/>
          </w:tcPr>
          <w:p w14:paraId="0ED551FE"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Szám (MW)</w:t>
            </w:r>
          </w:p>
        </w:tc>
        <w:tc>
          <w:tcPr>
            <w:tcW w:w="709" w:type="dxa"/>
            <w:shd w:val="clear" w:color="auto" w:fill="C6EFCE"/>
            <w:noWrap/>
          </w:tcPr>
          <w:p w14:paraId="750AB381"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0</w:t>
            </w:r>
          </w:p>
        </w:tc>
        <w:tc>
          <w:tcPr>
            <w:tcW w:w="737" w:type="dxa"/>
            <w:shd w:val="clear" w:color="auto" w:fill="C6EFCE"/>
            <w:noWrap/>
          </w:tcPr>
          <w:p w14:paraId="65516202"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3 800</w:t>
            </w:r>
          </w:p>
        </w:tc>
        <w:tc>
          <w:tcPr>
            <w:tcW w:w="567" w:type="dxa"/>
            <w:shd w:val="clear" w:color="auto" w:fill="C6EFCE"/>
            <w:noWrap/>
          </w:tcPr>
          <w:p w14:paraId="72E55E20"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Q2</w:t>
            </w:r>
          </w:p>
        </w:tc>
        <w:tc>
          <w:tcPr>
            <w:tcW w:w="567" w:type="dxa"/>
            <w:shd w:val="clear" w:color="auto" w:fill="C6EFCE"/>
            <w:noWrap/>
          </w:tcPr>
          <w:p w14:paraId="1A3FCE25"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2026</w:t>
            </w:r>
          </w:p>
        </w:tc>
        <w:tc>
          <w:tcPr>
            <w:tcW w:w="5217" w:type="dxa"/>
            <w:shd w:val="clear" w:color="auto" w:fill="C6EFCE"/>
            <w:noWrap/>
          </w:tcPr>
          <w:p w14:paraId="7A94C722" w14:textId="21462508" w:rsidR="00D65CB4" w:rsidRPr="00BC4EE7" w:rsidRDefault="00572307">
            <w:pPr>
              <w:pStyle w:val="P68B1DB1-Normal12"/>
              <w:spacing w:after="0" w:line="240" w:lineRule="auto"/>
              <w:rPr>
                <w:rFonts w:eastAsia="Symbol" w:cs="Times New Roman"/>
                <w:noProof/>
              </w:rPr>
            </w:pPr>
            <w:r w:rsidRPr="00BC4EE7">
              <w:rPr>
                <w:rFonts w:cs="Times New Roman"/>
                <w:noProof/>
              </w:rPr>
              <w:t>Kumulált további megújulóenergia-termelési kapacitás innovatív vagy hozzáadott értékű megújulóenergia-kapacitásra (legalább 3 800 MW telepített)</w:t>
            </w:r>
          </w:p>
        </w:tc>
      </w:tr>
      <w:tr w:rsidR="00D65CB4" w:rsidRPr="00BC4EE7" w14:paraId="6D310B05" w14:textId="77777777" w:rsidTr="00481CF8">
        <w:trPr>
          <w:trHeight w:val="309"/>
        </w:trPr>
        <w:tc>
          <w:tcPr>
            <w:tcW w:w="709" w:type="dxa"/>
            <w:shd w:val="clear" w:color="auto" w:fill="C6EFCE"/>
            <w:noWrap/>
          </w:tcPr>
          <w:p w14:paraId="3D8C1C99"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118</w:t>
            </w:r>
          </w:p>
        </w:tc>
        <w:tc>
          <w:tcPr>
            <w:tcW w:w="879" w:type="dxa"/>
            <w:shd w:val="clear" w:color="auto" w:fill="C6EFCE"/>
            <w:noWrap/>
          </w:tcPr>
          <w:p w14:paraId="682041F3"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C7.I2</w:t>
            </w:r>
          </w:p>
        </w:tc>
        <w:tc>
          <w:tcPr>
            <w:tcW w:w="992" w:type="dxa"/>
            <w:shd w:val="clear" w:color="auto" w:fill="C6EFCE"/>
            <w:noWrap/>
          </w:tcPr>
          <w:p w14:paraId="52C87E1D"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M</w:t>
            </w:r>
          </w:p>
        </w:tc>
        <w:tc>
          <w:tcPr>
            <w:tcW w:w="2807" w:type="dxa"/>
            <w:shd w:val="clear" w:color="auto" w:fill="C6EFCE"/>
            <w:noWrap/>
          </w:tcPr>
          <w:p w14:paraId="02CC24B3" w14:textId="77777777" w:rsidR="00D65CB4" w:rsidRPr="00BC4EE7" w:rsidRDefault="00572307">
            <w:pPr>
              <w:pStyle w:val="P68B1DB1-Normal12"/>
              <w:spacing w:after="0" w:line="240" w:lineRule="auto"/>
              <w:rPr>
                <w:rFonts w:cs="Times New Roman"/>
                <w:noProof/>
              </w:rPr>
            </w:pPr>
            <w:r w:rsidRPr="00BC4EE7">
              <w:rPr>
                <w:rFonts w:cs="Times New Roman"/>
                <w:noProof/>
              </w:rPr>
              <w:t xml:space="preserve">Tiszta energiával és intelligens projektekkel foglalkozó hivatal </w:t>
            </w:r>
          </w:p>
        </w:tc>
        <w:tc>
          <w:tcPr>
            <w:tcW w:w="1276" w:type="dxa"/>
            <w:shd w:val="clear" w:color="auto" w:fill="C6EFCE"/>
            <w:noWrap/>
          </w:tcPr>
          <w:p w14:paraId="34C0E3E8"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Közzététel a honlapon</w:t>
            </w:r>
          </w:p>
        </w:tc>
        <w:tc>
          <w:tcPr>
            <w:tcW w:w="850" w:type="dxa"/>
            <w:shd w:val="clear" w:color="auto" w:fill="C6EFCE"/>
            <w:noWrap/>
          </w:tcPr>
          <w:p w14:paraId="47F07C36"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 xml:space="preserve"> </w:t>
            </w:r>
          </w:p>
        </w:tc>
        <w:tc>
          <w:tcPr>
            <w:tcW w:w="709" w:type="dxa"/>
            <w:shd w:val="clear" w:color="auto" w:fill="C6EFCE"/>
            <w:noWrap/>
          </w:tcPr>
          <w:p w14:paraId="0F6115FE"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 xml:space="preserve"> </w:t>
            </w:r>
          </w:p>
        </w:tc>
        <w:tc>
          <w:tcPr>
            <w:tcW w:w="737" w:type="dxa"/>
            <w:shd w:val="clear" w:color="auto" w:fill="C6EFCE"/>
            <w:noWrap/>
          </w:tcPr>
          <w:p w14:paraId="4F32E632"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 xml:space="preserve"> </w:t>
            </w:r>
          </w:p>
        </w:tc>
        <w:tc>
          <w:tcPr>
            <w:tcW w:w="567" w:type="dxa"/>
            <w:shd w:val="clear" w:color="auto" w:fill="C6EFCE"/>
            <w:noWrap/>
          </w:tcPr>
          <w:p w14:paraId="51C7C0D8"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Q3</w:t>
            </w:r>
          </w:p>
        </w:tc>
        <w:tc>
          <w:tcPr>
            <w:tcW w:w="567" w:type="dxa"/>
            <w:shd w:val="clear" w:color="auto" w:fill="C6EFCE"/>
            <w:noWrap/>
          </w:tcPr>
          <w:p w14:paraId="731A8916"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2023</w:t>
            </w:r>
          </w:p>
        </w:tc>
        <w:tc>
          <w:tcPr>
            <w:tcW w:w="5217" w:type="dxa"/>
            <w:shd w:val="clear" w:color="auto" w:fill="C6EFCE"/>
            <w:noWrap/>
          </w:tcPr>
          <w:p w14:paraId="68C8E727" w14:textId="1B075716" w:rsidR="00D65CB4" w:rsidRPr="00BC4EE7" w:rsidRDefault="00572307">
            <w:pPr>
              <w:pStyle w:val="P68B1DB1-Normal12"/>
              <w:spacing w:after="0" w:line="240" w:lineRule="auto"/>
              <w:rPr>
                <w:rFonts w:cs="Times New Roman"/>
                <w:noProof/>
              </w:rPr>
            </w:pPr>
            <w:r w:rsidRPr="00BC4EE7">
              <w:rPr>
                <w:rFonts w:cs="Times New Roman"/>
                <w:noProof/>
              </w:rPr>
              <w:t>A Tiszta Energia és az Intelligens Projektek Hivatalának létrehozása a Helyreállítási és Rezilienciaépítési Eszköz támogatási programjainak irányítása céljából. A hivatal koordinálja a szigetek energetikai átállásának dinamizálását és fejlesztését.</w:t>
            </w:r>
          </w:p>
        </w:tc>
      </w:tr>
      <w:tr w:rsidR="00D65CB4" w:rsidRPr="00BC4EE7" w14:paraId="25A1F8FC" w14:textId="77777777" w:rsidTr="00481CF8">
        <w:trPr>
          <w:trHeight w:val="309"/>
        </w:trPr>
        <w:tc>
          <w:tcPr>
            <w:tcW w:w="709" w:type="dxa"/>
            <w:shd w:val="clear" w:color="auto" w:fill="C6EFCE"/>
            <w:noWrap/>
          </w:tcPr>
          <w:p w14:paraId="2714F9DC"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119</w:t>
            </w:r>
          </w:p>
        </w:tc>
        <w:tc>
          <w:tcPr>
            <w:tcW w:w="879" w:type="dxa"/>
            <w:shd w:val="clear" w:color="auto" w:fill="C6EFCE"/>
            <w:noWrap/>
          </w:tcPr>
          <w:p w14:paraId="5014F004"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C7.I2</w:t>
            </w:r>
          </w:p>
        </w:tc>
        <w:tc>
          <w:tcPr>
            <w:tcW w:w="992" w:type="dxa"/>
            <w:shd w:val="clear" w:color="auto" w:fill="C6EFCE"/>
            <w:noWrap/>
          </w:tcPr>
          <w:p w14:paraId="1AB0E554"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2807" w:type="dxa"/>
            <w:shd w:val="clear" w:color="auto" w:fill="C6EFCE"/>
            <w:noWrap/>
          </w:tcPr>
          <w:p w14:paraId="679AE7D0" w14:textId="77777777" w:rsidR="00D65CB4" w:rsidRPr="00BC4EE7" w:rsidRDefault="00572307">
            <w:pPr>
              <w:pStyle w:val="P68B1DB1-Normal12"/>
              <w:spacing w:after="0" w:line="240" w:lineRule="auto"/>
              <w:rPr>
                <w:rFonts w:cs="Times New Roman"/>
                <w:noProof/>
              </w:rPr>
            </w:pPr>
            <w:r w:rsidRPr="00BC4EE7">
              <w:rPr>
                <w:rFonts w:cs="Times New Roman"/>
                <w:noProof/>
              </w:rPr>
              <w:t>A szigetek energetikai átállását támogató projektek lezárása</w:t>
            </w:r>
          </w:p>
        </w:tc>
        <w:tc>
          <w:tcPr>
            <w:tcW w:w="1276" w:type="dxa"/>
            <w:shd w:val="clear" w:color="auto" w:fill="C6EFCE"/>
            <w:noWrap/>
          </w:tcPr>
          <w:p w14:paraId="0E19070B"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 –</w:t>
            </w:r>
          </w:p>
        </w:tc>
        <w:tc>
          <w:tcPr>
            <w:tcW w:w="850" w:type="dxa"/>
            <w:shd w:val="clear" w:color="auto" w:fill="C6EFCE"/>
            <w:noWrap/>
          </w:tcPr>
          <w:p w14:paraId="4B1E7BCA"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Szám</w:t>
            </w:r>
          </w:p>
        </w:tc>
        <w:tc>
          <w:tcPr>
            <w:tcW w:w="709" w:type="dxa"/>
            <w:shd w:val="clear" w:color="auto" w:fill="C6EFCE"/>
            <w:noWrap/>
          </w:tcPr>
          <w:p w14:paraId="481DA1EE"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0</w:t>
            </w:r>
          </w:p>
        </w:tc>
        <w:tc>
          <w:tcPr>
            <w:tcW w:w="737" w:type="dxa"/>
            <w:shd w:val="clear" w:color="auto" w:fill="C6EFCE"/>
            <w:noWrap/>
          </w:tcPr>
          <w:p w14:paraId="5B060510" w14:textId="03A49CCB" w:rsidR="00D65CB4" w:rsidRPr="00BC4EE7" w:rsidRDefault="00572307">
            <w:pPr>
              <w:pStyle w:val="P68B1DB1-Normal12"/>
              <w:spacing w:after="0" w:line="240" w:lineRule="auto"/>
              <w:jc w:val="center"/>
              <w:rPr>
                <w:rFonts w:cs="Times New Roman"/>
                <w:noProof/>
              </w:rPr>
            </w:pPr>
            <w:r w:rsidRPr="00BC4EE7">
              <w:rPr>
                <w:rFonts w:cs="Times New Roman"/>
                <w:noProof/>
              </w:rPr>
              <w:t>600</w:t>
            </w:r>
          </w:p>
        </w:tc>
        <w:tc>
          <w:tcPr>
            <w:tcW w:w="567" w:type="dxa"/>
            <w:shd w:val="clear" w:color="auto" w:fill="C6EFCE"/>
            <w:noWrap/>
          </w:tcPr>
          <w:p w14:paraId="2A729CC7"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Q3</w:t>
            </w:r>
          </w:p>
        </w:tc>
        <w:tc>
          <w:tcPr>
            <w:tcW w:w="567" w:type="dxa"/>
            <w:shd w:val="clear" w:color="auto" w:fill="C6EFCE"/>
            <w:noWrap/>
          </w:tcPr>
          <w:p w14:paraId="154BFC85" w14:textId="5D1FDB41" w:rsidR="00D65CB4" w:rsidRPr="00BC4EE7" w:rsidRDefault="00572307">
            <w:pPr>
              <w:pStyle w:val="P68B1DB1-Normal12"/>
              <w:spacing w:after="0" w:line="240" w:lineRule="auto"/>
              <w:jc w:val="center"/>
              <w:rPr>
                <w:rFonts w:cs="Times New Roman"/>
                <w:noProof/>
              </w:rPr>
            </w:pPr>
            <w:r w:rsidRPr="00BC4EE7">
              <w:rPr>
                <w:rFonts w:cs="Times New Roman"/>
                <w:noProof/>
              </w:rPr>
              <w:t>2025</w:t>
            </w:r>
          </w:p>
        </w:tc>
        <w:tc>
          <w:tcPr>
            <w:tcW w:w="5217" w:type="dxa"/>
            <w:shd w:val="clear" w:color="auto" w:fill="C6EFCE"/>
            <w:noWrap/>
          </w:tcPr>
          <w:p w14:paraId="183909CE" w14:textId="2A2B3FB4" w:rsidR="00D65CB4" w:rsidRPr="00BC4EE7" w:rsidRDefault="00572307">
            <w:pPr>
              <w:pStyle w:val="P68B1DB1-Normal12"/>
              <w:spacing w:after="0" w:line="240" w:lineRule="auto"/>
              <w:rPr>
                <w:rFonts w:cs="Times New Roman"/>
                <w:noProof/>
              </w:rPr>
            </w:pPr>
            <w:r w:rsidRPr="00BC4EE7">
              <w:rPr>
                <w:rFonts w:cs="Times New Roman"/>
                <w:noProof/>
              </w:rPr>
              <w:t xml:space="preserve">Legalább 600 támogatott vagy végrehajtott fellépés, projekt vagy program, beleértve a következőket: dinamizálási programok vagy irodák, szigeti ütemtervek, beruházási vagy támogatási projektek, amelyek az uniós szigetek tiszta energiához vagy az intelligens szigetek programjaihoz, a megújuló energiával vagy a fenntartható tárolással kapcsolatos projektekhez kapcsolódnak. </w:t>
            </w:r>
          </w:p>
        </w:tc>
      </w:tr>
      <w:tr w:rsidR="00D65CB4" w:rsidRPr="00BC4EE7" w14:paraId="5F6957CB" w14:textId="77777777" w:rsidTr="00481CF8">
        <w:trPr>
          <w:trHeight w:val="309"/>
        </w:trPr>
        <w:tc>
          <w:tcPr>
            <w:tcW w:w="709" w:type="dxa"/>
            <w:shd w:val="clear" w:color="auto" w:fill="C6EFCE"/>
            <w:noWrap/>
          </w:tcPr>
          <w:p w14:paraId="6CC8039C"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120</w:t>
            </w:r>
          </w:p>
        </w:tc>
        <w:tc>
          <w:tcPr>
            <w:tcW w:w="879" w:type="dxa"/>
            <w:shd w:val="clear" w:color="auto" w:fill="C6EFCE"/>
            <w:noWrap/>
          </w:tcPr>
          <w:p w14:paraId="223C782C"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C7.I2</w:t>
            </w:r>
          </w:p>
        </w:tc>
        <w:tc>
          <w:tcPr>
            <w:tcW w:w="992" w:type="dxa"/>
            <w:shd w:val="clear" w:color="auto" w:fill="C6EFCE"/>
            <w:noWrap/>
          </w:tcPr>
          <w:p w14:paraId="0C7EEB46"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2807" w:type="dxa"/>
            <w:shd w:val="clear" w:color="auto" w:fill="C6EFCE"/>
            <w:noWrap/>
          </w:tcPr>
          <w:p w14:paraId="3952DC11" w14:textId="77777777" w:rsidR="00D65CB4" w:rsidRPr="00BC4EE7" w:rsidRDefault="00572307">
            <w:pPr>
              <w:pStyle w:val="P68B1DB1-Normal12"/>
              <w:spacing w:after="0" w:line="240" w:lineRule="auto"/>
              <w:rPr>
                <w:rFonts w:cs="Times New Roman"/>
                <w:noProof/>
              </w:rPr>
            </w:pPr>
            <w:r w:rsidRPr="00BC4EE7">
              <w:rPr>
                <w:rFonts w:cs="Times New Roman"/>
                <w:noProof/>
              </w:rPr>
              <w:t>További megújulóenergia-termelési kapacitás a szigeteken</w:t>
            </w:r>
          </w:p>
        </w:tc>
        <w:tc>
          <w:tcPr>
            <w:tcW w:w="1276" w:type="dxa"/>
            <w:shd w:val="clear" w:color="auto" w:fill="C6EFCE"/>
            <w:noWrap/>
          </w:tcPr>
          <w:p w14:paraId="41ED30F3"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w:t>
            </w:r>
          </w:p>
        </w:tc>
        <w:tc>
          <w:tcPr>
            <w:tcW w:w="850" w:type="dxa"/>
            <w:shd w:val="clear" w:color="auto" w:fill="C6EFCE"/>
            <w:noWrap/>
          </w:tcPr>
          <w:p w14:paraId="5B82470B"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Szám (MW)</w:t>
            </w:r>
          </w:p>
        </w:tc>
        <w:tc>
          <w:tcPr>
            <w:tcW w:w="709" w:type="dxa"/>
            <w:shd w:val="clear" w:color="auto" w:fill="C6EFCE"/>
            <w:noWrap/>
          </w:tcPr>
          <w:p w14:paraId="34349761"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0</w:t>
            </w:r>
          </w:p>
        </w:tc>
        <w:tc>
          <w:tcPr>
            <w:tcW w:w="737" w:type="dxa"/>
            <w:shd w:val="clear" w:color="auto" w:fill="C6EFCE"/>
            <w:noWrap/>
          </w:tcPr>
          <w:p w14:paraId="6F789D83"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180</w:t>
            </w:r>
          </w:p>
        </w:tc>
        <w:tc>
          <w:tcPr>
            <w:tcW w:w="567" w:type="dxa"/>
            <w:shd w:val="clear" w:color="auto" w:fill="C6EFCE"/>
            <w:noWrap/>
          </w:tcPr>
          <w:p w14:paraId="3D331C6C"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567" w:type="dxa"/>
            <w:shd w:val="clear" w:color="auto" w:fill="C6EFCE"/>
            <w:noWrap/>
          </w:tcPr>
          <w:p w14:paraId="18AFB481"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2026</w:t>
            </w:r>
          </w:p>
        </w:tc>
        <w:tc>
          <w:tcPr>
            <w:tcW w:w="5217" w:type="dxa"/>
            <w:shd w:val="clear" w:color="auto" w:fill="C6EFCE"/>
            <w:noWrap/>
          </w:tcPr>
          <w:p w14:paraId="52E5D44E" w14:textId="77777777" w:rsidR="00D65CB4" w:rsidRPr="00BC4EE7" w:rsidRDefault="00572307">
            <w:pPr>
              <w:pStyle w:val="P68B1DB1-Normal12"/>
              <w:spacing w:after="0" w:line="240" w:lineRule="auto"/>
              <w:rPr>
                <w:rFonts w:cs="Times New Roman"/>
                <w:noProof/>
              </w:rPr>
            </w:pPr>
            <w:r w:rsidRPr="00BC4EE7">
              <w:rPr>
                <w:rFonts w:cs="Times New Roman"/>
                <w:noProof/>
              </w:rPr>
              <w:t>A szigeteken megújulóenergia-kapacitásra kiírt pályázatokon keresztül beszerzett megújuló energiára vonatkozó kumulatív termelési kapacitás (legalább 180 MW telepített).</w:t>
            </w:r>
          </w:p>
        </w:tc>
      </w:tr>
    </w:tbl>
    <w:p w14:paraId="3041E394" w14:textId="77777777" w:rsidR="00D65CB4" w:rsidRPr="00BC4EE7" w:rsidRDefault="00D65CB4">
      <w:pPr>
        <w:spacing w:before="120" w:after="120" w:line="240" w:lineRule="auto"/>
        <w:ind w:left="709"/>
        <w:jc w:val="both"/>
        <w:rPr>
          <w:rFonts w:ascii="Times New Roman" w:hAnsi="Times New Roman" w:cs="Times New Roman"/>
          <w:noProof/>
          <w:sz w:val="24"/>
        </w:rPr>
      </w:pPr>
    </w:p>
    <w:p w14:paraId="722B00AE" w14:textId="77777777" w:rsidR="00D65CB4" w:rsidRPr="00BC4EE7" w:rsidRDefault="00D65CB4">
      <w:pPr>
        <w:spacing w:before="120" w:after="120" w:line="240" w:lineRule="auto"/>
        <w:jc w:val="both"/>
        <w:rPr>
          <w:rFonts w:ascii="Times New Roman" w:hAnsi="Times New Roman" w:cs="Times New Roman"/>
          <w:noProof/>
          <w:sz w:val="24"/>
        </w:rPr>
        <w:sectPr w:rsidR="00D65CB4" w:rsidRPr="00BC4EE7" w:rsidSect="00B511EF">
          <w:headerReference w:type="even" r:id="rId177"/>
          <w:headerReference w:type="default" r:id="rId178"/>
          <w:footerReference w:type="even" r:id="rId179"/>
          <w:footerReference w:type="default" r:id="rId180"/>
          <w:headerReference w:type="first" r:id="rId181"/>
          <w:footerReference w:type="first" r:id="rId182"/>
          <w:pgSz w:w="16839" w:h="11907" w:orient="landscape"/>
          <w:pgMar w:top="1134" w:right="1134" w:bottom="1134" w:left="1134" w:header="567" w:footer="567" w:gutter="0"/>
          <w:cols w:space="720"/>
          <w:docGrid w:linePitch="360"/>
        </w:sectPr>
      </w:pPr>
    </w:p>
    <w:p w14:paraId="64C6AC05" w14:textId="3D0D717F" w:rsidR="00D65CB4" w:rsidRPr="00BC4EE7" w:rsidRDefault="00572307">
      <w:pPr>
        <w:pStyle w:val="P68B1DB1-Heading12"/>
        <w:rPr>
          <w:rFonts w:cs="Times New Roman"/>
          <w:noProof/>
        </w:rPr>
      </w:pPr>
      <w:r w:rsidRPr="00BC4EE7">
        <w:rPr>
          <w:rFonts w:cs="Times New Roman"/>
          <w:noProof/>
        </w:rPr>
        <w:t xml:space="preserve">H. 8. KOMPONENS: </w:t>
      </w:r>
      <w:bookmarkStart w:id="17" w:name="_Hlk145336475"/>
      <w:r w:rsidRPr="00BC4EE7">
        <w:rPr>
          <w:rFonts w:cs="Times New Roman"/>
          <w:noProof/>
        </w:rPr>
        <w:t>Villamosenergia-infrastruktúra, intelligens hálózatok, valamint a rugalmasság és a tárolás kiépítése</w:t>
      </w:r>
      <w:bookmarkEnd w:id="17"/>
    </w:p>
    <w:p w14:paraId="4E865145" w14:textId="77777777" w:rsidR="00D65CB4" w:rsidRPr="00BC4EE7" w:rsidRDefault="00572307">
      <w:pPr>
        <w:pStyle w:val="P68B1DB1-Normal4"/>
        <w:keepNext/>
        <w:spacing w:before="120" w:after="120" w:line="240" w:lineRule="auto"/>
        <w:jc w:val="both"/>
        <w:rPr>
          <w:rFonts w:cs="Times New Roman"/>
          <w:noProof/>
        </w:rPr>
      </w:pPr>
      <w:r w:rsidRPr="00BC4EE7">
        <w:rPr>
          <w:rFonts w:cs="Times New Roman"/>
          <w:noProof/>
        </w:rPr>
        <w:t>Spanyolország nemzeti energia- és klímatervének (NEKT) célja, hogy 2030-ra a megújuló energia részaránya a végsőenergia-fogyasztásban 42% legyen. A növekvő mennyiségű megújuló villamosenergia-termelés integrálása (amely 2030-ra a kereslet 74%-át, 2050-ra pedig 100%-át teszi ki) számos kiegészítő beruházást igényel a hálózat digitalizálása, a tárolás és a keresletszabályozás terén. A megújulóenergia-technológiák időszakossága és részleges kiszámíthatósága különösen azt jelenti, hogy az energiatárolásnak fontos szerepet kell játszania a rendszer rugalmasságának biztosításában és a hálózat stabilitásának biztosításában.</w:t>
      </w:r>
    </w:p>
    <w:p w14:paraId="653B21B3" w14:textId="77777777" w:rsidR="00D65CB4" w:rsidRPr="00BC4EE7" w:rsidRDefault="00572307">
      <w:pPr>
        <w:pStyle w:val="P68B1DB1-Normal4"/>
        <w:keepNext/>
        <w:spacing w:before="120" w:after="120" w:line="240" w:lineRule="auto"/>
        <w:jc w:val="both"/>
        <w:rPr>
          <w:rFonts w:cs="Times New Roman"/>
          <w:noProof/>
        </w:rPr>
      </w:pPr>
      <w:r w:rsidRPr="00BC4EE7">
        <w:rPr>
          <w:rFonts w:cs="Times New Roman"/>
          <w:noProof/>
        </w:rPr>
        <w:t xml:space="preserve">Ezzel összefüggésben a spanyol helyreállítási és rezilienciaépítési terv e komponense a következő célkitűzéseket követi: </w:t>
      </w:r>
    </w:p>
    <w:p w14:paraId="10E22E4B" w14:textId="77777777" w:rsidR="00D65CB4" w:rsidRPr="00BC4EE7" w:rsidRDefault="00572307">
      <w:pPr>
        <w:pStyle w:val="P68B1DB1-Normal4"/>
        <w:keepNext/>
        <w:numPr>
          <w:ilvl w:val="0"/>
          <w:numId w:val="100"/>
        </w:numPr>
        <w:spacing w:before="120" w:after="120" w:line="240" w:lineRule="auto"/>
        <w:jc w:val="both"/>
        <w:rPr>
          <w:rFonts w:cs="Times New Roman"/>
          <w:noProof/>
        </w:rPr>
      </w:pPr>
      <w:r w:rsidRPr="00BC4EE7">
        <w:rPr>
          <w:rFonts w:cs="Times New Roman"/>
          <w:noProof/>
        </w:rPr>
        <w:t>Rugalmasabb, decentralizáltabb és dinamikusabb energiarendszer kifejlesztése, amely képes a nagyobb megújulóenergia-termelés hatékony és biztonságos elnyelésére;</w:t>
      </w:r>
    </w:p>
    <w:p w14:paraId="26A47C0B" w14:textId="77777777" w:rsidR="00D65CB4" w:rsidRPr="00BC4EE7" w:rsidRDefault="00572307">
      <w:pPr>
        <w:pStyle w:val="P68B1DB1-Normal4"/>
        <w:keepNext/>
        <w:numPr>
          <w:ilvl w:val="0"/>
          <w:numId w:val="100"/>
        </w:numPr>
        <w:spacing w:before="120" w:after="120" w:line="240" w:lineRule="auto"/>
        <w:jc w:val="both"/>
        <w:rPr>
          <w:rFonts w:cs="Times New Roman"/>
          <w:noProof/>
        </w:rPr>
      </w:pPr>
      <w:r w:rsidRPr="00BC4EE7">
        <w:rPr>
          <w:rFonts w:cs="Times New Roman"/>
          <w:noProof/>
        </w:rPr>
        <w:t xml:space="preserve">Új innovatív üzleti modellek kidolgozása; és </w:t>
      </w:r>
    </w:p>
    <w:p w14:paraId="7F015B40" w14:textId="77777777" w:rsidR="00D65CB4" w:rsidRPr="00BC4EE7" w:rsidRDefault="00572307">
      <w:pPr>
        <w:pStyle w:val="P68B1DB1-Normal4"/>
        <w:keepNext/>
        <w:numPr>
          <w:ilvl w:val="0"/>
          <w:numId w:val="100"/>
        </w:numPr>
        <w:spacing w:before="120" w:after="120" w:line="240" w:lineRule="auto"/>
        <w:jc w:val="both"/>
        <w:rPr>
          <w:rFonts w:cs="Times New Roman"/>
          <w:noProof/>
        </w:rPr>
      </w:pPr>
      <w:r w:rsidRPr="00BC4EE7">
        <w:rPr>
          <w:rFonts w:cs="Times New Roman"/>
          <w:noProof/>
        </w:rPr>
        <w:t>A villamosenergia-rendszer új szereplőinek (termelők, szolgáltatók és fogyasztók, valamint a tárolásirendszer-üzemeltetők és beszerzési közösségek szolgáltatói) bevonása, valamint az új igényekhez alkalmazkodni képes rugalmasabb szabályozási keret szabályozói tesztkörnyezetek révén.</w:t>
      </w:r>
    </w:p>
    <w:p w14:paraId="7293DEB4"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komponens előmozdítja az innovációba és az energiahatékonyságba történő beruházásokat, és ösztönzi az innovációt ösztönző hatékony szakpolitikák elfogadását (2019. évi 3. országspecifikus ajánlás). Emellett elő kell mozdítania a köz- és magánberuházásokat, és elő kell mozdítania a zöld átállást (2020. évi 3. országspecifikus ajánlás).</w:t>
      </w:r>
    </w:p>
    <w:p w14:paraId="721469DA" w14:textId="77777777" w:rsidR="00D65CB4" w:rsidRPr="00BC4EE7" w:rsidRDefault="00572307">
      <w:pPr>
        <w:pStyle w:val="P68B1DB1-Normal4"/>
        <w:spacing w:before="120" w:after="120" w:line="240" w:lineRule="auto"/>
        <w:jc w:val="both"/>
        <w:rPr>
          <w:rFonts w:cs="Times New Roman"/>
          <w:i/>
          <w:noProof/>
        </w:rPr>
      </w:pPr>
      <w:r w:rsidRPr="00BC4EE7">
        <w:rPr>
          <w:rFonts w:cs="Times New Roman"/>
          <w:noProof/>
        </w:rPr>
        <w:t xml:space="preserve">A jelentős károkozás elkerülését célzó elvről szóló technikai iránymutatásnak (2021/C58/01) megfelelően a helyreállítási és rezilienciaépítési tervben meghatározott intézkedések leírását és a helyreállítási és rezilienciaépítési tervben meghatározott enyhítő lépéseket figyelembe véve ebben a komponensben várhatóan egyetlen intézkedés sem sérti jelentős mértékben az (EU) 2020/852 rendelet 17. cikke szerinti környezeti célkitűzéseket. </w:t>
      </w:r>
    </w:p>
    <w:p w14:paraId="2EAC6488" w14:textId="77777777" w:rsidR="00D65CB4" w:rsidRPr="00BC4EE7" w:rsidRDefault="00572307">
      <w:pPr>
        <w:spacing w:before="120" w:after="120" w:line="240" w:lineRule="auto"/>
        <w:ind w:left="709"/>
        <w:jc w:val="both"/>
        <w:rPr>
          <w:rFonts w:ascii="Times New Roman" w:hAnsi="Times New Roman" w:cs="Times New Roman"/>
          <w:b/>
          <w:i/>
          <w:noProof/>
          <w:sz w:val="24"/>
        </w:rPr>
      </w:pPr>
      <w:r w:rsidRPr="00BC4EE7">
        <w:rPr>
          <w:rFonts w:ascii="Times New Roman" w:hAnsi="Times New Roman" w:cs="Times New Roman"/>
          <w:b/>
          <w:noProof/>
          <w:sz w:val="24"/>
          <w:u w:val="single"/>
        </w:rPr>
        <w:t xml:space="preserve">H.1.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Vissza nem térítendő pénzügyi támogatás – a reformok és beruházások ismertetése</w:t>
      </w:r>
    </w:p>
    <w:p w14:paraId="39594D0D"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Reform (C8.R1) – A megújuló energiaforrások energiarendszerbe való integrálását lehetővé tevő keret: hálózatok, tárolás és infrastruktúra</w:t>
      </w:r>
    </w:p>
    <w:p w14:paraId="104493A7"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Ezen intézkedés célja egy olyan átlátható és stabil szabályozási keret kialakítása, amely biztonságot teremt, és lehetővé teszi a megújuló energiaforrásoknak az energiarendszerbe való fokozott integrálását a hálózatokba, a tárolásba és az infrastruktúrába történő beruházások révén. </w:t>
      </w:r>
    </w:p>
    <w:p w14:paraId="428D3EE8"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reformnak magában kell foglalnia a 2050-ig tartó időszakra szóló hosszú távú dekarbonizációs stratégiát („ELP 2050”). E stratégia célja, hogy megteremtse a megújuló energiaforrásoknak a rugalmas és intelligens energiarendszerbe való hatékony integrálásához szükséges stratégiai és szabályozási keret alapjait. A 2050-ig szóló ELP célkitűzései közé tartoznak a következők: az ÜHG-kibocsátás 90%-os csökkentése 1990-hez képest (klímasemlegesség); a megújuló energiaforrások 97%-os arányának elérése a végsőenergia-fogyasztásban; és c) 100%-ban megújuló energiaforrásokból előállított villamosenergia-rendszer. </w:t>
      </w:r>
    </w:p>
    <w:p w14:paraId="13ACBC4F"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Az intézkedés végrehajtását 2021. március 31-ig be kell fejezni. </w:t>
      </w:r>
    </w:p>
    <w:p w14:paraId="5028F761"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Reform (C8.R2) – Energiatárolási stratégia és az energiatárolás bevezetésére vonatkozó szabályozási keret kiigazítása</w:t>
      </w:r>
    </w:p>
    <w:p w14:paraId="67A4C692"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Ezen intézkedés célja egy szabályozási és stratégiai keret kidolgozása, jóváhagyása és bevezetése az energiatárolás előmozdítása érdekében. A reformnak biztosítania kell a szükséges keretet a C8.I1. és a C8.I3. pont szerinti, az energiatárolás bevezetéséhez, illetve az energetikai átállás új üzleti modelljeihez kapcsolódó tervezett beruházásokhoz. </w:t>
      </w:r>
    </w:p>
    <w:p w14:paraId="7FBE421A"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reform magában foglalja az energiatárolási stratégia spanyol kormány általi jóváhagyását. E stratégia célja, hogy 2030-ra 20 GW, 2050-ra pedig 30 GW energiatárolás álljon rendelkezésre. </w:t>
      </w:r>
    </w:p>
    <w:p w14:paraId="2D43E383"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reform három jogalkotási és szabályozási aktust foglal magában: a tárolólétesítmények hálózati hozzáférésének szabályozásáról szóló 1183/2020. sz. királyi rendelet; a </w:t>
      </w:r>
      <w:r w:rsidRPr="00BC4EE7">
        <w:rPr>
          <w:rFonts w:cs="Times New Roman"/>
          <w:i/>
          <w:noProof/>
        </w:rPr>
        <w:t>Comisión Nacional de los Mercados y la Competencia 1/2021. sz.</w:t>
      </w:r>
      <w:r w:rsidRPr="00BC4EE7">
        <w:rPr>
          <w:rFonts w:cs="Times New Roman"/>
          <w:noProof/>
        </w:rPr>
        <w:t xml:space="preserve"> körlevél a villamosenergia-termelő létesítmények átviteli és elosztóhálózataihoz való hozzáférés és az azokhoz való csatlakozás módszertanának és feltételeinek meghatározása céljából; iii. a </w:t>
      </w:r>
      <w:r w:rsidRPr="00BC4EE7">
        <w:rPr>
          <w:rFonts w:cs="Times New Roman"/>
          <w:i/>
          <w:noProof/>
        </w:rPr>
        <w:t>Comisión Nacional de los Mercados y la Competencia</w:t>
      </w:r>
      <w:r w:rsidRPr="00BC4EE7">
        <w:rPr>
          <w:rFonts w:cs="Times New Roman"/>
          <w:noProof/>
        </w:rPr>
        <w:t xml:space="preserve"> 2020. december 10-i határozata az energiatároló létesítmények kiegészítő szolgáltatások nyújtásában való részvételének szabályozásáról. </w:t>
      </w:r>
    </w:p>
    <w:p w14:paraId="76A0F24E"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Az intézkedés végrehajtását 2022. június 30-ig be kell fejezni.</w:t>
      </w:r>
    </w:p>
    <w:p w14:paraId="53FF3DAC"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Reform (C8.R3) – Az aggregálásra, a keresletszabályozásra és a rugalmassági szolgáltatásokra vonatkozó szabályozási keret fejlesztése</w:t>
      </w:r>
    </w:p>
    <w:p w14:paraId="45CDEA6D"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Ennek az intézkedésnek az a célja, hogy kidolgozza az intelligens és dinamikus energiarendszer kifejlesztéséhez szükséges szabályozási keretet, beleértve a következőket: i. a keresletoldali szabályozási és rugalmassági szolgáltatások szabályozása a nemzeti szabályozási keretben, ii. a különböző rugalmassági szolgáltatásokat figyelembe vevő szabályozási keret kidolgozása, valamint iii. egy olyan keret kidolgozása, amely biztosítja a fogyasztók hozzáférését az energiafogyasztási adataikhoz.</w:t>
      </w:r>
    </w:p>
    <w:p w14:paraId="1353EC9D"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reformnak összhangban kell lennie a nemzeti energia-klímatervvel, amely kifejezetten elismeri, hogy meg kell határozni a megújuló energiaforrásokból származó energiát kínáló résztvevők, az energiatároló-üzemeltetők és a keresletoldali válaszintézkedéseket nyújtó szereplők meglévő és fejlődő piacain való részvételre vonatkozó műszaki követelményeket. </w:t>
      </w:r>
    </w:p>
    <w:p w14:paraId="5BF89605"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nemzeti energia- és klímaterv azt is kiemeli, hogy a piaci részvételük megkönnyítése érdekében fejleszteni kell az aggregátorok, különösen a független aggregátorok státuszát. E célból a reformnak a 23/2020. sz. királyi törvényerejű rendelettel elő kell irányoznia a független keresleti aggregátori státusz létrehozását annak érdekében, hogy lehetővé váljon új szereplők belépése a kiskereskedelmi piacra. </w:t>
      </w:r>
    </w:p>
    <w:p w14:paraId="01ECDE59"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nemzeti energia- és klímaterv támogatása mellett a reformnak át kell ültetnie a villamos energia belső piacára vonatkozó közös szabályokról szóló, 2019. június 5-i (EU) 2019/944 európai parlamenti és tanácsi irányelvet, amely kötelezettséget állapít meg a fogyasztók piaci részvételének többek között keresletoldali válaszintézkedések révén történő biztosítására, a fogyasztói részvétel egyéni vagy összesített alapon vagy független beszerzési közösségeken keresztül történő előmozdítására, valamint az elosztóhálózatok rugalmasságának alkalmazására.</w:t>
      </w:r>
    </w:p>
    <w:p w14:paraId="353C40D9"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Az intézkedés végrehajtását 2023. december 31-ig be kell fejezni. </w:t>
      </w:r>
    </w:p>
    <w:p w14:paraId="650094B5" w14:textId="77777777" w:rsidR="00D65CB4" w:rsidRPr="00BC4EE7" w:rsidRDefault="00572307">
      <w:pPr>
        <w:pStyle w:val="P68B1DB1-Normal4"/>
        <w:spacing w:before="120" w:after="120" w:line="240" w:lineRule="auto"/>
        <w:jc w:val="both"/>
        <w:rPr>
          <w:rFonts w:eastAsia="Symbol" w:cs="Times New Roman"/>
          <w:noProof/>
          <w:u w:val="single"/>
        </w:rPr>
      </w:pPr>
      <w:r w:rsidRPr="00BC4EE7">
        <w:rPr>
          <w:rFonts w:cs="Times New Roman"/>
          <w:noProof/>
          <w:u w:val="single"/>
        </w:rPr>
        <w:t>Reform (C8.R4) – Szabályozói tesztkörnyezetek vagy tesztkörnyezetek</w:t>
      </w:r>
      <w:r w:rsidRPr="00BC4EE7">
        <w:rPr>
          <w:rFonts w:cs="Times New Roman"/>
          <w:noProof/>
        </w:rPr>
        <w:t xml:space="preserve"> </w:t>
      </w:r>
    </w:p>
    <w:p w14:paraId="712416A3"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Ezen intézkedés célja, hogy szabályozási tesztkörnyezeteket (sandboxokat) fejlesszen ki a nemzeti szabályozási keretben, lehetővé téve új termékek vagy technológiai megoldások, kivételek vagy szabályozási biztosítékok bevezetését az energiaágazatban folytatott kutatás és innováció megkönnyítése érdekében. A reform közvetlenül kapcsolódik a C8.R3 reformhoz és a C8.I3. beruházáshoz.</w:t>
      </w:r>
    </w:p>
    <w:p w14:paraId="06ED5FA6"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szabályozói tesztkörnyezeteknek lehetővé kell tenniük az iparág számára, hogy olyan biztonságos környezetben tesztelje a rugalmassággal, a keresletoldali válaszintézkedésekkel és az energiatárolással kapcsolatos új technológiákat, rendszereket és szolgáltatásokat, ahol az érdekelt felek innovatív megoldásokat tapasztalhatnak anélkül, hogy akadályoznák meg a szabályozási követelményeket. Emellett a tesztkörnyezeteknek kétirányú szabályozási párbeszédet kell biztosítaniuk a közigazgatás és a szabályozó között, amely felgyorsítja és megkönnyíti a meglévő szabályozások felülvizsgálatát, és hozzáigazítja azokat az új ügynökök piacra lépéséhez. Ez várhatóan megkönnyíti a technológiai induló vállalkozások létrehozását azáltal, hogy lehetőséget biztosít számukra üzleti modelljeik tesztelésére.</w:t>
      </w:r>
    </w:p>
    <w:p w14:paraId="0526FDD2"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reform magában foglalja a szabályozói tesztkörnyezetek fejlesztéséről szóló királyi rendelet elfogadását, amely lehetővé teszi új kísérleti projektek kidolgozását a villamosenergia-ágazatban folytatott kutatás és innováció előmozdítása céljából.</w:t>
      </w:r>
    </w:p>
    <w:p w14:paraId="16B67689"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Az intézkedés végrehajtását 2023. június 30-ig be kell fejezni. </w:t>
      </w:r>
    </w:p>
    <w:p w14:paraId="39E4FD33" w14:textId="77777777" w:rsidR="00D65CB4" w:rsidRPr="00BC4EE7" w:rsidRDefault="00572307">
      <w:pPr>
        <w:pStyle w:val="P68B1DB1-Normal5"/>
        <w:spacing w:before="120" w:after="120" w:line="240" w:lineRule="auto"/>
        <w:jc w:val="both"/>
        <w:rPr>
          <w:rFonts w:eastAsia="Symbol" w:cs="Times New Roman"/>
          <w:noProof/>
        </w:rPr>
      </w:pPr>
      <w:r w:rsidRPr="00BC4EE7">
        <w:rPr>
          <w:rFonts w:cs="Times New Roman"/>
          <w:noProof/>
        </w:rPr>
        <w:t xml:space="preserve">Beruházás (C8.I1.) – Energiatárolás </w:t>
      </w:r>
      <w:bookmarkStart w:id="18" w:name="_Hlk145336439"/>
      <w:r w:rsidRPr="00BC4EE7">
        <w:rPr>
          <w:rFonts w:cs="Times New Roman"/>
          <w:noProof/>
        </w:rPr>
        <w:t>kiépítése</w:t>
      </w:r>
      <w:bookmarkEnd w:id="18"/>
    </w:p>
    <w:p w14:paraId="1A040E87" w14:textId="230A0032" w:rsidR="00D65CB4" w:rsidRPr="00BC4EE7" w:rsidRDefault="00572307">
      <w:pPr>
        <w:pStyle w:val="P68B1DB1-Normal4"/>
        <w:spacing w:before="120" w:after="120" w:line="240" w:lineRule="auto"/>
        <w:jc w:val="both"/>
        <w:rPr>
          <w:rFonts w:eastAsia="Symbol" w:cs="Times New Roman"/>
          <w:noProof/>
        </w:rPr>
      </w:pPr>
      <w:r w:rsidRPr="00BC4EE7">
        <w:rPr>
          <w:rFonts w:cs="Times New Roman"/>
          <w:noProof/>
        </w:rPr>
        <w:t>Ezen intézkedés célja az energiatárolás kiépítése támogatási és beruházási kezdeményezések elindítása révén két fő területen:</w:t>
      </w:r>
    </w:p>
    <w:p w14:paraId="3E2CB41E" w14:textId="092067C9" w:rsidR="00D65CB4" w:rsidRPr="00BC4EE7" w:rsidRDefault="00572307">
      <w:pPr>
        <w:pStyle w:val="P68B1DB1-Normal4"/>
        <w:numPr>
          <w:ilvl w:val="0"/>
          <w:numId w:val="102"/>
        </w:numPr>
        <w:spacing w:before="120" w:after="160" w:line="259" w:lineRule="auto"/>
        <w:ind w:left="426" w:hanging="426"/>
        <w:contextualSpacing/>
        <w:jc w:val="both"/>
        <w:rPr>
          <w:rFonts w:eastAsia="Symbol" w:cs="Times New Roman"/>
          <w:noProof/>
        </w:rPr>
      </w:pPr>
      <w:r w:rsidRPr="00BC4EE7">
        <w:rPr>
          <w:rFonts w:cs="Times New Roman"/>
          <w:noProof/>
        </w:rPr>
        <w:t>A nagyléptékű tárolás fejlesztése. Nagyléptékű tárolásra van szükség a nagyobb mennyiségű megújulóenergia-termelés integrálásához és a rendszer számára történő szolgáltatásnyújtáshoz, a frekvenciaszabályozástól, a rámpatámogatástól (rugalmasság) vagy a feketeindítástól kezdve; és</w:t>
      </w:r>
    </w:p>
    <w:p w14:paraId="633A868D" w14:textId="51B64F63" w:rsidR="00D65CB4" w:rsidRPr="00BC4EE7" w:rsidRDefault="00572307">
      <w:pPr>
        <w:pStyle w:val="P68B1DB1-Normal4"/>
        <w:numPr>
          <w:ilvl w:val="0"/>
          <w:numId w:val="102"/>
        </w:numPr>
        <w:spacing w:before="120" w:after="160" w:line="259" w:lineRule="auto"/>
        <w:ind w:left="426" w:hanging="426"/>
        <w:contextualSpacing/>
        <w:jc w:val="both"/>
        <w:rPr>
          <w:rFonts w:eastAsia="Symbol" w:cs="Times New Roman"/>
          <w:noProof/>
        </w:rPr>
      </w:pPr>
      <w:r w:rsidRPr="00BC4EE7">
        <w:rPr>
          <w:rFonts w:cs="Times New Roman"/>
          <w:noProof/>
        </w:rPr>
        <w:t xml:space="preserve">A fogyasztásmérő mögötti és ágazati szinten integrált tárolás előmozdítása. A mérő mögötti technológiák közé tartozhatnak a saját fogyasztási létesítmények, a lítiumakkumulátorok és a hőtároló rendszerek. </w:t>
      </w:r>
    </w:p>
    <w:p w14:paraId="26F518F8" w14:textId="77777777" w:rsidR="00D65CB4" w:rsidRPr="00BC4EE7" w:rsidRDefault="00572307">
      <w:pPr>
        <w:pStyle w:val="P68B1DB1-Normal4"/>
        <w:spacing w:before="120" w:after="120" w:line="240" w:lineRule="auto"/>
        <w:jc w:val="both"/>
        <w:rPr>
          <w:rFonts w:eastAsia="Symbol" w:cs="Times New Roman"/>
          <w:noProof/>
        </w:rPr>
      </w:pPr>
      <w:r w:rsidRPr="00BC4EE7">
        <w:rPr>
          <w:rFonts w:cs="Times New Roman"/>
          <w:noProof/>
        </w:rPr>
        <w:t>A javasolt beruházást az ezen komponens reformjai, különösen a C8.R1 és a C8.R2 reformok által meghatározott keretek között kell támogatni, amelyek az energiatárolás hatékony bevezetésének jogi és stratégiai alapját képezik.</w:t>
      </w:r>
    </w:p>
    <w:p w14:paraId="36426B1B" w14:textId="58213032" w:rsidR="00D65CB4" w:rsidRPr="00BC4EE7" w:rsidRDefault="00572307">
      <w:pPr>
        <w:pStyle w:val="P68B1DB1-Normal4"/>
        <w:spacing w:before="120" w:after="120" w:line="240" w:lineRule="auto"/>
        <w:jc w:val="both"/>
        <w:rPr>
          <w:rFonts w:eastAsia="Symbol" w:cs="Times New Roman"/>
          <w:noProof/>
        </w:rPr>
      </w:pPr>
      <w:r w:rsidRPr="00BC4EE7">
        <w:rPr>
          <w:rFonts w:cs="Times New Roman"/>
          <w:noProof/>
        </w:rPr>
        <w:t>Az intézkedést olyan innovatív tárolási projekteken keresztül kell végrehajtani, amelyek hozzájárulnak az energetikai átálláshoz, különösen annak érdekében, hogy új rugalmasságot biztosítsanak az energiaágazat számára, beleértve a megújuló energiaforrások integrálását is. Legalább öt innovatív tárolási projektnek kell működőképesnek lennie, vagy legalább 660 MW (vagy ezzel egyenértékű teljes energiaellátás [MWh]) összesített kapacitással kell rendelkeznie.</w:t>
      </w:r>
    </w:p>
    <w:p w14:paraId="65A5BF43" w14:textId="77777777" w:rsidR="00D65CB4" w:rsidRPr="00BC4EE7" w:rsidRDefault="00572307">
      <w:pPr>
        <w:pStyle w:val="P68B1DB1-Normal4"/>
        <w:spacing w:before="120" w:after="120" w:line="240" w:lineRule="auto"/>
        <w:jc w:val="both"/>
        <w:rPr>
          <w:rFonts w:eastAsia="Symbol" w:cs="Times New Roman"/>
          <w:noProof/>
        </w:rPr>
      </w:pPr>
      <w:r w:rsidRPr="00BC4EE7">
        <w:rPr>
          <w:rFonts w:cs="Times New Roman"/>
          <w:noProof/>
        </w:rPr>
        <w:t xml:space="preserve">A beruházás végrehajtását 2026. június 30-ig be kell fejezni.   </w:t>
      </w:r>
    </w:p>
    <w:p w14:paraId="16F7D81D" w14:textId="77777777" w:rsidR="00D65CB4" w:rsidRPr="00BC4EE7" w:rsidRDefault="00572307">
      <w:pPr>
        <w:pStyle w:val="P68B1DB1-Normal5"/>
        <w:spacing w:before="120" w:after="120" w:line="240" w:lineRule="auto"/>
        <w:jc w:val="both"/>
        <w:rPr>
          <w:rFonts w:eastAsia="Symbol" w:cs="Times New Roman"/>
          <w:noProof/>
        </w:rPr>
      </w:pPr>
      <w:r w:rsidRPr="00BC4EE7">
        <w:rPr>
          <w:rFonts w:cs="Times New Roman"/>
          <w:noProof/>
        </w:rPr>
        <w:t>Beruházás (C8.I2) – A hálózatok digitalizálása</w:t>
      </w:r>
    </w:p>
    <w:p w14:paraId="49080D56" w14:textId="77777777" w:rsidR="00D65CB4" w:rsidRPr="00BC4EE7" w:rsidRDefault="00572307">
      <w:pPr>
        <w:pStyle w:val="P68B1DB1-Normal4"/>
        <w:spacing w:before="120" w:after="120" w:line="240" w:lineRule="auto"/>
        <w:jc w:val="both"/>
        <w:rPr>
          <w:rFonts w:eastAsiaTheme="minorEastAsia" w:cs="Times New Roman"/>
          <w:noProof/>
        </w:rPr>
      </w:pPr>
      <w:r w:rsidRPr="00BC4EE7">
        <w:rPr>
          <w:rFonts w:cs="Times New Roman"/>
          <w:noProof/>
        </w:rPr>
        <w:t xml:space="preserve">Ez az intézkedés támogatást nyújt az elosztóhálózatok digitalizálásával kapcsolatos beruházásokhoz azzal a céllal, hogy azok összhangba kerüljenek az energetikai átállás megvalósításához szükséges követelményekkel. A villamosenergia-hálózatok digitalizálásának szükségessége a villamos energia belső piacára vonatkozó közös szabályokról szóló, 2019. június 5-i (EU) 2019/944 európai parlamenti és tanácsi irányelv részét képezi, amely kimondja, hogy a tagállamoknak ösztönözniük kell a hálózatok korszerűsítését, például intelligens hálózatok bevezetése révén. A hálózatok digitalizálására azért van szükség, hogy a biztonságos és reziliens villamosenergia-rendszer kialakítása érdekében elő lehessen mozdítani az energiarendszer átalakítását a megújuló energiák nagyobb arányú jelenléte mellett. Különösen fontos a nem félszigeti területeken, ahol nagyobb a kiszolgáltatottság és az energiafüggőség. </w:t>
      </w:r>
    </w:p>
    <w:p w14:paraId="72358A2A" w14:textId="77777777" w:rsidR="00D65CB4" w:rsidRPr="00BC4EE7" w:rsidRDefault="00572307">
      <w:pPr>
        <w:pStyle w:val="P68B1DB1-Normal4"/>
        <w:spacing w:before="120" w:after="120" w:line="240" w:lineRule="auto"/>
        <w:jc w:val="both"/>
        <w:rPr>
          <w:rFonts w:eastAsiaTheme="minorEastAsia" w:cs="Times New Roman"/>
          <w:noProof/>
        </w:rPr>
      </w:pPr>
      <w:r w:rsidRPr="00BC4EE7">
        <w:rPr>
          <w:rFonts w:cs="Times New Roman"/>
          <w:noProof/>
        </w:rPr>
        <w:t>Az intézkedés általános célja a villamos energia versenyképességének növelése és a gazdaság villamosításának felgyorsítása. E célból az intézkedésnek rendelkeznie kell egy kezdeti támogatási mechanizmusról, amely maximalizálja a hálózatok digitalizációjában rejlő lehetőségeket a következők révén: i. a megújulóenergia-termelés veszteségeinek és kiömléseinek csökkentése, ii. a kereslet részvételének támogatása a villamosenergia-rendszer irányításában és iii. a hálózati konfiguráció optimalizálása.</w:t>
      </w:r>
    </w:p>
    <w:p w14:paraId="2CC15D25" w14:textId="77777777" w:rsidR="00D65CB4" w:rsidRPr="00BC4EE7" w:rsidRDefault="00572307">
      <w:pPr>
        <w:pStyle w:val="P68B1DB1-Normal4"/>
        <w:spacing w:before="120" w:after="120" w:line="240" w:lineRule="auto"/>
        <w:jc w:val="both"/>
        <w:rPr>
          <w:rFonts w:eastAsiaTheme="minorEastAsia" w:cs="Times New Roman"/>
          <w:noProof/>
        </w:rPr>
      </w:pPr>
      <w:r w:rsidRPr="00BC4EE7">
        <w:rPr>
          <w:rFonts w:cs="Times New Roman"/>
          <w:noProof/>
        </w:rPr>
        <w:t>Az intézkedés magában foglalja legalább 35 innovatív digitalizálási projekt (intelligens villamosenergia-elosztás) elosztó vállalkozásoknak történő odaítélését.</w:t>
      </w:r>
    </w:p>
    <w:p w14:paraId="6BC816DA" w14:textId="77777777" w:rsidR="00D65CB4" w:rsidRPr="00BC4EE7" w:rsidRDefault="00572307">
      <w:pPr>
        <w:pStyle w:val="P68B1DB1-Normal4"/>
        <w:spacing w:before="120" w:after="120" w:line="240" w:lineRule="auto"/>
        <w:jc w:val="both"/>
        <w:rPr>
          <w:rFonts w:eastAsiaTheme="minorEastAsia" w:cs="Times New Roman"/>
          <w:noProof/>
        </w:rPr>
      </w:pPr>
      <w:r w:rsidRPr="00BC4EE7">
        <w:rPr>
          <w:rFonts w:cs="Times New Roman"/>
          <w:noProof/>
        </w:rPr>
        <w:t xml:space="preserve">A beruházás végrehajtását 2023. december 31-ig be kell fejezni.  </w:t>
      </w:r>
    </w:p>
    <w:p w14:paraId="2ACDB3D4" w14:textId="77777777" w:rsidR="00D65CB4" w:rsidRPr="00BC4EE7" w:rsidRDefault="00572307">
      <w:pPr>
        <w:pStyle w:val="P68B1DB1-Normal5"/>
        <w:keepNext/>
        <w:spacing w:before="120" w:after="120" w:line="240" w:lineRule="auto"/>
        <w:jc w:val="both"/>
        <w:rPr>
          <w:rFonts w:eastAsia="Symbol" w:cs="Times New Roman"/>
          <w:noProof/>
        </w:rPr>
      </w:pPr>
      <w:r w:rsidRPr="00BC4EE7">
        <w:rPr>
          <w:rFonts w:cs="Times New Roman"/>
          <w:noProof/>
        </w:rPr>
        <w:t>Beruházás (C8.I3) – Új üzleti modellek az energetikai átállásban</w:t>
      </w:r>
    </w:p>
    <w:p w14:paraId="6D6F38D9" w14:textId="77777777" w:rsidR="00D65CB4" w:rsidRPr="00BC4EE7" w:rsidRDefault="00572307">
      <w:pPr>
        <w:pStyle w:val="P68B1DB1-Normal4"/>
        <w:keepNext/>
        <w:spacing w:before="120" w:after="120" w:line="240" w:lineRule="auto"/>
        <w:jc w:val="both"/>
        <w:rPr>
          <w:rFonts w:eastAsia="Symbol" w:cs="Times New Roman"/>
          <w:noProof/>
        </w:rPr>
      </w:pPr>
      <w:r w:rsidRPr="00BC4EE7">
        <w:rPr>
          <w:rFonts w:cs="Times New Roman"/>
          <w:noProof/>
        </w:rPr>
        <w:t xml:space="preserve">Ez az intézkedés olyan beruházásokból és támogatási mechanizmusokból áll, amelyek célja az új üzleti modellek fellendítése az energiatárolás bevezetéséhez, valamint az energiatárolás második élettartamának kezeléséhez és újrafeldolgozásához, a keresletkezeléshez, az aggregátorokhoz, a rugalmassági szolgáltatásokhoz, az adatokhoz való hozzáféréshez és a tesztkörnyezetekhez kapcsolódó átálláshoz. Az intézkedés különösen a következőket foglalja magában: </w:t>
      </w:r>
    </w:p>
    <w:p w14:paraId="5C89B677" w14:textId="77777777" w:rsidR="00D65CB4" w:rsidRPr="00BC4EE7" w:rsidRDefault="00572307">
      <w:pPr>
        <w:pStyle w:val="P68B1DB1-Normal4"/>
        <w:numPr>
          <w:ilvl w:val="0"/>
          <w:numId w:val="101"/>
        </w:numPr>
        <w:spacing w:before="120" w:after="160" w:line="259" w:lineRule="auto"/>
        <w:ind w:left="426" w:hanging="426"/>
        <w:contextualSpacing/>
        <w:jc w:val="both"/>
        <w:rPr>
          <w:rFonts w:eastAsia="Symbol" w:cs="Times New Roman"/>
          <w:noProof/>
        </w:rPr>
      </w:pPr>
      <w:r w:rsidRPr="00BC4EE7">
        <w:rPr>
          <w:rFonts w:cs="Times New Roman"/>
          <w:noProof/>
        </w:rPr>
        <w:t>Az aggregátorok nemzeti villamosenergia-piacon való kiépítésének támogatása, különös tekintettel a független aggregátorokra valós idejű mérőberendezések (almérés), ellenőrző és kommunikációs központok telepítése, valamint az aggregációs platformok előmozdítása révén;</w:t>
      </w:r>
    </w:p>
    <w:p w14:paraId="73FE182B" w14:textId="77777777" w:rsidR="00D65CB4" w:rsidRPr="00BC4EE7" w:rsidRDefault="00572307">
      <w:pPr>
        <w:pStyle w:val="P68B1DB1-Normal4"/>
        <w:numPr>
          <w:ilvl w:val="0"/>
          <w:numId w:val="101"/>
        </w:numPr>
        <w:spacing w:before="120" w:after="160" w:line="259" w:lineRule="auto"/>
        <w:ind w:left="426" w:hanging="426"/>
        <w:contextualSpacing/>
        <w:jc w:val="both"/>
        <w:rPr>
          <w:rFonts w:eastAsia="Symbol" w:cs="Times New Roman"/>
          <w:noProof/>
        </w:rPr>
      </w:pPr>
      <w:r w:rsidRPr="00BC4EE7">
        <w:rPr>
          <w:rFonts w:cs="Times New Roman"/>
          <w:noProof/>
        </w:rPr>
        <w:t>A tárolás telepítése a teljes értéklánc mentén;</w:t>
      </w:r>
    </w:p>
    <w:p w14:paraId="7A574EA9" w14:textId="77777777" w:rsidR="00D65CB4" w:rsidRPr="00BC4EE7" w:rsidRDefault="00572307">
      <w:pPr>
        <w:pStyle w:val="P68B1DB1-Normal4"/>
        <w:numPr>
          <w:ilvl w:val="0"/>
          <w:numId w:val="101"/>
        </w:numPr>
        <w:spacing w:before="120" w:after="160" w:line="259" w:lineRule="auto"/>
        <w:ind w:left="426" w:hanging="426"/>
        <w:contextualSpacing/>
        <w:jc w:val="both"/>
        <w:rPr>
          <w:rFonts w:eastAsia="Symbol" w:cs="Times New Roman"/>
          <w:noProof/>
        </w:rPr>
      </w:pPr>
      <w:r w:rsidRPr="00BC4EE7">
        <w:rPr>
          <w:rFonts w:cs="Times New Roman"/>
          <w:noProof/>
        </w:rPr>
        <w:t>Különböző fogyasztói profilú keresletgazdálkodási projektek támogatása (nagyipar, kkv-k, megújulóenergia-közösségek/polgári energiaközösségek, beszerzési közösségek stb.);</w:t>
      </w:r>
    </w:p>
    <w:p w14:paraId="0616224B" w14:textId="77777777" w:rsidR="00D65CB4" w:rsidRPr="00BC4EE7" w:rsidRDefault="00572307">
      <w:pPr>
        <w:pStyle w:val="P68B1DB1-Normal4"/>
        <w:numPr>
          <w:ilvl w:val="0"/>
          <w:numId w:val="101"/>
        </w:numPr>
        <w:spacing w:before="120" w:after="160" w:line="259" w:lineRule="auto"/>
        <w:ind w:left="426" w:hanging="426"/>
        <w:contextualSpacing/>
        <w:jc w:val="both"/>
        <w:rPr>
          <w:rFonts w:eastAsia="Symbol" w:cs="Times New Roman"/>
          <w:noProof/>
        </w:rPr>
      </w:pPr>
      <w:r w:rsidRPr="00BC4EE7">
        <w:rPr>
          <w:rFonts w:cs="Times New Roman"/>
          <w:noProof/>
        </w:rPr>
        <w:t>Kéri, hogy pályázzanak a szabályozói tesztkörnyezetek közvetlen, versenyalapú támogatás vagy együttműködési megállapodások formájában történő végrehajtására; és</w:t>
      </w:r>
    </w:p>
    <w:p w14:paraId="07056859" w14:textId="77777777" w:rsidR="00D65CB4" w:rsidRPr="00BC4EE7" w:rsidRDefault="00572307">
      <w:pPr>
        <w:pStyle w:val="P68B1DB1-Normal4"/>
        <w:numPr>
          <w:ilvl w:val="0"/>
          <w:numId w:val="101"/>
        </w:numPr>
        <w:spacing w:before="120" w:after="120" w:line="259" w:lineRule="auto"/>
        <w:ind w:left="425" w:hanging="425"/>
        <w:jc w:val="both"/>
        <w:rPr>
          <w:rFonts w:eastAsia="Symbol" w:cs="Times New Roman"/>
          <w:noProof/>
        </w:rPr>
      </w:pPr>
      <w:r w:rsidRPr="00BC4EE7">
        <w:rPr>
          <w:rFonts w:cs="Times New Roman"/>
          <w:noProof/>
        </w:rPr>
        <w:t>Induló vállalkozások vagy innovatív kezdeményezések támogatása az energia területén.</w:t>
      </w:r>
    </w:p>
    <w:p w14:paraId="01C11A95" w14:textId="77777777" w:rsidR="00D65CB4" w:rsidRPr="00BC4EE7" w:rsidRDefault="00572307">
      <w:pPr>
        <w:pStyle w:val="P68B1DB1-Normal4"/>
        <w:spacing w:before="120" w:after="120" w:line="240" w:lineRule="auto"/>
        <w:jc w:val="both"/>
        <w:rPr>
          <w:rFonts w:eastAsia="Symbol" w:cs="Times New Roman"/>
          <w:noProof/>
        </w:rPr>
      </w:pPr>
      <w:r w:rsidRPr="00BC4EE7">
        <w:rPr>
          <w:rFonts w:cs="Times New Roman"/>
          <w:noProof/>
        </w:rPr>
        <w:t>A beruházás szorosan kapcsolódik a C8.R4 reformhoz, amelynek célja, hogy szabályozói tesztkörnyezeteket dolgozzon ki az innovatív projektek számára. Emellett a többi reform, különösen a C8.R3. reform által meghatározott stratégiai és szabályozási keretre is épít.</w:t>
      </w:r>
    </w:p>
    <w:p w14:paraId="7C132290" w14:textId="702B13DB" w:rsidR="00D65CB4" w:rsidRPr="00BC4EE7" w:rsidRDefault="00572307">
      <w:pPr>
        <w:pStyle w:val="P68B1DB1-Normal4"/>
        <w:spacing w:before="120" w:after="120" w:line="240" w:lineRule="auto"/>
        <w:jc w:val="both"/>
        <w:rPr>
          <w:rFonts w:eastAsia="Symbol" w:cs="Times New Roman"/>
          <w:noProof/>
        </w:rPr>
      </w:pPr>
      <w:r w:rsidRPr="00BC4EE7">
        <w:rPr>
          <w:rFonts w:cs="Times New Roman"/>
          <w:noProof/>
        </w:rPr>
        <w:t>Várhatóan legalább 18 projektet ítélnek oda az energetikai átállás új üzleti modelljeinek előmozdítására, beleértve az intelligens fogyasztásmérést, a tárolást, a keresletoldali választ, a rugalmassági szolgáltatásokat és az adatokat.</w:t>
      </w:r>
    </w:p>
    <w:p w14:paraId="7AFBC81D" w14:textId="77777777" w:rsidR="00D65CB4" w:rsidRPr="00BC4EE7" w:rsidRDefault="00572307">
      <w:pPr>
        <w:pStyle w:val="P68B1DB1-Normal4"/>
        <w:spacing w:before="120" w:after="120" w:line="240" w:lineRule="auto"/>
        <w:jc w:val="both"/>
        <w:rPr>
          <w:rFonts w:eastAsia="Symbol" w:cs="Times New Roman"/>
          <w:noProof/>
        </w:rPr>
      </w:pPr>
      <w:r w:rsidRPr="00BC4EE7">
        <w:rPr>
          <w:rFonts w:cs="Times New Roman"/>
          <w:noProof/>
        </w:rPr>
        <w:t>A beruházás végrehajtását 2023. december 31-ig be kell fejezni.</w:t>
      </w:r>
    </w:p>
    <w:p w14:paraId="0C18562F" w14:textId="77777777" w:rsidR="00D65CB4" w:rsidRPr="00BC4EE7" w:rsidRDefault="00572307">
      <w:pPr>
        <w:spacing w:before="120" w:after="120" w:line="240" w:lineRule="auto"/>
        <w:ind w:left="709"/>
        <w:jc w:val="both"/>
        <w:rPr>
          <w:rFonts w:ascii="Times New Roman" w:hAnsi="Times New Roman" w:cs="Times New Roman"/>
          <w:b/>
          <w:noProof/>
          <w:sz w:val="24"/>
          <w:u w:val="single"/>
        </w:rPr>
      </w:pPr>
      <w:r w:rsidRPr="00BC4EE7">
        <w:rPr>
          <w:rFonts w:ascii="Times New Roman" w:hAnsi="Times New Roman" w:cs="Times New Roman"/>
          <w:b/>
          <w:noProof/>
          <w:sz w:val="24"/>
          <w:u w:val="single"/>
        </w:rPr>
        <w:t xml:space="preserve">H.2.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Vissza nem térítendő pénzügyi támogatás – a végrehajtáshoz és a nyomon követéshez kapcsolódó mérföldkövek, célok, mutatók és ütemterv</w:t>
      </w:r>
    </w:p>
    <w:p w14:paraId="19C00E4A" w14:textId="77777777" w:rsidR="00D65CB4" w:rsidRPr="00BC4EE7" w:rsidRDefault="00572307">
      <w:pPr>
        <w:pStyle w:val="P68B1DB1-Normal4"/>
        <w:spacing w:before="120" w:after="120" w:line="240" w:lineRule="auto"/>
        <w:jc w:val="both"/>
        <w:rPr>
          <w:rFonts w:cs="Times New Roman"/>
          <w:b/>
          <w:noProof/>
          <w:u w:val="single"/>
        </w:rPr>
      </w:pPr>
      <w:r w:rsidRPr="00BC4EE7">
        <w:rPr>
          <w:rFonts w:cs="Times New Roman"/>
          <w:i/>
          <w:noProof/>
        </w:rPr>
        <w:t>Táblázat alább.</w:t>
      </w:r>
      <w:r w:rsidRPr="00BC4EE7">
        <w:rPr>
          <w:rFonts w:cs="Times New Roman"/>
          <w:noProof/>
        </w:rPr>
        <w:t xml:space="preserve"> </w:t>
      </w:r>
      <w:r w:rsidRPr="00BC4EE7">
        <w:rPr>
          <w:rFonts w:cs="Times New Roman"/>
          <w:i/>
          <w:noProof/>
        </w:rPr>
        <w:t>A kiindulási időpont valamennyi mutató esetében 2020. február 1-je, kivéve, ha az intézkedés leírása ettől eltérően rendelkezik. A táblázatban szereplő összegek nem tartalmazzák a héát.</w:t>
      </w:r>
    </w:p>
    <w:p w14:paraId="42C6D796" w14:textId="77777777" w:rsidR="00D65CB4" w:rsidRPr="00BC4EE7" w:rsidRDefault="00D65CB4">
      <w:pPr>
        <w:spacing w:before="120" w:after="120" w:line="240" w:lineRule="auto"/>
        <w:jc w:val="both"/>
        <w:rPr>
          <w:rFonts w:ascii="Times New Roman" w:hAnsi="Times New Roman" w:cs="Times New Roman"/>
          <w:i/>
          <w:noProof/>
          <w:sz w:val="24"/>
        </w:rPr>
      </w:pPr>
    </w:p>
    <w:p w14:paraId="6E1831B3" w14:textId="77777777" w:rsidR="00D65CB4" w:rsidRPr="00BC4EE7" w:rsidRDefault="00D65CB4">
      <w:pPr>
        <w:spacing w:before="120" w:after="120" w:line="240" w:lineRule="auto"/>
        <w:ind w:left="709"/>
        <w:jc w:val="both"/>
        <w:rPr>
          <w:rFonts w:ascii="Times New Roman" w:hAnsi="Times New Roman" w:cs="Times New Roman"/>
          <w:noProof/>
          <w:sz w:val="24"/>
        </w:rPr>
        <w:sectPr w:rsidR="00D65CB4" w:rsidRPr="00BC4EE7" w:rsidSect="00B511EF">
          <w:headerReference w:type="even" r:id="rId183"/>
          <w:headerReference w:type="default" r:id="rId184"/>
          <w:footerReference w:type="even" r:id="rId185"/>
          <w:footerReference w:type="default" r:id="rId186"/>
          <w:headerReference w:type="first" r:id="rId187"/>
          <w:footerReference w:type="first" r:id="rId188"/>
          <w:pgSz w:w="11907" w:h="16839"/>
          <w:pgMar w:top="1134" w:right="1134" w:bottom="1134" w:left="1134" w:header="567" w:footer="567" w:gutter="0"/>
          <w:cols w:space="720"/>
          <w:docGrid w:linePitch="360"/>
        </w:sectPr>
      </w:pPr>
    </w:p>
    <w:tbl>
      <w:tblPr>
        <w:tblW w:w="15452"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33"/>
        <w:gridCol w:w="1011"/>
        <w:gridCol w:w="992"/>
        <w:gridCol w:w="1843"/>
        <w:gridCol w:w="1258"/>
        <w:gridCol w:w="829"/>
        <w:gridCol w:w="966"/>
        <w:gridCol w:w="553"/>
        <w:gridCol w:w="553"/>
        <w:gridCol w:w="553"/>
        <w:gridCol w:w="6061"/>
      </w:tblGrid>
      <w:tr w:rsidR="00D65CB4" w:rsidRPr="00BC4EE7" w14:paraId="06A4CBE2" w14:textId="77777777" w:rsidTr="00481CF8">
        <w:trPr>
          <w:trHeight w:val="309"/>
          <w:tblHeader/>
        </w:trPr>
        <w:tc>
          <w:tcPr>
            <w:tcW w:w="833" w:type="dxa"/>
            <w:tcBorders>
              <w:bottom w:val="nil"/>
            </w:tcBorders>
            <w:shd w:val="clear" w:color="auto" w:fill="C6D9F1" w:themeFill="text2" w:themeFillTint="33"/>
            <w:noWrap/>
            <w:vAlign w:val="center"/>
          </w:tcPr>
          <w:p w14:paraId="27A0EC95"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Szám</w:t>
            </w:r>
          </w:p>
        </w:tc>
        <w:tc>
          <w:tcPr>
            <w:tcW w:w="1011" w:type="dxa"/>
            <w:tcBorders>
              <w:bottom w:val="nil"/>
            </w:tcBorders>
            <w:shd w:val="clear" w:color="auto" w:fill="C6D9F1" w:themeFill="text2" w:themeFillTint="33"/>
            <w:noWrap/>
            <w:vAlign w:val="center"/>
          </w:tcPr>
          <w:p w14:paraId="683D1FD8"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Intézkedés</w:t>
            </w:r>
          </w:p>
        </w:tc>
        <w:tc>
          <w:tcPr>
            <w:tcW w:w="992" w:type="dxa"/>
            <w:tcBorders>
              <w:bottom w:val="nil"/>
            </w:tcBorders>
            <w:shd w:val="clear" w:color="auto" w:fill="C6D9F1" w:themeFill="text2" w:themeFillTint="33"/>
            <w:noWrap/>
            <w:vAlign w:val="center"/>
          </w:tcPr>
          <w:p w14:paraId="00006DBC" w14:textId="77777777" w:rsidR="00D65CB4" w:rsidRPr="00BC4EE7" w:rsidRDefault="00572307">
            <w:pPr>
              <w:spacing w:after="0" w:line="240" w:lineRule="auto"/>
              <w:jc w:val="center"/>
              <w:rPr>
                <w:rFonts w:ascii="Times New Roman" w:hAnsi="Times New Roman" w:cs="Times New Roman"/>
                <w:b/>
                <w:noProof/>
                <w:sz w:val="18"/>
              </w:rPr>
            </w:pPr>
            <w:r w:rsidRPr="00BC4EE7">
              <w:rPr>
                <w:rFonts w:ascii="Times New Roman" w:hAnsi="Times New Roman" w:cs="Times New Roman"/>
                <w:b/>
                <w:noProof/>
                <w:sz w:val="18"/>
              </w:rPr>
              <w:t>Mérföldkő</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b/>
                <w:noProof/>
                <w:sz w:val="18"/>
              </w:rPr>
              <w:t xml:space="preserve"> /Cél</w:t>
            </w:r>
          </w:p>
        </w:tc>
        <w:tc>
          <w:tcPr>
            <w:tcW w:w="1843" w:type="dxa"/>
            <w:tcBorders>
              <w:bottom w:val="nil"/>
            </w:tcBorders>
            <w:shd w:val="clear" w:color="auto" w:fill="C6D9F1" w:themeFill="text2" w:themeFillTint="33"/>
            <w:noWrap/>
            <w:vAlign w:val="center"/>
          </w:tcPr>
          <w:p w14:paraId="0399D578"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Név</w:t>
            </w:r>
          </w:p>
        </w:tc>
        <w:tc>
          <w:tcPr>
            <w:tcW w:w="1258" w:type="dxa"/>
            <w:tcBorders>
              <w:bottom w:val="nil"/>
            </w:tcBorders>
            <w:shd w:val="clear" w:color="auto" w:fill="C6D9F1" w:themeFill="text2" w:themeFillTint="33"/>
            <w:noWrap/>
            <w:vAlign w:val="center"/>
          </w:tcPr>
          <w:p w14:paraId="6956393C"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mérföldkövek minőségi mutatója</w:t>
            </w:r>
          </w:p>
        </w:tc>
        <w:tc>
          <w:tcPr>
            <w:tcW w:w="2348" w:type="dxa"/>
            <w:gridSpan w:val="3"/>
            <w:shd w:val="clear" w:color="auto" w:fill="C6D9F1" w:themeFill="text2" w:themeFillTint="33"/>
            <w:noWrap/>
            <w:vAlign w:val="center"/>
          </w:tcPr>
          <w:p w14:paraId="2AF17811"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célérték mennyiségi mutatója</w:t>
            </w:r>
          </w:p>
        </w:tc>
        <w:tc>
          <w:tcPr>
            <w:tcW w:w="1106" w:type="dxa"/>
            <w:gridSpan w:val="2"/>
            <w:shd w:val="clear" w:color="auto" w:fill="C6D9F1" w:themeFill="text2" w:themeFillTint="33"/>
            <w:noWrap/>
            <w:vAlign w:val="center"/>
          </w:tcPr>
          <w:p w14:paraId="581508C5"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Idő</w:t>
            </w:r>
          </w:p>
        </w:tc>
        <w:tc>
          <w:tcPr>
            <w:tcW w:w="6061" w:type="dxa"/>
            <w:tcBorders>
              <w:bottom w:val="nil"/>
            </w:tcBorders>
            <w:shd w:val="clear" w:color="auto" w:fill="C6D9F1" w:themeFill="text2" w:themeFillTint="33"/>
            <w:noWrap/>
            <w:vAlign w:val="center"/>
          </w:tcPr>
          <w:p w14:paraId="16810C53"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Az egyes mérföldkövek és célértékek leírása</w:t>
            </w:r>
          </w:p>
        </w:tc>
      </w:tr>
      <w:tr w:rsidR="00D65CB4" w:rsidRPr="00BC4EE7" w14:paraId="0E43F52B" w14:textId="77777777" w:rsidTr="00481CF8">
        <w:trPr>
          <w:trHeight w:val="309"/>
          <w:tblHeader/>
        </w:trPr>
        <w:tc>
          <w:tcPr>
            <w:tcW w:w="833" w:type="dxa"/>
            <w:tcBorders>
              <w:top w:val="nil"/>
            </w:tcBorders>
            <w:shd w:val="clear" w:color="auto" w:fill="C6D9F1" w:themeFill="text2" w:themeFillTint="33"/>
            <w:noWrap/>
          </w:tcPr>
          <w:p w14:paraId="54E11D2A" w14:textId="77777777" w:rsidR="00D65CB4" w:rsidRPr="00BC4EE7" w:rsidRDefault="00D65CB4">
            <w:pPr>
              <w:spacing w:after="0" w:line="240" w:lineRule="auto"/>
              <w:jc w:val="center"/>
              <w:rPr>
                <w:rFonts w:ascii="Times New Roman" w:hAnsi="Times New Roman" w:cs="Times New Roman"/>
                <w:b/>
                <w:noProof/>
                <w:sz w:val="18"/>
              </w:rPr>
            </w:pPr>
          </w:p>
        </w:tc>
        <w:tc>
          <w:tcPr>
            <w:tcW w:w="1011" w:type="dxa"/>
            <w:tcBorders>
              <w:top w:val="nil"/>
            </w:tcBorders>
            <w:shd w:val="clear" w:color="auto" w:fill="C6D9F1" w:themeFill="text2" w:themeFillTint="33"/>
            <w:noWrap/>
          </w:tcPr>
          <w:p w14:paraId="31126E5D" w14:textId="77777777" w:rsidR="00D65CB4" w:rsidRPr="00BC4EE7" w:rsidRDefault="00D65CB4">
            <w:pPr>
              <w:spacing w:after="0" w:line="240" w:lineRule="auto"/>
              <w:jc w:val="center"/>
              <w:rPr>
                <w:rFonts w:ascii="Times New Roman" w:hAnsi="Times New Roman" w:cs="Times New Roman"/>
                <w:b/>
                <w:noProof/>
                <w:sz w:val="18"/>
              </w:rPr>
            </w:pPr>
          </w:p>
        </w:tc>
        <w:tc>
          <w:tcPr>
            <w:tcW w:w="992" w:type="dxa"/>
            <w:tcBorders>
              <w:top w:val="nil"/>
            </w:tcBorders>
            <w:shd w:val="clear" w:color="auto" w:fill="C6D9F1" w:themeFill="text2" w:themeFillTint="33"/>
            <w:noWrap/>
          </w:tcPr>
          <w:p w14:paraId="2DE403A5" w14:textId="77777777" w:rsidR="00D65CB4" w:rsidRPr="00BC4EE7" w:rsidRDefault="00D65CB4">
            <w:pPr>
              <w:spacing w:after="0" w:line="240" w:lineRule="auto"/>
              <w:jc w:val="center"/>
              <w:rPr>
                <w:rFonts w:ascii="Times New Roman" w:hAnsi="Times New Roman" w:cs="Times New Roman"/>
                <w:b/>
                <w:noProof/>
                <w:sz w:val="18"/>
              </w:rPr>
            </w:pPr>
          </w:p>
        </w:tc>
        <w:tc>
          <w:tcPr>
            <w:tcW w:w="1843" w:type="dxa"/>
            <w:tcBorders>
              <w:top w:val="nil"/>
            </w:tcBorders>
            <w:shd w:val="clear" w:color="auto" w:fill="C6D9F1" w:themeFill="text2" w:themeFillTint="33"/>
            <w:noWrap/>
          </w:tcPr>
          <w:p w14:paraId="62431CDC" w14:textId="77777777" w:rsidR="00D65CB4" w:rsidRPr="00BC4EE7" w:rsidRDefault="00D65CB4">
            <w:pPr>
              <w:spacing w:after="0" w:line="240" w:lineRule="auto"/>
              <w:rPr>
                <w:rFonts w:ascii="Times New Roman" w:hAnsi="Times New Roman" w:cs="Times New Roman"/>
                <w:b/>
                <w:noProof/>
                <w:sz w:val="18"/>
              </w:rPr>
            </w:pPr>
          </w:p>
        </w:tc>
        <w:tc>
          <w:tcPr>
            <w:tcW w:w="1258" w:type="dxa"/>
            <w:tcBorders>
              <w:top w:val="nil"/>
            </w:tcBorders>
            <w:shd w:val="clear" w:color="auto" w:fill="C6D9F1" w:themeFill="text2" w:themeFillTint="33"/>
            <w:noWrap/>
          </w:tcPr>
          <w:p w14:paraId="49E398E2" w14:textId="77777777" w:rsidR="00D65CB4" w:rsidRPr="00BC4EE7" w:rsidRDefault="00D65CB4">
            <w:pPr>
              <w:spacing w:after="0" w:line="240" w:lineRule="auto"/>
              <w:jc w:val="center"/>
              <w:rPr>
                <w:rFonts w:ascii="Times New Roman" w:hAnsi="Times New Roman" w:cs="Times New Roman"/>
                <w:b/>
                <w:noProof/>
                <w:sz w:val="18"/>
              </w:rPr>
            </w:pPr>
          </w:p>
        </w:tc>
        <w:tc>
          <w:tcPr>
            <w:tcW w:w="829" w:type="dxa"/>
            <w:shd w:val="clear" w:color="auto" w:fill="C6D9F1" w:themeFill="text2" w:themeFillTint="33"/>
            <w:noWrap/>
            <w:vAlign w:val="center"/>
          </w:tcPr>
          <w:p w14:paraId="4ABBA8A3"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Egység</w:t>
            </w:r>
          </w:p>
        </w:tc>
        <w:tc>
          <w:tcPr>
            <w:tcW w:w="966" w:type="dxa"/>
            <w:shd w:val="clear" w:color="auto" w:fill="C6D9F1" w:themeFill="text2" w:themeFillTint="33"/>
            <w:noWrap/>
            <w:vAlign w:val="center"/>
          </w:tcPr>
          <w:p w14:paraId="394E72C3" w14:textId="38E42F3B" w:rsidR="00D65CB4" w:rsidRPr="00BC4EE7" w:rsidRDefault="00572307">
            <w:pPr>
              <w:pStyle w:val="P68B1DB1-Normal8"/>
              <w:spacing w:after="0" w:line="240" w:lineRule="auto"/>
              <w:jc w:val="center"/>
              <w:rPr>
                <w:rFonts w:cs="Times New Roman"/>
                <w:noProof/>
              </w:rPr>
            </w:pPr>
            <w:r w:rsidRPr="00BC4EE7">
              <w:rPr>
                <w:rFonts w:cs="Times New Roman"/>
                <w:noProof/>
              </w:rPr>
              <w:t>Kiindulási</w:t>
            </w:r>
          </w:p>
        </w:tc>
        <w:tc>
          <w:tcPr>
            <w:tcW w:w="553" w:type="dxa"/>
            <w:shd w:val="clear" w:color="auto" w:fill="C6D9F1" w:themeFill="text2" w:themeFillTint="33"/>
            <w:noWrap/>
            <w:vAlign w:val="center"/>
          </w:tcPr>
          <w:p w14:paraId="2E8B2227"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Cél</w:t>
            </w:r>
          </w:p>
        </w:tc>
        <w:tc>
          <w:tcPr>
            <w:tcW w:w="553" w:type="dxa"/>
            <w:shd w:val="clear" w:color="auto" w:fill="C6D9F1" w:themeFill="text2" w:themeFillTint="33"/>
            <w:noWrap/>
            <w:vAlign w:val="center"/>
          </w:tcPr>
          <w:p w14:paraId="1B0FDDEC"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Q</w:t>
            </w:r>
          </w:p>
        </w:tc>
        <w:tc>
          <w:tcPr>
            <w:tcW w:w="553" w:type="dxa"/>
            <w:shd w:val="clear" w:color="auto" w:fill="C6D9F1" w:themeFill="text2" w:themeFillTint="33"/>
            <w:noWrap/>
            <w:vAlign w:val="center"/>
          </w:tcPr>
          <w:p w14:paraId="334F5C5B"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Éve</w:t>
            </w:r>
          </w:p>
        </w:tc>
        <w:tc>
          <w:tcPr>
            <w:tcW w:w="6061" w:type="dxa"/>
            <w:tcBorders>
              <w:top w:val="nil"/>
            </w:tcBorders>
            <w:shd w:val="clear" w:color="auto" w:fill="C6D9F1" w:themeFill="text2" w:themeFillTint="33"/>
            <w:noWrap/>
          </w:tcPr>
          <w:p w14:paraId="16287F21" w14:textId="77777777" w:rsidR="00D65CB4" w:rsidRPr="00BC4EE7" w:rsidRDefault="00D65CB4">
            <w:pPr>
              <w:spacing w:after="0" w:line="240" w:lineRule="auto"/>
              <w:rPr>
                <w:rFonts w:ascii="Times New Roman" w:hAnsi="Times New Roman" w:cs="Times New Roman"/>
                <w:b/>
                <w:noProof/>
                <w:sz w:val="18"/>
              </w:rPr>
            </w:pPr>
          </w:p>
        </w:tc>
      </w:tr>
      <w:tr w:rsidR="00D65CB4" w:rsidRPr="00BC4EE7" w14:paraId="1D80BCA7" w14:textId="77777777" w:rsidTr="00481CF8">
        <w:trPr>
          <w:trHeight w:val="309"/>
        </w:trPr>
        <w:tc>
          <w:tcPr>
            <w:tcW w:w="833" w:type="dxa"/>
            <w:shd w:val="clear" w:color="auto" w:fill="C6EFCE"/>
            <w:noWrap/>
          </w:tcPr>
          <w:p w14:paraId="52DEB7E5"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121</w:t>
            </w:r>
          </w:p>
        </w:tc>
        <w:tc>
          <w:tcPr>
            <w:tcW w:w="1011" w:type="dxa"/>
            <w:shd w:val="clear" w:color="auto" w:fill="C6EFCE"/>
            <w:noWrap/>
          </w:tcPr>
          <w:p w14:paraId="33FAD8A2"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C8.R1</w:t>
            </w:r>
          </w:p>
        </w:tc>
        <w:tc>
          <w:tcPr>
            <w:tcW w:w="992" w:type="dxa"/>
            <w:shd w:val="clear" w:color="auto" w:fill="C6EFCE"/>
            <w:noWrap/>
          </w:tcPr>
          <w:p w14:paraId="06BB0C0F"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M</w:t>
            </w:r>
          </w:p>
        </w:tc>
        <w:tc>
          <w:tcPr>
            <w:tcW w:w="1843" w:type="dxa"/>
            <w:shd w:val="clear" w:color="auto" w:fill="C6EFCE"/>
            <w:noWrap/>
          </w:tcPr>
          <w:p w14:paraId="5562B7B2"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A hosszú távú dekarbonizációs stratégia („ELP2050”) jóváhagyása.</w:t>
            </w:r>
          </w:p>
        </w:tc>
        <w:tc>
          <w:tcPr>
            <w:tcW w:w="1258" w:type="dxa"/>
            <w:shd w:val="clear" w:color="auto" w:fill="C6EFCE"/>
            <w:noWrap/>
          </w:tcPr>
          <w:p w14:paraId="082FD219"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A Miniszterek Tanácsa általi jóváhagyás</w:t>
            </w:r>
          </w:p>
        </w:tc>
        <w:tc>
          <w:tcPr>
            <w:tcW w:w="829" w:type="dxa"/>
            <w:shd w:val="clear" w:color="auto" w:fill="C6EFCE"/>
            <w:noWrap/>
          </w:tcPr>
          <w:p w14:paraId="4D23D007" w14:textId="77777777" w:rsidR="00D65CB4" w:rsidRPr="00BC4EE7" w:rsidRDefault="00572307">
            <w:pPr>
              <w:pStyle w:val="P68B1DB1-Normal12"/>
              <w:spacing w:after="0" w:line="240" w:lineRule="auto"/>
              <w:jc w:val="right"/>
              <w:rPr>
                <w:rFonts w:eastAsia="Symbol" w:cs="Times New Roman"/>
                <w:noProof/>
              </w:rPr>
            </w:pPr>
            <w:r w:rsidRPr="00BC4EE7">
              <w:rPr>
                <w:rFonts w:cs="Times New Roman"/>
                <w:noProof/>
              </w:rPr>
              <w:t xml:space="preserve"> </w:t>
            </w:r>
          </w:p>
        </w:tc>
        <w:tc>
          <w:tcPr>
            <w:tcW w:w="966" w:type="dxa"/>
            <w:shd w:val="clear" w:color="auto" w:fill="C6EFCE"/>
            <w:noWrap/>
          </w:tcPr>
          <w:p w14:paraId="07256260" w14:textId="77777777" w:rsidR="00D65CB4" w:rsidRPr="00BC4EE7" w:rsidRDefault="00572307">
            <w:pPr>
              <w:pStyle w:val="P68B1DB1-Normal12"/>
              <w:spacing w:after="0" w:line="240" w:lineRule="auto"/>
              <w:jc w:val="right"/>
              <w:rPr>
                <w:rFonts w:eastAsia="Symbol" w:cs="Times New Roman"/>
                <w:noProof/>
              </w:rPr>
            </w:pPr>
            <w:r w:rsidRPr="00BC4EE7">
              <w:rPr>
                <w:rFonts w:cs="Times New Roman"/>
                <w:noProof/>
              </w:rPr>
              <w:t xml:space="preserve"> </w:t>
            </w:r>
          </w:p>
        </w:tc>
        <w:tc>
          <w:tcPr>
            <w:tcW w:w="553" w:type="dxa"/>
            <w:shd w:val="clear" w:color="auto" w:fill="C6EFCE"/>
            <w:noWrap/>
          </w:tcPr>
          <w:p w14:paraId="29B840A6" w14:textId="77777777" w:rsidR="00D65CB4" w:rsidRPr="00BC4EE7" w:rsidRDefault="00572307">
            <w:pPr>
              <w:pStyle w:val="P68B1DB1-Normal12"/>
              <w:spacing w:after="0" w:line="240" w:lineRule="auto"/>
              <w:jc w:val="right"/>
              <w:rPr>
                <w:rFonts w:eastAsia="Symbol" w:cs="Times New Roman"/>
                <w:noProof/>
              </w:rPr>
            </w:pPr>
            <w:r w:rsidRPr="00BC4EE7">
              <w:rPr>
                <w:rFonts w:cs="Times New Roman"/>
                <w:noProof/>
              </w:rPr>
              <w:t xml:space="preserve"> </w:t>
            </w:r>
          </w:p>
        </w:tc>
        <w:tc>
          <w:tcPr>
            <w:tcW w:w="553" w:type="dxa"/>
            <w:shd w:val="clear" w:color="auto" w:fill="C6EFCE"/>
            <w:noWrap/>
          </w:tcPr>
          <w:p w14:paraId="2F103B77"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Q1</w:t>
            </w:r>
          </w:p>
        </w:tc>
        <w:tc>
          <w:tcPr>
            <w:tcW w:w="553" w:type="dxa"/>
            <w:shd w:val="clear" w:color="auto" w:fill="C6EFCE"/>
            <w:noWrap/>
          </w:tcPr>
          <w:p w14:paraId="7351E708"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2021</w:t>
            </w:r>
          </w:p>
        </w:tc>
        <w:tc>
          <w:tcPr>
            <w:tcW w:w="6061" w:type="dxa"/>
            <w:shd w:val="clear" w:color="auto" w:fill="C6EFCE"/>
            <w:noWrap/>
          </w:tcPr>
          <w:p w14:paraId="21034D0B"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A hosszú távú dekarbonizációs stratégia („ELP2050”) jóváhagyása. Az ELP50 meghatározza a megújuló energiaforrásoknak a rugalmas és intelligens energiarendszerbe való hatékony integrálására vonatkozó stratégiai és szabályozási keret meghatározásának alapját, amelyet a nemzeti energia- és klímatervben meghatározott tágabb megközelítés összefüggésében kell értelmezni.</w:t>
            </w:r>
          </w:p>
        </w:tc>
      </w:tr>
      <w:tr w:rsidR="00D65CB4" w:rsidRPr="00BC4EE7" w14:paraId="76CF18B4" w14:textId="77777777" w:rsidTr="00481CF8">
        <w:trPr>
          <w:trHeight w:val="309"/>
        </w:trPr>
        <w:tc>
          <w:tcPr>
            <w:tcW w:w="833" w:type="dxa"/>
            <w:shd w:val="clear" w:color="auto" w:fill="C6EFCE"/>
            <w:noWrap/>
          </w:tcPr>
          <w:p w14:paraId="18EE793C"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122</w:t>
            </w:r>
          </w:p>
        </w:tc>
        <w:tc>
          <w:tcPr>
            <w:tcW w:w="1011" w:type="dxa"/>
            <w:shd w:val="clear" w:color="auto" w:fill="C6EFCE"/>
            <w:noWrap/>
          </w:tcPr>
          <w:p w14:paraId="5D63AFB9"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C8.R2</w:t>
            </w:r>
          </w:p>
        </w:tc>
        <w:tc>
          <w:tcPr>
            <w:tcW w:w="992" w:type="dxa"/>
            <w:shd w:val="clear" w:color="auto" w:fill="C6EFCE"/>
            <w:noWrap/>
          </w:tcPr>
          <w:p w14:paraId="28C76C2F"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M</w:t>
            </w:r>
          </w:p>
        </w:tc>
        <w:tc>
          <w:tcPr>
            <w:tcW w:w="1843" w:type="dxa"/>
            <w:shd w:val="clear" w:color="auto" w:fill="C6EFCE"/>
            <w:noWrap/>
          </w:tcPr>
          <w:p w14:paraId="5DC07101"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Tervezési, jogalkotási és szabályozási reformok hatálybalépése az energiatárolási megoldások fejlesztésének előmozdítása érdekében.</w:t>
            </w:r>
          </w:p>
        </w:tc>
        <w:tc>
          <w:tcPr>
            <w:tcW w:w="1258" w:type="dxa"/>
            <w:shd w:val="clear" w:color="auto" w:fill="C6EFCE"/>
            <w:noWrap/>
          </w:tcPr>
          <w:p w14:paraId="5DE3B16A"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 xml:space="preserve">A hatályba lépésre vonatkozó törvényi és rendeleti intézkedések rendelkezései </w:t>
            </w:r>
          </w:p>
        </w:tc>
        <w:tc>
          <w:tcPr>
            <w:tcW w:w="829" w:type="dxa"/>
            <w:shd w:val="clear" w:color="auto" w:fill="C6EFCE"/>
            <w:noWrap/>
          </w:tcPr>
          <w:p w14:paraId="0DD171FB" w14:textId="77777777" w:rsidR="00D65CB4" w:rsidRPr="00BC4EE7" w:rsidRDefault="00572307">
            <w:pPr>
              <w:pStyle w:val="P68B1DB1-Normal12"/>
              <w:spacing w:after="0" w:line="240" w:lineRule="auto"/>
              <w:jc w:val="right"/>
              <w:rPr>
                <w:rFonts w:eastAsia="Symbol" w:cs="Times New Roman"/>
                <w:noProof/>
              </w:rPr>
            </w:pPr>
            <w:r w:rsidRPr="00BC4EE7">
              <w:rPr>
                <w:rFonts w:cs="Times New Roman"/>
                <w:noProof/>
              </w:rPr>
              <w:t xml:space="preserve"> </w:t>
            </w:r>
          </w:p>
        </w:tc>
        <w:tc>
          <w:tcPr>
            <w:tcW w:w="966" w:type="dxa"/>
            <w:shd w:val="clear" w:color="auto" w:fill="C6EFCE"/>
            <w:noWrap/>
          </w:tcPr>
          <w:p w14:paraId="1CFE44F5" w14:textId="77777777" w:rsidR="00D65CB4" w:rsidRPr="00BC4EE7" w:rsidRDefault="00572307">
            <w:pPr>
              <w:pStyle w:val="P68B1DB1-Normal12"/>
              <w:spacing w:after="0" w:line="240" w:lineRule="auto"/>
              <w:jc w:val="right"/>
              <w:rPr>
                <w:rFonts w:eastAsia="Symbol" w:cs="Times New Roman"/>
                <w:noProof/>
              </w:rPr>
            </w:pPr>
            <w:r w:rsidRPr="00BC4EE7">
              <w:rPr>
                <w:rFonts w:cs="Times New Roman"/>
                <w:noProof/>
              </w:rPr>
              <w:t xml:space="preserve"> </w:t>
            </w:r>
          </w:p>
        </w:tc>
        <w:tc>
          <w:tcPr>
            <w:tcW w:w="553" w:type="dxa"/>
            <w:shd w:val="clear" w:color="auto" w:fill="C6EFCE"/>
            <w:noWrap/>
          </w:tcPr>
          <w:p w14:paraId="19ADC6D0" w14:textId="77777777" w:rsidR="00D65CB4" w:rsidRPr="00BC4EE7" w:rsidRDefault="00572307">
            <w:pPr>
              <w:pStyle w:val="P68B1DB1-Normal12"/>
              <w:spacing w:after="0" w:line="240" w:lineRule="auto"/>
              <w:jc w:val="right"/>
              <w:rPr>
                <w:rFonts w:eastAsia="Symbol" w:cs="Times New Roman"/>
                <w:noProof/>
              </w:rPr>
            </w:pPr>
            <w:r w:rsidRPr="00BC4EE7">
              <w:rPr>
                <w:rFonts w:cs="Times New Roman"/>
                <w:noProof/>
              </w:rPr>
              <w:t xml:space="preserve"> </w:t>
            </w:r>
          </w:p>
        </w:tc>
        <w:tc>
          <w:tcPr>
            <w:tcW w:w="553" w:type="dxa"/>
            <w:shd w:val="clear" w:color="auto" w:fill="C6EFCE"/>
            <w:noWrap/>
          </w:tcPr>
          <w:p w14:paraId="6A517C7D"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Q2</w:t>
            </w:r>
          </w:p>
        </w:tc>
        <w:tc>
          <w:tcPr>
            <w:tcW w:w="553" w:type="dxa"/>
            <w:shd w:val="clear" w:color="auto" w:fill="C6EFCE"/>
            <w:noWrap/>
          </w:tcPr>
          <w:p w14:paraId="0054E802"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2021</w:t>
            </w:r>
          </w:p>
        </w:tc>
        <w:tc>
          <w:tcPr>
            <w:tcW w:w="6061" w:type="dxa"/>
            <w:shd w:val="clear" w:color="auto" w:fill="C6EFCE"/>
            <w:noWrap/>
          </w:tcPr>
          <w:p w14:paraId="5D8ADA9C" w14:textId="77777777" w:rsidR="00D65CB4" w:rsidRPr="00BC4EE7" w:rsidRDefault="00572307">
            <w:pPr>
              <w:spacing w:after="0" w:line="240" w:lineRule="auto"/>
              <w:rPr>
                <w:rFonts w:ascii="Times New Roman" w:eastAsia="Symbol" w:hAnsi="Times New Roman" w:cs="Times New Roman"/>
                <w:noProof/>
                <w:sz w:val="18"/>
              </w:rPr>
            </w:pPr>
            <w:r w:rsidRPr="00BC4EE7">
              <w:rPr>
                <w:rFonts w:ascii="Times New Roman" w:hAnsi="Times New Roman" w:cs="Times New Roman"/>
                <w:noProof/>
                <w:sz w:val="18"/>
              </w:rPr>
              <w:t>Az alábbi tervezési, jogalkotási és szabályozási reformok elfogadása és hatálybalépése az energiatárolási megoldások fejlesztésének előmozdítása érdekében:</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az energiatárolási stratégia jóváhagyása a Miniszterek Tanácsának ülésén azzal a céllal, hogy a stratégiában foglalt 10 cselekvési irányvonalba csoportosított 66 egyedi intézkedés révén előmozdítsa az energiatárolás kiépítését. A cél az, hogy 2030-ra 20 GW, 2050-ra pedig 30 GW energiatárolás álljon rendelkezésre; </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b) Az 1183/2020. sz. királyi rendelet Hivatalos Lapjában való közzététele a tárolólétesítmények hálózati hozzáférésének szabályozása érdekében.</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a </w:t>
            </w:r>
            <w:r w:rsidRPr="00BC4EE7">
              <w:rPr>
                <w:rFonts w:ascii="Times New Roman" w:hAnsi="Times New Roman" w:cs="Times New Roman"/>
                <w:i/>
                <w:noProof/>
                <w:sz w:val="18"/>
              </w:rPr>
              <w:t>Comisión Nacional de los Mercados y la Competencia</w:t>
            </w:r>
            <w:r w:rsidRPr="00BC4EE7">
              <w:rPr>
                <w:rFonts w:ascii="Times New Roman" w:hAnsi="Times New Roman" w:cs="Times New Roman"/>
                <w:noProof/>
                <w:sz w:val="18"/>
              </w:rPr>
              <w:t xml:space="preserve"> által közzétett 1/2021. sz. körlevél a villamosenergia-termelő létesítmények átviteli és elosztóhálózataihoz való hozzáférésre és az azokhoz való csatlakozásra vonatkozó módszertan és feltételek meghatározása céljából. </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az energiatároló létesítmények kiegészítő szolgáltatások nyújtásában való részvételének szabályozásáról szóló, 2020. december 10-i állásfoglalás Hivatalos Lapban való közzététele</w:t>
            </w:r>
          </w:p>
        </w:tc>
      </w:tr>
      <w:tr w:rsidR="00D65CB4" w:rsidRPr="00BC4EE7" w14:paraId="758CECA4" w14:textId="77777777" w:rsidTr="00481CF8">
        <w:trPr>
          <w:trHeight w:val="309"/>
        </w:trPr>
        <w:tc>
          <w:tcPr>
            <w:tcW w:w="833" w:type="dxa"/>
            <w:shd w:val="clear" w:color="auto" w:fill="C6EFCE"/>
            <w:noWrap/>
          </w:tcPr>
          <w:p w14:paraId="19FCCF4E"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123</w:t>
            </w:r>
          </w:p>
        </w:tc>
        <w:tc>
          <w:tcPr>
            <w:tcW w:w="1011" w:type="dxa"/>
            <w:shd w:val="clear" w:color="auto" w:fill="C6EFCE"/>
            <w:noWrap/>
          </w:tcPr>
          <w:p w14:paraId="2142BC9D"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C8.R3</w:t>
            </w:r>
          </w:p>
        </w:tc>
        <w:tc>
          <w:tcPr>
            <w:tcW w:w="992" w:type="dxa"/>
            <w:shd w:val="clear" w:color="auto" w:fill="C6EFCE"/>
            <w:noWrap/>
          </w:tcPr>
          <w:p w14:paraId="25E36A0E"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M</w:t>
            </w:r>
          </w:p>
        </w:tc>
        <w:tc>
          <w:tcPr>
            <w:tcW w:w="1843" w:type="dxa"/>
            <w:shd w:val="clear" w:color="auto" w:fill="C6EFCE"/>
            <w:noWrap/>
          </w:tcPr>
          <w:p w14:paraId="6E675971"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A rugalmasság és a keresletoldali válasz integrálását célzó szabályozási intézkedések hatálybalépése.</w:t>
            </w:r>
          </w:p>
        </w:tc>
        <w:tc>
          <w:tcPr>
            <w:tcW w:w="1258" w:type="dxa"/>
            <w:shd w:val="clear" w:color="auto" w:fill="C6EFCE"/>
            <w:noWrap/>
          </w:tcPr>
          <w:p w14:paraId="0020148A"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A hatályba lépésre vonatkozó törvényi és rendeleti intézkedések rendelkezései</w:t>
            </w:r>
          </w:p>
        </w:tc>
        <w:tc>
          <w:tcPr>
            <w:tcW w:w="829" w:type="dxa"/>
            <w:shd w:val="clear" w:color="auto" w:fill="C6EFCE"/>
            <w:noWrap/>
          </w:tcPr>
          <w:p w14:paraId="74B8AB3B" w14:textId="77777777" w:rsidR="00D65CB4" w:rsidRPr="00BC4EE7" w:rsidRDefault="00572307">
            <w:pPr>
              <w:pStyle w:val="P68B1DB1-Normal12"/>
              <w:spacing w:after="0" w:line="240" w:lineRule="auto"/>
              <w:jc w:val="right"/>
              <w:rPr>
                <w:rFonts w:eastAsia="Symbol" w:cs="Times New Roman"/>
                <w:noProof/>
              </w:rPr>
            </w:pPr>
            <w:r w:rsidRPr="00BC4EE7">
              <w:rPr>
                <w:rFonts w:cs="Times New Roman"/>
                <w:noProof/>
              </w:rPr>
              <w:t xml:space="preserve"> </w:t>
            </w:r>
          </w:p>
        </w:tc>
        <w:tc>
          <w:tcPr>
            <w:tcW w:w="966" w:type="dxa"/>
            <w:shd w:val="clear" w:color="auto" w:fill="C6EFCE"/>
            <w:noWrap/>
          </w:tcPr>
          <w:p w14:paraId="75DBCBFA" w14:textId="77777777" w:rsidR="00D65CB4" w:rsidRPr="00BC4EE7" w:rsidRDefault="00572307">
            <w:pPr>
              <w:pStyle w:val="P68B1DB1-Normal12"/>
              <w:spacing w:after="0" w:line="240" w:lineRule="auto"/>
              <w:jc w:val="right"/>
              <w:rPr>
                <w:rFonts w:eastAsia="Symbol" w:cs="Times New Roman"/>
                <w:noProof/>
              </w:rPr>
            </w:pPr>
            <w:r w:rsidRPr="00BC4EE7">
              <w:rPr>
                <w:rFonts w:cs="Times New Roman"/>
                <w:noProof/>
              </w:rPr>
              <w:t xml:space="preserve"> </w:t>
            </w:r>
          </w:p>
        </w:tc>
        <w:tc>
          <w:tcPr>
            <w:tcW w:w="553" w:type="dxa"/>
            <w:shd w:val="clear" w:color="auto" w:fill="C6EFCE"/>
            <w:noWrap/>
          </w:tcPr>
          <w:p w14:paraId="0E165042" w14:textId="77777777" w:rsidR="00D65CB4" w:rsidRPr="00BC4EE7" w:rsidRDefault="00572307">
            <w:pPr>
              <w:pStyle w:val="P68B1DB1-Normal12"/>
              <w:spacing w:after="0" w:line="240" w:lineRule="auto"/>
              <w:jc w:val="right"/>
              <w:rPr>
                <w:rFonts w:eastAsia="Symbol" w:cs="Times New Roman"/>
                <w:noProof/>
              </w:rPr>
            </w:pPr>
            <w:r w:rsidRPr="00BC4EE7">
              <w:rPr>
                <w:rFonts w:cs="Times New Roman"/>
                <w:noProof/>
              </w:rPr>
              <w:t xml:space="preserve"> </w:t>
            </w:r>
          </w:p>
        </w:tc>
        <w:tc>
          <w:tcPr>
            <w:tcW w:w="553" w:type="dxa"/>
            <w:shd w:val="clear" w:color="auto" w:fill="C6EFCE"/>
            <w:noWrap/>
          </w:tcPr>
          <w:p w14:paraId="39C43906"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Q4</w:t>
            </w:r>
          </w:p>
        </w:tc>
        <w:tc>
          <w:tcPr>
            <w:tcW w:w="553" w:type="dxa"/>
            <w:shd w:val="clear" w:color="auto" w:fill="C6EFCE"/>
            <w:noWrap/>
          </w:tcPr>
          <w:p w14:paraId="4A7F294E"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2023</w:t>
            </w:r>
          </w:p>
        </w:tc>
        <w:tc>
          <w:tcPr>
            <w:tcW w:w="6061" w:type="dxa"/>
            <w:shd w:val="clear" w:color="auto" w:fill="C6EFCE"/>
            <w:noWrap/>
          </w:tcPr>
          <w:p w14:paraId="54B6299E" w14:textId="77777777" w:rsidR="00D65CB4" w:rsidRPr="00BC4EE7" w:rsidRDefault="00572307">
            <w:pPr>
              <w:spacing w:after="0" w:line="240" w:lineRule="auto"/>
              <w:rPr>
                <w:rFonts w:ascii="Times New Roman" w:eastAsia="Symbol" w:hAnsi="Times New Roman" w:cs="Times New Roman"/>
                <w:noProof/>
                <w:sz w:val="18"/>
              </w:rPr>
            </w:pPr>
            <w:r w:rsidRPr="00BC4EE7">
              <w:rPr>
                <w:rFonts w:ascii="Times New Roman" w:hAnsi="Times New Roman" w:cs="Times New Roman"/>
                <w:noProof/>
                <w:sz w:val="18"/>
              </w:rPr>
              <w:t>A rugalmasság és a keresletoldali válasz integrálását szolgáló szabályozási keret kidolgozása a következő intézkedések révén:</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a </w:t>
            </w:r>
            <w:r w:rsidRPr="00BC4EE7">
              <w:rPr>
                <w:rFonts w:ascii="Times New Roman" w:hAnsi="Times New Roman" w:cs="Times New Roman"/>
                <w:i/>
                <w:noProof/>
                <w:sz w:val="18"/>
              </w:rPr>
              <w:t>Comisión Nacional de los Mercados y la Competencia</w:t>
            </w:r>
            <w:r w:rsidRPr="00BC4EE7">
              <w:rPr>
                <w:rFonts w:ascii="Times New Roman" w:hAnsi="Times New Roman" w:cs="Times New Roman"/>
                <w:noProof/>
                <w:sz w:val="18"/>
              </w:rPr>
              <w:t xml:space="preserve"> 2020. december 10-i határozatának közzététele, amely bizonyos működési eljárásokat a mérlegszolgáltatásokban való részvétel céljából kiigazít.</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az (EU) 2019/944 irányelvet teljes mértékben átültető jogszabályok elfogadása </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C) Az RDL23/2020 elfogadása a független aggregátori státusz létrehozása érdekében</w:t>
            </w:r>
          </w:p>
        </w:tc>
      </w:tr>
      <w:tr w:rsidR="00D65CB4" w:rsidRPr="00BC4EE7" w14:paraId="7A1B5EE6" w14:textId="77777777" w:rsidTr="00481CF8">
        <w:trPr>
          <w:trHeight w:val="309"/>
        </w:trPr>
        <w:tc>
          <w:tcPr>
            <w:tcW w:w="833" w:type="dxa"/>
            <w:shd w:val="clear" w:color="auto" w:fill="C6EFCE"/>
            <w:noWrap/>
          </w:tcPr>
          <w:p w14:paraId="307C2F63"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124</w:t>
            </w:r>
          </w:p>
        </w:tc>
        <w:tc>
          <w:tcPr>
            <w:tcW w:w="1011" w:type="dxa"/>
            <w:shd w:val="clear" w:color="auto" w:fill="C6EFCE"/>
            <w:noWrap/>
          </w:tcPr>
          <w:p w14:paraId="529615EE"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C8.R4</w:t>
            </w:r>
          </w:p>
        </w:tc>
        <w:tc>
          <w:tcPr>
            <w:tcW w:w="992" w:type="dxa"/>
            <w:shd w:val="clear" w:color="auto" w:fill="C6EFCE"/>
            <w:noWrap/>
          </w:tcPr>
          <w:p w14:paraId="668F19A2"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M</w:t>
            </w:r>
          </w:p>
        </w:tc>
        <w:tc>
          <w:tcPr>
            <w:tcW w:w="1843" w:type="dxa"/>
            <w:shd w:val="clear" w:color="auto" w:fill="C6EFCE"/>
            <w:noWrap/>
          </w:tcPr>
          <w:p w14:paraId="4F417C56"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A villamosenergia-ágazatban a kutatást és az innovációt előmozdító szabályozói tesztkörnyezetek előmozdítását célzó intézkedések hatálybalépése.</w:t>
            </w:r>
          </w:p>
        </w:tc>
        <w:tc>
          <w:tcPr>
            <w:tcW w:w="1258" w:type="dxa"/>
            <w:shd w:val="clear" w:color="auto" w:fill="C6EFCE"/>
            <w:noWrap/>
          </w:tcPr>
          <w:p w14:paraId="1B051689"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A hatálybalépésről szóló királyi rendelet rendelkezései</w:t>
            </w:r>
          </w:p>
        </w:tc>
        <w:tc>
          <w:tcPr>
            <w:tcW w:w="829" w:type="dxa"/>
            <w:shd w:val="clear" w:color="auto" w:fill="C6EFCE"/>
            <w:noWrap/>
          </w:tcPr>
          <w:p w14:paraId="4FC280CF" w14:textId="77777777" w:rsidR="00D65CB4" w:rsidRPr="00BC4EE7" w:rsidRDefault="00572307">
            <w:pPr>
              <w:pStyle w:val="P68B1DB1-Normal12"/>
              <w:spacing w:after="0" w:line="240" w:lineRule="auto"/>
              <w:jc w:val="right"/>
              <w:rPr>
                <w:rFonts w:eastAsia="Symbol" w:cs="Times New Roman"/>
                <w:noProof/>
              </w:rPr>
            </w:pPr>
            <w:r w:rsidRPr="00BC4EE7">
              <w:rPr>
                <w:rFonts w:cs="Times New Roman"/>
                <w:noProof/>
              </w:rPr>
              <w:t xml:space="preserve"> </w:t>
            </w:r>
          </w:p>
        </w:tc>
        <w:tc>
          <w:tcPr>
            <w:tcW w:w="966" w:type="dxa"/>
            <w:shd w:val="clear" w:color="auto" w:fill="C6EFCE"/>
            <w:noWrap/>
          </w:tcPr>
          <w:p w14:paraId="34F22BBF" w14:textId="77777777" w:rsidR="00D65CB4" w:rsidRPr="00BC4EE7" w:rsidRDefault="00572307">
            <w:pPr>
              <w:pStyle w:val="P68B1DB1-Normal12"/>
              <w:spacing w:after="0" w:line="240" w:lineRule="auto"/>
              <w:jc w:val="right"/>
              <w:rPr>
                <w:rFonts w:eastAsia="Symbol" w:cs="Times New Roman"/>
                <w:noProof/>
              </w:rPr>
            </w:pPr>
            <w:r w:rsidRPr="00BC4EE7">
              <w:rPr>
                <w:rFonts w:cs="Times New Roman"/>
                <w:noProof/>
              </w:rPr>
              <w:t xml:space="preserve"> </w:t>
            </w:r>
          </w:p>
        </w:tc>
        <w:tc>
          <w:tcPr>
            <w:tcW w:w="553" w:type="dxa"/>
            <w:shd w:val="clear" w:color="auto" w:fill="C6EFCE"/>
            <w:noWrap/>
          </w:tcPr>
          <w:p w14:paraId="523978C1" w14:textId="77777777" w:rsidR="00D65CB4" w:rsidRPr="00BC4EE7" w:rsidRDefault="00572307">
            <w:pPr>
              <w:pStyle w:val="P68B1DB1-Normal12"/>
              <w:spacing w:after="0" w:line="240" w:lineRule="auto"/>
              <w:jc w:val="right"/>
              <w:rPr>
                <w:rFonts w:eastAsia="Symbol" w:cs="Times New Roman"/>
                <w:noProof/>
              </w:rPr>
            </w:pPr>
            <w:r w:rsidRPr="00BC4EE7">
              <w:rPr>
                <w:rFonts w:cs="Times New Roman"/>
                <w:noProof/>
              </w:rPr>
              <w:t xml:space="preserve"> </w:t>
            </w:r>
          </w:p>
        </w:tc>
        <w:tc>
          <w:tcPr>
            <w:tcW w:w="553" w:type="dxa"/>
            <w:shd w:val="clear" w:color="auto" w:fill="C6EFCE"/>
            <w:noWrap/>
          </w:tcPr>
          <w:p w14:paraId="0A241AD9"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Q2</w:t>
            </w:r>
          </w:p>
        </w:tc>
        <w:tc>
          <w:tcPr>
            <w:tcW w:w="553" w:type="dxa"/>
            <w:shd w:val="clear" w:color="auto" w:fill="C6EFCE"/>
            <w:noWrap/>
          </w:tcPr>
          <w:p w14:paraId="28553E30"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2022</w:t>
            </w:r>
          </w:p>
        </w:tc>
        <w:tc>
          <w:tcPr>
            <w:tcW w:w="6061" w:type="dxa"/>
            <w:shd w:val="clear" w:color="auto" w:fill="C6EFCE"/>
            <w:noWrap/>
          </w:tcPr>
          <w:p w14:paraId="27BED47E" w14:textId="77777777" w:rsidR="00D65CB4" w:rsidRPr="00BC4EE7" w:rsidRDefault="00572307">
            <w:pPr>
              <w:spacing w:after="0" w:line="240" w:lineRule="auto"/>
              <w:rPr>
                <w:rFonts w:ascii="Times New Roman" w:eastAsia="Symbol" w:hAnsi="Times New Roman" w:cs="Times New Roman"/>
                <w:noProof/>
                <w:sz w:val="18"/>
              </w:rPr>
            </w:pPr>
            <w:r w:rsidRPr="00BC4EE7">
              <w:rPr>
                <w:rFonts w:ascii="Times New Roman" w:hAnsi="Times New Roman" w:cs="Times New Roman"/>
                <w:noProof/>
                <w:sz w:val="18"/>
              </w:rPr>
              <w:t>A szabályozói tesztkörnyezetek fejlesztéséről szóló királyi rendelet közzététele és hatálybalépése új kísérleti projektek kidolgozásának lehetővé tétele érdekében, a villamosenergia-ágazatban a kutatás és az innováció előmozdítása céljából.</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 jogszabálynak lehetővé kell tennie az ipar számára, hogy a rugalmassággal, a keresletoldali válaszintézkedésekkel és az energiatárolással kapcsolatos új technológiákat, rendszereket és szolgáltatásokat olyan biztonságos és kedvező térben tesztelje, ahol az érdekelt felek anélkül tapasztalhatják meg az innovatív megoldásokat, hogy a hatályos szabályozási követelmények hatálya alá tartoznának. Emellett kétirányú szabályozási párbeszédet kell biztosítani az igazgatás és a szabályozó között, amely felgyorsítja és megkönnyíti a meglévő szabályozások felülvizsgálatát, és biztosítja azokat az új ügynökök piacra lépéséhez, ösztönözve az induló technológiai vállalkozások létrehozását azáltal, hogy lehetőséget biztosít számukra üzleti modelljeik tesztelésére.</w:t>
            </w:r>
          </w:p>
        </w:tc>
      </w:tr>
      <w:tr w:rsidR="00D65CB4" w:rsidRPr="00BC4EE7" w14:paraId="04519AEA" w14:textId="77777777" w:rsidTr="00481CF8">
        <w:trPr>
          <w:trHeight w:val="309"/>
        </w:trPr>
        <w:tc>
          <w:tcPr>
            <w:tcW w:w="833" w:type="dxa"/>
            <w:shd w:val="clear" w:color="auto" w:fill="C6EFCE"/>
            <w:noWrap/>
          </w:tcPr>
          <w:p w14:paraId="6F5FA94C"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125</w:t>
            </w:r>
          </w:p>
        </w:tc>
        <w:tc>
          <w:tcPr>
            <w:tcW w:w="1011" w:type="dxa"/>
            <w:shd w:val="clear" w:color="auto" w:fill="C6EFCE"/>
            <w:noWrap/>
          </w:tcPr>
          <w:p w14:paraId="06D58454"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C8.I1</w:t>
            </w:r>
          </w:p>
        </w:tc>
        <w:tc>
          <w:tcPr>
            <w:tcW w:w="992" w:type="dxa"/>
            <w:shd w:val="clear" w:color="auto" w:fill="C6EFCE"/>
            <w:noWrap/>
          </w:tcPr>
          <w:p w14:paraId="5AB88429"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T</w:t>
            </w:r>
          </w:p>
        </w:tc>
        <w:tc>
          <w:tcPr>
            <w:tcW w:w="1843" w:type="dxa"/>
            <w:shd w:val="clear" w:color="auto" w:fill="C6EFCE"/>
            <w:noWrap/>
          </w:tcPr>
          <w:p w14:paraId="5F91E240"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Odaítélt innovatív tárolási projektek</w:t>
            </w:r>
          </w:p>
        </w:tc>
        <w:tc>
          <w:tcPr>
            <w:tcW w:w="1258" w:type="dxa"/>
            <w:shd w:val="clear" w:color="auto" w:fill="C6EFCE"/>
            <w:noWrap/>
          </w:tcPr>
          <w:p w14:paraId="798B00B3"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w:t>
            </w:r>
          </w:p>
        </w:tc>
        <w:tc>
          <w:tcPr>
            <w:tcW w:w="829" w:type="dxa"/>
            <w:shd w:val="clear" w:color="auto" w:fill="C6EFCE"/>
            <w:noWrap/>
          </w:tcPr>
          <w:p w14:paraId="17063D6C"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Szám</w:t>
            </w:r>
          </w:p>
        </w:tc>
        <w:tc>
          <w:tcPr>
            <w:tcW w:w="966" w:type="dxa"/>
            <w:shd w:val="clear" w:color="auto" w:fill="C6EFCE"/>
            <w:noWrap/>
          </w:tcPr>
          <w:p w14:paraId="69740B58"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0</w:t>
            </w:r>
          </w:p>
        </w:tc>
        <w:tc>
          <w:tcPr>
            <w:tcW w:w="553" w:type="dxa"/>
            <w:shd w:val="clear" w:color="auto" w:fill="C6EFCE"/>
            <w:noWrap/>
          </w:tcPr>
          <w:p w14:paraId="76DB90EB"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5</w:t>
            </w:r>
          </w:p>
        </w:tc>
        <w:tc>
          <w:tcPr>
            <w:tcW w:w="553" w:type="dxa"/>
            <w:shd w:val="clear" w:color="auto" w:fill="C6EFCE"/>
            <w:noWrap/>
          </w:tcPr>
          <w:p w14:paraId="7F6BA4A9"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Q4</w:t>
            </w:r>
          </w:p>
        </w:tc>
        <w:tc>
          <w:tcPr>
            <w:tcW w:w="553" w:type="dxa"/>
            <w:shd w:val="clear" w:color="auto" w:fill="C6EFCE"/>
            <w:noWrap/>
          </w:tcPr>
          <w:p w14:paraId="49683A13"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2023</w:t>
            </w:r>
          </w:p>
        </w:tc>
        <w:tc>
          <w:tcPr>
            <w:tcW w:w="6061" w:type="dxa"/>
            <w:shd w:val="clear" w:color="auto" w:fill="C6EFCE"/>
            <w:noWrap/>
          </w:tcPr>
          <w:p w14:paraId="1AEA4272" w14:textId="0C42E2D5" w:rsidR="00D65CB4" w:rsidRPr="00BC4EE7" w:rsidRDefault="00572307">
            <w:pPr>
              <w:pStyle w:val="P68B1DB1-Normal12"/>
              <w:spacing w:after="0" w:line="240" w:lineRule="auto"/>
              <w:rPr>
                <w:rFonts w:eastAsia="Symbol" w:cs="Times New Roman"/>
                <w:noProof/>
              </w:rPr>
            </w:pPr>
            <w:r w:rsidRPr="00BC4EE7">
              <w:rPr>
                <w:rFonts w:cs="Times New Roman"/>
                <w:noProof/>
              </w:rPr>
              <w:t>Legalább öt innovatív tárolási projekt, amelyek legalább 660 MW összesített beépített kapacitásnak vagy ezzel egyenértékű teljes energiaellátásnak (MWh) felelnek meg.</w:t>
            </w:r>
          </w:p>
        </w:tc>
      </w:tr>
      <w:tr w:rsidR="00D65CB4" w:rsidRPr="00BC4EE7" w14:paraId="45A4480E" w14:textId="77777777" w:rsidTr="00481CF8">
        <w:trPr>
          <w:trHeight w:val="309"/>
        </w:trPr>
        <w:tc>
          <w:tcPr>
            <w:tcW w:w="833" w:type="dxa"/>
            <w:shd w:val="clear" w:color="auto" w:fill="C6EFCE"/>
            <w:noWrap/>
          </w:tcPr>
          <w:p w14:paraId="29CB5CC8"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126</w:t>
            </w:r>
          </w:p>
        </w:tc>
        <w:tc>
          <w:tcPr>
            <w:tcW w:w="1011" w:type="dxa"/>
            <w:shd w:val="clear" w:color="auto" w:fill="C6EFCE"/>
            <w:noWrap/>
          </w:tcPr>
          <w:p w14:paraId="3FC33339"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C8.I1</w:t>
            </w:r>
          </w:p>
        </w:tc>
        <w:tc>
          <w:tcPr>
            <w:tcW w:w="992" w:type="dxa"/>
            <w:shd w:val="clear" w:color="auto" w:fill="C6EFCE"/>
            <w:noWrap/>
          </w:tcPr>
          <w:p w14:paraId="18E03913"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T</w:t>
            </w:r>
          </w:p>
        </w:tc>
        <w:tc>
          <w:tcPr>
            <w:tcW w:w="1843" w:type="dxa"/>
            <w:shd w:val="clear" w:color="auto" w:fill="C6EFCE"/>
            <w:noWrap/>
          </w:tcPr>
          <w:p w14:paraId="27F78DE3"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 xml:space="preserve">Innovatív tárolási projektek működőképesek </w:t>
            </w:r>
          </w:p>
        </w:tc>
        <w:tc>
          <w:tcPr>
            <w:tcW w:w="1258" w:type="dxa"/>
            <w:shd w:val="clear" w:color="auto" w:fill="C6EFCE"/>
            <w:noWrap/>
          </w:tcPr>
          <w:p w14:paraId="781E6FF2"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w:t>
            </w:r>
          </w:p>
        </w:tc>
        <w:tc>
          <w:tcPr>
            <w:tcW w:w="829" w:type="dxa"/>
            <w:shd w:val="clear" w:color="auto" w:fill="C6EFCE"/>
            <w:noWrap/>
          </w:tcPr>
          <w:p w14:paraId="5FDC705A"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Szám</w:t>
            </w:r>
          </w:p>
        </w:tc>
        <w:tc>
          <w:tcPr>
            <w:tcW w:w="966" w:type="dxa"/>
            <w:shd w:val="clear" w:color="auto" w:fill="C6EFCE"/>
            <w:noWrap/>
          </w:tcPr>
          <w:p w14:paraId="22BA10F0"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0</w:t>
            </w:r>
          </w:p>
        </w:tc>
        <w:tc>
          <w:tcPr>
            <w:tcW w:w="553" w:type="dxa"/>
            <w:shd w:val="clear" w:color="auto" w:fill="C6EFCE"/>
            <w:noWrap/>
          </w:tcPr>
          <w:p w14:paraId="729DE7E4"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5</w:t>
            </w:r>
          </w:p>
        </w:tc>
        <w:tc>
          <w:tcPr>
            <w:tcW w:w="553" w:type="dxa"/>
            <w:shd w:val="clear" w:color="auto" w:fill="C6EFCE"/>
            <w:noWrap/>
          </w:tcPr>
          <w:p w14:paraId="7E7AE58A"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Q2</w:t>
            </w:r>
          </w:p>
        </w:tc>
        <w:tc>
          <w:tcPr>
            <w:tcW w:w="553" w:type="dxa"/>
            <w:shd w:val="clear" w:color="auto" w:fill="C6EFCE"/>
            <w:noWrap/>
          </w:tcPr>
          <w:p w14:paraId="591965C3"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2026</w:t>
            </w:r>
          </w:p>
        </w:tc>
        <w:tc>
          <w:tcPr>
            <w:tcW w:w="6061" w:type="dxa"/>
            <w:shd w:val="clear" w:color="auto" w:fill="C6EFCE"/>
            <w:noWrap/>
          </w:tcPr>
          <w:p w14:paraId="1A697520" w14:textId="7D04B1BC" w:rsidR="00D65CB4" w:rsidRPr="00BC4EE7" w:rsidRDefault="00572307">
            <w:pPr>
              <w:pStyle w:val="P68B1DB1-Normal12"/>
              <w:spacing w:after="0" w:line="240" w:lineRule="auto"/>
              <w:rPr>
                <w:rFonts w:eastAsia="Symbol" w:cs="Times New Roman"/>
                <w:noProof/>
              </w:rPr>
            </w:pPr>
            <w:r w:rsidRPr="00BC4EE7">
              <w:rPr>
                <w:rFonts w:cs="Times New Roman"/>
                <w:noProof/>
              </w:rPr>
              <w:t>Legalább öt innovatív tárolási projekt működik, amelyek legalább 660 MW összesített beépített kapacitással vagy ezzel egyenértékű teljes energiaellátással (MWh) egyenértékűek.</w:t>
            </w:r>
          </w:p>
        </w:tc>
      </w:tr>
      <w:tr w:rsidR="00D65CB4" w:rsidRPr="00BC4EE7" w14:paraId="5B483695" w14:textId="77777777" w:rsidTr="00481CF8">
        <w:trPr>
          <w:trHeight w:val="309"/>
        </w:trPr>
        <w:tc>
          <w:tcPr>
            <w:tcW w:w="833" w:type="dxa"/>
            <w:shd w:val="clear" w:color="auto" w:fill="C6EFCE"/>
            <w:noWrap/>
          </w:tcPr>
          <w:p w14:paraId="1D66412A"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127</w:t>
            </w:r>
          </w:p>
        </w:tc>
        <w:tc>
          <w:tcPr>
            <w:tcW w:w="1011" w:type="dxa"/>
            <w:shd w:val="clear" w:color="auto" w:fill="C6EFCE"/>
            <w:noWrap/>
          </w:tcPr>
          <w:p w14:paraId="7CB14AB8"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C8.I2.</w:t>
            </w:r>
          </w:p>
        </w:tc>
        <w:tc>
          <w:tcPr>
            <w:tcW w:w="992" w:type="dxa"/>
            <w:shd w:val="clear" w:color="auto" w:fill="C6EFCE"/>
            <w:noWrap/>
          </w:tcPr>
          <w:p w14:paraId="39FE3A95"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T</w:t>
            </w:r>
          </w:p>
        </w:tc>
        <w:tc>
          <w:tcPr>
            <w:tcW w:w="1843" w:type="dxa"/>
            <w:shd w:val="clear" w:color="auto" w:fill="C6EFCE"/>
            <w:noWrap/>
          </w:tcPr>
          <w:p w14:paraId="131AF0C6"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Innovatív digitalizációs projektek a villamosenergia-elosztás terén</w:t>
            </w:r>
          </w:p>
        </w:tc>
        <w:tc>
          <w:tcPr>
            <w:tcW w:w="1258" w:type="dxa"/>
            <w:shd w:val="clear" w:color="auto" w:fill="C6EFCE"/>
            <w:noWrap/>
          </w:tcPr>
          <w:p w14:paraId="6A595F49"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w:t>
            </w:r>
          </w:p>
        </w:tc>
        <w:tc>
          <w:tcPr>
            <w:tcW w:w="829" w:type="dxa"/>
            <w:shd w:val="clear" w:color="auto" w:fill="C6EFCE"/>
            <w:noWrap/>
          </w:tcPr>
          <w:p w14:paraId="5BE55C08"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Szám</w:t>
            </w:r>
          </w:p>
        </w:tc>
        <w:tc>
          <w:tcPr>
            <w:tcW w:w="966" w:type="dxa"/>
            <w:shd w:val="clear" w:color="auto" w:fill="C6EFCE"/>
            <w:noWrap/>
          </w:tcPr>
          <w:p w14:paraId="55C3BA76"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0</w:t>
            </w:r>
          </w:p>
        </w:tc>
        <w:tc>
          <w:tcPr>
            <w:tcW w:w="553" w:type="dxa"/>
            <w:shd w:val="clear" w:color="auto" w:fill="C6EFCE"/>
            <w:noWrap/>
          </w:tcPr>
          <w:p w14:paraId="491C6846"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35</w:t>
            </w:r>
          </w:p>
        </w:tc>
        <w:tc>
          <w:tcPr>
            <w:tcW w:w="553" w:type="dxa"/>
            <w:shd w:val="clear" w:color="auto" w:fill="C6EFCE"/>
            <w:noWrap/>
          </w:tcPr>
          <w:p w14:paraId="238BEE81"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Q4</w:t>
            </w:r>
          </w:p>
        </w:tc>
        <w:tc>
          <w:tcPr>
            <w:tcW w:w="553" w:type="dxa"/>
            <w:shd w:val="clear" w:color="auto" w:fill="C6EFCE"/>
            <w:noWrap/>
          </w:tcPr>
          <w:p w14:paraId="14D07E19"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2023</w:t>
            </w:r>
          </w:p>
        </w:tc>
        <w:tc>
          <w:tcPr>
            <w:tcW w:w="6061" w:type="dxa"/>
            <w:shd w:val="clear" w:color="auto" w:fill="C6EFCE"/>
            <w:noWrap/>
          </w:tcPr>
          <w:p w14:paraId="553A4548"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 xml:space="preserve">Legalább 35 innovatív digitalizációs projekt (beleértve a hálózat automatizálását), amelyeket elosztó vállalatoknak ítélnek oda a </w:t>
            </w:r>
            <w:r w:rsidRPr="00BC4EE7">
              <w:rPr>
                <w:rFonts w:cs="Times New Roman"/>
                <w:i/>
                <w:noProof/>
              </w:rPr>
              <w:t xml:space="preserve">Comisión Nacional de los Mercados y la Competencia 6/2019. sz. körlevelében meghatározott jellemzőkkel és fogalommeghatározásokkal összhangban. </w:t>
            </w:r>
          </w:p>
        </w:tc>
      </w:tr>
      <w:tr w:rsidR="00D65CB4" w:rsidRPr="00BC4EE7" w14:paraId="059216D8" w14:textId="77777777" w:rsidTr="00481CF8">
        <w:trPr>
          <w:trHeight w:val="309"/>
        </w:trPr>
        <w:tc>
          <w:tcPr>
            <w:tcW w:w="833" w:type="dxa"/>
            <w:shd w:val="clear" w:color="auto" w:fill="C6EFCE"/>
            <w:noWrap/>
          </w:tcPr>
          <w:p w14:paraId="2D965B08"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128</w:t>
            </w:r>
          </w:p>
        </w:tc>
        <w:tc>
          <w:tcPr>
            <w:tcW w:w="1011" w:type="dxa"/>
            <w:shd w:val="clear" w:color="auto" w:fill="C6EFCE"/>
            <w:noWrap/>
          </w:tcPr>
          <w:p w14:paraId="028AA18D"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C8.I3</w:t>
            </w:r>
          </w:p>
        </w:tc>
        <w:tc>
          <w:tcPr>
            <w:tcW w:w="992" w:type="dxa"/>
            <w:shd w:val="clear" w:color="auto" w:fill="C6EFCE"/>
            <w:noWrap/>
          </w:tcPr>
          <w:p w14:paraId="2691E9AB"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T</w:t>
            </w:r>
          </w:p>
        </w:tc>
        <w:tc>
          <w:tcPr>
            <w:tcW w:w="1843" w:type="dxa"/>
            <w:shd w:val="clear" w:color="auto" w:fill="C6EFCE"/>
            <w:noWrap/>
          </w:tcPr>
          <w:p w14:paraId="35733FA2"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Az energetikai átállás új üzleti modelljeinek előmozdítására irányuló projektek</w:t>
            </w:r>
          </w:p>
        </w:tc>
        <w:tc>
          <w:tcPr>
            <w:tcW w:w="1258" w:type="dxa"/>
            <w:shd w:val="clear" w:color="auto" w:fill="C6EFCE"/>
            <w:noWrap/>
          </w:tcPr>
          <w:p w14:paraId="541EC805"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w:t>
            </w:r>
          </w:p>
        </w:tc>
        <w:tc>
          <w:tcPr>
            <w:tcW w:w="829" w:type="dxa"/>
            <w:shd w:val="clear" w:color="auto" w:fill="C6EFCE"/>
            <w:noWrap/>
          </w:tcPr>
          <w:p w14:paraId="06746E3A"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Szám</w:t>
            </w:r>
          </w:p>
        </w:tc>
        <w:tc>
          <w:tcPr>
            <w:tcW w:w="966" w:type="dxa"/>
            <w:shd w:val="clear" w:color="auto" w:fill="C6EFCE"/>
            <w:noWrap/>
          </w:tcPr>
          <w:p w14:paraId="50BD7287"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0</w:t>
            </w:r>
          </w:p>
        </w:tc>
        <w:tc>
          <w:tcPr>
            <w:tcW w:w="553" w:type="dxa"/>
            <w:shd w:val="clear" w:color="auto" w:fill="C6EFCE"/>
            <w:noWrap/>
          </w:tcPr>
          <w:p w14:paraId="4818E51F"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18</w:t>
            </w:r>
          </w:p>
        </w:tc>
        <w:tc>
          <w:tcPr>
            <w:tcW w:w="553" w:type="dxa"/>
            <w:shd w:val="clear" w:color="auto" w:fill="C6EFCE"/>
            <w:noWrap/>
          </w:tcPr>
          <w:p w14:paraId="486814C6"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Q4</w:t>
            </w:r>
          </w:p>
        </w:tc>
        <w:tc>
          <w:tcPr>
            <w:tcW w:w="553" w:type="dxa"/>
            <w:shd w:val="clear" w:color="auto" w:fill="C6EFCE"/>
            <w:noWrap/>
          </w:tcPr>
          <w:p w14:paraId="45709DDA"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2023</w:t>
            </w:r>
          </w:p>
        </w:tc>
        <w:tc>
          <w:tcPr>
            <w:tcW w:w="6061" w:type="dxa"/>
            <w:shd w:val="clear" w:color="auto" w:fill="C6EFCE"/>
            <w:noWrap/>
          </w:tcPr>
          <w:p w14:paraId="53F8B662"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Legalább 18 projektet ítéltek oda, amelyek az energetikai átállás új üzleti modelljeit mozdítják elő, ideértve az intelligens fogyasztásmérést, a tárolást, a keresletoldali választ, a rugalmassági szolgáltatásokat és az adatokat.</w:t>
            </w:r>
          </w:p>
        </w:tc>
      </w:tr>
    </w:tbl>
    <w:p w14:paraId="5BE93A62" w14:textId="77777777" w:rsidR="00D65CB4" w:rsidRPr="00BC4EE7" w:rsidRDefault="00D65CB4">
      <w:pPr>
        <w:spacing w:before="120" w:after="120" w:line="240" w:lineRule="auto"/>
        <w:ind w:left="709"/>
        <w:jc w:val="both"/>
        <w:rPr>
          <w:rFonts w:ascii="Times New Roman" w:hAnsi="Times New Roman" w:cs="Times New Roman"/>
          <w:noProof/>
          <w:sz w:val="24"/>
        </w:rPr>
        <w:sectPr w:rsidR="00D65CB4" w:rsidRPr="00BC4EE7" w:rsidSect="00B511EF">
          <w:headerReference w:type="even" r:id="rId189"/>
          <w:headerReference w:type="default" r:id="rId190"/>
          <w:footerReference w:type="even" r:id="rId191"/>
          <w:footerReference w:type="default" r:id="rId192"/>
          <w:headerReference w:type="first" r:id="rId193"/>
          <w:footerReference w:type="first" r:id="rId194"/>
          <w:pgSz w:w="16839" w:h="11907" w:orient="landscape"/>
          <w:pgMar w:top="1134" w:right="1134" w:bottom="1134" w:left="1134" w:header="567" w:footer="567" w:gutter="0"/>
          <w:cols w:space="720"/>
          <w:docGrid w:linePitch="360"/>
        </w:sectPr>
      </w:pPr>
    </w:p>
    <w:p w14:paraId="26735E13" w14:textId="61E0CF78" w:rsidR="00D65CB4" w:rsidRPr="00BC4EE7" w:rsidRDefault="00572307">
      <w:pPr>
        <w:pStyle w:val="P68B1DB1-Heading12"/>
        <w:rPr>
          <w:rFonts w:cs="Times New Roman"/>
          <w:noProof/>
        </w:rPr>
      </w:pPr>
      <w:r w:rsidRPr="00BC4EE7">
        <w:rPr>
          <w:rFonts w:cs="Times New Roman"/>
          <w:noProof/>
        </w:rPr>
        <w:t>I. 9. KOMPONENS: Megújuló hidrogén</w:t>
      </w:r>
    </w:p>
    <w:p w14:paraId="288656AE" w14:textId="77777777" w:rsidR="00D65CB4" w:rsidRPr="00BC4EE7" w:rsidRDefault="00572307">
      <w:pPr>
        <w:pStyle w:val="P68B1DB1-Normal4"/>
        <w:spacing w:before="100" w:beforeAutospacing="1" w:after="120" w:line="240" w:lineRule="auto"/>
        <w:jc w:val="both"/>
        <w:rPr>
          <w:rFonts w:eastAsia="Symbol" w:cs="Times New Roman"/>
          <w:noProof/>
        </w:rPr>
      </w:pPr>
      <w:r w:rsidRPr="00BC4EE7">
        <w:rPr>
          <w:rFonts w:cs="Times New Roman"/>
          <w:noProof/>
        </w:rPr>
        <w:t>Spanyolország 2021–2030-as időszakra vonatkozó nemzeti energia- és klímaterve az 1990-es szinthez képest 23%-kal kívánja csökkenteni az üvegházhatásúgáz-kibocsátást. Ezzel összefüggésben a spanyol helyreállítási és rezilienciaépítési terv 9. komponensének fő célkitűzése a megújuló energián alapuló hidrogéntechnológiák fejlesztése:</w:t>
      </w:r>
    </w:p>
    <w:p w14:paraId="0D1E20E6" w14:textId="77777777" w:rsidR="00D65CB4" w:rsidRPr="00BC4EE7" w:rsidRDefault="00572307">
      <w:pPr>
        <w:pStyle w:val="P68B1DB1-Normal4"/>
        <w:numPr>
          <w:ilvl w:val="0"/>
          <w:numId w:val="103"/>
        </w:numPr>
        <w:spacing w:before="120" w:after="100" w:afterAutospacing="1" w:line="240" w:lineRule="auto"/>
        <w:ind w:left="714" w:hanging="357"/>
        <w:jc w:val="both"/>
        <w:rPr>
          <w:rFonts w:eastAsia="Symbol" w:cs="Times New Roman"/>
          <w:noProof/>
        </w:rPr>
      </w:pPr>
      <w:r w:rsidRPr="00BC4EE7">
        <w:rPr>
          <w:rFonts w:cs="Times New Roman"/>
          <w:noProof/>
        </w:rPr>
        <w:t>Energiatárolási eszközként a villamosenergia-kínálat és -kereslet közötti különbségek kezelése érdekében, rugalmasságot biztosítva a villamosenergia-rendszer számára.</w:t>
      </w:r>
    </w:p>
    <w:p w14:paraId="3D47ADF2" w14:textId="77777777" w:rsidR="00D65CB4" w:rsidRPr="00BC4EE7" w:rsidRDefault="00572307">
      <w:pPr>
        <w:pStyle w:val="P68B1DB1-Normal4"/>
        <w:numPr>
          <w:ilvl w:val="0"/>
          <w:numId w:val="103"/>
        </w:numPr>
        <w:spacing w:before="100" w:beforeAutospacing="1" w:after="100" w:afterAutospacing="1" w:line="240" w:lineRule="auto"/>
        <w:jc w:val="both"/>
        <w:rPr>
          <w:rFonts w:eastAsia="Symbol" w:cs="Times New Roman"/>
          <w:noProof/>
        </w:rPr>
      </w:pPr>
      <w:r w:rsidRPr="00BC4EE7">
        <w:rPr>
          <w:rFonts w:cs="Times New Roman"/>
          <w:noProof/>
        </w:rPr>
        <w:t>E technológiák fejlesztésének és megszilárdításának előmozdítása az ipari értéklánc mentén, mivel ezek a technológiák jelenleg nem állnak készen a piaci feltételek melletti működésre;</w:t>
      </w:r>
    </w:p>
    <w:p w14:paraId="42B5638D" w14:textId="77777777" w:rsidR="00D65CB4" w:rsidRPr="00BC4EE7" w:rsidRDefault="00572307">
      <w:pPr>
        <w:pStyle w:val="P68B1DB1-Normal4"/>
        <w:numPr>
          <w:ilvl w:val="0"/>
          <w:numId w:val="103"/>
        </w:numPr>
        <w:spacing w:before="100" w:beforeAutospacing="1" w:after="100" w:afterAutospacing="1" w:line="240" w:lineRule="auto"/>
        <w:jc w:val="both"/>
        <w:rPr>
          <w:rFonts w:eastAsia="Symbol" w:cs="Times New Roman"/>
          <w:noProof/>
        </w:rPr>
      </w:pPr>
      <w:r w:rsidRPr="00BC4EE7">
        <w:rPr>
          <w:rFonts w:cs="Times New Roman"/>
          <w:noProof/>
        </w:rPr>
        <w:t>A végfelhasználásba való integrációjuk támogatása, többek között a fosszilis alapú hidrogén ipari helyettesítése érdekében; és</w:t>
      </w:r>
    </w:p>
    <w:p w14:paraId="7330754E" w14:textId="77777777" w:rsidR="00D65CB4" w:rsidRPr="00BC4EE7" w:rsidRDefault="00572307">
      <w:pPr>
        <w:pStyle w:val="P68B1DB1-Normal4"/>
        <w:numPr>
          <w:ilvl w:val="0"/>
          <w:numId w:val="103"/>
        </w:numPr>
        <w:spacing w:before="100" w:beforeAutospacing="1" w:after="100" w:afterAutospacing="1" w:line="240" w:lineRule="auto"/>
        <w:jc w:val="both"/>
        <w:rPr>
          <w:rFonts w:eastAsia="Symbol" w:cs="Times New Roman"/>
          <w:noProof/>
        </w:rPr>
      </w:pPr>
      <w:r w:rsidRPr="00BC4EE7">
        <w:rPr>
          <w:rFonts w:cs="Times New Roman"/>
          <w:noProof/>
        </w:rPr>
        <w:t>A zöld készségek fejlesztése révén.</w:t>
      </w:r>
    </w:p>
    <w:p w14:paraId="4BF6AF04" w14:textId="77777777" w:rsidR="00D65CB4" w:rsidRPr="00BC4EE7" w:rsidRDefault="00572307">
      <w:pPr>
        <w:pStyle w:val="P68B1DB1-Normal4"/>
        <w:spacing w:before="120" w:after="120" w:line="240" w:lineRule="auto"/>
        <w:jc w:val="both"/>
        <w:rPr>
          <w:rFonts w:eastAsia="Symbol" w:cs="Times New Roman"/>
          <w:noProof/>
        </w:rPr>
      </w:pPr>
      <w:r w:rsidRPr="00BC4EE7">
        <w:rPr>
          <w:rFonts w:cs="Times New Roman"/>
          <w:noProof/>
        </w:rPr>
        <w:t>A spanyol helyreállítási és rezilienciaépítési terv ezen komponense az innovációs és energiahatékonysági beruházások előmozdítását célzó országspecifikus ajánlásokkal (2019. évi 3. országspecifikus ajánlás), valamint a zöld átállás előmozdításával foglalkozik (2020. évi 3. országspecifikus ajánlás).</w:t>
      </w:r>
    </w:p>
    <w:p w14:paraId="2842BC08" w14:textId="77777777" w:rsidR="00D65CB4" w:rsidRPr="00BC4EE7" w:rsidRDefault="00572307">
      <w:pPr>
        <w:pStyle w:val="P68B1DB1-Normal4"/>
        <w:spacing w:before="120" w:after="120" w:line="240" w:lineRule="auto"/>
        <w:jc w:val="both"/>
        <w:rPr>
          <w:rFonts w:eastAsia="Symbol" w:cs="Times New Roman"/>
          <w:noProof/>
        </w:rPr>
      </w:pPr>
      <w:r w:rsidRPr="00BC4EE7">
        <w:rPr>
          <w:rFonts w:cs="Times New Roman"/>
          <w:noProof/>
        </w:rPr>
        <w:t>A komponens a spanyol helyreállítási és rezilienciaépítési terv 1. és 6. komponensét (a hidrogén mobilitási és szállítási célokra való felhasználása), 7. komponensét (megújulóenergia-termelés) és 8. komponensét (tárolás és intelligens hálózatok) alátámasztó megújulóenergia-stratégia részét képezi.</w:t>
      </w:r>
    </w:p>
    <w:p w14:paraId="78BACA75" w14:textId="77777777" w:rsidR="00D65CB4" w:rsidRPr="00BC4EE7" w:rsidRDefault="00572307">
      <w:pPr>
        <w:pStyle w:val="P68B1DB1-Normal4"/>
        <w:spacing w:before="120" w:after="120" w:line="240" w:lineRule="auto"/>
        <w:jc w:val="both"/>
        <w:rPr>
          <w:rFonts w:eastAsia="Symbol" w:cs="Times New Roman"/>
          <w:noProof/>
        </w:rPr>
      </w:pPr>
      <w:r w:rsidRPr="00BC4EE7">
        <w:rPr>
          <w:rFonts w:cs="Times New Roman"/>
          <w:noProof/>
        </w:rPr>
        <w:t>A jelentős károkozás elkerülését célzó elvről szóló technikai iránymutatásnak (2021/C58/01) megfelelően a helyreállítási és rezilienciaépítési tervben meghatározott intézkedések leírását és a helyreállítási és rezilienciaépítési tervben meghatározott enyhítő lépéseket figyelembe véve ebben a komponensben várhatóan egyetlen intézkedés sem sérti jelentős mértékben az (EU) 2020/852 rendelet 17. cikke szerinti környezeti célkitűzéseket.</w:t>
      </w:r>
    </w:p>
    <w:p w14:paraId="4FF66529" w14:textId="77777777" w:rsidR="00D65CB4" w:rsidRPr="00BC4EE7" w:rsidRDefault="00572307">
      <w:pPr>
        <w:spacing w:before="120" w:after="120" w:line="240" w:lineRule="auto"/>
        <w:ind w:left="709"/>
        <w:jc w:val="both"/>
        <w:rPr>
          <w:rFonts w:ascii="Times New Roman" w:hAnsi="Times New Roman" w:cs="Times New Roman"/>
          <w:b/>
          <w:i/>
          <w:noProof/>
          <w:sz w:val="24"/>
        </w:rPr>
      </w:pPr>
      <w:r w:rsidRPr="00BC4EE7">
        <w:rPr>
          <w:rFonts w:ascii="Times New Roman" w:hAnsi="Times New Roman" w:cs="Times New Roman"/>
          <w:b/>
          <w:noProof/>
          <w:sz w:val="24"/>
          <w:u w:val="single"/>
        </w:rPr>
        <w:t xml:space="preserve">I.1.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Vissza nem térítendő pénzügyi támogatás – a reformok és beruházások ismertetése</w:t>
      </w:r>
    </w:p>
    <w:p w14:paraId="17D959E5"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Reform (C9.R1) – Hidrogén-ütemterv</w:t>
      </w:r>
    </w:p>
    <w:p w14:paraId="5C4CCA21"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Ez az intézkedés keretet biztosít a megújuló hidrogén fejlesztéséhez Spanyolországban (a továbbiakban: hidrogén-ütemterv). E célból meghatározza a 2030-ig elérendő célkitűzéseket az ágazatok (ipar és közlekedés) beépített kapacitása tekintetében. A hidrogénre vonatkozó ütemtervet a Miniszterek Tanácsa 2020 októberében hagyta jóvá. Az intézkedés konkrét eszközöket is meghatároz az ütemterv végrehajtásának támogatására azáltal, hogy biztosítja a hidrogénelektrolizátorok megújuló energiával való ellátását. A kapcsolódó szabályozási intézkedések magukban foglalják i. egy olyan szabályozási eszköz létrehozását, amely magában foglalja a megújuló gázokra, többek között a megújuló hidrogénre vonatkozó származási garanciákat kibocsátó nemzeti szervek kinevezését és irányítását; és ii. szabályozási mechanizmus, amely meghatározza a hidrogén megújuló eredetének ellenőrzését.</w:t>
      </w:r>
    </w:p>
    <w:p w14:paraId="25D44E01"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Ezt a reformot 2022. június 30-ig be kell fejezni.</w:t>
      </w:r>
    </w:p>
    <w:p w14:paraId="73F949A4" w14:textId="77777777" w:rsidR="00D65CB4" w:rsidRPr="00BC4EE7" w:rsidRDefault="00D65CB4">
      <w:pPr>
        <w:spacing w:before="120" w:after="120" w:line="240" w:lineRule="auto"/>
        <w:jc w:val="both"/>
        <w:rPr>
          <w:rFonts w:ascii="Times New Roman" w:hAnsi="Times New Roman" w:cs="Times New Roman"/>
          <w:noProof/>
          <w:sz w:val="24"/>
          <w:u w:val="single"/>
        </w:rPr>
        <w:sectPr w:rsidR="00D65CB4" w:rsidRPr="00BC4EE7" w:rsidSect="00B511EF">
          <w:headerReference w:type="even" r:id="rId195"/>
          <w:headerReference w:type="default" r:id="rId196"/>
          <w:footerReference w:type="even" r:id="rId197"/>
          <w:footerReference w:type="default" r:id="rId198"/>
          <w:headerReference w:type="first" r:id="rId199"/>
          <w:footerReference w:type="first" r:id="rId200"/>
          <w:pgSz w:w="11907" w:h="16839"/>
          <w:pgMar w:top="1134" w:right="1134" w:bottom="1134" w:left="1134" w:header="567" w:footer="567" w:gutter="0"/>
          <w:cols w:space="720"/>
          <w:docGrid w:linePitch="360"/>
        </w:sectPr>
      </w:pPr>
    </w:p>
    <w:p w14:paraId="39B5F0A4"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(C9.I1) – Megújuló hidrogén, országprojekt</w:t>
      </w:r>
    </w:p>
    <w:p w14:paraId="3F4F92E4"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Ezen intézkedés célja, hogy négy cselekvési irányvonal mentén hozzájáruljon a hidrogén-ütemterv végrehajtásához. </w:t>
      </w:r>
    </w:p>
    <w:p w14:paraId="1FFCBA85"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Az első a spanyolországi tudás- és innovatív értéklánc megerősítése, különös tekintettel a kkv-kra. E technológia korai technológiai készenléti szintje miatt ez az intézkedés legalább tíz kkv támogatását irányozza elő a meglévő spanyol értéklánc megerősítése és megerősítése érdekében az alábbi tevékenységek közül egy vagy több fejlesztésével: termelési képességek, készségek, versenyképesség, tudás- és technológiatranszfer és/vagy nemzetközi dimenzió. Az intézkedésnek emellett öt technológiai fejlesztésre vagy prototípusra (például elektrolizátorokra, kompresszorokra, tárolóhajókra, üzemanyagcellákra és H2-alapú közlekedési rendszerekre) is ki kell terjednie, beleértve az „első fajta”-t is, hogy támogassa a hidrogén előállításával, forgalmazásával vagy fogyasztásával kapcsolatos új, kibővített tervek vagy prototípusok validálását. Ezen túlmenően az intézkedésnek legalább tíz olyan beavatkozást kell magában foglalnia, amelyek célja a vizsgálati létesítmények fejlesztése vagy a hidrogénellátási láncon belüli kulcsfontosságú alaptechnológiák vagy rendszerek – például elektrolizátorok vagy üzemanyagcellák – új gyártósorainak megvalósítása. Ezek a következők: i. a K+F+I vizsgálati létesítmények vagy laboratóriumok és/vagy a kapcsolódó berendezések fejlesztése; vagy ii. a hidrogénnel és üzemanyagcellával kapcsolatos rendszerek, berendezések vagy alkatrészek gyártására szolgáló létesítmények és/vagy új berendezések (például szerszámgépek) beszerzésének javítása.</w:t>
      </w:r>
    </w:p>
    <w:p w14:paraId="43DBC220" w14:textId="1F89262B"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második cselekvési irányvonal két megújulóhidrogén-klaszter létrehozását célozza, amelyek integrálják a nagyléptékű termelést, feldolgozást és fogyasztást. E klaszterek legalább egyikének célja egy olyan nagy kapacitású megújuló hidrogén-elektrolizátor integrálása, amely közvetlenül a helyi ipari fogyasztóknak szolgáltat hidrogént. Az elektrolizátort megújuló villamos energiával kell beszerezni. Az így előállított hidrogént be kell építeni a vállalkozások ipari folyamataiba és ellátási láncaiba (beleértve az üzleti modellek átalakítását és a fosszilis alapú hidrogénfogyasztástól való elmozdítását) annak érdekében, hogy az éves fosszilis alapú hidrogénfogyasztásuk legalább 5%-át helyettesítsék. </w:t>
      </w:r>
    </w:p>
    <w:p w14:paraId="444CDF05"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harmadik cselekvési irányvonal arra számít, hogy több (legalább tíz) más, a klaszternél kisebb méretű úttörő projektben támogatni kell a hidrogén bevezetését. Ezeknek egyetlen ipari csomóponton túl is be kell vezetniük a megújuló hidrogént az olyan elszigetelt energiarendszerekbe, amelyek lehetővé teszik a megújuló hidrogén integrálását olyan területeken, mint a közlekedés. Ezek a beavatkozások várhatóan magukban foglalják a megújuló hidrogén előállítását, elosztását és fogyasztását, növelve a lefedettséget a spanyol terület különböző ágazataiban és részeiben.</w:t>
      </w:r>
    </w:p>
    <w:p w14:paraId="19FE883E" w14:textId="2AA8A10B"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Végezetül az intézkedés célja, hogy az uniós értéklánc kialakítására irányuló szélesebb körű uniós stratégia részeként előmozdítsa a hidrogént. Ennek eredményeként az intézkedés révén támogatott egyes vállalkozások – más tagállamok vállalkozásaival együtt – a hidrogénnel kapcsolatos, tervezett közös európai érdeket szolgáló fontos projektek részévé válhatnak, megfelelő keretre támaszkodva az Unión belüli együttműködéshez a nemzeti értékláncoknak a versenyképesség fokozása érdekében történő integrálása érdekében. </w:t>
      </w:r>
    </w:p>
    <w:p w14:paraId="2236E336" w14:textId="47E24862" w:rsidR="00D65CB4" w:rsidRPr="00BC4EE7" w:rsidRDefault="00572307">
      <w:pPr>
        <w:pStyle w:val="P68B1DB1-Normal4"/>
        <w:spacing w:before="120" w:after="120" w:line="240" w:lineRule="auto"/>
        <w:jc w:val="both"/>
        <w:rPr>
          <w:rFonts w:cs="Times New Roman"/>
          <w:noProof/>
        </w:rPr>
      </w:pPr>
      <w:r w:rsidRPr="00BC4EE7">
        <w:rPr>
          <w:rFonts w:cs="Times New Roman"/>
          <w:noProof/>
        </w:rPr>
        <w:t>Az összes elektrolizátor teljes engedélyezett termelési kapacitása a C9.I1. pont szerinti négy cselekvési irányvonal összevonásának eredményeként legalább 700 MW.</w:t>
      </w:r>
    </w:p>
    <w:p w14:paraId="54D9525F"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Az intézkedés várhatóan nem sérti jelentősen az (EU) 2020/852 rendelet 17. cikke szerinti környezetvédelmi célkitűzéseket, figyelembe véve az intézkedés leírását és a helyreállítási és rezilienciaépítési tervben meghatározott enyhítő lépéseket a jelentős károkozás elkerülését célzó elvről szóló technikai iránymutatásnak (2021/C58/01) megfelelően. A megújuló hidrogén integrálása különösen az ipari folyamatok villamosítását mozdítja elő.</w:t>
      </w:r>
    </w:p>
    <w:p w14:paraId="7DA19D38"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Az e beruházás keretében végrehajtott intézkedéseket 2026. június 30-ig be kell fejezni.</w:t>
      </w:r>
    </w:p>
    <w:p w14:paraId="43708E19" w14:textId="77777777" w:rsidR="00D65CB4" w:rsidRPr="00BC4EE7" w:rsidRDefault="00572307">
      <w:pPr>
        <w:spacing w:before="120" w:after="120" w:line="240" w:lineRule="auto"/>
        <w:ind w:left="709"/>
        <w:jc w:val="both"/>
        <w:rPr>
          <w:rFonts w:ascii="Times New Roman" w:hAnsi="Times New Roman" w:cs="Times New Roman"/>
          <w:b/>
          <w:noProof/>
          <w:sz w:val="24"/>
          <w:u w:val="single"/>
        </w:rPr>
      </w:pPr>
      <w:r w:rsidRPr="00BC4EE7">
        <w:rPr>
          <w:rFonts w:ascii="Times New Roman" w:hAnsi="Times New Roman" w:cs="Times New Roman"/>
          <w:b/>
          <w:noProof/>
          <w:sz w:val="24"/>
          <w:u w:val="single"/>
        </w:rPr>
        <w:t xml:space="preserve">I.2.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Vissza nem térítendő pénzügyi támogatás – a végrehajtáshoz és a nyomon követéshez kapcsolódó mérföldkövek, célok, mutatók és ütemterv</w:t>
      </w:r>
    </w:p>
    <w:p w14:paraId="411B07C8" w14:textId="77777777" w:rsidR="00D65CB4" w:rsidRPr="00BC4EE7" w:rsidRDefault="00572307">
      <w:pPr>
        <w:pStyle w:val="P68B1DB1-Normal4"/>
        <w:spacing w:before="120" w:after="120" w:line="240" w:lineRule="auto"/>
        <w:jc w:val="both"/>
        <w:rPr>
          <w:rFonts w:cs="Times New Roman"/>
          <w:noProof/>
        </w:rPr>
      </w:pPr>
      <w:r w:rsidRPr="00BC4EE7">
        <w:rPr>
          <w:rFonts w:cs="Times New Roman"/>
          <w:i/>
          <w:noProof/>
        </w:rPr>
        <w:t>Táblázat alább.</w:t>
      </w:r>
      <w:r w:rsidRPr="00BC4EE7">
        <w:rPr>
          <w:rFonts w:cs="Times New Roman"/>
          <w:noProof/>
        </w:rPr>
        <w:t xml:space="preserve"> </w:t>
      </w:r>
      <w:r w:rsidRPr="00BC4EE7">
        <w:rPr>
          <w:rFonts w:cs="Times New Roman"/>
          <w:i/>
          <w:noProof/>
        </w:rPr>
        <w:t>Az összes mutató esetében az alapforgatókönyv időpontja 2020. február 1., kivéve, ha az intézkedés leírása ettől eltérően rendelkezik. A táblázatban szereplő összegek nem tartalmazzák a héát.</w:t>
      </w:r>
    </w:p>
    <w:p w14:paraId="384BA73E" w14:textId="77777777" w:rsidR="00D65CB4" w:rsidRPr="00BC4EE7" w:rsidRDefault="00D65CB4">
      <w:pPr>
        <w:spacing w:before="120" w:after="120" w:line="240" w:lineRule="auto"/>
        <w:ind w:left="709"/>
        <w:jc w:val="both"/>
        <w:rPr>
          <w:rFonts w:ascii="Times New Roman" w:hAnsi="Times New Roman" w:cs="Times New Roman"/>
          <w:noProof/>
          <w:sz w:val="24"/>
        </w:rPr>
        <w:sectPr w:rsidR="00D65CB4" w:rsidRPr="00BC4EE7" w:rsidSect="00B511EF">
          <w:headerReference w:type="even" r:id="rId201"/>
          <w:headerReference w:type="default" r:id="rId202"/>
          <w:footerReference w:type="even" r:id="rId203"/>
          <w:footerReference w:type="default" r:id="rId204"/>
          <w:headerReference w:type="first" r:id="rId205"/>
          <w:footerReference w:type="first" r:id="rId206"/>
          <w:pgSz w:w="11907" w:h="16839"/>
          <w:pgMar w:top="1134" w:right="1134" w:bottom="1134" w:left="1134" w:header="567" w:footer="567" w:gutter="0"/>
          <w:cols w:space="720"/>
          <w:docGrid w:linePitch="360"/>
        </w:sectPr>
      </w:pPr>
    </w:p>
    <w:tbl>
      <w:tblPr>
        <w:tblW w:w="15452"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32"/>
        <w:gridCol w:w="1012"/>
        <w:gridCol w:w="992"/>
        <w:gridCol w:w="1171"/>
        <w:gridCol w:w="1241"/>
        <w:gridCol w:w="829"/>
        <w:gridCol w:w="966"/>
        <w:gridCol w:w="553"/>
        <w:gridCol w:w="415"/>
        <w:gridCol w:w="553"/>
        <w:gridCol w:w="6888"/>
      </w:tblGrid>
      <w:tr w:rsidR="00D65CB4" w:rsidRPr="00BC4EE7" w14:paraId="70B5729A" w14:textId="77777777" w:rsidTr="00481CF8">
        <w:trPr>
          <w:trHeight w:val="309"/>
          <w:tblHeader/>
        </w:trPr>
        <w:tc>
          <w:tcPr>
            <w:tcW w:w="832" w:type="dxa"/>
            <w:tcBorders>
              <w:bottom w:val="nil"/>
            </w:tcBorders>
            <w:shd w:val="clear" w:color="auto" w:fill="C6D9F1" w:themeFill="text2" w:themeFillTint="33"/>
            <w:noWrap/>
            <w:vAlign w:val="center"/>
          </w:tcPr>
          <w:p w14:paraId="7A0548FF"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Szám</w:t>
            </w:r>
          </w:p>
        </w:tc>
        <w:tc>
          <w:tcPr>
            <w:tcW w:w="1012" w:type="dxa"/>
            <w:tcBorders>
              <w:bottom w:val="nil"/>
            </w:tcBorders>
            <w:shd w:val="clear" w:color="auto" w:fill="C6D9F1" w:themeFill="text2" w:themeFillTint="33"/>
            <w:noWrap/>
            <w:vAlign w:val="center"/>
          </w:tcPr>
          <w:p w14:paraId="4C4718D6"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Intézkedés</w:t>
            </w:r>
          </w:p>
        </w:tc>
        <w:tc>
          <w:tcPr>
            <w:tcW w:w="992" w:type="dxa"/>
            <w:tcBorders>
              <w:bottom w:val="nil"/>
            </w:tcBorders>
            <w:shd w:val="clear" w:color="auto" w:fill="C6D9F1" w:themeFill="text2" w:themeFillTint="33"/>
            <w:noWrap/>
            <w:vAlign w:val="center"/>
          </w:tcPr>
          <w:p w14:paraId="395E9546" w14:textId="77777777" w:rsidR="00D65CB4" w:rsidRPr="00BC4EE7" w:rsidRDefault="00572307">
            <w:pPr>
              <w:spacing w:after="0" w:line="240" w:lineRule="auto"/>
              <w:jc w:val="center"/>
              <w:rPr>
                <w:rFonts w:ascii="Times New Roman" w:hAnsi="Times New Roman" w:cs="Times New Roman"/>
                <w:b/>
                <w:noProof/>
                <w:sz w:val="18"/>
              </w:rPr>
            </w:pPr>
            <w:r w:rsidRPr="00BC4EE7">
              <w:rPr>
                <w:rFonts w:ascii="Times New Roman" w:hAnsi="Times New Roman" w:cs="Times New Roman"/>
                <w:b/>
                <w:noProof/>
                <w:sz w:val="18"/>
              </w:rPr>
              <w:t>Mérföldkő</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b/>
                <w:noProof/>
                <w:sz w:val="18"/>
              </w:rPr>
              <w:t xml:space="preserve"> /Cél</w:t>
            </w:r>
          </w:p>
        </w:tc>
        <w:tc>
          <w:tcPr>
            <w:tcW w:w="1171" w:type="dxa"/>
            <w:tcBorders>
              <w:bottom w:val="nil"/>
            </w:tcBorders>
            <w:shd w:val="clear" w:color="auto" w:fill="C6D9F1" w:themeFill="text2" w:themeFillTint="33"/>
            <w:noWrap/>
            <w:vAlign w:val="center"/>
          </w:tcPr>
          <w:p w14:paraId="03B9116E"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Név</w:t>
            </w:r>
          </w:p>
        </w:tc>
        <w:tc>
          <w:tcPr>
            <w:tcW w:w="1241" w:type="dxa"/>
            <w:tcBorders>
              <w:bottom w:val="nil"/>
            </w:tcBorders>
            <w:shd w:val="clear" w:color="auto" w:fill="C6D9F1" w:themeFill="text2" w:themeFillTint="33"/>
            <w:noWrap/>
            <w:vAlign w:val="center"/>
          </w:tcPr>
          <w:p w14:paraId="7AB38A7F"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mérföldkövek minőségi mutatója</w:t>
            </w:r>
          </w:p>
        </w:tc>
        <w:tc>
          <w:tcPr>
            <w:tcW w:w="2348" w:type="dxa"/>
            <w:gridSpan w:val="3"/>
            <w:shd w:val="clear" w:color="auto" w:fill="C6D9F1" w:themeFill="text2" w:themeFillTint="33"/>
            <w:noWrap/>
            <w:vAlign w:val="center"/>
          </w:tcPr>
          <w:p w14:paraId="714AE6A0"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célérték mennyiségi mutatója</w:t>
            </w:r>
          </w:p>
        </w:tc>
        <w:tc>
          <w:tcPr>
            <w:tcW w:w="968" w:type="dxa"/>
            <w:gridSpan w:val="2"/>
            <w:shd w:val="clear" w:color="auto" w:fill="C6D9F1" w:themeFill="text2" w:themeFillTint="33"/>
            <w:noWrap/>
            <w:vAlign w:val="center"/>
          </w:tcPr>
          <w:p w14:paraId="56FD496D"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Idő</w:t>
            </w:r>
          </w:p>
        </w:tc>
        <w:tc>
          <w:tcPr>
            <w:tcW w:w="6888" w:type="dxa"/>
            <w:tcBorders>
              <w:bottom w:val="nil"/>
            </w:tcBorders>
            <w:shd w:val="clear" w:color="auto" w:fill="C6D9F1" w:themeFill="text2" w:themeFillTint="33"/>
            <w:noWrap/>
            <w:vAlign w:val="center"/>
          </w:tcPr>
          <w:p w14:paraId="45F81A50"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Az egyes mérföldkövek és célértékek leírása</w:t>
            </w:r>
          </w:p>
        </w:tc>
      </w:tr>
      <w:tr w:rsidR="00D65CB4" w:rsidRPr="00BC4EE7" w14:paraId="7B560C90" w14:textId="77777777" w:rsidTr="00481CF8">
        <w:trPr>
          <w:trHeight w:val="309"/>
          <w:tblHeader/>
        </w:trPr>
        <w:tc>
          <w:tcPr>
            <w:tcW w:w="832" w:type="dxa"/>
            <w:tcBorders>
              <w:top w:val="nil"/>
            </w:tcBorders>
            <w:shd w:val="clear" w:color="auto" w:fill="C6D9F1" w:themeFill="text2" w:themeFillTint="33"/>
            <w:noWrap/>
          </w:tcPr>
          <w:p w14:paraId="34B3F2EB" w14:textId="77777777" w:rsidR="00D65CB4" w:rsidRPr="00BC4EE7" w:rsidRDefault="00D65CB4">
            <w:pPr>
              <w:spacing w:after="0" w:line="240" w:lineRule="auto"/>
              <w:jc w:val="center"/>
              <w:rPr>
                <w:rFonts w:ascii="Times New Roman" w:hAnsi="Times New Roman" w:cs="Times New Roman"/>
                <w:b/>
                <w:noProof/>
                <w:sz w:val="18"/>
              </w:rPr>
            </w:pPr>
          </w:p>
        </w:tc>
        <w:tc>
          <w:tcPr>
            <w:tcW w:w="1012" w:type="dxa"/>
            <w:tcBorders>
              <w:top w:val="nil"/>
            </w:tcBorders>
            <w:shd w:val="clear" w:color="auto" w:fill="C6D9F1" w:themeFill="text2" w:themeFillTint="33"/>
            <w:noWrap/>
          </w:tcPr>
          <w:p w14:paraId="7D34F5C7" w14:textId="77777777" w:rsidR="00D65CB4" w:rsidRPr="00BC4EE7" w:rsidRDefault="00D65CB4">
            <w:pPr>
              <w:spacing w:after="0" w:line="240" w:lineRule="auto"/>
              <w:jc w:val="center"/>
              <w:rPr>
                <w:rFonts w:ascii="Times New Roman" w:hAnsi="Times New Roman" w:cs="Times New Roman"/>
                <w:b/>
                <w:noProof/>
                <w:sz w:val="18"/>
              </w:rPr>
            </w:pPr>
          </w:p>
        </w:tc>
        <w:tc>
          <w:tcPr>
            <w:tcW w:w="992" w:type="dxa"/>
            <w:tcBorders>
              <w:top w:val="nil"/>
            </w:tcBorders>
            <w:shd w:val="clear" w:color="auto" w:fill="C6D9F1" w:themeFill="text2" w:themeFillTint="33"/>
            <w:noWrap/>
          </w:tcPr>
          <w:p w14:paraId="0B4020A7" w14:textId="77777777" w:rsidR="00D65CB4" w:rsidRPr="00BC4EE7" w:rsidRDefault="00D65CB4">
            <w:pPr>
              <w:spacing w:after="0" w:line="240" w:lineRule="auto"/>
              <w:jc w:val="center"/>
              <w:rPr>
                <w:rFonts w:ascii="Times New Roman" w:hAnsi="Times New Roman" w:cs="Times New Roman"/>
                <w:b/>
                <w:noProof/>
                <w:sz w:val="18"/>
              </w:rPr>
            </w:pPr>
          </w:p>
        </w:tc>
        <w:tc>
          <w:tcPr>
            <w:tcW w:w="1171" w:type="dxa"/>
            <w:tcBorders>
              <w:top w:val="nil"/>
            </w:tcBorders>
            <w:shd w:val="clear" w:color="auto" w:fill="C6D9F1" w:themeFill="text2" w:themeFillTint="33"/>
            <w:noWrap/>
          </w:tcPr>
          <w:p w14:paraId="1D7B270A" w14:textId="77777777" w:rsidR="00D65CB4" w:rsidRPr="00BC4EE7" w:rsidRDefault="00D65CB4">
            <w:pPr>
              <w:spacing w:after="0" w:line="240" w:lineRule="auto"/>
              <w:rPr>
                <w:rFonts w:ascii="Times New Roman" w:hAnsi="Times New Roman" w:cs="Times New Roman"/>
                <w:b/>
                <w:noProof/>
                <w:sz w:val="18"/>
              </w:rPr>
            </w:pPr>
          </w:p>
        </w:tc>
        <w:tc>
          <w:tcPr>
            <w:tcW w:w="1241" w:type="dxa"/>
            <w:tcBorders>
              <w:top w:val="nil"/>
            </w:tcBorders>
            <w:shd w:val="clear" w:color="auto" w:fill="C6D9F1" w:themeFill="text2" w:themeFillTint="33"/>
            <w:noWrap/>
          </w:tcPr>
          <w:p w14:paraId="4F904CB7" w14:textId="77777777" w:rsidR="00D65CB4" w:rsidRPr="00BC4EE7" w:rsidRDefault="00D65CB4">
            <w:pPr>
              <w:spacing w:after="0" w:line="240" w:lineRule="auto"/>
              <w:jc w:val="center"/>
              <w:rPr>
                <w:rFonts w:ascii="Times New Roman" w:hAnsi="Times New Roman" w:cs="Times New Roman"/>
                <w:b/>
                <w:noProof/>
                <w:sz w:val="18"/>
              </w:rPr>
            </w:pPr>
          </w:p>
        </w:tc>
        <w:tc>
          <w:tcPr>
            <w:tcW w:w="829" w:type="dxa"/>
            <w:shd w:val="clear" w:color="auto" w:fill="C6D9F1" w:themeFill="text2" w:themeFillTint="33"/>
            <w:noWrap/>
            <w:vAlign w:val="center"/>
          </w:tcPr>
          <w:p w14:paraId="295A2B3D"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Egység</w:t>
            </w:r>
          </w:p>
        </w:tc>
        <w:tc>
          <w:tcPr>
            <w:tcW w:w="966" w:type="dxa"/>
            <w:shd w:val="clear" w:color="auto" w:fill="C6D9F1" w:themeFill="text2" w:themeFillTint="33"/>
            <w:noWrap/>
            <w:vAlign w:val="center"/>
          </w:tcPr>
          <w:p w14:paraId="64354F4C" w14:textId="184BD022" w:rsidR="00D65CB4" w:rsidRPr="00BC4EE7" w:rsidRDefault="00572307">
            <w:pPr>
              <w:pStyle w:val="P68B1DB1-Normal8"/>
              <w:spacing w:after="0" w:line="240" w:lineRule="auto"/>
              <w:jc w:val="center"/>
              <w:rPr>
                <w:rFonts w:cs="Times New Roman"/>
                <w:noProof/>
              </w:rPr>
            </w:pPr>
            <w:r w:rsidRPr="00BC4EE7">
              <w:rPr>
                <w:rFonts w:cs="Times New Roman"/>
                <w:noProof/>
              </w:rPr>
              <w:t>Kiindulási</w:t>
            </w:r>
          </w:p>
        </w:tc>
        <w:tc>
          <w:tcPr>
            <w:tcW w:w="553" w:type="dxa"/>
            <w:shd w:val="clear" w:color="auto" w:fill="C6D9F1" w:themeFill="text2" w:themeFillTint="33"/>
            <w:noWrap/>
            <w:vAlign w:val="center"/>
          </w:tcPr>
          <w:p w14:paraId="0CB8A499"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Cél</w:t>
            </w:r>
          </w:p>
        </w:tc>
        <w:tc>
          <w:tcPr>
            <w:tcW w:w="415" w:type="dxa"/>
            <w:shd w:val="clear" w:color="auto" w:fill="C6D9F1" w:themeFill="text2" w:themeFillTint="33"/>
            <w:noWrap/>
            <w:vAlign w:val="center"/>
          </w:tcPr>
          <w:p w14:paraId="11B3A307"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Q</w:t>
            </w:r>
          </w:p>
        </w:tc>
        <w:tc>
          <w:tcPr>
            <w:tcW w:w="553" w:type="dxa"/>
            <w:shd w:val="clear" w:color="auto" w:fill="C6D9F1" w:themeFill="text2" w:themeFillTint="33"/>
            <w:noWrap/>
            <w:vAlign w:val="center"/>
          </w:tcPr>
          <w:p w14:paraId="36831318"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Éve</w:t>
            </w:r>
          </w:p>
        </w:tc>
        <w:tc>
          <w:tcPr>
            <w:tcW w:w="6888" w:type="dxa"/>
            <w:tcBorders>
              <w:top w:val="nil"/>
            </w:tcBorders>
            <w:shd w:val="clear" w:color="auto" w:fill="C6D9F1" w:themeFill="text2" w:themeFillTint="33"/>
            <w:noWrap/>
          </w:tcPr>
          <w:p w14:paraId="06971CD3" w14:textId="77777777" w:rsidR="00D65CB4" w:rsidRPr="00BC4EE7" w:rsidRDefault="00D65CB4">
            <w:pPr>
              <w:spacing w:after="0" w:line="240" w:lineRule="auto"/>
              <w:rPr>
                <w:rFonts w:ascii="Times New Roman" w:hAnsi="Times New Roman" w:cs="Times New Roman"/>
                <w:b/>
                <w:noProof/>
                <w:sz w:val="18"/>
              </w:rPr>
            </w:pPr>
          </w:p>
        </w:tc>
      </w:tr>
      <w:tr w:rsidR="00D65CB4" w:rsidRPr="00BC4EE7" w14:paraId="48827676" w14:textId="77777777" w:rsidTr="00481CF8">
        <w:trPr>
          <w:trHeight w:val="309"/>
        </w:trPr>
        <w:tc>
          <w:tcPr>
            <w:tcW w:w="832" w:type="dxa"/>
            <w:shd w:val="clear" w:color="auto" w:fill="C6EFCE"/>
            <w:noWrap/>
          </w:tcPr>
          <w:p w14:paraId="6D3A19EC"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129</w:t>
            </w:r>
          </w:p>
        </w:tc>
        <w:tc>
          <w:tcPr>
            <w:tcW w:w="1012" w:type="dxa"/>
            <w:shd w:val="clear" w:color="auto" w:fill="C6EFCE"/>
            <w:noWrap/>
          </w:tcPr>
          <w:p w14:paraId="1E1A9AF7"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C9.R1</w:t>
            </w:r>
          </w:p>
        </w:tc>
        <w:tc>
          <w:tcPr>
            <w:tcW w:w="992" w:type="dxa"/>
            <w:shd w:val="clear" w:color="auto" w:fill="C6EFCE"/>
            <w:noWrap/>
          </w:tcPr>
          <w:p w14:paraId="027A594E"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M</w:t>
            </w:r>
          </w:p>
        </w:tc>
        <w:tc>
          <w:tcPr>
            <w:tcW w:w="1171" w:type="dxa"/>
            <w:shd w:val="clear" w:color="auto" w:fill="C6EFCE"/>
            <w:noWrap/>
          </w:tcPr>
          <w:p w14:paraId="69497764"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 xml:space="preserve">Hidrogén-ütemterv </w:t>
            </w:r>
          </w:p>
        </w:tc>
        <w:tc>
          <w:tcPr>
            <w:tcW w:w="1241" w:type="dxa"/>
            <w:shd w:val="clear" w:color="auto" w:fill="C6EFCE"/>
            <w:noWrap/>
          </w:tcPr>
          <w:p w14:paraId="59EECAAA"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A Miniszterek Tanácsa általi jóváhagyás</w:t>
            </w:r>
          </w:p>
        </w:tc>
        <w:tc>
          <w:tcPr>
            <w:tcW w:w="829" w:type="dxa"/>
            <w:shd w:val="clear" w:color="auto" w:fill="C6EFCE"/>
            <w:noWrap/>
          </w:tcPr>
          <w:p w14:paraId="7BF3D9A5" w14:textId="77777777" w:rsidR="00D65CB4" w:rsidRPr="00BC4EE7" w:rsidRDefault="00572307">
            <w:pPr>
              <w:pStyle w:val="P68B1DB1-Normal12"/>
              <w:spacing w:after="0" w:line="240" w:lineRule="auto"/>
              <w:jc w:val="right"/>
              <w:rPr>
                <w:rFonts w:eastAsia="Symbol" w:cs="Times New Roman"/>
                <w:noProof/>
              </w:rPr>
            </w:pPr>
            <w:r w:rsidRPr="00BC4EE7">
              <w:rPr>
                <w:rFonts w:cs="Times New Roman"/>
                <w:noProof/>
              </w:rPr>
              <w:t xml:space="preserve"> </w:t>
            </w:r>
          </w:p>
        </w:tc>
        <w:tc>
          <w:tcPr>
            <w:tcW w:w="966" w:type="dxa"/>
            <w:shd w:val="clear" w:color="auto" w:fill="C6EFCE"/>
            <w:noWrap/>
          </w:tcPr>
          <w:p w14:paraId="0A711F4A" w14:textId="77777777" w:rsidR="00D65CB4" w:rsidRPr="00BC4EE7" w:rsidRDefault="00572307">
            <w:pPr>
              <w:pStyle w:val="P68B1DB1-Normal12"/>
              <w:spacing w:after="0" w:line="240" w:lineRule="auto"/>
              <w:jc w:val="right"/>
              <w:rPr>
                <w:rFonts w:eastAsia="Symbol" w:cs="Times New Roman"/>
                <w:noProof/>
              </w:rPr>
            </w:pPr>
            <w:r w:rsidRPr="00BC4EE7">
              <w:rPr>
                <w:rFonts w:cs="Times New Roman"/>
                <w:noProof/>
              </w:rPr>
              <w:t xml:space="preserve"> </w:t>
            </w:r>
          </w:p>
        </w:tc>
        <w:tc>
          <w:tcPr>
            <w:tcW w:w="553" w:type="dxa"/>
            <w:shd w:val="clear" w:color="auto" w:fill="C6EFCE"/>
            <w:noWrap/>
          </w:tcPr>
          <w:p w14:paraId="3BFE8F37" w14:textId="77777777" w:rsidR="00D65CB4" w:rsidRPr="00BC4EE7" w:rsidRDefault="00572307">
            <w:pPr>
              <w:pStyle w:val="P68B1DB1-Normal12"/>
              <w:spacing w:after="0" w:line="240" w:lineRule="auto"/>
              <w:jc w:val="right"/>
              <w:rPr>
                <w:rFonts w:eastAsia="Symbol" w:cs="Times New Roman"/>
                <w:noProof/>
              </w:rPr>
            </w:pPr>
            <w:r w:rsidRPr="00BC4EE7">
              <w:rPr>
                <w:rFonts w:cs="Times New Roman"/>
                <w:noProof/>
              </w:rPr>
              <w:t xml:space="preserve"> </w:t>
            </w:r>
          </w:p>
        </w:tc>
        <w:tc>
          <w:tcPr>
            <w:tcW w:w="415" w:type="dxa"/>
            <w:shd w:val="clear" w:color="auto" w:fill="C6EFCE"/>
            <w:noWrap/>
          </w:tcPr>
          <w:p w14:paraId="1F72B8DF"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Q4</w:t>
            </w:r>
          </w:p>
        </w:tc>
        <w:tc>
          <w:tcPr>
            <w:tcW w:w="553" w:type="dxa"/>
            <w:shd w:val="clear" w:color="auto" w:fill="C6EFCE"/>
            <w:noWrap/>
          </w:tcPr>
          <w:p w14:paraId="74519F6D"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2020</w:t>
            </w:r>
          </w:p>
        </w:tc>
        <w:tc>
          <w:tcPr>
            <w:tcW w:w="6888" w:type="dxa"/>
            <w:shd w:val="clear" w:color="auto" w:fill="C6EFCE"/>
            <w:noWrap/>
          </w:tcPr>
          <w:p w14:paraId="48591468" w14:textId="77777777" w:rsidR="00D65CB4" w:rsidRPr="00BC4EE7" w:rsidRDefault="00572307">
            <w:pPr>
              <w:pStyle w:val="P68B1DB1-Normal12"/>
              <w:spacing w:after="0" w:line="240" w:lineRule="auto"/>
              <w:jc w:val="both"/>
              <w:rPr>
                <w:rFonts w:eastAsia="Symbol" w:cs="Times New Roman"/>
                <w:noProof/>
              </w:rPr>
            </w:pPr>
            <w:r w:rsidRPr="00BC4EE7">
              <w:rPr>
                <w:rFonts w:cs="Times New Roman"/>
                <w:noProof/>
              </w:rPr>
              <w:t>A hidrogén-ütemtervnek a Miniszterek Tanácsa általi jóváhagyása. A hidrogénre vonatkozó ütemterv meghatározza a Spanyolország által a megújulóhidrogén-ágazat fejlesztésére vonatkozóan meghatározott iránymutatásokat. E célból meghatározza a telepített kapacitás, az ipar és a mobilitás tekintetében 2030-ig elérendő célokat.</w:t>
            </w:r>
          </w:p>
        </w:tc>
      </w:tr>
      <w:tr w:rsidR="00D65CB4" w:rsidRPr="00BC4EE7" w14:paraId="643D8A21" w14:textId="77777777" w:rsidTr="00481CF8">
        <w:trPr>
          <w:trHeight w:val="309"/>
        </w:trPr>
        <w:tc>
          <w:tcPr>
            <w:tcW w:w="832" w:type="dxa"/>
            <w:shd w:val="clear" w:color="auto" w:fill="C6EFCE"/>
            <w:noWrap/>
          </w:tcPr>
          <w:p w14:paraId="72CF255B"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130</w:t>
            </w:r>
          </w:p>
        </w:tc>
        <w:tc>
          <w:tcPr>
            <w:tcW w:w="1012" w:type="dxa"/>
            <w:shd w:val="clear" w:color="auto" w:fill="C6EFCE"/>
            <w:noWrap/>
          </w:tcPr>
          <w:p w14:paraId="1086F5AC"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C9.R1</w:t>
            </w:r>
          </w:p>
        </w:tc>
        <w:tc>
          <w:tcPr>
            <w:tcW w:w="992" w:type="dxa"/>
            <w:shd w:val="clear" w:color="auto" w:fill="C6EFCE"/>
            <w:noWrap/>
          </w:tcPr>
          <w:p w14:paraId="5AB23280"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M</w:t>
            </w:r>
          </w:p>
        </w:tc>
        <w:tc>
          <w:tcPr>
            <w:tcW w:w="1171" w:type="dxa"/>
            <w:shd w:val="clear" w:color="auto" w:fill="C6EFCE"/>
            <w:noWrap/>
          </w:tcPr>
          <w:p w14:paraId="0E77B031"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A megújuló gázokra vonatkozó származási garanciák létrehozásáról szóló rendelet hatálybalépése</w:t>
            </w:r>
          </w:p>
        </w:tc>
        <w:tc>
          <w:tcPr>
            <w:tcW w:w="1241" w:type="dxa"/>
            <w:shd w:val="clear" w:color="auto" w:fill="C6EFCE"/>
            <w:noWrap/>
          </w:tcPr>
          <w:p w14:paraId="42C94EF3"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A rendeletnek a rendelet hatálybalépését feltüntető rendelkezése</w:t>
            </w:r>
          </w:p>
        </w:tc>
        <w:tc>
          <w:tcPr>
            <w:tcW w:w="829" w:type="dxa"/>
            <w:shd w:val="clear" w:color="auto" w:fill="C6EFCE"/>
            <w:noWrap/>
          </w:tcPr>
          <w:p w14:paraId="7AA3CD39" w14:textId="77777777" w:rsidR="00D65CB4" w:rsidRPr="00BC4EE7" w:rsidRDefault="00572307">
            <w:pPr>
              <w:pStyle w:val="P68B1DB1-Normal12"/>
              <w:spacing w:after="0" w:line="240" w:lineRule="auto"/>
              <w:jc w:val="right"/>
              <w:rPr>
                <w:rFonts w:eastAsia="Symbol" w:cs="Times New Roman"/>
                <w:noProof/>
              </w:rPr>
            </w:pPr>
            <w:r w:rsidRPr="00BC4EE7">
              <w:rPr>
                <w:rFonts w:cs="Times New Roman"/>
                <w:noProof/>
              </w:rPr>
              <w:t xml:space="preserve"> </w:t>
            </w:r>
          </w:p>
        </w:tc>
        <w:tc>
          <w:tcPr>
            <w:tcW w:w="966" w:type="dxa"/>
            <w:shd w:val="clear" w:color="auto" w:fill="C6EFCE"/>
            <w:noWrap/>
          </w:tcPr>
          <w:p w14:paraId="63ABC34F" w14:textId="77777777" w:rsidR="00D65CB4" w:rsidRPr="00BC4EE7" w:rsidRDefault="00572307">
            <w:pPr>
              <w:pStyle w:val="P68B1DB1-Normal12"/>
              <w:spacing w:after="0" w:line="240" w:lineRule="auto"/>
              <w:jc w:val="right"/>
              <w:rPr>
                <w:rFonts w:eastAsia="Symbol" w:cs="Times New Roman"/>
                <w:noProof/>
              </w:rPr>
            </w:pPr>
            <w:r w:rsidRPr="00BC4EE7">
              <w:rPr>
                <w:rFonts w:cs="Times New Roman"/>
                <w:noProof/>
              </w:rPr>
              <w:t xml:space="preserve"> </w:t>
            </w:r>
          </w:p>
        </w:tc>
        <w:tc>
          <w:tcPr>
            <w:tcW w:w="553" w:type="dxa"/>
            <w:shd w:val="clear" w:color="auto" w:fill="C6EFCE"/>
            <w:noWrap/>
          </w:tcPr>
          <w:p w14:paraId="78492FB3" w14:textId="77777777" w:rsidR="00D65CB4" w:rsidRPr="00BC4EE7" w:rsidRDefault="00572307">
            <w:pPr>
              <w:pStyle w:val="P68B1DB1-Normal12"/>
              <w:spacing w:after="0" w:line="240" w:lineRule="auto"/>
              <w:jc w:val="right"/>
              <w:rPr>
                <w:rFonts w:eastAsia="Symbol" w:cs="Times New Roman"/>
                <w:noProof/>
              </w:rPr>
            </w:pPr>
            <w:r w:rsidRPr="00BC4EE7">
              <w:rPr>
                <w:rFonts w:cs="Times New Roman"/>
                <w:noProof/>
              </w:rPr>
              <w:t xml:space="preserve"> </w:t>
            </w:r>
          </w:p>
        </w:tc>
        <w:tc>
          <w:tcPr>
            <w:tcW w:w="415" w:type="dxa"/>
            <w:shd w:val="clear" w:color="auto" w:fill="C6EFCE"/>
            <w:noWrap/>
          </w:tcPr>
          <w:p w14:paraId="7C1816B5"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Q2</w:t>
            </w:r>
          </w:p>
        </w:tc>
        <w:tc>
          <w:tcPr>
            <w:tcW w:w="553" w:type="dxa"/>
            <w:shd w:val="clear" w:color="auto" w:fill="C6EFCE"/>
            <w:noWrap/>
          </w:tcPr>
          <w:p w14:paraId="444B82BA"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2022</w:t>
            </w:r>
          </w:p>
        </w:tc>
        <w:tc>
          <w:tcPr>
            <w:tcW w:w="6888" w:type="dxa"/>
            <w:shd w:val="clear" w:color="auto" w:fill="C6EFCE"/>
            <w:noWrap/>
          </w:tcPr>
          <w:p w14:paraId="0A48B93F" w14:textId="77777777" w:rsidR="00D65CB4" w:rsidRPr="00BC4EE7" w:rsidRDefault="00572307">
            <w:pPr>
              <w:pStyle w:val="P68B1DB1-Normal12"/>
              <w:spacing w:after="0" w:line="240" w:lineRule="auto"/>
              <w:jc w:val="both"/>
              <w:rPr>
                <w:rFonts w:eastAsia="Symbol" w:cs="Times New Roman"/>
                <w:noProof/>
              </w:rPr>
            </w:pPr>
            <w:r w:rsidRPr="00BC4EE7">
              <w:rPr>
                <w:rFonts w:cs="Times New Roman"/>
                <w:noProof/>
              </w:rPr>
              <w:t>A megújuló gázokra, többek között a megújuló hidrogénre vonatkozó származási garanciák nemzeti rendszerének létrehozásáról szóló rendelet hatálybalépése, biztosítva a megújuló energia 100%-át. A szabályozási eszköz által létrehozandó rendszer magában foglalja a nemzeti kibocsátó szervek kijelölését és irányításuk elfogadását; valamint egy szabályozási mechanizmust, amely meghatározza a hidrogén megújuló eredetének ellenőrzését.</w:t>
            </w:r>
          </w:p>
        </w:tc>
      </w:tr>
      <w:tr w:rsidR="00D65CB4" w:rsidRPr="00BC4EE7" w14:paraId="1F499200" w14:textId="77777777" w:rsidTr="00481CF8">
        <w:trPr>
          <w:trHeight w:val="309"/>
        </w:trPr>
        <w:tc>
          <w:tcPr>
            <w:tcW w:w="832" w:type="dxa"/>
            <w:shd w:val="clear" w:color="auto" w:fill="C6EFCE"/>
            <w:noWrap/>
          </w:tcPr>
          <w:p w14:paraId="0F7B3593"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131</w:t>
            </w:r>
          </w:p>
        </w:tc>
        <w:tc>
          <w:tcPr>
            <w:tcW w:w="1012" w:type="dxa"/>
            <w:shd w:val="clear" w:color="auto" w:fill="C6EFCE"/>
            <w:noWrap/>
          </w:tcPr>
          <w:p w14:paraId="5A32E065"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C9.I1</w:t>
            </w:r>
          </w:p>
        </w:tc>
        <w:tc>
          <w:tcPr>
            <w:tcW w:w="992" w:type="dxa"/>
            <w:shd w:val="clear" w:color="auto" w:fill="C6EFCE"/>
            <w:noWrap/>
          </w:tcPr>
          <w:p w14:paraId="13D228FA"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T</w:t>
            </w:r>
          </w:p>
        </w:tc>
        <w:tc>
          <w:tcPr>
            <w:tcW w:w="1171" w:type="dxa"/>
            <w:shd w:val="clear" w:color="auto" w:fill="C6EFCE"/>
            <w:noWrap/>
          </w:tcPr>
          <w:p w14:paraId="40537FCA"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Kkv-k finanszírozása a hidrogén értékláncának megerősítése érdekében</w:t>
            </w:r>
          </w:p>
        </w:tc>
        <w:tc>
          <w:tcPr>
            <w:tcW w:w="1241" w:type="dxa"/>
            <w:shd w:val="clear" w:color="auto" w:fill="C6EFCE"/>
            <w:noWrap/>
          </w:tcPr>
          <w:p w14:paraId="2A1F701D" w14:textId="77777777" w:rsidR="00D65CB4" w:rsidRPr="00BC4EE7" w:rsidRDefault="00D65CB4">
            <w:pPr>
              <w:spacing w:after="0" w:line="240" w:lineRule="auto"/>
              <w:jc w:val="center"/>
              <w:rPr>
                <w:rFonts w:ascii="Times New Roman" w:eastAsia="Symbol" w:hAnsi="Times New Roman" w:cs="Times New Roman"/>
                <w:noProof/>
                <w:sz w:val="18"/>
              </w:rPr>
            </w:pPr>
          </w:p>
        </w:tc>
        <w:tc>
          <w:tcPr>
            <w:tcW w:w="829" w:type="dxa"/>
            <w:shd w:val="clear" w:color="auto" w:fill="C6EFCE"/>
            <w:noWrap/>
          </w:tcPr>
          <w:p w14:paraId="092A1C54"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Szám</w:t>
            </w:r>
          </w:p>
        </w:tc>
        <w:tc>
          <w:tcPr>
            <w:tcW w:w="966" w:type="dxa"/>
            <w:shd w:val="clear" w:color="auto" w:fill="C6EFCE"/>
            <w:noWrap/>
          </w:tcPr>
          <w:p w14:paraId="52ECD0D9"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0</w:t>
            </w:r>
          </w:p>
        </w:tc>
        <w:tc>
          <w:tcPr>
            <w:tcW w:w="553" w:type="dxa"/>
            <w:shd w:val="clear" w:color="auto" w:fill="C6EFCE"/>
            <w:noWrap/>
          </w:tcPr>
          <w:p w14:paraId="446DE71A"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10</w:t>
            </w:r>
          </w:p>
        </w:tc>
        <w:tc>
          <w:tcPr>
            <w:tcW w:w="415" w:type="dxa"/>
            <w:shd w:val="clear" w:color="auto" w:fill="C6EFCE"/>
            <w:noWrap/>
          </w:tcPr>
          <w:p w14:paraId="3AC58826"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Q2</w:t>
            </w:r>
          </w:p>
        </w:tc>
        <w:tc>
          <w:tcPr>
            <w:tcW w:w="553" w:type="dxa"/>
            <w:shd w:val="clear" w:color="auto" w:fill="C6EFCE"/>
            <w:noWrap/>
          </w:tcPr>
          <w:p w14:paraId="064CBC82"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2023</w:t>
            </w:r>
          </w:p>
        </w:tc>
        <w:tc>
          <w:tcPr>
            <w:tcW w:w="6888" w:type="dxa"/>
            <w:shd w:val="clear" w:color="auto" w:fill="C6EFCE"/>
            <w:noWrap/>
          </w:tcPr>
          <w:p w14:paraId="56B43BD0" w14:textId="77777777" w:rsidR="00D65CB4" w:rsidRPr="00BC4EE7" w:rsidRDefault="00572307">
            <w:pPr>
              <w:pStyle w:val="P68B1DB1-Normal12"/>
              <w:spacing w:after="0" w:line="240" w:lineRule="auto"/>
              <w:jc w:val="both"/>
              <w:rPr>
                <w:rFonts w:eastAsia="Symbol" w:cs="Times New Roman"/>
                <w:noProof/>
              </w:rPr>
            </w:pPr>
            <w:r w:rsidRPr="00BC4EE7">
              <w:rPr>
                <w:rFonts w:cs="Times New Roman"/>
                <w:noProof/>
              </w:rPr>
              <w:t>Legalább tíz kkv részesült finanszírozásban a hidrogén jelenlegi spanyol értékláncának megerősítésére és megerősítésére az alábbi jellemzők közül egy vagy több javítása révén: termelési képességek, készségek, versenyképesség, tudás- és technológiatranszfer, nemzetközi dimenzió.</w:t>
            </w:r>
          </w:p>
        </w:tc>
      </w:tr>
      <w:tr w:rsidR="00D65CB4" w:rsidRPr="00BC4EE7" w14:paraId="1C5EFDF2" w14:textId="77777777" w:rsidTr="00481CF8">
        <w:trPr>
          <w:trHeight w:val="309"/>
        </w:trPr>
        <w:tc>
          <w:tcPr>
            <w:tcW w:w="832" w:type="dxa"/>
            <w:shd w:val="clear" w:color="auto" w:fill="C6EFCE"/>
            <w:noWrap/>
          </w:tcPr>
          <w:p w14:paraId="4B9E354E"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132</w:t>
            </w:r>
          </w:p>
        </w:tc>
        <w:tc>
          <w:tcPr>
            <w:tcW w:w="1012" w:type="dxa"/>
            <w:shd w:val="clear" w:color="auto" w:fill="C6EFCE"/>
            <w:noWrap/>
          </w:tcPr>
          <w:p w14:paraId="2535655F"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C9.I1</w:t>
            </w:r>
          </w:p>
        </w:tc>
        <w:tc>
          <w:tcPr>
            <w:tcW w:w="992" w:type="dxa"/>
            <w:shd w:val="clear" w:color="auto" w:fill="C6EFCE"/>
            <w:noWrap/>
          </w:tcPr>
          <w:p w14:paraId="5E71A530"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T</w:t>
            </w:r>
          </w:p>
        </w:tc>
        <w:tc>
          <w:tcPr>
            <w:tcW w:w="1171" w:type="dxa"/>
            <w:shd w:val="clear" w:color="auto" w:fill="C6EFCE"/>
            <w:noWrap/>
          </w:tcPr>
          <w:p w14:paraId="281138A0"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 xml:space="preserve">Technológiai fejlődés a megújuló hidrogén értékláncában </w:t>
            </w:r>
          </w:p>
        </w:tc>
        <w:tc>
          <w:tcPr>
            <w:tcW w:w="1241" w:type="dxa"/>
            <w:shd w:val="clear" w:color="auto" w:fill="C6EFCE"/>
            <w:noWrap/>
          </w:tcPr>
          <w:p w14:paraId="03EFCA41" w14:textId="77777777" w:rsidR="00D65CB4" w:rsidRPr="00BC4EE7" w:rsidRDefault="00D65CB4">
            <w:pPr>
              <w:spacing w:after="0" w:line="240" w:lineRule="auto"/>
              <w:jc w:val="center"/>
              <w:rPr>
                <w:rFonts w:ascii="Times New Roman" w:eastAsia="Symbol" w:hAnsi="Times New Roman" w:cs="Times New Roman"/>
                <w:noProof/>
                <w:sz w:val="18"/>
              </w:rPr>
            </w:pPr>
          </w:p>
        </w:tc>
        <w:tc>
          <w:tcPr>
            <w:tcW w:w="829" w:type="dxa"/>
            <w:shd w:val="clear" w:color="auto" w:fill="C6EFCE"/>
            <w:noWrap/>
          </w:tcPr>
          <w:p w14:paraId="4FA49C9E"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Szám</w:t>
            </w:r>
          </w:p>
        </w:tc>
        <w:tc>
          <w:tcPr>
            <w:tcW w:w="966" w:type="dxa"/>
            <w:shd w:val="clear" w:color="auto" w:fill="C6EFCE"/>
            <w:noWrap/>
          </w:tcPr>
          <w:p w14:paraId="1FAB9ECC"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0</w:t>
            </w:r>
          </w:p>
        </w:tc>
        <w:tc>
          <w:tcPr>
            <w:tcW w:w="553" w:type="dxa"/>
            <w:shd w:val="clear" w:color="auto" w:fill="C6EFCE"/>
            <w:noWrap/>
          </w:tcPr>
          <w:p w14:paraId="1D0ADF7A"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5</w:t>
            </w:r>
          </w:p>
        </w:tc>
        <w:tc>
          <w:tcPr>
            <w:tcW w:w="415" w:type="dxa"/>
            <w:shd w:val="clear" w:color="auto" w:fill="C6EFCE"/>
            <w:noWrap/>
          </w:tcPr>
          <w:p w14:paraId="12684B35"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Q4</w:t>
            </w:r>
          </w:p>
        </w:tc>
        <w:tc>
          <w:tcPr>
            <w:tcW w:w="553" w:type="dxa"/>
            <w:shd w:val="clear" w:color="auto" w:fill="C6EFCE"/>
            <w:noWrap/>
          </w:tcPr>
          <w:p w14:paraId="0E6A961E"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2023</w:t>
            </w:r>
          </w:p>
        </w:tc>
        <w:tc>
          <w:tcPr>
            <w:tcW w:w="6888" w:type="dxa"/>
            <w:shd w:val="clear" w:color="auto" w:fill="C6EFCE"/>
            <w:noWrap/>
          </w:tcPr>
          <w:p w14:paraId="58CA16E2" w14:textId="77777777" w:rsidR="00D65CB4" w:rsidRPr="00BC4EE7" w:rsidRDefault="00572307">
            <w:pPr>
              <w:pStyle w:val="P68B1DB1-Normal12"/>
              <w:spacing w:after="0" w:line="240" w:lineRule="auto"/>
              <w:jc w:val="both"/>
              <w:rPr>
                <w:rFonts w:eastAsia="Symbol" w:cs="Times New Roman"/>
                <w:noProof/>
              </w:rPr>
            </w:pPr>
            <w:r w:rsidRPr="00BC4EE7">
              <w:rPr>
                <w:rFonts w:cs="Times New Roman"/>
                <w:noProof/>
              </w:rPr>
              <w:t>Legalább öt technológiai fejlesztés vagy prototípus finanszírozása a megújuló hidrogén értékláncában. Ezek (például elektrolizátorok, kompresszorok, tárolóhajók, üzemanyagcellák és hidrogénalapú közlekedési rendszerek) magukban foglalhatnak olyan fejlesztéseket, amelyek lehetővé teszik a gyártáshoz, a logisztikához és a hidrogénfogyasztáshoz kapcsolódó új, kibővített tervezés vagy prototípus validálását.</w:t>
            </w:r>
          </w:p>
        </w:tc>
      </w:tr>
      <w:tr w:rsidR="00D65CB4" w:rsidRPr="00BC4EE7" w14:paraId="13C14E05" w14:textId="77777777" w:rsidTr="00481CF8">
        <w:trPr>
          <w:trHeight w:val="309"/>
        </w:trPr>
        <w:tc>
          <w:tcPr>
            <w:tcW w:w="832" w:type="dxa"/>
            <w:shd w:val="clear" w:color="auto" w:fill="C6EFCE"/>
            <w:noWrap/>
          </w:tcPr>
          <w:p w14:paraId="4F1384E9"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133</w:t>
            </w:r>
          </w:p>
        </w:tc>
        <w:tc>
          <w:tcPr>
            <w:tcW w:w="1012" w:type="dxa"/>
            <w:shd w:val="clear" w:color="auto" w:fill="C6EFCE"/>
            <w:noWrap/>
          </w:tcPr>
          <w:p w14:paraId="3A6C49DB"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C9.I1</w:t>
            </w:r>
          </w:p>
        </w:tc>
        <w:tc>
          <w:tcPr>
            <w:tcW w:w="992" w:type="dxa"/>
            <w:shd w:val="clear" w:color="auto" w:fill="C6EFCE"/>
            <w:noWrap/>
          </w:tcPr>
          <w:p w14:paraId="1F655EAE"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1171" w:type="dxa"/>
            <w:shd w:val="clear" w:color="auto" w:fill="C6EFCE"/>
            <w:noWrap/>
          </w:tcPr>
          <w:p w14:paraId="6C0D95C0" w14:textId="77777777" w:rsidR="00D65CB4" w:rsidRPr="00BC4EE7" w:rsidRDefault="00572307">
            <w:pPr>
              <w:pStyle w:val="P68B1DB1-Normal12"/>
              <w:spacing w:after="0" w:line="240" w:lineRule="auto"/>
              <w:rPr>
                <w:rFonts w:cs="Times New Roman"/>
                <w:noProof/>
              </w:rPr>
            </w:pPr>
            <w:r w:rsidRPr="00BC4EE7">
              <w:rPr>
                <w:rFonts w:cs="Times New Roman"/>
                <w:noProof/>
              </w:rPr>
              <w:t xml:space="preserve">Megújulóhidrogén-klaszterek (vagy völgyek)  </w:t>
            </w:r>
          </w:p>
        </w:tc>
        <w:tc>
          <w:tcPr>
            <w:tcW w:w="1241" w:type="dxa"/>
            <w:shd w:val="clear" w:color="auto" w:fill="C6EFCE"/>
            <w:noWrap/>
          </w:tcPr>
          <w:p w14:paraId="5F96A722" w14:textId="77777777" w:rsidR="00D65CB4" w:rsidRPr="00BC4EE7" w:rsidRDefault="00D65CB4">
            <w:pPr>
              <w:spacing w:after="0" w:line="240" w:lineRule="auto"/>
              <w:jc w:val="center"/>
              <w:rPr>
                <w:rFonts w:ascii="Times New Roman" w:hAnsi="Times New Roman" w:cs="Times New Roman"/>
                <w:noProof/>
                <w:sz w:val="18"/>
              </w:rPr>
            </w:pPr>
          </w:p>
        </w:tc>
        <w:tc>
          <w:tcPr>
            <w:tcW w:w="829" w:type="dxa"/>
            <w:shd w:val="clear" w:color="auto" w:fill="C6EFCE"/>
            <w:noWrap/>
          </w:tcPr>
          <w:p w14:paraId="0EE310A7"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Szám</w:t>
            </w:r>
          </w:p>
        </w:tc>
        <w:tc>
          <w:tcPr>
            <w:tcW w:w="966" w:type="dxa"/>
            <w:shd w:val="clear" w:color="auto" w:fill="C6EFCE"/>
            <w:noWrap/>
          </w:tcPr>
          <w:p w14:paraId="35306EB0"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0</w:t>
            </w:r>
          </w:p>
        </w:tc>
        <w:tc>
          <w:tcPr>
            <w:tcW w:w="553" w:type="dxa"/>
            <w:shd w:val="clear" w:color="auto" w:fill="C6EFCE"/>
            <w:noWrap/>
          </w:tcPr>
          <w:p w14:paraId="78E884CA"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w:t>
            </w:r>
          </w:p>
        </w:tc>
        <w:tc>
          <w:tcPr>
            <w:tcW w:w="415" w:type="dxa"/>
            <w:shd w:val="clear" w:color="auto" w:fill="C6EFCE"/>
            <w:noWrap/>
          </w:tcPr>
          <w:p w14:paraId="755C47E4"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553" w:type="dxa"/>
            <w:shd w:val="clear" w:color="auto" w:fill="C6EFCE"/>
            <w:noWrap/>
          </w:tcPr>
          <w:p w14:paraId="57AA7494"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2023</w:t>
            </w:r>
          </w:p>
        </w:tc>
        <w:tc>
          <w:tcPr>
            <w:tcW w:w="6888" w:type="dxa"/>
            <w:shd w:val="clear" w:color="auto" w:fill="C6EFCE"/>
            <w:noWrap/>
          </w:tcPr>
          <w:p w14:paraId="4ECB08D3" w14:textId="77777777" w:rsidR="00D65CB4" w:rsidRPr="00BC4EE7" w:rsidRDefault="00572307">
            <w:pPr>
              <w:pStyle w:val="P68B1DB1-Normal12"/>
              <w:spacing w:after="0" w:line="240" w:lineRule="auto"/>
              <w:jc w:val="both"/>
              <w:rPr>
                <w:rFonts w:cs="Times New Roman"/>
                <w:noProof/>
              </w:rPr>
            </w:pPr>
            <w:r w:rsidRPr="00BC4EE7">
              <w:rPr>
                <w:rFonts w:cs="Times New Roman"/>
                <w:noProof/>
              </w:rPr>
              <w:t>Legalább két megújulóhidrogén-klaszter (vagy völgy) a finanszírozott ágazati integrációhoz. A klaszterek vagy nagy hidrogénvölgyek egyes helyszíneken koncentrálják és integrálják a megújuló hidrogén kínálatát, elosztását (logisztikáját) és keresletét, hogy kiszorítsák a szürke hidrogént és a fosszilis tüzelőanyagokat.</w:t>
            </w:r>
          </w:p>
        </w:tc>
      </w:tr>
      <w:tr w:rsidR="00D65CB4" w:rsidRPr="00BC4EE7" w14:paraId="694ABF21" w14:textId="77777777" w:rsidTr="00481CF8">
        <w:trPr>
          <w:trHeight w:val="309"/>
        </w:trPr>
        <w:tc>
          <w:tcPr>
            <w:tcW w:w="832" w:type="dxa"/>
            <w:shd w:val="clear" w:color="auto" w:fill="C6EFCE"/>
            <w:noWrap/>
          </w:tcPr>
          <w:p w14:paraId="5E7BE1F9"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134</w:t>
            </w:r>
          </w:p>
        </w:tc>
        <w:tc>
          <w:tcPr>
            <w:tcW w:w="1012" w:type="dxa"/>
            <w:shd w:val="clear" w:color="auto" w:fill="C6EFCE"/>
            <w:noWrap/>
          </w:tcPr>
          <w:p w14:paraId="6E05B520"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C9.I1</w:t>
            </w:r>
          </w:p>
        </w:tc>
        <w:tc>
          <w:tcPr>
            <w:tcW w:w="992" w:type="dxa"/>
            <w:shd w:val="clear" w:color="auto" w:fill="C6EFCE"/>
            <w:noWrap/>
          </w:tcPr>
          <w:p w14:paraId="3557F291"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1171" w:type="dxa"/>
            <w:shd w:val="clear" w:color="auto" w:fill="C6EFCE"/>
            <w:noWrap/>
          </w:tcPr>
          <w:p w14:paraId="5ED82443" w14:textId="77777777" w:rsidR="00D65CB4" w:rsidRPr="00BC4EE7" w:rsidRDefault="00572307">
            <w:pPr>
              <w:pStyle w:val="P68B1DB1-Normal12"/>
              <w:spacing w:after="0" w:line="240" w:lineRule="auto"/>
              <w:jc w:val="both"/>
              <w:rPr>
                <w:rFonts w:cs="Times New Roman"/>
                <w:noProof/>
              </w:rPr>
            </w:pPr>
            <w:r w:rsidRPr="00BC4EE7">
              <w:rPr>
                <w:rFonts w:cs="Times New Roman"/>
                <w:noProof/>
              </w:rPr>
              <w:t xml:space="preserve">Úttörő hidrogénprojektek  </w:t>
            </w:r>
          </w:p>
        </w:tc>
        <w:tc>
          <w:tcPr>
            <w:tcW w:w="1241" w:type="dxa"/>
            <w:shd w:val="clear" w:color="auto" w:fill="C6EFCE"/>
            <w:noWrap/>
          </w:tcPr>
          <w:p w14:paraId="5B95CD12" w14:textId="77777777" w:rsidR="00D65CB4" w:rsidRPr="00BC4EE7" w:rsidRDefault="00D65CB4">
            <w:pPr>
              <w:spacing w:after="0" w:line="240" w:lineRule="auto"/>
              <w:jc w:val="center"/>
              <w:rPr>
                <w:rFonts w:ascii="Times New Roman" w:hAnsi="Times New Roman" w:cs="Times New Roman"/>
                <w:noProof/>
                <w:sz w:val="18"/>
              </w:rPr>
            </w:pPr>
          </w:p>
        </w:tc>
        <w:tc>
          <w:tcPr>
            <w:tcW w:w="829" w:type="dxa"/>
            <w:shd w:val="clear" w:color="auto" w:fill="C6EFCE"/>
            <w:noWrap/>
          </w:tcPr>
          <w:p w14:paraId="3BC66541"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Szám</w:t>
            </w:r>
          </w:p>
        </w:tc>
        <w:tc>
          <w:tcPr>
            <w:tcW w:w="966" w:type="dxa"/>
            <w:shd w:val="clear" w:color="auto" w:fill="C6EFCE"/>
            <w:noWrap/>
          </w:tcPr>
          <w:p w14:paraId="2EAC5A90"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0</w:t>
            </w:r>
          </w:p>
        </w:tc>
        <w:tc>
          <w:tcPr>
            <w:tcW w:w="553" w:type="dxa"/>
            <w:shd w:val="clear" w:color="auto" w:fill="C6EFCE"/>
            <w:noWrap/>
          </w:tcPr>
          <w:p w14:paraId="3E1FE5D4"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10</w:t>
            </w:r>
          </w:p>
        </w:tc>
        <w:tc>
          <w:tcPr>
            <w:tcW w:w="415" w:type="dxa"/>
            <w:shd w:val="clear" w:color="auto" w:fill="C6EFCE"/>
            <w:noWrap/>
          </w:tcPr>
          <w:p w14:paraId="1B37B511"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553" w:type="dxa"/>
            <w:shd w:val="clear" w:color="auto" w:fill="C6EFCE"/>
            <w:noWrap/>
          </w:tcPr>
          <w:p w14:paraId="5D5D93FA"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2023</w:t>
            </w:r>
          </w:p>
        </w:tc>
        <w:tc>
          <w:tcPr>
            <w:tcW w:w="6888" w:type="dxa"/>
            <w:shd w:val="clear" w:color="auto" w:fill="C6EFCE"/>
            <w:noWrap/>
          </w:tcPr>
          <w:p w14:paraId="15C23AD9" w14:textId="77777777" w:rsidR="00D65CB4" w:rsidRPr="00BC4EE7" w:rsidRDefault="00572307">
            <w:pPr>
              <w:pStyle w:val="P68B1DB1-Normal12"/>
              <w:spacing w:after="0" w:line="240" w:lineRule="auto"/>
              <w:jc w:val="both"/>
              <w:rPr>
                <w:rFonts w:cs="Times New Roman"/>
                <w:noProof/>
              </w:rPr>
            </w:pPr>
            <w:r w:rsidRPr="00BC4EE7">
              <w:rPr>
                <w:rFonts w:cs="Times New Roman"/>
                <w:noProof/>
              </w:rPr>
              <w:t>Legalább tíz egyedi úttörő projektet finanszíroztak. Ezek közé tartoznak a megújuló hidrogénnek a klaszterektől eltérő helyszíneken történő előállítását, elosztását és fogyasztását magukban foglaló integrált projektek. A projektek magukban foglalhatják más szükséges tevékenységek, például a tudásalapú kutatás és kapacitás integrálását is.</w:t>
            </w:r>
          </w:p>
        </w:tc>
      </w:tr>
      <w:tr w:rsidR="00D65CB4" w:rsidRPr="00BC4EE7" w14:paraId="1FCD4E4E" w14:textId="77777777" w:rsidTr="00481CF8">
        <w:trPr>
          <w:trHeight w:val="309"/>
        </w:trPr>
        <w:tc>
          <w:tcPr>
            <w:tcW w:w="832" w:type="dxa"/>
            <w:shd w:val="clear" w:color="auto" w:fill="C6EFCE"/>
            <w:noWrap/>
          </w:tcPr>
          <w:p w14:paraId="5B7F6EDA"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135</w:t>
            </w:r>
          </w:p>
        </w:tc>
        <w:tc>
          <w:tcPr>
            <w:tcW w:w="1012" w:type="dxa"/>
            <w:shd w:val="clear" w:color="auto" w:fill="C6EFCE"/>
            <w:noWrap/>
          </w:tcPr>
          <w:p w14:paraId="662347B1"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C9.I1</w:t>
            </w:r>
          </w:p>
        </w:tc>
        <w:tc>
          <w:tcPr>
            <w:tcW w:w="992" w:type="dxa"/>
            <w:shd w:val="clear" w:color="auto" w:fill="C6EFCE"/>
            <w:noWrap/>
          </w:tcPr>
          <w:p w14:paraId="3330C96E"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1171" w:type="dxa"/>
            <w:shd w:val="clear" w:color="auto" w:fill="C6EFCE"/>
            <w:noWrap/>
          </w:tcPr>
          <w:p w14:paraId="447F5240" w14:textId="77777777" w:rsidR="00D65CB4" w:rsidRPr="00BC4EE7" w:rsidRDefault="00572307">
            <w:pPr>
              <w:pStyle w:val="P68B1DB1-Normal12"/>
              <w:spacing w:after="0" w:line="240" w:lineRule="auto"/>
              <w:jc w:val="both"/>
              <w:rPr>
                <w:rFonts w:cs="Times New Roman"/>
                <w:noProof/>
              </w:rPr>
            </w:pPr>
            <w:r w:rsidRPr="00BC4EE7">
              <w:rPr>
                <w:rFonts w:cs="Times New Roman"/>
                <w:noProof/>
              </w:rPr>
              <w:t>Vizsgálólétesítmények vagy új gyártósorok.</w:t>
            </w:r>
          </w:p>
        </w:tc>
        <w:tc>
          <w:tcPr>
            <w:tcW w:w="1241" w:type="dxa"/>
            <w:shd w:val="clear" w:color="auto" w:fill="C6EFCE"/>
            <w:noWrap/>
          </w:tcPr>
          <w:p w14:paraId="5220BBB2" w14:textId="77777777" w:rsidR="00D65CB4" w:rsidRPr="00BC4EE7" w:rsidRDefault="00D65CB4">
            <w:pPr>
              <w:spacing w:after="0" w:line="240" w:lineRule="auto"/>
              <w:jc w:val="center"/>
              <w:rPr>
                <w:rFonts w:ascii="Times New Roman" w:hAnsi="Times New Roman" w:cs="Times New Roman"/>
                <w:noProof/>
                <w:sz w:val="18"/>
              </w:rPr>
            </w:pPr>
          </w:p>
        </w:tc>
        <w:tc>
          <w:tcPr>
            <w:tcW w:w="829" w:type="dxa"/>
            <w:shd w:val="clear" w:color="auto" w:fill="C6EFCE"/>
            <w:noWrap/>
          </w:tcPr>
          <w:p w14:paraId="0AFFA88C"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Szám</w:t>
            </w:r>
          </w:p>
        </w:tc>
        <w:tc>
          <w:tcPr>
            <w:tcW w:w="966" w:type="dxa"/>
            <w:shd w:val="clear" w:color="auto" w:fill="C6EFCE"/>
            <w:noWrap/>
          </w:tcPr>
          <w:p w14:paraId="26EE7DBF"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0</w:t>
            </w:r>
          </w:p>
        </w:tc>
        <w:tc>
          <w:tcPr>
            <w:tcW w:w="553" w:type="dxa"/>
            <w:shd w:val="clear" w:color="auto" w:fill="C6EFCE"/>
            <w:noWrap/>
          </w:tcPr>
          <w:p w14:paraId="31830EAB"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10</w:t>
            </w:r>
          </w:p>
        </w:tc>
        <w:tc>
          <w:tcPr>
            <w:tcW w:w="415" w:type="dxa"/>
            <w:shd w:val="clear" w:color="auto" w:fill="C6EFCE"/>
            <w:noWrap/>
          </w:tcPr>
          <w:p w14:paraId="2B258E0F"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553" w:type="dxa"/>
            <w:shd w:val="clear" w:color="auto" w:fill="C6EFCE"/>
            <w:noWrap/>
          </w:tcPr>
          <w:p w14:paraId="53ECD6F9"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2023</w:t>
            </w:r>
          </w:p>
        </w:tc>
        <w:tc>
          <w:tcPr>
            <w:tcW w:w="6888" w:type="dxa"/>
            <w:shd w:val="clear" w:color="auto" w:fill="C6EFCE"/>
            <w:noWrap/>
          </w:tcPr>
          <w:p w14:paraId="56CF1166" w14:textId="77777777" w:rsidR="00D65CB4" w:rsidRPr="00BC4EE7" w:rsidRDefault="00572307">
            <w:pPr>
              <w:pStyle w:val="P68B1DB1-Normal12"/>
              <w:spacing w:after="0" w:line="240" w:lineRule="auto"/>
              <w:jc w:val="both"/>
              <w:rPr>
                <w:rFonts w:cs="Times New Roman"/>
                <w:noProof/>
              </w:rPr>
            </w:pPr>
            <w:r w:rsidRPr="00BC4EE7">
              <w:rPr>
                <w:rFonts w:cs="Times New Roman"/>
                <w:noProof/>
              </w:rPr>
              <w:t>Legalább tíz olyan beavatkozást finanszíroztak, amelyek célja a vizsgálati létesítmények fejlesztése vagy új gyártósorok megvalósítása. A beavatkozások:  1. a K+F+I-vel kapcsolatos vizsgálati létesítmények vagy laboratóriumok és/vagy a kapcsolódó berendezések javítása; vagy 2) a hidrogénnel és üzemanyagcellával kapcsolatos rendszerek, berendezések vagy alkatrészek gyártására szolgáló létesítmények és/vagy új berendezések (például szerszámgépek) vagy technikák javítása.</w:t>
            </w:r>
          </w:p>
        </w:tc>
      </w:tr>
      <w:tr w:rsidR="00D65CB4" w:rsidRPr="00BC4EE7" w14:paraId="6FC9F33E" w14:textId="77777777" w:rsidTr="00481CF8">
        <w:trPr>
          <w:trHeight w:val="309"/>
        </w:trPr>
        <w:tc>
          <w:tcPr>
            <w:tcW w:w="832" w:type="dxa"/>
            <w:shd w:val="clear" w:color="auto" w:fill="C6EFCE"/>
            <w:noWrap/>
          </w:tcPr>
          <w:p w14:paraId="01BB90B5"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136</w:t>
            </w:r>
          </w:p>
        </w:tc>
        <w:tc>
          <w:tcPr>
            <w:tcW w:w="1012" w:type="dxa"/>
            <w:shd w:val="clear" w:color="auto" w:fill="C6EFCE"/>
            <w:noWrap/>
          </w:tcPr>
          <w:p w14:paraId="69297731"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C9.I1</w:t>
            </w:r>
          </w:p>
        </w:tc>
        <w:tc>
          <w:tcPr>
            <w:tcW w:w="992" w:type="dxa"/>
            <w:shd w:val="clear" w:color="auto" w:fill="C6EFCE"/>
            <w:noWrap/>
          </w:tcPr>
          <w:p w14:paraId="49FACFB9"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1171" w:type="dxa"/>
            <w:shd w:val="clear" w:color="auto" w:fill="C6EFCE"/>
            <w:noWrap/>
          </w:tcPr>
          <w:p w14:paraId="3E33FC8F" w14:textId="77777777" w:rsidR="00D65CB4" w:rsidRPr="00BC4EE7" w:rsidRDefault="00572307">
            <w:pPr>
              <w:pStyle w:val="P68B1DB1-Normal12"/>
              <w:spacing w:after="0" w:line="240" w:lineRule="auto"/>
              <w:jc w:val="both"/>
              <w:rPr>
                <w:rFonts w:cs="Times New Roman"/>
                <w:noProof/>
              </w:rPr>
            </w:pPr>
            <w:r w:rsidRPr="00BC4EE7">
              <w:rPr>
                <w:rFonts w:cs="Times New Roman"/>
                <w:noProof/>
              </w:rPr>
              <w:t>Engedélyezett elektrolizátor-kapacitás</w:t>
            </w:r>
          </w:p>
        </w:tc>
        <w:tc>
          <w:tcPr>
            <w:tcW w:w="1241" w:type="dxa"/>
            <w:shd w:val="clear" w:color="auto" w:fill="C6EFCE"/>
            <w:noWrap/>
          </w:tcPr>
          <w:p w14:paraId="13CB595B" w14:textId="77777777" w:rsidR="00D65CB4" w:rsidRPr="00BC4EE7" w:rsidRDefault="00D65CB4">
            <w:pPr>
              <w:spacing w:after="0" w:line="240" w:lineRule="auto"/>
              <w:jc w:val="center"/>
              <w:rPr>
                <w:rFonts w:ascii="Times New Roman" w:hAnsi="Times New Roman" w:cs="Times New Roman"/>
                <w:noProof/>
                <w:sz w:val="18"/>
              </w:rPr>
            </w:pPr>
          </w:p>
        </w:tc>
        <w:tc>
          <w:tcPr>
            <w:tcW w:w="829" w:type="dxa"/>
            <w:shd w:val="clear" w:color="auto" w:fill="C6EFCE"/>
            <w:noWrap/>
          </w:tcPr>
          <w:p w14:paraId="541F1B07"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Szám</w:t>
            </w:r>
          </w:p>
          <w:p w14:paraId="5F8575A9"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(MW)</w:t>
            </w:r>
          </w:p>
        </w:tc>
        <w:tc>
          <w:tcPr>
            <w:tcW w:w="966" w:type="dxa"/>
            <w:shd w:val="clear" w:color="auto" w:fill="C6EFCE"/>
            <w:noWrap/>
          </w:tcPr>
          <w:p w14:paraId="5C0A68D0"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0</w:t>
            </w:r>
          </w:p>
        </w:tc>
        <w:tc>
          <w:tcPr>
            <w:tcW w:w="553" w:type="dxa"/>
            <w:shd w:val="clear" w:color="auto" w:fill="C6EFCE"/>
            <w:noWrap/>
          </w:tcPr>
          <w:p w14:paraId="11BB722B" w14:textId="41471449" w:rsidR="00D65CB4" w:rsidRPr="00BC4EE7" w:rsidRDefault="00572307">
            <w:pPr>
              <w:pStyle w:val="P68B1DB1-Normal12"/>
              <w:spacing w:after="0" w:line="240" w:lineRule="auto"/>
              <w:jc w:val="center"/>
              <w:rPr>
                <w:rFonts w:cs="Times New Roman"/>
                <w:noProof/>
              </w:rPr>
            </w:pPr>
            <w:r w:rsidRPr="00BC4EE7">
              <w:rPr>
                <w:rFonts w:cs="Times New Roman"/>
                <w:noProof/>
              </w:rPr>
              <w:t>700</w:t>
            </w:r>
          </w:p>
        </w:tc>
        <w:tc>
          <w:tcPr>
            <w:tcW w:w="415" w:type="dxa"/>
            <w:shd w:val="clear" w:color="auto" w:fill="C6EFCE"/>
            <w:noWrap/>
          </w:tcPr>
          <w:p w14:paraId="7EBA18D0"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553" w:type="dxa"/>
            <w:shd w:val="clear" w:color="auto" w:fill="C6EFCE"/>
            <w:noWrap/>
          </w:tcPr>
          <w:p w14:paraId="2EF6E9DD"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2026</w:t>
            </w:r>
          </w:p>
        </w:tc>
        <w:tc>
          <w:tcPr>
            <w:tcW w:w="6888" w:type="dxa"/>
            <w:shd w:val="clear" w:color="auto" w:fill="C6EFCE"/>
            <w:noWrap/>
          </w:tcPr>
          <w:p w14:paraId="1AE03AEF" w14:textId="5EE20C7C" w:rsidR="00D65CB4" w:rsidRPr="00BC4EE7" w:rsidRDefault="00572307">
            <w:pPr>
              <w:pStyle w:val="P68B1DB1-Normal12"/>
              <w:spacing w:after="0" w:line="240" w:lineRule="auto"/>
              <w:jc w:val="both"/>
              <w:rPr>
                <w:rFonts w:cs="Times New Roman"/>
                <w:noProof/>
              </w:rPr>
            </w:pPr>
            <w:r w:rsidRPr="00BC4EE7">
              <w:rPr>
                <w:rFonts w:cs="Times New Roman"/>
                <w:noProof/>
              </w:rPr>
              <w:t>Legalább 700 MW teljes engedélyezett elektrolizátor-kapacitás, beleértve a kiegészítő infrastruktúrát is. Akkreditáció a következő három eszköz valamelyikével: a megújuló gázok származási garanciáira vonatkozó nemzeti rendszer vagy az üzem illetékes szerv által kiadott közigazgatási engedélye vagy a kedvezményezett által rendelkezésre bocsátott végleges beruházási határozat (FID) felvétele a nemzeti nyilvántartásba.</w:t>
            </w:r>
          </w:p>
        </w:tc>
      </w:tr>
    </w:tbl>
    <w:p w14:paraId="675E05EE" w14:textId="77777777" w:rsidR="00D65CB4" w:rsidRPr="00BC4EE7" w:rsidRDefault="00D65CB4">
      <w:pPr>
        <w:spacing w:before="120" w:after="120" w:line="240" w:lineRule="auto"/>
        <w:ind w:left="709"/>
        <w:jc w:val="both"/>
        <w:rPr>
          <w:rFonts w:ascii="Times New Roman" w:hAnsi="Times New Roman" w:cs="Times New Roman"/>
          <w:noProof/>
          <w:sz w:val="24"/>
        </w:rPr>
        <w:sectPr w:rsidR="00D65CB4" w:rsidRPr="00BC4EE7" w:rsidSect="00B511EF">
          <w:headerReference w:type="even" r:id="rId207"/>
          <w:headerReference w:type="default" r:id="rId208"/>
          <w:footerReference w:type="even" r:id="rId209"/>
          <w:footerReference w:type="default" r:id="rId210"/>
          <w:headerReference w:type="first" r:id="rId211"/>
          <w:footerReference w:type="first" r:id="rId212"/>
          <w:pgSz w:w="16839" w:h="11907" w:orient="landscape"/>
          <w:pgMar w:top="1134" w:right="1134" w:bottom="1134" w:left="1134" w:header="567" w:footer="567" w:gutter="0"/>
          <w:cols w:space="720"/>
          <w:docGrid w:linePitch="360"/>
        </w:sectPr>
      </w:pPr>
    </w:p>
    <w:p w14:paraId="5B1C3E22" w14:textId="5F2EDB9B" w:rsidR="00D65CB4" w:rsidRPr="00BC4EE7" w:rsidRDefault="00572307">
      <w:pPr>
        <w:pStyle w:val="P68B1DB1-Heading12"/>
        <w:rPr>
          <w:rFonts w:cs="Times New Roman"/>
          <w:noProof/>
        </w:rPr>
      </w:pPr>
      <w:r w:rsidRPr="00BC4EE7">
        <w:rPr>
          <w:rFonts w:cs="Times New Roman"/>
          <w:noProof/>
        </w:rPr>
        <w:t>J. 10. KOMPONENS: Igazságos átmenet</w:t>
      </w:r>
    </w:p>
    <w:p w14:paraId="5BB6F28A" w14:textId="77777777" w:rsidR="00D65CB4" w:rsidRPr="00BC4EE7" w:rsidRDefault="00572307">
      <w:pPr>
        <w:pStyle w:val="P68B1DB1-Normal21"/>
        <w:spacing w:before="120" w:after="120" w:line="240" w:lineRule="auto"/>
        <w:jc w:val="both"/>
        <w:rPr>
          <w:rFonts w:cs="Times New Roman"/>
          <w:noProof/>
        </w:rPr>
      </w:pPr>
      <w:r w:rsidRPr="00BC4EE7">
        <w:rPr>
          <w:rFonts w:cs="Times New Roman"/>
          <w:noProof/>
        </w:rPr>
        <w:t>A spanyol helyreállítási és rezilienciaépítési terv ezen komponense a bezárt szénbányák és széntüzelésű/atomerőművek által érintett földrajzi területekre gyakorolt gazdasági és társadalmi hatásokkal foglalkozik, amelyet tovább súlyosbított a Covid19-világjárvány hatása és a hőerőművek bezárása. További cél a termelési modell megváltoztatása és az átalakulás ösztönzése a területek reziliensebb gazdasági és társadalmi modelljének támogatása érdekében. A stratégia a Méltányos Átállást Támogató Alap (IÁA) spanyol területi tervével párhuzamosan került kidolgozásra, amelynek célja, hogy szélesebb alkalmazási körrel, hosszabb időtartammal rendelkezzen, és stratégiaibb módon összpontosítson a vállalkozásfejlesztésre és -támogatásra.</w:t>
      </w:r>
    </w:p>
    <w:p w14:paraId="6C066958"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komponens hozzájárul a foglalkoztatás támogatásához kapcsolódó országspecifikus ajánlásoknak a munkahelyek megőrzésére irányuló intézkedések, valamint a munkaerő-felvétel és a készségfejlesztés hatékony ösztönzői révén történő támogatásához (2020. évi 2. országspecifikus ajánlás); a zöld átállást előmozdító köz- és magánberuházások előmozdítása (2020. évi 3. országspecifikus ajánlás); valamint a kormányzati szintek közötti együttműködés megerősítése (2019. évi 4. országspecifikus ajánlás).</w:t>
      </w:r>
    </w:p>
    <w:p w14:paraId="4A870DE6" w14:textId="77777777" w:rsidR="00D65CB4" w:rsidRPr="00BC4EE7" w:rsidRDefault="00572307">
      <w:pPr>
        <w:pStyle w:val="P68B1DB1-Normal4"/>
        <w:spacing w:before="120" w:after="120" w:line="240" w:lineRule="auto"/>
        <w:jc w:val="both"/>
        <w:rPr>
          <w:rFonts w:cs="Times New Roman"/>
          <w:noProof/>
          <w:shd w:val="clear" w:color="auto" w:fill="FFFFFF"/>
        </w:rPr>
      </w:pPr>
      <w:r w:rsidRPr="00BC4EE7">
        <w:rPr>
          <w:rFonts w:cs="Times New Roman"/>
          <w:noProof/>
        </w:rPr>
        <w:t>A jelentős károkozás elkerülését célzó elvről szóló technikai iránymutatásnak (2021/C58/01) megfelelően a helyreállítási és rezilienciaépítési tervben meghatározott intézkedések leírását és a helyreállítási és rezilienciaépítési tervben meghatározott enyhítő lépéseket figyelembe véve ebben a komponensben várhatóan egyetlen intézkedés sem sérti jelentős mértékben az (EU) 2020/852 rendelet 17. cikke szerinti környezeti célkitűzéseket.</w:t>
      </w:r>
    </w:p>
    <w:p w14:paraId="42759D05" w14:textId="77777777" w:rsidR="00D65CB4" w:rsidRPr="00BC4EE7" w:rsidRDefault="00572307">
      <w:pPr>
        <w:spacing w:before="120" w:after="120" w:line="240" w:lineRule="auto"/>
        <w:ind w:left="709"/>
        <w:jc w:val="both"/>
        <w:rPr>
          <w:rFonts w:ascii="Times New Roman" w:hAnsi="Times New Roman" w:cs="Times New Roman"/>
          <w:b/>
          <w:i/>
          <w:noProof/>
          <w:sz w:val="24"/>
        </w:rPr>
      </w:pPr>
      <w:r w:rsidRPr="00BC4EE7">
        <w:rPr>
          <w:rFonts w:ascii="Times New Roman" w:hAnsi="Times New Roman" w:cs="Times New Roman"/>
          <w:b/>
          <w:noProof/>
          <w:sz w:val="24"/>
          <w:u w:val="single"/>
        </w:rPr>
        <w:t xml:space="preserve">J.1.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Vissza nem térítendő pénzügyi támogatás – a reformok és beruházások ismertetése</w:t>
      </w:r>
    </w:p>
    <w:p w14:paraId="7BF9F8E3" w14:textId="77777777" w:rsidR="00D65CB4" w:rsidRPr="00BC4EE7" w:rsidRDefault="00572307">
      <w:pPr>
        <w:pStyle w:val="P68B1DB1-Normal22"/>
        <w:spacing w:before="120" w:after="120" w:line="240" w:lineRule="auto"/>
        <w:jc w:val="both"/>
        <w:rPr>
          <w:rFonts w:cs="Times New Roman"/>
          <w:noProof/>
        </w:rPr>
      </w:pPr>
      <w:r w:rsidRPr="00BC4EE7">
        <w:rPr>
          <w:rFonts w:cs="Times New Roman"/>
          <w:noProof/>
        </w:rPr>
        <w:t>Reform (C10.R1) – Az igazságos átmenetről szóló jegyzőkönyvek</w:t>
      </w:r>
    </w:p>
    <w:p w14:paraId="71CB9634" w14:textId="77777777" w:rsidR="00D65CB4" w:rsidRPr="00BC4EE7" w:rsidRDefault="00572307">
      <w:pPr>
        <w:pStyle w:val="P68B1DB1-Normal21"/>
        <w:spacing w:before="120" w:after="120" w:line="240" w:lineRule="auto"/>
        <w:jc w:val="both"/>
        <w:rPr>
          <w:rFonts w:cs="Times New Roman"/>
          <w:noProof/>
        </w:rPr>
      </w:pPr>
      <w:r w:rsidRPr="00BC4EE7">
        <w:rPr>
          <w:rFonts w:cs="Times New Roman"/>
          <w:noProof/>
        </w:rPr>
        <w:t xml:space="preserve">2020 februárjában a kormány jóváhagyta a nemzeti energia- és klímatervben (NEKT) tükröződő igazságos átmenet stratégiát. E stratégia keretében és a spanyol helyreállítási és rezilienciaépítési terv keretében ez a reform 12 igazságos átmenetről szóló jegyzőkönyvet hoz létre a szénbányák és a széntüzelésű erőművek bezárása által érintett valamennyi területre vonatkozóan. A Méltányos Átállást Támogató Alap minden egyes protokolljának ki kell terjednie legalább a széntüzelésű erőmű bezárása által érintett területre. A jegyzőkönyvek átfogó és részletes területi cselekvési terveket határoznak meg az érintett területek környezeti, gazdasági és társadalmi fenntarthatóságának eszközeként. A hangsúlyt </w:t>
      </w:r>
      <w:r w:rsidRPr="00BC4EE7">
        <w:rPr>
          <w:rFonts w:cs="Times New Roman"/>
          <w:i/>
          <w:noProof/>
        </w:rPr>
        <w:t>többek között</w:t>
      </w:r>
      <w:r w:rsidRPr="00BC4EE7">
        <w:rPr>
          <w:rFonts w:cs="Times New Roman"/>
          <w:noProof/>
        </w:rPr>
        <w:t xml:space="preserve"> a munkahelyek fenntartására és létrehozására, a diverzifikáció és a szakosodás előmozdítására, az elnéptelenedés elleni küzdelem szempontjából a területek vonzerejének növelésére, valamint a földterületek környezeti helyreállítására kell helyezni. Ezek a jegyzőkönyvek magukban foglalják az érintett helyi szereplők (köz- és magánszféra, beleértve a vállalkozásokat, a szociális partnereket, az oktatási ágazatot, a nem kormányzati szervezeteket stb.) együttműködését. </w:t>
      </w:r>
    </w:p>
    <w:p w14:paraId="4B3369C9" w14:textId="77777777" w:rsidR="00D65CB4" w:rsidRPr="00BC4EE7" w:rsidRDefault="00572307">
      <w:pPr>
        <w:pStyle w:val="P68B1DB1-Normal21"/>
        <w:spacing w:before="120" w:after="120" w:line="240" w:lineRule="auto"/>
        <w:jc w:val="both"/>
        <w:rPr>
          <w:rFonts w:cs="Times New Roman"/>
          <w:noProof/>
        </w:rPr>
      </w:pPr>
      <w:r w:rsidRPr="00BC4EE7">
        <w:rPr>
          <w:rFonts w:cs="Times New Roman"/>
          <w:noProof/>
        </w:rPr>
        <w:t xml:space="preserve">Ez a reform magában foglalja a Méltányos Átmenet Intézet létrehozását is. Az Intézet célja olyan intézkedések azonosítása és elfogadása, amelyek garantálják az alacsony szén-dioxid-kibocsátású gazdaságra való átállás által érintett munkavállalók és területek méltányos kezelését, az e területek foglalkoztatására és lakosságára gyakorolt negatív hatások minimalizálását, valamint az átalakulási folyamat lehetőségeinek optimalizálását. Az Intézet fő feladatai közé tartozik az iparpolitikai tervezés, a kutatás-fejlesztés, a gazdasági tevékenység, a foglalkoztatás és a szakképzés előmozdítása. </w:t>
      </w:r>
    </w:p>
    <w:p w14:paraId="12C249A7" w14:textId="77777777" w:rsidR="00D65CB4" w:rsidRPr="00BC4EE7" w:rsidRDefault="00572307">
      <w:pPr>
        <w:pStyle w:val="P68B1DB1-Normal21"/>
        <w:spacing w:before="120" w:after="120" w:line="240" w:lineRule="auto"/>
        <w:jc w:val="both"/>
        <w:rPr>
          <w:rFonts w:cs="Times New Roman"/>
          <w:noProof/>
        </w:rPr>
      </w:pPr>
      <w:r w:rsidRPr="00BC4EE7">
        <w:rPr>
          <w:rFonts w:cs="Times New Roman"/>
          <w:noProof/>
        </w:rPr>
        <w:t xml:space="preserve">Az intézkedés magában foglalja egy olyan tanácsadó testület létrehozását is, amely a minisztériumok képviselőiből, valamint a helyi és regionális önkormányzatok képviselőiből áll, és amely tanácsot ad és értékeli az igazságos átmenetre vonatkozó szakpolitikák hatását. </w:t>
      </w:r>
    </w:p>
    <w:p w14:paraId="36F54EEC" w14:textId="77777777" w:rsidR="00D65CB4" w:rsidRPr="00BC4EE7" w:rsidRDefault="00572307">
      <w:pPr>
        <w:pStyle w:val="P68B1DB1-Normal21"/>
        <w:spacing w:before="120" w:after="120" w:line="240" w:lineRule="auto"/>
        <w:jc w:val="both"/>
        <w:rPr>
          <w:rFonts w:cs="Times New Roman"/>
          <w:noProof/>
        </w:rPr>
      </w:pPr>
      <w:r w:rsidRPr="00BC4EE7">
        <w:rPr>
          <w:rFonts w:cs="Times New Roman"/>
          <w:noProof/>
        </w:rPr>
        <w:t>Az intézkedés végrehajtását 2023. június 30-ig be kell fejezni.</w:t>
      </w:r>
    </w:p>
    <w:p w14:paraId="209E9848" w14:textId="77777777" w:rsidR="00D65CB4" w:rsidRPr="00BC4EE7" w:rsidRDefault="00572307">
      <w:pPr>
        <w:pStyle w:val="P68B1DB1-Normal22"/>
        <w:spacing w:before="120" w:after="120" w:line="240" w:lineRule="auto"/>
        <w:jc w:val="both"/>
        <w:rPr>
          <w:rFonts w:cs="Times New Roman"/>
          <w:noProof/>
        </w:rPr>
      </w:pPr>
      <w:r w:rsidRPr="00BC4EE7">
        <w:rPr>
          <w:rFonts w:cs="Times New Roman"/>
          <w:noProof/>
        </w:rPr>
        <w:t>Beruházás (C10.I1) – Igazságos átmenetbe történő beruházás</w:t>
      </w:r>
    </w:p>
    <w:p w14:paraId="121B1291" w14:textId="77777777" w:rsidR="00D65CB4" w:rsidRPr="00BC4EE7" w:rsidRDefault="00572307">
      <w:pPr>
        <w:pStyle w:val="P68B1DB1-Normal21"/>
        <w:spacing w:before="120" w:after="120" w:line="240" w:lineRule="auto"/>
        <w:jc w:val="both"/>
        <w:rPr>
          <w:rFonts w:cs="Times New Roman"/>
          <w:noProof/>
        </w:rPr>
      </w:pPr>
      <w:r w:rsidRPr="00BC4EE7">
        <w:rPr>
          <w:rFonts w:cs="Times New Roman"/>
          <w:noProof/>
        </w:rPr>
        <w:t xml:space="preserve">Az igazságos átmenetről szóló jegyzőkönyveket a területeken végrehajtott beruházásoknak kell kísérniük annak érdekében, hogy: </w:t>
      </w:r>
    </w:p>
    <w:p w14:paraId="3F06503D" w14:textId="77777777" w:rsidR="00D65CB4" w:rsidRPr="00BC4EE7" w:rsidRDefault="00572307">
      <w:pPr>
        <w:pStyle w:val="P68B1DB1-Normal21"/>
        <w:numPr>
          <w:ilvl w:val="0"/>
          <w:numId w:val="105"/>
        </w:numPr>
        <w:spacing w:before="120" w:after="120" w:line="240" w:lineRule="auto"/>
        <w:jc w:val="both"/>
        <w:rPr>
          <w:rFonts w:cs="Times New Roman"/>
          <w:noProof/>
        </w:rPr>
      </w:pPr>
      <w:r w:rsidRPr="00BC4EE7">
        <w:rPr>
          <w:rFonts w:cs="Times New Roman"/>
          <w:noProof/>
        </w:rPr>
        <w:t xml:space="preserve">munkahelyteremtés és a rövid távú tevékenységek támogatása; </w:t>
      </w:r>
    </w:p>
    <w:p w14:paraId="3E748B07" w14:textId="77777777" w:rsidR="00D65CB4" w:rsidRPr="00BC4EE7" w:rsidRDefault="00572307">
      <w:pPr>
        <w:pStyle w:val="P68B1DB1-Normal21"/>
        <w:numPr>
          <w:ilvl w:val="0"/>
          <w:numId w:val="105"/>
        </w:numPr>
        <w:spacing w:before="120" w:after="120" w:line="240" w:lineRule="auto"/>
        <w:jc w:val="both"/>
        <w:rPr>
          <w:rFonts w:cs="Times New Roman"/>
          <w:noProof/>
        </w:rPr>
      </w:pPr>
      <w:r w:rsidRPr="00BC4EE7">
        <w:rPr>
          <w:rFonts w:cs="Times New Roman"/>
          <w:noProof/>
        </w:rPr>
        <w:t>gyorsítsa fel a változást azáltal, hogy a kisebb léptékű kísérleti projektekre összpontosít, amelyeket – amennyiben sikeresnek ítélik – a MÁTA keretében kiterjesztenék; és</w:t>
      </w:r>
    </w:p>
    <w:p w14:paraId="15A0C0C7" w14:textId="77777777" w:rsidR="00D65CB4" w:rsidRPr="00BC4EE7" w:rsidRDefault="00572307">
      <w:pPr>
        <w:pStyle w:val="P68B1DB1-Normal21"/>
        <w:numPr>
          <w:ilvl w:val="0"/>
          <w:numId w:val="105"/>
        </w:numPr>
        <w:spacing w:before="120" w:after="120" w:line="240" w:lineRule="auto"/>
        <w:jc w:val="both"/>
        <w:rPr>
          <w:rFonts w:cs="Times New Roman"/>
          <w:noProof/>
        </w:rPr>
      </w:pPr>
      <w:r w:rsidRPr="00BC4EE7">
        <w:rPr>
          <w:rFonts w:cs="Times New Roman"/>
          <w:noProof/>
        </w:rPr>
        <w:t xml:space="preserve">a gazdasági fejlődés fellendítése, hozzájárulva a társadalmi és területi kohézióhoz. </w:t>
      </w:r>
    </w:p>
    <w:p w14:paraId="0C490A71" w14:textId="77777777" w:rsidR="00D65CB4" w:rsidRPr="00BC4EE7" w:rsidRDefault="00572307">
      <w:pPr>
        <w:pStyle w:val="P68B1DB1-Normal21"/>
        <w:spacing w:before="120" w:after="120" w:line="240" w:lineRule="auto"/>
        <w:jc w:val="both"/>
        <w:rPr>
          <w:rFonts w:cs="Times New Roman"/>
          <w:noProof/>
        </w:rPr>
      </w:pPr>
      <w:r w:rsidRPr="00BC4EE7">
        <w:rPr>
          <w:rFonts w:cs="Times New Roman"/>
          <w:noProof/>
        </w:rPr>
        <w:t xml:space="preserve">A projektek négy konkrét területet céloznak meg: </w:t>
      </w:r>
    </w:p>
    <w:p w14:paraId="0952D290" w14:textId="77777777" w:rsidR="00D65CB4" w:rsidRPr="00BC4EE7" w:rsidRDefault="00572307">
      <w:pPr>
        <w:pStyle w:val="P68B1DB1-Normal4"/>
        <w:numPr>
          <w:ilvl w:val="0"/>
          <w:numId w:val="104"/>
        </w:numPr>
        <w:spacing w:before="120" w:after="120" w:line="240" w:lineRule="auto"/>
        <w:jc w:val="both"/>
        <w:rPr>
          <w:rFonts w:cs="Times New Roman"/>
          <w:noProof/>
          <w:shd w:val="clear" w:color="auto" w:fill="FFFFFF"/>
        </w:rPr>
      </w:pPr>
      <w:r w:rsidRPr="00BC4EE7">
        <w:rPr>
          <w:rFonts w:cs="Times New Roman"/>
          <w:noProof/>
          <w:shd w:val="clear" w:color="auto" w:fill="FFFFFF"/>
        </w:rPr>
        <w:t xml:space="preserve">Környezetvédelmi helyreállítási tervek (pl. </w:t>
      </w:r>
      <w:r w:rsidRPr="00BC4EE7">
        <w:rPr>
          <w:rFonts w:cs="Times New Roman"/>
          <w:noProof/>
        </w:rPr>
        <w:t>újraerdősítés vagy rehabilitáció) a</w:t>
      </w:r>
      <w:r w:rsidRPr="00BC4EE7">
        <w:rPr>
          <w:rFonts w:cs="Times New Roman"/>
          <w:noProof/>
          <w:shd w:val="clear" w:color="auto" w:fill="FFFFFF"/>
        </w:rPr>
        <w:t xml:space="preserve"> bezárt vagy felhagyott bányatelepekre, valamint a hőerőművekkel vagy atomerőművekkel szomszédos, legalább 2000 hektárnyi rehabilitált földterületre kiterjedő leromlott földterületre vonatkozóan.</w:t>
      </w:r>
      <w:r w:rsidRPr="00BC4EE7">
        <w:rPr>
          <w:rFonts w:cs="Times New Roman"/>
          <w:noProof/>
        </w:rPr>
        <w:t xml:space="preserve"> </w:t>
      </w:r>
      <w:r w:rsidRPr="00BC4EE7">
        <w:rPr>
          <w:rFonts w:cs="Times New Roman"/>
          <w:noProof/>
          <w:shd w:val="clear" w:color="auto" w:fill="FFFFFF"/>
        </w:rPr>
        <w:t xml:space="preserve"> E tervek részeként az erőmű- és bányászati létesítményeket le kell bontani, és a talajt rehabilitálni kell, és újraerdősítési vagy rekultációs folyamatoknak, megújulóenergia-létesítményeknek vagy ökoalternatív gazdasági fejlődésnek kell alávetni;</w:t>
      </w:r>
    </w:p>
    <w:p w14:paraId="700ACC35" w14:textId="77AF67D7" w:rsidR="00D65CB4" w:rsidRPr="00BC4EE7" w:rsidRDefault="00572307">
      <w:pPr>
        <w:pStyle w:val="P68B1DB1-Normal4"/>
        <w:numPr>
          <w:ilvl w:val="0"/>
          <w:numId w:val="104"/>
        </w:numPr>
        <w:spacing w:before="120" w:after="120" w:line="240" w:lineRule="auto"/>
        <w:jc w:val="both"/>
        <w:rPr>
          <w:rFonts w:cs="Times New Roman"/>
          <w:noProof/>
        </w:rPr>
      </w:pPr>
      <w:r w:rsidRPr="00BC4EE7">
        <w:rPr>
          <w:rFonts w:cs="Times New Roman"/>
          <w:noProof/>
          <w:shd w:val="clear" w:color="auto" w:fill="FFFFFF"/>
        </w:rPr>
        <w:t xml:space="preserve">Legalább </w:t>
      </w:r>
      <w:r w:rsidRPr="00BC4EE7">
        <w:rPr>
          <w:rFonts w:cs="Times New Roman"/>
          <w:noProof/>
        </w:rPr>
        <w:t>130</w:t>
      </w:r>
      <w:r w:rsidRPr="00BC4EE7">
        <w:rPr>
          <w:rFonts w:cs="Times New Roman"/>
          <w:noProof/>
          <w:shd w:val="clear" w:color="auto" w:fill="FFFFFF"/>
        </w:rPr>
        <w:t xml:space="preserve"> környezetvédelmi, digitális és szociális infrastrukturális projekt az alacsony szén-dioxid-kibocsátású gazdaságra való átállásban lévő településeken és területeken, összesen legalább 102 000 000 EUR pénzügyi beruházással. A projekteknek számos területre ki kell terjedniük, többek között a következőkre: az infrastruktúra és a középületek</w:t>
      </w:r>
      <w:r w:rsidRPr="00BC4EE7">
        <w:rPr>
          <w:rFonts w:cs="Times New Roman"/>
          <w:noProof/>
        </w:rPr>
        <w:t>rehabilitációja; a fenntartható mobilitási megoldásokon, valamint a meglévő közlekedési infrastruktúra helyreállításán és alternatív használatán alapuló, települések vagy elszigetelt népességi területek közötti kommunikációra irányuló innovatív projektek; a körforgásos gazdaságot támogató állami infrastruktúra rehabilitációja, beleértve a közösségi komposztáló üzemeket és a hulladékgazdálkodási központokat; környezetvédelmi projektek az állami tulajdonban lévő területek (például tartalékok, folyójárók vagy rakpartok és természet-tolmácsolási területek) rehabilitációjára és fejlesztésére; az ökológiai termékekkel foglalkozó szövetkezetek fejlesztéséhez szükséges digitális infrastruktúra és szolgáltatások, illetve az interneten keresztül történő közös vásárlásra és értékesítésre szolgáló közösségi rendszerek.</w:t>
      </w:r>
    </w:p>
    <w:p w14:paraId="68A2ED79" w14:textId="5A105EE8" w:rsidR="00D65CB4" w:rsidRPr="00BC4EE7" w:rsidRDefault="00572307">
      <w:pPr>
        <w:pStyle w:val="P68B1DB1-Normal4"/>
        <w:numPr>
          <w:ilvl w:val="0"/>
          <w:numId w:val="104"/>
        </w:numPr>
        <w:spacing w:before="120" w:after="120" w:line="240" w:lineRule="auto"/>
        <w:jc w:val="both"/>
        <w:rPr>
          <w:rFonts w:cs="Times New Roman"/>
          <w:noProof/>
          <w:shd w:val="clear" w:color="auto" w:fill="FFFFFF"/>
        </w:rPr>
      </w:pPr>
      <w:r w:rsidRPr="00BC4EE7">
        <w:rPr>
          <w:rFonts w:cs="Times New Roman"/>
          <w:noProof/>
          <w:shd w:val="clear" w:color="auto" w:fill="FFFFFF"/>
        </w:rPr>
        <w:t>Két K+F+I projekt támogatása az energiatárolás és a zöld hidrogén területén</w:t>
      </w:r>
      <w:r w:rsidRPr="00BC4EE7">
        <w:rPr>
          <w:rFonts w:cs="Times New Roman"/>
          <w:noProof/>
        </w:rPr>
        <w:t>. A projekteknek ki kell igazítaniuk a CIUDEN (</w:t>
      </w:r>
      <w:r w:rsidRPr="00BC4EE7">
        <w:rPr>
          <w:rFonts w:cs="Times New Roman"/>
          <w:i/>
          <w:noProof/>
        </w:rPr>
        <w:t xml:space="preserve">Ciudad de la Energía) </w:t>
      </w:r>
      <w:r w:rsidRPr="00BC4EE7">
        <w:rPr>
          <w:rFonts w:cs="Times New Roman"/>
          <w:noProof/>
        </w:rPr>
        <w:t>– az Igazságos Átmenet Intézethez tartozó Bierzoban (Leon) létrehozott kormányzati K+F+I alapítvány – létesítményeit és laboratóriumait a zöld hidrogén előállításával és energiatárolással kapcsolatos két K+F+I projekthez; és</w:t>
      </w:r>
    </w:p>
    <w:p w14:paraId="30266114" w14:textId="43BD2763" w:rsidR="00D65CB4" w:rsidRPr="00BC4EE7" w:rsidRDefault="00572307">
      <w:pPr>
        <w:pStyle w:val="P68B1DB1-Normal4"/>
        <w:numPr>
          <w:ilvl w:val="0"/>
          <w:numId w:val="104"/>
        </w:numPr>
        <w:spacing w:before="120" w:after="120" w:line="240" w:lineRule="auto"/>
        <w:jc w:val="both"/>
        <w:rPr>
          <w:rFonts w:cs="Times New Roman"/>
          <w:noProof/>
          <w:shd w:val="clear" w:color="auto" w:fill="FFFFFF"/>
        </w:rPr>
      </w:pPr>
      <w:r w:rsidRPr="00BC4EE7">
        <w:rPr>
          <w:rFonts w:cs="Times New Roman"/>
          <w:noProof/>
          <w:shd w:val="clear" w:color="auto" w:fill="FFFFFF"/>
        </w:rPr>
        <w:t xml:space="preserve">A munkavállalók és az alacsony szén-dioxid-kibocsátású gazdaságra való átállás által érintett személyek átképzésének és foglalkoztathatóságának javítása, amelynek keretében legalább </w:t>
      </w:r>
      <w:r w:rsidRPr="00BC4EE7">
        <w:rPr>
          <w:rFonts w:cs="Times New Roman"/>
          <w:noProof/>
        </w:rPr>
        <w:t>840</w:t>
      </w:r>
      <w:r w:rsidRPr="00BC4EE7">
        <w:rPr>
          <w:rFonts w:cs="Times New Roman"/>
          <w:noProof/>
          <w:shd w:val="clear" w:color="auto" w:fill="FFFFFF"/>
        </w:rPr>
        <w:t xml:space="preserve"> személy részesül személyre szabott álláskeresési támogatásban és</w:t>
      </w:r>
      <w:r w:rsidRPr="00BC4EE7">
        <w:rPr>
          <w:rFonts w:cs="Times New Roman"/>
          <w:noProof/>
        </w:rPr>
        <w:t>/vagy</w:t>
      </w:r>
      <w:r w:rsidRPr="00BC4EE7">
        <w:rPr>
          <w:rFonts w:cs="Times New Roman"/>
          <w:noProof/>
          <w:shd w:val="clear" w:color="auto" w:fill="FFFFFF"/>
        </w:rPr>
        <w:t xml:space="preserve"> átképzési pályákon. Az átképzési támogatásnak legalább a következő területekre kell kiterjednie: megújuló energia (szél- és fotovoltaikus) telepítése és karbantartása, helyreállítás és környezetgazdálkodás és/vagy a lakások integrált és energetikai rehabilitációja. </w:t>
      </w:r>
    </w:p>
    <w:p w14:paraId="0E19EE43" w14:textId="77777777" w:rsidR="00D65CB4" w:rsidRPr="00BC4EE7" w:rsidRDefault="00572307">
      <w:pPr>
        <w:pStyle w:val="P68B1DB1-Normal4"/>
        <w:spacing w:before="120" w:after="120" w:line="240" w:lineRule="auto"/>
        <w:jc w:val="both"/>
        <w:rPr>
          <w:rFonts w:cs="Times New Roman"/>
          <w:b/>
          <w:noProof/>
          <w:u w:val="single"/>
        </w:rPr>
      </w:pPr>
      <w:r w:rsidRPr="00BC4EE7">
        <w:rPr>
          <w:rFonts w:cs="Times New Roman"/>
          <w:noProof/>
        </w:rPr>
        <w:t>A beruházás végrehajtását 2026. június 30-ig be kell fejezni.</w:t>
      </w:r>
    </w:p>
    <w:p w14:paraId="12C670DD" w14:textId="77777777" w:rsidR="00D65CB4" w:rsidRPr="00BC4EE7" w:rsidRDefault="00572307">
      <w:pPr>
        <w:spacing w:before="120" w:after="120" w:line="240" w:lineRule="auto"/>
        <w:ind w:left="709"/>
        <w:jc w:val="both"/>
        <w:rPr>
          <w:rFonts w:ascii="Times New Roman" w:hAnsi="Times New Roman" w:cs="Times New Roman"/>
          <w:b/>
          <w:noProof/>
          <w:sz w:val="24"/>
          <w:u w:val="single"/>
        </w:rPr>
      </w:pPr>
      <w:r w:rsidRPr="00BC4EE7">
        <w:rPr>
          <w:rFonts w:ascii="Times New Roman" w:hAnsi="Times New Roman" w:cs="Times New Roman"/>
          <w:b/>
          <w:noProof/>
          <w:sz w:val="24"/>
          <w:u w:val="single"/>
        </w:rPr>
        <w:t xml:space="preserve">J.2.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Vissza nem térítendő pénzügyi támogatás – a végrehajtáshoz és a nyomon követéshez kapcsolódó mérföldkövek, célok, mutatók és ütemterv</w:t>
      </w:r>
    </w:p>
    <w:p w14:paraId="20264558" w14:textId="77777777" w:rsidR="00D65CB4" w:rsidRPr="00BC4EE7" w:rsidRDefault="00572307">
      <w:pPr>
        <w:pStyle w:val="P68B1DB1-Normal4"/>
        <w:spacing w:before="120" w:after="120" w:line="240" w:lineRule="auto"/>
        <w:rPr>
          <w:rFonts w:cs="Times New Roman"/>
          <w:noProof/>
        </w:rPr>
        <w:sectPr w:rsidR="00D65CB4" w:rsidRPr="00BC4EE7" w:rsidSect="00B511EF">
          <w:headerReference w:type="even" r:id="rId213"/>
          <w:headerReference w:type="default" r:id="rId214"/>
          <w:footerReference w:type="even" r:id="rId215"/>
          <w:footerReference w:type="default" r:id="rId216"/>
          <w:headerReference w:type="first" r:id="rId217"/>
          <w:footerReference w:type="first" r:id="rId218"/>
          <w:pgSz w:w="11907" w:h="16839"/>
          <w:pgMar w:top="1134" w:right="1134" w:bottom="1134" w:left="1134" w:header="567" w:footer="567" w:gutter="0"/>
          <w:cols w:space="720"/>
          <w:docGrid w:linePitch="360"/>
        </w:sectPr>
      </w:pPr>
      <w:r w:rsidRPr="00BC4EE7">
        <w:rPr>
          <w:rFonts w:cs="Times New Roman"/>
          <w:i/>
          <w:noProof/>
        </w:rPr>
        <w:t>Táblázat alább.</w:t>
      </w:r>
      <w:r w:rsidRPr="00BC4EE7">
        <w:rPr>
          <w:rFonts w:cs="Times New Roman"/>
          <w:noProof/>
        </w:rPr>
        <w:t xml:space="preserve"> </w:t>
      </w:r>
      <w:r w:rsidRPr="00BC4EE7">
        <w:rPr>
          <w:rFonts w:cs="Times New Roman"/>
          <w:i/>
          <w:noProof/>
        </w:rPr>
        <w:t>Az összes mutató esetében az alapforgatókönyv időpontja 2020. február 1., kivéve, ha az intézkedés leírása ettől eltérően rendelkezik. A táblázatban szereplő összegek nem tartalmazzák a héát.</w:t>
      </w:r>
    </w:p>
    <w:tbl>
      <w:tblPr>
        <w:tblW w:w="15452"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33"/>
        <w:gridCol w:w="1011"/>
        <w:gridCol w:w="992"/>
        <w:gridCol w:w="2410"/>
        <w:gridCol w:w="1380"/>
        <w:gridCol w:w="828"/>
        <w:gridCol w:w="966"/>
        <w:gridCol w:w="691"/>
        <w:gridCol w:w="415"/>
        <w:gridCol w:w="553"/>
        <w:gridCol w:w="5373"/>
      </w:tblGrid>
      <w:tr w:rsidR="00D65CB4" w:rsidRPr="00BC4EE7" w14:paraId="7C0B19A3" w14:textId="77777777" w:rsidTr="00481CF8">
        <w:trPr>
          <w:trHeight w:val="309"/>
          <w:tblHeader/>
        </w:trPr>
        <w:tc>
          <w:tcPr>
            <w:tcW w:w="833" w:type="dxa"/>
            <w:tcBorders>
              <w:bottom w:val="nil"/>
            </w:tcBorders>
            <w:shd w:val="clear" w:color="auto" w:fill="C6D9F1" w:themeFill="text2" w:themeFillTint="33"/>
            <w:noWrap/>
            <w:vAlign w:val="center"/>
          </w:tcPr>
          <w:p w14:paraId="47810258"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Szám</w:t>
            </w:r>
          </w:p>
        </w:tc>
        <w:tc>
          <w:tcPr>
            <w:tcW w:w="1011" w:type="dxa"/>
            <w:tcBorders>
              <w:bottom w:val="nil"/>
            </w:tcBorders>
            <w:shd w:val="clear" w:color="auto" w:fill="C6D9F1" w:themeFill="text2" w:themeFillTint="33"/>
            <w:noWrap/>
            <w:vAlign w:val="center"/>
          </w:tcPr>
          <w:p w14:paraId="7A8A3BC4"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Intézkedés</w:t>
            </w:r>
          </w:p>
        </w:tc>
        <w:tc>
          <w:tcPr>
            <w:tcW w:w="992" w:type="dxa"/>
            <w:tcBorders>
              <w:bottom w:val="nil"/>
            </w:tcBorders>
            <w:shd w:val="clear" w:color="auto" w:fill="C6D9F1" w:themeFill="text2" w:themeFillTint="33"/>
            <w:noWrap/>
            <w:vAlign w:val="center"/>
          </w:tcPr>
          <w:p w14:paraId="0E73BAB9" w14:textId="77777777" w:rsidR="00D65CB4" w:rsidRPr="00BC4EE7" w:rsidRDefault="00572307">
            <w:pPr>
              <w:spacing w:after="0" w:line="240" w:lineRule="auto"/>
              <w:jc w:val="center"/>
              <w:rPr>
                <w:rFonts w:ascii="Times New Roman" w:hAnsi="Times New Roman" w:cs="Times New Roman"/>
                <w:b/>
                <w:noProof/>
                <w:sz w:val="18"/>
              </w:rPr>
            </w:pPr>
            <w:r w:rsidRPr="00BC4EE7">
              <w:rPr>
                <w:rFonts w:ascii="Times New Roman" w:hAnsi="Times New Roman" w:cs="Times New Roman"/>
                <w:b/>
                <w:noProof/>
                <w:sz w:val="18"/>
              </w:rPr>
              <w:t>Mérföldkő</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b/>
                <w:noProof/>
                <w:sz w:val="18"/>
              </w:rPr>
              <w:t xml:space="preserve"> /Cél</w:t>
            </w:r>
          </w:p>
        </w:tc>
        <w:tc>
          <w:tcPr>
            <w:tcW w:w="2410" w:type="dxa"/>
            <w:tcBorders>
              <w:bottom w:val="nil"/>
            </w:tcBorders>
            <w:shd w:val="clear" w:color="auto" w:fill="C6D9F1" w:themeFill="text2" w:themeFillTint="33"/>
            <w:noWrap/>
            <w:vAlign w:val="center"/>
          </w:tcPr>
          <w:p w14:paraId="0100A987"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Név</w:t>
            </w:r>
          </w:p>
        </w:tc>
        <w:tc>
          <w:tcPr>
            <w:tcW w:w="1380" w:type="dxa"/>
            <w:tcBorders>
              <w:bottom w:val="nil"/>
            </w:tcBorders>
            <w:shd w:val="clear" w:color="auto" w:fill="C6D9F1" w:themeFill="text2" w:themeFillTint="33"/>
            <w:noWrap/>
            <w:vAlign w:val="center"/>
          </w:tcPr>
          <w:p w14:paraId="32563B3D"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mérföldkövek minőségi mutatója</w:t>
            </w:r>
          </w:p>
        </w:tc>
        <w:tc>
          <w:tcPr>
            <w:tcW w:w="2485" w:type="dxa"/>
            <w:gridSpan w:val="3"/>
            <w:shd w:val="clear" w:color="auto" w:fill="C6D9F1" w:themeFill="text2" w:themeFillTint="33"/>
            <w:noWrap/>
            <w:vAlign w:val="center"/>
          </w:tcPr>
          <w:p w14:paraId="0DB55535"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célérték mennyiségi mutatója</w:t>
            </w:r>
          </w:p>
        </w:tc>
        <w:tc>
          <w:tcPr>
            <w:tcW w:w="968" w:type="dxa"/>
            <w:gridSpan w:val="2"/>
            <w:shd w:val="clear" w:color="auto" w:fill="C6D9F1" w:themeFill="text2" w:themeFillTint="33"/>
            <w:noWrap/>
            <w:vAlign w:val="center"/>
          </w:tcPr>
          <w:p w14:paraId="4793D532"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Idő</w:t>
            </w:r>
          </w:p>
        </w:tc>
        <w:tc>
          <w:tcPr>
            <w:tcW w:w="5373" w:type="dxa"/>
            <w:tcBorders>
              <w:bottom w:val="nil"/>
            </w:tcBorders>
            <w:shd w:val="clear" w:color="auto" w:fill="C6D9F1" w:themeFill="text2" w:themeFillTint="33"/>
            <w:noWrap/>
            <w:vAlign w:val="center"/>
          </w:tcPr>
          <w:p w14:paraId="1FA168C9"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Az egyes mérföldkövek és célértékek leírása</w:t>
            </w:r>
          </w:p>
        </w:tc>
      </w:tr>
      <w:tr w:rsidR="00D65CB4" w:rsidRPr="00BC4EE7" w14:paraId="7A0970B9" w14:textId="77777777" w:rsidTr="00481CF8">
        <w:trPr>
          <w:trHeight w:val="309"/>
          <w:tblHeader/>
        </w:trPr>
        <w:tc>
          <w:tcPr>
            <w:tcW w:w="833" w:type="dxa"/>
            <w:tcBorders>
              <w:top w:val="nil"/>
            </w:tcBorders>
            <w:shd w:val="clear" w:color="auto" w:fill="C6D9F1" w:themeFill="text2" w:themeFillTint="33"/>
            <w:noWrap/>
          </w:tcPr>
          <w:p w14:paraId="2FC17F8B" w14:textId="77777777" w:rsidR="00D65CB4" w:rsidRPr="00BC4EE7" w:rsidRDefault="00D65CB4">
            <w:pPr>
              <w:spacing w:after="0" w:line="240" w:lineRule="auto"/>
              <w:jc w:val="center"/>
              <w:rPr>
                <w:rFonts w:ascii="Times New Roman" w:hAnsi="Times New Roman" w:cs="Times New Roman"/>
                <w:b/>
                <w:noProof/>
                <w:sz w:val="18"/>
              </w:rPr>
            </w:pPr>
          </w:p>
        </w:tc>
        <w:tc>
          <w:tcPr>
            <w:tcW w:w="1011" w:type="dxa"/>
            <w:tcBorders>
              <w:top w:val="nil"/>
            </w:tcBorders>
            <w:shd w:val="clear" w:color="auto" w:fill="C6D9F1" w:themeFill="text2" w:themeFillTint="33"/>
            <w:noWrap/>
          </w:tcPr>
          <w:p w14:paraId="0A4F7224" w14:textId="77777777" w:rsidR="00D65CB4" w:rsidRPr="00BC4EE7" w:rsidRDefault="00D65CB4">
            <w:pPr>
              <w:spacing w:after="0" w:line="240" w:lineRule="auto"/>
              <w:jc w:val="center"/>
              <w:rPr>
                <w:rFonts w:ascii="Times New Roman" w:hAnsi="Times New Roman" w:cs="Times New Roman"/>
                <w:b/>
                <w:noProof/>
                <w:sz w:val="18"/>
              </w:rPr>
            </w:pPr>
          </w:p>
        </w:tc>
        <w:tc>
          <w:tcPr>
            <w:tcW w:w="992" w:type="dxa"/>
            <w:tcBorders>
              <w:top w:val="nil"/>
            </w:tcBorders>
            <w:shd w:val="clear" w:color="auto" w:fill="C6D9F1" w:themeFill="text2" w:themeFillTint="33"/>
            <w:noWrap/>
          </w:tcPr>
          <w:p w14:paraId="5AE48A43" w14:textId="77777777" w:rsidR="00D65CB4" w:rsidRPr="00BC4EE7" w:rsidRDefault="00D65CB4">
            <w:pPr>
              <w:spacing w:after="0" w:line="240" w:lineRule="auto"/>
              <w:jc w:val="center"/>
              <w:rPr>
                <w:rFonts w:ascii="Times New Roman" w:hAnsi="Times New Roman" w:cs="Times New Roman"/>
                <w:b/>
                <w:noProof/>
                <w:sz w:val="18"/>
              </w:rPr>
            </w:pPr>
          </w:p>
        </w:tc>
        <w:tc>
          <w:tcPr>
            <w:tcW w:w="2410" w:type="dxa"/>
            <w:tcBorders>
              <w:top w:val="nil"/>
            </w:tcBorders>
            <w:shd w:val="clear" w:color="auto" w:fill="C6D9F1" w:themeFill="text2" w:themeFillTint="33"/>
            <w:noWrap/>
          </w:tcPr>
          <w:p w14:paraId="50F40DEB" w14:textId="77777777" w:rsidR="00D65CB4" w:rsidRPr="00BC4EE7" w:rsidRDefault="00D65CB4">
            <w:pPr>
              <w:spacing w:after="0" w:line="240" w:lineRule="auto"/>
              <w:rPr>
                <w:rFonts w:ascii="Times New Roman" w:hAnsi="Times New Roman" w:cs="Times New Roman"/>
                <w:b/>
                <w:noProof/>
                <w:sz w:val="18"/>
              </w:rPr>
            </w:pPr>
          </w:p>
        </w:tc>
        <w:tc>
          <w:tcPr>
            <w:tcW w:w="1380" w:type="dxa"/>
            <w:tcBorders>
              <w:top w:val="nil"/>
            </w:tcBorders>
            <w:shd w:val="clear" w:color="auto" w:fill="C6D9F1" w:themeFill="text2" w:themeFillTint="33"/>
            <w:noWrap/>
          </w:tcPr>
          <w:p w14:paraId="77A52294" w14:textId="77777777" w:rsidR="00D65CB4" w:rsidRPr="00BC4EE7" w:rsidRDefault="00D65CB4">
            <w:pPr>
              <w:spacing w:after="0" w:line="240" w:lineRule="auto"/>
              <w:jc w:val="center"/>
              <w:rPr>
                <w:rFonts w:ascii="Times New Roman" w:hAnsi="Times New Roman" w:cs="Times New Roman"/>
                <w:b/>
                <w:noProof/>
                <w:sz w:val="18"/>
              </w:rPr>
            </w:pPr>
          </w:p>
        </w:tc>
        <w:tc>
          <w:tcPr>
            <w:tcW w:w="828" w:type="dxa"/>
            <w:shd w:val="clear" w:color="auto" w:fill="C6D9F1" w:themeFill="text2" w:themeFillTint="33"/>
            <w:noWrap/>
          </w:tcPr>
          <w:p w14:paraId="524FBEBB"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Egység</w:t>
            </w:r>
          </w:p>
        </w:tc>
        <w:tc>
          <w:tcPr>
            <w:tcW w:w="966" w:type="dxa"/>
            <w:shd w:val="clear" w:color="auto" w:fill="C6D9F1" w:themeFill="text2" w:themeFillTint="33"/>
            <w:noWrap/>
          </w:tcPr>
          <w:p w14:paraId="774C8C57" w14:textId="0CD3A53B" w:rsidR="00D65CB4" w:rsidRPr="00BC4EE7" w:rsidRDefault="00572307">
            <w:pPr>
              <w:pStyle w:val="P68B1DB1-Normal8"/>
              <w:spacing w:after="0" w:line="240" w:lineRule="auto"/>
              <w:jc w:val="center"/>
              <w:rPr>
                <w:rFonts w:cs="Times New Roman"/>
                <w:noProof/>
              </w:rPr>
            </w:pPr>
            <w:r w:rsidRPr="00BC4EE7">
              <w:rPr>
                <w:rFonts w:cs="Times New Roman"/>
                <w:noProof/>
              </w:rPr>
              <w:t>Kiindulási</w:t>
            </w:r>
          </w:p>
        </w:tc>
        <w:tc>
          <w:tcPr>
            <w:tcW w:w="691" w:type="dxa"/>
            <w:shd w:val="clear" w:color="auto" w:fill="C6D9F1" w:themeFill="text2" w:themeFillTint="33"/>
            <w:noWrap/>
          </w:tcPr>
          <w:p w14:paraId="498E2A4F"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Cél</w:t>
            </w:r>
          </w:p>
        </w:tc>
        <w:tc>
          <w:tcPr>
            <w:tcW w:w="415" w:type="dxa"/>
            <w:shd w:val="clear" w:color="auto" w:fill="C6D9F1" w:themeFill="text2" w:themeFillTint="33"/>
            <w:noWrap/>
          </w:tcPr>
          <w:p w14:paraId="394D9DAB"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Q</w:t>
            </w:r>
          </w:p>
        </w:tc>
        <w:tc>
          <w:tcPr>
            <w:tcW w:w="553" w:type="dxa"/>
            <w:shd w:val="clear" w:color="auto" w:fill="C6D9F1" w:themeFill="text2" w:themeFillTint="33"/>
            <w:noWrap/>
          </w:tcPr>
          <w:p w14:paraId="6A32D50D"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Éve</w:t>
            </w:r>
          </w:p>
        </w:tc>
        <w:tc>
          <w:tcPr>
            <w:tcW w:w="5373" w:type="dxa"/>
            <w:tcBorders>
              <w:top w:val="nil"/>
            </w:tcBorders>
            <w:shd w:val="clear" w:color="auto" w:fill="C6D9F1" w:themeFill="text2" w:themeFillTint="33"/>
            <w:noWrap/>
          </w:tcPr>
          <w:p w14:paraId="007DCDA8" w14:textId="77777777" w:rsidR="00D65CB4" w:rsidRPr="00BC4EE7" w:rsidRDefault="00D65CB4">
            <w:pPr>
              <w:spacing w:after="0" w:line="240" w:lineRule="auto"/>
              <w:rPr>
                <w:rFonts w:ascii="Times New Roman" w:hAnsi="Times New Roman" w:cs="Times New Roman"/>
                <w:b/>
                <w:noProof/>
                <w:sz w:val="18"/>
              </w:rPr>
            </w:pPr>
          </w:p>
        </w:tc>
      </w:tr>
      <w:tr w:rsidR="00D65CB4" w:rsidRPr="00BC4EE7" w14:paraId="6BC71F45" w14:textId="77777777" w:rsidTr="00481CF8">
        <w:trPr>
          <w:trHeight w:val="309"/>
        </w:trPr>
        <w:tc>
          <w:tcPr>
            <w:tcW w:w="833" w:type="dxa"/>
            <w:shd w:val="clear" w:color="auto" w:fill="C6EFCE"/>
            <w:noWrap/>
          </w:tcPr>
          <w:p w14:paraId="41E5CE6F"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137</w:t>
            </w:r>
          </w:p>
        </w:tc>
        <w:tc>
          <w:tcPr>
            <w:tcW w:w="1011" w:type="dxa"/>
            <w:shd w:val="clear" w:color="auto" w:fill="C6EFCE"/>
            <w:noWrap/>
          </w:tcPr>
          <w:p w14:paraId="79F6A2C5"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C10.R1</w:t>
            </w:r>
          </w:p>
        </w:tc>
        <w:tc>
          <w:tcPr>
            <w:tcW w:w="992" w:type="dxa"/>
            <w:shd w:val="clear" w:color="auto" w:fill="C6EFCE"/>
            <w:noWrap/>
          </w:tcPr>
          <w:p w14:paraId="720AF5AC"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M</w:t>
            </w:r>
          </w:p>
        </w:tc>
        <w:tc>
          <w:tcPr>
            <w:tcW w:w="2410" w:type="dxa"/>
            <w:shd w:val="clear" w:color="auto" w:fill="C6EFCE"/>
            <w:noWrap/>
          </w:tcPr>
          <w:p w14:paraId="7932CEC1"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 xml:space="preserve">A Méltányos Átállást Támogató Alap Intézetének létrehozása </w:t>
            </w:r>
          </w:p>
        </w:tc>
        <w:tc>
          <w:tcPr>
            <w:tcW w:w="1380" w:type="dxa"/>
            <w:shd w:val="clear" w:color="auto" w:fill="C6EFCE"/>
            <w:noWrap/>
          </w:tcPr>
          <w:p w14:paraId="713B5DF0"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Közzététel a HL-ben</w:t>
            </w:r>
          </w:p>
        </w:tc>
        <w:tc>
          <w:tcPr>
            <w:tcW w:w="828" w:type="dxa"/>
            <w:shd w:val="clear" w:color="auto" w:fill="C6EFCE"/>
            <w:noWrap/>
          </w:tcPr>
          <w:p w14:paraId="606C22D1" w14:textId="77777777" w:rsidR="00D65CB4" w:rsidRPr="00BC4EE7" w:rsidRDefault="00572307">
            <w:pPr>
              <w:pStyle w:val="P68B1DB1-Normal12"/>
              <w:spacing w:after="0" w:line="240" w:lineRule="auto"/>
              <w:jc w:val="right"/>
              <w:rPr>
                <w:rFonts w:eastAsia="Symbol" w:cs="Times New Roman"/>
                <w:noProof/>
              </w:rPr>
            </w:pPr>
            <w:r w:rsidRPr="00BC4EE7">
              <w:rPr>
                <w:rFonts w:cs="Times New Roman"/>
                <w:noProof/>
              </w:rPr>
              <w:t xml:space="preserve"> </w:t>
            </w:r>
          </w:p>
        </w:tc>
        <w:tc>
          <w:tcPr>
            <w:tcW w:w="966" w:type="dxa"/>
            <w:shd w:val="clear" w:color="auto" w:fill="C6EFCE"/>
            <w:noWrap/>
          </w:tcPr>
          <w:p w14:paraId="3079E7C0" w14:textId="77777777" w:rsidR="00D65CB4" w:rsidRPr="00BC4EE7" w:rsidRDefault="00572307">
            <w:pPr>
              <w:pStyle w:val="P68B1DB1-Normal12"/>
              <w:spacing w:after="0" w:line="240" w:lineRule="auto"/>
              <w:jc w:val="right"/>
              <w:rPr>
                <w:rFonts w:eastAsia="Symbol" w:cs="Times New Roman"/>
                <w:noProof/>
              </w:rPr>
            </w:pPr>
            <w:r w:rsidRPr="00BC4EE7">
              <w:rPr>
                <w:rFonts w:cs="Times New Roman"/>
                <w:noProof/>
              </w:rPr>
              <w:t xml:space="preserve"> </w:t>
            </w:r>
          </w:p>
        </w:tc>
        <w:tc>
          <w:tcPr>
            <w:tcW w:w="691" w:type="dxa"/>
            <w:shd w:val="clear" w:color="auto" w:fill="C6EFCE"/>
            <w:noWrap/>
          </w:tcPr>
          <w:p w14:paraId="7C9FA973" w14:textId="77777777" w:rsidR="00D65CB4" w:rsidRPr="00BC4EE7" w:rsidRDefault="00572307">
            <w:pPr>
              <w:pStyle w:val="P68B1DB1-Normal12"/>
              <w:spacing w:after="0" w:line="240" w:lineRule="auto"/>
              <w:jc w:val="right"/>
              <w:rPr>
                <w:rFonts w:eastAsia="Symbol" w:cs="Times New Roman"/>
                <w:noProof/>
              </w:rPr>
            </w:pPr>
            <w:r w:rsidRPr="00BC4EE7">
              <w:rPr>
                <w:rFonts w:cs="Times New Roman"/>
                <w:noProof/>
              </w:rPr>
              <w:t xml:space="preserve"> </w:t>
            </w:r>
          </w:p>
        </w:tc>
        <w:tc>
          <w:tcPr>
            <w:tcW w:w="415" w:type="dxa"/>
            <w:shd w:val="clear" w:color="auto" w:fill="C6EFCE"/>
            <w:noWrap/>
          </w:tcPr>
          <w:p w14:paraId="013C9489"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Q1</w:t>
            </w:r>
          </w:p>
        </w:tc>
        <w:tc>
          <w:tcPr>
            <w:tcW w:w="553" w:type="dxa"/>
            <w:shd w:val="clear" w:color="auto" w:fill="C6EFCE"/>
            <w:noWrap/>
          </w:tcPr>
          <w:p w14:paraId="69044F9D"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2020</w:t>
            </w:r>
          </w:p>
        </w:tc>
        <w:tc>
          <w:tcPr>
            <w:tcW w:w="5373" w:type="dxa"/>
            <w:shd w:val="clear" w:color="auto" w:fill="C6EFCE"/>
            <w:noWrap/>
          </w:tcPr>
          <w:p w14:paraId="6A19AC23"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A Méltányos Átállást Támogató Alap Intézetének létrehozásáról szóló 500/2020. sz. királyi rendelettel. Az Intézet célja, hogy szolidaritáson alapuló intézkedéseket határozzon meg és fogadjon el, amelyek garantálják az alacsony szén-dioxid-kibocsátású gazdaságra való átállás által érintett munkavállalók és területek méltányos kezelését, minimalizálják az e területek foglalkoztatására és lakosságára gyakorolt negatív hatásokat, és optimalizálják az átalakulási folyamat lehetőségeit.</w:t>
            </w:r>
          </w:p>
        </w:tc>
      </w:tr>
      <w:tr w:rsidR="00D65CB4" w:rsidRPr="00BC4EE7" w14:paraId="114CF053" w14:textId="77777777" w:rsidTr="00481CF8">
        <w:trPr>
          <w:trHeight w:val="309"/>
        </w:trPr>
        <w:tc>
          <w:tcPr>
            <w:tcW w:w="833" w:type="dxa"/>
            <w:shd w:val="clear" w:color="auto" w:fill="C6EFCE"/>
            <w:noWrap/>
          </w:tcPr>
          <w:p w14:paraId="651B9F2F"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138</w:t>
            </w:r>
          </w:p>
        </w:tc>
        <w:tc>
          <w:tcPr>
            <w:tcW w:w="1011" w:type="dxa"/>
            <w:shd w:val="clear" w:color="auto" w:fill="C6EFCE"/>
            <w:noWrap/>
          </w:tcPr>
          <w:p w14:paraId="0D72D8D7"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C10.R1</w:t>
            </w:r>
          </w:p>
        </w:tc>
        <w:tc>
          <w:tcPr>
            <w:tcW w:w="992" w:type="dxa"/>
            <w:shd w:val="clear" w:color="auto" w:fill="C6EFCE"/>
            <w:noWrap/>
          </w:tcPr>
          <w:p w14:paraId="673FD059"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T</w:t>
            </w:r>
          </w:p>
        </w:tc>
        <w:tc>
          <w:tcPr>
            <w:tcW w:w="2410" w:type="dxa"/>
            <w:shd w:val="clear" w:color="auto" w:fill="C6EFCE"/>
            <w:noWrap/>
          </w:tcPr>
          <w:p w14:paraId="38CB7F22" w14:textId="62151F91" w:rsidR="00D65CB4" w:rsidRPr="00BC4EE7" w:rsidRDefault="00572307">
            <w:pPr>
              <w:pStyle w:val="P68B1DB1-Normal12"/>
              <w:spacing w:after="0" w:line="240" w:lineRule="auto"/>
              <w:rPr>
                <w:rFonts w:eastAsia="Symbol" w:cs="Times New Roman"/>
                <w:noProof/>
              </w:rPr>
            </w:pPr>
            <w:r w:rsidRPr="00BC4EE7">
              <w:rPr>
                <w:rFonts w:cs="Times New Roman"/>
                <w:noProof/>
              </w:rPr>
              <w:t xml:space="preserve">Az igazságos átmenetre vonatkozó protokollok és a tanácsadó testület </w:t>
            </w:r>
          </w:p>
        </w:tc>
        <w:tc>
          <w:tcPr>
            <w:tcW w:w="1380" w:type="dxa"/>
            <w:shd w:val="clear" w:color="auto" w:fill="C6EFCE"/>
            <w:noWrap/>
          </w:tcPr>
          <w:p w14:paraId="1E3FF041"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w:t>
            </w:r>
          </w:p>
        </w:tc>
        <w:tc>
          <w:tcPr>
            <w:tcW w:w="828" w:type="dxa"/>
            <w:shd w:val="clear" w:color="auto" w:fill="C6EFCE"/>
            <w:noWrap/>
          </w:tcPr>
          <w:p w14:paraId="44D3D206" w14:textId="77777777" w:rsidR="00D65CB4" w:rsidRPr="00BC4EE7" w:rsidRDefault="00572307">
            <w:pPr>
              <w:pStyle w:val="P68B1DB1-Normal12"/>
              <w:spacing w:after="0" w:line="240" w:lineRule="auto"/>
              <w:jc w:val="right"/>
              <w:rPr>
                <w:rFonts w:eastAsia="Symbol" w:cs="Times New Roman"/>
                <w:noProof/>
              </w:rPr>
            </w:pPr>
            <w:r w:rsidRPr="00BC4EE7">
              <w:rPr>
                <w:rFonts w:cs="Times New Roman"/>
                <w:noProof/>
              </w:rPr>
              <w:t>Szám</w:t>
            </w:r>
          </w:p>
        </w:tc>
        <w:tc>
          <w:tcPr>
            <w:tcW w:w="966" w:type="dxa"/>
            <w:shd w:val="clear" w:color="auto" w:fill="C6EFCE"/>
            <w:noWrap/>
          </w:tcPr>
          <w:p w14:paraId="139BF1F3" w14:textId="77777777" w:rsidR="00D65CB4" w:rsidRPr="00BC4EE7" w:rsidRDefault="00572307">
            <w:pPr>
              <w:pStyle w:val="P68B1DB1-Normal12"/>
              <w:spacing w:after="0" w:line="240" w:lineRule="auto"/>
              <w:jc w:val="right"/>
              <w:rPr>
                <w:rFonts w:eastAsia="Symbol" w:cs="Times New Roman"/>
                <w:noProof/>
              </w:rPr>
            </w:pPr>
            <w:r w:rsidRPr="00BC4EE7">
              <w:rPr>
                <w:rFonts w:cs="Times New Roman"/>
                <w:noProof/>
              </w:rPr>
              <w:t>0</w:t>
            </w:r>
          </w:p>
        </w:tc>
        <w:tc>
          <w:tcPr>
            <w:tcW w:w="691" w:type="dxa"/>
            <w:shd w:val="clear" w:color="auto" w:fill="C6EFCE"/>
            <w:noWrap/>
          </w:tcPr>
          <w:p w14:paraId="394C502F" w14:textId="77777777" w:rsidR="00D65CB4" w:rsidRPr="00BC4EE7" w:rsidRDefault="00572307">
            <w:pPr>
              <w:pStyle w:val="P68B1DB1-Normal12"/>
              <w:spacing w:after="0" w:line="240" w:lineRule="auto"/>
              <w:jc w:val="right"/>
              <w:rPr>
                <w:rFonts w:eastAsia="Symbol" w:cs="Times New Roman"/>
                <w:noProof/>
              </w:rPr>
            </w:pPr>
            <w:r w:rsidRPr="00BC4EE7">
              <w:rPr>
                <w:rFonts w:cs="Times New Roman"/>
                <w:noProof/>
              </w:rPr>
              <w:t>12</w:t>
            </w:r>
          </w:p>
        </w:tc>
        <w:tc>
          <w:tcPr>
            <w:tcW w:w="415" w:type="dxa"/>
            <w:shd w:val="clear" w:color="auto" w:fill="C6EFCE"/>
            <w:noWrap/>
          </w:tcPr>
          <w:p w14:paraId="5B76DFD6"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Q2</w:t>
            </w:r>
          </w:p>
        </w:tc>
        <w:tc>
          <w:tcPr>
            <w:tcW w:w="553" w:type="dxa"/>
            <w:shd w:val="clear" w:color="auto" w:fill="C6EFCE"/>
            <w:noWrap/>
          </w:tcPr>
          <w:p w14:paraId="761C5FC8"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2023</w:t>
            </w:r>
          </w:p>
        </w:tc>
        <w:tc>
          <w:tcPr>
            <w:tcW w:w="5373" w:type="dxa"/>
            <w:shd w:val="clear" w:color="auto" w:fill="C6EFCE"/>
            <w:noWrap/>
          </w:tcPr>
          <w:p w14:paraId="0D390D59" w14:textId="77777777" w:rsidR="00D65CB4" w:rsidRPr="00BC4EE7" w:rsidRDefault="00572307">
            <w:pPr>
              <w:pStyle w:val="P68B1DB1-Normal12"/>
              <w:spacing w:after="0" w:line="240" w:lineRule="auto"/>
              <w:rPr>
                <w:rFonts w:cs="Times New Roman"/>
                <w:noProof/>
              </w:rPr>
            </w:pPr>
            <w:r w:rsidRPr="00BC4EE7">
              <w:rPr>
                <w:rFonts w:cs="Times New Roman"/>
                <w:noProof/>
              </w:rPr>
              <w:t>Részvételen alapuló folyamatot követően 12 igazságos átmenet protokoll közzététele az igazságos átmenetről szóló weboldalon, amelyek 12 érintett terület helyi lakosságának foglalkoztatására, környezeti helyreállítására, valamint gazdasági és társadalmi fejlődésére vonatkozó kötelezettségvállalásokat tartalmaznak. A Méltányos Átállást Támogató Alap minden egyes protokolljának ki kell terjednie legalább a széntüzelésű erőmű bezárása által érintett területre.</w:t>
            </w:r>
          </w:p>
          <w:p w14:paraId="196B4BAC" w14:textId="6A30B9A8" w:rsidR="00D65CB4" w:rsidRPr="00BC4EE7" w:rsidRDefault="00572307">
            <w:pPr>
              <w:pStyle w:val="P68B1DB1-Normal12"/>
              <w:spacing w:after="0" w:line="240" w:lineRule="auto"/>
              <w:rPr>
                <w:rFonts w:cs="Times New Roman"/>
                <w:noProof/>
              </w:rPr>
            </w:pPr>
            <w:r w:rsidRPr="00BC4EE7">
              <w:rPr>
                <w:rFonts w:cs="Times New Roman"/>
                <w:noProof/>
              </w:rPr>
              <w:t>A minisztériumok képviselőiből, valamint a helyi és regionális önkormányzatok képviselőiből álló tanácsadó testület létrehozása, amely tanácsot ad és értékeli az igazságos átmenetre vonatkozó szakpolitikák hatását</w:t>
            </w:r>
          </w:p>
        </w:tc>
      </w:tr>
      <w:tr w:rsidR="00D65CB4" w:rsidRPr="00BC4EE7" w14:paraId="63438F36" w14:textId="77777777" w:rsidTr="00481CF8">
        <w:trPr>
          <w:trHeight w:val="309"/>
        </w:trPr>
        <w:tc>
          <w:tcPr>
            <w:tcW w:w="833" w:type="dxa"/>
            <w:shd w:val="clear" w:color="auto" w:fill="C6EFCE"/>
            <w:noWrap/>
          </w:tcPr>
          <w:p w14:paraId="09E31CEC"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139</w:t>
            </w:r>
          </w:p>
        </w:tc>
        <w:tc>
          <w:tcPr>
            <w:tcW w:w="1011" w:type="dxa"/>
            <w:shd w:val="clear" w:color="auto" w:fill="C6EFCE"/>
            <w:noWrap/>
          </w:tcPr>
          <w:p w14:paraId="1AAD5B4E"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C10.I1</w:t>
            </w:r>
          </w:p>
        </w:tc>
        <w:tc>
          <w:tcPr>
            <w:tcW w:w="992" w:type="dxa"/>
            <w:shd w:val="clear" w:color="auto" w:fill="C6EFCE"/>
            <w:noWrap/>
          </w:tcPr>
          <w:p w14:paraId="059DBB28"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M</w:t>
            </w:r>
          </w:p>
        </w:tc>
        <w:tc>
          <w:tcPr>
            <w:tcW w:w="2410" w:type="dxa"/>
            <w:shd w:val="clear" w:color="auto" w:fill="C6EFCE"/>
            <w:noWrap/>
          </w:tcPr>
          <w:p w14:paraId="5AA61149"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„Igazságos átmenet” képzési támogatási program és támogatás nyújtása az igazságos átmenet térségeinek gazdasági fejlődéséhez</w:t>
            </w:r>
          </w:p>
        </w:tc>
        <w:tc>
          <w:tcPr>
            <w:tcW w:w="1380" w:type="dxa"/>
            <w:shd w:val="clear" w:color="auto" w:fill="C6EFCE"/>
            <w:noWrap/>
          </w:tcPr>
          <w:p w14:paraId="27F4B882"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Közzététel a HL-ben</w:t>
            </w:r>
          </w:p>
        </w:tc>
        <w:tc>
          <w:tcPr>
            <w:tcW w:w="828" w:type="dxa"/>
            <w:shd w:val="clear" w:color="auto" w:fill="C6EFCE"/>
            <w:noWrap/>
          </w:tcPr>
          <w:p w14:paraId="672EDC33" w14:textId="77777777" w:rsidR="00D65CB4" w:rsidRPr="00BC4EE7" w:rsidRDefault="00572307">
            <w:pPr>
              <w:pStyle w:val="P68B1DB1-Normal12"/>
              <w:spacing w:after="0" w:line="240" w:lineRule="auto"/>
              <w:jc w:val="right"/>
              <w:rPr>
                <w:rFonts w:eastAsia="Symbol" w:cs="Times New Roman"/>
                <w:noProof/>
              </w:rPr>
            </w:pPr>
            <w:r w:rsidRPr="00BC4EE7">
              <w:rPr>
                <w:rFonts w:cs="Times New Roman"/>
                <w:noProof/>
              </w:rPr>
              <w:t xml:space="preserve"> </w:t>
            </w:r>
          </w:p>
        </w:tc>
        <w:tc>
          <w:tcPr>
            <w:tcW w:w="966" w:type="dxa"/>
            <w:shd w:val="clear" w:color="auto" w:fill="C6EFCE"/>
            <w:noWrap/>
          </w:tcPr>
          <w:p w14:paraId="685F511E" w14:textId="77777777" w:rsidR="00D65CB4" w:rsidRPr="00BC4EE7" w:rsidRDefault="00572307">
            <w:pPr>
              <w:pStyle w:val="P68B1DB1-Normal12"/>
              <w:spacing w:after="0" w:line="240" w:lineRule="auto"/>
              <w:jc w:val="right"/>
              <w:rPr>
                <w:rFonts w:eastAsia="Symbol" w:cs="Times New Roman"/>
                <w:noProof/>
              </w:rPr>
            </w:pPr>
            <w:r w:rsidRPr="00BC4EE7">
              <w:rPr>
                <w:rFonts w:cs="Times New Roman"/>
                <w:noProof/>
              </w:rPr>
              <w:t xml:space="preserve"> </w:t>
            </w:r>
          </w:p>
        </w:tc>
        <w:tc>
          <w:tcPr>
            <w:tcW w:w="691" w:type="dxa"/>
            <w:shd w:val="clear" w:color="auto" w:fill="C6EFCE"/>
            <w:noWrap/>
          </w:tcPr>
          <w:p w14:paraId="030C1E12" w14:textId="77777777" w:rsidR="00D65CB4" w:rsidRPr="00BC4EE7" w:rsidRDefault="00572307">
            <w:pPr>
              <w:pStyle w:val="P68B1DB1-Normal12"/>
              <w:spacing w:after="0" w:line="240" w:lineRule="auto"/>
              <w:jc w:val="right"/>
              <w:rPr>
                <w:rFonts w:eastAsia="Symbol" w:cs="Times New Roman"/>
                <w:noProof/>
              </w:rPr>
            </w:pPr>
            <w:r w:rsidRPr="00BC4EE7">
              <w:rPr>
                <w:rFonts w:cs="Times New Roman"/>
                <w:noProof/>
              </w:rPr>
              <w:t xml:space="preserve"> </w:t>
            </w:r>
          </w:p>
        </w:tc>
        <w:tc>
          <w:tcPr>
            <w:tcW w:w="415" w:type="dxa"/>
            <w:shd w:val="clear" w:color="auto" w:fill="C6EFCE"/>
            <w:noWrap/>
          </w:tcPr>
          <w:p w14:paraId="32FC2616"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Q4</w:t>
            </w:r>
          </w:p>
        </w:tc>
        <w:tc>
          <w:tcPr>
            <w:tcW w:w="553" w:type="dxa"/>
            <w:shd w:val="clear" w:color="auto" w:fill="C6EFCE"/>
            <w:noWrap/>
          </w:tcPr>
          <w:p w14:paraId="025EA925"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2021</w:t>
            </w:r>
          </w:p>
        </w:tc>
        <w:tc>
          <w:tcPr>
            <w:tcW w:w="5373" w:type="dxa"/>
            <w:shd w:val="clear" w:color="auto" w:fill="C6EFCE"/>
            <w:noWrap/>
          </w:tcPr>
          <w:p w14:paraId="7024E496"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Közzététel a Hivatalos Lapban: a méltányos átállást támogató képzési támogatási program szabályozási keretének jóváhagyásáról szóló rendelet, amely meghatározza az alacsony szén-dioxid-kibocsátású gazdaságra való átállás által érintett munkavállalók és személyek szakmai képesítésére és munkaerőpiaci integrációjára vonatkozó támogatási tervet; és b) az alacsony szén-dioxid-kibocsátású gazdaságra áttérő településeken és területeken a környezeti, digitális és szociális infrastruktúra fejlesztése révén a méltányos átállási területek gazdasági fejlődéséhez nyújtott támogatás szabályozási alapjainak meghatározásáról szóló rendelet.</w:t>
            </w:r>
          </w:p>
        </w:tc>
      </w:tr>
      <w:tr w:rsidR="00D65CB4" w:rsidRPr="00BC4EE7" w14:paraId="738A00D3" w14:textId="77777777" w:rsidTr="00481CF8">
        <w:trPr>
          <w:trHeight w:val="309"/>
        </w:trPr>
        <w:tc>
          <w:tcPr>
            <w:tcW w:w="833" w:type="dxa"/>
            <w:shd w:val="clear" w:color="auto" w:fill="C6EFCE"/>
            <w:noWrap/>
          </w:tcPr>
          <w:p w14:paraId="7705F89A" w14:textId="502F7CF1" w:rsidR="00D65CB4" w:rsidRPr="00BC4EE7" w:rsidRDefault="00572307">
            <w:pPr>
              <w:pStyle w:val="P68B1DB1-Normal12"/>
              <w:spacing w:after="0" w:line="240" w:lineRule="auto"/>
              <w:jc w:val="center"/>
              <w:rPr>
                <w:rFonts w:eastAsia="Symbol" w:cs="Times New Roman"/>
                <w:noProof/>
              </w:rPr>
            </w:pPr>
            <w:r w:rsidRPr="00BC4EE7">
              <w:rPr>
                <w:rFonts w:cs="Times New Roman"/>
                <w:noProof/>
              </w:rPr>
              <w:t>140</w:t>
            </w:r>
          </w:p>
        </w:tc>
        <w:tc>
          <w:tcPr>
            <w:tcW w:w="1011" w:type="dxa"/>
            <w:shd w:val="clear" w:color="auto" w:fill="C6EFCE"/>
            <w:noWrap/>
          </w:tcPr>
          <w:p w14:paraId="1BB5EA0F"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C10.I1</w:t>
            </w:r>
          </w:p>
        </w:tc>
        <w:tc>
          <w:tcPr>
            <w:tcW w:w="992" w:type="dxa"/>
            <w:shd w:val="clear" w:color="auto" w:fill="C6EFCE"/>
            <w:noWrap/>
          </w:tcPr>
          <w:p w14:paraId="1D3A1DC5"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T</w:t>
            </w:r>
          </w:p>
        </w:tc>
        <w:tc>
          <w:tcPr>
            <w:tcW w:w="2410" w:type="dxa"/>
            <w:shd w:val="clear" w:color="auto" w:fill="C6EFCE"/>
            <w:noWrap/>
          </w:tcPr>
          <w:p w14:paraId="68494D80"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Környezetvédelmi, digitális és szociális infrastrukturális projektek támogatása.</w:t>
            </w:r>
          </w:p>
        </w:tc>
        <w:tc>
          <w:tcPr>
            <w:tcW w:w="1380" w:type="dxa"/>
            <w:shd w:val="clear" w:color="auto" w:fill="C6EFCE"/>
            <w:noWrap/>
          </w:tcPr>
          <w:p w14:paraId="1096122A"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w:t>
            </w:r>
          </w:p>
        </w:tc>
        <w:tc>
          <w:tcPr>
            <w:tcW w:w="828" w:type="dxa"/>
            <w:shd w:val="clear" w:color="auto" w:fill="C6EFCE"/>
            <w:noWrap/>
          </w:tcPr>
          <w:p w14:paraId="633A5A00" w14:textId="77777777" w:rsidR="00D65CB4" w:rsidRPr="00BC4EE7" w:rsidRDefault="00572307">
            <w:pPr>
              <w:pStyle w:val="P68B1DB1-Normal12"/>
              <w:spacing w:after="0" w:line="240" w:lineRule="auto"/>
              <w:jc w:val="right"/>
              <w:rPr>
                <w:rFonts w:eastAsia="Symbol" w:cs="Times New Roman"/>
                <w:noProof/>
              </w:rPr>
            </w:pPr>
            <w:r w:rsidRPr="00BC4EE7">
              <w:rPr>
                <w:rFonts w:cs="Times New Roman"/>
                <w:noProof/>
              </w:rPr>
              <w:t>Szám</w:t>
            </w:r>
          </w:p>
        </w:tc>
        <w:tc>
          <w:tcPr>
            <w:tcW w:w="966" w:type="dxa"/>
            <w:shd w:val="clear" w:color="auto" w:fill="C6EFCE"/>
            <w:noWrap/>
          </w:tcPr>
          <w:p w14:paraId="03E3A27B" w14:textId="77777777" w:rsidR="00D65CB4" w:rsidRPr="00BC4EE7" w:rsidRDefault="00572307">
            <w:pPr>
              <w:pStyle w:val="P68B1DB1-Normal12"/>
              <w:spacing w:after="0" w:line="240" w:lineRule="auto"/>
              <w:jc w:val="right"/>
              <w:rPr>
                <w:rFonts w:eastAsia="Symbol" w:cs="Times New Roman"/>
                <w:noProof/>
              </w:rPr>
            </w:pPr>
            <w:r w:rsidRPr="00BC4EE7">
              <w:rPr>
                <w:rFonts w:cs="Times New Roman"/>
                <w:noProof/>
              </w:rPr>
              <w:t>0</w:t>
            </w:r>
          </w:p>
        </w:tc>
        <w:tc>
          <w:tcPr>
            <w:tcW w:w="691" w:type="dxa"/>
            <w:shd w:val="clear" w:color="auto" w:fill="C6EFCE"/>
            <w:noWrap/>
          </w:tcPr>
          <w:p w14:paraId="60525613" w14:textId="4A86C0D9" w:rsidR="00D65CB4" w:rsidRPr="00BC4EE7" w:rsidRDefault="00572307">
            <w:pPr>
              <w:pStyle w:val="P68B1DB1-Normal12"/>
              <w:spacing w:after="0" w:line="240" w:lineRule="auto"/>
              <w:jc w:val="right"/>
              <w:rPr>
                <w:rFonts w:eastAsia="Symbol" w:cs="Times New Roman"/>
                <w:noProof/>
              </w:rPr>
            </w:pPr>
            <w:r w:rsidRPr="00BC4EE7">
              <w:rPr>
                <w:rFonts w:cs="Times New Roman"/>
                <w:noProof/>
              </w:rPr>
              <w:t>100</w:t>
            </w:r>
          </w:p>
        </w:tc>
        <w:tc>
          <w:tcPr>
            <w:tcW w:w="415" w:type="dxa"/>
            <w:shd w:val="clear" w:color="auto" w:fill="C6EFCE"/>
            <w:noWrap/>
          </w:tcPr>
          <w:p w14:paraId="3702CC88"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Q4</w:t>
            </w:r>
          </w:p>
        </w:tc>
        <w:tc>
          <w:tcPr>
            <w:tcW w:w="553" w:type="dxa"/>
            <w:shd w:val="clear" w:color="auto" w:fill="C6EFCE"/>
            <w:noWrap/>
          </w:tcPr>
          <w:p w14:paraId="51542F09" w14:textId="79C847BA" w:rsidR="00D65CB4" w:rsidRPr="00BC4EE7" w:rsidRDefault="00572307">
            <w:pPr>
              <w:pStyle w:val="P68B1DB1-Normal12"/>
              <w:spacing w:after="0" w:line="240" w:lineRule="auto"/>
              <w:jc w:val="center"/>
              <w:rPr>
                <w:rFonts w:eastAsia="Symbol" w:cs="Times New Roman"/>
                <w:noProof/>
              </w:rPr>
            </w:pPr>
            <w:r w:rsidRPr="00BC4EE7">
              <w:rPr>
                <w:rFonts w:cs="Times New Roman"/>
                <w:noProof/>
              </w:rPr>
              <w:t>2022</w:t>
            </w:r>
          </w:p>
        </w:tc>
        <w:tc>
          <w:tcPr>
            <w:tcW w:w="5373" w:type="dxa"/>
            <w:shd w:val="clear" w:color="auto" w:fill="C6EFCE"/>
            <w:noWrap/>
          </w:tcPr>
          <w:p w14:paraId="66A409B3" w14:textId="65F7362F" w:rsidR="00D65CB4" w:rsidRPr="00BC4EE7" w:rsidRDefault="00572307">
            <w:pPr>
              <w:pStyle w:val="P68B1DB1-Normal12"/>
              <w:spacing w:after="0" w:line="240" w:lineRule="auto"/>
              <w:rPr>
                <w:rFonts w:eastAsia="Symbol" w:cs="Times New Roman"/>
                <w:noProof/>
              </w:rPr>
            </w:pPr>
            <w:r w:rsidRPr="00BC4EE7">
              <w:rPr>
                <w:rFonts w:cs="Times New Roman"/>
                <w:noProof/>
              </w:rPr>
              <w:t xml:space="preserve">Az alacsony szén-dioxid-kibocsátású gazdaságra való átállásban lévő településeken és területeken megvalósítandó, legalább 100 környezetvédelmi, digitális és szociális infrastrukturális projektre odaítélt legalább 91 000 000 EUR összegnek a Hivatalos Lapban való közzététele. A 100 környezetvédelmi, digitális és szociális infrastrukturális projektnek a méltányos átállási területek településein és területein kell megvalósulnia. </w:t>
            </w:r>
          </w:p>
        </w:tc>
      </w:tr>
      <w:tr w:rsidR="00D65CB4" w:rsidRPr="00BC4EE7" w14:paraId="27329DFB" w14:textId="77777777" w:rsidTr="00481CF8">
        <w:trPr>
          <w:trHeight w:val="309"/>
        </w:trPr>
        <w:tc>
          <w:tcPr>
            <w:tcW w:w="833" w:type="dxa"/>
            <w:shd w:val="clear" w:color="auto" w:fill="C6EFCE"/>
            <w:noWrap/>
          </w:tcPr>
          <w:p w14:paraId="16263622" w14:textId="2C3ED561" w:rsidR="00D65CB4" w:rsidRPr="00BC4EE7" w:rsidRDefault="00572307">
            <w:pPr>
              <w:pStyle w:val="P68B1DB1-Normal12"/>
              <w:spacing w:after="0" w:line="240" w:lineRule="auto"/>
              <w:jc w:val="center"/>
              <w:rPr>
                <w:rFonts w:cs="Times New Roman"/>
                <w:noProof/>
              </w:rPr>
            </w:pPr>
            <w:r w:rsidRPr="00BC4EE7">
              <w:rPr>
                <w:rFonts w:cs="Times New Roman"/>
                <w:noProof/>
              </w:rPr>
              <w:t>431</w:t>
            </w:r>
          </w:p>
        </w:tc>
        <w:tc>
          <w:tcPr>
            <w:tcW w:w="1011" w:type="dxa"/>
            <w:shd w:val="clear" w:color="auto" w:fill="C6EFCE"/>
            <w:noWrap/>
          </w:tcPr>
          <w:p w14:paraId="52F76B2D" w14:textId="4B3610F0" w:rsidR="00D65CB4" w:rsidRPr="00BC4EE7" w:rsidRDefault="00572307">
            <w:pPr>
              <w:pStyle w:val="P68B1DB1-Normal12"/>
              <w:spacing w:after="0" w:line="240" w:lineRule="auto"/>
              <w:jc w:val="center"/>
              <w:rPr>
                <w:rFonts w:cs="Times New Roman"/>
                <w:noProof/>
              </w:rPr>
            </w:pPr>
            <w:r w:rsidRPr="00BC4EE7">
              <w:rPr>
                <w:rFonts w:cs="Times New Roman"/>
                <w:noProof/>
              </w:rPr>
              <w:t>C10.I1</w:t>
            </w:r>
          </w:p>
        </w:tc>
        <w:tc>
          <w:tcPr>
            <w:tcW w:w="992" w:type="dxa"/>
            <w:shd w:val="clear" w:color="auto" w:fill="C6EFCE"/>
            <w:noWrap/>
          </w:tcPr>
          <w:p w14:paraId="78D7795B" w14:textId="0620911D"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2410" w:type="dxa"/>
            <w:shd w:val="clear" w:color="auto" w:fill="C6EFCE"/>
            <w:noWrap/>
          </w:tcPr>
          <w:p w14:paraId="7D579A5B" w14:textId="0881060C" w:rsidR="00D65CB4" w:rsidRPr="00BC4EE7" w:rsidRDefault="00572307">
            <w:pPr>
              <w:pStyle w:val="P68B1DB1-Normal12"/>
              <w:spacing w:after="0" w:line="240" w:lineRule="auto"/>
              <w:rPr>
                <w:rFonts w:cs="Times New Roman"/>
                <w:noProof/>
              </w:rPr>
            </w:pPr>
            <w:r w:rsidRPr="00BC4EE7">
              <w:rPr>
                <w:rFonts w:cs="Times New Roman"/>
                <w:noProof/>
              </w:rPr>
              <w:t>Környezetvédelmi, digitális és szociális infrastrukturális projektek támogatása</w:t>
            </w:r>
          </w:p>
        </w:tc>
        <w:tc>
          <w:tcPr>
            <w:tcW w:w="1380" w:type="dxa"/>
            <w:shd w:val="clear" w:color="auto" w:fill="C6EFCE"/>
            <w:noWrap/>
          </w:tcPr>
          <w:p w14:paraId="24C99078" w14:textId="77777777" w:rsidR="00D65CB4" w:rsidRPr="00BC4EE7" w:rsidRDefault="00D65CB4">
            <w:pPr>
              <w:spacing w:after="0" w:line="240" w:lineRule="auto"/>
              <w:jc w:val="center"/>
              <w:rPr>
                <w:rFonts w:ascii="Times New Roman" w:hAnsi="Times New Roman" w:cs="Times New Roman"/>
                <w:noProof/>
                <w:sz w:val="18"/>
              </w:rPr>
            </w:pPr>
          </w:p>
        </w:tc>
        <w:tc>
          <w:tcPr>
            <w:tcW w:w="828" w:type="dxa"/>
            <w:shd w:val="clear" w:color="auto" w:fill="C6EFCE"/>
            <w:noWrap/>
          </w:tcPr>
          <w:p w14:paraId="63B8055D" w14:textId="4A10BF69" w:rsidR="00D65CB4" w:rsidRPr="00BC4EE7" w:rsidRDefault="00572307">
            <w:pPr>
              <w:pStyle w:val="P68B1DB1-Normal12"/>
              <w:spacing w:after="0" w:line="240" w:lineRule="auto"/>
              <w:jc w:val="right"/>
              <w:rPr>
                <w:rFonts w:cs="Times New Roman"/>
                <w:noProof/>
              </w:rPr>
            </w:pPr>
            <w:r w:rsidRPr="00BC4EE7">
              <w:rPr>
                <w:rFonts w:cs="Times New Roman"/>
                <w:noProof/>
              </w:rPr>
              <w:t>Szám</w:t>
            </w:r>
          </w:p>
        </w:tc>
        <w:tc>
          <w:tcPr>
            <w:tcW w:w="966" w:type="dxa"/>
            <w:shd w:val="clear" w:color="auto" w:fill="C6EFCE"/>
            <w:noWrap/>
          </w:tcPr>
          <w:p w14:paraId="25B29C59" w14:textId="31F604E7" w:rsidR="00D65CB4" w:rsidRPr="00BC4EE7" w:rsidRDefault="00572307">
            <w:pPr>
              <w:pStyle w:val="P68B1DB1-Normal12"/>
              <w:spacing w:after="0" w:line="240" w:lineRule="auto"/>
              <w:jc w:val="right"/>
              <w:rPr>
                <w:rFonts w:cs="Times New Roman"/>
                <w:noProof/>
              </w:rPr>
            </w:pPr>
            <w:r w:rsidRPr="00BC4EE7">
              <w:rPr>
                <w:rFonts w:cs="Times New Roman"/>
                <w:noProof/>
              </w:rPr>
              <w:t>100</w:t>
            </w:r>
          </w:p>
        </w:tc>
        <w:tc>
          <w:tcPr>
            <w:tcW w:w="691" w:type="dxa"/>
            <w:shd w:val="clear" w:color="auto" w:fill="C6EFCE"/>
            <w:noWrap/>
          </w:tcPr>
          <w:p w14:paraId="5024DAD2" w14:textId="34A1F977" w:rsidR="00D65CB4" w:rsidRPr="00BC4EE7" w:rsidRDefault="00572307">
            <w:pPr>
              <w:pStyle w:val="P68B1DB1-Normal12"/>
              <w:spacing w:after="0" w:line="240" w:lineRule="auto"/>
              <w:jc w:val="right"/>
              <w:rPr>
                <w:rFonts w:cs="Times New Roman"/>
                <w:noProof/>
              </w:rPr>
            </w:pPr>
            <w:r w:rsidRPr="00BC4EE7">
              <w:rPr>
                <w:rFonts w:cs="Times New Roman"/>
                <w:noProof/>
              </w:rPr>
              <w:t>130</w:t>
            </w:r>
          </w:p>
        </w:tc>
        <w:tc>
          <w:tcPr>
            <w:tcW w:w="415" w:type="dxa"/>
            <w:shd w:val="clear" w:color="auto" w:fill="C6EFCE"/>
            <w:noWrap/>
          </w:tcPr>
          <w:p w14:paraId="30EB97FC" w14:textId="06725543"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553" w:type="dxa"/>
            <w:shd w:val="clear" w:color="auto" w:fill="C6EFCE"/>
            <w:noWrap/>
          </w:tcPr>
          <w:p w14:paraId="59327563" w14:textId="4F4EECBF" w:rsidR="00D65CB4" w:rsidRPr="00BC4EE7" w:rsidRDefault="00572307">
            <w:pPr>
              <w:pStyle w:val="P68B1DB1-Normal12"/>
              <w:spacing w:after="0" w:line="240" w:lineRule="auto"/>
              <w:jc w:val="center"/>
              <w:rPr>
                <w:rFonts w:cs="Times New Roman"/>
                <w:noProof/>
              </w:rPr>
            </w:pPr>
            <w:r w:rsidRPr="00BC4EE7">
              <w:rPr>
                <w:rFonts w:cs="Times New Roman"/>
                <w:noProof/>
              </w:rPr>
              <w:t>2024</w:t>
            </w:r>
          </w:p>
        </w:tc>
        <w:tc>
          <w:tcPr>
            <w:tcW w:w="5373" w:type="dxa"/>
            <w:shd w:val="clear" w:color="auto" w:fill="C6EFCE"/>
            <w:noWrap/>
          </w:tcPr>
          <w:p w14:paraId="7FCE44CE" w14:textId="6132AFDA" w:rsidR="00D65CB4" w:rsidRPr="00BC4EE7" w:rsidRDefault="00572307">
            <w:pPr>
              <w:pStyle w:val="P68B1DB1-Normal12"/>
              <w:spacing w:after="0" w:line="240" w:lineRule="auto"/>
              <w:rPr>
                <w:rFonts w:cs="Times New Roman"/>
                <w:noProof/>
              </w:rPr>
            </w:pPr>
            <w:r w:rsidRPr="00BC4EE7">
              <w:rPr>
                <w:rFonts w:cs="Times New Roman"/>
                <w:noProof/>
              </w:rPr>
              <w:t>Az alacsony szén-dioxid-kibocsátású gazdaságra való átállásban lévő településeken és területeken megvalósítandó, legalább 30 környezetvédelmi, digitális és szociális infrastrukturális projektre odaítélt legalább 11 000 000 EUR összegnek a Hivatalos Lapban való közzététele. A környezetvédelmi, digitális és szociális infrastrukturális projekteknek a méltányos átállási területeken található településeken és területeken kell megvalósulniuk. (Alapforgatókönyv: 2022. december 31.)</w:t>
            </w:r>
          </w:p>
        </w:tc>
      </w:tr>
      <w:tr w:rsidR="00D65CB4" w:rsidRPr="00BC4EE7" w14:paraId="160D48AB" w14:textId="77777777" w:rsidTr="00481CF8">
        <w:trPr>
          <w:trHeight w:val="309"/>
        </w:trPr>
        <w:tc>
          <w:tcPr>
            <w:tcW w:w="833" w:type="dxa"/>
            <w:shd w:val="clear" w:color="auto" w:fill="C6EFCE"/>
            <w:noWrap/>
          </w:tcPr>
          <w:p w14:paraId="6F5909ED" w14:textId="48D8F886" w:rsidR="00D65CB4" w:rsidRPr="00BC4EE7" w:rsidRDefault="00572307">
            <w:pPr>
              <w:pStyle w:val="P68B1DB1-Normal12"/>
              <w:spacing w:after="0" w:line="240" w:lineRule="auto"/>
              <w:jc w:val="center"/>
              <w:rPr>
                <w:rFonts w:eastAsia="Symbol" w:cs="Times New Roman"/>
                <w:noProof/>
              </w:rPr>
            </w:pPr>
            <w:r w:rsidRPr="00BC4EE7">
              <w:rPr>
                <w:rFonts w:cs="Times New Roman"/>
                <w:noProof/>
              </w:rPr>
              <w:t>141</w:t>
            </w:r>
          </w:p>
        </w:tc>
        <w:tc>
          <w:tcPr>
            <w:tcW w:w="1011" w:type="dxa"/>
            <w:shd w:val="clear" w:color="auto" w:fill="C6EFCE"/>
            <w:noWrap/>
          </w:tcPr>
          <w:p w14:paraId="60E11A76"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C10.I1</w:t>
            </w:r>
          </w:p>
        </w:tc>
        <w:tc>
          <w:tcPr>
            <w:tcW w:w="992" w:type="dxa"/>
            <w:shd w:val="clear" w:color="auto" w:fill="C6EFCE"/>
            <w:noWrap/>
          </w:tcPr>
          <w:p w14:paraId="481B80B2"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T</w:t>
            </w:r>
          </w:p>
        </w:tc>
        <w:tc>
          <w:tcPr>
            <w:tcW w:w="2410" w:type="dxa"/>
            <w:shd w:val="clear" w:color="auto" w:fill="C6EFCE"/>
            <w:noWrap/>
          </w:tcPr>
          <w:p w14:paraId="1F395B26"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 xml:space="preserve">Álláskeresési támogatás és átképzés munkanélküliek számára </w:t>
            </w:r>
          </w:p>
        </w:tc>
        <w:tc>
          <w:tcPr>
            <w:tcW w:w="1380" w:type="dxa"/>
            <w:shd w:val="clear" w:color="auto" w:fill="C6EFCE"/>
            <w:noWrap/>
          </w:tcPr>
          <w:p w14:paraId="48F00459"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w:t>
            </w:r>
          </w:p>
        </w:tc>
        <w:tc>
          <w:tcPr>
            <w:tcW w:w="828" w:type="dxa"/>
            <w:shd w:val="clear" w:color="auto" w:fill="C6EFCE"/>
            <w:noWrap/>
          </w:tcPr>
          <w:p w14:paraId="196FD2E5" w14:textId="77777777" w:rsidR="00D65CB4" w:rsidRPr="00BC4EE7" w:rsidRDefault="00572307">
            <w:pPr>
              <w:pStyle w:val="P68B1DB1-Normal12"/>
              <w:spacing w:after="0" w:line="240" w:lineRule="auto"/>
              <w:jc w:val="right"/>
              <w:rPr>
                <w:rFonts w:eastAsia="Symbol" w:cs="Times New Roman"/>
                <w:noProof/>
              </w:rPr>
            </w:pPr>
            <w:r w:rsidRPr="00BC4EE7">
              <w:rPr>
                <w:rFonts w:cs="Times New Roman"/>
                <w:noProof/>
              </w:rPr>
              <w:t>Szám</w:t>
            </w:r>
          </w:p>
        </w:tc>
        <w:tc>
          <w:tcPr>
            <w:tcW w:w="966" w:type="dxa"/>
            <w:shd w:val="clear" w:color="auto" w:fill="C6EFCE"/>
            <w:noWrap/>
          </w:tcPr>
          <w:p w14:paraId="769908A7" w14:textId="77777777" w:rsidR="00D65CB4" w:rsidRPr="00BC4EE7" w:rsidRDefault="00572307">
            <w:pPr>
              <w:pStyle w:val="P68B1DB1-Normal12"/>
              <w:spacing w:after="0" w:line="240" w:lineRule="auto"/>
              <w:jc w:val="right"/>
              <w:rPr>
                <w:rFonts w:eastAsia="Symbol" w:cs="Times New Roman"/>
                <w:noProof/>
              </w:rPr>
            </w:pPr>
            <w:r w:rsidRPr="00BC4EE7">
              <w:rPr>
                <w:rFonts w:cs="Times New Roman"/>
                <w:noProof/>
              </w:rPr>
              <w:t>0</w:t>
            </w:r>
          </w:p>
        </w:tc>
        <w:tc>
          <w:tcPr>
            <w:tcW w:w="691" w:type="dxa"/>
            <w:shd w:val="clear" w:color="auto" w:fill="C6EFCE"/>
            <w:noWrap/>
          </w:tcPr>
          <w:p w14:paraId="2F9D5B7A" w14:textId="4A9CD569" w:rsidR="00D65CB4" w:rsidRPr="00BC4EE7" w:rsidRDefault="00572307">
            <w:pPr>
              <w:pStyle w:val="P68B1DB1-Normal12"/>
              <w:spacing w:after="0" w:line="240" w:lineRule="auto"/>
              <w:jc w:val="right"/>
              <w:rPr>
                <w:rFonts w:eastAsia="Symbol" w:cs="Times New Roman"/>
                <w:noProof/>
              </w:rPr>
            </w:pPr>
            <w:r w:rsidRPr="00BC4EE7">
              <w:rPr>
                <w:rFonts w:cs="Times New Roman"/>
                <w:noProof/>
              </w:rPr>
              <w:t xml:space="preserve">840 </w:t>
            </w:r>
          </w:p>
        </w:tc>
        <w:tc>
          <w:tcPr>
            <w:tcW w:w="415" w:type="dxa"/>
            <w:shd w:val="clear" w:color="auto" w:fill="C6EFCE"/>
            <w:noWrap/>
          </w:tcPr>
          <w:p w14:paraId="409A1D4A" w14:textId="7DB3EBD1" w:rsidR="00D65CB4" w:rsidRPr="00BC4EE7" w:rsidRDefault="00572307">
            <w:pPr>
              <w:pStyle w:val="P68B1DB1-Normal12"/>
              <w:spacing w:after="0" w:line="240" w:lineRule="auto"/>
              <w:jc w:val="center"/>
              <w:rPr>
                <w:rFonts w:eastAsia="Symbol" w:cs="Times New Roman"/>
                <w:noProof/>
              </w:rPr>
            </w:pPr>
            <w:r w:rsidRPr="00BC4EE7">
              <w:rPr>
                <w:rFonts w:cs="Times New Roman"/>
                <w:noProof/>
              </w:rPr>
              <w:t>Q4</w:t>
            </w:r>
          </w:p>
        </w:tc>
        <w:tc>
          <w:tcPr>
            <w:tcW w:w="553" w:type="dxa"/>
            <w:shd w:val="clear" w:color="auto" w:fill="C6EFCE"/>
            <w:noWrap/>
          </w:tcPr>
          <w:p w14:paraId="32553CA6" w14:textId="7A6AA67C" w:rsidR="00D65CB4" w:rsidRPr="00BC4EE7" w:rsidRDefault="00572307">
            <w:pPr>
              <w:pStyle w:val="P68B1DB1-Normal12"/>
              <w:spacing w:after="0" w:line="240" w:lineRule="auto"/>
              <w:jc w:val="center"/>
              <w:rPr>
                <w:rFonts w:eastAsia="Symbol" w:cs="Times New Roman"/>
                <w:noProof/>
              </w:rPr>
            </w:pPr>
            <w:r w:rsidRPr="00BC4EE7">
              <w:rPr>
                <w:rFonts w:cs="Times New Roman"/>
                <w:noProof/>
              </w:rPr>
              <w:t>2025</w:t>
            </w:r>
          </w:p>
        </w:tc>
        <w:tc>
          <w:tcPr>
            <w:tcW w:w="5373" w:type="dxa"/>
            <w:shd w:val="clear" w:color="auto" w:fill="C6EFCE"/>
            <w:noWrap/>
          </w:tcPr>
          <w:p w14:paraId="5260A411" w14:textId="38CC4637" w:rsidR="00D65CB4" w:rsidRPr="00BC4EE7" w:rsidRDefault="00572307">
            <w:pPr>
              <w:pStyle w:val="P68B1DB1-Normal12"/>
              <w:spacing w:after="0" w:line="240" w:lineRule="auto"/>
              <w:rPr>
                <w:rFonts w:eastAsia="Symbol" w:cs="Times New Roman"/>
                <w:noProof/>
              </w:rPr>
            </w:pPr>
            <w:r w:rsidRPr="00BC4EE7">
              <w:rPr>
                <w:rFonts w:cs="Times New Roman"/>
                <w:noProof/>
              </w:rPr>
              <w:t>Legalább 840 személy részesült személyes álláskeresési segítségnyújtásban és/vagy egyéni átképzési lehetőségekben a munkanélküliek számára az igazságos átmenet területein. Az átképzési pályáknak legalább a következő területekre kell kiterjedniük: megújuló energia (szél- és fotovoltaikus) telepítése és karbantartása, helyreállítás és környezetgazdálkodás és/vagy a lakások integrált és energetikai rehabilitációja.</w:t>
            </w:r>
          </w:p>
        </w:tc>
      </w:tr>
      <w:tr w:rsidR="00D65CB4" w:rsidRPr="00BC4EE7" w14:paraId="31D214C2" w14:textId="77777777" w:rsidTr="00481CF8">
        <w:trPr>
          <w:trHeight w:val="309"/>
        </w:trPr>
        <w:tc>
          <w:tcPr>
            <w:tcW w:w="833" w:type="dxa"/>
            <w:shd w:val="clear" w:color="auto" w:fill="C6EFCE"/>
            <w:noWrap/>
          </w:tcPr>
          <w:p w14:paraId="0AD4F915"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142</w:t>
            </w:r>
          </w:p>
        </w:tc>
        <w:tc>
          <w:tcPr>
            <w:tcW w:w="1011" w:type="dxa"/>
            <w:shd w:val="clear" w:color="auto" w:fill="C6EFCE"/>
            <w:noWrap/>
          </w:tcPr>
          <w:p w14:paraId="4B81512C"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C10.I1</w:t>
            </w:r>
          </w:p>
        </w:tc>
        <w:tc>
          <w:tcPr>
            <w:tcW w:w="992" w:type="dxa"/>
            <w:shd w:val="clear" w:color="auto" w:fill="C6EFCE"/>
            <w:noWrap/>
          </w:tcPr>
          <w:p w14:paraId="49C56718"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T</w:t>
            </w:r>
          </w:p>
        </w:tc>
        <w:tc>
          <w:tcPr>
            <w:tcW w:w="2410" w:type="dxa"/>
            <w:shd w:val="clear" w:color="auto" w:fill="C6EFCE"/>
            <w:noWrap/>
          </w:tcPr>
          <w:p w14:paraId="1EC9E7CC"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Az ipari létesítmények zöld hidrogénnel és energiatárolással kapcsolatos átalakítására irányuló beruházási projektek.</w:t>
            </w:r>
          </w:p>
        </w:tc>
        <w:tc>
          <w:tcPr>
            <w:tcW w:w="1380" w:type="dxa"/>
            <w:shd w:val="clear" w:color="auto" w:fill="C6EFCE"/>
            <w:noWrap/>
          </w:tcPr>
          <w:p w14:paraId="60D9EF91"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w:t>
            </w:r>
          </w:p>
        </w:tc>
        <w:tc>
          <w:tcPr>
            <w:tcW w:w="828" w:type="dxa"/>
            <w:shd w:val="clear" w:color="auto" w:fill="C6EFCE"/>
            <w:noWrap/>
          </w:tcPr>
          <w:p w14:paraId="34AF7EF2" w14:textId="77777777" w:rsidR="00D65CB4" w:rsidRPr="00BC4EE7" w:rsidRDefault="00572307">
            <w:pPr>
              <w:pStyle w:val="P68B1DB1-Normal12"/>
              <w:spacing w:after="0" w:line="240" w:lineRule="auto"/>
              <w:jc w:val="right"/>
              <w:rPr>
                <w:rFonts w:eastAsia="Symbol" w:cs="Times New Roman"/>
                <w:noProof/>
              </w:rPr>
            </w:pPr>
            <w:r w:rsidRPr="00BC4EE7">
              <w:rPr>
                <w:rFonts w:cs="Times New Roman"/>
                <w:noProof/>
              </w:rPr>
              <w:t>Szám</w:t>
            </w:r>
          </w:p>
        </w:tc>
        <w:tc>
          <w:tcPr>
            <w:tcW w:w="966" w:type="dxa"/>
            <w:shd w:val="clear" w:color="auto" w:fill="C6EFCE"/>
            <w:noWrap/>
          </w:tcPr>
          <w:p w14:paraId="7E83114B" w14:textId="77777777" w:rsidR="00D65CB4" w:rsidRPr="00BC4EE7" w:rsidRDefault="00572307">
            <w:pPr>
              <w:pStyle w:val="P68B1DB1-Normal12"/>
              <w:spacing w:after="0" w:line="240" w:lineRule="auto"/>
              <w:jc w:val="right"/>
              <w:rPr>
                <w:rFonts w:eastAsia="Symbol" w:cs="Times New Roman"/>
                <w:noProof/>
              </w:rPr>
            </w:pPr>
            <w:r w:rsidRPr="00BC4EE7">
              <w:rPr>
                <w:rFonts w:cs="Times New Roman"/>
                <w:noProof/>
              </w:rPr>
              <w:t>0</w:t>
            </w:r>
          </w:p>
        </w:tc>
        <w:tc>
          <w:tcPr>
            <w:tcW w:w="691" w:type="dxa"/>
            <w:shd w:val="clear" w:color="auto" w:fill="C6EFCE"/>
            <w:noWrap/>
          </w:tcPr>
          <w:p w14:paraId="7842F596" w14:textId="77777777" w:rsidR="00D65CB4" w:rsidRPr="00BC4EE7" w:rsidRDefault="00572307">
            <w:pPr>
              <w:pStyle w:val="P68B1DB1-Normal12"/>
              <w:spacing w:after="0" w:line="240" w:lineRule="auto"/>
              <w:jc w:val="right"/>
              <w:rPr>
                <w:rFonts w:eastAsia="Symbol" w:cs="Times New Roman"/>
                <w:noProof/>
              </w:rPr>
            </w:pPr>
            <w:r w:rsidRPr="00BC4EE7">
              <w:rPr>
                <w:rFonts w:cs="Times New Roman"/>
                <w:noProof/>
              </w:rPr>
              <w:t>2</w:t>
            </w:r>
          </w:p>
        </w:tc>
        <w:tc>
          <w:tcPr>
            <w:tcW w:w="415" w:type="dxa"/>
            <w:shd w:val="clear" w:color="auto" w:fill="C6EFCE"/>
            <w:noWrap/>
          </w:tcPr>
          <w:p w14:paraId="3BF43DB5"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Q4</w:t>
            </w:r>
          </w:p>
        </w:tc>
        <w:tc>
          <w:tcPr>
            <w:tcW w:w="553" w:type="dxa"/>
            <w:shd w:val="clear" w:color="auto" w:fill="C6EFCE"/>
            <w:noWrap/>
          </w:tcPr>
          <w:p w14:paraId="1636D221" w14:textId="0FAE755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2025</w:t>
            </w:r>
          </w:p>
        </w:tc>
        <w:tc>
          <w:tcPr>
            <w:tcW w:w="5373" w:type="dxa"/>
            <w:shd w:val="clear" w:color="auto" w:fill="C6EFCE"/>
            <w:noWrap/>
          </w:tcPr>
          <w:p w14:paraId="60DC99EA"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 xml:space="preserve">Két beruházási projekt lezárása az ipari létesítmények jövőbeli </w:t>
            </w:r>
            <w:r w:rsidRPr="00BC4EE7">
              <w:rPr>
                <w:rFonts w:cs="Times New Roman"/>
                <w:i/>
                <w:noProof/>
              </w:rPr>
              <w:t>Infraestructura Científica y Técnica Singular</w:t>
            </w:r>
            <w:r w:rsidRPr="00BC4EE7">
              <w:rPr>
                <w:rFonts w:cs="Times New Roman"/>
                <w:noProof/>
              </w:rPr>
              <w:t xml:space="preserve"> (ICTP) átalakítására a zöldhidrogén-termelés és -tárolás hitelesítése céljából. A projekteknek ki kell igazítaniuk a Ciudad de la Energía (CIUDEN) létesítményeit és laboratóriumait két, a zöld hidrogén előállítására és energiatárolására irányuló K+F+I projekthez.</w:t>
            </w:r>
          </w:p>
        </w:tc>
      </w:tr>
      <w:tr w:rsidR="00D65CB4" w:rsidRPr="00BC4EE7" w14:paraId="26CCBD48" w14:textId="77777777" w:rsidTr="00481CF8">
        <w:trPr>
          <w:trHeight w:val="309"/>
        </w:trPr>
        <w:tc>
          <w:tcPr>
            <w:tcW w:w="833" w:type="dxa"/>
            <w:shd w:val="clear" w:color="auto" w:fill="C6EFCE"/>
            <w:noWrap/>
          </w:tcPr>
          <w:p w14:paraId="642DAC0B"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143</w:t>
            </w:r>
          </w:p>
        </w:tc>
        <w:tc>
          <w:tcPr>
            <w:tcW w:w="1011" w:type="dxa"/>
            <w:shd w:val="clear" w:color="auto" w:fill="C6EFCE"/>
            <w:noWrap/>
          </w:tcPr>
          <w:p w14:paraId="30B38E23"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C10.I1</w:t>
            </w:r>
          </w:p>
        </w:tc>
        <w:tc>
          <w:tcPr>
            <w:tcW w:w="992" w:type="dxa"/>
            <w:shd w:val="clear" w:color="auto" w:fill="C6EFCE"/>
            <w:noWrap/>
          </w:tcPr>
          <w:p w14:paraId="1BBCB446"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T</w:t>
            </w:r>
          </w:p>
        </w:tc>
        <w:tc>
          <w:tcPr>
            <w:tcW w:w="2410" w:type="dxa"/>
            <w:shd w:val="clear" w:color="auto" w:fill="C6EFCE"/>
            <w:noWrap/>
          </w:tcPr>
          <w:p w14:paraId="7A067092"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Bezárt szénbányákban vagy erőművekkel szomszédos területeken rehabilitált földterület.</w:t>
            </w:r>
          </w:p>
        </w:tc>
        <w:tc>
          <w:tcPr>
            <w:tcW w:w="1380" w:type="dxa"/>
            <w:shd w:val="clear" w:color="auto" w:fill="C6EFCE"/>
            <w:noWrap/>
          </w:tcPr>
          <w:p w14:paraId="0812ED9E"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w:t>
            </w:r>
          </w:p>
        </w:tc>
        <w:tc>
          <w:tcPr>
            <w:tcW w:w="828" w:type="dxa"/>
            <w:shd w:val="clear" w:color="auto" w:fill="C6EFCE"/>
            <w:noWrap/>
          </w:tcPr>
          <w:p w14:paraId="06982734" w14:textId="77777777" w:rsidR="00D65CB4" w:rsidRPr="00BC4EE7" w:rsidRDefault="00572307">
            <w:pPr>
              <w:pStyle w:val="P68B1DB1-Normal12"/>
              <w:spacing w:after="0" w:line="240" w:lineRule="auto"/>
              <w:jc w:val="right"/>
              <w:rPr>
                <w:rFonts w:eastAsia="Symbol" w:cs="Times New Roman"/>
                <w:noProof/>
              </w:rPr>
            </w:pPr>
            <w:r w:rsidRPr="00BC4EE7">
              <w:rPr>
                <w:rFonts w:cs="Times New Roman"/>
                <w:noProof/>
              </w:rPr>
              <w:t>Szám (hektár)</w:t>
            </w:r>
          </w:p>
        </w:tc>
        <w:tc>
          <w:tcPr>
            <w:tcW w:w="966" w:type="dxa"/>
            <w:shd w:val="clear" w:color="auto" w:fill="C6EFCE"/>
            <w:noWrap/>
          </w:tcPr>
          <w:p w14:paraId="28EA6124" w14:textId="77777777" w:rsidR="00D65CB4" w:rsidRPr="00BC4EE7" w:rsidRDefault="00572307">
            <w:pPr>
              <w:pStyle w:val="P68B1DB1-Normal12"/>
              <w:spacing w:after="0" w:line="240" w:lineRule="auto"/>
              <w:jc w:val="right"/>
              <w:rPr>
                <w:rFonts w:eastAsia="Symbol" w:cs="Times New Roman"/>
                <w:noProof/>
              </w:rPr>
            </w:pPr>
            <w:r w:rsidRPr="00BC4EE7">
              <w:rPr>
                <w:rFonts w:cs="Times New Roman"/>
                <w:noProof/>
              </w:rPr>
              <w:t>0</w:t>
            </w:r>
          </w:p>
        </w:tc>
        <w:tc>
          <w:tcPr>
            <w:tcW w:w="691" w:type="dxa"/>
            <w:shd w:val="clear" w:color="auto" w:fill="C6EFCE"/>
            <w:noWrap/>
          </w:tcPr>
          <w:p w14:paraId="1DCF5F40" w14:textId="77777777" w:rsidR="00D65CB4" w:rsidRPr="00BC4EE7" w:rsidRDefault="00572307">
            <w:pPr>
              <w:pStyle w:val="P68B1DB1-Normal12"/>
              <w:spacing w:after="0" w:line="240" w:lineRule="auto"/>
              <w:jc w:val="right"/>
              <w:rPr>
                <w:rFonts w:eastAsia="Symbol" w:cs="Times New Roman"/>
                <w:noProof/>
              </w:rPr>
            </w:pPr>
            <w:r w:rsidRPr="00BC4EE7">
              <w:rPr>
                <w:rFonts w:cs="Times New Roman"/>
                <w:noProof/>
              </w:rPr>
              <w:t>2 000</w:t>
            </w:r>
          </w:p>
        </w:tc>
        <w:tc>
          <w:tcPr>
            <w:tcW w:w="415" w:type="dxa"/>
            <w:shd w:val="clear" w:color="auto" w:fill="C6EFCE"/>
            <w:noWrap/>
          </w:tcPr>
          <w:p w14:paraId="684BA9D8"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Q2</w:t>
            </w:r>
          </w:p>
        </w:tc>
        <w:tc>
          <w:tcPr>
            <w:tcW w:w="553" w:type="dxa"/>
            <w:shd w:val="clear" w:color="auto" w:fill="C6EFCE"/>
            <w:noWrap/>
          </w:tcPr>
          <w:p w14:paraId="5B397BA1" w14:textId="77777777" w:rsidR="00D65CB4" w:rsidRPr="00BC4EE7" w:rsidRDefault="00572307">
            <w:pPr>
              <w:pStyle w:val="P68B1DB1-Normal12"/>
              <w:spacing w:after="0" w:line="240" w:lineRule="auto"/>
              <w:jc w:val="center"/>
              <w:rPr>
                <w:rFonts w:eastAsia="Symbol" w:cs="Times New Roman"/>
                <w:noProof/>
              </w:rPr>
            </w:pPr>
            <w:r w:rsidRPr="00BC4EE7">
              <w:rPr>
                <w:rFonts w:cs="Times New Roman"/>
                <w:noProof/>
              </w:rPr>
              <w:t>2026</w:t>
            </w:r>
          </w:p>
        </w:tc>
        <w:tc>
          <w:tcPr>
            <w:tcW w:w="5373" w:type="dxa"/>
            <w:shd w:val="clear" w:color="auto" w:fill="C6EFCE"/>
            <w:noWrap/>
          </w:tcPr>
          <w:p w14:paraId="5AEEA7F3" w14:textId="77777777" w:rsidR="00D65CB4" w:rsidRPr="00BC4EE7" w:rsidRDefault="00572307">
            <w:pPr>
              <w:pStyle w:val="P68B1DB1-Normal12"/>
              <w:spacing w:after="0" w:line="240" w:lineRule="auto"/>
              <w:rPr>
                <w:rFonts w:eastAsia="Symbol" w:cs="Times New Roman"/>
                <w:noProof/>
              </w:rPr>
            </w:pPr>
            <w:r w:rsidRPr="00BC4EE7">
              <w:rPr>
                <w:rFonts w:cs="Times New Roman"/>
                <w:noProof/>
              </w:rPr>
              <w:t>Legalább 2 000 hektár rehabilitált földterület zárt szénbányászati telephelyeken vagy hőerőművekkel vagy atomerőművekkel szomszédos területeken. A rehabilitált földterületek területe szennyezett területeken, különösen szénbányászati helyszíneken vagy hőerőművekkel vagy atomerőművekkel szomszédos földterületeken, ahol az erőműveket és bányászati létesítményeket lebontják, és ahol a talajt rehabilitálják és újraerdősítési vagy rekultivációs folyamatoknak, megújulóenergia-létesítményeknek vagy ökoalternatív gazdasági fejlődésnek vetik alá.</w:t>
            </w:r>
          </w:p>
        </w:tc>
      </w:tr>
    </w:tbl>
    <w:p w14:paraId="386B8F08" w14:textId="32D8376A" w:rsidR="00D65CB4" w:rsidRPr="00BC4EE7" w:rsidRDefault="00D65CB4">
      <w:pPr>
        <w:tabs>
          <w:tab w:val="left" w:pos="2370"/>
        </w:tabs>
        <w:rPr>
          <w:rFonts w:ascii="Times New Roman" w:hAnsi="Times New Roman" w:cs="Times New Roman"/>
          <w:noProof/>
          <w:sz w:val="24"/>
        </w:rPr>
        <w:sectPr w:rsidR="00D65CB4" w:rsidRPr="00BC4EE7" w:rsidSect="00B511EF">
          <w:headerReference w:type="even" r:id="rId219"/>
          <w:headerReference w:type="default" r:id="rId220"/>
          <w:footerReference w:type="even" r:id="rId221"/>
          <w:footerReference w:type="default" r:id="rId222"/>
          <w:headerReference w:type="first" r:id="rId223"/>
          <w:footerReference w:type="first" r:id="rId224"/>
          <w:pgSz w:w="16839" w:h="11907" w:orient="landscape"/>
          <w:pgMar w:top="1134" w:right="1134" w:bottom="1134" w:left="1134" w:header="567" w:footer="567" w:gutter="0"/>
          <w:cols w:space="720"/>
          <w:docGrid w:linePitch="360"/>
        </w:sectPr>
      </w:pPr>
    </w:p>
    <w:p w14:paraId="6A7F6ABC" w14:textId="77777777" w:rsidR="00D65CB4" w:rsidRPr="00BC4EE7" w:rsidRDefault="00572307">
      <w:pPr>
        <w:pStyle w:val="P68B1DB1-Heading12"/>
        <w:rPr>
          <w:rFonts w:cs="Times New Roman"/>
          <w:noProof/>
        </w:rPr>
      </w:pPr>
      <w:r w:rsidRPr="00BC4EE7">
        <w:rPr>
          <w:rFonts w:cs="Times New Roman"/>
          <w:noProof/>
        </w:rPr>
        <w:t>K. 11. KOMPONENS: A közigazgatások korszerűsítése</w:t>
      </w:r>
    </w:p>
    <w:p w14:paraId="352E93FA"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spanyol helyreállítási és rezilienciaépítési terv ezen komponense a közigazgatást érintő kihívásokkal foglalkozik, beleértve az igazságszolgáltatási rendszer hatékonyságát, az igazgatási kapacitást és a különböző kormányzati szintek közötti együttműködést. Célja a spanyol közigazgatás korszerűsítése a közigazgatási folyamatok, a közbeszerzés, az igazságszolgáltatás, a közfoglalkoztatás, többek között a humánerőforrás-politikák reformja révén; növelje a közszolgáltatások hozzáférhetőségét és hatékonyságát azok további digitalizálása révén; az energiamegtakarítás, a megújuló energia középületekben és infrastruktúrában való használatának előmozdítása, a köztisztviselők fenntartható mobilitásának fokozása; valamint a közigazgatási szervek közigazgatási kapacitásának megerősítése a közpolitikák nyomon követése, ellenőrzése és végrehajtása érdekében. Az e célok eléréséhez szükséges legfontosabb intézkedések a következők:</w:t>
      </w:r>
    </w:p>
    <w:p w14:paraId="56EFA3F4" w14:textId="77777777" w:rsidR="00D65CB4" w:rsidRPr="00BC4EE7" w:rsidRDefault="00572307">
      <w:pPr>
        <w:pStyle w:val="P68B1DB1-Normal4"/>
        <w:numPr>
          <w:ilvl w:val="0"/>
          <w:numId w:val="106"/>
        </w:numPr>
        <w:spacing w:before="120" w:after="120" w:line="240" w:lineRule="auto"/>
        <w:ind w:left="714" w:hanging="357"/>
        <w:contextualSpacing/>
        <w:jc w:val="both"/>
        <w:rPr>
          <w:rFonts w:cs="Times New Roman"/>
          <w:noProof/>
        </w:rPr>
      </w:pPr>
      <w:r w:rsidRPr="00BC4EE7">
        <w:rPr>
          <w:rFonts w:cs="Times New Roman"/>
          <w:noProof/>
        </w:rPr>
        <w:t>A központi, regionális és helyi közigazgatás reformja a közöttük folyó együttműködés javítása, a közbeszerzési keret megerősítése, a közpolitikák értékelése és a határozatlan idejű munkaszerződésekre való áttérés előmozdítása révén;</w:t>
      </w:r>
    </w:p>
    <w:p w14:paraId="4271A214" w14:textId="77777777" w:rsidR="00D65CB4" w:rsidRPr="00BC4EE7" w:rsidRDefault="00572307">
      <w:pPr>
        <w:pStyle w:val="P68B1DB1-Normal4"/>
        <w:numPr>
          <w:ilvl w:val="0"/>
          <w:numId w:val="106"/>
        </w:numPr>
        <w:spacing w:before="120" w:after="120" w:line="240" w:lineRule="auto"/>
        <w:ind w:left="714" w:hanging="357"/>
        <w:contextualSpacing/>
        <w:jc w:val="both"/>
        <w:rPr>
          <w:rFonts w:cs="Times New Roman"/>
          <w:noProof/>
        </w:rPr>
      </w:pPr>
      <w:r w:rsidRPr="00BC4EE7">
        <w:rPr>
          <w:rFonts w:cs="Times New Roman"/>
          <w:noProof/>
        </w:rPr>
        <w:t>A közigazgatás és a folyamatok digitalizálása öt kiemelt projekttel a stratégiai területeken: igazságügy, állami foglalkoztatási szolgálatok, közegészségügyi adatok, konzulátusok irányítása és területi közigazgatás;</w:t>
      </w:r>
    </w:p>
    <w:p w14:paraId="1C63BC53" w14:textId="77777777" w:rsidR="00D65CB4" w:rsidRPr="00BC4EE7" w:rsidRDefault="00572307">
      <w:pPr>
        <w:pStyle w:val="P68B1DB1-Normal4"/>
        <w:numPr>
          <w:ilvl w:val="0"/>
          <w:numId w:val="106"/>
        </w:numPr>
        <w:spacing w:before="120" w:after="120" w:line="240" w:lineRule="auto"/>
        <w:ind w:left="714" w:hanging="357"/>
        <w:contextualSpacing/>
        <w:jc w:val="both"/>
        <w:rPr>
          <w:rFonts w:cs="Times New Roman"/>
          <w:noProof/>
        </w:rPr>
      </w:pPr>
      <w:r w:rsidRPr="00BC4EE7">
        <w:rPr>
          <w:rFonts w:cs="Times New Roman"/>
          <w:noProof/>
        </w:rPr>
        <w:t>A központi kormányzat energetikai átállási terve;</w:t>
      </w:r>
    </w:p>
    <w:p w14:paraId="393C7493" w14:textId="77777777" w:rsidR="00D65CB4" w:rsidRPr="00BC4EE7" w:rsidRDefault="00572307">
      <w:pPr>
        <w:pStyle w:val="P68B1DB1-Normal4"/>
        <w:numPr>
          <w:ilvl w:val="0"/>
          <w:numId w:val="106"/>
        </w:numPr>
        <w:spacing w:before="120" w:after="120" w:line="240" w:lineRule="auto"/>
        <w:ind w:left="714" w:hanging="357"/>
        <w:contextualSpacing/>
        <w:jc w:val="both"/>
        <w:rPr>
          <w:rFonts w:cs="Times New Roman"/>
          <w:noProof/>
        </w:rPr>
      </w:pPr>
      <w:r w:rsidRPr="00BC4EE7">
        <w:rPr>
          <w:rFonts w:cs="Times New Roman"/>
          <w:noProof/>
        </w:rPr>
        <w:t>Az adminisztratív kapacitások megerősítése.</w:t>
      </w:r>
    </w:p>
    <w:p w14:paraId="5F50FC9F" w14:textId="4115D13C" w:rsidR="00D65CB4" w:rsidRPr="00BC4EE7" w:rsidRDefault="00572307">
      <w:pPr>
        <w:pStyle w:val="P68B1DB1-Normal4"/>
        <w:spacing w:before="120" w:after="120" w:line="240" w:lineRule="auto"/>
        <w:jc w:val="both"/>
        <w:rPr>
          <w:rFonts w:cs="Times New Roman"/>
          <w:noProof/>
        </w:rPr>
      </w:pPr>
      <w:r w:rsidRPr="00BC4EE7">
        <w:rPr>
          <w:rFonts w:cs="Times New Roman"/>
          <w:noProof/>
        </w:rPr>
        <w:t>A spanyol helyreállítási és rezilienciaépítési terv ezen komponense a közbeszerzési keret megerősítéséről (2019. és 4. országspecifikus ajánlás), a határozatlan idejű szerződésekre való átállás előmozdításáról (2019. évi 2. országspecifikus ajánlás), a közberuházási projektek előreütemezéséről, valamint a beruházásoknak a zöld és digitális átállásra való összpontosításáról szóló országspecifikus ajánlásokkal (2019., 3., 2020., 1., 2022. és 1. 2023. évi 1. országspecifikus ajánlás), valamint a közigazgatások közötti együttműködés javításáról (2019. és 2020. évi 4. országspecifikus ajánlás) foglalkozik.</w:t>
      </w:r>
    </w:p>
    <w:p w14:paraId="40F85C11"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jelentős károkozás elkerülését célzó elvről szóló technikai iránymutatásnak (2021/C58/01) megfelelően a helyreállítási és rezilienciaépítési tervben meghatározott intézkedések leírását és a helyreállítási és rezilienciaépítési tervben meghatározott enyhítő lépéseket figyelembe véve ebben a komponensben várhatóan egyetlen intézkedés sem sérti jelentős mértékben az (EU) 2020/852 rendelet 17. cikke szerinti környezeti célkitűzéseket.</w:t>
      </w:r>
    </w:p>
    <w:p w14:paraId="12F0DF21" w14:textId="77777777" w:rsidR="00D65CB4" w:rsidRPr="00BC4EE7" w:rsidRDefault="00572307">
      <w:pPr>
        <w:spacing w:before="120" w:after="120" w:line="240" w:lineRule="auto"/>
        <w:jc w:val="both"/>
        <w:rPr>
          <w:rFonts w:ascii="Times New Roman" w:hAnsi="Times New Roman" w:cs="Times New Roman"/>
          <w:b/>
          <w:i/>
          <w:noProof/>
          <w:sz w:val="24"/>
        </w:rPr>
      </w:pPr>
      <w:r w:rsidRPr="00BC4EE7">
        <w:rPr>
          <w:rFonts w:ascii="Times New Roman" w:hAnsi="Times New Roman" w:cs="Times New Roman"/>
          <w:b/>
          <w:noProof/>
          <w:sz w:val="24"/>
          <w:u w:val="single"/>
        </w:rPr>
        <w:t xml:space="preserve">K.1.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Vissza nem térítendő pénzügyi támogatás – a reformok és beruházások ismertetése</w:t>
      </w:r>
    </w:p>
    <w:p w14:paraId="3DACBE7E"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 xml:space="preserve">Reform (C11.R1) – A közigazgatás korszerűsítését és digitalizálását célzó reform </w:t>
      </w:r>
    </w:p>
    <w:p w14:paraId="2714C8E2"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Ezt az intézkedést több cselekvési irányvonal mentén kell megfogalmazni a közigazgatás foglalkoztatáspolitikáiban tapasztalható hiányosságok kezelése, a különböző kormányzati szintek közötti együttműködés és koordináció megerősítése, valamint a közpolitikák központi kormányzat általi végrehajtásának javítása érdekében. A foglalkoztatáspolitikák tekintetében a cél az ideiglenes alkalmazottak arányának csökkentése a közigazgatásban, valamint az állami foglalkoztatási kapacitások megerősítése egy kompetenciaalapú emberierőforrás-modell felé való elmozdulás révén, beleértve a munkaerő-felvételt is. A második cselekvési irányvonal az előzetes szakpolitikai értékelés továbbfejlesztése, valamint az átláthatóság és a polgárok közpolitikai döntéshozatalban való részvételének növelése, beleértve az érdekcsoportok tevékenységeinek átláthatóságáról és integritásáról szóló új törvényt.</w:t>
      </w:r>
      <w:r w:rsidRPr="00BC4EE7">
        <w:rPr>
          <w:rFonts w:cs="Times New Roman"/>
          <w:noProof/>
          <w:shd w:val="clear" w:color="auto" w:fill="FFFFFF" w:themeFill="background1"/>
        </w:rPr>
        <w:t xml:space="preserve"> Végezetül a reformnak</w:t>
      </w:r>
      <w:r w:rsidRPr="00BC4EE7">
        <w:rPr>
          <w:rFonts w:cs="Times New Roman"/>
          <w:noProof/>
        </w:rPr>
        <w:t xml:space="preserve"> meg kell erősítenie a spanyol kormányok különböző szintjei közötti együttműködés meglévő eszközeit. Ez megerősíti az ágazati konferenciák szerepét, a régiókkal való együttműködést szolgáló meglévő szervek szerepét azáltal, hogy tisztázza, mikor köthetnek a kötelező megfelelésről szóló megállapodásokat. A reform megerősíti az Elnökök Értekezletét is (ahol a miniszterelnök és az autonóm közösségek elnökei a legmagasabb szinten üléseznek). A reform azokra az eszközökre is vonatkozik, amelyek lehetővé teszik a közigazgatási szervek közötti együttműködést, a központi és regionális kormányzati informatikai platformok közötti digitális kapcsolatot és </w:t>
      </w:r>
      <w:r w:rsidRPr="00BC4EE7">
        <w:rPr>
          <w:rFonts w:cs="Times New Roman"/>
          <w:noProof/>
          <w:shd w:val="clear" w:color="auto" w:fill="FFFFFF" w:themeFill="background1"/>
        </w:rPr>
        <w:t xml:space="preserve">interoperabilitást hoz létre. </w:t>
      </w:r>
      <w:r w:rsidRPr="00BC4EE7">
        <w:rPr>
          <w:rFonts w:cs="Times New Roman"/>
          <w:noProof/>
        </w:rPr>
        <w:t>A reformnak aktualizálnia kell a nemzetbiztonsági keretet is.</w:t>
      </w:r>
    </w:p>
    <w:p w14:paraId="636B4929"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Ezen intézkedés végrehajtását 2024. december 31-ig be kell fejezni.</w:t>
      </w:r>
    </w:p>
    <w:p w14:paraId="25E2998A" w14:textId="77777777" w:rsidR="00D65CB4" w:rsidRPr="00BC4EE7" w:rsidRDefault="00572307">
      <w:pPr>
        <w:pStyle w:val="P68B1DB1-Normal5"/>
        <w:keepNext/>
        <w:spacing w:before="120" w:after="120" w:line="240" w:lineRule="auto"/>
        <w:jc w:val="both"/>
        <w:rPr>
          <w:rFonts w:cs="Times New Roman"/>
          <w:noProof/>
        </w:rPr>
      </w:pPr>
      <w:r w:rsidRPr="00BC4EE7">
        <w:rPr>
          <w:rFonts w:cs="Times New Roman"/>
          <w:noProof/>
        </w:rPr>
        <w:t>Reform (C11.R2) – A jogállamiság és az igazságszolgáltatási rendszer hatékonyságának megerősítését célzó reform</w:t>
      </w:r>
    </w:p>
    <w:p w14:paraId="01290F57" w14:textId="77777777" w:rsidR="00D65CB4" w:rsidRPr="00BC4EE7" w:rsidRDefault="00572307">
      <w:pPr>
        <w:pStyle w:val="P68B1DB1-Normal4"/>
        <w:keepNext/>
        <w:spacing w:before="120" w:after="120" w:line="240" w:lineRule="auto"/>
        <w:jc w:val="both"/>
        <w:rPr>
          <w:rFonts w:cs="Times New Roman"/>
          <w:noProof/>
        </w:rPr>
      </w:pPr>
      <w:r w:rsidRPr="00BC4EE7">
        <w:rPr>
          <w:rFonts w:cs="Times New Roman"/>
          <w:noProof/>
        </w:rPr>
        <w:t>A szeptember 18-i 3/2020. sz. törvény és a Jogérvényesülés 2030 program ütemtervet határoz meg a spanyolországi igazságszolgáltatás reformjára. Ebben az összefüggésben ez az intézkedés a hatálybalépésig korszerűsíti az igazságszolgáltatási rendszert (figyelembe véve az egyes jogszabályokban meghatározott „</w:t>
      </w:r>
      <w:r w:rsidRPr="00BC4EE7">
        <w:rPr>
          <w:rFonts w:cs="Times New Roman"/>
          <w:i/>
          <w:noProof/>
        </w:rPr>
        <w:t>vacatio legis</w:t>
      </w:r>
      <w:r w:rsidRPr="00BC4EE7">
        <w:rPr>
          <w:rFonts w:cs="Times New Roman"/>
          <w:noProof/>
        </w:rPr>
        <w:t xml:space="preserve">”-t),  </w:t>
      </w:r>
    </w:p>
    <w:p w14:paraId="1F3E25AB"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2022. december 31-ig:</w:t>
      </w:r>
    </w:p>
    <w:p w14:paraId="2E37D948" w14:textId="6B89FDCF" w:rsidR="00D65CB4" w:rsidRPr="00BC4EE7" w:rsidRDefault="00572307">
      <w:pPr>
        <w:pStyle w:val="P68B1DB1-Normal4"/>
        <w:numPr>
          <w:ilvl w:val="0"/>
          <w:numId w:val="109"/>
        </w:numPr>
        <w:spacing w:before="120" w:after="120" w:line="240" w:lineRule="auto"/>
        <w:jc w:val="both"/>
        <w:rPr>
          <w:rFonts w:cs="Times New Roman"/>
          <w:noProof/>
        </w:rPr>
      </w:pPr>
      <w:r w:rsidRPr="00BC4EE7">
        <w:rPr>
          <w:rFonts w:cs="Times New Roman"/>
          <w:noProof/>
        </w:rPr>
        <w:t>Az eljárási hatékonyságról szóló királyi törvényerejű rendelet, amelynek valamennyi joghatóságban le kell rövidítenie az eljárások időtartamát, ugyanakkor meg kell őriznie a polgárok eljárási garanciáit;</w:t>
      </w:r>
    </w:p>
    <w:p w14:paraId="2F975B10" w14:textId="27DAE543" w:rsidR="00D65CB4" w:rsidRPr="00BC4EE7" w:rsidRDefault="00572307">
      <w:pPr>
        <w:pStyle w:val="P68B1DB1-Normal4"/>
        <w:numPr>
          <w:ilvl w:val="0"/>
          <w:numId w:val="109"/>
        </w:numPr>
        <w:spacing w:before="120" w:after="120" w:line="240" w:lineRule="auto"/>
        <w:jc w:val="both"/>
        <w:rPr>
          <w:rFonts w:cs="Times New Roman"/>
          <w:noProof/>
        </w:rPr>
      </w:pPr>
      <w:r w:rsidRPr="00BC4EE7">
        <w:rPr>
          <w:rFonts w:cs="Times New Roman"/>
          <w:noProof/>
        </w:rPr>
        <w:t>A digitális hatékonyságról szóló királyi törvényerejű rendelet, amely előmozdítja az adatvezérelt információkezelési architektúrát.</w:t>
      </w:r>
    </w:p>
    <w:p w14:paraId="5C8D43F9" w14:textId="18DD97C7" w:rsidR="00D65CB4" w:rsidRPr="00BC4EE7" w:rsidRDefault="00572307">
      <w:pPr>
        <w:pStyle w:val="P68B1DB1-Normal4"/>
        <w:spacing w:before="120" w:after="120" w:line="240" w:lineRule="auto"/>
        <w:jc w:val="both"/>
        <w:rPr>
          <w:rFonts w:cs="Times New Roman"/>
          <w:noProof/>
        </w:rPr>
      </w:pPr>
      <w:r w:rsidRPr="00BC4EE7">
        <w:rPr>
          <w:rFonts w:cs="Times New Roman"/>
          <w:noProof/>
        </w:rPr>
        <w:t>2024. december 31-ig:</w:t>
      </w:r>
    </w:p>
    <w:p w14:paraId="633FA789" w14:textId="417AC4CB" w:rsidR="00D65CB4" w:rsidRPr="00BC4EE7" w:rsidRDefault="00572307">
      <w:pPr>
        <w:pStyle w:val="P68B1DB1-Normal4"/>
        <w:numPr>
          <w:ilvl w:val="0"/>
          <w:numId w:val="109"/>
        </w:numPr>
        <w:spacing w:before="120" w:after="120" w:line="240" w:lineRule="auto"/>
        <w:jc w:val="both"/>
        <w:rPr>
          <w:rFonts w:cs="Times New Roman"/>
          <w:noProof/>
        </w:rPr>
      </w:pPr>
      <w:r w:rsidRPr="00BC4EE7">
        <w:rPr>
          <w:rFonts w:cs="Times New Roman"/>
          <w:noProof/>
        </w:rPr>
        <w:t>Az igazságszolgáltatási rendszer szervezeti és eljárási hatékonyságáról szóló törvény, amely módosítja az igazságszolgáltatási térkép felépítését és alternatív vitarendezési eszközöket határoz meg. Ez a törvény az egyszemélyes elsőfokú bíróságok nagy számát 431 kollegiális szervvel (</w:t>
      </w:r>
      <w:r w:rsidRPr="00BC4EE7">
        <w:rPr>
          <w:rFonts w:cs="Times New Roman"/>
          <w:i/>
          <w:noProof/>
        </w:rPr>
        <w:t>Tribunales de Instancia</w:t>
      </w:r>
      <w:r w:rsidRPr="00BC4EE7">
        <w:rPr>
          <w:rFonts w:cs="Times New Roman"/>
          <w:noProof/>
        </w:rPr>
        <w:t>) váltja fel, és végrehajtja az Igazságügyi Hivatalt.</w:t>
      </w:r>
    </w:p>
    <w:p w14:paraId="1C0B2809" w14:textId="778A1BB0" w:rsidR="00D65CB4" w:rsidRPr="00BC4EE7" w:rsidRDefault="00572307">
      <w:pPr>
        <w:pStyle w:val="P68B1DB1-Normal4"/>
        <w:numPr>
          <w:ilvl w:val="0"/>
          <w:numId w:val="109"/>
        </w:numPr>
        <w:spacing w:before="120" w:after="120" w:line="240" w:lineRule="auto"/>
        <w:jc w:val="both"/>
        <w:rPr>
          <w:rFonts w:cs="Times New Roman"/>
          <w:noProof/>
        </w:rPr>
      </w:pPr>
      <w:r w:rsidRPr="00BC4EE7">
        <w:rPr>
          <w:rFonts w:cs="Times New Roman"/>
          <w:noProof/>
        </w:rPr>
        <w:t>A védelemhez való jogról szóló törvény, amely fejleszti és erősíti a tisztességes eljáráshoz való alapvető jogot, és végső soron hozzájárul a jogállamiság megerősítéséhez.</w:t>
      </w:r>
    </w:p>
    <w:p w14:paraId="730B9F02" w14:textId="0FE2A1FA" w:rsidR="00D65CB4" w:rsidRPr="00BC4EE7" w:rsidRDefault="00572307">
      <w:pPr>
        <w:pStyle w:val="P68B1DB1-Normal4"/>
        <w:spacing w:before="120" w:after="120" w:line="240" w:lineRule="auto"/>
        <w:jc w:val="both"/>
        <w:rPr>
          <w:rFonts w:cs="Times New Roman"/>
          <w:noProof/>
          <w:u w:val="single"/>
        </w:rPr>
      </w:pPr>
      <w:r w:rsidRPr="00BC4EE7">
        <w:rPr>
          <w:rFonts w:cs="Times New Roman"/>
          <w:noProof/>
        </w:rPr>
        <w:t>Az intézkedés végrehajtását 2024. december 31-ig be kell fejezni.</w:t>
      </w:r>
    </w:p>
    <w:p w14:paraId="1FE00358"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Reform (C11.R3) – A gazdasági kormányzás intézményi struktúrájának korszerűsítésére irányuló reform</w:t>
      </w:r>
    </w:p>
    <w:p w14:paraId="6FED04EF" w14:textId="77777777" w:rsidR="00D65CB4" w:rsidRPr="00BC4EE7" w:rsidRDefault="00572307">
      <w:pPr>
        <w:pStyle w:val="P68B1DB1-Normal4"/>
        <w:shd w:val="clear" w:color="auto" w:fill="FFFFFF" w:themeFill="background1"/>
        <w:spacing w:before="120" w:after="120" w:line="240" w:lineRule="auto"/>
        <w:jc w:val="both"/>
        <w:rPr>
          <w:rFonts w:cs="Times New Roman"/>
          <w:noProof/>
        </w:rPr>
      </w:pPr>
      <w:r w:rsidRPr="00BC4EE7">
        <w:rPr>
          <w:rFonts w:cs="Times New Roman"/>
          <w:noProof/>
        </w:rPr>
        <w:t xml:space="preserve">Ez az intézkedés megreformálja az intézményi gazdaságirányítási keret szempontjait, többek között a folyamatok digitalizálásának felgyorsítása és előmozdítása révén. Ez tartalmazza: annak reformja, hogy a </w:t>
      </w:r>
      <w:r w:rsidRPr="00BC4EE7">
        <w:rPr>
          <w:rFonts w:cs="Times New Roman"/>
          <w:i/>
          <w:noProof/>
        </w:rPr>
        <w:t>Caja General de Depósitos</w:t>
      </w:r>
      <w:r w:rsidRPr="00BC4EE7">
        <w:rPr>
          <w:rFonts w:cs="Times New Roman"/>
          <w:noProof/>
        </w:rPr>
        <w:t xml:space="preserve"> (Általános Betétalap) hogyan kezeli a garanciákat, elektronikussá téve azokat; pénzügyi Ügyfélvédelmi Hatóság létrehozása, amelynek célja a pénzügyi ügyfelek jogainak garantálása; a pénzügyi intézmények szanálására szolgáló intézményi keret javítása a jelenlegi intézményi szanálási keretet módosító törvény révén; valamint d) korszerűsíti a pénzügyi és ellenőrzési területek felügyeletét az általános számviteli terv és a könyvvizsgálati rendelet reformja révén.</w:t>
      </w:r>
    </w:p>
    <w:p w14:paraId="72E326FA" w14:textId="77777777" w:rsidR="00D65CB4" w:rsidRPr="00BC4EE7" w:rsidRDefault="00572307">
      <w:pPr>
        <w:pStyle w:val="P68B1DB1-Normal4"/>
        <w:shd w:val="clear" w:color="auto" w:fill="FFFFFF" w:themeFill="background1"/>
        <w:spacing w:before="120" w:after="120" w:line="240" w:lineRule="auto"/>
        <w:jc w:val="both"/>
        <w:rPr>
          <w:rFonts w:cs="Times New Roman"/>
          <w:noProof/>
        </w:rPr>
      </w:pPr>
      <w:r w:rsidRPr="00BC4EE7">
        <w:rPr>
          <w:rFonts w:cs="Times New Roman"/>
          <w:noProof/>
        </w:rPr>
        <w:t>A reformnak tartalmaznia kell továbbá a) az ügyfélszolgálatokra (beleértve a pénzügyi szolgáltatásokat is) vonatkozó törvényt, amely minőségi szabványokat állapít meg és hatékonyabb szolgáltatást nyújt az ügyfeleknek; és b) zöld könyv kiadása Spanyolországban a fenntartható pénzügyek előmozdítása érdekében.</w:t>
      </w:r>
    </w:p>
    <w:p w14:paraId="0F5B433A" w14:textId="77777777" w:rsidR="00D65CB4" w:rsidRPr="00BC4EE7" w:rsidRDefault="00572307">
      <w:pPr>
        <w:pStyle w:val="P68B1DB1-Normal4"/>
        <w:shd w:val="clear" w:color="auto" w:fill="FFFFFF" w:themeFill="background1"/>
        <w:spacing w:before="120" w:after="120" w:line="240" w:lineRule="auto"/>
        <w:jc w:val="both"/>
        <w:rPr>
          <w:rFonts w:cs="Times New Roman"/>
          <w:noProof/>
        </w:rPr>
      </w:pPr>
      <w:r w:rsidRPr="00BC4EE7">
        <w:rPr>
          <w:rFonts w:cs="Times New Roman"/>
          <w:noProof/>
        </w:rPr>
        <w:t>Az intézkedés végrehajtását 2024. december 31-ig be kell fejezni.</w:t>
      </w:r>
    </w:p>
    <w:p w14:paraId="3B2ECC08"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 xml:space="preserve">Reform (C11.R4) – Nemzeti közbeszerzési stratégia </w:t>
      </w:r>
    </w:p>
    <w:p w14:paraId="0D561F15"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Ez a reform véglegesíti a közbeszerzési szerződésekről szóló 9/2017. sz. törvényben (a közbeszerzésről és a 2004/18/EK irányelv hatályon kívül helyezéséről szóló, 2014. február 26-i 2014/24/EU európai parlamenti és tanácsi irányelv EGT-vonatkozású szövegének átültetéséről szóló fő jogi aktusként) előírt közbeszerzési reform végrehajtását. Ez olyan irányítási struktúrát hoz létre, amely kielégíti az átláthatóságot, a hatékony ellenőrzési mechanizmusokat, a közbeszerzési adatbázisok valamennyi kormányzati szint közötti összekapcsolását és a kormányzati szintek közötti koordinációt biztosító következetes közbeszerzési keret szükségességét annak érdekében, hogy: i. a Nemzeti Értékelő Hivatal teljes működőképessé tétele és ii. a Nemzeti Közbeszerzési Stratégia elfogadása. </w:t>
      </w:r>
    </w:p>
    <w:p w14:paraId="3BF329BE"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Spanyolország már létrehozta a független Közbeszerzési Szabályozó és Felügyeleti Hivatalt és a Nemzeti Értékelő Hivatalt. Ez a reform a közbeszerzési információk és adatbázisok korlátozott rendelkezésre bocsátásával, valamint a közbeszerzési szerződések struktúrájának gyengeségeivel kapcsolatos problémákat is kezeli. E célból a reform: a közbeszerzés (folyamatok, eredmények, adatok és információk) hatékonyságának javítása; a szereplők professzionalizálásának előmozdítása (összhangban a Bizottság 2017. októberi ajánlásával); a kkv-k hozzáférésének javítása; és d) a digitális közbeszerzés jogi keretének megerősítése.</w:t>
      </w:r>
    </w:p>
    <w:p w14:paraId="7A9531F1"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Az intézkedés végrehajtását 2022. december 31-ig be kell fejezni.</w:t>
      </w:r>
    </w:p>
    <w:p w14:paraId="48A9D52C" w14:textId="77777777" w:rsidR="00D65CB4" w:rsidRPr="00BC4EE7" w:rsidRDefault="00572307">
      <w:pPr>
        <w:pStyle w:val="P68B1DB1-Normal5"/>
        <w:keepNext/>
        <w:spacing w:before="120" w:after="120" w:line="240" w:lineRule="auto"/>
        <w:jc w:val="both"/>
        <w:rPr>
          <w:rFonts w:cs="Times New Roman"/>
          <w:noProof/>
        </w:rPr>
      </w:pPr>
      <w:r w:rsidRPr="00BC4EE7">
        <w:rPr>
          <w:rFonts w:cs="Times New Roman"/>
          <w:noProof/>
        </w:rPr>
        <w:t xml:space="preserve">Reform (C11.R5) – Igazgatási kapacitás </w:t>
      </w:r>
    </w:p>
    <w:p w14:paraId="3663E51B"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Ez a reform korszerűsíti a közigazgatás belső működését a spanyol helyreállítási és rezilienciaépítési terv végrehajtásának javítása érdekében, azzal a céllal, hogy hosszú távú hatást gyakoroljon a spanyol közigazgatás jövőbeli reformjainak és beruházásainak végrehajtására. Összességében az 5. beruházással együtt meg kell reformálnia a közigazgatási kapacitásokat a helyreállítási és rezilienciaépítési terv megfelelő végrehajtásának biztosítása érdekében. Ez integrált információs és irányítási rendszer létrehozását jelenti; képzési tevékenységeket dolgoz ki a helyreállítási és rezilienciaépítési tervben részt vevők számára; valamint kommunikációs tevékenységek indítása a helyreállítási és rezilienciaépítési terv potenciális résztvevőinek és kedvezményezettjeinek, valamint általában a vállalkozásoknak és a háztartásoknak a megszólítása érdekében, hogy tudomást szerezzenek a helyreállítási és rezilienciaépítési terv által kínált lehetőségekről. </w:t>
      </w:r>
    </w:p>
    <w:p w14:paraId="31591AC5"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helyreállítási és rezilienciaépítési tervben foglalt intézkedések irányítását, jelentését és nyomon követését az igazgatási és pénzgazdálkodás új modelljén keresztül kell megvalósítani a helyreállítási és rezilienciaépítési tervben meghatározott intézkedések megfelelő végrehajtásának biztosítása érdekében. Ezt az egységes modellt az Európai Alapok Főtitkárságán belül kell központosítani, és az adatszolgáltató minisztériumok, azok megfelelő IKT-egységei és esetleg a régiók (autonóm közösségek) hasonló közigazgatási szervei számára kell alkalmazni. E célból a központi kormány elfogadta a 36/2020. sz. királyi törvényerejű rendeletet.</w:t>
      </w:r>
    </w:p>
    <w:p w14:paraId="4264C8DD"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Az intézkedés végrehajtását 2021. szeptember 30-ig be kell fejezni.</w:t>
      </w:r>
    </w:p>
    <w:p w14:paraId="2F7AA333"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(C11.I1) – Az általános államigazgatás korszerűsítése</w:t>
      </w:r>
    </w:p>
    <w:p w14:paraId="0ED397FF"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C11.I1. és C11.I3. pontban szereplő beruházások keretében végrehajtott intézkedéseket ugyanezen elvek szerint dolgozták ki, az I1 a központi kormányzatot, az I3 pedig a regionális és helyi hatóságokat célozza. Mindezen szervezetek esetében a következőket kell elvégezni:</w:t>
      </w:r>
    </w:p>
    <w:p w14:paraId="667ADB84" w14:textId="77777777" w:rsidR="00D65CB4" w:rsidRPr="00BC4EE7" w:rsidRDefault="00572307">
      <w:pPr>
        <w:pStyle w:val="P68B1DB1-Normal4"/>
        <w:numPr>
          <w:ilvl w:val="0"/>
          <w:numId w:val="107"/>
        </w:numPr>
        <w:spacing w:before="120" w:after="120" w:line="240" w:lineRule="auto"/>
        <w:jc w:val="both"/>
        <w:rPr>
          <w:rFonts w:cs="Times New Roman"/>
          <w:noProof/>
        </w:rPr>
      </w:pPr>
      <w:r w:rsidRPr="00BC4EE7">
        <w:rPr>
          <w:rFonts w:cs="Times New Roman"/>
          <w:noProof/>
        </w:rPr>
        <w:t>Polgárközpontú közigazgatás, a polgároknak és a vállalkozásoknak nyújtott digitális közszolgáltatások javítása, valamint a 2025-ig tartó időszakra vonatkozó spanyol digitális menetrenddel összhangban lévő intézkedések végrehajtása;</w:t>
      </w:r>
    </w:p>
    <w:p w14:paraId="1244348B" w14:textId="77777777" w:rsidR="00D65CB4" w:rsidRPr="00BC4EE7" w:rsidRDefault="00572307">
      <w:pPr>
        <w:pStyle w:val="P68B1DB1-Normal4"/>
        <w:numPr>
          <w:ilvl w:val="0"/>
          <w:numId w:val="107"/>
        </w:numPr>
        <w:spacing w:before="120" w:after="120" w:line="240" w:lineRule="auto"/>
        <w:jc w:val="both"/>
        <w:rPr>
          <w:rFonts w:cs="Times New Roman"/>
          <w:noProof/>
        </w:rPr>
      </w:pPr>
      <w:r w:rsidRPr="00BC4EE7">
        <w:rPr>
          <w:rFonts w:cs="Times New Roman"/>
          <w:noProof/>
        </w:rPr>
        <w:t>Intelligens műveletek és adatkormányzás, amely intelligens automatizálási technológiák és digitális infrastruktúrák használata révén javítja a közigazgatási szolgáltatások (pl. közbeszerzés) irányításának minőségét és hatékonyságát, beleértve az adatáramlást is;</w:t>
      </w:r>
    </w:p>
    <w:p w14:paraId="5DA066F3" w14:textId="77777777" w:rsidR="00D65CB4" w:rsidRPr="00BC4EE7" w:rsidRDefault="00572307">
      <w:pPr>
        <w:pStyle w:val="P68B1DB1-Normal4"/>
        <w:numPr>
          <w:ilvl w:val="0"/>
          <w:numId w:val="107"/>
        </w:numPr>
        <w:spacing w:before="120" w:after="120" w:line="240" w:lineRule="auto"/>
        <w:jc w:val="both"/>
        <w:rPr>
          <w:rFonts w:cs="Times New Roman"/>
          <w:noProof/>
        </w:rPr>
      </w:pPr>
      <w:r w:rsidRPr="00BC4EE7">
        <w:rPr>
          <w:rFonts w:cs="Times New Roman"/>
          <w:noProof/>
        </w:rPr>
        <w:t>Digitális infrastruktúrák és kiberbiztonság, amelyek célja, hogy biztosítsák a spanyol közigazgatás korszerűsítéséhez szükséges technológiai infrastruktúrát</w:t>
      </w:r>
      <w:r w:rsidRPr="00BC4EE7">
        <w:rPr>
          <w:rFonts w:cs="Times New Roman"/>
          <w:b/>
          <w:noProof/>
        </w:rPr>
        <w:t>. A kiberbiztonság</w:t>
      </w:r>
      <w:r w:rsidRPr="00BC4EE7">
        <w:rPr>
          <w:rFonts w:cs="Times New Roman"/>
          <w:noProof/>
        </w:rPr>
        <w:t>tekintetében ez az intézkedés kiberbiztonsági műveleti központot hoz létre a teljes állami közigazgatás és annak állami ügynökségei számára a kiberbiztonsági fenyegetésekkel szembeni védelem érdekében;</w:t>
      </w:r>
    </w:p>
    <w:p w14:paraId="57D971B4" w14:textId="046CA3A1"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beruházás végrehajtását 2025. december 31-ig be kell fejezni. </w:t>
      </w:r>
    </w:p>
    <w:p w14:paraId="4BEBE207"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(C11.I2) – A központi kormányzat digitalizálására irányuló egyedi projektek</w:t>
      </w:r>
    </w:p>
    <w:p w14:paraId="6C5E427E" w14:textId="77777777" w:rsidR="00D65CB4" w:rsidRPr="00BC4EE7" w:rsidRDefault="00572307">
      <w:pPr>
        <w:pStyle w:val="P68B1DB1-Normal4"/>
        <w:spacing w:before="120" w:after="0" w:line="240" w:lineRule="auto"/>
        <w:contextualSpacing/>
        <w:jc w:val="both"/>
        <w:rPr>
          <w:rFonts w:cs="Times New Roman"/>
          <w:noProof/>
        </w:rPr>
      </w:pPr>
      <w:r w:rsidRPr="00BC4EE7">
        <w:rPr>
          <w:rFonts w:cs="Times New Roman"/>
          <w:noProof/>
        </w:rPr>
        <w:t>Ennek a beruházásnak a digitalizáció és a digitális szolgáltatások fejlesztésének általánosabb elfogadásához kell vezetnie a közigazgatás egészében. A digitális átalakulás megvalósításának szakpolitikai területei a következők:</w:t>
      </w:r>
    </w:p>
    <w:p w14:paraId="770F4558" w14:textId="77777777" w:rsidR="00D65CB4" w:rsidRPr="00BC4EE7" w:rsidRDefault="00572307">
      <w:pPr>
        <w:pStyle w:val="P68B1DB1-ListParagraph6"/>
        <w:numPr>
          <w:ilvl w:val="0"/>
          <w:numId w:val="790"/>
        </w:numPr>
        <w:spacing w:before="120" w:after="0" w:line="240" w:lineRule="auto"/>
        <w:jc w:val="both"/>
        <w:rPr>
          <w:rFonts w:cs="Times New Roman"/>
          <w:noProof/>
        </w:rPr>
      </w:pPr>
      <w:r w:rsidRPr="00BC4EE7">
        <w:rPr>
          <w:rFonts w:cs="Times New Roman"/>
          <w:noProof/>
        </w:rPr>
        <w:t>Kórházi szolgálathoz lehet fordulni. A beruházásnak javítania kell a központi kormányzat és az autonóm közösségek közötti interoperabilitást, valamint elő kell mozdítania az adatelemzést;</w:t>
      </w:r>
    </w:p>
    <w:p w14:paraId="13E9D80C" w14:textId="77777777" w:rsidR="00D65CB4" w:rsidRPr="00BC4EE7" w:rsidRDefault="00572307">
      <w:pPr>
        <w:pStyle w:val="P68B1DB1-ListParagraph6"/>
        <w:numPr>
          <w:ilvl w:val="0"/>
          <w:numId w:val="790"/>
        </w:numPr>
        <w:spacing w:before="120" w:after="0" w:line="240" w:lineRule="auto"/>
        <w:jc w:val="both"/>
        <w:rPr>
          <w:rFonts w:cs="Times New Roman"/>
          <w:noProof/>
        </w:rPr>
      </w:pPr>
      <w:r w:rsidRPr="00BC4EE7">
        <w:rPr>
          <w:rFonts w:cs="Times New Roman"/>
          <w:noProof/>
        </w:rPr>
        <w:t xml:space="preserve">Igazságszolgáltatási rendszer. A beruházásnak digitális eszközöket kell biztosítania a polgárok és a jogi szereplők számára az igazságszolgáltatással való kapcsolatuk jobb kezeléséhez; </w:t>
      </w:r>
    </w:p>
    <w:p w14:paraId="7094232A" w14:textId="77777777" w:rsidR="00D65CB4" w:rsidRPr="00BC4EE7" w:rsidRDefault="00572307">
      <w:pPr>
        <w:pStyle w:val="P68B1DB1-ListParagraph6"/>
        <w:numPr>
          <w:ilvl w:val="0"/>
          <w:numId w:val="790"/>
        </w:numPr>
        <w:spacing w:before="120" w:after="0" w:line="240" w:lineRule="auto"/>
        <w:jc w:val="both"/>
        <w:rPr>
          <w:rFonts w:cs="Times New Roman"/>
          <w:noProof/>
        </w:rPr>
      </w:pPr>
      <w:r w:rsidRPr="00BC4EE7">
        <w:rPr>
          <w:rFonts w:cs="Times New Roman"/>
          <w:noProof/>
        </w:rPr>
        <w:t>Állami foglalkoztatási szolgálatok. A beruházásnak frissítenie kell az aktív munkaerőpiaci politikák irányítását alátámasztó informatikai rendszereket;</w:t>
      </w:r>
    </w:p>
    <w:p w14:paraId="04804860" w14:textId="48654851" w:rsidR="00D65CB4" w:rsidRPr="00BC4EE7" w:rsidRDefault="00572307">
      <w:pPr>
        <w:pStyle w:val="P68B1DB1-ListParagraph6"/>
        <w:numPr>
          <w:ilvl w:val="0"/>
          <w:numId w:val="790"/>
        </w:numPr>
        <w:spacing w:before="120" w:after="0" w:line="240" w:lineRule="auto"/>
        <w:jc w:val="both"/>
        <w:rPr>
          <w:rFonts w:cs="Times New Roman"/>
          <w:noProof/>
        </w:rPr>
      </w:pPr>
      <w:r w:rsidRPr="00BC4EE7">
        <w:rPr>
          <w:rFonts w:cs="Times New Roman"/>
          <w:noProof/>
        </w:rPr>
        <w:t>Befogadás, szociális biztonság és migráció. A beruházásnak olyan digitális eszközökkel kell ellátnia az illetékes minisztériumot, amelyek megkönnyítik a leghátrányosabb helyzetű csoportokra vonatkozó szakpolitikák végrehajtását, valamint az információk további korrekciós vagy enyhítő intézkedések kidolgozásához való felhasználását;</w:t>
      </w:r>
    </w:p>
    <w:p w14:paraId="66BA674A" w14:textId="0D11F212" w:rsidR="00D65CB4" w:rsidRPr="00BC4EE7" w:rsidRDefault="00572307">
      <w:pPr>
        <w:pStyle w:val="P68B1DB1-ListParagraph6"/>
        <w:numPr>
          <w:ilvl w:val="0"/>
          <w:numId w:val="790"/>
        </w:numPr>
        <w:spacing w:before="120" w:after="0" w:line="240" w:lineRule="auto"/>
        <w:jc w:val="both"/>
        <w:rPr>
          <w:rFonts w:cs="Times New Roman"/>
          <w:noProof/>
        </w:rPr>
      </w:pPr>
      <w:r w:rsidRPr="00BC4EE7">
        <w:rPr>
          <w:rFonts w:cs="Times New Roman"/>
          <w:noProof/>
        </w:rPr>
        <w:t>Konzuli szolgálatok. A beruházásnak javítania kell a spanyol közigazgatás digitális szolgáltatásaihoz való hozzáférést mind a külföldön élő spanyolok, mind a Spanyolországban élő külföldi állampolgárok számára;Kísérleti kezdeményezések a biztonság és a mezőgazdaság területén.</w:t>
      </w:r>
    </w:p>
    <w:p w14:paraId="18196CE2" w14:textId="77777777" w:rsidR="00D65CB4" w:rsidRPr="00BC4EE7" w:rsidRDefault="00572307">
      <w:pPr>
        <w:pStyle w:val="P68B1DB1-Normal4"/>
        <w:spacing w:before="120" w:after="120" w:line="240" w:lineRule="auto"/>
        <w:jc w:val="both"/>
        <w:rPr>
          <w:rFonts w:cs="Times New Roman"/>
          <w:noProof/>
          <w:u w:val="single"/>
        </w:rPr>
      </w:pPr>
      <w:r w:rsidRPr="00BC4EE7">
        <w:rPr>
          <w:rFonts w:cs="Times New Roman"/>
          <w:noProof/>
        </w:rPr>
        <w:t xml:space="preserve">A beruházás végrehajtását 2025. december 31-ig be kell fejezni. </w:t>
      </w:r>
    </w:p>
    <w:p w14:paraId="2272DC44" w14:textId="56CE069E"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(C11.I3) – A Területpolitikai és Polgári Szervezési Minisztérium, a Nemzeti Egészségügyi</w:t>
      </w:r>
      <w:r w:rsidRPr="00BC4EE7">
        <w:rPr>
          <w:rFonts w:cs="Times New Roman"/>
          <w:noProof/>
          <w:shd w:val="clear" w:color="auto" w:fill="FFFFFF" w:themeFill="background1"/>
        </w:rPr>
        <w:t>Szolgálat</w:t>
      </w:r>
      <w:r w:rsidRPr="00BC4EE7">
        <w:rPr>
          <w:rFonts w:cs="Times New Roman"/>
          <w:noProof/>
        </w:rPr>
        <w:t xml:space="preserve">, valamint az autonóm közösségek és a helyi hatóságok közigazgatásának digitális átalakítása és korszerűsítése </w:t>
      </w:r>
    </w:p>
    <w:p w14:paraId="2B78DF17"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Az e beruházás keretében végrehajtott intézkedések a C11.I1. pontban leírt, a regionális és helyi önkormányzatokra irányuló elveket követik. </w:t>
      </w:r>
    </w:p>
    <w:p w14:paraId="57134CA5"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beruházás végrehajtását 2026. június 30-ig be kell fejezni.</w:t>
      </w:r>
    </w:p>
    <w:p w14:paraId="1A70473C"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(C11.I4) – Energiaátállási terv az Államigazgatásban</w:t>
      </w:r>
    </w:p>
    <w:p w14:paraId="606994D9"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Az intézkedésnek elő kell mozdítania az energiamegtakarítást és -hatékonyságot a központi kormányzat épületeiben és infrastruktúrájában. Az intézkedésnek átlagosan legalább 30%-os primerenergia-igénycsökkenést kell elérnie energiahatékonysági tanúsítványokkal igazoltan. A beruházásnak hozzá kell járulnia az épületek alapterületének felújításához a magas energiaosztályú létesítmények és különösen a közel nulla energiaigényű épületek számának növelése érdekében. A beruházásnak elő kell mozdítania a fotovoltaikus napenergia-rendszerek vagy más megújuló energiák alkalmazását a központi kormányzat igazgatási létesítményeiben. Az intézkedésnek ösztönöznie kell a köztulajdonban lévő járművek járműállományának a kibocsátásmentes vagy alacsony kibocsátású járművekké történő átalakítását is</w:t>
      </w:r>
      <w:r w:rsidRPr="00BC4EE7">
        <w:rPr>
          <w:rFonts w:cs="Times New Roman"/>
          <w:noProof/>
        </w:rPr>
        <w:footnoteReference w:id="19"/>
      </w:r>
      <w:r w:rsidRPr="00BC4EE7">
        <w:rPr>
          <w:rFonts w:cs="Times New Roman"/>
          <w:noProof/>
        </w:rPr>
        <w:t xml:space="preserve">. </w:t>
      </w:r>
    </w:p>
    <w:p w14:paraId="4D8030AF"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Az intézkedés várhatóan nem sérti jelentősen az (EU) 2020/852 rendelet 17. cikke szerinti környezetvédelmi célkitűzéseket, figyelembe véve az intézkedés leírását és a helyreállítási és rezilienciaépítési tervben meghatározott enyhítő lépéseket a jelentős károkozás elkerülését célzó elvről szóló technikai iránymutatásnak (2021/C58/01) megfelelően. Különösen a köztulajdonban lévő járművek járműállományának átalakítása csak a kibocsátásmentes vagy alacsony kibocsátású</w:t>
      </w:r>
      <w:r w:rsidRPr="00BC4EE7">
        <w:rPr>
          <w:rFonts w:cs="Times New Roman"/>
          <w:noProof/>
        </w:rPr>
        <w:footnoteReference w:id="20"/>
      </w:r>
      <w:r w:rsidRPr="00BC4EE7">
        <w:rPr>
          <w:rFonts w:cs="Times New Roman"/>
          <w:noProof/>
        </w:rPr>
        <w:t xml:space="preserve"> járműveket támogathatja.</w:t>
      </w:r>
    </w:p>
    <w:p w14:paraId="49D879F9"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beruházás magában foglalja mind az állótőkébe (infrastruktúrába és középületekbe), mind pedig a természeti tőkébe történő beruházásokat (valamennyi intézkedés hozzájárul az üvegházhatásúgáz-kibocsátás csökkentéséhez).</w:t>
      </w:r>
    </w:p>
    <w:p w14:paraId="10CC1B7A"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beruházás végrehajtását 2026. június 30-ig be kell fejezni.</w:t>
      </w:r>
    </w:p>
    <w:p w14:paraId="0146DEE2"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(C11.I5) – Az igazgatás átalakítása a spanyol helyreállítási és rezilienciaépítési terv végrehajtása érdekében</w:t>
      </w:r>
    </w:p>
    <w:p w14:paraId="16E12320"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Ez a beruházás kapcsolódik e komponens R5. reformjához. A helyreállítási és rezilienciaépítési terv végrehajtása és nyomon követése által támasztott kihívások kezelése érdekében ki kell igazítania a közigazgatás működését. Az intézkedés korszerűsíti az információs rendszert és a kommunikációs csatornákat, hogy megossza az információkat a kormányzati szintek között, valamint a polgárokkal, a vállalatokkal és a potenciális kedvezményezettekkel. Az intézkedés a becslések szerint legalább 3150 főt elérő, az általános közigazgatási személyzetnek szóló célzott képzéseket is magában foglal a helyreállítási és rezilienciaépítési terv végrehajtása során.</w:t>
      </w:r>
    </w:p>
    <w:p w14:paraId="560D3DBE" w14:textId="77777777" w:rsidR="00D65CB4" w:rsidRPr="00BC4EE7" w:rsidRDefault="00572307">
      <w:pPr>
        <w:pStyle w:val="P68B1DB1-Normal4"/>
        <w:spacing w:before="120" w:after="120" w:line="240" w:lineRule="auto"/>
        <w:jc w:val="both"/>
        <w:rPr>
          <w:rFonts w:cs="Times New Roman"/>
          <w:b/>
          <w:noProof/>
          <w:u w:val="single"/>
        </w:rPr>
      </w:pPr>
      <w:r w:rsidRPr="00BC4EE7">
        <w:rPr>
          <w:rFonts w:cs="Times New Roman"/>
          <w:noProof/>
        </w:rPr>
        <w:t xml:space="preserve">A beruházás végrehajtását 2026. augusztus 31-ig be kell fejezni. </w:t>
      </w:r>
    </w:p>
    <w:p w14:paraId="5506936D" w14:textId="77777777" w:rsidR="00D65CB4" w:rsidRPr="00BC4EE7" w:rsidRDefault="00572307">
      <w:pPr>
        <w:keepNext/>
        <w:spacing w:before="120" w:after="120" w:line="240" w:lineRule="auto"/>
        <w:jc w:val="both"/>
        <w:rPr>
          <w:rFonts w:ascii="Times New Roman" w:hAnsi="Times New Roman" w:cs="Times New Roman"/>
          <w:b/>
          <w:noProof/>
          <w:sz w:val="24"/>
          <w:u w:val="single"/>
        </w:rPr>
      </w:pPr>
      <w:r w:rsidRPr="00BC4EE7">
        <w:rPr>
          <w:rFonts w:ascii="Times New Roman" w:hAnsi="Times New Roman" w:cs="Times New Roman"/>
          <w:b/>
          <w:noProof/>
          <w:sz w:val="24"/>
          <w:u w:val="single"/>
        </w:rPr>
        <w:t xml:space="preserve">K.2.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Vissza nem térítendő pénzügyi támogatás – a végrehajtáshoz és a nyomon követéshez kapcsolódó mérföldkövek, célok, mutatók és ütemterv</w:t>
      </w:r>
    </w:p>
    <w:p w14:paraId="7852A63E" w14:textId="77777777" w:rsidR="00D65CB4" w:rsidRPr="00BC4EE7" w:rsidRDefault="00572307">
      <w:pPr>
        <w:pStyle w:val="P68B1DB1-Normal4"/>
        <w:keepNext/>
        <w:spacing w:before="120" w:after="120" w:line="240" w:lineRule="auto"/>
        <w:rPr>
          <w:rFonts w:cs="Times New Roman"/>
          <w:i/>
          <w:noProof/>
        </w:rPr>
        <w:sectPr w:rsidR="00D65CB4" w:rsidRPr="00BC4EE7" w:rsidSect="00B511EF">
          <w:headerReference w:type="even" r:id="rId225"/>
          <w:headerReference w:type="default" r:id="rId226"/>
          <w:footerReference w:type="even" r:id="rId227"/>
          <w:footerReference w:type="default" r:id="rId228"/>
          <w:headerReference w:type="first" r:id="rId229"/>
          <w:footerReference w:type="first" r:id="rId230"/>
          <w:pgSz w:w="11907" w:h="16839"/>
          <w:pgMar w:top="1134" w:right="1134" w:bottom="1134" w:left="1134" w:header="567" w:footer="567" w:gutter="0"/>
          <w:cols w:space="720"/>
          <w:docGrid w:linePitch="360"/>
        </w:sectPr>
      </w:pPr>
      <w:r w:rsidRPr="00BC4EE7">
        <w:rPr>
          <w:rFonts w:cs="Times New Roman"/>
          <w:i/>
          <w:noProof/>
        </w:rPr>
        <w:t>Táblázat alább.</w:t>
      </w:r>
      <w:r w:rsidRPr="00BC4EE7">
        <w:rPr>
          <w:rFonts w:cs="Times New Roman"/>
          <w:noProof/>
        </w:rPr>
        <w:t xml:space="preserve"> </w:t>
      </w:r>
      <w:r w:rsidRPr="00BC4EE7">
        <w:rPr>
          <w:rFonts w:cs="Times New Roman"/>
          <w:i/>
          <w:noProof/>
        </w:rPr>
        <w:t>Az összes mutató esetében az alapforgatókönyv időpontja 2020. február 1., kivéve, ha az intézkedés leírása ettől eltérően rendelkezik. A táblázatban szereplő összegek nem tartalmazzák a héát.</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5"/>
        <w:gridCol w:w="1323"/>
        <w:gridCol w:w="1091"/>
        <w:gridCol w:w="1593"/>
        <w:gridCol w:w="1409"/>
        <w:gridCol w:w="1059"/>
        <w:gridCol w:w="971"/>
        <w:gridCol w:w="696"/>
        <w:gridCol w:w="558"/>
        <w:gridCol w:w="806"/>
        <w:gridCol w:w="3895"/>
      </w:tblGrid>
      <w:tr w:rsidR="00D65CB4" w:rsidRPr="00BC4EE7" w14:paraId="73E2C7DE" w14:textId="77777777" w:rsidTr="00481CF8">
        <w:trPr>
          <w:trHeight w:val="978"/>
          <w:tblHeader/>
        </w:trPr>
        <w:tc>
          <w:tcPr>
            <w:tcW w:w="1195" w:type="dxa"/>
            <w:vMerge w:val="restart"/>
            <w:shd w:val="clear" w:color="auto" w:fill="C6D9F1" w:themeFill="text2" w:themeFillTint="33"/>
            <w:vAlign w:val="center"/>
          </w:tcPr>
          <w:p w14:paraId="15C09D13" w14:textId="77777777" w:rsidR="00D65CB4" w:rsidRPr="00BC4EE7" w:rsidRDefault="00572307">
            <w:pPr>
              <w:pStyle w:val="P68B1DB1-Normal8"/>
              <w:jc w:val="center"/>
              <w:rPr>
                <w:rFonts w:cs="Times New Roman"/>
                <w:noProof/>
              </w:rPr>
            </w:pPr>
            <w:r w:rsidRPr="00BC4EE7">
              <w:rPr>
                <w:rFonts w:cs="Times New Roman"/>
                <w:noProof/>
              </w:rPr>
              <w:t>Szám</w:t>
            </w:r>
          </w:p>
        </w:tc>
        <w:tc>
          <w:tcPr>
            <w:tcW w:w="1323" w:type="dxa"/>
            <w:vMerge w:val="restart"/>
            <w:shd w:val="clear" w:color="auto" w:fill="C6D9F1" w:themeFill="text2" w:themeFillTint="33"/>
            <w:vAlign w:val="center"/>
          </w:tcPr>
          <w:p w14:paraId="1956A1D2" w14:textId="77777777" w:rsidR="00D65CB4" w:rsidRPr="00BC4EE7" w:rsidRDefault="00572307">
            <w:pPr>
              <w:pStyle w:val="P68B1DB1-Normal8"/>
              <w:jc w:val="center"/>
              <w:rPr>
                <w:rFonts w:cs="Times New Roman"/>
                <w:noProof/>
              </w:rPr>
            </w:pPr>
            <w:r w:rsidRPr="00BC4EE7">
              <w:rPr>
                <w:rFonts w:cs="Times New Roman"/>
                <w:noProof/>
              </w:rPr>
              <w:t>Intézkedés</w:t>
            </w:r>
          </w:p>
        </w:tc>
        <w:tc>
          <w:tcPr>
            <w:tcW w:w="1091" w:type="dxa"/>
            <w:vMerge w:val="restart"/>
            <w:shd w:val="clear" w:color="auto" w:fill="C6D9F1" w:themeFill="text2" w:themeFillTint="33"/>
            <w:vAlign w:val="center"/>
          </w:tcPr>
          <w:p w14:paraId="2B8AA672" w14:textId="77777777" w:rsidR="00D65CB4" w:rsidRPr="00BC4EE7" w:rsidRDefault="00572307">
            <w:pPr>
              <w:jc w:val="center"/>
              <w:rPr>
                <w:rFonts w:ascii="Times New Roman" w:hAnsi="Times New Roman" w:cs="Times New Roman"/>
                <w:b/>
                <w:noProof/>
                <w:sz w:val="18"/>
              </w:rPr>
            </w:pPr>
            <w:r w:rsidRPr="00BC4EE7">
              <w:rPr>
                <w:rFonts w:ascii="Times New Roman" w:hAnsi="Times New Roman" w:cs="Times New Roman"/>
                <w:b/>
                <w:noProof/>
                <w:sz w:val="18"/>
              </w:rPr>
              <w:t>Mérföldkő</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b/>
                <w:noProof/>
                <w:sz w:val="18"/>
              </w:rPr>
              <w:t xml:space="preserve"> /Cél</w:t>
            </w:r>
          </w:p>
        </w:tc>
        <w:tc>
          <w:tcPr>
            <w:tcW w:w="1593" w:type="dxa"/>
            <w:tcBorders>
              <w:bottom w:val="nil"/>
            </w:tcBorders>
            <w:shd w:val="clear" w:color="auto" w:fill="C6D9F1" w:themeFill="text2" w:themeFillTint="33"/>
            <w:vAlign w:val="center"/>
          </w:tcPr>
          <w:p w14:paraId="01201CE3" w14:textId="77777777" w:rsidR="00D65CB4" w:rsidRPr="00BC4EE7" w:rsidRDefault="00572307">
            <w:pPr>
              <w:pStyle w:val="P68B1DB1-Normal8"/>
              <w:jc w:val="center"/>
              <w:rPr>
                <w:rFonts w:cs="Times New Roman"/>
                <w:noProof/>
              </w:rPr>
            </w:pPr>
            <w:r w:rsidRPr="00BC4EE7">
              <w:rPr>
                <w:rFonts w:cs="Times New Roman"/>
                <w:noProof/>
              </w:rPr>
              <w:t>Név</w:t>
            </w:r>
          </w:p>
        </w:tc>
        <w:tc>
          <w:tcPr>
            <w:tcW w:w="1409" w:type="dxa"/>
            <w:vMerge w:val="restart"/>
            <w:shd w:val="clear" w:color="auto" w:fill="C6D9F1" w:themeFill="text2" w:themeFillTint="33"/>
            <w:vAlign w:val="center"/>
          </w:tcPr>
          <w:p w14:paraId="4800F027" w14:textId="77777777" w:rsidR="00D65CB4" w:rsidRPr="00BC4EE7" w:rsidRDefault="00572307">
            <w:pPr>
              <w:pStyle w:val="P68B1DB1-Normal8"/>
              <w:jc w:val="center"/>
              <w:rPr>
                <w:rFonts w:cs="Times New Roman"/>
                <w:noProof/>
              </w:rPr>
            </w:pPr>
            <w:r w:rsidRPr="00BC4EE7">
              <w:rPr>
                <w:rFonts w:cs="Times New Roman"/>
                <w:noProof/>
              </w:rPr>
              <w:t>A mérföldkövek minőségi mutatója</w:t>
            </w:r>
          </w:p>
        </w:tc>
        <w:tc>
          <w:tcPr>
            <w:tcW w:w="2726" w:type="dxa"/>
            <w:gridSpan w:val="3"/>
            <w:shd w:val="clear" w:color="auto" w:fill="C6D9F1" w:themeFill="text2" w:themeFillTint="33"/>
            <w:vAlign w:val="center"/>
          </w:tcPr>
          <w:p w14:paraId="6709F124" w14:textId="77777777" w:rsidR="00D65CB4" w:rsidRPr="00BC4EE7" w:rsidRDefault="00572307">
            <w:pPr>
              <w:pStyle w:val="P68B1DB1-Normal8"/>
              <w:jc w:val="center"/>
              <w:rPr>
                <w:rFonts w:cs="Times New Roman"/>
                <w:noProof/>
              </w:rPr>
            </w:pPr>
            <w:r w:rsidRPr="00BC4EE7">
              <w:rPr>
                <w:rFonts w:cs="Times New Roman"/>
                <w:noProof/>
              </w:rPr>
              <w:t>A célérték mennyiségi mutatója</w:t>
            </w:r>
          </w:p>
        </w:tc>
        <w:tc>
          <w:tcPr>
            <w:tcW w:w="1364" w:type="dxa"/>
            <w:gridSpan w:val="2"/>
            <w:shd w:val="clear" w:color="auto" w:fill="C6D9F1" w:themeFill="text2" w:themeFillTint="33"/>
            <w:vAlign w:val="center"/>
          </w:tcPr>
          <w:p w14:paraId="0374E9BE" w14:textId="7AD23C41" w:rsidR="00D65CB4" w:rsidRPr="00BC4EE7" w:rsidRDefault="00572307">
            <w:pPr>
              <w:pStyle w:val="P68B1DB1-Normal8"/>
              <w:jc w:val="center"/>
              <w:rPr>
                <w:rFonts w:cs="Times New Roman"/>
                <w:noProof/>
              </w:rPr>
            </w:pPr>
            <w:r w:rsidRPr="00BC4EE7">
              <w:rPr>
                <w:rFonts w:cs="Times New Roman"/>
                <w:noProof/>
              </w:rPr>
              <w:t>Idő</w:t>
            </w:r>
          </w:p>
        </w:tc>
        <w:tc>
          <w:tcPr>
            <w:tcW w:w="3895" w:type="dxa"/>
            <w:tcBorders>
              <w:bottom w:val="nil"/>
            </w:tcBorders>
            <w:shd w:val="clear" w:color="auto" w:fill="C6D9F1" w:themeFill="text2" w:themeFillTint="33"/>
            <w:vAlign w:val="center"/>
          </w:tcPr>
          <w:p w14:paraId="3737D492" w14:textId="77777777" w:rsidR="00D65CB4" w:rsidRPr="00BC4EE7" w:rsidRDefault="00572307">
            <w:pPr>
              <w:pStyle w:val="P68B1DB1-Normal8"/>
              <w:jc w:val="center"/>
              <w:rPr>
                <w:rFonts w:cs="Times New Roman"/>
                <w:noProof/>
              </w:rPr>
            </w:pPr>
            <w:r w:rsidRPr="00BC4EE7">
              <w:rPr>
                <w:rFonts w:cs="Times New Roman"/>
                <w:noProof/>
              </w:rPr>
              <w:t>Az egyes mérföldkövek és célértékek leírása</w:t>
            </w:r>
          </w:p>
        </w:tc>
      </w:tr>
      <w:tr w:rsidR="00D65CB4" w:rsidRPr="00BC4EE7" w14:paraId="23A90F92" w14:textId="77777777" w:rsidTr="00481CF8">
        <w:trPr>
          <w:trHeight w:val="411"/>
          <w:tblHeader/>
        </w:trPr>
        <w:tc>
          <w:tcPr>
            <w:tcW w:w="1195" w:type="dxa"/>
            <w:vMerge/>
            <w:vAlign w:val="center"/>
          </w:tcPr>
          <w:p w14:paraId="5E1A7FE4" w14:textId="77777777" w:rsidR="00D65CB4" w:rsidRPr="00BC4EE7" w:rsidRDefault="00D65CB4">
            <w:pPr>
              <w:jc w:val="center"/>
              <w:rPr>
                <w:rFonts w:ascii="Times New Roman" w:hAnsi="Times New Roman" w:cs="Times New Roman"/>
                <w:b/>
                <w:noProof/>
                <w:sz w:val="18"/>
              </w:rPr>
            </w:pPr>
          </w:p>
        </w:tc>
        <w:tc>
          <w:tcPr>
            <w:tcW w:w="1323" w:type="dxa"/>
            <w:vMerge/>
            <w:vAlign w:val="center"/>
          </w:tcPr>
          <w:p w14:paraId="39A92B90" w14:textId="77777777" w:rsidR="00D65CB4" w:rsidRPr="00BC4EE7" w:rsidRDefault="00D65CB4">
            <w:pPr>
              <w:jc w:val="center"/>
              <w:rPr>
                <w:rFonts w:ascii="Times New Roman" w:hAnsi="Times New Roman" w:cs="Times New Roman"/>
                <w:b/>
                <w:noProof/>
                <w:sz w:val="18"/>
              </w:rPr>
            </w:pPr>
          </w:p>
        </w:tc>
        <w:tc>
          <w:tcPr>
            <w:tcW w:w="1091" w:type="dxa"/>
            <w:vMerge/>
            <w:vAlign w:val="center"/>
          </w:tcPr>
          <w:p w14:paraId="29F91612" w14:textId="77777777" w:rsidR="00D65CB4" w:rsidRPr="00BC4EE7" w:rsidRDefault="00D65CB4">
            <w:pPr>
              <w:jc w:val="center"/>
              <w:rPr>
                <w:rFonts w:ascii="Times New Roman" w:hAnsi="Times New Roman" w:cs="Times New Roman"/>
                <w:b/>
                <w:noProof/>
                <w:sz w:val="18"/>
              </w:rPr>
            </w:pPr>
          </w:p>
        </w:tc>
        <w:tc>
          <w:tcPr>
            <w:tcW w:w="1593" w:type="dxa"/>
            <w:tcBorders>
              <w:top w:val="nil"/>
            </w:tcBorders>
            <w:shd w:val="clear" w:color="auto" w:fill="C6D9F1" w:themeFill="text2" w:themeFillTint="33"/>
            <w:vAlign w:val="center"/>
          </w:tcPr>
          <w:p w14:paraId="53D07373" w14:textId="77777777" w:rsidR="00D65CB4" w:rsidRPr="00BC4EE7" w:rsidRDefault="00D65CB4">
            <w:pPr>
              <w:rPr>
                <w:rFonts w:ascii="Times New Roman" w:hAnsi="Times New Roman" w:cs="Times New Roman"/>
                <w:b/>
                <w:noProof/>
                <w:sz w:val="18"/>
              </w:rPr>
            </w:pPr>
          </w:p>
        </w:tc>
        <w:tc>
          <w:tcPr>
            <w:tcW w:w="1409" w:type="dxa"/>
            <w:vMerge/>
            <w:vAlign w:val="center"/>
          </w:tcPr>
          <w:p w14:paraId="7EE9E47B" w14:textId="77777777" w:rsidR="00D65CB4" w:rsidRPr="00BC4EE7" w:rsidRDefault="00D65CB4">
            <w:pPr>
              <w:jc w:val="center"/>
              <w:rPr>
                <w:rFonts w:ascii="Times New Roman" w:hAnsi="Times New Roman" w:cs="Times New Roman"/>
                <w:b/>
                <w:noProof/>
                <w:sz w:val="18"/>
              </w:rPr>
            </w:pPr>
          </w:p>
        </w:tc>
        <w:tc>
          <w:tcPr>
            <w:tcW w:w="1059" w:type="dxa"/>
            <w:shd w:val="clear" w:color="auto" w:fill="C6D9F1" w:themeFill="text2" w:themeFillTint="33"/>
            <w:vAlign w:val="center"/>
          </w:tcPr>
          <w:p w14:paraId="6DEF3D7D" w14:textId="77777777" w:rsidR="00D65CB4" w:rsidRPr="00BC4EE7" w:rsidRDefault="00572307">
            <w:pPr>
              <w:pStyle w:val="P68B1DB1-Normal8"/>
              <w:jc w:val="center"/>
              <w:rPr>
                <w:rFonts w:cs="Times New Roman"/>
                <w:noProof/>
              </w:rPr>
            </w:pPr>
            <w:r w:rsidRPr="00BC4EE7">
              <w:rPr>
                <w:rFonts w:cs="Times New Roman"/>
                <w:noProof/>
              </w:rPr>
              <w:t>Egység</w:t>
            </w:r>
          </w:p>
        </w:tc>
        <w:tc>
          <w:tcPr>
            <w:tcW w:w="971" w:type="dxa"/>
            <w:shd w:val="clear" w:color="auto" w:fill="C6D9F1" w:themeFill="text2" w:themeFillTint="33"/>
            <w:vAlign w:val="center"/>
          </w:tcPr>
          <w:p w14:paraId="0E16D987" w14:textId="1E46D85C" w:rsidR="00D65CB4" w:rsidRPr="00BC4EE7" w:rsidRDefault="00572307">
            <w:pPr>
              <w:pStyle w:val="P68B1DB1-Normal8"/>
              <w:jc w:val="center"/>
              <w:rPr>
                <w:rFonts w:cs="Times New Roman"/>
                <w:noProof/>
              </w:rPr>
            </w:pPr>
            <w:r w:rsidRPr="00BC4EE7">
              <w:rPr>
                <w:rFonts w:cs="Times New Roman"/>
                <w:noProof/>
              </w:rPr>
              <w:t>Kiindulási</w:t>
            </w:r>
          </w:p>
        </w:tc>
        <w:tc>
          <w:tcPr>
            <w:tcW w:w="696" w:type="dxa"/>
            <w:shd w:val="clear" w:color="auto" w:fill="C6D9F1" w:themeFill="text2" w:themeFillTint="33"/>
            <w:vAlign w:val="center"/>
          </w:tcPr>
          <w:p w14:paraId="1DA3BFED" w14:textId="77777777" w:rsidR="00D65CB4" w:rsidRPr="00BC4EE7" w:rsidRDefault="00572307">
            <w:pPr>
              <w:pStyle w:val="P68B1DB1-Normal8"/>
              <w:jc w:val="center"/>
              <w:rPr>
                <w:rFonts w:cs="Times New Roman"/>
                <w:noProof/>
              </w:rPr>
            </w:pPr>
            <w:r w:rsidRPr="00BC4EE7">
              <w:rPr>
                <w:rFonts w:cs="Times New Roman"/>
                <w:noProof/>
              </w:rPr>
              <w:t>Cél</w:t>
            </w:r>
          </w:p>
        </w:tc>
        <w:tc>
          <w:tcPr>
            <w:tcW w:w="558" w:type="dxa"/>
            <w:shd w:val="clear" w:color="auto" w:fill="C6D9F1" w:themeFill="text2" w:themeFillTint="33"/>
            <w:vAlign w:val="center"/>
          </w:tcPr>
          <w:p w14:paraId="2E069D33" w14:textId="77777777" w:rsidR="00D65CB4" w:rsidRPr="00BC4EE7" w:rsidRDefault="00572307">
            <w:pPr>
              <w:pStyle w:val="P68B1DB1-Normal8"/>
              <w:jc w:val="center"/>
              <w:rPr>
                <w:rFonts w:cs="Times New Roman"/>
                <w:noProof/>
              </w:rPr>
            </w:pPr>
            <w:r w:rsidRPr="00BC4EE7">
              <w:rPr>
                <w:rFonts w:cs="Times New Roman"/>
                <w:noProof/>
              </w:rPr>
              <w:t>Q</w:t>
            </w:r>
          </w:p>
        </w:tc>
        <w:tc>
          <w:tcPr>
            <w:tcW w:w="806" w:type="dxa"/>
            <w:shd w:val="clear" w:color="auto" w:fill="C6D9F1" w:themeFill="text2" w:themeFillTint="33"/>
            <w:vAlign w:val="center"/>
          </w:tcPr>
          <w:p w14:paraId="4EC9668C" w14:textId="77777777" w:rsidR="00D65CB4" w:rsidRPr="00BC4EE7" w:rsidRDefault="00572307">
            <w:pPr>
              <w:pStyle w:val="P68B1DB1-Normal8"/>
              <w:jc w:val="center"/>
              <w:rPr>
                <w:rFonts w:cs="Times New Roman"/>
                <w:noProof/>
              </w:rPr>
            </w:pPr>
            <w:r w:rsidRPr="00BC4EE7">
              <w:rPr>
                <w:rFonts w:cs="Times New Roman"/>
                <w:noProof/>
              </w:rPr>
              <w:t>Éve</w:t>
            </w:r>
          </w:p>
        </w:tc>
        <w:tc>
          <w:tcPr>
            <w:tcW w:w="3895" w:type="dxa"/>
            <w:tcBorders>
              <w:top w:val="nil"/>
            </w:tcBorders>
            <w:shd w:val="clear" w:color="auto" w:fill="C6D9F1" w:themeFill="text2" w:themeFillTint="33"/>
            <w:vAlign w:val="center"/>
          </w:tcPr>
          <w:p w14:paraId="1F6FEB78" w14:textId="77777777" w:rsidR="00D65CB4" w:rsidRPr="00BC4EE7" w:rsidRDefault="00D65CB4">
            <w:pPr>
              <w:jc w:val="center"/>
              <w:rPr>
                <w:rFonts w:ascii="Times New Roman" w:hAnsi="Times New Roman" w:cs="Times New Roman"/>
                <w:b/>
                <w:noProof/>
                <w:sz w:val="18"/>
              </w:rPr>
            </w:pPr>
          </w:p>
        </w:tc>
      </w:tr>
      <w:tr w:rsidR="00D65CB4" w:rsidRPr="00BC4EE7" w14:paraId="40C2344B" w14:textId="77777777" w:rsidTr="00481CF8">
        <w:trPr>
          <w:trHeight w:val="309"/>
        </w:trPr>
        <w:tc>
          <w:tcPr>
            <w:tcW w:w="1195" w:type="dxa"/>
            <w:shd w:val="clear" w:color="auto" w:fill="C6EFCE"/>
          </w:tcPr>
          <w:p w14:paraId="27C717A0" w14:textId="77777777" w:rsidR="00D65CB4" w:rsidRPr="00BC4EE7" w:rsidRDefault="00572307">
            <w:pPr>
              <w:pStyle w:val="P68B1DB1-Normal12"/>
              <w:jc w:val="center"/>
              <w:rPr>
                <w:rFonts w:eastAsia="Times New Roman" w:cs="Times New Roman"/>
                <w:noProof/>
              </w:rPr>
            </w:pPr>
            <w:r w:rsidRPr="00BC4EE7">
              <w:rPr>
                <w:rFonts w:cs="Times New Roman"/>
                <w:noProof/>
              </w:rPr>
              <w:t>144</w:t>
            </w:r>
          </w:p>
        </w:tc>
        <w:tc>
          <w:tcPr>
            <w:tcW w:w="1323" w:type="dxa"/>
            <w:shd w:val="clear" w:color="auto" w:fill="C6EFCE"/>
          </w:tcPr>
          <w:p w14:paraId="1BE228D3" w14:textId="77777777" w:rsidR="00D65CB4" w:rsidRPr="00BC4EE7" w:rsidRDefault="00572307">
            <w:pPr>
              <w:pStyle w:val="P68B1DB1-Normal12"/>
              <w:jc w:val="center"/>
              <w:rPr>
                <w:rFonts w:eastAsia="Times New Roman" w:cs="Times New Roman"/>
                <w:noProof/>
              </w:rPr>
            </w:pPr>
            <w:r w:rsidRPr="00BC4EE7">
              <w:rPr>
                <w:rFonts w:cs="Times New Roman"/>
                <w:noProof/>
              </w:rPr>
              <w:t>C11.R1</w:t>
            </w:r>
          </w:p>
        </w:tc>
        <w:tc>
          <w:tcPr>
            <w:tcW w:w="1091" w:type="dxa"/>
            <w:shd w:val="clear" w:color="auto" w:fill="C6EFCE"/>
          </w:tcPr>
          <w:p w14:paraId="4E44D602" w14:textId="77777777" w:rsidR="00D65CB4" w:rsidRPr="00BC4EE7" w:rsidRDefault="00572307">
            <w:pPr>
              <w:pStyle w:val="P68B1DB1-Normal12"/>
              <w:jc w:val="center"/>
              <w:rPr>
                <w:rFonts w:eastAsia="Times New Roman" w:cs="Times New Roman"/>
                <w:noProof/>
              </w:rPr>
            </w:pPr>
            <w:r w:rsidRPr="00BC4EE7">
              <w:rPr>
                <w:rFonts w:cs="Times New Roman"/>
                <w:noProof/>
              </w:rPr>
              <w:t>M</w:t>
            </w:r>
          </w:p>
        </w:tc>
        <w:tc>
          <w:tcPr>
            <w:tcW w:w="1593" w:type="dxa"/>
            <w:shd w:val="clear" w:color="auto" w:fill="C6EFCE"/>
          </w:tcPr>
          <w:p w14:paraId="41D2DCC6" w14:textId="77777777" w:rsidR="00D65CB4" w:rsidRPr="00BC4EE7" w:rsidRDefault="00572307">
            <w:pPr>
              <w:pStyle w:val="P68B1DB1-Normal12"/>
              <w:rPr>
                <w:rFonts w:eastAsia="Times New Roman" w:cs="Times New Roman"/>
                <w:noProof/>
              </w:rPr>
            </w:pPr>
            <w:r w:rsidRPr="00BC4EE7">
              <w:rPr>
                <w:rFonts w:cs="Times New Roman"/>
                <w:noProof/>
              </w:rPr>
              <w:t>Az ideiglenes foglalkoztatás csökkentését célzó jogalkotási aktus hatálybalépése a közigazgatásban</w:t>
            </w:r>
          </w:p>
        </w:tc>
        <w:tc>
          <w:tcPr>
            <w:tcW w:w="1409" w:type="dxa"/>
            <w:shd w:val="clear" w:color="auto" w:fill="C6EFCE"/>
          </w:tcPr>
          <w:p w14:paraId="516C6DCC" w14:textId="77777777" w:rsidR="00D65CB4" w:rsidRPr="00BC4EE7" w:rsidRDefault="00572307">
            <w:pPr>
              <w:pStyle w:val="P68B1DB1-Normal12"/>
              <w:jc w:val="center"/>
              <w:rPr>
                <w:rFonts w:eastAsia="Times New Roman" w:cs="Times New Roman"/>
                <w:noProof/>
              </w:rPr>
            </w:pPr>
            <w:r w:rsidRPr="00BC4EE7">
              <w:rPr>
                <w:rFonts w:cs="Times New Roman"/>
                <w:noProof/>
              </w:rPr>
              <w:t>A jogalkotási aktusban szereplő, a jogi aktus hatálybalépését feltüntető rendelkezés</w:t>
            </w:r>
          </w:p>
        </w:tc>
        <w:tc>
          <w:tcPr>
            <w:tcW w:w="1059" w:type="dxa"/>
            <w:shd w:val="clear" w:color="auto" w:fill="C6EFCE"/>
          </w:tcPr>
          <w:p w14:paraId="47BD0B18" w14:textId="77777777" w:rsidR="00D65CB4" w:rsidRPr="00BC4EE7" w:rsidRDefault="00572307">
            <w:pPr>
              <w:pStyle w:val="P68B1DB1-Normal12"/>
              <w:jc w:val="right"/>
              <w:rPr>
                <w:rFonts w:eastAsia="Times New Roman" w:cs="Times New Roman"/>
                <w:noProof/>
              </w:rPr>
            </w:pPr>
            <w:r w:rsidRPr="00BC4EE7">
              <w:rPr>
                <w:rFonts w:cs="Times New Roman"/>
                <w:noProof/>
              </w:rPr>
              <w:t xml:space="preserve"> </w:t>
            </w:r>
          </w:p>
        </w:tc>
        <w:tc>
          <w:tcPr>
            <w:tcW w:w="971" w:type="dxa"/>
            <w:shd w:val="clear" w:color="auto" w:fill="C6EFCE"/>
          </w:tcPr>
          <w:p w14:paraId="3A5F6558" w14:textId="77777777" w:rsidR="00D65CB4" w:rsidRPr="00BC4EE7" w:rsidRDefault="00572307">
            <w:pPr>
              <w:pStyle w:val="P68B1DB1-Normal12"/>
              <w:jc w:val="right"/>
              <w:rPr>
                <w:rFonts w:eastAsia="Times New Roman" w:cs="Times New Roman"/>
                <w:noProof/>
              </w:rPr>
            </w:pPr>
            <w:r w:rsidRPr="00BC4EE7">
              <w:rPr>
                <w:rFonts w:cs="Times New Roman"/>
                <w:noProof/>
              </w:rPr>
              <w:t xml:space="preserve"> </w:t>
            </w:r>
          </w:p>
        </w:tc>
        <w:tc>
          <w:tcPr>
            <w:tcW w:w="696" w:type="dxa"/>
            <w:shd w:val="clear" w:color="auto" w:fill="C6EFCE"/>
          </w:tcPr>
          <w:p w14:paraId="78BFC1B3" w14:textId="77777777" w:rsidR="00D65CB4" w:rsidRPr="00BC4EE7" w:rsidRDefault="00572307">
            <w:pPr>
              <w:pStyle w:val="P68B1DB1-Normal12"/>
              <w:jc w:val="right"/>
              <w:rPr>
                <w:rFonts w:eastAsia="Times New Roman" w:cs="Times New Roman"/>
                <w:noProof/>
              </w:rPr>
            </w:pPr>
            <w:r w:rsidRPr="00BC4EE7">
              <w:rPr>
                <w:rFonts w:cs="Times New Roman"/>
                <w:noProof/>
              </w:rPr>
              <w:t xml:space="preserve"> </w:t>
            </w:r>
          </w:p>
        </w:tc>
        <w:tc>
          <w:tcPr>
            <w:tcW w:w="558" w:type="dxa"/>
            <w:shd w:val="clear" w:color="auto" w:fill="C6EFCE"/>
          </w:tcPr>
          <w:p w14:paraId="6F76DCF8" w14:textId="77777777" w:rsidR="00D65CB4" w:rsidRPr="00BC4EE7" w:rsidRDefault="00572307">
            <w:pPr>
              <w:pStyle w:val="P68B1DB1-Normal12"/>
              <w:jc w:val="center"/>
              <w:rPr>
                <w:rFonts w:eastAsia="Times New Roman" w:cs="Times New Roman"/>
                <w:noProof/>
              </w:rPr>
            </w:pPr>
            <w:r w:rsidRPr="00BC4EE7">
              <w:rPr>
                <w:rFonts w:cs="Times New Roman"/>
                <w:noProof/>
              </w:rPr>
              <w:t>Q2</w:t>
            </w:r>
          </w:p>
        </w:tc>
        <w:tc>
          <w:tcPr>
            <w:tcW w:w="806" w:type="dxa"/>
            <w:shd w:val="clear" w:color="auto" w:fill="C6EFCE"/>
          </w:tcPr>
          <w:p w14:paraId="3E081A7E" w14:textId="77777777" w:rsidR="00D65CB4" w:rsidRPr="00BC4EE7" w:rsidRDefault="00572307">
            <w:pPr>
              <w:pStyle w:val="P68B1DB1-Normal12"/>
              <w:jc w:val="center"/>
              <w:rPr>
                <w:rFonts w:eastAsia="Times New Roman" w:cs="Times New Roman"/>
                <w:noProof/>
              </w:rPr>
            </w:pPr>
            <w:r w:rsidRPr="00BC4EE7">
              <w:rPr>
                <w:rFonts w:cs="Times New Roman"/>
                <w:noProof/>
              </w:rPr>
              <w:t>2021</w:t>
            </w:r>
          </w:p>
        </w:tc>
        <w:tc>
          <w:tcPr>
            <w:tcW w:w="3895" w:type="dxa"/>
            <w:shd w:val="clear" w:color="auto" w:fill="C6EFCE"/>
          </w:tcPr>
          <w:p w14:paraId="57ED2C1D" w14:textId="77777777" w:rsidR="00D65CB4" w:rsidRPr="00BC4EE7" w:rsidRDefault="00572307">
            <w:pPr>
              <w:pStyle w:val="P68B1DB1-Normal12"/>
              <w:rPr>
                <w:rFonts w:eastAsia="Times New Roman" w:cs="Times New Roman"/>
                <w:noProof/>
              </w:rPr>
            </w:pPr>
            <w:r w:rsidRPr="00BC4EE7">
              <w:rPr>
                <w:rFonts w:cs="Times New Roman"/>
                <w:noProof/>
              </w:rPr>
              <w:t>Az állami foglalkoztatás ideiglenes foglalkoztatásának csökkentésére irányuló intézkedéseket, valamint a visszaélések megelőzését és szankcionálását célzó hatékony rendelkezéseket előíró jogalkotási aktus hatálybalépése, beleértve azt a kötelezettséget is, hogy 2022. december 31-ig közzé kell tenni az ideiglenes alkalmazottak stabilizációs eljárásaira vonatkozó felhívásokat. Ezt a jogalkotási aktust az állami, regionális és helyi közigazgatási szervekre kell alkalmazni.</w:t>
            </w:r>
          </w:p>
        </w:tc>
      </w:tr>
      <w:tr w:rsidR="00D65CB4" w:rsidRPr="00BC4EE7" w14:paraId="4ABE1BBE" w14:textId="77777777" w:rsidTr="00481CF8">
        <w:trPr>
          <w:trHeight w:val="309"/>
        </w:trPr>
        <w:tc>
          <w:tcPr>
            <w:tcW w:w="1195" w:type="dxa"/>
            <w:shd w:val="clear" w:color="auto" w:fill="C6EFCE"/>
          </w:tcPr>
          <w:p w14:paraId="755D0054" w14:textId="77777777" w:rsidR="00D65CB4" w:rsidRPr="00BC4EE7" w:rsidRDefault="00572307">
            <w:pPr>
              <w:pStyle w:val="P68B1DB1-Normal12"/>
              <w:jc w:val="center"/>
              <w:rPr>
                <w:rFonts w:cs="Times New Roman"/>
                <w:noProof/>
              </w:rPr>
            </w:pPr>
            <w:r w:rsidRPr="00BC4EE7">
              <w:rPr>
                <w:rFonts w:cs="Times New Roman"/>
                <w:noProof/>
              </w:rPr>
              <w:t>145</w:t>
            </w:r>
          </w:p>
        </w:tc>
        <w:tc>
          <w:tcPr>
            <w:tcW w:w="1323" w:type="dxa"/>
            <w:shd w:val="clear" w:color="auto" w:fill="C6EFCE"/>
          </w:tcPr>
          <w:p w14:paraId="0BE2839D" w14:textId="77777777" w:rsidR="00D65CB4" w:rsidRPr="00BC4EE7" w:rsidRDefault="00572307">
            <w:pPr>
              <w:pStyle w:val="P68B1DB1-Normal12"/>
              <w:jc w:val="center"/>
              <w:rPr>
                <w:rFonts w:cs="Times New Roman"/>
                <w:noProof/>
              </w:rPr>
            </w:pPr>
            <w:r w:rsidRPr="00BC4EE7">
              <w:rPr>
                <w:rFonts w:cs="Times New Roman"/>
                <w:noProof/>
              </w:rPr>
              <w:t>C11.R1</w:t>
            </w:r>
          </w:p>
        </w:tc>
        <w:tc>
          <w:tcPr>
            <w:tcW w:w="1091" w:type="dxa"/>
            <w:shd w:val="clear" w:color="auto" w:fill="C6EFCE"/>
          </w:tcPr>
          <w:p w14:paraId="0BDFE37F" w14:textId="77777777" w:rsidR="00D65CB4" w:rsidRPr="00BC4EE7" w:rsidRDefault="00572307">
            <w:pPr>
              <w:pStyle w:val="P68B1DB1-Normal12"/>
              <w:jc w:val="center"/>
              <w:rPr>
                <w:rFonts w:cs="Times New Roman"/>
                <w:noProof/>
              </w:rPr>
            </w:pPr>
            <w:r w:rsidRPr="00BC4EE7">
              <w:rPr>
                <w:rFonts w:cs="Times New Roman"/>
                <w:noProof/>
              </w:rPr>
              <w:t>M</w:t>
            </w:r>
          </w:p>
        </w:tc>
        <w:tc>
          <w:tcPr>
            <w:tcW w:w="1593" w:type="dxa"/>
            <w:shd w:val="clear" w:color="auto" w:fill="C6EFCE"/>
          </w:tcPr>
          <w:p w14:paraId="2727413A" w14:textId="38E0BEE7" w:rsidR="00D65CB4" w:rsidRPr="00BC4EE7" w:rsidRDefault="00572307">
            <w:pPr>
              <w:pStyle w:val="P68B1DB1-Normal12"/>
              <w:rPr>
                <w:rFonts w:cs="Times New Roman"/>
                <w:noProof/>
              </w:rPr>
            </w:pPr>
            <w:r w:rsidRPr="00BC4EE7">
              <w:rPr>
                <w:rFonts w:cs="Times New Roman"/>
                <w:noProof/>
              </w:rPr>
              <w:t>A 40/2015. sz. törvény és a területközi együttműködést erősítő miniszteri rendeletek módosításának hatálybalépése</w:t>
            </w:r>
          </w:p>
        </w:tc>
        <w:tc>
          <w:tcPr>
            <w:tcW w:w="1409" w:type="dxa"/>
            <w:shd w:val="clear" w:color="auto" w:fill="C6EFCE"/>
          </w:tcPr>
          <w:p w14:paraId="27FE097E" w14:textId="5FB0B6D2" w:rsidR="00D65CB4" w:rsidRPr="00BC4EE7" w:rsidRDefault="00572307">
            <w:pPr>
              <w:pStyle w:val="P68B1DB1-Normal12"/>
              <w:jc w:val="center"/>
              <w:rPr>
                <w:rFonts w:cs="Times New Roman"/>
                <w:noProof/>
              </w:rPr>
            </w:pPr>
            <w:r w:rsidRPr="00BC4EE7">
              <w:rPr>
                <w:rFonts w:cs="Times New Roman"/>
                <w:noProof/>
              </w:rPr>
              <w:t xml:space="preserve">A jogszabály és a miniszteri rendeletek hatályba lépését feltüntető rendelkezés </w:t>
            </w:r>
          </w:p>
        </w:tc>
        <w:tc>
          <w:tcPr>
            <w:tcW w:w="1059" w:type="dxa"/>
            <w:shd w:val="clear" w:color="auto" w:fill="C6EFCE"/>
          </w:tcPr>
          <w:p w14:paraId="57BEDBD2"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971" w:type="dxa"/>
            <w:shd w:val="clear" w:color="auto" w:fill="C6EFCE"/>
          </w:tcPr>
          <w:p w14:paraId="5003F835"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696" w:type="dxa"/>
            <w:shd w:val="clear" w:color="auto" w:fill="C6EFCE"/>
          </w:tcPr>
          <w:p w14:paraId="4355D8D4"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558" w:type="dxa"/>
            <w:shd w:val="clear" w:color="auto" w:fill="C6EFCE"/>
          </w:tcPr>
          <w:p w14:paraId="4F6C131C" w14:textId="77777777" w:rsidR="00D65CB4" w:rsidRPr="00BC4EE7" w:rsidRDefault="00572307">
            <w:pPr>
              <w:pStyle w:val="P68B1DB1-Normal12"/>
              <w:jc w:val="center"/>
              <w:rPr>
                <w:rFonts w:cs="Times New Roman"/>
                <w:noProof/>
              </w:rPr>
            </w:pPr>
            <w:r w:rsidRPr="00BC4EE7">
              <w:rPr>
                <w:rFonts w:cs="Times New Roman"/>
                <w:noProof/>
              </w:rPr>
              <w:t>Q4</w:t>
            </w:r>
          </w:p>
        </w:tc>
        <w:tc>
          <w:tcPr>
            <w:tcW w:w="806" w:type="dxa"/>
            <w:shd w:val="clear" w:color="auto" w:fill="C6EFCE"/>
          </w:tcPr>
          <w:p w14:paraId="0025E7B3" w14:textId="77777777" w:rsidR="00D65CB4" w:rsidRPr="00BC4EE7" w:rsidRDefault="00572307">
            <w:pPr>
              <w:pStyle w:val="P68B1DB1-Normal12"/>
              <w:jc w:val="center"/>
              <w:rPr>
                <w:rFonts w:cs="Times New Roman"/>
                <w:noProof/>
              </w:rPr>
            </w:pPr>
            <w:r w:rsidRPr="00BC4EE7">
              <w:rPr>
                <w:rFonts w:cs="Times New Roman"/>
                <w:noProof/>
              </w:rPr>
              <w:t>2022</w:t>
            </w:r>
          </w:p>
        </w:tc>
        <w:tc>
          <w:tcPr>
            <w:tcW w:w="3895" w:type="dxa"/>
            <w:shd w:val="clear" w:color="auto" w:fill="C6EFCE"/>
          </w:tcPr>
          <w:p w14:paraId="49367F4A" w14:textId="5C92B568" w:rsidR="00D65CB4" w:rsidRPr="00BC4EE7" w:rsidRDefault="00572307">
            <w:pPr>
              <w:pStyle w:val="P68B1DB1-Normal12"/>
              <w:rPr>
                <w:rFonts w:cs="Times New Roman"/>
                <w:noProof/>
              </w:rPr>
            </w:pPr>
            <w:r w:rsidRPr="00BC4EE7">
              <w:rPr>
                <w:rFonts w:cs="Times New Roman"/>
                <w:noProof/>
              </w:rPr>
              <w:t xml:space="preserve">A 40/2015. sz. törvény és a miniszteri rendeletek módosításának hatálybalépése a területek közötti együttműködés megerősítése érdekében, amely a következő elemekre terjed ki: i. több ágazatra kiterjedő konferenciák létrehozásának lehetővé tétele, ii. a döntéshozatali eljárások részletes meghatározása az ágazati konferenciákon, beleértve azokat az eseteket is, amikor azok kötelező megfelelési megállapodásokat hoznak létre; az Elnökök Értekezletének megerősítése egy állandó titkárság létrehozása révén; a többéves szakpolitikai célkitűzések és eredménymutatók kötelező előkészítésének, jóváhagyásának és közzétételének, valamint a nyomon követés és értékelés átlátható mechanizmusainak előírása; valamint v) a központi és a regionális kormányzati informatikai platformok közötti digitális rendszer-összeköttetés és interoperabilitás kialakítása. Az i., ii. és iv. célkitűzés tekintetében a miniszteri rendeleteket részvételen alapuló, inkluzív és átlátható eljárás keretében egyeztetni kell az autonóm közösségekkel. </w:t>
            </w:r>
          </w:p>
        </w:tc>
      </w:tr>
      <w:tr w:rsidR="00D65CB4" w:rsidRPr="00BC4EE7" w14:paraId="3ACB5FEF" w14:textId="77777777" w:rsidTr="00481CF8">
        <w:trPr>
          <w:trHeight w:val="309"/>
        </w:trPr>
        <w:tc>
          <w:tcPr>
            <w:tcW w:w="1195" w:type="dxa"/>
            <w:shd w:val="clear" w:color="auto" w:fill="C6EFCE"/>
          </w:tcPr>
          <w:p w14:paraId="7A3B126D" w14:textId="77777777" w:rsidR="00D65CB4" w:rsidRPr="00BC4EE7" w:rsidRDefault="00572307">
            <w:pPr>
              <w:pStyle w:val="P68B1DB1-Normal12"/>
              <w:jc w:val="center"/>
              <w:rPr>
                <w:rFonts w:cs="Times New Roman"/>
                <w:noProof/>
              </w:rPr>
            </w:pPr>
            <w:r w:rsidRPr="00BC4EE7">
              <w:rPr>
                <w:rFonts w:cs="Times New Roman"/>
                <w:noProof/>
              </w:rPr>
              <w:t>146</w:t>
            </w:r>
          </w:p>
        </w:tc>
        <w:tc>
          <w:tcPr>
            <w:tcW w:w="1323" w:type="dxa"/>
            <w:shd w:val="clear" w:color="auto" w:fill="C6EFCE"/>
          </w:tcPr>
          <w:p w14:paraId="473EC799" w14:textId="77777777" w:rsidR="00D65CB4" w:rsidRPr="00BC4EE7" w:rsidRDefault="00572307">
            <w:pPr>
              <w:pStyle w:val="P68B1DB1-Normal12"/>
              <w:jc w:val="center"/>
              <w:rPr>
                <w:rFonts w:cs="Times New Roman"/>
                <w:noProof/>
              </w:rPr>
            </w:pPr>
            <w:r w:rsidRPr="00BC4EE7">
              <w:rPr>
                <w:rFonts w:cs="Times New Roman"/>
                <w:noProof/>
              </w:rPr>
              <w:t>C11.R1</w:t>
            </w:r>
          </w:p>
        </w:tc>
        <w:tc>
          <w:tcPr>
            <w:tcW w:w="1091" w:type="dxa"/>
            <w:shd w:val="clear" w:color="auto" w:fill="C6EFCE"/>
          </w:tcPr>
          <w:p w14:paraId="4E7C16EB" w14:textId="77777777" w:rsidR="00D65CB4" w:rsidRPr="00BC4EE7" w:rsidRDefault="00572307">
            <w:pPr>
              <w:pStyle w:val="P68B1DB1-Normal12"/>
              <w:jc w:val="center"/>
              <w:rPr>
                <w:rFonts w:cs="Times New Roman"/>
                <w:noProof/>
              </w:rPr>
            </w:pPr>
            <w:r w:rsidRPr="00BC4EE7">
              <w:rPr>
                <w:rFonts w:cs="Times New Roman"/>
                <w:noProof/>
              </w:rPr>
              <w:t>M</w:t>
            </w:r>
          </w:p>
        </w:tc>
        <w:tc>
          <w:tcPr>
            <w:tcW w:w="1593" w:type="dxa"/>
            <w:shd w:val="clear" w:color="auto" w:fill="C6EFCE"/>
          </w:tcPr>
          <w:p w14:paraId="09880326" w14:textId="77777777" w:rsidR="00D65CB4" w:rsidRPr="00BC4EE7" w:rsidRDefault="00572307">
            <w:pPr>
              <w:pStyle w:val="P68B1DB1-Normal12"/>
              <w:rPr>
                <w:rFonts w:cs="Times New Roman"/>
                <w:noProof/>
              </w:rPr>
            </w:pPr>
            <w:r w:rsidRPr="00BC4EE7">
              <w:rPr>
                <w:rFonts w:cs="Times New Roman"/>
                <w:noProof/>
              </w:rPr>
              <w:t>A törvény hatálybalépése a közpolitikák értékelésének megerősítése érdekében</w:t>
            </w:r>
          </w:p>
        </w:tc>
        <w:tc>
          <w:tcPr>
            <w:tcW w:w="1409" w:type="dxa"/>
            <w:shd w:val="clear" w:color="auto" w:fill="C6EFCE"/>
          </w:tcPr>
          <w:p w14:paraId="41ED911C" w14:textId="77777777" w:rsidR="00D65CB4" w:rsidRPr="00BC4EE7" w:rsidRDefault="00572307">
            <w:pPr>
              <w:pStyle w:val="P68B1DB1-Normal12"/>
              <w:jc w:val="center"/>
              <w:rPr>
                <w:rFonts w:cs="Times New Roman"/>
                <w:noProof/>
              </w:rPr>
            </w:pPr>
            <w:r w:rsidRPr="00BC4EE7">
              <w:rPr>
                <w:rFonts w:cs="Times New Roman"/>
                <w:noProof/>
              </w:rPr>
              <w:t>A jogszabály hatálybalépésére vonatkozó rendelkezés a jogszabályban</w:t>
            </w:r>
          </w:p>
        </w:tc>
        <w:tc>
          <w:tcPr>
            <w:tcW w:w="1059" w:type="dxa"/>
            <w:shd w:val="clear" w:color="auto" w:fill="C6EFCE"/>
          </w:tcPr>
          <w:p w14:paraId="51E4C3E0"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971" w:type="dxa"/>
            <w:shd w:val="clear" w:color="auto" w:fill="C6EFCE"/>
          </w:tcPr>
          <w:p w14:paraId="503B4702"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696" w:type="dxa"/>
            <w:shd w:val="clear" w:color="auto" w:fill="C6EFCE"/>
          </w:tcPr>
          <w:p w14:paraId="0D200161"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558" w:type="dxa"/>
            <w:shd w:val="clear" w:color="auto" w:fill="C6EFCE"/>
          </w:tcPr>
          <w:p w14:paraId="1FE19E10" w14:textId="77777777" w:rsidR="00D65CB4" w:rsidRPr="00BC4EE7" w:rsidRDefault="00572307">
            <w:pPr>
              <w:pStyle w:val="P68B1DB1-Normal12"/>
              <w:jc w:val="center"/>
              <w:rPr>
                <w:rFonts w:cs="Times New Roman"/>
                <w:noProof/>
              </w:rPr>
            </w:pPr>
            <w:r w:rsidRPr="00BC4EE7">
              <w:rPr>
                <w:rFonts w:cs="Times New Roman"/>
                <w:noProof/>
              </w:rPr>
              <w:t>Q4</w:t>
            </w:r>
          </w:p>
        </w:tc>
        <w:tc>
          <w:tcPr>
            <w:tcW w:w="806" w:type="dxa"/>
            <w:shd w:val="clear" w:color="auto" w:fill="C6EFCE"/>
          </w:tcPr>
          <w:p w14:paraId="2D798BA7" w14:textId="77777777" w:rsidR="00D65CB4" w:rsidRPr="00BC4EE7" w:rsidRDefault="00572307">
            <w:pPr>
              <w:pStyle w:val="P68B1DB1-Normal12"/>
              <w:jc w:val="center"/>
              <w:rPr>
                <w:rFonts w:cs="Times New Roman"/>
                <w:noProof/>
              </w:rPr>
            </w:pPr>
            <w:r w:rsidRPr="00BC4EE7">
              <w:rPr>
                <w:rFonts w:cs="Times New Roman"/>
                <w:noProof/>
              </w:rPr>
              <w:t>2022</w:t>
            </w:r>
          </w:p>
        </w:tc>
        <w:tc>
          <w:tcPr>
            <w:tcW w:w="3895" w:type="dxa"/>
            <w:shd w:val="clear" w:color="auto" w:fill="C6EFCE"/>
          </w:tcPr>
          <w:p w14:paraId="2AEF5638" w14:textId="77777777" w:rsidR="00D65CB4" w:rsidRPr="00BC4EE7" w:rsidRDefault="00572307">
            <w:pPr>
              <w:pStyle w:val="P68B1DB1-Normal12"/>
              <w:rPr>
                <w:rFonts w:cs="Times New Roman"/>
                <w:noProof/>
              </w:rPr>
            </w:pPr>
            <w:r w:rsidRPr="00BC4EE7">
              <w:rPr>
                <w:rFonts w:cs="Times New Roman"/>
                <w:noProof/>
              </w:rPr>
              <w:t>Az értékelési törvény hatálybalépése előzetes értékelésen alapuló közpolitikák megerősítését célzó intézkedéscsomaggal. A célkitűzések: a jelenlegi Nemzeti Értékelő Intézet (Instituto de Evaluación de Políticas Públicas) rendszerének megerősítése szervezeti és funkcionális függetlenség biztosítása érdekében; az intézet feladatainak ellátásához szükséges kapacitás és eszközök biztosítása; beleértve a szakpolitikák szisztematikus előzetes értékelésének elvét; és iv. más szervek és ügynökségek, köztük az AIReF megbízatásának megőrzése.</w:t>
            </w:r>
          </w:p>
        </w:tc>
      </w:tr>
      <w:tr w:rsidR="00D65CB4" w:rsidRPr="00BC4EE7" w14:paraId="00FAF26C" w14:textId="77777777" w:rsidTr="00481CF8">
        <w:trPr>
          <w:trHeight w:val="309"/>
        </w:trPr>
        <w:tc>
          <w:tcPr>
            <w:tcW w:w="1195" w:type="dxa"/>
            <w:shd w:val="clear" w:color="auto" w:fill="C6EFCE"/>
          </w:tcPr>
          <w:p w14:paraId="272C3981" w14:textId="77777777" w:rsidR="00D65CB4" w:rsidRPr="00BC4EE7" w:rsidRDefault="00572307">
            <w:pPr>
              <w:pStyle w:val="P68B1DB1-Normal12"/>
              <w:jc w:val="center"/>
              <w:rPr>
                <w:rFonts w:cs="Times New Roman"/>
                <w:noProof/>
              </w:rPr>
            </w:pPr>
            <w:r w:rsidRPr="00BC4EE7">
              <w:rPr>
                <w:rFonts w:cs="Times New Roman"/>
                <w:noProof/>
              </w:rPr>
              <w:t>147</w:t>
            </w:r>
          </w:p>
        </w:tc>
        <w:tc>
          <w:tcPr>
            <w:tcW w:w="1323" w:type="dxa"/>
            <w:shd w:val="clear" w:color="auto" w:fill="C6EFCE"/>
          </w:tcPr>
          <w:p w14:paraId="66A6CFFE" w14:textId="77777777" w:rsidR="00D65CB4" w:rsidRPr="00BC4EE7" w:rsidRDefault="00572307">
            <w:pPr>
              <w:pStyle w:val="P68B1DB1-Normal12"/>
              <w:jc w:val="center"/>
              <w:rPr>
                <w:rFonts w:cs="Times New Roman"/>
                <w:noProof/>
              </w:rPr>
            </w:pPr>
            <w:r w:rsidRPr="00BC4EE7">
              <w:rPr>
                <w:rFonts w:cs="Times New Roman"/>
                <w:noProof/>
              </w:rPr>
              <w:t>C11.R1</w:t>
            </w:r>
          </w:p>
        </w:tc>
        <w:tc>
          <w:tcPr>
            <w:tcW w:w="1091" w:type="dxa"/>
            <w:shd w:val="clear" w:color="auto" w:fill="C6EFCE"/>
          </w:tcPr>
          <w:p w14:paraId="28864414" w14:textId="77777777" w:rsidR="00D65CB4" w:rsidRPr="00BC4EE7" w:rsidRDefault="00572307">
            <w:pPr>
              <w:pStyle w:val="P68B1DB1-Normal12"/>
              <w:jc w:val="center"/>
              <w:rPr>
                <w:rFonts w:cs="Times New Roman"/>
                <w:noProof/>
              </w:rPr>
            </w:pPr>
            <w:r w:rsidRPr="00BC4EE7">
              <w:rPr>
                <w:rFonts w:cs="Times New Roman"/>
                <w:noProof/>
              </w:rPr>
              <w:t>M</w:t>
            </w:r>
          </w:p>
        </w:tc>
        <w:tc>
          <w:tcPr>
            <w:tcW w:w="1593" w:type="dxa"/>
            <w:shd w:val="clear" w:color="auto" w:fill="C6EFCE"/>
          </w:tcPr>
          <w:p w14:paraId="41EE6FF5" w14:textId="21720083" w:rsidR="00D65CB4" w:rsidRPr="00BC4EE7" w:rsidRDefault="00572307">
            <w:pPr>
              <w:pStyle w:val="P68B1DB1-Normal12"/>
              <w:rPr>
                <w:rFonts w:cs="Times New Roman"/>
                <w:noProof/>
              </w:rPr>
            </w:pPr>
            <w:r w:rsidRPr="00BC4EE7">
              <w:rPr>
                <w:rFonts w:cs="Times New Roman"/>
                <w:noProof/>
              </w:rPr>
              <w:t>A helyi közigazgatási rendszerekről szóló 7/1985. sz. törvény reformjának hatálybalépése és a helyi önkormányzatok népességi és területi elhatárolásáról szóló rendeletet jóváhagyó, július 11-i 1690/1986. sz. királyi rendelet módosítása</w:t>
            </w:r>
          </w:p>
        </w:tc>
        <w:tc>
          <w:tcPr>
            <w:tcW w:w="1409" w:type="dxa"/>
            <w:shd w:val="clear" w:color="auto" w:fill="C6EFCE"/>
          </w:tcPr>
          <w:p w14:paraId="7349E8C9" w14:textId="2D8A6973" w:rsidR="00D65CB4" w:rsidRPr="00BC4EE7" w:rsidRDefault="00572307">
            <w:pPr>
              <w:pStyle w:val="P68B1DB1-Normal12"/>
              <w:jc w:val="center"/>
              <w:rPr>
                <w:rFonts w:cs="Times New Roman"/>
                <w:noProof/>
              </w:rPr>
            </w:pPr>
            <w:r w:rsidRPr="00BC4EE7">
              <w:rPr>
                <w:rFonts w:cs="Times New Roman"/>
                <w:noProof/>
              </w:rPr>
              <w:t xml:space="preserve">A törvénynek és a reformok végrehajtásáról szóló királyi rendeletnek a hatálybalépésüket jelző rendelkezése </w:t>
            </w:r>
          </w:p>
        </w:tc>
        <w:tc>
          <w:tcPr>
            <w:tcW w:w="1059" w:type="dxa"/>
            <w:shd w:val="clear" w:color="auto" w:fill="C6EFCE"/>
          </w:tcPr>
          <w:p w14:paraId="75745E9A"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971" w:type="dxa"/>
            <w:shd w:val="clear" w:color="auto" w:fill="C6EFCE"/>
          </w:tcPr>
          <w:p w14:paraId="0C5E3641"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696" w:type="dxa"/>
            <w:shd w:val="clear" w:color="auto" w:fill="C6EFCE"/>
          </w:tcPr>
          <w:p w14:paraId="15541C48"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558" w:type="dxa"/>
            <w:shd w:val="clear" w:color="auto" w:fill="C6EFCE"/>
          </w:tcPr>
          <w:p w14:paraId="56CDA044" w14:textId="77777777" w:rsidR="00D65CB4" w:rsidRPr="00BC4EE7" w:rsidRDefault="00572307">
            <w:pPr>
              <w:pStyle w:val="P68B1DB1-Normal12"/>
              <w:jc w:val="center"/>
              <w:rPr>
                <w:rFonts w:cs="Times New Roman"/>
                <w:noProof/>
              </w:rPr>
            </w:pPr>
            <w:r w:rsidRPr="00BC4EE7">
              <w:rPr>
                <w:rFonts w:cs="Times New Roman"/>
                <w:noProof/>
              </w:rPr>
              <w:t>Q4</w:t>
            </w:r>
          </w:p>
        </w:tc>
        <w:tc>
          <w:tcPr>
            <w:tcW w:w="806" w:type="dxa"/>
            <w:shd w:val="clear" w:color="auto" w:fill="C6EFCE"/>
          </w:tcPr>
          <w:p w14:paraId="298A2DB1" w14:textId="77777777" w:rsidR="00D65CB4" w:rsidRPr="00BC4EE7" w:rsidRDefault="00572307">
            <w:pPr>
              <w:pStyle w:val="P68B1DB1-Normal12"/>
              <w:jc w:val="center"/>
              <w:rPr>
                <w:rFonts w:cs="Times New Roman"/>
                <w:noProof/>
              </w:rPr>
            </w:pPr>
            <w:r w:rsidRPr="00BC4EE7">
              <w:rPr>
                <w:rFonts w:cs="Times New Roman"/>
                <w:noProof/>
              </w:rPr>
              <w:t>2022</w:t>
            </w:r>
          </w:p>
        </w:tc>
        <w:tc>
          <w:tcPr>
            <w:tcW w:w="3895" w:type="dxa"/>
            <w:shd w:val="clear" w:color="auto" w:fill="C6EFCE"/>
          </w:tcPr>
          <w:p w14:paraId="3507A2BD" w14:textId="366E6416" w:rsidR="00D65CB4" w:rsidRPr="00BC4EE7" w:rsidRDefault="00572307">
            <w:pPr>
              <w:pStyle w:val="P68B1DB1-Normal12"/>
              <w:rPr>
                <w:rFonts w:cs="Times New Roman"/>
                <w:noProof/>
              </w:rPr>
            </w:pPr>
            <w:r w:rsidRPr="00BC4EE7">
              <w:rPr>
                <w:rFonts w:cs="Times New Roman"/>
                <w:noProof/>
              </w:rPr>
              <w:t>A helyi közigazgatási rendszerek szabályozásáról szóló 7/1985. sz. törvény módosításának, valamint a helyi önkormányzatok népességi és területi elhatárolásáról szóló rendeletet jóváhagyó, július 11-i 1690/1986. sz. királyi rendelet módosításának hatálybalépése. A helyi közigazgatási rendszerek szabályozásáról szóló 7/1985. sz. törvény módosítása hozzájárul a következőkhöz: i. a helyi közszolgáltatások kiépítésének felgyorsítása és kiszélesítése, többek között digitális eszközök, például alkalmazások révén, valamint ii. a kisvárosok támogatása közszolgáltatások nyújtásában. A helyi entitások népesedéséről és területi elhatárolásáról szóló rendeletet jóváhagyó, július 11-i 1690/1986. sz. királyi rendelet módosítása naprakésszé teszi és javítja a települések által igazgatott lakosok népszámlálását. A reformokat hatásvizsgálatnak kell kísérnie, amely magában foglalja a költségvetési fenntarthatósági szempontokat is.</w:t>
            </w:r>
          </w:p>
        </w:tc>
      </w:tr>
      <w:tr w:rsidR="00D65CB4" w:rsidRPr="00BC4EE7" w14:paraId="29BBF8D8" w14:textId="77777777" w:rsidTr="00481CF8">
        <w:trPr>
          <w:trHeight w:val="309"/>
        </w:trPr>
        <w:tc>
          <w:tcPr>
            <w:tcW w:w="1195" w:type="dxa"/>
            <w:shd w:val="clear" w:color="auto" w:fill="C6EFCE"/>
          </w:tcPr>
          <w:p w14:paraId="3632D0D5" w14:textId="77777777" w:rsidR="00D65CB4" w:rsidRPr="00BC4EE7" w:rsidRDefault="00572307">
            <w:pPr>
              <w:pStyle w:val="P68B1DB1-Normal12"/>
              <w:jc w:val="center"/>
              <w:rPr>
                <w:rFonts w:cs="Times New Roman"/>
                <w:noProof/>
              </w:rPr>
            </w:pPr>
            <w:r w:rsidRPr="00BC4EE7">
              <w:rPr>
                <w:rFonts w:cs="Times New Roman"/>
                <w:noProof/>
              </w:rPr>
              <w:t>148</w:t>
            </w:r>
          </w:p>
        </w:tc>
        <w:tc>
          <w:tcPr>
            <w:tcW w:w="1323" w:type="dxa"/>
            <w:shd w:val="clear" w:color="auto" w:fill="C6EFCE"/>
          </w:tcPr>
          <w:p w14:paraId="56824CAD" w14:textId="77777777" w:rsidR="00D65CB4" w:rsidRPr="00BC4EE7" w:rsidRDefault="00572307">
            <w:pPr>
              <w:pStyle w:val="P68B1DB1-Normal12"/>
              <w:jc w:val="center"/>
              <w:rPr>
                <w:rFonts w:cs="Times New Roman"/>
                <w:noProof/>
              </w:rPr>
            </w:pPr>
            <w:r w:rsidRPr="00BC4EE7">
              <w:rPr>
                <w:rFonts w:cs="Times New Roman"/>
                <w:noProof/>
              </w:rPr>
              <w:t>C11.R1</w:t>
            </w:r>
          </w:p>
        </w:tc>
        <w:tc>
          <w:tcPr>
            <w:tcW w:w="1091" w:type="dxa"/>
            <w:shd w:val="clear" w:color="auto" w:fill="C6EFCE"/>
          </w:tcPr>
          <w:p w14:paraId="5FC47139" w14:textId="77777777" w:rsidR="00D65CB4" w:rsidRPr="00BC4EE7" w:rsidRDefault="00572307">
            <w:pPr>
              <w:pStyle w:val="P68B1DB1-Normal12"/>
              <w:jc w:val="center"/>
              <w:rPr>
                <w:rFonts w:cs="Times New Roman"/>
                <w:noProof/>
              </w:rPr>
            </w:pPr>
            <w:r w:rsidRPr="00BC4EE7">
              <w:rPr>
                <w:rFonts w:cs="Times New Roman"/>
                <w:noProof/>
              </w:rPr>
              <w:t>M</w:t>
            </w:r>
          </w:p>
        </w:tc>
        <w:tc>
          <w:tcPr>
            <w:tcW w:w="1593" w:type="dxa"/>
            <w:shd w:val="clear" w:color="auto" w:fill="C6EFCE"/>
          </w:tcPr>
          <w:p w14:paraId="0E387286" w14:textId="3D9414CA" w:rsidR="00D65CB4" w:rsidRPr="00BC4EE7" w:rsidRDefault="00572307">
            <w:pPr>
              <w:pStyle w:val="P68B1DB1-Normal12"/>
              <w:rPr>
                <w:rFonts w:cs="Times New Roman"/>
                <w:noProof/>
              </w:rPr>
            </w:pPr>
            <w:r w:rsidRPr="00BC4EE7">
              <w:rPr>
                <w:rFonts w:cs="Times New Roman"/>
                <w:noProof/>
              </w:rPr>
              <w:t>Az államigazgatás közszolgálatára vonatkozó szabályozási intézkedések hatálybalépése</w:t>
            </w:r>
          </w:p>
        </w:tc>
        <w:tc>
          <w:tcPr>
            <w:tcW w:w="1409" w:type="dxa"/>
            <w:shd w:val="clear" w:color="auto" w:fill="C6EFCE"/>
          </w:tcPr>
          <w:p w14:paraId="268E37DA" w14:textId="44026CF2" w:rsidR="00D65CB4" w:rsidRPr="00BC4EE7" w:rsidRDefault="00572307">
            <w:pPr>
              <w:pStyle w:val="P68B1DB1-Normal12"/>
              <w:jc w:val="center"/>
              <w:rPr>
                <w:rFonts w:cs="Times New Roman"/>
                <w:noProof/>
              </w:rPr>
            </w:pPr>
            <w:r w:rsidRPr="00BC4EE7">
              <w:rPr>
                <w:rFonts w:cs="Times New Roman"/>
                <w:noProof/>
              </w:rPr>
              <w:t xml:space="preserve">A reform elemeit végrehajtó királyi rendelet(ek) és miniszteri rendelet(ek) azon rendelkezése, amely(ek) hatálybalépésüket jelzi(k) </w:t>
            </w:r>
          </w:p>
        </w:tc>
        <w:tc>
          <w:tcPr>
            <w:tcW w:w="1059" w:type="dxa"/>
            <w:shd w:val="clear" w:color="auto" w:fill="C6EFCE"/>
          </w:tcPr>
          <w:p w14:paraId="39017060"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971" w:type="dxa"/>
            <w:shd w:val="clear" w:color="auto" w:fill="C6EFCE"/>
          </w:tcPr>
          <w:p w14:paraId="0740E5F9"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696" w:type="dxa"/>
            <w:shd w:val="clear" w:color="auto" w:fill="C6EFCE"/>
          </w:tcPr>
          <w:p w14:paraId="5FC345CA"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558" w:type="dxa"/>
            <w:shd w:val="clear" w:color="auto" w:fill="C6EFCE"/>
          </w:tcPr>
          <w:p w14:paraId="61594965" w14:textId="77777777" w:rsidR="00D65CB4" w:rsidRPr="00BC4EE7" w:rsidRDefault="00572307">
            <w:pPr>
              <w:pStyle w:val="P68B1DB1-Normal12"/>
              <w:jc w:val="center"/>
              <w:rPr>
                <w:rFonts w:cs="Times New Roman"/>
                <w:noProof/>
              </w:rPr>
            </w:pPr>
            <w:r w:rsidRPr="00BC4EE7">
              <w:rPr>
                <w:rFonts w:cs="Times New Roman"/>
                <w:noProof/>
              </w:rPr>
              <w:t>Q4</w:t>
            </w:r>
          </w:p>
        </w:tc>
        <w:tc>
          <w:tcPr>
            <w:tcW w:w="806" w:type="dxa"/>
            <w:shd w:val="clear" w:color="auto" w:fill="C6EFCE"/>
          </w:tcPr>
          <w:p w14:paraId="3961A0ED" w14:textId="77777777" w:rsidR="00D65CB4" w:rsidRPr="00BC4EE7" w:rsidRDefault="00572307">
            <w:pPr>
              <w:pStyle w:val="P68B1DB1-Normal12"/>
              <w:jc w:val="center"/>
              <w:rPr>
                <w:rFonts w:cs="Times New Roman"/>
                <w:noProof/>
              </w:rPr>
            </w:pPr>
            <w:r w:rsidRPr="00BC4EE7">
              <w:rPr>
                <w:rFonts w:cs="Times New Roman"/>
                <w:noProof/>
              </w:rPr>
              <w:t>2022</w:t>
            </w:r>
          </w:p>
        </w:tc>
        <w:tc>
          <w:tcPr>
            <w:tcW w:w="3895" w:type="dxa"/>
            <w:shd w:val="clear" w:color="auto" w:fill="C6EFCE"/>
          </w:tcPr>
          <w:p w14:paraId="716779E3" w14:textId="1B02DE47" w:rsidR="00D65CB4" w:rsidRPr="00BC4EE7" w:rsidRDefault="00572307">
            <w:pPr>
              <w:pStyle w:val="P68B1DB1-Normal12"/>
              <w:rPr>
                <w:rFonts w:cs="Times New Roman"/>
                <w:noProof/>
              </w:rPr>
            </w:pPr>
            <w:r w:rsidRPr="00BC4EE7">
              <w:rPr>
                <w:rFonts w:cs="Times New Roman"/>
                <w:noProof/>
              </w:rPr>
              <w:t xml:space="preserve">Az államigazgatás közszolgálatára vonatkozó szabályozási intézkedések hatálybalépése. Az intézkedéseknek meg kell erősíteniük a közigazgatás azon képességét, hogy vonzza és megtartsa a jelenlegi feladatai ellátásához szükséges tehetségeket, többek között az információs és távközlési területeken. Az intézkedéseknek a következő elemeket kell tartalmazniuk: az emberi erőforrások tervezésére, szervezésére és kezelésére szolgáló eszközök újjáélesztése; az egyenlőség, az érdemek és a hozzáférési kapacitás elve hatékonyságának, valamint a kiválasztási eljárások átláthatóságának és agilitásának garantálása; az értékelés és a teljesítmény kompetenciaalapú keretrendszer szerinti szabályozása, beleértve az új munkaerő-felvételt is; és iv. a vezető tisztviselői álláshelyekre (nevezetesen az általános aligazgatóságokra </w:t>
            </w:r>
            <w:r w:rsidRPr="00BC4EE7">
              <w:rPr>
                <w:rFonts w:cs="Times New Roman"/>
                <w:i/>
                <w:noProof/>
              </w:rPr>
              <w:t>és hasonló</w:t>
            </w:r>
            <w:r w:rsidRPr="00BC4EE7">
              <w:rPr>
                <w:rFonts w:cs="Times New Roman"/>
                <w:noProof/>
              </w:rPr>
              <w:t xml:space="preserve"> álláshelyekre) való bejutás érdemek és versenyvizsgák alapján. A szabályozási intézkedések a ii. és iii. elem tekintetében királyi törvényerejű rendelet formáját öltik; valamint az i. és iv. elemre vonatkozó miniszteri rendelet(ek).</w:t>
            </w:r>
          </w:p>
        </w:tc>
      </w:tr>
      <w:tr w:rsidR="00D65CB4" w:rsidRPr="00BC4EE7" w14:paraId="370A0D81" w14:textId="77777777" w:rsidTr="00481CF8">
        <w:trPr>
          <w:trHeight w:val="309"/>
        </w:trPr>
        <w:tc>
          <w:tcPr>
            <w:tcW w:w="1195" w:type="dxa"/>
            <w:shd w:val="clear" w:color="auto" w:fill="C6EFCE"/>
          </w:tcPr>
          <w:p w14:paraId="2B464838" w14:textId="77777777" w:rsidR="00D65CB4" w:rsidRPr="00BC4EE7" w:rsidRDefault="00572307">
            <w:pPr>
              <w:pStyle w:val="P68B1DB1-Normal12"/>
              <w:jc w:val="center"/>
              <w:rPr>
                <w:rFonts w:cs="Times New Roman"/>
                <w:noProof/>
              </w:rPr>
            </w:pPr>
            <w:r w:rsidRPr="00BC4EE7">
              <w:rPr>
                <w:rFonts w:cs="Times New Roman"/>
                <w:noProof/>
              </w:rPr>
              <w:t>149</w:t>
            </w:r>
          </w:p>
        </w:tc>
        <w:tc>
          <w:tcPr>
            <w:tcW w:w="1323" w:type="dxa"/>
            <w:shd w:val="clear" w:color="auto" w:fill="C6EFCE"/>
          </w:tcPr>
          <w:p w14:paraId="424D4657" w14:textId="77777777" w:rsidR="00D65CB4" w:rsidRPr="00BC4EE7" w:rsidRDefault="00572307">
            <w:pPr>
              <w:pStyle w:val="P68B1DB1-Normal12"/>
              <w:jc w:val="center"/>
              <w:rPr>
                <w:rFonts w:cs="Times New Roman"/>
                <w:noProof/>
              </w:rPr>
            </w:pPr>
            <w:r w:rsidRPr="00BC4EE7">
              <w:rPr>
                <w:rFonts w:cs="Times New Roman"/>
                <w:noProof/>
              </w:rPr>
              <w:t>C11.R1</w:t>
            </w:r>
          </w:p>
        </w:tc>
        <w:tc>
          <w:tcPr>
            <w:tcW w:w="1091" w:type="dxa"/>
            <w:shd w:val="clear" w:color="auto" w:fill="C6EFCE"/>
          </w:tcPr>
          <w:p w14:paraId="299041B6" w14:textId="77777777" w:rsidR="00D65CB4" w:rsidRPr="00BC4EE7" w:rsidRDefault="00572307">
            <w:pPr>
              <w:pStyle w:val="P68B1DB1-Normal12"/>
              <w:jc w:val="center"/>
              <w:rPr>
                <w:rFonts w:cs="Times New Roman"/>
                <w:noProof/>
              </w:rPr>
            </w:pPr>
            <w:r w:rsidRPr="00BC4EE7">
              <w:rPr>
                <w:rFonts w:cs="Times New Roman"/>
                <w:noProof/>
              </w:rPr>
              <w:t>M</w:t>
            </w:r>
          </w:p>
        </w:tc>
        <w:tc>
          <w:tcPr>
            <w:tcW w:w="1593" w:type="dxa"/>
            <w:shd w:val="clear" w:color="auto" w:fill="C6EFCE"/>
          </w:tcPr>
          <w:p w14:paraId="1E35AF3F" w14:textId="77777777" w:rsidR="00D65CB4" w:rsidRPr="00BC4EE7" w:rsidRDefault="00572307">
            <w:pPr>
              <w:pStyle w:val="P68B1DB1-Normal12"/>
              <w:rPr>
                <w:rFonts w:cs="Times New Roman"/>
                <w:noProof/>
              </w:rPr>
            </w:pPr>
            <w:r w:rsidRPr="00BC4EE7">
              <w:rPr>
                <w:rFonts w:cs="Times New Roman"/>
                <w:noProof/>
              </w:rPr>
              <w:t>Az új értékelő közjogi szerv alapszabálya</w:t>
            </w:r>
          </w:p>
        </w:tc>
        <w:tc>
          <w:tcPr>
            <w:tcW w:w="1409" w:type="dxa"/>
            <w:shd w:val="clear" w:color="auto" w:fill="C6EFCE"/>
          </w:tcPr>
          <w:p w14:paraId="0C90CC59" w14:textId="77777777" w:rsidR="00D65CB4" w:rsidRPr="00BC4EE7" w:rsidRDefault="00572307">
            <w:pPr>
              <w:pStyle w:val="P68B1DB1-Normal12"/>
              <w:jc w:val="center"/>
              <w:rPr>
                <w:rFonts w:cs="Times New Roman"/>
                <w:noProof/>
              </w:rPr>
            </w:pPr>
            <w:r w:rsidRPr="00BC4EE7">
              <w:rPr>
                <w:rFonts w:cs="Times New Roman"/>
                <w:noProof/>
              </w:rPr>
              <w:t xml:space="preserve">A királyi rendeletben szereplő, a királyi rendelet hatálybalépését feltüntető rendelkezés </w:t>
            </w:r>
          </w:p>
        </w:tc>
        <w:tc>
          <w:tcPr>
            <w:tcW w:w="1059" w:type="dxa"/>
            <w:shd w:val="clear" w:color="auto" w:fill="C6EFCE"/>
          </w:tcPr>
          <w:p w14:paraId="29FC183F"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971" w:type="dxa"/>
            <w:shd w:val="clear" w:color="auto" w:fill="C6EFCE"/>
          </w:tcPr>
          <w:p w14:paraId="473AFF47"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696" w:type="dxa"/>
            <w:shd w:val="clear" w:color="auto" w:fill="C6EFCE"/>
          </w:tcPr>
          <w:p w14:paraId="3D603131"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558" w:type="dxa"/>
            <w:shd w:val="clear" w:color="auto" w:fill="C6EFCE"/>
          </w:tcPr>
          <w:p w14:paraId="2E4BFBF2" w14:textId="77777777" w:rsidR="00D65CB4" w:rsidRPr="00BC4EE7" w:rsidRDefault="00572307">
            <w:pPr>
              <w:pStyle w:val="P68B1DB1-Normal12"/>
              <w:jc w:val="center"/>
              <w:rPr>
                <w:rFonts w:cs="Times New Roman"/>
                <w:noProof/>
              </w:rPr>
            </w:pPr>
            <w:r w:rsidRPr="00BC4EE7">
              <w:rPr>
                <w:rFonts w:cs="Times New Roman"/>
                <w:noProof/>
              </w:rPr>
              <w:t>Q3</w:t>
            </w:r>
          </w:p>
        </w:tc>
        <w:tc>
          <w:tcPr>
            <w:tcW w:w="806" w:type="dxa"/>
            <w:shd w:val="clear" w:color="auto" w:fill="C6EFCE"/>
          </w:tcPr>
          <w:p w14:paraId="340D2FE8" w14:textId="77777777" w:rsidR="00D65CB4" w:rsidRPr="00BC4EE7" w:rsidRDefault="00572307">
            <w:pPr>
              <w:pStyle w:val="P68B1DB1-Normal12"/>
              <w:jc w:val="center"/>
              <w:rPr>
                <w:rFonts w:cs="Times New Roman"/>
                <w:noProof/>
              </w:rPr>
            </w:pPr>
            <w:r w:rsidRPr="00BC4EE7">
              <w:rPr>
                <w:rFonts w:cs="Times New Roman"/>
                <w:noProof/>
              </w:rPr>
              <w:t>2023</w:t>
            </w:r>
          </w:p>
        </w:tc>
        <w:tc>
          <w:tcPr>
            <w:tcW w:w="3895" w:type="dxa"/>
            <w:shd w:val="clear" w:color="auto" w:fill="C6EFCE"/>
          </w:tcPr>
          <w:p w14:paraId="78F3AB93" w14:textId="77777777" w:rsidR="00D65CB4" w:rsidRPr="00BC4EE7" w:rsidRDefault="00572307">
            <w:pPr>
              <w:pStyle w:val="P68B1DB1-Normal12"/>
              <w:rPr>
                <w:rFonts w:cs="Times New Roman"/>
                <w:noProof/>
              </w:rPr>
            </w:pPr>
            <w:r w:rsidRPr="00BC4EE7">
              <w:rPr>
                <w:rFonts w:cs="Times New Roman"/>
                <w:noProof/>
              </w:rPr>
              <w:t>Az új nemzeti értékelő közjogi szerv alapszabályáról szóló királyi rendelet hatálybalépése. E királyi rendelet céljai a következők: i. az előzetes közpolitikai értékelés módszertani szabványosításával kapcsolatos feladatainak ellátásához szükséges kapacitás és eszközök biztosítása a nemzeti értékelő állami szerv számára; ii. közpolitikai értékelések végzése; és iii. a szisztematikus előzetes szakpolitikai értékelés elvének beépítése, a törvényben meghatározott kivételekkel.</w:t>
            </w:r>
          </w:p>
        </w:tc>
      </w:tr>
      <w:tr w:rsidR="00D65CB4" w:rsidRPr="00BC4EE7" w14:paraId="594099FE" w14:textId="77777777" w:rsidTr="00481CF8">
        <w:trPr>
          <w:trHeight w:val="309"/>
        </w:trPr>
        <w:tc>
          <w:tcPr>
            <w:tcW w:w="1195" w:type="dxa"/>
            <w:shd w:val="clear" w:color="auto" w:fill="C6EFCE"/>
          </w:tcPr>
          <w:p w14:paraId="3F22E7E6" w14:textId="7B8D20F9" w:rsidR="00D65CB4" w:rsidRPr="00BC4EE7" w:rsidRDefault="00572307">
            <w:pPr>
              <w:pStyle w:val="P68B1DB1-Normal12"/>
              <w:jc w:val="center"/>
              <w:rPr>
                <w:rFonts w:cs="Times New Roman"/>
                <w:noProof/>
              </w:rPr>
            </w:pPr>
            <w:r w:rsidRPr="00BC4EE7">
              <w:rPr>
                <w:rFonts w:cs="Times New Roman"/>
                <w:noProof/>
              </w:rPr>
              <w:t>150</w:t>
            </w:r>
          </w:p>
        </w:tc>
        <w:tc>
          <w:tcPr>
            <w:tcW w:w="1323" w:type="dxa"/>
            <w:shd w:val="clear" w:color="auto" w:fill="C6EFCE"/>
          </w:tcPr>
          <w:p w14:paraId="39274323" w14:textId="1F729C9E" w:rsidR="00D65CB4" w:rsidRPr="00BC4EE7" w:rsidRDefault="00572307">
            <w:pPr>
              <w:pStyle w:val="P68B1DB1-Normal12"/>
              <w:jc w:val="center"/>
              <w:rPr>
                <w:rFonts w:cs="Times New Roman"/>
                <w:noProof/>
              </w:rPr>
            </w:pPr>
            <w:r w:rsidRPr="00BC4EE7">
              <w:rPr>
                <w:rFonts w:cs="Times New Roman"/>
                <w:noProof/>
              </w:rPr>
              <w:t>C11.R1</w:t>
            </w:r>
          </w:p>
        </w:tc>
        <w:tc>
          <w:tcPr>
            <w:tcW w:w="1091" w:type="dxa"/>
            <w:shd w:val="clear" w:color="auto" w:fill="C6EFCE"/>
          </w:tcPr>
          <w:p w14:paraId="324774BA" w14:textId="0AEF0C26" w:rsidR="00D65CB4" w:rsidRPr="00BC4EE7" w:rsidRDefault="00572307">
            <w:pPr>
              <w:pStyle w:val="P68B1DB1-Normal12"/>
              <w:jc w:val="center"/>
              <w:rPr>
                <w:rFonts w:cs="Times New Roman"/>
                <w:noProof/>
              </w:rPr>
            </w:pPr>
            <w:r w:rsidRPr="00BC4EE7">
              <w:rPr>
                <w:rFonts w:cs="Times New Roman"/>
                <w:noProof/>
              </w:rPr>
              <w:t>T</w:t>
            </w:r>
          </w:p>
        </w:tc>
        <w:tc>
          <w:tcPr>
            <w:tcW w:w="1593" w:type="dxa"/>
            <w:shd w:val="clear" w:color="auto" w:fill="C6EFCE"/>
          </w:tcPr>
          <w:p w14:paraId="7A55C355" w14:textId="367C5167" w:rsidR="00D65CB4" w:rsidRPr="00BC4EE7" w:rsidRDefault="00572307">
            <w:pPr>
              <w:pStyle w:val="P68B1DB1-Normal12"/>
              <w:rPr>
                <w:rFonts w:cs="Times New Roman"/>
                <w:noProof/>
              </w:rPr>
            </w:pPr>
            <w:r w:rsidRPr="00BC4EE7">
              <w:rPr>
                <w:rFonts w:cs="Times New Roman"/>
                <w:noProof/>
              </w:rPr>
              <w:t>Az állami foglalkoztatás stabilizálása</w:t>
            </w:r>
          </w:p>
        </w:tc>
        <w:tc>
          <w:tcPr>
            <w:tcW w:w="1409" w:type="dxa"/>
            <w:shd w:val="clear" w:color="auto" w:fill="C6EFCE"/>
          </w:tcPr>
          <w:p w14:paraId="473383D2" w14:textId="77777777" w:rsidR="00D65CB4" w:rsidRPr="00BC4EE7" w:rsidRDefault="00D65CB4">
            <w:pPr>
              <w:jc w:val="center"/>
              <w:rPr>
                <w:rFonts w:ascii="Times New Roman" w:hAnsi="Times New Roman" w:cs="Times New Roman"/>
                <w:noProof/>
                <w:sz w:val="18"/>
              </w:rPr>
            </w:pPr>
          </w:p>
        </w:tc>
        <w:tc>
          <w:tcPr>
            <w:tcW w:w="1059" w:type="dxa"/>
            <w:shd w:val="clear" w:color="auto" w:fill="C6EFCE"/>
          </w:tcPr>
          <w:p w14:paraId="1E54F784" w14:textId="7E9293D1" w:rsidR="00D65CB4" w:rsidRPr="00BC4EE7" w:rsidRDefault="00572307">
            <w:pPr>
              <w:pStyle w:val="P68B1DB1-Normal12"/>
              <w:jc w:val="right"/>
              <w:rPr>
                <w:rFonts w:cs="Times New Roman"/>
                <w:noProof/>
              </w:rPr>
            </w:pPr>
            <w:r w:rsidRPr="00BC4EE7">
              <w:rPr>
                <w:rFonts w:cs="Times New Roman"/>
                <w:noProof/>
              </w:rPr>
              <w:t>Szám</w:t>
            </w:r>
          </w:p>
        </w:tc>
        <w:tc>
          <w:tcPr>
            <w:tcW w:w="971" w:type="dxa"/>
            <w:shd w:val="clear" w:color="auto" w:fill="C6EFCE"/>
          </w:tcPr>
          <w:p w14:paraId="3CA84FD5" w14:textId="583DB036" w:rsidR="00D65CB4" w:rsidRPr="00BC4EE7" w:rsidRDefault="00572307">
            <w:pPr>
              <w:pStyle w:val="P68B1DB1-Normal12"/>
              <w:jc w:val="right"/>
              <w:rPr>
                <w:rFonts w:cs="Times New Roman"/>
                <w:noProof/>
              </w:rPr>
            </w:pPr>
            <w:r w:rsidRPr="00BC4EE7">
              <w:rPr>
                <w:rFonts w:cs="Times New Roman"/>
                <w:noProof/>
              </w:rPr>
              <w:t>0</w:t>
            </w:r>
          </w:p>
        </w:tc>
        <w:tc>
          <w:tcPr>
            <w:tcW w:w="696" w:type="dxa"/>
            <w:shd w:val="clear" w:color="auto" w:fill="C6EFCE"/>
          </w:tcPr>
          <w:p w14:paraId="200B5FCB" w14:textId="18582A6B" w:rsidR="00D65CB4" w:rsidRPr="00BC4EE7" w:rsidRDefault="00572307">
            <w:pPr>
              <w:pStyle w:val="P68B1DB1-Normal12"/>
              <w:jc w:val="right"/>
              <w:rPr>
                <w:rFonts w:cs="Times New Roman"/>
                <w:noProof/>
              </w:rPr>
            </w:pPr>
            <w:r w:rsidRPr="00BC4EE7">
              <w:rPr>
                <w:rFonts w:cs="Times New Roman"/>
                <w:noProof/>
              </w:rPr>
              <w:t>300 000</w:t>
            </w:r>
          </w:p>
        </w:tc>
        <w:tc>
          <w:tcPr>
            <w:tcW w:w="558" w:type="dxa"/>
            <w:shd w:val="clear" w:color="auto" w:fill="C6EFCE"/>
          </w:tcPr>
          <w:p w14:paraId="6F66B82C" w14:textId="77D85D2A" w:rsidR="00D65CB4" w:rsidRPr="00BC4EE7" w:rsidRDefault="00572307">
            <w:pPr>
              <w:pStyle w:val="P68B1DB1-Normal12"/>
              <w:jc w:val="center"/>
              <w:rPr>
                <w:rFonts w:cs="Times New Roman"/>
                <w:noProof/>
              </w:rPr>
            </w:pPr>
            <w:r w:rsidRPr="00BC4EE7">
              <w:rPr>
                <w:rFonts w:cs="Times New Roman"/>
                <w:noProof/>
              </w:rPr>
              <w:t>Q4</w:t>
            </w:r>
          </w:p>
        </w:tc>
        <w:tc>
          <w:tcPr>
            <w:tcW w:w="806" w:type="dxa"/>
            <w:shd w:val="clear" w:color="auto" w:fill="C6EFCE"/>
          </w:tcPr>
          <w:p w14:paraId="52B4707C" w14:textId="090EEAC4" w:rsidR="00D65CB4" w:rsidRPr="00BC4EE7" w:rsidRDefault="00572307">
            <w:pPr>
              <w:pStyle w:val="P68B1DB1-Normal12"/>
              <w:jc w:val="center"/>
              <w:rPr>
                <w:rFonts w:cs="Times New Roman"/>
                <w:noProof/>
              </w:rPr>
            </w:pPr>
            <w:r w:rsidRPr="00BC4EE7">
              <w:rPr>
                <w:rFonts w:cs="Times New Roman"/>
                <w:noProof/>
              </w:rPr>
              <w:t>2024</w:t>
            </w:r>
          </w:p>
        </w:tc>
        <w:tc>
          <w:tcPr>
            <w:tcW w:w="3895" w:type="dxa"/>
            <w:shd w:val="clear" w:color="auto" w:fill="C6EFCE"/>
          </w:tcPr>
          <w:p w14:paraId="6F4C32AA" w14:textId="7503A672" w:rsidR="00D65CB4" w:rsidRPr="00BC4EE7" w:rsidRDefault="00572307">
            <w:pPr>
              <w:pStyle w:val="P68B1DB1-Normal12"/>
              <w:rPr>
                <w:rFonts w:cs="Times New Roman"/>
                <w:noProof/>
              </w:rPr>
            </w:pPr>
            <w:r w:rsidRPr="00BC4EE7">
              <w:rPr>
                <w:rFonts w:cs="Times New Roman"/>
                <w:noProof/>
              </w:rPr>
              <w:t>A foglalkoztatás stabilizálását célzó munkaerő-felvételi eljárások (nyílt idejű szerződések vagy személyzeti álláshelyek révén) legalább 300000 álláshelyet érintve (beleértve a 2017-ből és 2918 stabilizációs eljárásból eredő álláshelyeket is)</w:t>
            </w:r>
          </w:p>
        </w:tc>
      </w:tr>
      <w:tr w:rsidR="00D65CB4" w:rsidRPr="00BC4EE7" w14:paraId="000DB73A" w14:textId="77777777" w:rsidTr="00481CF8">
        <w:trPr>
          <w:trHeight w:val="309"/>
        </w:trPr>
        <w:tc>
          <w:tcPr>
            <w:tcW w:w="1195" w:type="dxa"/>
            <w:shd w:val="clear" w:color="auto" w:fill="C6EFCE"/>
          </w:tcPr>
          <w:p w14:paraId="3B58C1C2" w14:textId="7C903BFA" w:rsidR="00D65CB4" w:rsidRPr="00BC4EE7" w:rsidRDefault="00572307">
            <w:pPr>
              <w:pStyle w:val="P68B1DB1-Normal12"/>
              <w:jc w:val="center"/>
              <w:rPr>
                <w:rFonts w:cs="Times New Roman"/>
                <w:noProof/>
              </w:rPr>
            </w:pPr>
            <w:r w:rsidRPr="00BC4EE7">
              <w:rPr>
                <w:rFonts w:cs="Times New Roman"/>
                <w:noProof/>
              </w:rPr>
              <w:t>432</w:t>
            </w:r>
          </w:p>
        </w:tc>
        <w:tc>
          <w:tcPr>
            <w:tcW w:w="1323" w:type="dxa"/>
            <w:shd w:val="clear" w:color="auto" w:fill="C6EFCE"/>
          </w:tcPr>
          <w:p w14:paraId="570DFF20" w14:textId="4459DE15" w:rsidR="00D65CB4" w:rsidRPr="00BC4EE7" w:rsidRDefault="00572307">
            <w:pPr>
              <w:pStyle w:val="P68B1DB1-Normal12"/>
              <w:jc w:val="center"/>
              <w:rPr>
                <w:rFonts w:cs="Times New Roman"/>
                <w:noProof/>
              </w:rPr>
            </w:pPr>
            <w:r w:rsidRPr="00BC4EE7">
              <w:rPr>
                <w:rFonts w:cs="Times New Roman"/>
                <w:noProof/>
              </w:rPr>
              <w:t>C11.R1</w:t>
            </w:r>
          </w:p>
        </w:tc>
        <w:tc>
          <w:tcPr>
            <w:tcW w:w="1091" w:type="dxa"/>
            <w:shd w:val="clear" w:color="auto" w:fill="C6EFCE"/>
          </w:tcPr>
          <w:p w14:paraId="4F014BAF" w14:textId="46A993A3" w:rsidR="00D65CB4" w:rsidRPr="00BC4EE7" w:rsidRDefault="00572307">
            <w:pPr>
              <w:pStyle w:val="P68B1DB1-Normal12"/>
              <w:jc w:val="center"/>
              <w:rPr>
                <w:rFonts w:cs="Times New Roman"/>
                <w:noProof/>
              </w:rPr>
            </w:pPr>
            <w:r w:rsidRPr="00BC4EE7">
              <w:rPr>
                <w:rFonts w:cs="Times New Roman"/>
                <w:noProof/>
              </w:rPr>
              <w:t>M</w:t>
            </w:r>
          </w:p>
        </w:tc>
        <w:tc>
          <w:tcPr>
            <w:tcW w:w="1593" w:type="dxa"/>
            <w:shd w:val="clear" w:color="auto" w:fill="C6EFCE"/>
          </w:tcPr>
          <w:p w14:paraId="7FC16956" w14:textId="72919D0B" w:rsidR="00D65CB4" w:rsidRPr="00BC4EE7" w:rsidRDefault="00572307">
            <w:pPr>
              <w:pStyle w:val="P68B1DB1-Normal12"/>
              <w:rPr>
                <w:rFonts w:cs="Times New Roman"/>
                <w:noProof/>
              </w:rPr>
            </w:pPr>
            <w:r w:rsidRPr="00BC4EE7">
              <w:rPr>
                <w:rFonts w:cs="Times New Roman"/>
                <w:noProof/>
              </w:rPr>
              <w:t xml:space="preserve">Az érdekcsoportok tevékenységeinek átláthatóságáról és integritásáról szóló törvény </w:t>
            </w:r>
          </w:p>
        </w:tc>
        <w:tc>
          <w:tcPr>
            <w:tcW w:w="1409" w:type="dxa"/>
            <w:shd w:val="clear" w:color="auto" w:fill="C6EFCE"/>
          </w:tcPr>
          <w:p w14:paraId="39F3169B" w14:textId="57429E1D" w:rsidR="00D65CB4" w:rsidRPr="00BC4EE7" w:rsidRDefault="00572307">
            <w:pPr>
              <w:pStyle w:val="P68B1DB1-Normal12"/>
              <w:jc w:val="center"/>
              <w:rPr>
                <w:rFonts w:cs="Times New Roman"/>
                <w:noProof/>
              </w:rPr>
            </w:pPr>
            <w:r w:rsidRPr="00BC4EE7">
              <w:rPr>
                <w:rFonts w:cs="Times New Roman"/>
                <w:noProof/>
              </w:rPr>
              <w:t xml:space="preserve">A törvény hatálybalépését feltüntető rendelkezés és a nyilvántartás működését ellenőrző informatikai ellenőrzés  </w:t>
            </w:r>
          </w:p>
        </w:tc>
        <w:tc>
          <w:tcPr>
            <w:tcW w:w="1059" w:type="dxa"/>
            <w:shd w:val="clear" w:color="auto" w:fill="C6EFCE"/>
          </w:tcPr>
          <w:p w14:paraId="3DB716A5" w14:textId="77777777" w:rsidR="00D65CB4" w:rsidRPr="00BC4EE7" w:rsidRDefault="00D65CB4">
            <w:pPr>
              <w:jc w:val="right"/>
              <w:rPr>
                <w:rFonts w:ascii="Times New Roman" w:hAnsi="Times New Roman" w:cs="Times New Roman"/>
                <w:noProof/>
                <w:sz w:val="18"/>
              </w:rPr>
            </w:pPr>
          </w:p>
        </w:tc>
        <w:tc>
          <w:tcPr>
            <w:tcW w:w="971" w:type="dxa"/>
            <w:shd w:val="clear" w:color="auto" w:fill="C6EFCE"/>
          </w:tcPr>
          <w:p w14:paraId="33EC85B8" w14:textId="77777777" w:rsidR="00D65CB4" w:rsidRPr="00BC4EE7" w:rsidRDefault="00D65CB4">
            <w:pPr>
              <w:jc w:val="right"/>
              <w:rPr>
                <w:rFonts w:ascii="Times New Roman" w:hAnsi="Times New Roman" w:cs="Times New Roman"/>
                <w:noProof/>
                <w:sz w:val="18"/>
              </w:rPr>
            </w:pPr>
          </w:p>
        </w:tc>
        <w:tc>
          <w:tcPr>
            <w:tcW w:w="696" w:type="dxa"/>
            <w:shd w:val="clear" w:color="auto" w:fill="C6EFCE"/>
          </w:tcPr>
          <w:p w14:paraId="13D2AC27" w14:textId="77777777" w:rsidR="00D65CB4" w:rsidRPr="00BC4EE7" w:rsidRDefault="00D65CB4">
            <w:pPr>
              <w:jc w:val="right"/>
              <w:rPr>
                <w:rFonts w:ascii="Times New Roman" w:hAnsi="Times New Roman" w:cs="Times New Roman"/>
                <w:noProof/>
                <w:sz w:val="18"/>
              </w:rPr>
            </w:pPr>
          </w:p>
        </w:tc>
        <w:tc>
          <w:tcPr>
            <w:tcW w:w="558" w:type="dxa"/>
            <w:shd w:val="clear" w:color="auto" w:fill="C6EFCE"/>
          </w:tcPr>
          <w:p w14:paraId="14231283" w14:textId="31B8A6C3" w:rsidR="00D65CB4" w:rsidRPr="00BC4EE7" w:rsidRDefault="00572307">
            <w:pPr>
              <w:pStyle w:val="P68B1DB1-Normal12"/>
              <w:jc w:val="center"/>
              <w:rPr>
                <w:rFonts w:cs="Times New Roman"/>
                <w:noProof/>
              </w:rPr>
            </w:pPr>
            <w:r w:rsidRPr="00BC4EE7">
              <w:rPr>
                <w:rFonts w:cs="Times New Roman"/>
                <w:noProof/>
              </w:rPr>
              <w:t>Q4</w:t>
            </w:r>
          </w:p>
        </w:tc>
        <w:tc>
          <w:tcPr>
            <w:tcW w:w="806" w:type="dxa"/>
            <w:shd w:val="clear" w:color="auto" w:fill="C6EFCE"/>
          </w:tcPr>
          <w:p w14:paraId="2089E3DD" w14:textId="13E253B8" w:rsidR="00D65CB4" w:rsidRPr="00BC4EE7" w:rsidRDefault="00572307">
            <w:pPr>
              <w:pStyle w:val="P68B1DB1-Normal12"/>
              <w:jc w:val="center"/>
              <w:rPr>
                <w:rFonts w:cs="Times New Roman"/>
                <w:noProof/>
              </w:rPr>
            </w:pPr>
            <w:r w:rsidRPr="00BC4EE7">
              <w:rPr>
                <w:rFonts w:cs="Times New Roman"/>
                <w:noProof/>
              </w:rPr>
              <w:t>2024</w:t>
            </w:r>
          </w:p>
        </w:tc>
        <w:tc>
          <w:tcPr>
            <w:tcW w:w="3895" w:type="dxa"/>
            <w:shd w:val="clear" w:color="auto" w:fill="C6EFCE"/>
          </w:tcPr>
          <w:p w14:paraId="64F75892" w14:textId="6CB27B41" w:rsidR="00D65CB4" w:rsidRPr="00BC4EE7" w:rsidRDefault="00572307">
            <w:pPr>
              <w:pStyle w:val="P68B1DB1-Normal12"/>
              <w:rPr>
                <w:rFonts w:cs="Times New Roman"/>
                <w:noProof/>
              </w:rPr>
            </w:pPr>
            <w:r w:rsidRPr="00BC4EE7">
              <w:rPr>
                <w:rFonts w:cs="Times New Roman"/>
                <w:noProof/>
              </w:rPr>
              <w:t>A lobbisták (beleértve a nem kormányzati szervezeteket, agytrösztöket, a szakmai szövetségeket, a profitorientált és nonprofit egyesületeket, a szakszervezeteket, az üzleti szervezeteket és az ügyvédeket abban az esetben, ha céljuk a politika befolyásolása a jogi segítségnyújtás helyett) és az állami szektor közötti kapcsolatokat szabályozó törvény hatálybalépése. A törvény létrehozza az érdekcsoportok nyilvános és kötelező nyilvántartását, amelyet egy kapacitással és eszközökkel (emberi, pénzügyi és technikai erőforrások), valamint felügyeleti és szankcionálási hatáskörrel rendelkező független szerv ellenőriz. A törvény rendelkezik az új nyilvántartásnak az érdekcsoportok meglévő regionális nyilvántartásaival való összekapcsolásáról is. A nyilvántartásnak működőképesnek kell lennie, beleértve a fent említett összekapcsolhatóságot is. Informatikai ellenőrzést kell végezni a működőképesség ellenőrzése érdekében.</w:t>
            </w:r>
          </w:p>
        </w:tc>
      </w:tr>
      <w:tr w:rsidR="00D65CB4" w:rsidRPr="00BC4EE7" w14:paraId="3113AC41" w14:textId="77777777" w:rsidTr="00481CF8">
        <w:trPr>
          <w:trHeight w:val="309"/>
        </w:trPr>
        <w:tc>
          <w:tcPr>
            <w:tcW w:w="1195" w:type="dxa"/>
            <w:shd w:val="clear" w:color="auto" w:fill="C6EFCE"/>
          </w:tcPr>
          <w:p w14:paraId="17B4E54F" w14:textId="31F8DBEC" w:rsidR="00D65CB4" w:rsidRPr="00BC4EE7" w:rsidRDefault="00572307">
            <w:pPr>
              <w:pStyle w:val="P68B1DB1-Normal12"/>
              <w:jc w:val="center"/>
              <w:rPr>
                <w:rFonts w:cs="Times New Roman"/>
                <w:noProof/>
              </w:rPr>
            </w:pPr>
            <w:r w:rsidRPr="00BC4EE7">
              <w:rPr>
                <w:rFonts w:cs="Times New Roman"/>
                <w:noProof/>
              </w:rPr>
              <w:t>433</w:t>
            </w:r>
          </w:p>
        </w:tc>
        <w:tc>
          <w:tcPr>
            <w:tcW w:w="1323" w:type="dxa"/>
            <w:shd w:val="clear" w:color="auto" w:fill="C6EFCE"/>
          </w:tcPr>
          <w:p w14:paraId="11CDBA34" w14:textId="77777777" w:rsidR="00D65CB4" w:rsidRPr="00BC4EE7" w:rsidRDefault="00572307">
            <w:pPr>
              <w:pStyle w:val="P68B1DB1-Normal12"/>
              <w:jc w:val="center"/>
              <w:rPr>
                <w:rFonts w:cs="Times New Roman"/>
                <w:noProof/>
              </w:rPr>
            </w:pPr>
            <w:r w:rsidRPr="00BC4EE7">
              <w:rPr>
                <w:rFonts w:cs="Times New Roman"/>
                <w:noProof/>
              </w:rPr>
              <w:t>C11.R1</w:t>
            </w:r>
          </w:p>
        </w:tc>
        <w:tc>
          <w:tcPr>
            <w:tcW w:w="1091" w:type="dxa"/>
            <w:shd w:val="clear" w:color="auto" w:fill="C6EFCE"/>
          </w:tcPr>
          <w:p w14:paraId="1C6D20B4" w14:textId="52BFF1FB" w:rsidR="00D65CB4" w:rsidRPr="00BC4EE7" w:rsidRDefault="00572307">
            <w:pPr>
              <w:pStyle w:val="P68B1DB1-Normal12"/>
              <w:jc w:val="center"/>
              <w:rPr>
                <w:rFonts w:cs="Times New Roman"/>
                <w:noProof/>
              </w:rPr>
            </w:pPr>
            <w:r w:rsidRPr="00BC4EE7">
              <w:rPr>
                <w:rFonts w:cs="Times New Roman"/>
                <w:noProof/>
              </w:rPr>
              <w:t>M</w:t>
            </w:r>
          </w:p>
        </w:tc>
        <w:tc>
          <w:tcPr>
            <w:tcW w:w="1593" w:type="dxa"/>
            <w:shd w:val="clear" w:color="auto" w:fill="C6EFCE"/>
          </w:tcPr>
          <w:p w14:paraId="218C5BA1" w14:textId="797FAB63" w:rsidR="00D65CB4" w:rsidRPr="00BC4EE7" w:rsidRDefault="00572307">
            <w:pPr>
              <w:pStyle w:val="P68B1DB1-Normal12"/>
              <w:rPr>
                <w:rFonts w:cs="Times New Roman"/>
                <w:noProof/>
              </w:rPr>
            </w:pPr>
            <w:r w:rsidRPr="00BC4EE7">
              <w:rPr>
                <w:rFonts w:cs="Times New Roman"/>
                <w:noProof/>
              </w:rPr>
              <w:t>A nemzetbiztonsági keret aktualizálása</w:t>
            </w:r>
          </w:p>
        </w:tc>
        <w:tc>
          <w:tcPr>
            <w:tcW w:w="1409" w:type="dxa"/>
            <w:shd w:val="clear" w:color="auto" w:fill="C6EFCE"/>
          </w:tcPr>
          <w:p w14:paraId="20A3F8D8" w14:textId="5195A29C" w:rsidR="00D65CB4" w:rsidRPr="00BC4EE7" w:rsidRDefault="00572307">
            <w:pPr>
              <w:pStyle w:val="P68B1DB1-Normal12"/>
              <w:jc w:val="center"/>
              <w:rPr>
                <w:rFonts w:cs="Times New Roman"/>
                <w:noProof/>
              </w:rPr>
            </w:pPr>
            <w:r w:rsidRPr="00BC4EE7">
              <w:rPr>
                <w:rFonts w:cs="Times New Roman"/>
                <w:noProof/>
              </w:rPr>
              <w:t>A királyi rendelet hatálybalépését feltüntető rendelkezés</w:t>
            </w:r>
          </w:p>
        </w:tc>
        <w:tc>
          <w:tcPr>
            <w:tcW w:w="1059" w:type="dxa"/>
            <w:shd w:val="clear" w:color="auto" w:fill="C6EFCE"/>
          </w:tcPr>
          <w:p w14:paraId="4D8E49A3" w14:textId="748C2B36" w:rsidR="00D65CB4" w:rsidRPr="00BC4EE7" w:rsidRDefault="00D65CB4">
            <w:pPr>
              <w:jc w:val="right"/>
              <w:rPr>
                <w:rFonts w:ascii="Times New Roman" w:hAnsi="Times New Roman" w:cs="Times New Roman"/>
                <w:noProof/>
                <w:sz w:val="18"/>
              </w:rPr>
            </w:pPr>
          </w:p>
        </w:tc>
        <w:tc>
          <w:tcPr>
            <w:tcW w:w="971" w:type="dxa"/>
            <w:shd w:val="clear" w:color="auto" w:fill="C6EFCE"/>
          </w:tcPr>
          <w:p w14:paraId="66ABE3E1" w14:textId="4062B014" w:rsidR="00D65CB4" w:rsidRPr="00BC4EE7" w:rsidRDefault="00D65CB4">
            <w:pPr>
              <w:jc w:val="right"/>
              <w:rPr>
                <w:rFonts w:ascii="Times New Roman" w:hAnsi="Times New Roman" w:cs="Times New Roman"/>
                <w:noProof/>
                <w:sz w:val="18"/>
              </w:rPr>
            </w:pPr>
          </w:p>
        </w:tc>
        <w:tc>
          <w:tcPr>
            <w:tcW w:w="696" w:type="dxa"/>
            <w:shd w:val="clear" w:color="auto" w:fill="C6EFCE"/>
          </w:tcPr>
          <w:p w14:paraId="6B521DA1" w14:textId="2509B3AD" w:rsidR="00D65CB4" w:rsidRPr="00BC4EE7" w:rsidRDefault="00D65CB4">
            <w:pPr>
              <w:jc w:val="right"/>
              <w:rPr>
                <w:rFonts w:ascii="Times New Roman" w:hAnsi="Times New Roman" w:cs="Times New Roman"/>
                <w:noProof/>
                <w:sz w:val="18"/>
              </w:rPr>
            </w:pPr>
          </w:p>
        </w:tc>
        <w:tc>
          <w:tcPr>
            <w:tcW w:w="558" w:type="dxa"/>
            <w:shd w:val="clear" w:color="auto" w:fill="C6EFCE"/>
          </w:tcPr>
          <w:p w14:paraId="4847A319" w14:textId="5815FB05" w:rsidR="00D65CB4" w:rsidRPr="00BC4EE7" w:rsidRDefault="00572307">
            <w:pPr>
              <w:pStyle w:val="P68B1DB1-Normal12"/>
              <w:jc w:val="center"/>
              <w:rPr>
                <w:rFonts w:cs="Times New Roman"/>
                <w:noProof/>
              </w:rPr>
            </w:pPr>
            <w:r w:rsidRPr="00BC4EE7">
              <w:rPr>
                <w:rFonts w:cs="Times New Roman"/>
                <w:noProof/>
              </w:rPr>
              <w:t>Q2</w:t>
            </w:r>
          </w:p>
        </w:tc>
        <w:tc>
          <w:tcPr>
            <w:tcW w:w="806" w:type="dxa"/>
            <w:shd w:val="clear" w:color="auto" w:fill="C6EFCE"/>
          </w:tcPr>
          <w:p w14:paraId="7F48C86D" w14:textId="5E4BD59E" w:rsidR="00D65CB4" w:rsidRPr="00BC4EE7" w:rsidRDefault="00572307">
            <w:pPr>
              <w:pStyle w:val="P68B1DB1-Normal12"/>
              <w:jc w:val="center"/>
              <w:rPr>
                <w:rFonts w:cs="Times New Roman"/>
                <w:noProof/>
              </w:rPr>
            </w:pPr>
            <w:r w:rsidRPr="00BC4EE7">
              <w:rPr>
                <w:rFonts w:cs="Times New Roman"/>
                <w:noProof/>
              </w:rPr>
              <w:t>2023</w:t>
            </w:r>
          </w:p>
        </w:tc>
        <w:tc>
          <w:tcPr>
            <w:tcW w:w="3895" w:type="dxa"/>
            <w:shd w:val="clear" w:color="auto" w:fill="C6EFCE"/>
          </w:tcPr>
          <w:p w14:paraId="263DEF57" w14:textId="5B27F8DE" w:rsidR="00D65CB4" w:rsidRPr="00BC4EE7" w:rsidRDefault="00572307">
            <w:pPr>
              <w:pStyle w:val="P68B1DB1-Normal12"/>
              <w:rPr>
                <w:rFonts w:cs="Times New Roman"/>
                <w:noProof/>
              </w:rPr>
            </w:pPr>
            <w:r w:rsidRPr="00BC4EE7">
              <w:rPr>
                <w:rFonts w:cs="Times New Roman"/>
                <w:noProof/>
              </w:rPr>
              <w:t xml:space="preserve">A nemzetbiztonsági keretet naprakésszé tevő királyi rendelet hatálybalépése. A királyi rendelet: a nemzetbiztonsági keret követelményeinek hozzáigazítása bizonyos rendszercsoportok vagy -típusok valóságához, bevezetve a „speciális megfelelési profil” fogalmát; a nemzeti biztonsági keret összehangolása a szabályozási kerettel és a stratégiai környezettel a digitális közigazgatás biztonságának garantálása érdekében, a 2019. évi nemzeti kiberbiztonsági stratégiával és a nemzeti kiberbiztonsági tervvel összhangban; valamint iii. elősegíti a kiberbiztonsági tendenciákra való jobb reagálást, csökkenti a sebezhetőségeket és előmozdítja a folyamatos éberséget az alapelvek, a minimumkövetelmények és a biztonsági intézkedések felülvizsgálatával. </w:t>
            </w:r>
          </w:p>
        </w:tc>
      </w:tr>
      <w:tr w:rsidR="00D65CB4" w:rsidRPr="00BC4EE7" w14:paraId="41EB67C2" w14:textId="77777777" w:rsidTr="00481CF8">
        <w:trPr>
          <w:trHeight w:val="309"/>
        </w:trPr>
        <w:tc>
          <w:tcPr>
            <w:tcW w:w="1195" w:type="dxa"/>
            <w:shd w:val="clear" w:color="auto" w:fill="C6EFCE"/>
          </w:tcPr>
          <w:p w14:paraId="5AC416AC" w14:textId="77777777" w:rsidR="00D65CB4" w:rsidRPr="00BC4EE7" w:rsidRDefault="00572307">
            <w:pPr>
              <w:pStyle w:val="P68B1DB1-Normal12"/>
              <w:jc w:val="center"/>
              <w:rPr>
                <w:rFonts w:cs="Times New Roman"/>
                <w:noProof/>
              </w:rPr>
            </w:pPr>
            <w:r w:rsidRPr="00BC4EE7">
              <w:rPr>
                <w:rFonts w:cs="Times New Roman"/>
                <w:noProof/>
              </w:rPr>
              <w:t>151</w:t>
            </w:r>
          </w:p>
        </w:tc>
        <w:tc>
          <w:tcPr>
            <w:tcW w:w="1323" w:type="dxa"/>
            <w:shd w:val="clear" w:color="auto" w:fill="C6EFCE"/>
          </w:tcPr>
          <w:p w14:paraId="2FA6B541" w14:textId="77777777" w:rsidR="00D65CB4" w:rsidRPr="00BC4EE7" w:rsidRDefault="00572307">
            <w:pPr>
              <w:pStyle w:val="P68B1DB1-Normal12"/>
              <w:jc w:val="center"/>
              <w:rPr>
                <w:rFonts w:cs="Times New Roman"/>
                <w:noProof/>
              </w:rPr>
            </w:pPr>
            <w:r w:rsidRPr="00BC4EE7">
              <w:rPr>
                <w:rFonts w:cs="Times New Roman"/>
                <w:noProof/>
              </w:rPr>
              <w:t>C11.R2</w:t>
            </w:r>
          </w:p>
        </w:tc>
        <w:tc>
          <w:tcPr>
            <w:tcW w:w="1091" w:type="dxa"/>
            <w:shd w:val="clear" w:color="auto" w:fill="C6EFCE"/>
          </w:tcPr>
          <w:p w14:paraId="29844041" w14:textId="77777777" w:rsidR="00D65CB4" w:rsidRPr="00BC4EE7" w:rsidRDefault="00572307">
            <w:pPr>
              <w:pStyle w:val="P68B1DB1-Normal12"/>
              <w:jc w:val="center"/>
              <w:rPr>
                <w:rFonts w:cs="Times New Roman"/>
                <w:noProof/>
              </w:rPr>
            </w:pPr>
            <w:r w:rsidRPr="00BC4EE7">
              <w:rPr>
                <w:rFonts w:cs="Times New Roman"/>
                <w:noProof/>
              </w:rPr>
              <w:t>M</w:t>
            </w:r>
          </w:p>
        </w:tc>
        <w:tc>
          <w:tcPr>
            <w:tcW w:w="1593" w:type="dxa"/>
            <w:shd w:val="clear" w:color="auto" w:fill="C6EFCE"/>
          </w:tcPr>
          <w:p w14:paraId="51A1B595" w14:textId="77777777" w:rsidR="00D65CB4" w:rsidRPr="00BC4EE7" w:rsidRDefault="00572307">
            <w:pPr>
              <w:pStyle w:val="P68B1DB1-Normal12"/>
              <w:rPr>
                <w:rFonts w:cs="Times New Roman"/>
                <w:noProof/>
              </w:rPr>
            </w:pPr>
            <w:r w:rsidRPr="00BC4EE7">
              <w:rPr>
                <w:rFonts w:cs="Times New Roman"/>
                <w:noProof/>
              </w:rPr>
              <w:t>Az igazságszolgáltatás területére vonatkozó eljárási és szervezeti intézkedésekről szóló 3/2020. sz. törvény hatálybalépése</w:t>
            </w:r>
          </w:p>
        </w:tc>
        <w:tc>
          <w:tcPr>
            <w:tcW w:w="1409" w:type="dxa"/>
            <w:shd w:val="clear" w:color="auto" w:fill="C6EFCE"/>
          </w:tcPr>
          <w:p w14:paraId="43C00945" w14:textId="77777777" w:rsidR="00D65CB4" w:rsidRPr="00BC4EE7" w:rsidRDefault="00572307">
            <w:pPr>
              <w:pStyle w:val="P68B1DB1-Normal12"/>
              <w:jc w:val="center"/>
              <w:rPr>
                <w:rFonts w:cs="Times New Roman"/>
                <w:noProof/>
              </w:rPr>
            </w:pPr>
            <w:r w:rsidRPr="00BC4EE7">
              <w:rPr>
                <w:rFonts w:cs="Times New Roman"/>
                <w:noProof/>
              </w:rPr>
              <w:t>A jogszabály hatálybalépésére vonatkozó rendelkezés a jogszabályban</w:t>
            </w:r>
          </w:p>
        </w:tc>
        <w:tc>
          <w:tcPr>
            <w:tcW w:w="1059" w:type="dxa"/>
            <w:shd w:val="clear" w:color="auto" w:fill="C6EFCE"/>
          </w:tcPr>
          <w:p w14:paraId="3930645F"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971" w:type="dxa"/>
            <w:shd w:val="clear" w:color="auto" w:fill="C6EFCE"/>
          </w:tcPr>
          <w:p w14:paraId="10877538"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696" w:type="dxa"/>
            <w:shd w:val="clear" w:color="auto" w:fill="C6EFCE"/>
          </w:tcPr>
          <w:p w14:paraId="37A89D9E"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558" w:type="dxa"/>
            <w:shd w:val="clear" w:color="auto" w:fill="C6EFCE"/>
          </w:tcPr>
          <w:p w14:paraId="5AB379AF" w14:textId="77777777" w:rsidR="00D65CB4" w:rsidRPr="00BC4EE7" w:rsidRDefault="00572307">
            <w:pPr>
              <w:pStyle w:val="P68B1DB1-Normal12"/>
              <w:jc w:val="center"/>
              <w:rPr>
                <w:rFonts w:cs="Times New Roman"/>
                <w:noProof/>
              </w:rPr>
            </w:pPr>
            <w:r w:rsidRPr="00BC4EE7">
              <w:rPr>
                <w:rFonts w:cs="Times New Roman"/>
                <w:noProof/>
              </w:rPr>
              <w:t>Q3</w:t>
            </w:r>
          </w:p>
        </w:tc>
        <w:tc>
          <w:tcPr>
            <w:tcW w:w="806" w:type="dxa"/>
            <w:shd w:val="clear" w:color="auto" w:fill="C6EFCE"/>
          </w:tcPr>
          <w:p w14:paraId="32500CC3" w14:textId="77777777" w:rsidR="00D65CB4" w:rsidRPr="00BC4EE7" w:rsidRDefault="00572307">
            <w:pPr>
              <w:pStyle w:val="P68B1DB1-Normal12"/>
              <w:jc w:val="center"/>
              <w:rPr>
                <w:rFonts w:cs="Times New Roman"/>
                <w:noProof/>
              </w:rPr>
            </w:pPr>
            <w:r w:rsidRPr="00BC4EE7">
              <w:rPr>
                <w:rFonts w:cs="Times New Roman"/>
                <w:noProof/>
              </w:rPr>
              <w:t>2020</w:t>
            </w:r>
          </w:p>
        </w:tc>
        <w:tc>
          <w:tcPr>
            <w:tcW w:w="3895" w:type="dxa"/>
            <w:shd w:val="clear" w:color="auto" w:fill="C6EFCE"/>
          </w:tcPr>
          <w:p w14:paraId="440654AE" w14:textId="77777777" w:rsidR="00D65CB4" w:rsidRPr="00BC4EE7" w:rsidRDefault="00572307">
            <w:pPr>
              <w:pStyle w:val="P68B1DB1-Normal12"/>
              <w:rPr>
                <w:rFonts w:cs="Times New Roman"/>
                <w:noProof/>
              </w:rPr>
            </w:pPr>
            <w:r w:rsidRPr="00BC4EE7">
              <w:rPr>
                <w:rFonts w:cs="Times New Roman"/>
                <w:noProof/>
              </w:rPr>
              <w:t xml:space="preserve">A Covid19 kezelésére irányuló eljárási és szervezeti intézkedésekről szóló, szeptember 18-i 3/2020. sz. törvény hatálybalépése az igazságszolgáltatás területén. </w:t>
            </w:r>
          </w:p>
        </w:tc>
      </w:tr>
      <w:tr w:rsidR="00D65CB4" w:rsidRPr="00BC4EE7" w14:paraId="5B6AD35D" w14:textId="77777777" w:rsidTr="00481CF8">
        <w:trPr>
          <w:trHeight w:val="309"/>
        </w:trPr>
        <w:tc>
          <w:tcPr>
            <w:tcW w:w="1195" w:type="dxa"/>
            <w:shd w:val="clear" w:color="auto" w:fill="C6EFCE"/>
          </w:tcPr>
          <w:p w14:paraId="7EF8616D" w14:textId="77777777" w:rsidR="00D65CB4" w:rsidRPr="00BC4EE7" w:rsidRDefault="00572307">
            <w:pPr>
              <w:pStyle w:val="P68B1DB1-Normal12"/>
              <w:jc w:val="center"/>
              <w:rPr>
                <w:rFonts w:cs="Times New Roman"/>
                <w:noProof/>
              </w:rPr>
            </w:pPr>
            <w:r w:rsidRPr="00BC4EE7">
              <w:rPr>
                <w:rFonts w:cs="Times New Roman"/>
                <w:noProof/>
              </w:rPr>
              <w:t>152</w:t>
            </w:r>
          </w:p>
        </w:tc>
        <w:tc>
          <w:tcPr>
            <w:tcW w:w="1323" w:type="dxa"/>
            <w:shd w:val="clear" w:color="auto" w:fill="C6EFCE"/>
          </w:tcPr>
          <w:p w14:paraId="19BE9EA4" w14:textId="77777777" w:rsidR="00D65CB4" w:rsidRPr="00BC4EE7" w:rsidRDefault="00572307">
            <w:pPr>
              <w:pStyle w:val="P68B1DB1-Normal12"/>
              <w:jc w:val="center"/>
              <w:rPr>
                <w:rFonts w:cs="Times New Roman"/>
                <w:noProof/>
              </w:rPr>
            </w:pPr>
            <w:r w:rsidRPr="00BC4EE7">
              <w:rPr>
                <w:rFonts w:cs="Times New Roman"/>
                <w:noProof/>
              </w:rPr>
              <w:t>C11.R2</w:t>
            </w:r>
          </w:p>
        </w:tc>
        <w:tc>
          <w:tcPr>
            <w:tcW w:w="1091" w:type="dxa"/>
            <w:shd w:val="clear" w:color="auto" w:fill="C6EFCE"/>
          </w:tcPr>
          <w:p w14:paraId="40D8BFC9" w14:textId="77777777" w:rsidR="00D65CB4" w:rsidRPr="00BC4EE7" w:rsidRDefault="00572307">
            <w:pPr>
              <w:pStyle w:val="P68B1DB1-Normal12"/>
              <w:jc w:val="center"/>
              <w:rPr>
                <w:rFonts w:cs="Times New Roman"/>
                <w:noProof/>
              </w:rPr>
            </w:pPr>
            <w:r w:rsidRPr="00BC4EE7">
              <w:rPr>
                <w:rFonts w:cs="Times New Roman"/>
                <w:noProof/>
              </w:rPr>
              <w:t>M</w:t>
            </w:r>
          </w:p>
        </w:tc>
        <w:tc>
          <w:tcPr>
            <w:tcW w:w="1593" w:type="dxa"/>
            <w:shd w:val="clear" w:color="auto" w:fill="C6EFCE"/>
          </w:tcPr>
          <w:p w14:paraId="5642636D" w14:textId="334504AA" w:rsidR="00D65CB4" w:rsidRPr="00BC4EE7" w:rsidRDefault="00572307">
            <w:pPr>
              <w:pStyle w:val="P68B1DB1-Normal12"/>
              <w:rPr>
                <w:rFonts w:cs="Times New Roman"/>
                <w:noProof/>
              </w:rPr>
            </w:pPr>
            <w:r w:rsidRPr="00BC4EE7">
              <w:rPr>
                <w:rFonts w:cs="Times New Roman"/>
                <w:noProof/>
              </w:rPr>
              <w:t>A bírósági eljárások hatékonyságát javító királyi törvényerejű rendelet és a digitális hatékonyságról szóló királyi törvényerejű rendelet hatálybalépése</w:t>
            </w:r>
          </w:p>
        </w:tc>
        <w:tc>
          <w:tcPr>
            <w:tcW w:w="1409" w:type="dxa"/>
            <w:shd w:val="clear" w:color="auto" w:fill="C6EFCE"/>
          </w:tcPr>
          <w:p w14:paraId="4BED2B88" w14:textId="79D0C2CC" w:rsidR="00D65CB4" w:rsidRPr="00BC4EE7" w:rsidRDefault="00572307">
            <w:pPr>
              <w:pStyle w:val="P68B1DB1-Normal12"/>
              <w:jc w:val="center"/>
              <w:rPr>
                <w:rFonts w:cs="Times New Roman"/>
                <w:noProof/>
              </w:rPr>
            </w:pPr>
            <w:r w:rsidRPr="00BC4EE7">
              <w:rPr>
                <w:rFonts w:cs="Times New Roman"/>
                <w:noProof/>
              </w:rPr>
              <w:t xml:space="preserve">A törvény(ek) hatálybalépését feltüntető rendelkezés(ek) </w:t>
            </w:r>
          </w:p>
        </w:tc>
        <w:tc>
          <w:tcPr>
            <w:tcW w:w="1059" w:type="dxa"/>
            <w:shd w:val="clear" w:color="auto" w:fill="C6EFCE"/>
          </w:tcPr>
          <w:p w14:paraId="64ABDF90"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971" w:type="dxa"/>
            <w:shd w:val="clear" w:color="auto" w:fill="C6EFCE"/>
          </w:tcPr>
          <w:p w14:paraId="30AC8B61"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696" w:type="dxa"/>
            <w:shd w:val="clear" w:color="auto" w:fill="C6EFCE"/>
          </w:tcPr>
          <w:p w14:paraId="666BC993"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558" w:type="dxa"/>
            <w:shd w:val="clear" w:color="auto" w:fill="C6EFCE"/>
          </w:tcPr>
          <w:p w14:paraId="5020F53A" w14:textId="77777777" w:rsidR="00D65CB4" w:rsidRPr="00BC4EE7" w:rsidRDefault="00572307">
            <w:pPr>
              <w:pStyle w:val="P68B1DB1-Normal12"/>
              <w:jc w:val="center"/>
              <w:rPr>
                <w:rFonts w:cs="Times New Roman"/>
                <w:noProof/>
              </w:rPr>
            </w:pPr>
            <w:r w:rsidRPr="00BC4EE7">
              <w:rPr>
                <w:rFonts w:cs="Times New Roman"/>
                <w:noProof/>
              </w:rPr>
              <w:t>Q4</w:t>
            </w:r>
          </w:p>
        </w:tc>
        <w:tc>
          <w:tcPr>
            <w:tcW w:w="806" w:type="dxa"/>
            <w:shd w:val="clear" w:color="auto" w:fill="C6EFCE"/>
          </w:tcPr>
          <w:p w14:paraId="1B6C9055" w14:textId="77777777" w:rsidR="00D65CB4" w:rsidRPr="00BC4EE7" w:rsidRDefault="00572307">
            <w:pPr>
              <w:pStyle w:val="P68B1DB1-Normal12"/>
              <w:jc w:val="center"/>
              <w:rPr>
                <w:rFonts w:cs="Times New Roman"/>
                <w:noProof/>
              </w:rPr>
            </w:pPr>
            <w:r w:rsidRPr="00BC4EE7">
              <w:rPr>
                <w:rFonts w:cs="Times New Roman"/>
                <w:noProof/>
              </w:rPr>
              <w:t>2022</w:t>
            </w:r>
          </w:p>
        </w:tc>
        <w:tc>
          <w:tcPr>
            <w:tcW w:w="3895" w:type="dxa"/>
            <w:shd w:val="clear" w:color="auto" w:fill="C6EFCE"/>
          </w:tcPr>
          <w:p w14:paraId="2EE9D3B0" w14:textId="5E44A524" w:rsidR="00D65CB4" w:rsidRPr="00BC4EE7" w:rsidRDefault="00572307">
            <w:pPr>
              <w:pStyle w:val="P68B1DB1-Normal12"/>
              <w:rPr>
                <w:rFonts w:cs="Times New Roman"/>
                <w:noProof/>
              </w:rPr>
            </w:pPr>
            <w:r w:rsidRPr="00BC4EE7">
              <w:rPr>
                <w:rFonts w:cs="Times New Roman"/>
                <w:noProof/>
              </w:rPr>
              <w:t>A nemzeti igazságszolgáltatási rendszer eljárásainak hatékonyságát javító királyi törvényerejű rendelet és a digitális hatékonyságról szóló királyi törvényerejű rendelet hatálybalépése, amely:  a technológia intenzívebb alkalmazása a hatékony és magas színvonalú közszolgáltatás biztosítása érdekében; az eljárási jogszabályok reformja a közigazgatási és szociális joghatóságok eljárásainak felgyorsítása érdekében; és ii. módosítsa a fellebbezési eljárásokat („</w:t>
            </w:r>
            <w:r w:rsidRPr="00BC4EE7">
              <w:rPr>
                <w:rFonts w:cs="Times New Roman"/>
                <w:i/>
                <w:noProof/>
              </w:rPr>
              <w:t>procesos de casación”</w:t>
            </w:r>
            <w:r w:rsidRPr="00BC4EE7">
              <w:rPr>
                <w:rFonts w:cs="Times New Roman"/>
                <w:noProof/>
              </w:rPr>
              <w:t xml:space="preserve">) az indokolatlan késedelmek elkerülése érdekében. </w:t>
            </w:r>
          </w:p>
        </w:tc>
      </w:tr>
      <w:tr w:rsidR="00D65CB4" w:rsidRPr="00BC4EE7" w14:paraId="1844C472" w14:textId="77777777" w:rsidTr="00481CF8">
        <w:trPr>
          <w:trHeight w:val="309"/>
        </w:trPr>
        <w:tc>
          <w:tcPr>
            <w:tcW w:w="1195" w:type="dxa"/>
            <w:shd w:val="clear" w:color="auto" w:fill="C6EFCE"/>
          </w:tcPr>
          <w:p w14:paraId="163845D3" w14:textId="201CF894" w:rsidR="00D65CB4" w:rsidRPr="00BC4EE7" w:rsidRDefault="00572307">
            <w:pPr>
              <w:pStyle w:val="P68B1DB1-Normal12"/>
              <w:jc w:val="center"/>
              <w:rPr>
                <w:rFonts w:cs="Times New Roman"/>
                <w:noProof/>
              </w:rPr>
            </w:pPr>
            <w:r w:rsidRPr="00BC4EE7">
              <w:rPr>
                <w:rFonts w:cs="Times New Roman"/>
                <w:noProof/>
              </w:rPr>
              <w:t>434</w:t>
            </w:r>
          </w:p>
        </w:tc>
        <w:tc>
          <w:tcPr>
            <w:tcW w:w="1323" w:type="dxa"/>
            <w:shd w:val="clear" w:color="auto" w:fill="C6EFCE"/>
          </w:tcPr>
          <w:p w14:paraId="07DB7A96" w14:textId="12791677" w:rsidR="00D65CB4" w:rsidRPr="00BC4EE7" w:rsidRDefault="00572307">
            <w:pPr>
              <w:pStyle w:val="P68B1DB1-Normal12"/>
              <w:jc w:val="center"/>
              <w:rPr>
                <w:rFonts w:cs="Times New Roman"/>
                <w:noProof/>
              </w:rPr>
            </w:pPr>
            <w:r w:rsidRPr="00BC4EE7">
              <w:rPr>
                <w:rFonts w:cs="Times New Roman"/>
                <w:noProof/>
              </w:rPr>
              <w:t>C11.R2</w:t>
            </w:r>
          </w:p>
        </w:tc>
        <w:tc>
          <w:tcPr>
            <w:tcW w:w="1091" w:type="dxa"/>
            <w:shd w:val="clear" w:color="auto" w:fill="C6EFCE"/>
          </w:tcPr>
          <w:p w14:paraId="09FA722F" w14:textId="4A5F9EC2" w:rsidR="00D65CB4" w:rsidRPr="00BC4EE7" w:rsidRDefault="00572307">
            <w:pPr>
              <w:pStyle w:val="P68B1DB1-Normal12"/>
              <w:jc w:val="center"/>
              <w:rPr>
                <w:rFonts w:cs="Times New Roman"/>
                <w:noProof/>
              </w:rPr>
            </w:pPr>
            <w:r w:rsidRPr="00BC4EE7">
              <w:rPr>
                <w:rFonts w:cs="Times New Roman"/>
                <w:noProof/>
              </w:rPr>
              <w:t>M</w:t>
            </w:r>
          </w:p>
        </w:tc>
        <w:tc>
          <w:tcPr>
            <w:tcW w:w="1593" w:type="dxa"/>
            <w:shd w:val="clear" w:color="auto" w:fill="C6EFCE"/>
          </w:tcPr>
          <w:p w14:paraId="67FB368F" w14:textId="515A55E9" w:rsidR="00D65CB4" w:rsidRPr="00BC4EE7" w:rsidRDefault="00572307">
            <w:pPr>
              <w:pStyle w:val="P68B1DB1-Normal12"/>
              <w:rPr>
                <w:rFonts w:cs="Times New Roman"/>
                <w:noProof/>
              </w:rPr>
            </w:pPr>
            <w:r w:rsidRPr="00BC4EE7">
              <w:rPr>
                <w:rFonts w:cs="Times New Roman"/>
                <w:noProof/>
              </w:rPr>
              <w:t>A szervezeti és eljárási hatékonyságról szóló törvény hatálybalépése</w:t>
            </w:r>
          </w:p>
        </w:tc>
        <w:tc>
          <w:tcPr>
            <w:tcW w:w="1409" w:type="dxa"/>
            <w:shd w:val="clear" w:color="auto" w:fill="C6EFCE"/>
          </w:tcPr>
          <w:p w14:paraId="2B6902B6" w14:textId="119EB8E5" w:rsidR="00D65CB4" w:rsidRPr="00BC4EE7" w:rsidRDefault="00572307">
            <w:pPr>
              <w:pStyle w:val="P68B1DB1-Normal12"/>
              <w:jc w:val="center"/>
              <w:rPr>
                <w:rFonts w:cs="Times New Roman"/>
                <w:noProof/>
              </w:rPr>
            </w:pPr>
            <w:r w:rsidRPr="00BC4EE7">
              <w:rPr>
                <w:rFonts w:cs="Times New Roman"/>
                <w:noProof/>
              </w:rPr>
              <w:t>A hatálybalépést feltüntető törvényi rendelkezés</w:t>
            </w:r>
          </w:p>
        </w:tc>
        <w:tc>
          <w:tcPr>
            <w:tcW w:w="1059" w:type="dxa"/>
            <w:shd w:val="clear" w:color="auto" w:fill="C6EFCE"/>
          </w:tcPr>
          <w:p w14:paraId="7699D622" w14:textId="77777777" w:rsidR="00D65CB4" w:rsidRPr="00BC4EE7" w:rsidRDefault="00D65CB4">
            <w:pPr>
              <w:jc w:val="right"/>
              <w:rPr>
                <w:rFonts w:ascii="Times New Roman" w:hAnsi="Times New Roman" w:cs="Times New Roman"/>
                <w:noProof/>
                <w:sz w:val="18"/>
              </w:rPr>
            </w:pPr>
          </w:p>
        </w:tc>
        <w:tc>
          <w:tcPr>
            <w:tcW w:w="971" w:type="dxa"/>
            <w:shd w:val="clear" w:color="auto" w:fill="C6EFCE"/>
          </w:tcPr>
          <w:p w14:paraId="06B8C446" w14:textId="77777777" w:rsidR="00D65CB4" w:rsidRPr="00BC4EE7" w:rsidRDefault="00D65CB4">
            <w:pPr>
              <w:jc w:val="right"/>
              <w:rPr>
                <w:rFonts w:ascii="Times New Roman" w:hAnsi="Times New Roman" w:cs="Times New Roman"/>
                <w:noProof/>
                <w:sz w:val="18"/>
              </w:rPr>
            </w:pPr>
          </w:p>
        </w:tc>
        <w:tc>
          <w:tcPr>
            <w:tcW w:w="696" w:type="dxa"/>
            <w:shd w:val="clear" w:color="auto" w:fill="C6EFCE"/>
          </w:tcPr>
          <w:p w14:paraId="794E76E3" w14:textId="77777777" w:rsidR="00D65CB4" w:rsidRPr="00BC4EE7" w:rsidRDefault="00D65CB4">
            <w:pPr>
              <w:jc w:val="right"/>
              <w:rPr>
                <w:rFonts w:ascii="Times New Roman" w:hAnsi="Times New Roman" w:cs="Times New Roman"/>
                <w:noProof/>
                <w:sz w:val="18"/>
              </w:rPr>
            </w:pPr>
          </w:p>
        </w:tc>
        <w:tc>
          <w:tcPr>
            <w:tcW w:w="558" w:type="dxa"/>
            <w:shd w:val="clear" w:color="auto" w:fill="C6EFCE"/>
          </w:tcPr>
          <w:p w14:paraId="5233CAEA" w14:textId="1127D63A" w:rsidR="00D65CB4" w:rsidRPr="00BC4EE7" w:rsidRDefault="00572307">
            <w:pPr>
              <w:pStyle w:val="P68B1DB1-Normal12"/>
              <w:jc w:val="center"/>
              <w:rPr>
                <w:rFonts w:cs="Times New Roman"/>
                <w:noProof/>
              </w:rPr>
            </w:pPr>
            <w:r w:rsidRPr="00BC4EE7">
              <w:rPr>
                <w:rFonts w:cs="Times New Roman"/>
                <w:noProof/>
              </w:rPr>
              <w:t>Q4</w:t>
            </w:r>
          </w:p>
        </w:tc>
        <w:tc>
          <w:tcPr>
            <w:tcW w:w="806" w:type="dxa"/>
            <w:shd w:val="clear" w:color="auto" w:fill="C6EFCE"/>
          </w:tcPr>
          <w:p w14:paraId="27FC54F1" w14:textId="405228EA" w:rsidR="00D65CB4" w:rsidRPr="00BC4EE7" w:rsidRDefault="00572307">
            <w:pPr>
              <w:pStyle w:val="P68B1DB1-Normal12"/>
              <w:jc w:val="center"/>
              <w:rPr>
                <w:rFonts w:cs="Times New Roman"/>
                <w:noProof/>
              </w:rPr>
            </w:pPr>
            <w:r w:rsidRPr="00BC4EE7">
              <w:rPr>
                <w:rFonts w:cs="Times New Roman"/>
                <w:noProof/>
              </w:rPr>
              <w:t>2024</w:t>
            </w:r>
          </w:p>
        </w:tc>
        <w:tc>
          <w:tcPr>
            <w:tcW w:w="3895" w:type="dxa"/>
            <w:shd w:val="clear" w:color="auto" w:fill="C6EFCE"/>
          </w:tcPr>
          <w:p w14:paraId="1653648A" w14:textId="2AF87B8A" w:rsidR="00D65CB4" w:rsidRPr="00BC4EE7" w:rsidRDefault="00572307">
            <w:pPr>
              <w:pStyle w:val="P68B1DB1-Normal12"/>
              <w:rPr>
                <w:rFonts w:cs="Times New Roman"/>
                <w:noProof/>
              </w:rPr>
            </w:pPr>
            <w:r w:rsidRPr="00BC4EE7">
              <w:rPr>
                <w:rFonts w:cs="Times New Roman"/>
                <w:noProof/>
              </w:rPr>
              <w:t>A szervezeti és eljárási hatékonyságról szóló törvény hatálybalépése az igazságügyi térkép felépítésének az intézkedés leírásával összhangban történő módosítása, valamint az igazságszolgáltatási rendszer eljárási hatékonyságának további javítása érdekében az alábbiak révén: i. az eljárási jogszabályok reformja a 152. mérföldkő hatálya alá nem tartozó joghatóságokban az eljárások felgyorsítása érdekében, ii. alternatív vitarendezési eszközök bevezetése; az eljárási törvények reformja, amely a jogvitákat még a bíróságokhoz való fordulás előtt rendezi; a hatékonyabb irányítás és a polgárok és a vállalkozások igényeire való gyorsabb reagálás további megvalósítása; és v. összességében egy agilisabb, hatékonyabb, polgárbarátabb, fenntarthatóbb és átláthatóbb igazságszolgáltatás megvalósítása.</w:t>
            </w:r>
          </w:p>
        </w:tc>
      </w:tr>
      <w:tr w:rsidR="00D65CB4" w:rsidRPr="00BC4EE7" w14:paraId="0991F572" w14:textId="77777777" w:rsidTr="00481CF8">
        <w:trPr>
          <w:trHeight w:val="309"/>
        </w:trPr>
        <w:tc>
          <w:tcPr>
            <w:tcW w:w="1195" w:type="dxa"/>
            <w:shd w:val="clear" w:color="auto" w:fill="C6EFCE"/>
          </w:tcPr>
          <w:p w14:paraId="6AC988E3" w14:textId="19A83181" w:rsidR="00D65CB4" w:rsidRPr="00BC4EE7" w:rsidRDefault="00572307">
            <w:pPr>
              <w:pStyle w:val="P68B1DB1-Normal12"/>
              <w:jc w:val="center"/>
              <w:rPr>
                <w:rFonts w:cs="Times New Roman"/>
                <w:noProof/>
              </w:rPr>
            </w:pPr>
            <w:r w:rsidRPr="00BC4EE7">
              <w:rPr>
                <w:rFonts w:cs="Times New Roman"/>
                <w:noProof/>
              </w:rPr>
              <w:t>435</w:t>
            </w:r>
          </w:p>
        </w:tc>
        <w:tc>
          <w:tcPr>
            <w:tcW w:w="1323" w:type="dxa"/>
            <w:shd w:val="clear" w:color="auto" w:fill="C6EFCE"/>
          </w:tcPr>
          <w:p w14:paraId="50956061" w14:textId="647FE991" w:rsidR="00D65CB4" w:rsidRPr="00BC4EE7" w:rsidRDefault="00572307">
            <w:pPr>
              <w:pStyle w:val="P68B1DB1-Normal12"/>
              <w:jc w:val="center"/>
              <w:rPr>
                <w:rFonts w:cs="Times New Roman"/>
                <w:noProof/>
              </w:rPr>
            </w:pPr>
            <w:r w:rsidRPr="00BC4EE7">
              <w:rPr>
                <w:rFonts w:cs="Times New Roman"/>
                <w:noProof/>
              </w:rPr>
              <w:t>C11.R2</w:t>
            </w:r>
          </w:p>
        </w:tc>
        <w:tc>
          <w:tcPr>
            <w:tcW w:w="1091" w:type="dxa"/>
            <w:shd w:val="clear" w:color="auto" w:fill="C6EFCE"/>
          </w:tcPr>
          <w:p w14:paraId="0D9F4315" w14:textId="1A30595D" w:rsidR="00D65CB4" w:rsidRPr="00BC4EE7" w:rsidRDefault="00572307">
            <w:pPr>
              <w:pStyle w:val="P68B1DB1-Normal12"/>
              <w:jc w:val="center"/>
              <w:rPr>
                <w:rFonts w:cs="Times New Roman"/>
                <w:noProof/>
              </w:rPr>
            </w:pPr>
            <w:r w:rsidRPr="00BC4EE7">
              <w:rPr>
                <w:rFonts w:cs="Times New Roman"/>
                <w:noProof/>
              </w:rPr>
              <w:t>M</w:t>
            </w:r>
          </w:p>
        </w:tc>
        <w:tc>
          <w:tcPr>
            <w:tcW w:w="1593" w:type="dxa"/>
            <w:shd w:val="clear" w:color="auto" w:fill="C6EFCE"/>
          </w:tcPr>
          <w:p w14:paraId="31DD27F0" w14:textId="4BE0F7A9" w:rsidR="00D65CB4" w:rsidRPr="00BC4EE7" w:rsidRDefault="00572307">
            <w:pPr>
              <w:pStyle w:val="P68B1DB1-Normal12"/>
              <w:rPr>
                <w:rFonts w:cs="Times New Roman"/>
                <w:noProof/>
              </w:rPr>
            </w:pPr>
            <w:r w:rsidRPr="00BC4EE7">
              <w:rPr>
                <w:rFonts w:cs="Times New Roman"/>
                <w:noProof/>
              </w:rPr>
              <w:t>A védelemhez való jogról szóló törvény hatálybalépése</w:t>
            </w:r>
          </w:p>
        </w:tc>
        <w:tc>
          <w:tcPr>
            <w:tcW w:w="1409" w:type="dxa"/>
            <w:shd w:val="clear" w:color="auto" w:fill="C6EFCE"/>
          </w:tcPr>
          <w:p w14:paraId="0C51FB95" w14:textId="1089F50D" w:rsidR="00D65CB4" w:rsidRPr="00BC4EE7" w:rsidRDefault="00572307">
            <w:pPr>
              <w:pStyle w:val="P68B1DB1-Normal12"/>
              <w:jc w:val="center"/>
              <w:rPr>
                <w:rFonts w:cs="Times New Roman"/>
                <w:noProof/>
              </w:rPr>
            </w:pPr>
            <w:r w:rsidRPr="00BC4EE7">
              <w:rPr>
                <w:rFonts w:cs="Times New Roman"/>
                <w:noProof/>
              </w:rPr>
              <w:t>A hatálybalépést feltüntető törvényi rendelkezés</w:t>
            </w:r>
          </w:p>
        </w:tc>
        <w:tc>
          <w:tcPr>
            <w:tcW w:w="1059" w:type="dxa"/>
            <w:shd w:val="clear" w:color="auto" w:fill="C6EFCE"/>
          </w:tcPr>
          <w:p w14:paraId="402D2AFE" w14:textId="77777777" w:rsidR="00D65CB4" w:rsidRPr="00BC4EE7" w:rsidRDefault="00D65CB4">
            <w:pPr>
              <w:jc w:val="right"/>
              <w:rPr>
                <w:rFonts w:ascii="Times New Roman" w:hAnsi="Times New Roman" w:cs="Times New Roman"/>
                <w:noProof/>
                <w:sz w:val="18"/>
              </w:rPr>
            </w:pPr>
          </w:p>
        </w:tc>
        <w:tc>
          <w:tcPr>
            <w:tcW w:w="971" w:type="dxa"/>
            <w:shd w:val="clear" w:color="auto" w:fill="C6EFCE"/>
          </w:tcPr>
          <w:p w14:paraId="1FD71E07" w14:textId="77777777" w:rsidR="00D65CB4" w:rsidRPr="00BC4EE7" w:rsidRDefault="00D65CB4">
            <w:pPr>
              <w:jc w:val="right"/>
              <w:rPr>
                <w:rFonts w:ascii="Times New Roman" w:hAnsi="Times New Roman" w:cs="Times New Roman"/>
                <w:noProof/>
                <w:sz w:val="18"/>
              </w:rPr>
            </w:pPr>
          </w:p>
        </w:tc>
        <w:tc>
          <w:tcPr>
            <w:tcW w:w="696" w:type="dxa"/>
            <w:shd w:val="clear" w:color="auto" w:fill="C6EFCE"/>
          </w:tcPr>
          <w:p w14:paraId="1AA7BE86" w14:textId="77777777" w:rsidR="00D65CB4" w:rsidRPr="00BC4EE7" w:rsidRDefault="00D65CB4">
            <w:pPr>
              <w:jc w:val="right"/>
              <w:rPr>
                <w:rFonts w:ascii="Times New Roman" w:hAnsi="Times New Roman" w:cs="Times New Roman"/>
                <w:noProof/>
                <w:sz w:val="18"/>
              </w:rPr>
            </w:pPr>
          </w:p>
        </w:tc>
        <w:tc>
          <w:tcPr>
            <w:tcW w:w="558" w:type="dxa"/>
            <w:shd w:val="clear" w:color="auto" w:fill="C6EFCE"/>
          </w:tcPr>
          <w:p w14:paraId="3044D533" w14:textId="178AA15B" w:rsidR="00D65CB4" w:rsidRPr="00BC4EE7" w:rsidRDefault="00572307">
            <w:pPr>
              <w:pStyle w:val="P68B1DB1-Normal12"/>
              <w:jc w:val="center"/>
              <w:rPr>
                <w:rFonts w:cs="Times New Roman"/>
                <w:noProof/>
              </w:rPr>
            </w:pPr>
            <w:r w:rsidRPr="00BC4EE7">
              <w:rPr>
                <w:rFonts w:cs="Times New Roman"/>
                <w:noProof/>
              </w:rPr>
              <w:t>Q4</w:t>
            </w:r>
          </w:p>
        </w:tc>
        <w:tc>
          <w:tcPr>
            <w:tcW w:w="806" w:type="dxa"/>
            <w:shd w:val="clear" w:color="auto" w:fill="C6EFCE"/>
          </w:tcPr>
          <w:p w14:paraId="5BB3DA0C" w14:textId="3C5CEB4A" w:rsidR="00D65CB4" w:rsidRPr="00BC4EE7" w:rsidRDefault="00572307">
            <w:pPr>
              <w:pStyle w:val="P68B1DB1-Normal12"/>
              <w:jc w:val="center"/>
              <w:rPr>
                <w:rFonts w:cs="Times New Roman"/>
                <w:noProof/>
              </w:rPr>
            </w:pPr>
            <w:r w:rsidRPr="00BC4EE7">
              <w:rPr>
                <w:rFonts w:cs="Times New Roman"/>
                <w:noProof/>
              </w:rPr>
              <w:t>2024</w:t>
            </w:r>
          </w:p>
        </w:tc>
        <w:tc>
          <w:tcPr>
            <w:tcW w:w="3895" w:type="dxa"/>
            <w:shd w:val="clear" w:color="auto" w:fill="C6EFCE"/>
          </w:tcPr>
          <w:p w14:paraId="1DC0D401" w14:textId="53BB3772" w:rsidR="00D65CB4" w:rsidRPr="00BC4EE7" w:rsidRDefault="00572307">
            <w:pPr>
              <w:pStyle w:val="P68B1DB1-Normal12"/>
              <w:rPr>
                <w:rFonts w:cs="Times New Roman"/>
                <w:noProof/>
              </w:rPr>
            </w:pPr>
            <w:r w:rsidRPr="00BC4EE7">
              <w:rPr>
                <w:rFonts w:cs="Times New Roman"/>
                <w:noProof/>
              </w:rPr>
              <w:t>A védelemhez való jogról szóló törvény hatálybalépése a tisztességes eljáráshoz való alapvető jog fejlesztése és megerősítése érdekében.</w:t>
            </w:r>
          </w:p>
        </w:tc>
      </w:tr>
      <w:tr w:rsidR="00D65CB4" w:rsidRPr="00BC4EE7" w14:paraId="4B2DCC21" w14:textId="77777777" w:rsidTr="00481CF8">
        <w:trPr>
          <w:trHeight w:val="309"/>
        </w:trPr>
        <w:tc>
          <w:tcPr>
            <w:tcW w:w="1195" w:type="dxa"/>
            <w:shd w:val="clear" w:color="auto" w:fill="C6EFCE"/>
          </w:tcPr>
          <w:p w14:paraId="2C3B7B1E" w14:textId="77777777" w:rsidR="00D65CB4" w:rsidRPr="00BC4EE7" w:rsidRDefault="00572307">
            <w:pPr>
              <w:pStyle w:val="P68B1DB1-Normal12"/>
              <w:jc w:val="center"/>
              <w:rPr>
                <w:rFonts w:cs="Times New Roman"/>
                <w:noProof/>
              </w:rPr>
            </w:pPr>
            <w:r w:rsidRPr="00BC4EE7">
              <w:rPr>
                <w:rFonts w:cs="Times New Roman"/>
                <w:noProof/>
              </w:rPr>
              <w:t>153</w:t>
            </w:r>
          </w:p>
        </w:tc>
        <w:tc>
          <w:tcPr>
            <w:tcW w:w="1323" w:type="dxa"/>
            <w:shd w:val="clear" w:color="auto" w:fill="C6EFCE"/>
          </w:tcPr>
          <w:p w14:paraId="00EEE9B2" w14:textId="77777777" w:rsidR="00D65CB4" w:rsidRPr="00BC4EE7" w:rsidRDefault="00572307">
            <w:pPr>
              <w:pStyle w:val="P68B1DB1-Normal12"/>
              <w:jc w:val="center"/>
              <w:rPr>
                <w:rFonts w:cs="Times New Roman"/>
                <w:noProof/>
              </w:rPr>
            </w:pPr>
            <w:r w:rsidRPr="00BC4EE7">
              <w:rPr>
                <w:rFonts w:cs="Times New Roman"/>
                <w:noProof/>
              </w:rPr>
              <w:t>C11.R3</w:t>
            </w:r>
          </w:p>
        </w:tc>
        <w:tc>
          <w:tcPr>
            <w:tcW w:w="1091" w:type="dxa"/>
            <w:shd w:val="clear" w:color="auto" w:fill="C6EFCE"/>
          </w:tcPr>
          <w:p w14:paraId="68880331" w14:textId="77777777" w:rsidR="00D65CB4" w:rsidRPr="00BC4EE7" w:rsidRDefault="00572307">
            <w:pPr>
              <w:pStyle w:val="P68B1DB1-Normal12"/>
              <w:jc w:val="center"/>
              <w:rPr>
                <w:rFonts w:cs="Times New Roman"/>
                <w:noProof/>
              </w:rPr>
            </w:pPr>
            <w:r w:rsidRPr="00BC4EE7">
              <w:rPr>
                <w:rFonts w:cs="Times New Roman"/>
                <w:noProof/>
              </w:rPr>
              <w:t>M</w:t>
            </w:r>
          </w:p>
        </w:tc>
        <w:tc>
          <w:tcPr>
            <w:tcW w:w="1593" w:type="dxa"/>
            <w:shd w:val="clear" w:color="auto" w:fill="C6EFCE"/>
          </w:tcPr>
          <w:p w14:paraId="44EF4B1D" w14:textId="77777777" w:rsidR="00D65CB4" w:rsidRPr="00BC4EE7" w:rsidRDefault="00572307">
            <w:pPr>
              <w:pStyle w:val="P68B1DB1-Normal12"/>
              <w:rPr>
                <w:rFonts w:cs="Times New Roman"/>
                <w:noProof/>
              </w:rPr>
            </w:pPr>
            <w:r w:rsidRPr="00BC4EE7">
              <w:rPr>
                <w:rFonts w:cs="Times New Roman"/>
                <w:noProof/>
              </w:rPr>
              <w:t>A Caja General de Depósitos szabályozásáról szóló 937/2020. sz. királyi rendelet hatálybalépése</w:t>
            </w:r>
          </w:p>
        </w:tc>
        <w:tc>
          <w:tcPr>
            <w:tcW w:w="1409" w:type="dxa"/>
            <w:shd w:val="clear" w:color="auto" w:fill="C6EFCE"/>
          </w:tcPr>
          <w:p w14:paraId="2B217473" w14:textId="77777777" w:rsidR="00D65CB4" w:rsidRPr="00BC4EE7" w:rsidRDefault="00572307">
            <w:pPr>
              <w:pStyle w:val="P68B1DB1-Normal12"/>
              <w:jc w:val="center"/>
              <w:rPr>
                <w:rFonts w:cs="Times New Roman"/>
                <w:noProof/>
              </w:rPr>
            </w:pPr>
            <w:r w:rsidRPr="00BC4EE7">
              <w:rPr>
                <w:rFonts w:cs="Times New Roman"/>
                <w:noProof/>
              </w:rPr>
              <w:t>A rendelet hatálybalépését feltüntető rendelkezés</w:t>
            </w:r>
          </w:p>
        </w:tc>
        <w:tc>
          <w:tcPr>
            <w:tcW w:w="1059" w:type="dxa"/>
            <w:shd w:val="clear" w:color="auto" w:fill="C6EFCE"/>
          </w:tcPr>
          <w:p w14:paraId="3D7D1C3F"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971" w:type="dxa"/>
            <w:shd w:val="clear" w:color="auto" w:fill="C6EFCE"/>
          </w:tcPr>
          <w:p w14:paraId="03B166C5"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696" w:type="dxa"/>
            <w:shd w:val="clear" w:color="auto" w:fill="C6EFCE"/>
          </w:tcPr>
          <w:p w14:paraId="47C04ACA"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558" w:type="dxa"/>
            <w:shd w:val="clear" w:color="auto" w:fill="C6EFCE"/>
          </w:tcPr>
          <w:p w14:paraId="3701FC34" w14:textId="77777777" w:rsidR="00D65CB4" w:rsidRPr="00BC4EE7" w:rsidRDefault="00572307">
            <w:pPr>
              <w:pStyle w:val="P68B1DB1-Normal12"/>
              <w:jc w:val="center"/>
              <w:rPr>
                <w:rFonts w:cs="Times New Roman"/>
                <w:noProof/>
              </w:rPr>
            </w:pPr>
            <w:r w:rsidRPr="00BC4EE7">
              <w:rPr>
                <w:rFonts w:cs="Times New Roman"/>
                <w:noProof/>
              </w:rPr>
              <w:t>Q4</w:t>
            </w:r>
          </w:p>
        </w:tc>
        <w:tc>
          <w:tcPr>
            <w:tcW w:w="806" w:type="dxa"/>
            <w:shd w:val="clear" w:color="auto" w:fill="C6EFCE"/>
          </w:tcPr>
          <w:p w14:paraId="6235220B" w14:textId="77777777" w:rsidR="00D65CB4" w:rsidRPr="00BC4EE7" w:rsidRDefault="00572307">
            <w:pPr>
              <w:pStyle w:val="P68B1DB1-Normal12"/>
              <w:jc w:val="center"/>
              <w:rPr>
                <w:rFonts w:cs="Times New Roman"/>
                <w:noProof/>
              </w:rPr>
            </w:pPr>
            <w:r w:rsidRPr="00BC4EE7">
              <w:rPr>
                <w:rFonts w:cs="Times New Roman"/>
                <w:noProof/>
              </w:rPr>
              <w:t>2020</w:t>
            </w:r>
          </w:p>
        </w:tc>
        <w:tc>
          <w:tcPr>
            <w:tcW w:w="3895" w:type="dxa"/>
            <w:shd w:val="clear" w:color="auto" w:fill="C6EFCE"/>
          </w:tcPr>
          <w:p w14:paraId="2B67E0F4" w14:textId="77777777" w:rsidR="00D65CB4" w:rsidRPr="00BC4EE7" w:rsidRDefault="00572307">
            <w:pPr>
              <w:pStyle w:val="P68B1DB1-Normal12"/>
              <w:rPr>
                <w:rFonts w:cs="Times New Roman"/>
                <w:noProof/>
              </w:rPr>
            </w:pPr>
            <w:r w:rsidRPr="00BC4EE7">
              <w:rPr>
                <w:rFonts w:cs="Times New Roman"/>
                <w:noProof/>
              </w:rPr>
              <w:t>A Caja General de Depósitosnak a Caja General de Depósitosnak a biztosítékok és betétek digitális kezelésének végrehajtására vonatkozó rendeletének jóváhagyásáról szóló, október 27-i 937/2020. sz. királyi rendelet hatálybalépése, a fizikai dokumentáció megszüntetése mellett. A királyi rendelet naprakésszé teszi a Caja-ban letétbe helyezett biztosítékok és készpénz törlesztőrészletek alapítására, felmondására és végrehajtására vonatkozó eljárást. Előmozdítja továbbá az elektronikus eljárások Cajában történő végrehajtását azáltal, hogy meghatározza az elektronikus dokumentumok benyújtására vonatkozó szabályokat és csatornákat, és biztosítja az eljárás digitalizálásához szükséges jogi keretet.</w:t>
            </w:r>
          </w:p>
        </w:tc>
      </w:tr>
      <w:tr w:rsidR="00D65CB4" w:rsidRPr="00BC4EE7" w14:paraId="5134B0F4" w14:textId="77777777" w:rsidTr="00481CF8">
        <w:trPr>
          <w:trHeight w:val="309"/>
        </w:trPr>
        <w:tc>
          <w:tcPr>
            <w:tcW w:w="1195" w:type="dxa"/>
            <w:shd w:val="clear" w:color="auto" w:fill="C6EFCE"/>
          </w:tcPr>
          <w:p w14:paraId="36FCDF83" w14:textId="77777777" w:rsidR="00D65CB4" w:rsidRPr="00BC4EE7" w:rsidRDefault="00572307">
            <w:pPr>
              <w:pStyle w:val="P68B1DB1-Normal12"/>
              <w:jc w:val="center"/>
              <w:rPr>
                <w:rFonts w:cs="Times New Roman"/>
                <w:noProof/>
              </w:rPr>
            </w:pPr>
            <w:r w:rsidRPr="00BC4EE7">
              <w:rPr>
                <w:rFonts w:cs="Times New Roman"/>
                <w:noProof/>
              </w:rPr>
              <w:t>154</w:t>
            </w:r>
          </w:p>
        </w:tc>
        <w:tc>
          <w:tcPr>
            <w:tcW w:w="1323" w:type="dxa"/>
            <w:shd w:val="clear" w:color="auto" w:fill="C6EFCE"/>
          </w:tcPr>
          <w:p w14:paraId="1E17700C" w14:textId="77777777" w:rsidR="00D65CB4" w:rsidRPr="00BC4EE7" w:rsidRDefault="00572307">
            <w:pPr>
              <w:pStyle w:val="P68B1DB1-Normal12"/>
              <w:jc w:val="center"/>
              <w:rPr>
                <w:rFonts w:cs="Times New Roman"/>
                <w:noProof/>
              </w:rPr>
            </w:pPr>
            <w:r w:rsidRPr="00BC4EE7">
              <w:rPr>
                <w:rFonts w:cs="Times New Roman"/>
                <w:noProof/>
              </w:rPr>
              <w:t>C11.R3</w:t>
            </w:r>
          </w:p>
        </w:tc>
        <w:tc>
          <w:tcPr>
            <w:tcW w:w="1091" w:type="dxa"/>
            <w:shd w:val="clear" w:color="auto" w:fill="C6EFCE"/>
          </w:tcPr>
          <w:p w14:paraId="04322C78" w14:textId="77777777" w:rsidR="00D65CB4" w:rsidRPr="00BC4EE7" w:rsidRDefault="00572307">
            <w:pPr>
              <w:pStyle w:val="P68B1DB1-Normal12"/>
              <w:jc w:val="center"/>
              <w:rPr>
                <w:rFonts w:cs="Times New Roman"/>
                <w:noProof/>
              </w:rPr>
            </w:pPr>
            <w:r w:rsidRPr="00BC4EE7">
              <w:rPr>
                <w:rFonts w:cs="Times New Roman"/>
                <w:noProof/>
              </w:rPr>
              <w:t>M</w:t>
            </w:r>
          </w:p>
        </w:tc>
        <w:tc>
          <w:tcPr>
            <w:tcW w:w="1593" w:type="dxa"/>
            <w:shd w:val="clear" w:color="auto" w:fill="C6EFCE"/>
          </w:tcPr>
          <w:p w14:paraId="13E09C3D" w14:textId="77777777" w:rsidR="00D65CB4" w:rsidRPr="00BC4EE7" w:rsidRDefault="00572307">
            <w:pPr>
              <w:pStyle w:val="P68B1DB1-Normal12"/>
              <w:rPr>
                <w:rFonts w:cs="Times New Roman"/>
                <w:noProof/>
              </w:rPr>
            </w:pPr>
            <w:r w:rsidRPr="00BC4EE7">
              <w:rPr>
                <w:rFonts w:cs="Times New Roman"/>
                <w:noProof/>
              </w:rPr>
              <w:t>Az elszámolások ellenőrzéséről szóló 22/2015. sz. törvény végrehajtásáról szóló rendeletet jóváhagyó királyi rendelet hatálybalépése</w:t>
            </w:r>
          </w:p>
        </w:tc>
        <w:tc>
          <w:tcPr>
            <w:tcW w:w="1409" w:type="dxa"/>
            <w:shd w:val="clear" w:color="auto" w:fill="C6EFCE"/>
          </w:tcPr>
          <w:p w14:paraId="2AD67CD2" w14:textId="77777777" w:rsidR="00D65CB4" w:rsidRPr="00BC4EE7" w:rsidRDefault="00572307">
            <w:pPr>
              <w:pStyle w:val="P68B1DB1-Normal12"/>
              <w:jc w:val="center"/>
              <w:rPr>
                <w:rFonts w:cs="Times New Roman"/>
                <w:noProof/>
              </w:rPr>
            </w:pPr>
            <w:r w:rsidRPr="00BC4EE7">
              <w:rPr>
                <w:rFonts w:cs="Times New Roman"/>
                <w:noProof/>
              </w:rPr>
              <w:t>A királyi rendeletben szereplő, a királyi rendelet hatálybalépését feltüntető rendelkezés</w:t>
            </w:r>
          </w:p>
        </w:tc>
        <w:tc>
          <w:tcPr>
            <w:tcW w:w="1059" w:type="dxa"/>
            <w:shd w:val="clear" w:color="auto" w:fill="C6EFCE"/>
          </w:tcPr>
          <w:p w14:paraId="017F41A9"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971" w:type="dxa"/>
            <w:shd w:val="clear" w:color="auto" w:fill="C6EFCE"/>
          </w:tcPr>
          <w:p w14:paraId="0A069ACF"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696" w:type="dxa"/>
            <w:shd w:val="clear" w:color="auto" w:fill="C6EFCE"/>
          </w:tcPr>
          <w:p w14:paraId="3A6DA355"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558" w:type="dxa"/>
            <w:shd w:val="clear" w:color="auto" w:fill="C6EFCE"/>
          </w:tcPr>
          <w:p w14:paraId="1B1FD8B3" w14:textId="77777777" w:rsidR="00D65CB4" w:rsidRPr="00BC4EE7" w:rsidRDefault="00572307">
            <w:pPr>
              <w:pStyle w:val="P68B1DB1-Normal12"/>
              <w:jc w:val="center"/>
              <w:rPr>
                <w:rFonts w:cs="Times New Roman"/>
                <w:noProof/>
              </w:rPr>
            </w:pPr>
            <w:r w:rsidRPr="00BC4EE7">
              <w:rPr>
                <w:rFonts w:cs="Times New Roman"/>
                <w:noProof/>
              </w:rPr>
              <w:t>Q1</w:t>
            </w:r>
          </w:p>
        </w:tc>
        <w:tc>
          <w:tcPr>
            <w:tcW w:w="806" w:type="dxa"/>
            <w:shd w:val="clear" w:color="auto" w:fill="C6EFCE"/>
          </w:tcPr>
          <w:p w14:paraId="2FC8FA88" w14:textId="77777777" w:rsidR="00D65CB4" w:rsidRPr="00BC4EE7" w:rsidRDefault="00572307">
            <w:pPr>
              <w:pStyle w:val="P68B1DB1-Normal12"/>
              <w:jc w:val="center"/>
              <w:rPr>
                <w:rFonts w:cs="Times New Roman"/>
                <w:noProof/>
              </w:rPr>
            </w:pPr>
            <w:r w:rsidRPr="00BC4EE7">
              <w:rPr>
                <w:rFonts w:cs="Times New Roman"/>
                <w:noProof/>
              </w:rPr>
              <w:t>2021</w:t>
            </w:r>
          </w:p>
        </w:tc>
        <w:tc>
          <w:tcPr>
            <w:tcW w:w="3895" w:type="dxa"/>
            <w:shd w:val="clear" w:color="auto" w:fill="C6EFCE"/>
          </w:tcPr>
          <w:p w14:paraId="4C401364" w14:textId="77777777" w:rsidR="00D65CB4" w:rsidRPr="00BC4EE7" w:rsidRDefault="00572307">
            <w:pPr>
              <w:pStyle w:val="P68B1DB1-Normal12"/>
              <w:rPr>
                <w:rFonts w:cs="Times New Roman"/>
                <w:noProof/>
              </w:rPr>
            </w:pPr>
            <w:r w:rsidRPr="00BC4EE7">
              <w:rPr>
                <w:rFonts w:cs="Times New Roman"/>
                <w:noProof/>
              </w:rPr>
              <w:t>A könyvvizsgálatról szóló, 2015. július 20-i 22/2015. sz. törvény végrehajtásáról szóló rendeletet jóváhagyó királyi rendelet hatálybalépése. E reform célja, hogy az ellenőrzési tevékenység megfelelő minőségének elérése érdekében nagyobb jogbiztonsággal biztosítsa az ellenőrzési tevékenység jogi keretét. A könyvvizsgálók, a könyvvizsgáló cégek és az e rendelet által érintett valamennyi alany ezért nagyobb garanciát és biztonságot élvez a könyvvizsgálatról szóló törvényben foglalt rendelkezések értelmezése és alkalmazása során, ami egyúttal az ellenőrzések jobb elvégzését és a jogszabályban foglalt kötelezettségek teljesítését eredményezi.</w:t>
            </w:r>
          </w:p>
        </w:tc>
      </w:tr>
      <w:tr w:rsidR="00D65CB4" w:rsidRPr="00BC4EE7" w14:paraId="130E21AF" w14:textId="77777777" w:rsidTr="00481CF8">
        <w:trPr>
          <w:trHeight w:val="309"/>
        </w:trPr>
        <w:tc>
          <w:tcPr>
            <w:tcW w:w="1195" w:type="dxa"/>
            <w:shd w:val="clear" w:color="auto" w:fill="C6EFCE"/>
          </w:tcPr>
          <w:p w14:paraId="36E3C197" w14:textId="0105E20B" w:rsidR="00D65CB4" w:rsidRPr="00BC4EE7" w:rsidRDefault="00572307">
            <w:pPr>
              <w:pStyle w:val="P68B1DB1-Normal12"/>
              <w:jc w:val="center"/>
              <w:rPr>
                <w:rFonts w:cs="Times New Roman"/>
                <w:noProof/>
              </w:rPr>
            </w:pPr>
            <w:r w:rsidRPr="00BC4EE7">
              <w:rPr>
                <w:rFonts w:cs="Times New Roman"/>
                <w:noProof/>
              </w:rPr>
              <w:t>437</w:t>
            </w:r>
          </w:p>
        </w:tc>
        <w:tc>
          <w:tcPr>
            <w:tcW w:w="1323" w:type="dxa"/>
            <w:shd w:val="clear" w:color="auto" w:fill="C6EFCE"/>
          </w:tcPr>
          <w:p w14:paraId="5A867F31" w14:textId="59BD8082" w:rsidR="00D65CB4" w:rsidRPr="00BC4EE7" w:rsidRDefault="00572307">
            <w:pPr>
              <w:pStyle w:val="P68B1DB1-Normal12"/>
              <w:jc w:val="center"/>
              <w:rPr>
                <w:rFonts w:cs="Times New Roman"/>
                <w:noProof/>
              </w:rPr>
            </w:pPr>
            <w:r w:rsidRPr="00BC4EE7">
              <w:rPr>
                <w:rFonts w:cs="Times New Roman"/>
                <w:noProof/>
              </w:rPr>
              <w:t>C11.R3</w:t>
            </w:r>
          </w:p>
        </w:tc>
        <w:tc>
          <w:tcPr>
            <w:tcW w:w="1091" w:type="dxa"/>
            <w:shd w:val="clear" w:color="auto" w:fill="C6EFCE"/>
          </w:tcPr>
          <w:p w14:paraId="74CA639F" w14:textId="55F7E420" w:rsidR="00D65CB4" w:rsidRPr="00BC4EE7" w:rsidRDefault="00572307">
            <w:pPr>
              <w:pStyle w:val="P68B1DB1-Normal12"/>
              <w:jc w:val="center"/>
              <w:rPr>
                <w:rFonts w:cs="Times New Roman"/>
                <w:noProof/>
              </w:rPr>
            </w:pPr>
            <w:r w:rsidRPr="00BC4EE7">
              <w:rPr>
                <w:rFonts w:cs="Times New Roman"/>
                <w:noProof/>
              </w:rPr>
              <w:t>M</w:t>
            </w:r>
          </w:p>
        </w:tc>
        <w:tc>
          <w:tcPr>
            <w:tcW w:w="1593" w:type="dxa"/>
            <w:shd w:val="clear" w:color="auto" w:fill="C6EFCE"/>
          </w:tcPr>
          <w:p w14:paraId="135CCF63" w14:textId="21F79052" w:rsidR="00D65CB4" w:rsidRPr="00BC4EE7" w:rsidRDefault="00572307">
            <w:pPr>
              <w:pStyle w:val="P68B1DB1-Normal12"/>
              <w:rPr>
                <w:rFonts w:cs="Times New Roman"/>
                <w:noProof/>
              </w:rPr>
            </w:pPr>
            <w:r w:rsidRPr="00BC4EE7">
              <w:rPr>
                <w:rFonts w:cs="Times New Roman"/>
                <w:noProof/>
              </w:rPr>
              <w:t>A pénzügyi rendszerre vonatkozó, az éghajlatváltozással kapcsolatos kockázatokról szóló kétéves jelentés közzététele és a Fenntartható Pénzügyi Tanács létrehozása</w:t>
            </w:r>
          </w:p>
        </w:tc>
        <w:tc>
          <w:tcPr>
            <w:tcW w:w="1409" w:type="dxa"/>
            <w:shd w:val="clear" w:color="auto" w:fill="C6EFCE"/>
          </w:tcPr>
          <w:p w14:paraId="6A8CCFEB" w14:textId="31685476" w:rsidR="00D65CB4" w:rsidRPr="00BC4EE7" w:rsidRDefault="00572307">
            <w:pPr>
              <w:pStyle w:val="P68B1DB1-Normal12"/>
              <w:jc w:val="center"/>
              <w:rPr>
                <w:rFonts w:cs="Times New Roman"/>
                <w:noProof/>
              </w:rPr>
            </w:pPr>
            <w:r w:rsidRPr="00BC4EE7">
              <w:rPr>
                <w:rFonts w:cs="Times New Roman"/>
                <w:noProof/>
              </w:rPr>
              <w:t>A jelentés és a Tanács cselekvési tervének közzététele</w:t>
            </w:r>
          </w:p>
        </w:tc>
        <w:tc>
          <w:tcPr>
            <w:tcW w:w="1059" w:type="dxa"/>
            <w:shd w:val="clear" w:color="auto" w:fill="C6EFCE"/>
          </w:tcPr>
          <w:p w14:paraId="37116B19" w14:textId="77777777" w:rsidR="00D65CB4" w:rsidRPr="00BC4EE7" w:rsidRDefault="00D65CB4">
            <w:pPr>
              <w:jc w:val="right"/>
              <w:rPr>
                <w:rFonts w:ascii="Times New Roman" w:hAnsi="Times New Roman" w:cs="Times New Roman"/>
                <w:noProof/>
                <w:sz w:val="18"/>
              </w:rPr>
            </w:pPr>
          </w:p>
        </w:tc>
        <w:tc>
          <w:tcPr>
            <w:tcW w:w="971" w:type="dxa"/>
            <w:shd w:val="clear" w:color="auto" w:fill="C6EFCE"/>
          </w:tcPr>
          <w:p w14:paraId="32467A2C" w14:textId="77777777" w:rsidR="00D65CB4" w:rsidRPr="00BC4EE7" w:rsidRDefault="00D65CB4">
            <w:pPr>
              <w:jc w:val="right"/>
              <w:rPr>
                <w:rFonts w:ascii="Times New Roman" w:hAnsi="Times New Roman" w:cs="Times New Roman"/>
                <w:noProof/>
                <w:sz w:val="18"/>
              </w:rPr>
            </w:pPr>
          </w:p>
        </w:tc>
        <w:tc>
          <w:tcPr>
            <w:tcW w:w="696" w:type="dxa"/>
            <w:shd w:val="clear" w:color="auto" w:fill="C6EFCE"/>
          </w:tcPr>
          <w:p w14:paraId="54C9A687" w14:textId="77777777" w:rsidR="00D65CB4" w:rsidRPr="00BC4EE7" w:rsidRDefault="00D65CB4">
            <w:pPr>
              <w:jc w:val="right"/>
              <w:rPr>
                <w:rFonts w:ascii="Times New Roman" w:hAnsi="Times New Roman" w:cs="Times New Roman"/>
                <w:noProof/>
                <w:sz w:val="18"/>
              </w:rPr>
            </w:pPr>
          </w:p>
        </w:tc>
        <w:tc>
          <w:tcPr>
            <w:tcW w:w="558" w:type="dxa"/>
            <w:shd w:val="clear" w:color="auto" w:fill="C6EFCE"/>
          </w:tcPr>
          <w:p w14:paraId="570659E4" w14:textId="0A7CEEF7" w:rsidR="00D65CB4" w:rsidRPr="00BC4EE7" w:rsidRDefault="00572307">
            <w:pPr>
              <w:pStyle w:val="P68B1DB1-Normal12"/>
              <w:jc w:val="center"/>
              <w:rPr>
                <w:rFonts w:cs="Times New Roman"/>
                <w:noProof/>
              </w:rPr>
            </w:pPr>
            <w:r w:rsidRPr="00BC4EE7">
              <w:rPr>
                <w:rFonts w:cs="Times New Roman"/>
                <w:noProof/>
              </w:rPr>
              <w:t>Q4</w:t>
            </w:r>
          </w:p>
        </w:tc>
        <w:tc>
          <w:tcPr>
            <w:tcW w:w="806" w:type="dxa"/>
            <w:shd w:val="clear" w:color="auto" w:fill="C6EFCE"/>
          </w:tcPr>
          <w:p w14:paraId="29B3594B" w14:textId="75E820C4" w:rsidR="00D65CB4" w:rsidRPr="00BC4EE7" w:rsidRDefault="00572307">
            <w:pPr>
              <w:pStyle w:val="P68B1DB1-Normal12"/>
              <w:jc w:val="center"/>
              <w:rPr>
                <w:rFonts w:cs="Times New Roman"/>
                <w:noProof/>
              </w:rPr>
            </w:pPr>
            <w:r w:rsidRPr="00BC4EE7">
              <w:rPr>
                <w:rFonts w:cs="Times New Roman"/>
                <w:noProof/>
              </w:rPr>
              <w:t>2023</w:t>
            </w:r>
          </w:p>
        </w:tc>
        <w:tc>
          <w:tcPr>
            <w:tcW w:w="3895" w:type="dxa"/>
            <w:shd w:val="clear" w:color="auto" w:fill="C6EFCE"/>
          </w:tcPr>
          <w:p w14:paraId="60756770" w14:textId="653DF164" w:rsidR="00D65CB4" w:rsidRPr="00BC4EE7" w:rsidRDefault="00572307">
            <w:pPr>
              <w:pStyle w:val="P68B1DB1-Normal12"/>
              <w:rPr>
                <w:rFonts w:cs="Times New Roman"/>
                <w:noProof/>
              </w:rPr>
            </w:pPr>
            <w:r w:rsidRPr="00BC4EE7">
              <w:rPr>
                <w:rFonts w:cs="Times New Roman"/>
                <w:noProof/>
              </w:rPr>
              <w:t>A hatóságok zöld könyvet tesznek közzé a fenntartható finanszírozás előmozdítása érdekében. Ezen túlmenően a következő két intézkedést is végre kell hajtani: az éghajlatváltozásról és az energetikai átállásról szóló, május 20-i 7/2021. sz. törvény 33. cikkével összhangban a makroprudenciális hatóság Pénzügyi Stabilitási Tanácsának (AMCESFI) honlapján közzéteszik a pénzügyi rendszert érintő éghajlatváltozási kockázatokról szóló kétéves jelentést; valamint ii. fenntartható finanszírozási tanács létrehozása és működésének megkezdése (beleértve a közigazgatás, a pénzügyi felügyeletek és a magánszektor képviselőit), amely a fenntartható finanszírozás területén a köz- és magánszféra közötti együttműködést előmozdító fórum. A Tanács az első ülésén cselekvési tervet hagy jóvá, amely tartalmazza az ütemtervet és az elérendő célokat.</w:t>
            </w:r>
          </w:p>
        </w:tc>
      </w:tr>
      <w:tr w:rsidR="00D65CB4" w:rsidRPr="00BC4EE7" w14:paraId="57839DEC" w14:textId="77777777" w:rsidTr="00481CF8">
        <w:trPr>
          <w:trHeight w:val="309"/>
        </w:trPr>
        <w:tc>
          <w:tcPr>
            <w:tcW w:w="1195" w:type="dxa"/>
            <w:shd w:val="clear" w:color="auto" w:fill="C6EFCE"/>
          </w:tcPr>
          <w:p w14:paraId="21434385" w14:textId="65ADA631" w:rsidR="00D65CB4" w:rsidRPr="00BC4EE7" w:rsidRDefault="00572307">
            <w:pPr>
              <w:pStyle w:val="P68B1DB1-Normal12"/>
              <w:jc w:val="center"/>
              <w:rPr>
                <w:rFonts w:cs="Times New Roman"/>
                <w:noProof/>
              </w:rPr>
            </w:pPr>
            <w:r w:rsidRPr="00BC4EE7">
              <w:rPr>
                <w:rFonts w:cs="Times New Roman"/>
                <w:noProof/>
              </w:rPr>
              <w:t>436</w:t>
            </w:r>
          </w:p>
        </w:tc>
        <w:tc>
          <w:tcPr>
            <w:tcW w:w="1323" w:type="dxa"/>
            <w:shd w:val="clear" w:color="auto" w:fill="C6EFCE"/>
          </w:tcPr>
          <w:p w14:paraId="2C8202D6" w14:textId="51CD83AF" w:rsidR="00D65CB4" w:rsidRPr="00BC4EE7" w:rsidRDefault="00572307">
            <w:pPr>
              <w:pStyle w:val="P68B1DB1-Normal12"/>
              <w:jc w:val="center"/>
              <w:rPr>
                <w:rFonts w:cs="Times New Roman"/>
                <w:noProof/>
              </w:rPr>
            </w:pPr>
            <w:r w:rsidRPr="00BC4EE7">
              <w:rPr>
                <w:rFonts w:cs="Times New Roman"/>
                <w:noProof/>
              </w:rPr>
              <w:t>C11.R3</w:t>
            </w:r>
          </w:p>
        </w:tc>
        <w:tc>
          <w:tcPr>
            <w:tcW w:w="1091" w:type="dxa"/>
            <w:shd w:val="clear" w:color="auto" w:fill="C6EFCE"/>
          </w:tcPr>
          <w:p w14:paraId="12B38417" w14:textId="5441C144" w:rsidR="00D65CB4" w:rsidRPr="00BC4EE7" w:rsidRDefault="00572307">
            <w:pPr>
              <w:pStyle w:val="P68B1DB1-Normal12"/>
              <w:jc w:val="center"/>
              <w:rPr>
                <w:rFonts w:cs="Times New Roman"/>
                <w:noProof/>
              </w:rPr>
            </w:pPr>
            <w:r w:rsidRPr="00BC4EE7">
              <w:rPr>
                <w:rFonts w:cs="Times New Roman"/>
                <w:noProof/>
              </w:rPr>
              <w:t>M</w:t>
            </w:r>
          </w:p>
        </w:tc>
        <w:tc>
          <w:tcPr>
            <w:tcW w:w="1593" w:type="dxa"/>
            <w:shd w:val="clear" w:color="auto" w:fill="C6EFCE"/>
          </w:tcPr>
          <w:p w14:paraId="0BDF309D" w14:textId="79A02EBB" w:rsidR="00D65CB4" w:rsidRPr="00BC4EE7" w:rsidRDefault="00572307">
            <w:pPr>
              <w:pStyle w:val="P68B1DB1-Normal12"/>
              <w:rPr>
                <w:rFonts w:cs="Times New Roman"/>
                <w:noProof/>
              </w:rPr>
            </w:pPr>
            <w:r w:rsidRPr="00BC4EE7">
              <w:rPr>
                <w:rFonts w:cs="Times New Roman"/>
                <w:noProof/>
              </w:rPr>
              <w:t>Az ügyfélszolgálatról szóló törvény és a Pénzügyi Ügyfélvédelmi Hatóságot létrehozó törvény hatálybalépése</w:t>
            </w:r>
          </w:p>
        </w:tc>
        <w:tc>
          <w:tcPr>
            <w:tcW w:w="1409" w:type="dxa"/>
            <w:shd w:val="clear" w:color="auto" w:fill="C6EFCE"/>
          </w:tcPr>
          <w:p w14:paraId="0C58AABD" w14:textId="112DC4C1" w:rsidR="00D65CB4" w:rsidRPr="00BC4EE7" w:rsidRDefault="00572307">
            <w:pPr>
              <w:pStyle w:val="P68B1DB1-Normal12"/>
              <w:jc w:val="center"/>
              <w:rPr>
                <w:rFonts w:cs="Times New Roman"/>
                <w:noProof/>
              </w:rPr>
            </w:pPr>
            <w:r w:rsidRPr="00BC4EE7">
              <w:rPr>
                <w:rFonts w:cs="Times New Roman"/>
                <w:noProof/>
              </w:rPr>
              <w:t>A törvény(ek) hatálybalépését feltüntető rendelkezés</w:t>
            </w:r>
          </w:p>
        </w:tc>
        <w:tc>
          <w:tcPr>
            <w:tcW w:w="1059" w:type="dxa"/>
            <w:shd w:val="clear" w:color="auto" w:fill="C6EFCE"/>
          </w:tcPr>
          <w:p w14:paraId="409AD4E0" w14:textId="77777777" w:rsidR="00D65CB4" w:rsidRPr="00BC4EE7" w:rsidRDefault="00D65CB4">
            <w:pPr>
              <w:jc w:val="right"/>
              <w:rPr>
                <w:rFonts w:ascii="Times New Roman" w:hAnsi="Times New Roman" w:cs="Times New Roman"/>
                <w:noProof/>
                <w:sz w:val="18"/>
              </w:rPr>
            </w:pPr>
          </w:p>
        </w:tc>
        <w:tc>
          <w:tcPr>
            <w:tcW w:w="971" w:type="dxa"/>
            <w:shd w:val="clear" w:color="auto" w:fill="C6EFCE"/>
          </w:tcPr>
          <w:p w14:paraId="0EE56268" w14:textId="77777777" w:rsidR="00D65CB4" w:rsidRPr="00BC4EE7" w:rsidRDefault="00D65CB4">
            <w:pPr>
              <w:jc w:val="right"/>
              <w:rPr>
                <w:rFonts w:ascii="Times New Roman" w:hAnsi="Times New Roman" w:cs="Times New Roman"/>
                <w:noProof/>
                <w:sz w:val="18"/>
              </w:rPr>
            </w:pPr>
          </w:p>
        </w:tc>
        <w:tc>
          <w:tcPr>
            <w:tcW w:w="696" w:type="dxa"/>
            <w:shd w:val="clear" w:color="auto" w:fill="C6EFCE"/>
          </w:tcPr>
          <w:p w14:paraId="10FCD8C5" w14:textId="77777777" w:rsidR="00D65CB4" w:rsidRPr="00BC4EE7" w:rsidRDefault="00D65CB4">
            <w:pPr>
              <w:jc w:val="right"/>
              <w:rPr>
                <w:rFonts w:ascii="Times New Roman" w:hAnsi="Times New Roman" w:cs="Times New Roman"/>
                <w:noProof/>
                <w:sz w:val="18"/>
              </w:rPr>
            </w:pPr>
          </w:p>
        </w:tc>
        <w:tc>
          <w:tcPr>
            <w:tcW w:w="558" w:type="dxa"/>
            <w:shd w:val="clear" w:color="auto" w:fill="C6EFCE"/>
          </w:tcPr>
          <w:p w14:paraId="4F14BEC1" w14:textId="23E1EDAB" w:rsidR="00D65CB4" w:rsidRPr="00BC4EE7" w:rsidRDefault="00572307">
            <w:pPr>
              <w:pStyle w:val="P68B1DB1-Normal12"/>
              <w:jc w:val="center"/>
              <w:rPr>
                <w:rFonts w:cs="Times New Roman"/>
                <w:noProof/>
              </w:rPr>
            </w:pPr>
            <w:r w:rsidRPr="00BC4EE7">
              <w:rPr>
                <w:rFonts w:cs="Times New Roman"/>
                <w:noProof/>
              </w:rPr>
              <w:t>Q4</w:t>
            </w:r>
          </w:p>
        </w:tc>
        <w:tc>
          <w:tcPr>
            <w:tcW w:w="806" w:type="dxa"/>
            <w:shd w:val="clear" w:color="auto" w:fill="C6EFCE"/>
          </w:tcPr>
          <w:p w14:paraId="69E6CD00" w14:textId="2D676C86" w:rsidR="00D65CB4" w:rsidRPr="00BC4EE7" w:rsidRDefault="00572307">
            <w:pPr>
              <w:pStyle w:val="P68B1DB1-Normal12"/>
              <w:jc w:val="center"/>
              <w:rPr>
                <w:rFonts w:cs="Times New Roman"/>
                <w:noProof/>
              </w:rPr>
            </w:pPr>
            <w:r w:rsidRPr="00BC4EE7">
              <w:rPr>
                <w:rFonts w:cs="Times New Roman"/>
                <w:noProof/>
              </w:rPr>
              <w:t>2024</w:t>
            </w:r>
          </w:p>
        </w:tc>
        <w:tc>
          <w:tcPr>
            <w:tcW w:w="3895" w:type="dxa"/>
            <w:shd w:val="clear" w:color="auto" w:fill="C6EFCE"/>
          </w:tcPr>
          <w:p w14:paraId="56535F80" w14:textId="73BB1B61" w:rsidR="00D65CB4" w:rsidRPr="00BC4EE7" w:rsidRDefault="00572307">
            <w:pPr>
              <w:pStyle w:val="P68B1DB1-Normal12"/>
              <w:rPr>
                <w:rFonts w:cs="Times New Roman"/>
                <w:noProof/>
              </w:rPr>
            </w:pPr>
            <w:r w:rsidRPr="00BC4EE7">
              <w:rPr>
                <w:rFonts w:cs="Times New Roman"/>
                <w:noProof/>
              </w:rPr>
              <w:t>I. az ügyfélszolgáltatásokról szóló törvény és b) a pénzügyi ügyfélvédelmi hatóság létrehozásáról szóló törvény hatálybalépése. Az ügyfélszolgálatokról szóló új törvény meghatározza azokat az intézkedéseket, amelyek garantálják a fogyasztók számára az aláírt szerződésekkel kapcsolatos jogaik gyakorlását, valamint minőségi előírásokat és ellenőrzési vagy ellenőrzési követelményeket állapít meg a fent említett intézkedések végrehajtásának ellenőrzésére.</w:t>
            </w:r>
          </w:p>
        </w:tc>
      </w:tr>
      <w:tr w:rsidR="00D65CB4" w:rsidRPr="00BC4EE7" w14:paraId="5A7D8430" w14:textId="77777777" w:rsidTr="00481CF8">
        <w:trPr>
          <w:trHeight w:val="309"/>
        </w:trPr>
        <w:tc>
          <w:tcPr>
            <w:tcW w:w="1195" w:type="dxa"/>
            <w:shd w:val="clear" w:color="auto" w:fill="C6EFCE"/>
          </w:tcPr>
          <w:p w14:paraId="6D75615F" w14:textId="77777777" w:rsidR="00D65CB4" w:rsidRPr="00BC4EE7" w:rsidRDefault="00572307">
            <w:pPr>
              <w:pStyle w:val="P68B1DB1-Normal12"/>
              <w:jc w:val="center"/>
              <w:rPr>
                <w:rFonts w:cs="Times New Roman"/>
                <w:noProof/>
              </w:rPr>
            </w:pPr>
            <w:r w:rsidRPr="00BC4EE7">
              <w:rPr>
                <w:rFonts w:cs="Times New Roman"/>
                <w:noProof/>
              </w:rPr>
              <w:t>155</w:t>
            </w:r>
          </w:p>
        </w:tc>
        <w:tc>
          <w:tcPr>
            <w:tcW w:w="1323" w:type="dxa"/>
            <w:shd w:val="clear" w:color="auto" w:fill="C6EFCE"/>
          </w:tcPr>
          <w:p w14:paraId="4B256675" w14:textId="77777777" w:rsidR="00D65CB4" w:rsidRPr="00BC4EE7" w:rsidRDefault="00572307">
            <w:pPr>
              <w:pStyle w:val="P68B1DB1-Normal12"/>
              <w:jc w:val="center"/>
              <w:rPr>
                <w:rFonts w:cs="Times New Roman"/>
                <w:noProof/>
              </w:rPr>
            </w:pPr>
            <w:r w:rsidRPr="00BC4EE7">
              <w:rPr>
                <w:rFonts w:cs="Times New Roman"/>
                <w:noProof/>
              </w:rPr>
              <w:t>C11.R4</w:t>
            </w:r>
          </w:p>
        </w:tc>
        <w:tc>
          <w:tcPr>
            <w:tcW w:w="1091" w:type="dxa"/>
            <w:shd w:val="clear" w:color="auto" w:fill="C6EFCE"/>
          </w:tcPr>
          <w:p w14:paraId="74D87489" w14:textId="77777777" w:rsidR="00D65CB4" w:rsidRPr="00BC4EE7" w:rsidRDefault="00572307">
            <w:pPr>
              <w:pStyle w:val="P68B1DB1-Normal12"/>
              <w:jc w:val="center"/>
              <w:rPr>
                <w:rFonts w:cs="Times New Roman"/>
                <w:noProof/>
              </w:rPr>
            </w:pPr>
            <w:r w:rsidRPr="00BC4EE7">
              <w:rPr>
                <w:rFonts w:cs="Times New Roman"/>
                <w:noProof/>
              </w:rPr>
              <w:t>M</w:t>
            </w:r>
          </w:p>
        </w:tc>
        <w:tc>
          <w:tcPr>
            <w:tcW w:w="1593" w:type="dxa"/>
            <w:shd w:val="clear" w:color="auto" w:fill="C6EFCE"/>
          </w:tcPr>
          <w:p w14:paraId="2EFBAA66" w14:textId="77777777" w:rsidR="00D65CB4" w:rsidRPr="00BC4EE7" w:rsidRDefault="00572307">
            <w:pPr>
              <w:pStyle w:val="P68B1DB1-Normal12"/>
              <w:rPr>
                <w:rFonts w:cs="Times New Roman"/>
                <w:noProof/>
              </w:rPr>
            </w:pPr>
            <w:r w:rsidRPr="00BC4EE7">
              <w:rPr>
                <w:rFonts w:cs="Times New Roman"/>
                <w:noProof/>
              </w:rPr>
              <w:t xml:space="preserve">A Nemzeti Értékelő Hivatalt létrehozó miniszteri rendelet hatálybalépése </w:t>
            </w:r>
          </w:p>
        </w:tc>
        <w:tc>
          <w:tcPr>
            <w:tcW w:w="1409" w:type="dxa"/>
            <w:shd w:val="clear" w:color="auto" w:fill="C6EFCE"/>
          </w:tcPr>
          <w:p w14:paraId="07C4E400" w14:textId="77777777" w:rsidR="00D65CB4" w:rsidRPr="00BC4EE7" w:rsidRDefault="00572307">
            <w:pPr>
              <w:pStyle w:val="P68B1DB1-Normal12"/>
              <w:jc w:val="center"/>
              <w:rPr>
                <w:rFonts w:cs="Times New Roman"/>
                <w:noProof/>
              </w:rPr>
            </w:pPr>
            <w:r w:rsidRPr="00BC4EE7">
              <w:rPr>
                <w:rFonts w:cs="Times New Roman"/>
                <w:noProof/>
              </w:rPr>
              <w:t xml:space="preserve">A miniszteri rendeletben szereplő, a rendelet hatálybalépését feltüntető rendelkezés </w:t>
            </w:r>
          </w:p>
        </w:tc>
        <w:tc>
          <w:tcPr>
            <w:tcW w:w="1059" w:type="dxa"/>
            <w:shd w:val="clear" w:color="auto" w:fill="C6EFCE"/>
          </w:tcPr>
          <w:p w14:paraId="276B786B"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971" w:type="dxa"/>
            <w:shd w:val="clear" w:color="auto" w:fill="C6EFCE"/>
          </w:tcPr>
          <w:p w14:paraId="60F75EFC"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696" w:type="dxa"/>
            <w:shd w:val="clear" w:color="auto" w:fill="C6EFCE"/>
          </w:tcPr>
          <w:p w14:paraId="0D03D9A5"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558" w:type="dxa"/>
            <w:shd w:val="clear" w:color="auto" w:fill="C6EFCE"/>
          </w:tcPr>
          <w:p w14:paraId="67C1383A" w14:textId="77777777" w:rsidR="00D65CB4" w:rsidRPr="00BC4EE7" w:rsidRDefault="00572307">
            <w:pPr>
              <w:pStyle w:val="P68B1DB1-Normal12"/>
              <w:jc w:val="center"/>
              <w:rPr>
                <w:rFonts w:cs="Times New Roman"/>
                <w:noProof/>
              </w:rPr>
            </w:pPr>
            <w:r w:rsidRPr="00BC4EE7">
              <w:rPr>
                <w:rFonts w:cs="Times New Roman"/>
                <w:noProof/>
              </w:rPr>
              <w:t>Q4</w:t>
            </w:r>
          </w:p>
        </w:tc>
        <w:tc>
          <w:tcPr>
            <w:tcW w:w="806" w:type="dxa"/>
            <w:shd w:val="clear" w:color="auto" w:fill="C6EFCE"/>
          </w:tcPr>
          <w:p w14:paraId="7A96E621" w14:textId="77777777" w:rsidR="00D65CB4" w:rsidRPr="00BC4EE7" w:rsidRDefault="00572307">
            <w:pPr>
              <w:pStyle w:val="P68B1DB1-Normal12"/>
              <w:jc w:val="center"/>
              <w:rPr>
                <w:rFonts w:cs="Times New Roman"/>
                <w:noProof/>
              </w:rPr>
            </w:pPr>
            <w:r w:rsidRPr="00BC4EE7">
              <w:rPr>
                <w:rFonts w:cs="Times New Roman"/>
                <w:noProof/>
              </w:rPr>
              <w:t>2021</w:t>
            </w:r>
          </w:p>
        </w:tc>
        <w:tc>
          <w:tcPr>
            <w:tcW w:w="3895" w:type="dxa"/>
            <w:shd w:val="clear" w:color="auto" w:fill="C6EFCE"/>
          </w:tcPr>
          <w:p w14:paraId="0A0770C2" w14:textId="77777777" w:rsidR="00D65CB4" w:rsidRPr="00BC4EE7" w:rsidRDefault="00572307">
            <w:pPr>
              <w:pStyle w:val="P68B1DB1-Normal12"/>
              <w:rPr>
                <w:rFonts w:cs="Times New Roman"/>
                <w:noProof/>
              </w:rPr>
            </w:pPr>
            <w:r w:rsidRPr="00BC4EE7">
              <w:rPr>
                <w:rFonts w:cs="Times New Roman"/>
                <w:noProof/>
              </w:rPr>
              <w:t>A Közbeszerzéseket Szabályozó és Felügyeleti Független Hivatalon (OIReScon) belül a Nemzeti Értékelő Hivatalt (</w:t>
            </w:r>
            <w:r w:rsidRPr="00BC4EE7">
              <w:rPr>
                <w:rFonts w:cs="Times New Roman"/>
                <w:i/>
                <w:noProof/>
              </w:rPr>
              <w:t>Oficina Nacional de Evaluación</w:t>
            </w:r>
            <w:r w:rsidRPr="00BC4EE7">
              <w:rPr>
                <w:rFonts w:cs="Times New Roman"/>
                <w:noProof/>
              </w:rPr>
              <w:t>) létrehozó miniszteri rendelet hatálybalépése. A közbeszerzésről szóló 9/2017. sz. törvény 333. cikkével összhangban e Hivatal értékeli a koncessziós szerződéseknek a közbeszerzésről szóló 9/2017. sz. törvény 14. és 15. cikkében meghatározott pénzügyi fenntarthatóságát. A miniszteri rendelet feljogosítja a Hivatalt feladatainak ellátásához szükséges kapacitással és eszközökkel.</w:t>
            </w:r>
          </w:p>
        </w:tc>
      </w:tr>
      <w:tr w:rsidR="00D65CB4" w:rsidRPr="00BC4EE7" w14:paraId="22BF9568" w14:textId="77777777" w:rsidTr="00481CF8">
        <w:trPr>
          <w:trHeight w:val="309"/>
        </w:trPr>
        <w:tc>
          <w:tcPr>
            <w:tcW w:w="1195" w:type="dxa"/>
            <w:shd w:val="clear" w:color="auto" w:fill="C6EFCE"/>
          </w:tcPr>
          <w:p w14:paraId="1C450ABE" w14:textId="77777777" w:rsidR="00D65CB4" w:rsidRPr="00BC4EE7" w:rsidRDefault="00572307">
            <w:pPr>
              <w:pStyle w:val="P68B1DB1-Normal12"/>
              <w:jc w:val="center"/>
              <w:rPr>
                <w:rFonts w:cs="Times New Roman"/>
                <w:noProof/>
              </w:rPr>
            </w:pPr>
            <w:r w:rsidRPr="00BC4EE7">
              <w:rPr>
                <w:rFonts w:cs="Times New Roman"/>
                <w:noProof/>
              </w:rPr>
              <w:t>156</w:t>
            </w:r>
          </w:p>
        </w:tc>
        <w:tc>
          <w:tcPr>
            <w:tcW w:w="1323" w:type="dxa"/>
            <w:shd w:val="clear" w:color="auto" w:fill="C6EFCE"/>
          </w:tcPr>
          <w:p w14:paraId="1FB9E4AE" w14:textId="77777777" w:rsidR="00D65CB4" w:rsidRPr="00BC4EE7" w:rsidRDefault="00572307">
            <w:pPr>
              <w:pStyle w:val="P68B1DB1-Normal12"/>
              <w:jc w:val="center"/>
              <w:rPr>
                <w:rFonts w:cs="Times New Roman"/>
                <w:noProof/>
              </w:rPr>
            </w:pPr>
            <w:r w:rsidRPr="00BC4EE7">
              <w:rPr>
                <w:rFonts w:cs="Times New Roman"/>
                <w:noProof/>
              </w:rPr>
              <w:t>C11.R4</w:t>
            </w:r>
          </w:p>
        </w:tc>
        <w:tc>
          <w:tcPr>
            <w:tcW w:w="1091" w:type="dxa"/>
            <w:shd w:val="clear" w:color="auto" w:fill="C6EFCE"/>
          </w:tcPr>
          <w:p w14:paraId="3986AFE4" w14:textId="77777777" w:rsidR="00D65CB4" w:rsidRPr="00BC4EE7" w:rsidRDefault="00572307">
            <w:pPr>
              <w:pStyle w:val="P68B1DB1-Normal12"/>
              <w:jc w:val="center"/>
              <w:rPr>
                <w:rFonts w:cs="Times New Roman"/>
                <w:noProof/>
              </w:rPr>
            </w:pPr>
            <w:r w:rsidRPr="00BC4EE7">
              <w:rPr>
                <w:rFonts w:cs="Times New Roman"/>
                <w:noProof/>
              </w:rPr>
              <w:t>M</w:t>
            </w:r>
          </w:p>
        </w:tc>
        <w:tc>
          <w:tcPr>
            <w:tcW w:w="1593" w:type="dxa"/>
            <w:shd w:val="clear" w:color="auto" w:fill="C6EFCE"/>
          </w:tcPr>
          <w:p w14:paraId="7F169F02" w14:textId="77777777" w:rsidR="00D65CB4" w:rsidRPr="00BC4EE7" w:rsidRDefault="00572307">
            <w:pPr>
              <w:pStyle w:val="P68B1DB1-Normal12"/>
              <w:rPr>
                <w:rFonts w:cs="Times New Roman"/>
                <w:noProof/>
              </w:rPr>
            </w:pPr>
            <w:r w:rsidRPr="00BC4EE7">
              <w:rPr>
                <w:rFonts w:cs="Times New Roman"/>
                <w:noProof/>
              </w:rPr>
              <w:t>Nemzeti közbeszerzési stratégia</w:t>
            </w:r>
          </w:p>
        </w:tc>
        <w:tc>
          <w:tcPr>
            <w:tcW w:w="1409" w:type="dxa"/>
            <w:shd w:val="clear" w:color="auto" w:fill="C6EFCE"/>
          </w:tcPr>
          <w:p w14:paraId="21DF001F" w14:textId="77777777" w:rsidR="00D65CB4" w:rsidRPr="00BC4EE7" w:rsidRDefault="00572307">
            <w:pPr>
              <w:pStyle w:val="P68B1DB1-Normal12"/>
              <w:jc w:val="center"/>
              <w:rPr>
                <w:rFonts w:cs="Times New Roman"/>
                <w:noProof/>
              </w:rPr>
            </w:pPr>
            <w:r w:rsidRPr="00BC4EE7">
              <w:rPr>
                <w:rFonts w:cs="Times New Roman"/>
                <w:noProof/>
              </w:rPr>
              <w:t>A Közbeszerzési Szabályozó és Felügyeleti Független Hivatal elfogadta a nemzeti közbeszerzési stratégiát</w:t>
            </w:r>
          </w:p>
        </w:tc>
        <w:tc>
          <w:tcPr>
            <w:tcW w:w="1059" w:type="dxa"/>
            <w:shd w:val="clear" w:color="auto" w:fill="C6EFCE"/>
          </w:tcPr>
          <w:p w14:paraId="03146A6D"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971" w:type="dxa"/>
            <w:shd w:val="clear" w:color="auto" w:fill="C6EFCE"/>
          </w:tcPr>
          <w:p w14:paraId="41437DD0"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696" w:type="dxa"/>
            <w:shd w:val="clear" w:color="auto" w:fill="C6EFCE"/>
          </w:tcPr>
          <w:p w14:paraId="553E6077"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558" w:type="dxa"/>
            <w:shd w:val="clear" w:color="auto" w:fill="C6EFCE"/>
          </w:tcPr>
          <w:p w14:paraId="5507A625" w14:textId="77777777" w:rsidR="00D65CB4" w:rsidRPr="00BC4EE7" w:rsidRDefault="00572307">
            <w:pPr>
              <w:pStyle w:val="P68B1DB1-Normal12"/>
              <w:jc w:val="center"/>
              <w:rPr>
                <w:rFonts w:cs="Times New Roman"/>
                <w:noProof/>
              </w:rPr>
            </w:pPr>
            <w:r w:rsidRPr="00BC4EE7">
              <w:rPr>
                <w:rFonts w:cs="Times New Roman"/>
                <w:noProof/>
              </w:rPr>
              <w:t>Q4</w:t>
            </w:r>
          </w:p>
        </w:tc>
        <w:tc>
          <w:tcPr>
            <w:tcW w:w="806" w:type="dxa"/>
            <w:shd w:val="clear" w:color="auto" w:fill="C6EFCE"/>
          </w:tcPr>
          <w:p w14:paraId="217DCF61" w14:textId="77777777" w:rsidR="00D65CB4" w:rsidRPr="00BC4EE7" w:rsidRDefault="00572307">
            <w:pPr>
              <w:pStyle w:val="P68B1DB1-Normal12"/>
              <w:jc w:val="center"/>
              <w:rPr>
                <w:rFonts w:cs="Times New Roman"/>
                <w:noProof/>
              </w:rPr>
            </w:pPr>
            <w:r w:rsidRPr="00BC4EE7">
              <w:rPr>
                <w:rFonts w:cs="Times New Roman"/>
                <w:noProof/>
              </w:rPr>
              <w:t>2022</w:t>
            </w:r>
          </w:p>
        </w:tc>
        <w:tc>
          <w:tcPr>
            <w:tcW w:w="3895" w:type="dxa"/>
            <w:shd w:val="clear" w:color="auto" w:fill="C6EFCE"/>
          </w:tcPr>
          <w:p w14:paraId="72899254" w14:textId="77777777" w:rsidR="00D65CB4" w:rsidRPr="00BC4EE7" w:rsidRDefault="00572307">
            <w:pPr>
              <w:pStyle w:val="P68B1DB1-Normal12"/>
              <w:rPr>
                <w:rFonts w:cs="Times New Roman"/>
                <w:noProof/>
              </w:rPr>
            </w:pPr>
            <w:r w:rsidRPr="00BC4EE7">
              <w:rPr>
                <w:rFonts w:cs="Times New Roman"/>
                <w:noProof/>
              </w:rPr>
              <w:t xml:space="preserve">A 9/2017. sz. törvény 334. cikkében meghatározott követelményekkel összhangban a nemzeti közbeszerzési stratégia célja a közbeszerzés hatékonyságának és fenntarthatóságának javítása. A stratégia a következő elemeket tartalmazza: a stratégiai közbeszerzés előmozdítása; ii. professzionalizálás; a kkv-k közbeszerzéshez való hozzáférésének megkönnyítése; a rendelkezésre álló adatok javítása; v. a közbeszerzés hatékonyságának előmozdítása; vi. a közbeszerzés teljes digitális átalakítása; a jogbiztonság fokozása; VIII. a közbeszerzés felügyeletének és ellenőrzésének javítása, beleértve a korrupció megelőzését az azonosított kockázatok térképe alapján. </w:t>
            </w:r>
          </w:p>
        </w:tc>
      </w:tr>
      <w:tr w:rsidR="00D65CB4" w:rsidRPr="00BC4EE7" w14:paraId="176C6745" w14:textId="77777777" w:rsidTr="00481CF8">
        <w:trPr>
          <w:trHeight w:val="309"/>
        </w:trPr>
        <w:tc>
          <w:tcPr>
            <w:tcW w:w="1195" w:type="dxa"/>
            <w:shd w:val="clear" w:color="auto" w:fill="C6EFCE"/>
          </w:tcPr>
          <w:p w14:paraId="2AD3780C" w14:textId="77777777" w:rsidR="00D65CB4" w:rsidRPr="00BC4EE7" w:rsidRDefault="00572307">
            <w:pPr>
              <w:pStyle w:val="P68B1DB1-Normal12"/>
              <w:jc w:val="center"/>
              <w:rPr>
                <w:rFonts w:cs="Times New Roman"/>
                <w:noProof/>
              </w:rPr>
            </w:pPr>
            <w:r w:rsidRPr="00BC4EE7">
              <w:rPr>
                <w:rFonts w:cs="Times New Roman"/>
                <w:noProof/>
              </w:rPr>
              <w:t>157</w:t>
            </w:r>
          </w:p>
        </w:tc>
        <w:tc>
          <w:tcPr>
            <w:tcW w:w="1323" w:type="dxa"/>
            <w:shd w:val="clear" w:color="auto" w:fill="C6EFCE"/>
          </w:tcPr>
          <w:p w14:paraId="0DB11FDB" w14:textId="77777777" w:rsidR="00D65CB4" w:rsidRPr="00BC4EE7" w:rsidRDefault="00572307">
            <w:pPr>
              <w:pStyle w:val="P68B1DB1-Normal12"/>
              <w:jc w:val="center"/>
              <w:rPr>
                <w:rFonts w:cs="Times New Roman"/>
                <w:noProof/>
              </w:rPr>
            </w:pPr>
            <w:r w:rsidRPr="00BC4EE7">
              <w:rPr>
                <w:rFonts w:cs="Times New Roman"/>
                <w:noProof/>
              </w:rPr>
              <w:t>C11.R5</w:t>
            </w:r>
          </w:p>
        </w:tc>
        <w:tc>
          <w:tcPr>
            <w:tcW w:w="1091" w:type="dxa"/>
            <w:shd w:val="clear" w:color="auto" w:fill="C6EFCE"/>
          </w:tcPr>
          <w:p w14:paraId="5F1FD093" w14:textId="77777777" w:rsidR="00D65CB4" w:rsidRPr="00BC4EE7" w:rsidRDefault="00572307">
            <w:pPr>
              <w:pStyle w:val="P68B1DB1-Normal12"/>
              <w:jc w:val="center"/>
              <w:rPr>
                <w:rFonts w:cs="Times New Roman"/>
                <w:noProof/>
              </w:rPr>
            </w:pPr>
            <w:r w:rsidRPr="00BC4EE7">
              <w:rPr>
                <w:rFonts w:cs="Times New Roman"/>
                <w:noProof/>
              </w:rPr>
              <w:t>M</w:t>
            </w:r>
          </w:p>
        </w:tc>
        <w:tc>
          <w:tcPr>
            <w:tcW w:w="1593" w:type="dxa"/>
            <w:shd w:val="clear" w:color="auto" w:fill="C6EFCE"/>
          </w:tcPr>
          <w:p w14:paraId="62918432" w14:textId="77777777" w:rsidR="00D65CB4" w:rsidRPr="00BC4EE7" w:rsidRDefault="00572307">
            <w:pPr>
              <w:pStyle w:val="P68B1DB1-Normal12"/>
              <w:rPr>
                <w:rFonts w:cs="Times New Roman"/>
                <w:noProof/>
              </w:rPr>
            </w:pPr>
            <w:r w:rsidRPr="00BC4EE7">
              <w:rPr>
                <w:rFonts w:cs="Times New Roman"/>
                <w:noProof/>
              </w:rPr>
              <w:t>A helyreállítási, átalakítási és rezilienciaépítési terv végrehajtásáról szóló 36/2020. sz. királyi törvényerejű rendelet hatálybalépése</w:t>
            </w:r>
          </w:p>
        </w:tc>
        <w:tc>
          <w:tcPr>
            <w:tcW w:w="1409" w:type="dxa"/>
            <w:shd w:val="clear" w:color="auto" w:fill="C6EFCE"/>
          </w:tcPr>
          <w:p w14:paraId="0389687B" w14:textId="77777777" w:rsidR="00D65CB4" w:rsidRPr="00BC4EE7" w:rsidRDefault="00572307">
            <w:pPr>
              <w:pStyle w:val="P68B1DB1-Normal12"/>
              <w:jc w:val="center"/>
              <w:rPr>
                <w:rFonts w:cs="Times New Roman"/>
                <w:noProof/>
              </w:rPr>
            </w:pPr>
            <w:r w:rsidRPr="00BC4EE7">
              <w:rPr>
                <w:rFonts w:cs="Times New Roman"/>
                <w:noProof/>
              </w:rPr>
              <w:t>A királyi rendeletben szereplő, a királyi rendelet hatálybalépését feltüntető rendelkezés</w:t>
            </w:r>
          </w:p>
        </w:tc>
        <w:tc>
          <w:tcPr>
            <w:tcW w:w="1059" w:type="dxa"/>
            <w:shd w:val="clear" w:color="auto" w:fill="C6EFCE"/>
          </w:tcPr>
          <w:p w14:paraId="4979E2E4"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971" w:type="dxa"/>
            <w:shd w:val="clear" w:color="auto" w:fill="C6EFCE"/>
          </w:tcPr>
          <w:p w14:paraId="6402251C"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696" w:type="dxa"/>
            <w:shd w:val="clear" w:color="auto" w:fill="C6EFCE"/>
          </w:tcPr>
          <w:p w14:paraId="41568CAC"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558" w:type="dxa"/>
            <w:shd w:val="clear" w:color="auto" w:fill="C6EFCE"/>
          </w:tcPr>
          <w:p w14:paraId="305F72BC" w14:textId="77777777" w:rsidR="00D65CB4" w:rsidRPr="00BC4EE7" w:rsidRDefault="00572307">
            <w:pPr>
              <w:pStyle w:val="P68B1DB1-Normal12"/>
              <w:jc w:val="center"/>
              <w:rPr>
                <w:rFonts w:cs="Times New Roman"/>
                <w:noProof/>
              </w:rPr>
            </w:pPr>
            <w:r w:rsidRPr="00BC4EE7">
              <w:rPr>
                <w:rFonts w:cs="Times New Roman"/>
                <w:noProof/>
              </w:rPr>
              <w:t>Q1</w:t>
            </w:r>
          </w:p>
        </w:tc>
        <w:tc>
          <w:tcPr>
            <w:tcW w:w="806" w:type="dxa"/>
            <w:shd w:val="clear" w:color="auto" w:fill="C6EFCE"/>
          </w:tcPr>
          <w:p w14:paraId="58C15E60" w14:textId="77777777" w:rsidR="00D65CB4" w:rsidRPr="00BC4EE7" w:rsidRDefault="00572307">
            <w:pPr>
              <w:pStyle w:val="P68B1DB1-Normal12"/>
              <w:jc w:val="center"/>
              <w:rPr>
                <w:rFonts w:cs="Times New Roman"/>
                <w:noProof/>
              </w:rPr>
            </w:pPr>
            <w:r w:rsidRPr="00BC4EE7">
              <w:rPr>
                <w:rFonts w:cs="Times New Roman"/>
                <w:noProof/>
              </w:rPr>
              <w:t>2021</w:t>
            </w:r>
          </w:p>
        </w:tc>
        <w:tc>
          <w:tcPr>
            <w:tcW w:w="3895" w:type="dxa"/>
            <w:shd w:val="clear" w:color="auto" w:fill="C6EFCE"/>
          </w:tcPr>
          <w:p w14:paraId="0D4E7F0A" w14:textId="77777777" w:rsidR="00D65CB4" w:rsidRPr="00BC4EE7" w:rsidRDefault="00572307">
            <w:pPr>
              <w:pStyle w:val="P68B1DB1-Normal12"/>
              <w:rPr>
                <w:rFonts w:cs="Times New Roman"/>
                <w:noProof/>
              </w:rPr>
            </w:pPr>
            <w:r w:rsidRPr="00BC4EE7">
              <w:rPr>
                <w:rFonts w:cs="Times New Roman"/>
                <w:noProof/>
              </w:rPr>
              <w:t>A közigazgatás korszerűsítésére, valamint a spanyol helyreállítási és rezilienciaépítési terv végrehajtására irányuló sürgős intézkedések jóváhagyásáról szóló, december 30-i 36/2020. sz. királyi törvényerejű rendelet hatálybalépése, amely lehetővé teszi a spanyol közigazgatások számára a helyreállítási és rezilienciaépítési terv időben történő és az uniós joggal – többek között a Helyreállítási és Rezilienciaépítési Eszközről szóló rendelettel – összhangban történő végrehajtásához szükséges eszközöket, többek között jogi eszközöket. A királyi törvényerejű rendelet olyan szabályozási reformokat vezet be, amelyek felgyorsítják a projektek végrehajtását és nagyobb hatékonyságot tesznek lehetővé a közkiadások terén, mindenkor fenntartva az uniós szabályozási keret által előírt garanciákat és ellenőrzéseket.</w:t>
            </w:r>
          </w:p>
        </w:tc>
      </w:tr>
      <w:tr w:rsidR="00D65CB4" w:rsidRPr="00BC4EE7" w14:paraId="1021F9E9" w14:textId="77777777" w:rsidTr="00481CF8">
        <w:trPr>
          <w:trHeight w:val="309"/>
        </w:trPr>
        <w:tc>
          <w:tcPr>
            <w:tcW w:w="1195" w:type="dxa"/>
            <w:shd w:val="clear" w:color="auto" w:fill="C6EFCE"/>
          </w:tcPr>
          <w:p w14:paraId="34C2843B" w14:textId="77777777" w:rsidR="00D65CB4" w:rsidRPr="00BC4EE7" w:rsidRDefault="00572307">
            <w:pPr>
              <w:pStyle w:val="P68B1DB1-Normal12"/>
              <w:jc w:val="center"/>
              <w:rPr>
                <w:rFonts w:cs="Times New Roman"/>
                <w:noProof/>
              </w:rPr>
            </w:pPr>
            <w:r w:rsidRPr="00BC4EE7">
              <w:rPr>
                <w:rFonts w:cs="Times New Roman"/>
                <w:noProof/>
              </w:rPr>
              <w:t>158</w:t>
            </w:r>
          </w:p>
        </w:tc>
        <w:tc>
          <w:tcPr>
            <w:tcW w:w="1323" w:type="dxa"/>
            <w:shd w:val="clear" w:color="auto" w:fill="C6EFCE"/>
          </w:tcPr>
          <w:p w14:paraId="25578DD2" w14:textId="77777777" w:rsidR="00D65CB4" w:rsidRPr="00BC4EE7" w:rsidRDefault="00572307">
            <w:pPr>
              <w:pStyle w:val="P68B1DB1-Normal12"/>
              <w:jc w:val="center"/>
              <w:rPr>
                <w:rFonts w:cs="Times New Roman"/>
                <w:noProof/>
              </w:rPr>
            </w:pPr>
            <w:r w:rsidRPr="00BC4EE7">
              <w:rPr>
                <w:rFonts w:cs="Times New Roman"/>
                <w:noProof/>
              </w:rPr>
              <w:t>C11.R5</w:t>
            </w:r>
          </w:p>
        </w:tc>
        <w:tc>
          <w:tcPr>
            <w:tcW w:w="1091" w:type="dxa"/>
            <w:shd w:val="clear" w:color="auto" w:fill="C6EFCE"/>
          </w:tcPr>
          <w:p w14:paraId="2AE88895" w14:textId="77777777" w:rsidR="00D65CB4" w:rsidRPr="00BC4EE7" w:rsidRDefault="00572307">
            <w:pPr>
              <w:pStyle w:val="P68B1DB1-Normal12"/>
              <w:jc w:val="center"/>
              <w:rPr>
                <w:rFonts w:cs="Times New Roman"/>
                <w:noProof/>
              </w:rPr>
            </w:pPr>
            <w:r w:rsidRPr="00BC4EE7">
              <w:rPr>
                <w:rFonts w:cs="Times New Roman"/>
                <w:noProof/>
              </w:rPr>
              <w:t>M</w:t>
            </w:r>
          </w:p>
        </w:tc>
        <w:tc>
          <w:tcPr>
            <w:tcW w:w="1593" w:type="dxa"/>
            <w:shd w:val="clear" w:color="auto" w:fill="C6EFCE"/>
          </w:tcPr>
          <w:p w14:paraId="35CC870F" w14:textId="77777777" w:rsidR="00D65CB4" w:rsidRPr="00BC4EE7" w:rsidRDefault="00572307">
            <w:pPr>
              <w:pStyle w:val="P68B1DB1-Normal12"/>
              <w:rPr>
                <w:rFonts w:cs="Times New Roman"/>
                <w:noProof/>
              </w:rPr>
            </w:pPr>
            <w:r w:rsidRPr="00BC4EE7">
              <w:rPr>
                <w:rFonts w:cs="Times New Roman"/>
                <w:noProof/>
              </w:rPr>
              <w:t>Új szervek létrehozása a központi kormányzaton belül a terv végrehajtásának, ellenőrzésének és ellenőrzésének nyomon követésére.</w:t>
            </w:r>
          </w:p>
        </w:tc>
        <w:tc>
          <w:tcPr>
            <w:tcW w:w="1409" w:type="dxa"/>
            <w:shd w:val="clear" w:color="auto" w:fill="C6EFCE"/>
          </w:tcPr>
          <w:p w14:paraId="02661681" w14:textId="77777777" w:rsidR="00D65CB4" w:rsidRPr="00BC4EE7" w:rsidRDefault="00572307">
            <w:pPr>
              <w:pStyle w:val="P68B1DB1-Normal12"/>
              <w:jc w:val="center"/>
              <w:rPr>
                <w:rFonts w:cs="Times New Roman"/>
                <w:noProof/>
              </w:rPr>
            </w:pPr>
            <w:r w:rsidRPr="00BC4EE7">
              <w:rPr>
                <w:rFonts w:cs="Times New Roman"/>
                <w:noProof/>
              </w:rPr>
              <w:t>Közzététel a HL-ben</w:t>
            </w:r>
          </w:p>
        </w:tc>
        <w:tc>
          <w:tcPr>
            <w:tcW w:w="1059" w:type="dxa"/>
            <w:shd w:val="clear" w:color="auto" w:fill="C6EFCE"/>
          </w:tcPr>
          <w:p w14:paraId="217A145A"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971" w:type="dxa"/>
            <w:shd w:val="clear" w:color="auto" w:fill="C6EFCE"/>
          </w:tcPr>
          <w:p w14:paraId="636B9118"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696" w:type="dxa"/>
            <w:shd w:val="clear" w:color="auto" w:fill="C6EFCE"/>
          </w:tcPr>
          <w:p w14:paraId="30AA32BE"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558" w:type="dxa"/>
            <w:shd w:val="clear" w:color="auto" w:fill="C6EFCE"/>
          </w:tcPr>
          <w:p w14:paraId="0C696184" w14:textId="77777777" w:rsidR="00D65CB4" w:rsidRPr="00BC4EE7" w:rsidRDefault="00572307">
            <w:pPr>
              <w:pStyle w:val="P68B1DB1-Normal12"/>
              <w:jc w:val="center"/>
              <w:rPr>
                <w:rFonts w:cs="Times New Roman"/>
                <w:noProof/>
              </w:rPr>
            </w:pPr>
            <w:r w:rsidRPr="00BC4EE7">
              <w:rPr>
                <w:rFonts w:cs="Times New Roman"/>
                <w:noProof/>
              </w:rPr>
              <w:t>Q2</w:t>
            </w:r>
          </w:p>
        </w:tc>
        <w:tc>
          <w:tcPr>
            <w:tcW w:w="806" w:type="dxa"/>
            <w:shd w:val="clear" w:color="auto" w:fill="C6EFCE"/>
          </w:tcPr>
          <w:p w14:paraId="41CECB29" w14:textId="77777777" w:rsidR="00D65CB4" w:rsidRPr="00BC4EE7" w:rsidRDefault="00572307">
            <w:pPr>
              <w:pStyle w:val="P68B1DB1-Normal12"/>
              <w:jc w:val="center"/>
              <w:rPr>
                <w:rFonts w:cs="Times New Roman"/>
                <w:noProof/>
              </w:rPr>
            </w:pPr>
            <w:r w:rsidRPr="00BC4EE7">
              <w:rPr>
                <w:rFonts w:cs="Times New Roman"/>
                <w:noProof/>
              </w:rPr>
              <w:t>2021</w:t>
            </w:r>
          </w:p>
        </w:tc>
        <w:tc>
          <w:tcPr>
            <w:tcW w:w="3895" w:type="dxa"/>
            <w:shd w:val="clear" w:color="auto" w:fill="C6EFCE"/>
          </w:tcPr>
          <w:p w14:paraId="3554C54D" w14:textId="77777777" w:rsidR="00D65CB4" w:rsidRPr="00BC4EE7" w:rsidRDefault="00572307">
            <w:pPr>
              <w:pStyle w:val="P68B1DB1-Normal12"/>
              <w:rPr>
                <w:rFonts w:cs="Times New Roman"/>
                <w:noProof/>
              </w:rPr>
            </w:pPr>
            <w:r w:rsidRPr="00BC4EE7">
              <w:rPr>
                <w:rFonts w:cs="Times New Roman"/>
                <w:noProof/>
              </w:rPr>
              <w:t>Az európai alapok főtitkárának (Secretaría General de Fondos Europeos) és új részlegeinek létrehozása a Költségvetési Informática Presupuestaria (Oficina de Informática Presupuestaria) és az Államigazgatás főellenőrének (Intervención General de la Administración del Estado) nemzeti számvevőszékén (Oficina Nacional de Auditoría) belül a hosszú távú teljesítményalapú tervezési és ellenőrzési igazgatási kultúra előmozdítása érdekében, a terv irányításával és ellenőrzésével kapcsolatos tapasztalatok révén, valamint az 1182/2020. sz. királyi rendelet rendelkezéseivel összhangban.</w:t>
            </w:r>
          </w:p>
        </w:tc>
      </w:tr>
      <w:tr w:rsidR="00D65CB4" w:rsidRPr="00BC4EE7" w14:paraId="5F77562F" w14:textId="77777777" w:rsidTr="00481CF8">
        <w:trPr>
          <w:trHeight w:val="309"/>
        </w:trPr>
        <w:tc>
          <w:tcPr>
            <w:tcW w:w="1195" w:type="dxa"/>
            <w:shd w:val="clear" w:color="auto" w:fill="C6EFCE"/>
          </w:tcPr>
          <w:p w14:paraId="027D1872" w14:textId="77777777" w:rsidR="00D65CB4" w:rsidRPr="00BC4EE7" w:rsidRDefault="00572307">
            <w:pPr>
              <w:pStyle w:val="P68B1DB1-Normal12"/>
              <w:jc w:val="center"/>
              <w:rPr>
                <w:rFonts w:cs="Times New Roman"/>
                <w:noProof/>
              </w:rPr>
            </w:pPr>
            <w:r w:rsidRPr="00BC4EE7">
              <w:rPr>
                <w:rFonts w:cs="Times New Roman"/>
                <w:noProof/>
              </w:rPr>
              <w:t>159</w:t>
            </w:r>
          </w:p>
        </w:tc>
        <w:tc>
          <w:tcPr>
            <w:tcW w:w="1323" w:type="dxa"/>
            <w:shd w:val="clear" w:color="auto" w:fill="C6EFCE"/>
          </w:tcPr>
          <w:p w14:paraId="141F74C1" w14:textId="77777777" w:rsidR="00D65CB4" w:rsidRPr="00BC4EE7" w:rsidRDefault="00572307">
            <w:pPr>
              <w:pStyle w:val="P68B1DB1-Normal12"/>
              <w:jc w:val="center"/>
              <w:rPr>
                <w:rFonts w:cs="Times New Roman"/>
                <w:noProof/>
              </w:rPr>
            </w:pPr>
            <w:r w:rsidRPr="00BC4EE7">
              <w:rPr>
                <w:rFonts w:cs="Times New Roman"/>
                <w:noProof/>
              </w:rPr>
              <w:t>C11.R5</w:t>
            </w:r>
          </w:p>
        </w:tc>
        <w:tc>
          <w:tcPr>
            <w:tcW w:w="1091" w:type="dxa"/>
            <w:shd w:val="clear" w:color="auto" w:fill="C6EFCE"/>
          </w:tcPr>
          <w:p w14:paraId="15CED175" w14:textId="77777777" w:rsidR="00D65CB4" w:rsidRPr="00BC4EE7" w:rsidRDefault="00572307">
            <w:pPr>
              <w:pStyle w:val="P68B1DB1-Normal12"/>
              <w:jc w:val="center"/>
              <w:rPr>
                <w:rFonts w:cs="Times New Roman"/>
                <w:noProof/>
              </w:rPr>
            </w:pPr>
            <w:r w:rsidRPr="00BC4EE7">
              <w:rPr>
                <w:rFonts w:cs="Times New Roman"/>
                <w:noProof/>
              </w:rPr>
              <w:t>M</w:t>
            </w:r>
          </w:p>
        </w:tc>
        <w:tc>
          <w:tcPr>
            <w:tcW w:w="1593" w:type="dxa"/>
            <w:shd w:val="clear" w:color="auto" w:fill="C6EFCE"/>
          </w:tcPr>
          <w:p w14:paraId="3A46289B" w14:textId="77777777" w:rsidR="00D65CB4" w:rsidRPr="00BC4EE7" w:rsidRDefault="00572307">
            <w:pPr>
              <w:pStyle w:val="P68B1DB1-Normal12"/>
              <w:rPr>
                <w:rFonts w:cs="Times New Roman"/>
                <w:noProof/>
              </w:rPr>
            </w:pPr>
            <w:r w:rsidRPr="00BC4EE7">
              <w:rPr>
                <w:rFonts w:cs="Times New Roman"/>
                <w:noProof/>
              </w:rPr>
              <w:t>A helyreállítási és rezilienciaépítési terv nyomon követése és a kiadások számviteli végrehajtása céljából megosztandó információk eljárásait és formátumát meghatározó végzés</w:t>
            </w:r>
          </w:p>
        </w:tc>
        <w:tc>
          <w:tcPr>
            <w:tcW w:w="1409" w:type="dxa"/>
            <w:shd w:val="clear" w:color="auto" w:fill="C6EFCE"/>
          </w:tcPr>
          <w:p w14:paraId="30909781" w14:textId="77777777" w:rsidR="00D65CB4" w:rsidRPr="00BC4EE7" w:rsidRDefault="00572307">
            <w:pPr>
              <w:pStyle w:val="P68B1DB1-Normal12"/>
              <w:jc w:val="center"/>
              <w:rPr>
                <w:rFonts w:cs="Times New Roman"/>
                <w:noProof/>
              </w:rPr>
            </w:pPr>
            <w:r w:rsidRPr="00BC4EE7">
              <w:rPr>
                <w:rFonts w:cs="Times New Roman"/>
                <w:noProof/>
              </w:rPr>
              <w:t>A végzés hatálybalépését jelző sorrendben szereplő rendelkezés</w:t>
            </w:r>
          </w:p>
        </w:tc>
        <w:tc>
          <w:tcPr>
            <w:tcW w:w="1059" w:type="dxa"/>
            <w:shd w:val="clear" w:color="auto" w:fill="C6EFCE"/>
          </w:tcPr>
          <w:p w14:paraId="3610F77F"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971" w:type="dxa"/>
            <w:shd w:val="clear" w:color="auto" w:fill="C6EFCE"/>
          </w:tcPr>
          <w:p w14:paraId="43F38F7D"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696" w:type="dxa"/>
            <w:shd w:val="clear" w:color="auto" w:fill="C6EFCE"/>
          </w:tcPr>
          <w:p w14:paraId="71D48BC5"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558" w:type="dxa"/>
            <w:shd w:val="clear" w:color="auto" w:fill="C6EFCE"/>
          </w:tcPr>
          <w:p w14:paraId="0202EAD9" w14:textId="77777777" w:rsidR="00D65CB4" w:rsidRPr="00BC4EE7" w:rsidRDefault="00572307">
            <w:pPr>
              <w:pStyle w:val="P68B1DB1-Normal12"/>
              <w:jc w:val="center"/>
              <w:rPr>
                <w:rFonts w:cs="Times New Roman"/>
                <w:noProof/>
              </w:rPr>
            </w:pPr>
            <w:r w:rsidRPr="00BC4EE7">
              <w:rPr>
                <w:rFonts w:cs="Times New Roman"/>
                <w:noProof/>
              </w:rPr>
              <w:t>Q3</w:t>
            </w:r>
          </w:p>
        </w:tc>
        <w:tc>
          <w:tcPr>
            <w:tcW w:w="806" w:type="dxa"/>
            <w:shd w:val="clear" w:color="auto" w:fill="C6EFCE"/>
          </w:tcPr>
          <w:p w14:paraId="44F8380F" w14:textId="77777777" w:rsidR="00D65CB4" w:rsidRPr="00BC4EE7" w:rsidRDefault="00572307">
            <w:pPr>
              <w:pStyle w:val="P68B1DB1-Normal12"/>
              <w:jc w:val="center"/>
              <w:rPr>
                <w:rFonts w:cs="Times New Roman"/>
                <w:noProof/>
              </w:rPr>
            </w:pPr>
            <w:r w:rsidRPr="00BC4EE7">
              <w:rPr>
                <w:rFonts w:cs="Times New Roman"/>
                <w:noProof/>
              </w:rPr>
              <w:t>2021</w:t>
            </w:r>
          </w:p>
        </w:tc>
        <w:tc>
          <w:tcPr>
            <w:tcW w:w="3895" w:type="dxa"/>
            <w:shd w:val="clear" w:color="auto" w:fill="C6EFCE"/>
          </w:tcPr>
          <w:p w14:paraId="018B7E42" w14:textId="77777777" w:rsidR="00D65CB4" w:rsidRPr="00BC4EE7" w:rsidRDefault="00572307">
            <w:pPr>
              <w:pStyle w:val="P68B1DB1-Normal12"/>
              <w:rPr>
                <w:rFonts w:cs="Times New Roman"/>
                <w:noProof/>
              </w:rPr>
            </w:pPr>
            <w:r w:rsidRPr="00BC4EE7">
              <w:rPr>
                <w:rFonts w:cs="Times New Roman"/>
                <w:noProof/>
              </w:rPr>
              <w:t>A helyreállítási és rezilienciaépítési terv nyomon követése és a kiadások számviteli végrehajtása céljából megosztandó információk eljárásait és formátumát meghatározó rendelet hatálybalépése</w:t>
            </w:r>
          </w:p>
        </w:tc>
      </w:tr>
      <w:tr w:rsidR="00D65CB4" w:rsidRPr="00BC4EE7" w14:paraId="54A913DA" w14:textId="77777777" w:rsidTr="00481CF8">
        <w:trPr>
          <w:trHeight w:val="309"/>
        </w:trPr>
        <w:tc>
          <w:tcPr>
            <w:tcW w:w="1195" w:type="dxa"/>
            <w:shd w:val="clear" w:color="auto" w:fill="C6EFCE"/>
          </w:tcPr>
          <w:p w14:paraId="0032295D" w14:textId="77777777" w:rsidR="00D65CB4" w:rsidRPr="00BC4EE7" w:rsidRDefault="00572307">
            <w:pPr>
              <w:pStyle w:val="P68B1DB1-Normal12"/>
              <w:jc w:val="center"/>
              <w:rPr>
                <w:rFonts w:cs="Times New Roman"/>
                <w:noProof/>
              </w:rPr>
            </w:pPr>
            <w:r w:rsidRPr="00BC4EE7">
              <w:rPr>
                <w:rFonts w:cs="Times New Roman"/>
                <w:noProof/>
              </w:rPr>
              <w:t>160</w:t>
            </w:r>
          </w:p>
        </w:tc>
        <w:tc>
          <w:tcPr>
            <w:tcW w:w="1323" w:type="dxa"/>
            <w:shd w:val="clear" w:color="auto" w:fill="C6EFCE"/>
          </w:tcPr>
          <w:p w14:paraId="1F697D06" w14:textId="77777777" w:rsidR="00D65CB4" w:rsidRPr="00BC4EE7" w:rsidRDefault="00572307">
            <w:pPr>
              <w:pStyle w:val="P68B1DB1-Normal12"/>
              <w:jc w:val="center"/>
              <w:rPr>
                <w:rFonts w:cs="Times New Roman"/>
                <w:noProof/>
              </w:rPr>
            </w:pPr>
            <w:r w:rsidRPr="00BC4EE7">
              <w:rPr>
                <w:rFonts w:cs="Times New Roman"/>
                <w:noProof/>
              </w:rPr>
              <w:t>C11.I1.</w:t>
            </w:r>
          </w:p>
        </w:tc>
        <w:tc>
          <w:tcPr>
            <w:tcW w:w="1091" w:type="dxa"/>
            <w:shd w:val="clear" w:color="auto" w:fill="C6EFCE"/>
          </w:tcPr>
          <w:p w14:paraId="2CEE176A" w14:textId="77777777" w:rsidR="00D65CB4" w:rsidRPr="00BC4EE7" w:rsidRDefault="00572307">
            <w:pPr>
              <w:pStyle w:val="P68B1DB1-Normal12"/>
              <w:jc w:val="center"/>
              <w:rPr>
                <w:rFonts w:cs="Times New Roman"/>
                <w:noProof/>
              </w:rPr>
            </w:pPr>
            <w:r w:rsidRPr="00BC4EE7">
              <w:rPr>
                <w:rFonts w:cs="Times New Roman"/>
                <w:noProof/>
              </w:rPr>
              <w:t>M</w:t>
            </w:r>
          </w:p>
        </w:tc>
        <w:tc>
          <w:tcPr>
            <w:tcW w:w="1593" w:type="dxa"/>
            <w:shd w:val="clear" w:color="auto" w:fill="C6EFCE"/>
          </w:tcPr>
          <w:p w14:paraId="45050344" w14:textId="77777777" w:rsidR="00D65CB4" w:rsidRPr="00BC4EE7" w:rsidRDefault="00572307">
            <w:pPr>
              <w:pStyle w:val="P68B1DB1-Normal12"/>
              <w:rPr>
                <w:rFonts w:cs="Times New Roman"/>
                <w:noProof/>
              </w:rPr>
            </w:pPr>
            <w:r w:rsidRPr="00BC4EE7">
              <w:rPr>
                <w:rFonts w:cs="Times New Roman"/>
                <w:noProof/>
              </w:rPr>
              <w:t>A nemzeti közbeszerzési platformok összekapcsolása</w:t>
            </w:r>
          </w:p>
        </w:tc>
        <w:tc>
          <w:tcPr>
            <w:tcW w:w="1409" w:type="dxa"/>
            <w:shd w:val="clear" w:color="auto" w:fill="C6EFCE"/>
          </w:tcPr>
          <w:p w14:paraId="6C5B25A9" w14:textId="77777777" w:rsidR="00D65CB4" w:rsidRPr="00BC4EE7" w:rsidRDefault="00572307">
            <w:pPr>
              <w:pStyle w:val="P68B1DB1-Normal12"/>
              <w:jc w:val="center"/>
              <w:rPr>
                <w:rFonts w:cs="Times New Roman"/>
                <w:noProof/>
              </w:rPr>
            </w:pPr>
            <w:r w:rsidRPr="00BC4EE7">
              <w:rPr>
                <w:rFonts w:cs="Times New Roman"/>
                <w:noProof/>
              </w:rPr>
              <w:t xml:space="preserve">A központi és regionális közigazgatási szervek aláírt tanúsítványokat bocsátanak rendelkezésre, amelyek megerősítik a platform funkcióit </w:t>
            </w:r>
          </w:p>
        </w:tc>
        <w:tc>
          <w:tcPr>
            <w:tcW w:w="1059" w:type="dxa"/>
            <w:shd w:val="clear" w:color="auto" w:fill="C6EFCE"/>
          </w:tcPr>
          <w:p w14:paraId="7FC0BC0D"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971" w:type="dxa"/>
            <w:shd w:val="clear" w:color="auto" w:fill="C6EFCE"/>
          </w:tcPr>
          <w:p w14:paraId="1FFB4213"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696" w:type="dxa"/>
            <w:shd w:val="clear" w:color="auto" w:fill="C6EFCE"/>
          </w:tcPr>
          <w:p w14:paraId="0522966B"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558" w:type="dxa"/>
            <w:shd w:val="clear" w:color="auto" w:fill="C6EFCE"/>
          </w:tcPr>
          <w:p w14:paraId="1AF12D3D" w14:textId="77777777" w:rsidR="00D65CB4" w:rsidRPr="00BC4EE7" w:rsidRDefault="00572307">
            <w:pPr>
              <w:pStyle w:val="P68B1DB1-Normal12"/>
              <w:jc w:val="center"/>
              <w:rPr>
                <w:rFonts w:cs="Times New Roman"/>
                <w:noProof/>
              </w:rPr>
            </w:pPr>
            <w:r w:rsidRPr="00BC4EE7">
              <w:rPr>
                <w:rFonts w:cs="Times New Roman"/>
                <w:noProof/>
              </w:rPr>
              <w:t>Q4</w:t>
            </w:r>
          </w:p>
        </w:tc>
        <w:tc>
          <w:tcPr>
            <w:tcW w:w="806" w:type="dxa"/>
            <w:shd w:val="clear" w:color="auto" w:fill="C6EFCE"/>
          </w:tcPr>
          <w:p w14:paraId="316130A3" w14:textId="77777777" w:rsidR="00D65CB4" w:rsidRPr="00BC4EE7" w:rsidRDefault="00572307">
            <w:pPr>
              <w:pStyle w:val="P68B1DB1-Normal12"/>
              <w:jc w:val="center"/>
              <w:rPr>
                <w:rFonts w:cs="Times New Roman"/>
                <w:noProof/>
              </w:rPr>
            </w:pPr>
            <w:r w:rsidRPr="00BC4EE7">
              <w:rPr>
                <w:rFonts w:cs="Times New Roman"/>
                <w:noProof/>
              </w:rPr>
              <w:t>2023</w:t>
            </w:r>
          </w:p>
        </w:tc>
        <w:tc>
          <w:tcPr>
            <w:tcW w:w="3895" w:type="dxa"/>
            <w:shd w:val="clear" w:color="auto" w:fill="C6EFCE"/>
          </w:tcPr>
          <w:p w14:paraId="7893AEE2" w14:textId="77777777" w:rsidR="00D65CB4" w:rsidRPr="00BC4EE7" w:rsidRDefault="00572307">
            <w:pPr>
              <w:rPr>
                <w:rFonts w:ascii="Times New Roman" w:hAnsi="Times New Roman" w:cs="Times New Roman"/>
                <w:noProof/>
                <w:sz w:val="18"/>
              </w:rPr>
            </w:pPr>
            <w:r w:rsidRPr="00BC4EE7">
              <w:rPr>
                <w:rFonts w:ascii="Times New Roman" w:hAnsi="Times New Roman" w:cs="Times New Roman"/>
                <w:noProof/>
                <w:sz w:val="18"/>
              </w:rPr>
              <w:t xml:space="preserve">További összekapcsolás (adatcsere) az összes meglévő közbeszerzési platform (központi és regionális kormányzat) között: legalább 142 nyílt adatmező és 52 összesített adat a központi kormányzati platformon. </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 központi kormányzati platform nyílt adatmezőinek száma 2021 januárjában: 119</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 központi kormányzati platform összesített adatainak száma 2021 januárjában: 43</w:t>
            </w:r>
          </w:p>
        </w:tc>
      </w:tr>
      <w:tr w:rsidR="00D65CB4" w:rsidRPr="00BC4EE7" w14:paraId="53019A9A" w14:textId="77777777" w:rsidTr="00481CF8">
        <w:trPr>
          <w:trHeight w:val="309"/>
        </w:trPr>
        <w:tc>
          <w:tcPr>
            <w:tcW w:w="1195" w:type="dxa"/>
            <w:shd w:val="clear" w:color="auto" w:fill="C6EFCE"/>
          </w:tcPr>
          <w:p w14:paraId="756B86DB" w14:textId="77777777" w:rsidR="00D65CB4" w:rsidRPr="00BC4EE7" w:rsidRDefault="00572307">
            <w:pPr>
              <w:pStyle w:val="P68B1DB1-Normal12"/>
              <w:jc w:val="center"/>
              <w:rPr>
                <w:rFonts w:cs="Times New Roman"/>
                <w:noProof/>
              </w:rPr>
            </w:pPr>
            <w:r w:rsidRPr="00BC4EE7">
              <w:rPr>
                <w:rFonts w:cs="Times New Roman"/>
                <w:noProof/>
              </w:rPr>
              <w:t>161</w:t>
            </w:r>
          </w:p>
        </w:tc>
        <w:tc>
          <w:tcPr>
            <w:tcW w:w="1323" w:type="dxa"/>
            <w:shd w:val="clear" w:color="auto" w:fill="C6EFCE"/>
          </w:tcPr>
          <w:p w14:paraId="392178A5" w14:textId="77777777" w:rsidR="00D65CB4" w:rsidRPr="00BC4EE7" w:rsidRDefault="00572307">
            <w:pPr>
              <w:pStyle w:val="P68B1DB1-Normal12"/>
              <w:jc w:val="center"/>
              <w:rPr>
                <w:rFonts w:cs="Times New Roman"/>
                <w:noProof/>
              </w:rPr>
            </w:pPr>
            <w:r w:rsidRPr="00BC4EE7">
              <w:rPr>
                <w:rFonts w:cs="Times New Roman"/>
                <w:noProof/>
              </w:rPr>
              <w:t>C11.I1.</w:t>
            </w:r>
          </w:p>
        </w:tc>
        <w:tc>
          <w:tcPr>
            <w:tcW w:w="1091" w:type="dxa"/>
            <w:shd w:val="clear" w:color="auto" w:fill="C6EFCE"/>
          </w:tcPr>
          <w:p w14:paraId="541E19CC" w14:textId="77777777" w:rsidR="00D65CB4" w:rsidRPr="00BC4EE7" w:rsidRDefault="00572307">
            <w:pPr>
              <w:pStyle w:val="P68B1DB1-Normal12"/>
              <w:jc w:val="center"/>
              <w:rPr>
                <w:rFonts w:cs="Times New Roman"/>
                <w:noProof/>
              </w:rPr>
            </w:pPr>
            <w:r w:rsidRPr="00BC4EE7">
              <w:rPr>
                <w:rFonts w:cs="Times New Roman"/>
                <w:noProof/>
              </w:rPr>
              <w:t>T</w:t>
            </w:r>
          </w:p>
        </w:tc>
        <w:tc>
          <w:tcPr>
            <w:tcW w:w="1593" w:type="dxa"/>
            <w:shd w:val="clear" w:color="auto" w:fill="C6EFCE"/>
          </w:tcPr>
          <w:p w14:paraId="21D0885E" w14:textId="77777777" w:rsidR="00D65CB4" w:rsidRPr="00BC4EE7" w:rsidRDefault="00572307">
            <w:pPr>
              <w:pStyle w:val="P68B1DB1-Normal12"/>
              <w:rPr>
                <w:rFonts w:cs="Times New Roman"/>
                <w:noProof/>
              </w:rPr>
            </w:pPr>
            <w:r w:rsidRPr="00BC4EE7">
              <w:rPr>
                <w:rFonts w:cs="Times New Roman"/>
                <w:noProof/>
              </w:rPr>
              <w:t>A központi közigazgatás digitális átalakítását támogató projektek odaítélése</w:t>
            </w:r>
          </w:p>
        </w:tc>
        <w:tc>
          <w:tcPr>
            <w:tcW w:w="1409" w:type="dxa"/>
            <w:shd w:val="clear" w:color="auto" w:fill="C6EFCE"/>
          </w:tcPr>
          <w:p w14:paraId="580C4F25" w14:textId="77777777" w:rsidR="00D65CB4" w:rsidRPr="00BC4EE7" w:rsidRDefault="00572307">
            <w:pPr>
              <w:pStyle w:val="P68B1DB1-Normal12"/>
              <w:jc w:val="center"/>
              <w:rPr>
                <w:rFonts w:cs="Times New Roman"/>
                <w:noProof/>
              </w:rPr>
            </w:pPr>
            <w:r w:rsidRPr="00BC4EE7">
              <w:rPr>
                <w:rFonts w:cs="Times New Roman"/>
                <w:noProof/>
              </w:rPr>
              <w:t xml:space="preserve"> </w:t>
            </w:r>
          </w:p>
        </w:tc>
        <w:tc>
          <w:tcPr>
            <w:tcW w:w="1059" w:type="dxa"/>
            <w:shd w:val="clear" w:color="auto" w:fill="C6EFCE"/>
          </w:tcPr>
          <w:p w14:paraId="6B4525D7" w14:textId="77777777" w:rsidR="00D65CB4" w:rsidRPr="00BC4EE7" w:rsidRDefault="00572307">
            <w:pPr>
              <w:pStyle w:val="P68B1DB1-Normal12"/>
              <w:rPr>
                <w:rFonts w:cs="Times New Roman"/>
                <w:noProof/>
              </w:rPr>
            </w:pPr>
            <w:r w:rsidRPr="00BC4EE7">
              <w:rPr>
                <w:rFonts w:cs="Times New Roman"/>
                <w:noProof/>
              </w:rPr>
              <w:t>Millió EUR</w:t>
            </w:r>
          </w:p>
        </w:tc>
        <w:tc>
          <w:tcPr>
            <w:tcW w:w="971" w:type="dxa"/>
            <w:shd w:val="clear" w:color="auto" w:fill="C6EFCE"/>
          </w:tcPr>
          <w:p w14:paraId="56C99C6B" w14:textId="77777777" w:rsidR="00D65CB4" w:rsidRPr="00BC4EE7" w:rsidRDefault="00572307">
            <w:pPr>
              <w:pStyle w:val="P68B1DB1-Normal12"/>
              <w:jc w:val="right"/>
              <w:rPr>
                <w:rFonts w:cs="Times New Roman"/>
                <w:noProof/>
              </w:rPr>
            </w:pPr>
            <w:r w:rsidRPr="00BC4EE7">
              <w:rPr>
                <w:rFonts w:cs="Times New Roman"/>
                <w:noProof/>
              </w:rPr>
              <w:t>0</w:t>
            </w:r>
          </w:p>
        </w:tc>
        <w:tc>
          <w:tcPr>
            <w:tcW w:w="696" w:type="dxa"/>
            <w:shd w:val="clear" w:color="auto" w:fill="C6EFCE"/>
          </w:tcPr>
          <w:p w14:paraId="0F82A3B1" w14:textId="77777777" w:rsidR="00D65CB4" w:rsidRPr="00BC4EE7" w:rsidRDefault="00572307">
            <w:pPr>
              <w:pStyle w:val="P68B1DB1-Normal12"/>
              <w:jc w:val="right"/>
              <w:rPr>
                <w:rFonts w:cs="Times New Roman"/>
                <w:noProof/>
              </w:rPr>
            </w:pPr>
            <w:r w:rsidRPr="00BC4EE7">
              <w:rPr>
                <w:rFonts w:cs="Times New Roman"/>
                <w:noProof/>
              </w:rPr>
              <w:t>960</w:t>
            </w:r>
          </w:p>
        </w:tc>
        <w:tc>
          <w:tcPr>
            <w:tcW w:w="558" w:type="dxa"/>
            <w:shd w:val="clear" w:color="auto" w:fill="C6EFCE"/>
          </w:tcPr>
          <w:p w14:paraId="21CE8994" w14:textId="77777777" w:rsidR="00D65CB4" w:rsidRPr="00BC4EE7" w:rsidRDefault="00572307">
            <w:pPr>
              <w:pStyle w:val="P68B1DB1-Normal12"/>
              <w:jc w:val="center"/>
              <w:rPr>
                <w:rFonts w:cs="Times New Roman"/>
                <w:noProof/>
              </w:rPr>
            </w:pPr>
            <w:r w:rsidRPr="00BC4EE7">
              <w:rPr>
                <w:rFonts w:cs="Times New Roman"/>
                <w:noProof/>
              </w:rPr>
              <w:t>Q4</w:t>
            </w:r>
          </w:p>
        </w:tc>
        <w:tc>
          <w:tcPr>
            <w:tcW w:w="806" w:type="dxa"/>
            <w:shd w:val="clear" w:color="auto" w:fill="C6EFCE"/>
          </w:tcPr>
          <w:p w14:paraId="0B80C929" w14:textId="77777777" w:rsidR="00D65CB4" w:rsidRPr="00BC4EE7" w:rsidRDefault="00572307">
            <w:pPr>
              <w:pStyle w:val="P68B1DB1-Normal12"/>
              <w:jc w:val="center"/>
              <w:rPr>
                <w:rFonts w:cs="Times New Roman"/>
                <w:noProof/>
              </w:rPr>
            </w:pPr>
            <w:r w:rsidRPr="00BC4EE7">
              <w:rPr>
                <w:rFonts w:cs="Times New Roman"/>
                <w:noProof/>
              </w:rPr>
              <w:t>2023</w:t>
            </w:r>
          </w:p>
        </w:tc>
        <w:tc>
          <w:tcPr>
            <w:tcW w:w="3895" w:type="dxa"/>
            <w:shd w:val="clear" w:color="auto" w:fill="C6EFCE"/>
          </w:tcPr>
          <w:p w14:paraId="66B1EDED" w14:textId="77777777" w:rsidR="00D65CB4" w:rsidRPr="00BC4EE7" w:rsidRDefault="00572307">
            <w:pPr>
              <w:rPr>
                <w:rFonts w:ascii="Times New Roman" w:hAnsi="Times New Roman" w:cs="Times New Roman"/>
                <w:noProof/>
                <w:sz w:val="18"/>
              </w:rPr>
            </w:pPr>
            <w:r w:rsidRPr="00BC4EE7">
              <w:rPr>
                <w:rFonts w:ascii="Times New Roman" w:hAnsi="Times New Roman" w:cs="Times New Roman"/>
                <w:noProof/>
              </w:rPr>
              <w:t>Legalább 960 000 000 euró odaítélésének</w:t>
            </w:r>
            <w:r w:rsidRPr="00BC4EE7">
              <w:rPr>
                <w:rFonts w:ascii="Times New Roman" w:hAnsi="Times New Roman" w:cs="Times New Roman"/>
                <w:noProof/>
                <w:sz w:val="18"/>
              </w:rPr>
              <w:t xml:space="preserve">közzététele a Hivatalos Lapban vagy a közbeszerzési platformon a következő területeket lefedő projektek esetében: </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Digitális átalakulás a proaktivitás, a mobilitás és a felhasználói élmény tekintetében;</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Digitális átalakulás az automatizálás és az adatközpontú közigazgatás tekintetében;</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Digitális átalakulás a fizikai, logikai infrastruktúrák és szoftverek tekintetében;</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Digitális átalakulás a kiberbiztonság tekintetében.</w:t>
            </w:r>
          </w:p>
        </w:tc>
      </w:tr>
      <w:tr w:rsidR="00D65CB4" w:rsidRPr="00BC4EE7" w14:paraId="142D29EA" w14:textId="77777777" w:rsidTr="00481CF8">
        <w:trPr>
          <w:trHeight w:val="309"/>
        </w:trPr>
        <w:tc>
          <w:tcPr>
            <w:tcW w:w="1195" w:type="dxa"/>
            <w:shd w:val="clear" w:color="auto" w:fill="C6EFCE"/>
          </w:tcPr>
          <w:p w14:paraId="7F94E94C" w14:textId="77777777" w:rsidR="00D65CB4" w:rsidRPr="00BC4EE7" w:rsidRDefault="00572307">
            <w:pPr>
              <w:pStyle w:val="P68B1DB1-Normal12"/>
              <w:jc w:val="center"/>
              <w:rPr>
                <w:rFonts w:cs="Times New Roman"/>
                <w:noProof/>
              </w:rPr>
            </w:pPr>
            <w:r w:rsidRPr="00BC4EE7">
              <w:rPr>
                <w:rFonts w:cs="Times New Roman"/>
                <w:noProof/>
              </w:rPr>
              <w:t>162</w:t>
            </w:r>
          </w:p>
        </w:tc>
        <w:tc>
          <w:tcPr>
            <w:tcW w:w="1323" w:type="dxa"/>
            <w:shd w:val="clear" w:color="auto" w:fill="C6EFCE"/>
          </w:tcPr>
          <w:p w14:paraId="0EC70345" w14:textId="77777777" w:rsidR="00D65CB4" w:rsidRPr="00BC4EE7" w:rsidRDefault="00572307">
            <w:pPr>
              <w:pStyle w:val="P68B1DB1-Normal12"/>
              <w:jc w:val="center"/>
              <w:rPr>
                <w:rFonts w:cs="Times New Roman"/>
                <w:noProof/>
              </w:rPr>
            </w:pPr>
            <w:r w:rsidRPr="00BC4EE7">
              <w:rPr>
                <w:rFonts w:cs="Times New Roman"/>
                <w:noProof/>
              </w:rPr>
              <w:t>C11.I1.</w:t>
            </w:r>
          </w:p>
        </w:tc>
        <w:tc>
          <w:tcPr>
            <w:tcW w:w="1091" w:type="dxa"/>
            <w:shd w:val="clear" w:color="auto" w:fill="C6EFCE"/>
          </w:tcPr>
          <w:p w14:paraId="03D52EE2" w14:textId="77777777" w:rsidR="00D65CB4" w:rsidRPr="00BC4EE7" w:rsidRDefault="00572307">
            <w:pPr>
              <w:pStyle w:val="P68B1DB1-Normal12"/>
              <w:jc w:val="center"/>
              <w:rPr>
                <w:rFonts w:cs="Times New Roman"/>
                <w:noProof/>
              </w:rPr>
            </w:pPr>
            <w:r w:rsidRPr="00BC4EE7">
              <w:rPr>
                <w:rFonts w:cs="Times New Roman"/>
                <w:noProof/>
              </w:rPr>
              <w:t>M</w:t>
            </w:r>
          </w:p>
        </w:tc>
        <w:tc>
          <w:tcPr>
            <w:tcW w:w="1593" w:type="dxa"/>
            <w:shd w:val="clear" w:color="auto" w:fill="C6EFCE"/>
          </w:tcPr>
          <w:p w14:paraId="24744C26" w14:textId="77777777" w:rsidR="00D65CB4" w:rsidRPr="00BC4EE7" w:rsidRDefault="00572307">
            <w:pPr>
              <w:pStyle w:val="P68B1DB1-Normal12"/>
              <w:rPr>
                <w:rFonts w:cs="Times New Roman"/>
                <w:noProof/>
              </w:rPr>
            </w:pPr>
            <w:r w:rsidRPr="00BC4EE7">
              <w:rPr>
                <w:rFonts w:cs="Times New Roman"/>
                <w:noProof/>
              </w:rPr>
              <w:t>A központi közigazgatás digitális átalakítását támogató projektek lezárása</w:t>
            </w:r>
          </w:p>
        </w:tc>
        <w:tc>
          <w:tcPr>
            <w:tcW w:w="1409" w:type="dxa"/>
            <w:shd w:val="clear" w:color="auto" w:fill="C6EFCE"/>
          </w:tcPr>
          <w:p w14:paraId="1C9A228D" w14:textId="77777777" w:rsidR="00D65CB4" w:rsidRPr="00BC4EE7" w:rsidRDefault="00572307">
            <w:pPr>
              <w:pStyle w:val="P68B1DB1-Normal12"/>
              <w:jc w:val="center"/>
              <w:rPr>
                <w:rFonts w:cs="Times New Roman"/>
                <w:noProof/>
              </w:rPr>
            </w:pPr>
            <w:r w:rsidRPr="00BC4EE7">
              <w:rPr>
                <w:rFonts w:cs="Times New Roman"/>
                <w:noProof/>
              </w:rPr>
              <w:t>Az illetékes hatóság által aláírt, a projektek befejezését és működőképességét igazoló tanúsítványok</w:t>
            </w:r>
          </w:p>
        </w:tc>
        <w:tc>
          <w:tcPr>
            <w:tcW w:w="1059" w:type="dxa"/>
            <w:shd w:val="clear" w:color="auto" w:fill="C6EFCE"/>
          </w:tcPr>
          <w:p w14:paraId="602C3F68"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971" w:type="dxa"/>
            <w:shd w:val="clear" w:color="auto" w:fill="C6EFCE"/>
          </w:tcPr>
          <w:p w14:paraId="1C895DDD"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696" w:type="dxa"/>
            <w:shd w:val="clear" w:color="auto" w:fill="C6EFCE"/>
          </w:tcPr>
          <w:p w14:paraId="5CE29C09"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558" w:type="dxa"/>
            <w:shd w:val="clear" w:color="auto" w:fill="C6EFCE"/>
          </w:tcPr>
          <w:p w14:paraId="7C88DA4F" w14:textId="77777777" w:rsidR="00D65CB4" w:rsidRPr="00BC4EE7" w:rsidRDefault="00572307">
            <w:pPr>
              <w:pStyle w:val="P68B1DB1-Normal12"/>
              <w:jc w:val="center"/>
              <w:rPr>
                <w:rFonts w:cs="Times New Roman"/>
                <w:noProof/>
              </w:rPr>
            </w:pPr>
            <w:r w:rsidRPr="00BC4EE7">
              <w:rPr>
                <w:rFonts w:cs="Times New Roman"/>
                <w:noProof/>
              </w:rPr>
              <w:t>Q4</w:t>
            </w:r>
          </w:p>
        </w:tc>
        <w:tc>
          <w:tcPr>
            <w:tcW w:w="806" w:type="dxa"/>
            <w:shd w:val="clear" w:color="auto" w:fill="C6EFCE"/>
          </w:tcPr>
          <w:p w14:paraId="292C0F1F" w14:textId="77777777" w:rsidR="00D65CB4" w:rsidRPr="00BC4EE7" w:rsidRDefault="00572307">
            <w:pPr>
              <w:pStyle w:val="P68B1DB1-Normal12"/>
              <w:jc w:val="center"/>
              <w:rPr>
                <w:rFonts w:cs="Times New Roman"/>
                <w:noProof/>
              </w:rPr>
            </w:pPr>
            <w:r w:rsidRPr="00BC4EE7">
              <w:rPr>
                <w:rFonts w:cs="Times New Roman"/>
                <w:noProof/>
              </w:rPr>
              <w:t>2025</w:t>
            </w:r>
          </w:p>
        </w:tc>
        <w:tc>
          <w:tcPr>
            <w:tcW w:w="3895" w:type="dxa"/>
            <w:shd w:val="clear" w:color="auto" w:fill="C6EFCE"/>
          </w:tcPr>
          <w:p w14:paraId="1A4CED02" w14:textId="77777777" w:rsidR="00D65CB4" w:rsidRPr="00BC4EE7" w:rsidRDefault="00572307">
            <w:pPr>
              <w:pStyle w:val="P68B1DB1-Normal12"/>
              <w:rPr>
                <w:rFonts w:cs="Times New Roman"/>
                <w:noProof/>
              </w:rPr>
            </w:pPr>
            <w:r w:rsidRPr="00BC4EE7">
              <w:rPr>
                <w:rFonts w:cs="Times New Roman"/>
                <w:noProof/>
              </w:rPr>
              <w:t>A #161. célnak megfelelően odaítélt projektek lezárása</w:t>
            </w:r>
          </w:p>
        </w:tc>
      </w:tr>
      <w:tr w:rsidR="00D65CB4" w:rsidRPr="00BC4EE7" w14:paraId="48E255C1" w14:textId="77777777" w:rsidTr="00481CF8">
        <w:trPr>
          <w:trHeight w:val="309"/>
        </w:trPr>
        <w:tc>
          <w:tcPr>
            <w:tcW w:w="1195" w:type="dxa"/>
            <w:shd w:val="clear" w:color="auto" w:fill="C6EFCE"/>
          </w:tcPr>
          <w:p w14:paraId="23ADB4BA" w14:textId="77777777" w:rsidR="00D65CB4" w:rsidRPr="00BC4EE7" w:rsidRDefault="00572307">
            <w:pPr>
              <w:pStyle w:val="P68B1DB1-Normal12"/>
              <w:jc w:val="center"/>
              <w:rPr>
                <w:rFonts w:cs="Times New Roman"/>
                <w:noProof/>
              </w:rPr>
            </w:pPr>
            <w:r w:rsidRPr="00BC4EE7">
              <w:rPr>
                <w:rFonts w:cs="Times New Roman"/>
                <w:noProof/>
              </w:rPr>
              <w:t>163</w:t>
            </w:r>
          </w:p>
        </w:tc>
        <w:tc>
          <w:tcPr>
            <w:tcW w:w="1323" w:type="dxa"/>
            <w:shd w:val="clear" w:color="auto" w:fill="C6EFCE"/>
          </w:tcPr>
          <w:p w14:paraId="59FAF852" w14:textId="77777777" w:rsidR="00D65CB4" w:rsidRPr="00BC4EE7" w:rsidRDefault="00572307">
            <w:pPr>
              <w:pStyle w:val="P68B1DB1-Normal12"/>
              <w:jc w:val="center"/>
              <w:rPr>
                <w:rFonts w:cs="Times New Roman"/>
                <w:noProof/>
              </w:rPr>
            </w:pPr>
            <w:r w:rsidRPr="00BC4EE7">
              <w:rPr>
                <w:rFonts w:cs="Times New Roman"/>
                <w:noProof/>
              </w:rPr>
              <w:t>C11.I2.</w:t>
            </w:r>
          </w:p>
        </w:tc>
        <w:tc>
          <w:tcPr>
            <w:tcW w:w="1091" w:type="dxa"/>
            <w:shd w:val="clear" w:color="auto" w:fill="C6EFCE"/>
          </w:tcPr>
          <w:p w14:paraId="0C1536D6" w14:textId="77777777" w:rsidR="00D65CB4" w:rsidRPr="00BC4EE7" w:rsidRDefault="00572307">
            <w:pPr>
              <w:pStyle w:val="P68B1DB1-Normal12"/>
              <w:jc w:val="center"/>
              <w:rPr>
                <w:rFonts w:cs="Times New Roman"/>
                <w:noProof/>
              </w:rPr>
            </w:pPr>
            <w:r w:rsidRPr="00BC4EE7">
              <w:rPr>
                <w:rFonts w:cs="Times New Roman"/>
                <w:noProof/>
              </w:rPr>
              <w:t>M</w:t>
            </w:r>
          </w:p>
        </w:tc>
        <w:tc>
          <w:tcPr>
            <w:tcW w:w="1593" w:type="dxa"/>
            <w:shd w:val="clear" w:color="auto" w:fill="C6EFCE"/>
          </w:tcPr>
          <w:p w14:paraId="24E56970" w14:textId="77777777" w:rsidR="00D65CB4" w:rsidRPr="00BC4EE7" w:rsidRDefault="00572307">
            <w:pPr>
              <w:pStyle w:val="P68B1DB1-Normal12"/>
              <w:rPr>
                <w:rFonts w:cs="Times New Roman"/>
                <w:noProof/>
              </w:rPr>
            </w:pPr>
            <w:r w:rsidRPr="00BC4EE7">
              <w:rPr>
                <w:rFonts w:cs="Times New Roman"/>
                <w:noProof/>
              </w:rPr>
              <w:t>A társadalombiztosítási és egészségügyi adatok cseréjére szolgáló interoperábilis platformok</w:t>
            </w:r>
          </w:p>
        </w:tc>
        <w:tc>
          <w:tcPr>
            <w:tcW w:w="1409" w:type="dxa"/>
            <w:shd w:val="clear" w:color="auto" w:fill="C6EFCE"/>
          </w:tcPr>
          <w:p w14:paraId="100AC249" w14:textId="77777777" w:rsidR="00D65CB4" w:rsidRPr="00BC4EE7" w:rsidRDefault="00572307">
            <w:pPr>
              <w:pStyle w:val="P68B1DB1-Normal12"/>
              <w:jc w:val="center"/>
              <w:rPr>
                <w:rFonts w:cs="Times New Roman"/>
                <w:noProof/>
              </w:rPr>
            </w:pPr>
            <w:r w:rsidRPr="00BC4EE7">
              <w:rPr>
                <w:rFonts w:cs="Times New Roman"/>
                <w:noProof/>
              </w:rPr>
              <w:t>A központi és regionális szociális biztonsági hatóságok aláírt igazolásokat bocsátanak rendelkezésre, amelyek megerősítik a platform funkcióit</w:t>
            </w:r>
          </w:p>
        </w:tc>
        <w:tc>
          <w:tcPr>
            <w:tcW w:w="1059" w:type="dxa"/>
            <w:shd w:val="clear" w:color="auto" w:fill="C6EFCE"/>
          </w:tcPr>
          <w:p w14:paraId="07CC20C5"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971" w:type="dxa"/>
            <w:shd w:val="clear" w:color="auto" w:fill="C6EFCE"/>
          </w:tcPr>
          <w:p w14:paraId="3D11EC86"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696" w:type="dxa"/>
            <w:shd w:val="clear" w:color="auto" w:fill="C6EFCE"/>
          </w:tcPr>
          <w:p w14:paraId="73ABAB0A"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558" w:type="dxa"/>
            <w:shd w:val="clear" w:color="auto" w:fill="C6EFCE"/>
          </w:tcPr>
          <w:p w14:paraId="1BCDA116" w14:textId="77777777" w:rsidR="00D65CB4" w:rsidRPr="00BC4EE7" w:rsidRDefault="00572307">
            <w:pPr>
              <w:pStyle w:val="P68B1DB1-Normal12"/>
              <w:jc w:val="center"/>
              <w:rPr>
                <w:rFonts w:cs="Times New Roman"/>
                <w:noProof/>
              </w:rPr>
            </w:pPr>
            <w:r w:rsidRPr="00BC4EE7">
              <w:rPr>
                <w:rFonts w:cs="Times New Roman"/>
                <w:noProof/>
              </w:rPr>
              <w:t>Q3</w:t>
            </w:r>
          </w:p>
        </w:tc>
        <w:tc>
          <w:tcPr>
            <w:tcW w:w="806" w:type="dxa"/>
            <w:shd w:val="clear" w:color="auto" w:fill="C6EFCE"/>
          </w:tcPr>
          <w:p w14:paraId="3AA9859C" w14:textId="77777777" w:rsidR="00D65CB4" w:rsidRPr="00BC4EE7" w:rsidRDefault="00572307">
            <w:pPr>
              <w:pStyle w:val="P68B1DB1-Normal12"/>
              <w:jc w:val="center"/>
              <w:rPr>
                <w:rFonts w:cs="Times New Roman"/>
                <w:noProof/>
              </w:rPr>
            </w:pPr>
            <w:r w:rsidRPr="00BC4EE7">
              <w:rPr>
                <w:rFonts w:cs="Times New Roman"/>
                <w:noProof/>
              </w:rPr>
              <w:t>2023</w:t>
            </w:r>
          </w:p>
        </w:tc>
        <w:tc>
          <w:tcPr>
            <w:tcW w:w="3895" w:type="dxa"/>
            <w:shd w:val="clear" w:color="auto" w:fill="C6EFCE"/>
          </w:tcPr>
          <w:p w14:paraId="1477897E" w14:textId="77777777" w:rsidR="00D65CB4" w:rsidRPr="00BC4EE7" w:rsidRDefault="00572307">
            <w:pPr>
              <w:pStyle w:val="P68B1DB1-Normal12"/>
              <w:rPr>
                <w:rFonts w:cs="Times New Roman"/>
                <w:noProof/>
              </w:rPr>
            </w:pPr>
            <w:r w:rsidRPr="00BC4EE7">
              <w:rPr>
                <w:rFonts w:cs="Times New Roman"/>
                <w:noProof/>
              </w:rPr>
              <w:t>A központi közigazgatás és a régiók teljes mértékben interoperábilis platformokkal rendelkeznek, amelyek lehetővé teszik a társadalombiztosítási adatok és információk cseréjét a következő területeken: i. alapellátás, ii. kórházi ápolás, iii. egészségügyi szakemberek, gyógyszerészeti rendelvény/kiadás</w:t>
            </w:r>
          </w:p>
        </w:tc>
      </w:tr>
      <w:tr w:rsidR="00D65CB4" w:rsidRPr="00BC4EE7" w14:paraId="4B26C5BC" w14:textId="77777777" w:rsidTr="00481CF8">
        <w:trPr>
          <w:trHeight w:val="309"/>
        </w:trPr>
        <w:tc>
          <w:tcPr>
            <w:tcW w:w="1195" w:type="dxa"/>
            <w:shd w:val="clear" w:color="auto" w:fill="C6EFCE"/>
          </w:tcPr>
          <w:p w14:paraId="2E00A2AF" w14:textId="77777777" w:rsidR="00D65CB4" w:rsidRPr="00BC4EE7" w:rsidRDefault="00572307">
            <w:pPr>
              <w:pStyle w:val="P68B1DB1-Normal12"/>
              <w:jc w:val="center"/>
              <w:rPr>
                <w:rFonts w:cs="Times New Roman"/>
                <w:noProof/>
              </w:rPr>
            </w:pPr>
            <w:r w:rsidRPr="00BC4EE7">
              <w:rPr>
                <w:rFonts w:cs="Times New Roman"/>
                <w:noProof/>
              </w:rPr>
              <w:t>164</w:t>
            </w:r>
          </w:p>
        </w:tc>
        <w:tc>
          <w:tcPr>
            <w:tcW w:w="1323" w:type="dxa"/>
            <w:shd w:val="clear" w:color="auto" w:fill="C6EFCE"/>
          </w:tcPr>
          <w:p w14:paraId="696DD7AF" w14:textId="77777777" w:rsidR="00D65CB4" w:rsidRPr="00BC4EE7" w:rsidRDefault="00572307">
            <w:pPr>
              <w:pStyle w:val="P68B1DB1-Normal12"/>
              <w:jc w:val="center"/>
              <w:rPr>
                <w:rFonts w:cs="Times New Roman"/>
                <w:noProof/>
              </w:rPr>
            </w:pPr>
            <w:r w:rsidRPr="00BC4EE7">
              <w:rPr>
                <w:rFonts w:cs="Times New Roman"/>
                <w:noProof/>
              </w:rPr>
              <w:t>C11.I2.</w:t>
            </w:r>
          </w:p>
        </w:tc>
        <w:tc>
          <w:tcPr>
            <w:tcW w:w="1091" w:type="dxa"/>
            <w:shd w:val="clear" w:color="auto" w:fill="C6EFCE"/>
          </w:tcPr>
          <w:p w14:paraId="35F832AF" w14:textId="77777777" w:rsidR="00D65CB4" w:rsidRPr="00BC4EE7" w:rsidRDefault="00572307">
            <w:pPr>
              <w:pStyle w:val="P68B1DB1-Normal12"/>
              <w:jc w:val="center"/>
              <w:rPr>
                <w:rFonts w:cs="Times New Roman"/>
                <w:noProof/>
              </w:rPr>
            </w:pPr>
            <w:r w:rsidRPr="00BC4EE7">
              <w:rPr>
                <w:rFonts w:cs="Times New Roman"/>
                <w:noProof/>
              </w:rPr>
              <w:t>T</w:t>
            </w:r>
          </w:p>
        </w:tc>
        <w:tc>
          <w:tcPr>
            <w:tcW w:w="1593" w:type="dxa"/>
            <w:shd w:val="clear" w:color="auto" w:fill="C6EFCE"/>
          </w:tcPr>
          <w:p w14:paraId="0DBD42D0" w14:textId="77777777" w:rsidR="00D65CB4" w:rsidRPr="00BC4EE7" w:rsidRDefault="00572307">
            <w:pPr>
              <w:pStyle w:val="P68B1DB1-Normal12"/>
              <w:rPr>
                <w:rFonts w:cs="Times New Roman"/>
                <w:noProof/>
              </w:rPr>
            </w:pPr>
            <w:r w:rsidRPr="00BC4EE7">
              <w:rPr>
                <w:rFonts w:cs="Times New Roman"/>
                <w:noProof/>
              </w:rPr>
              <w:t>Elektronikus úton lefolytatandó bírósági eljárás</w:t>
            </w:r>
          </w:p>
        </w:tc>
        <w:tc>
          <w:tcPr>
            <w:tcW w:w="1409" w:type="dxa"/>
            <w:shd w:val="clear" w:color="auto" w:fill="C6EFCE"/>
          </w:tcPr>
          <w:p w14:paraId="30B8D3DF" w14:textId="77777777" w:rsidR="00D65CB4" w:rsidRPr="00BC4EE7" w:rsidRDefault="00572307">
            <w:pPr>
              <w:pStyle w:val="P68B1DB1-Normal12"/>
              <w:jc w:val="center"/>
              <w:rPr>
                <w:rFonts w:cs="Times New Roman"/>
                <w:noProof/>
              </w:rPr>
            </w:pPr>
            <w:r w:rsidRPr="00BC4EE7">
              <w:rPr>
                <w:rFonts w:cs="Times New Roman"/>
                <w:noProof/>
              </w:rPr>
              <w:t xml:space="preserve"> </w:t>
            </w:r>
          </w:p>
        </w:tc>
        <w:tc>
          <w:tcPr>
            <w:tcW w:w="1059" w:type="dxa"/>
            <w:shd w:val="clear" w:color="auto" w:fill="C6EFCE"/>
          </w:tcPr>
          <w:p w14:paraId="3DA4CF3B" w14:textId="3B76D2CA" w:rsidR="00D65CB4" w:rsidRPr="00BC4EE7" w:rsidRDefault="00572307">
            <w:pPr>
              <w:pStyle w:val="P68B1DB1-Normal12"/>
              <w:rPr>
                <w:rFonts w:cs="Times New Roman"/>
                <w:noProof/>
              </w:rPr>
            </w:pPr>
            <w:r w:rsidRPr="00BC4EE7">
              <w:rPr>
                <w:rFonts w:cs="Times New Roman"/>
                <w:noProof/>
              </w:rPr>
              <w:t xml:space="preserve">Szám </w:t>
            </w:r>
          </w:p>
        </w:tc>
        <w:tc>
          <w:tcPr>
            <w:tcW w:w="971" w:type="dxa"/>
            <w:shd w:val="clear" w:color="auto" w:fill="C6EFCE"/>
          </w:tcPr>
          <w:p w14:paraId="76AECD44" w14:textId="77777777" w:rsidR="00D65CB4" w:rsidRPr="00BC4EE7" w:rsidRDefault="00572307">
            <w:pPr>
              <w:pStyle w:val="P68B1DB1-Normal12"/>
              <w:jc w:val="right"/>
              <w:rPr>
                <w:rFonts w:cs="Times New Roman"/>
                <w:noProof/>
              </w:rPr>
            </w:pPr>
            <w:r w:rsidRPr="00BC4EE7">
              <w:rPr>
                <w:rFonts w:cs="Times New Roman"/>
                <w:noProof/>
              </w:rPr>
              <w:t>0</w:t>
            </w:r>
          </w:p>
        </w:tc>
        <w:tc>
          <w:tcPr>
            <w:tcW w:w="696" w:type="dxa"/>
            <w:shd w:val="clear" w:color="auto" w:fill="C6EFCE"/>
          </w:tcPr>
          <w:p w14:paraId="2B05AACE" w14:textId="569B3FB8" w:rsidR="00D65CB4" w:rsidRPr="00BC4EE7" w:rsidRDefault="00572307">
            <w:pPr>
              <w:pStyle w:val="P68B1DB1-Normal12"/>
              <w:jc w:val="right"/>
              <w:rPr>
                <w:rFonts w:cs="Times New Roman"/>
                <w:noProof/>
              </w:rPr>
            </w:pPr>
            <w:r w:rsidRPr="00BC4EE7">
              <w:rPr>
                <w:rFonts w:cs="Times New Roman"/>
                <w:noProof/>
              </w:rPr>
              <w:t>2 839</w:t>
            </w:r>
          </w:p>
        </w:tc>
        <w:tc>
          <w:tcPr>
            <w:tcW w:w="558" w:type="dxa"/>
            <w:shd w:val="clear" w:color="auto" w:fill="C6EFCE"/>
          </w:tcPr>
          <w:p w14:paraId="1376797B" w14:textId="77777777" w:rsidR="00D65CB4" w:rsidRPr="00BC4EE7" w:rsidRDefault="00572307">
            <w:pPr>
              <w:pStyle w:val="P68B1DB1-Normal12"/>
              <w:jc w:val="center"/>
              <w:rPr>
                <w:rFonts w:cs="Times New Roman"/>
                <w:noProof/>
              </w:rPr>
            </w:pPr>
            <w:r w:rsidRPr="00BC4EE7">
              <w:rPr>
                <w:rFonts w:cs="Times New Roman"/>
                <w:noProof/>
              </w:rPr>
              <w:t>Q4</w:t>
            </w:r>
          </w:p>
        </w:tc>
        <w:tc>
          <w:tcPr>
            <w:tcW w:w="806" w:type="dxa"/>
            <w:shd w:val="clear" w:color="auto" w:fill="C6EFCE"/>
          </w:tcPr>
          <w:p w14:paraId="431F1297" w14:textId="3CA06F1A" w:rsidR="00D65CB4" w:rsidRPr="00BC4EE7" w:rsidRDefault="00572307">
            <w:pPr>
              <w:pStyle w:val="P68B1DB1-Normal12"/>
              <w:jc w:val="center"/>
              <w:rPr>
                <w:rFonts w:cs="Times New Roman"/>
                <w:noProof/>
              </w:rPr>
            </w:pPr>
            <w:r w:rsidRPr="00BC4EE7">
              <w:rPr>
                <w:rFonts w:cs="Times New Roman"/>
                <w:noProof/>
              </w:rPr>
              <w:t>2022</w:t>
            </w:r>
          </w:p>
        </w:tc>
        <w:tc>
          <w:tcPr>
            <w:tcW w:w="3895" w:type="dxa"/>
            <w:shd w:val="clear" w:color="auto" w:fill="C6EFCE"/>
          </w:tcPr>
          <w:p w14:paraId="1A18F975" w14:textId="6F00F4E1" w:rsidR="00D65CB4" w:rsidRPr="00BC4EE7" w:rsidRDefault="00572307">
            <w:pPr>
              <w:pStyle w:val="P68B1DB1-Normal12"/>
              <w:rPr>
                <w:rFonts w:cs="Times New Roman"/>
                <w:noProof/>
              </w:rPr>
            </w:pPr>
            <w:r w:rsidRPr="00BC4EE7">
              <w:rPr>
                <w:rFonts w:cs="Times New Roman"/>
                <w:noProof/>
              </w:rPr>
              <w:t>Legalább további 2839 igazságügyi szervnek rendelkeznie kell az ahhoz szükséges infrastruktúrával, hogy az eljárások legalább 30%-át elektronikus úton lehessen lefolytatni. Ez azt jelenti, hogy telematikai bírósági eljárásokat kell végezni a különböző joghatósági szervekben, teljes jogbiztonság mellett. E cél elérése érdekében minden résztvevő számára lehetővé kell tenni, hogy videokonferencia útján beléphessen a tárgyalótermekbe. Ezen túlmenően lehetővé kell tennie a teljesen virtuális tárgyalótermek létrehozását, amelyekhez videokonferencia útján valamennyi résztvevő hozzáférhet. Létre kell hozni egy közvetlen platformot a nem személyes kapcsolatokra és feldolgozásra vonatkozó új modellek létrehozása érdekében. Ez javítja a polgárok távoli hozzáférését a közigazgatás által nyújtott szolgáltatásokhoz.</w:t>
            </w:r>
          </w:p>
        </w:tc>
      </w:tr>
      <w:tr w:rsidR="00D65CB4" w:rsidRPr="00BC4EE7" w14:paraId="599998E8" w14:textId="77777777" w:rsidTr="00481CF8">
        <w:trPr>
          <w:trHeight w:val="343"/>
        </w:trPr>
        <w:tc>
          <w:tcPr>
            <w:tcW w:w="1195" w:type="dxa"/>
            <w:tcBorders>
              <w:top w:val="single" w:sz="4" w:space="0" w:color="auto"/>
              <w:left w:val="single" w:sz="4" w:space="0" w:color="auto"/>
              <w:bottom w:val="single" w:sz="4" w:space="0" w:color="auto"/>
              <w:right w:val="single" w:sz="4" w:space="0" w:color="auto"/>
            </w:tcBorders>
            <w:shd w:val="clear" w:color="auto" w:fill="C6EFCE"/>
          </w:tcPr>
          <w:p w14:paraId="297C9B09" w14:textId="77777777" w:rsidR="00D65CB4" w:rsidRPr="00BC4EE7" w:rsidRDefault="00572307">
            <w:pPr>
              <w:pStyle w:val="P68B1DB1-Normal12"/>
              <w:jc w:val="center"/>
              <w:rPr>
                <w:rFonts w:cs="Times New Roman"/>
                <w:noProof/>
              </w:rPr>
            </w:pPr>
            <w:r w:rsidRPr="00BC4EE7">
              <w:rPr>
                <w:rFonts w:cs="Times New Roman"/>
                <w:noProof/>
              </w:rPr>
              <w:t>165</w:t>
            </w:r>
          </w:p>
        </w:tc>
        <w:tc>
          <w:tcPr>
            <w:tcW w:w="1323" w:type="dxa"/>
            <w:tcBorders>
              <w:top w:val="single" w:sz="4" w:space="0" w:color="auto"/>
              <w:left w:val="single" w:sz="4" w:space="0" w:color="auto"/>
              <w:bottom w:val="single" w:sz="4" w:space="0" w:color="auto"/>
              <w:right w:val="single" w:sz="4" w:space="0" w:color="auto"/>
            </w:tcBorders>
            <w:shd w:val="clear" w:color="auto" w:fill="C6EFCE"/>
          </w:tcPr>
          <w:p w14:paraId="2C5464AA" w14:textId="77777777" w:rsidR="00D65CB4" w:rsidRPr="00BC4EE7" w:rsidRDefault="00572307">
            <w:pPr>
              <w:pStyle w:val="P68B1DB1-Normal12"/>
              <w:jc w:val="center"/>
              <w:rPr>
                <w:rFonts w:cs="Times New Roman"/>
                <w:noProof/>
              </w:rPr>
            </w:pPr>
            <w:r w:rsidRPr="00BC4EE7">
              <w:rPr>
                <w:rFonts w:cs="Times New Roman"/>
                <w:noProof/>
              </w:rPr>
              <w:t>C11.I2.</w:t>
            </w:r>
          </w:p>
        </w:tc>
        <w:tc>
          <w:tcPr>
            <w:tcW w:w="1091" w:type="dxa"/>
            <w:tcBorders>
              <w:top w:val="single" w:sz="4" w:space="0" w:color="auto"/>
              <w:left w:val="single" w:sz="4" w:space="0" w:color="auto"/>
              <w:bottom w:val="single" w:sz="4" w:space="0" w:color="auto"/>
              <w:right w:val="single" w:sz="4" w:space="0" w:color="auto"/>
            </w:tcBorders>
            <w:shd w:val="clear" w:color="auto" w:fill="C6EFCE"/>
          </w:tcPr>
          <w:p w14:paraId="3CA690AB" w14:textId="77777777" w:rsidR="00D65CB4" w:rsidRPr="00BC4EE7" w:rsidRDefault="00572307">
            <w:pPr>
              <w:pStyle w:val="P68B1DB1-Normal12"/>
              <w:jc w:val="center"/>
              <w:rPr>
                <w:rFonts w:cs="Times New Roman"/>
                <w:noProof/>
              </w:rPr>
            </w:pPr>
            <w:r w:rsidRPr="00BC4EE7">
              <w:rPr>
                <w:rFonts w:cs="Times New Roman"/>
                <w:noProof/>
              </w:rPr>
              <w:t>T</w:t>
            </w:r>
          </w:p>
        </w:tc>
        <w:tc>
          <w:tcPr>
            <w:tcW w:w="1593" w:type="dxa"/>
            <w:tcBorders>
              <w:top w:val="single" w:sz="4" w:space="0" w:color="auto"/>
              <w:left w:val="single" w:sz="4" w:space="0" w:color="auto"/>
              <w:bottom w:val="single" w:sz="4" w:space="0" w:color="auto"/>
              <w:right w:val="single" w:sz="4" w:space="0" w:color="auto"/>
            </w:tcBorders>
            <w:shd w:val="clear" w:color="auto" w:fill="C6EFCE"/>
          </w:tcPr>
          <w:p w14:paraId="5D08D1D3" w14:textId="77777777" w:rsidR="00D65CB4" w:rsidRPr="00BC4EE7" w:rsidRDefault="00572307">
            <w:pPr>
              <w:pStyle w:val="P68B1DB1-Normal12"/>
              <w:rPr>
                <w:rFonts w:cs="Times New Roman"/>
                <w:noProof/>
              </w:rPr>
            </w:pPr>
            <w:r w:rsidRPr="00BC4EE7">
              <w:rPr>
                <w:rFonts w:cs="Times New Roman"/>
                <w:noProof/>
              </w:rPr>
              <w:t>A központi közigazgatás digitalizációs ösztönző projektjeit támogató projektek odaítélése</w:t>
            </w:r>
          </w:p>
        </w:tc>
        <w:tc>
          <w:tcPr>
            <w:tcW w:w="1409" w:type="dxa"/>
            <w:tcBorders>
              <w:top w:val="single" w:sz="4" w:space="0" w:color="auto"/>
              <w:left w:val="single" w:sz="4" w:space="0" w:color="auto"/>
              <w:bottom w:val="single" w:sz="4" w:space="0" w:color="auto"/>
              <w:right w:val="single" w:sz="4" w:space="0" w:color="auto"/>
            </w:tcBorders>
            <w:shd w:val="clear" w:color="auto" w:fill="C6EFCE"/>
          </w:tcPr>
          <w:p w14:paraId="36668676" w14:textId="77777777" w:rsidR="00D65CB4" w:rsidRPr="00BC4EE7" w:rsidRDefault="00572307">
            <w:pPr>
              <w:pStyle w:val="P68B1DB1-Normal12"/>
              <w:jc w:val="center"/>
              <w:rPr>
                <w:rFonts w:cs="Times New Roman"/>
                <w:noProof/>
              </w:rPr>
            </w:pPr>
            <w:r w:rsidRPr="00BC4EE7">
              <w:rPr>
                <w:rFonts w:cs="Times New Roman"/>
                <w:noProof/>
              </w:rPr>
              <w:t xml:space="preserve"> </w:t>
            </w:r>
          </w:p>
        </w:tc>
        <w:tc>
          <w:tcPr>
            <w:tcW w:w="1059" w:type="dxa"/>
            <w:tcBorders>
              <w:top w:val="single" w:sz="4" w:space="0" w:color="auto"/>
              <w:left w:val="single" w:sz="4" w:space="0" w:color="auto"/>
              <w:bottom w:val="single" w:sz="4" w:space="0" w:color="auto"/>
              <w:right w:val="single" w:sz="4" w:space="0" w:color="auto"/>
            </w:tcBorders>
            <w:shd w:val="clear" w:color="auto" w:fill="C6EFCE"/>
          </w:tcPr>
          <w:p w14:paraId="16412B8B" w14:textId="77777777" w:rsidR="00D65CB4" w:rsidRPr="00BC4EE7" w:rsidRDefault="00572307">
            <w:pPr>
              <w:pStyle w:val="P68B1DB1-Normal12"/>
              <w:rPr>
                <w:rFonts w:cs="Times New Roman"/>
                <w:noProof/>
              </w:rPr>
            </w:pPr>
            <w:r w:rsidRPr="00BC4EE7">
              <w:rPr>
                <w:rFonts w:cs="Times New Roman"/>
                <w:noProof/>
              </w:rPr>
              <w:t>Millió EUR</w:t>
            </w:r>
          </w:p>
        </w:tc>
        <w:tc>
          <w:tcPr>
            <w:tcW w:w="971" w:type="dxa"/>
            <w:tcBorders>
              <w:top w:val="single" w:sz="4" w:space="0" w:color="auto"/>
              <w:left w:val="single" w:sz="4" w:space="0" w:color="auto"/>
              <w:bottom w:val="single" w:sz="4" w:space="0" w:color="auto"/>
              <w:right w:val="single" w:sz="4" w:space="0" w:color="auto"/>
            </w:tcBorders>
            <w:shd w:val="clear" w:color="auto" w:fill="C6EFCE"/>
          </w:tcPr>
          <w:p w14:paraId="5D3042B2" w14:textId="77777777" w:rsidR="00D65CB4" w:rsidRPr="00BC4EE7" w:rsidRDefault="00572307">
            <w:pPr>
              <w:pStyle w:val="P68B1DB1-Normal12"/>
              <w:jc w:val="right"/>
              <w:rPr>
                <w:rFonts w:cs="Times New Roman"/>
                <w:noProof/>
              </w:rPr>
            </w:pPr>
            <w:r w:rsidRPr="00BC4EE7">
              <w:rPr>
                <w:rFonts w:cs="Times New Roman"/>
                <w:noProof/>
              </w:rPr>
              <w:t>0</w:t>
            </w:r>
          </w:p>
        </w:tc>
        <w:tc>
          <w:tcPr>
            <w:tcW w:w="696" w:type="dxa"/>
            <w:tcBorders>
              <w:top w:val="single" w:sz="4" w:space="0" w:color="auto"/>
              <w:left w:val="single" w:sz="4" w:space="0" w:color="auto"/>
              <w:bottom w:val="single" w:sz="4" w:space="0" w:color="auto"/>
              <w:right w:val="single" w:sz="4" w:space="0" w:color="auto"/>
            </w:tcBorders>
            <w:shd w:val="clear" w:color="auto" w:fill="C6EFCE"/>
          </w:tcPr>
          <w:p w14:paraId="1F7B8048" w14:textId="77777777" w:rsidR="00D65CB4" w:rsidRPr="00BC4EE7" w:rsidRDefault="00572307">
            <w:pPr>
              <w:pStyle w:val="P68B1DB1-Normal12"/>
              <w:jc w:val="right"/>
              <w:rPr>
                <w:rFonts w:cs="Times New Roman"/>
                <w:noProof/>
              </w:rPr>
            </w:pPr>
            <w:r w:rsidRPr="00BC4EE7">
              <w:rPr>
                <w:rFonts w:cs="Times New Roman"/>
                <w:noProof/>
              </w:rPr>
              <w:t>1 205</w:t>
            </w:r>
          </w:p>
        </w:tc>
        <w:tc>
          <w:tcPr>
            <w:tcW w:w="558" w:type="dxa"/>
            <w:tcBorders>
              <w:top w:val="single" w:sz="4" w:space="0" w:color="auto"/>
              <w:left w:val="single" w:sz="4" w:space="0" w:color="auto"/>
              <w:bottom w:val="single" w:sz="4" w:space="0" w:color="auto"/>
              <w:right w:val="single" w:sz="4" w:space="0" w:color="auto"/>
            </w:tcBorders>
            <w:shd w:val="clear" w:color="auto" w:fill="C6EFCE"/>
          </w:tcPr>
          <w:p w14:paraId="5FF506EC" w14:textId="77777777" w:rsidR="00D65CB4" w:rsidRPr="00BC4EE7" w:rsidRDefault="00572307">
            <w:pPr>
              <w:pStyle w:val="P68B1DB1-Normal12"/>
              <w:jc w:val="center"/>
              <w:rPr>
                <w:rFonts w:cs="Times New Roman"/>
                <w:noProof/>
              </w:rPr>
            </w:pPr>
            <w:r w:rsidRPr="00BC4EE7">
              <w:rPr>
                <w:rFonts w:cs="Times New Roman"/>
                <w:noProof/>
              </w:rPr>
              <w:t>Q4</w:t>
            </w:r>
          </w:p>
        </w:tc>
        <w:tc>
          <w:tcPr>
            <w:tcW w:w="806" w:type="dxa"/>
            <w:tcBorders>
              <w:top w:val="single" w:sz="4" w:space="0" w:color="auto"/>
              <w:left w:val="single" w:sz="4" w:space="0" w:color="auto"/>
              <w:bottom w:val="single" w:sz="4" w:space="0" w:color="auto"/>
              <w:right w:val="single" w:sz="4" w:space="0" w:color="auto"/>
            </w:tcBorders>
            <w:shd w:val="clear" w:color="auto" w:fill="C6EFCE"/>
          </w:tcPr>
          <w:p w14:paraId="5617717C" w14:textId="77777777" w:rsidR="00D65CB4" w:rsidRPr="00BC4EE7" w:rsidRDefault="00572307">
            <w:pPr>
              <w:pStyle w:val="P68B1DB1-Normal12"/>
              <w:jc w:val="center"/>
              <w:rPr>
                <w:rFonts w:cs="Times New Roman"/>
                <w:noProof/>
              </w:rPr>
            </w:pPr>
            <w:r w:rsidRPr="00BC4EE7">
              <w:rPr>
                <w:rFonts w:cs="Times New Roman"/>
                <w:noProof/>
              </w:rPr>
              <w:t>2023</w:t>
            </w:r>
          </w:p>
        </w:tc>
        <w:tc>
          <w:tcPr>
            <w:tcW w:w="3895" w:type="dxa"/>
            <w:tcBorders>
              <w:top w:val="single" w:sz="4" w:space="0" w:color="auto"/>
              <w:left w:val="single" w:sz="4" w:space="0" w:color="auto"/>
              <w:bottom w:val="single" w:sz="4" w:space="0" w:color="auto"/>
              <w:right w:val="single" w:sz="4" w:space="0" w:color="auto"/>
            </w:tcBorders>
            <w:shd w:val="clear" w:color="auto" w:fill="C6EFCE"/>
          </w:tcPr>
          <w:p w14:paraId="5C699583" w14:textId="77777777" w:rsidR="00D65CB4" w:rsidRPr="00BC4EE7" w:rsidRDefault="00572307">
            <w:pPr>
              <w:rPr>
                <w:rFonts w:ascii="Times New Roman" w:hAnsi="Times New Roman" w:cs="Times New Roman"/>
                <w:noProof/>
                <w:sz w:val="18"/>
              </w:rPr>
            </w:pPr>
            <w:r w:rsidRPr="00BC4EE7">
              <w:rPr>
                <w:rFonts w:ascii="Times New Roman" w:hAnsi="Times New Roman" w:cs="Times New Roman"/>
                <w:noProof/>
                <w:sz w:val="18"/>
              </w:rPr>
              <w:t>A következő területeket lefedő projektek odaítélésének közzététele a Hivatalos Lapban vagy a közbeszerzési platformon:</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Digitális átalakulás az egészségügyi ágazatban;</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Az igazságszolgáltatás digitális átalakítása;</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Digitális átalakulás a foglalkoztatás tekintetében;</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Digitális átalakulás a befogadás, a szociális biztonság és a migráció tekintetében;</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Konzuli digitalizálási terv;</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Digitális átalakulás az általános államigazgatás más területein.</w:t>
            </w:r>
          </w:p>
        </w:tc>
      </w:tr>
      <w:tr w:rsidR="00D65CB4" w:rsidRPr="00BC4EE7" w14:paraId="30C22732" w14:textId="77777777" w:rsidTr="00481CF8">
        <w:trPr>
          <w:trHeight w:val="309"/>
        </w:trPr>
        <w:tc>
          <w:tcPr>
            <w:tcW w:w="1195" w:type="dxa"/>
            <w:shd w:val="clear" w:color="auto" w:fill="C6EFCE"/>
          </w:tcPr>
          <w:p w14:paraId="748BDFB5" w14:textId="77777777" w:rsidR="00D65CB4" w:rsidRPr="00BC4EE7" w:rsidRDefault="00572307">
            <w:pPr>
              <w:pStyle w:val="P68B1DB1-Normal12"/>
              <w:jc w:val="center"/>
              <w:rPr>
                <w:rFonts w:cs="Times New Roman"/>
                <w:noProof/>
              </w:rPr>
            </w:pPr>
            <w:r w:rsidRPr="00BC4EE7">
              <w:rPr>
                <w:rFonts w:cs="Times New Roman"/>
                <w:noProof/>
              </w:rPr>
              <w:t>166</w:t>
            </w:r>
          </w:p>
        </w:tc>
        <w:tc>
          <w:tcPr>
            <w:tcW w:w="1323" w:type="dxa"/>
            <w:shd w:val="clear" w:color="auto" w:fill="C6EFCE"/>
          </w:tcPr>
          <w:p w14:paraId="35122461" w14:textId="77777777" w:rsidR="00D65CB4" w:rsidRPr="00BC4EE7" w:rsidRDefault="00572307">
            <w:pPr>
              <w:pStyle w:val="P68B1DB1-Normal12"/>
              <w:jc w:val="center"/>
              <w:rPr>
                <w:rFonts w:cs="Times New Roman"/>
                <w:noProof/>
              </w:rPr>
            </w:pPr>
            <w:r w:rsidRPr="00BC4EE7">
              <w:rPr>
                <w:rFonts w:cs="Times New Roman"/>
                <w:noProof/>
              </w:rPr>
              <w:t>C11.I2.</w:t>
            </w:r>
          </w:p>
        </w:tc>
        <w:tc>
          <w:tcPr>
            <w:tcW w:w="1091" w:type="dxa"/>
            <w:shd w:val="clear" w:color="auto" w:fill="C6EFCE"/>
          </w:tcPr>
          <w:p w14:paraId="140A805F" w14:textId="77777777" w:rsidR="00D65CB4" w:rsidRPr="00BC4EE7" w:rsidRDefault="00572307">
            <w:pPr>
              <w:pStyle w:val="P68B1DB1-Normal12"/>
              <w:jc w:val="center"/>
              <w:rPr>
                <w:rFonts w:cs="Times New Roman"/>
                <w:noProof/>
              </w:rPr>
            </w:pPr>
            <w:r w:rsidRPr="00BC4EE7">
              <w:rPr>
                <w:rFonts w:cs="Times New Roman"/>
                <w:noProof/>
              </w:rPr>
              <w:t>M</w:t>
            </w:r>
          </w:p>
        </w:tc>
        <w:tc>
          <w:tcPr>
            <w:tcW w:w="1593" w:type="dxa"/>
            <w:shd w:val="clear" w:color="auto" w:fill="C6EFCE"/>
          </w:tcPr>
          <w:p w14:paraId="71EB7BE6" w14:textId="461A05FA" w:rsidR="00D65CB4" w:rsidRPr="00BC4EE7" w:rsidRDefault="00572307">
            <w:pPr>
              <w:pStyle w:val="P68B1DB1-Normal12"/>
              <w:rPr>
                <w:rFonts w:cs="Times New Roman"/>
                <w:noProof/>
              </w:rPr>
            </w:pPr>
            <w:r w:rsidRPr="00BC4EE7">
              <w:rPr>
                <w:rFonts w:cs="Times New Roman"/>
                <w:noProof/>
              </w:rPr>
              <w:t>A központi közigazgatás digitalizációs ösztönző projektjeit támogató projektek lezárása (a #163. mérföldkő, az #164. cél és a #341. mérföldkő hatálya alá tartozó projektek kivételével)</w:t>
            </w:r>
          </w:p>
        </w:tc>
        <w:tc>
          <w:tcPr>
            <w:tcW w:w="1409" w:type="dxa"/>
            <w:shd w:val="clear" w:color="auto" w:fill="C6EFCE"/>
          </w:tcPr>
          <w:p w14:paraId="71FD1A04" w14:textId="77777777" w:rsidR="00D65CB4" w:rsidRPr="00BC4EE7" w:rsidRDefault="00572307">
            <w:pPr>
              <w:pStyle w:val="P68B1DB1-Normal12"/>
              <w:jc w:val="center"/>
              <w:rPr>
                <w:rFonts w:cs="Times New Roman"/>
                <w:noProof/>
              </w:rPr>
            </w:pPr>
            <w:r w:rsidRPr="00BC4EE7">
              <w:rPr>
                <w:rFonts w:cs="Times New Roman"/>
                <w:noProof/>
              </w:rPr>
              <w:t>Az illetékes hatóság által aláírt, a projektek befejezését és működőképességét igazoló tanúsítványok</w:t>
            </w:r>
          </w:p>
        </w:tc>
        <w:tc>
          <w:tcPr>
            <w:tcW w:w="1059" w:type="dxa"/>
            <w:shd w:val="clear" w:color="auto" w:fill="C6EFCE"/>
          </w:tcPr>
          <w:p w14:paraId="15DC0836"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971" w:type="dxa"/>
            <w:shd w:val="clear" w:color="auto" w:fill="C6EFCE"/>
          </w:tcPr>
          <w:p w14:paraId="3533C3BA"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696" w:type="dxa"/>
            <w:shd w:val="clear" w:color="auto" w:fill="C6EFCE"/>
          </w:tcPr>
          <w:p w14:paraId="1DE894AF"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558" w:type="dxa"/>
            <w:shd w:val="clear" w:color="auto" w:fill="C6EFCE"/>
          </w:tcPr>
          <w:p w14:paraId="7E9CB671" w14:textId="77777777" w:rsidR="00D65CB4" w:rsidRPr="00BC4EE7" w:rsidRDefault="00572307">
            <w:pPr>
              <w:pStyle w:val="P68B1DB1-Normal12"/>
              <w:jc w:val="center"/>
              <w:rPr>
                <w:rFonts w:cs="Times New Roman"/>
                <w:noProof/>
              </w:rPr>
            </w:pPr>
            <w:r w:rsidRPr="00BC4EE7">
              <w:rPr>
                <w:rFonts w:cs="Times New Roman"/>
                <w:noProof/>
              </w:rPr>
              <w:t>Q4</w:t>
            </w:r>
          </w:p>
        </w:tc>
        <w:tc>
          <w:tcPr>
            <w:tcW w:w="806" w:type="dxa"/>
            <w:shd w:val="clear" w:color="auto" w:fill="C6EFCE"/>
          </w:tcPr>
          <w:p w14:paraId="5D100815" w14:textId="77777777" w:rsidR="00D65CB4" w:rsidRPr="00BC4EE7" w:rsidRDefault="00572307">
            <w:pPr>
              <w:pStyle w:val="P68B1DB1-Normal12"/>
              <w:jc w:val="center"/>
              <w:rPr>
                <w:rFonts w:cs="Times New Roman"/>
                <w:noProof/>
              </w:rPr>
            </w:pPr>
            <w:r w:rsidRPr="00BC4EE7">
              <w:rPr>
                <w:rFonts w:cs="Times New Roman"/>
                <w:noProof/>
              </w:rPr>
              <w:t>2025</w:t>
            </w:r>
          </w:p>
        </w:tc>
        <w:tc>
          <w:tcPr>
            <w:tcW w:w="3895" w:type="dxa"/>
            <w:shd w:val="clear" w:color="auto" w:fill="C6EFCE"/>
          </w:tcPr>
          <w:p w14:paraId="4B12F15C" w14:textId="4284F54D" w:rsidR="00D65CB4" w:rsidRPr="00BC4EE7" w:rsidRDefault="00572307">
            <w:pPr>
              <w:pStyle w:val="P68B1DB1-Normal12"/>
              <w:rPr>
                <w:rFonts w:cs="Times New Roman"/>
                <w:noProof/>
              </w:rPr>
            </w:pPr>
            <w:r w:rsidRPr="00BC4EE7">
              <w:rPr>
                <w:rFonts w:cs="Times New Roman"/>
                <w:noProof/>
              </w:rPr>
              <w:t xml:space="preserve">A #165. célnak megfelelően odaítélt projektek lezárása (az #163., #164. és #341. mérföldkő által lefedett projektek kivételével) </w:t>
            </w:r>
          </w:p>
        </w:tc>
      </w:tr>
      <w:tr w:rsidR="00D65CB4" w:rsidRPr="00BC4EE7" w14:paraId="1F8EC9B7" w14:textId="77777777" w:rsidTr="00481CF8">
        <w:trPr>
          <w:trHeight w:val="309"/>
        </w:trPr>
        <w:tc>
          <w:tcPr>
            <w:tcW w:w="1195" w:type="dxa"/>
            <w:shd w:val="clear" w:color="auto" w:fill="C6EFCE"/>
          </w:tcPr>
          <w:p w14:paraId="23667BAA" w14:textId="77777777" w:rsidR="00D65CB4" w:rsidRPr="00BC4EE7" w:rsidRDefault="00572307">
            <w:pPr>
              <w:pStyle w:val="P68B1DB1-Normal12"/>
              <w:jc w:val="center"/>
              <w:rPr>
                <w:rFonts w:cs="Times New Roman"/>
                <w:noProof/>
              </w:rPr>
            </w:pPr>
            <w:r w:rsidRPr="00BC4EE7">
              <w:rPr>
                <w:rFonts w:cs="Times New Roman"/>
                <w:noProof/>
              </w:rPr>
              <w:t>167</w:t>
            </w:r>
          </w:p>
        </w:tc>
        <w:tc>
          <w:tcPr>
            <w:tcW w:w="1323" w:type="dxa"/>
            <w:shd w:val="clear" w:color="auto" w:fill="C6EFCE"/>
          </w:tcPr>
          <w:p w14:paraId="2DA2DBB6" w14:textId="77777777" w:rsidR="00D65CB4" w:rsidRPr="00BC4EE7" w:rsidRDefault="00572307">
            <w:pPr>
              <w:pStyle w:val="P68B1DB1-Normal12"/>
              <w:jc w:val="center"/>
              <w:rPr>
                <w:rFonts w:cs="Times New Roman"/>
                <w:noProof/>
              </w:rPr>
            </w:pPr>
            <w:r w:rsidRPr="00BC4EE7">
              <w:rPr>
                <w:rFonts w:cs="Times New Roman"/>
                <w:noProof/>
              </w:rPr>
              <w:t>C11.I3</w:t>
            </w:r>
          </w:p>
        </w:tc>
        <w:tc>
          <w:tcPr>
            <w:tcW w:w="1091" w:type="dxa"/>
            <w:shd w:val="clear" w:color="auto" w:fill="C6EFCE"/>
          </w:tcPr>
          <w:p w14:paraId="5BD39C5F" w14:textId="77777777" w:rsidR="00D65CB4" w:rsidRPr="00BC4EE7" w:rsidRDefault="00572307">
            <w:pPr>
              <w:pStyle w:val="P68B1DB1-Normal12"/>
              <w:jc w:val="center"/>
              <w:rPr>
                <w:rFonts w:cs="Times New Roman"/>
                <w:noProof/>
              </w:rPr>
            </w:pPr>
            <w:r w:rsidRPr="00BC4EE7">
              <w:rPr>
                <w:rFonts w:cs="Times New Roman"/>
                <w:noProof/>
              </w:rPr>
              <w:t>M</w:t>
            </w:r>
          </w:p>
        </w:tc>
        <w:tc>
          <w:tcPr>
            <w:tcW w:w="1593" w:type="dxa"/>
            <w:shd w:val="clear" w:color="auto" w:fill="C6EFCE"/>
          </w:tcPr>
          <w:p w14:paraId="6022DEBF" w14:textId="77777777" w:rsidR="00D65CB4" w:rsidRPr="00BC4EE7" w:rsidRDefault="00572307">
            <w:pPr>
              <w:pStyle w:val="P68B1DB1-Normal12"/>
              <w:rPr>
                <w:rFonts w:cs="Times New Roman"/>
                <w:noProof/>
              </w:rPr>
            </w:pPr>
            <w:r w:rsidRPr="00BC4EE7">
              <w:rPr>
                <w:rFonts w:cs="Times New Roman"/>
                <w:noProof/>
              </w:rPr>
              <w:t>A regionális és helyi szervezetek digitalizációja</w:t>
            </w:r>
          </w:p>
        </w:tc>
        <w:tc>
          <w:tcPr>
            <w:tcW w:w="1409" w:type="dxa"/>
            <w:shd w:val="clear" w:color="auto" w:fill="C6EFCE"/>
          </w:tcPr>
          <w:p w14:paraId="34C8375B" w14:textId="77777777" w:rsidR="00D65CB4" w:rsidRPr="00BC4EE7" w:rsidRDefault="00572307">
            <w:pPr>
              <w:pStyle w:val="P68B1DB1-Normal12"/>
              <w:jc w:val="center"/>
              <w:rPr>
                <w:rFonts w:cs="Times New Roman"/>
                <w:noProof/>
              </w:rPr>
            </w:pPr>
            <w:r w:rsidRPr="00BC4EE7">
              <w:rPr>
                <w:rFonts w:cs="Times New Roman"/>
                <w:noProof/>
              </w:rPr>
              <w:t>A Területpolitikai és Közszolgálati Minisztérium aláírt igazolást ad ki arról, hogy a cél teljesült</w:t>
            </w:r>
          </w:p>
        </w:tc>
        <w:tc>
          <w:tcPr>
            <w:tcW w:w="1059" w:type="dxa"/>
            <w:shd w:val="clear" w:color="auto" w:fill="C6EFCE"/>
          </w:tcPr>
          <w:p w14:paraId="00005C1A"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971" w:type="dxa"/>
            <w:shd w:val="clear" w:color="auto" w:fill="C6EFCE"/>
          </w:tcPr>
          <w:p w14:paraId="28DA1435"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696" w:type="dxa"/>
            <w:shd w:val="clear" w:color="auto" w:fill="C6EFCE"/>
          </w:tcPr>
          <w:p w14:paraId="51460906"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558" w:type="dxa"/>
            <w:shd w:val="clear" w:color="auto" w:fill="C6EFCE"/>
          </w:tcPr>
          <w:p w14:paraId="06D515A8" w14:textId="77777777" w:rsidR="00D65CB4" w:rsidRPr="00BC4EE7" w:rsidRDefault="00572307">
            <w:pPr>
              <w:pStyle w:val="P68B1DB1-Normal12"/>
              <w:jc w:val="center"/>
              <w:rPr>
                <w:rFonts w:cs="Times New Roman"/>
                <w:noProof/>
              </w:rPr>
            </w:pPr>
            <w:r w:rsidRPr="00BC4EE7">
              <w:rPr>
                <w:rFonts w:cs="Times New Roman"/>
                <w:noProof/>
              </w:rPr>
              <w:t>Q4</w:t>
            </w:r>
          </w:p>
        </w:tc>
        <w:tc>
          <w:tcPr>
            <w:tcW w:w="806" w:type="dxa"/>
            <w:shd w:val="clear" w:color="auto" w:fill="C6EFCE"/>
          </w:tcPr>
          <w:p w14:paraId="37AC85C7" w14:textId="77777777" w:rsidR="00D65CB4" w:rsidRPr="00BC4EE7" w:rsidRDefault="00572307">
            <w:pPr>
              <w:pStyle w:val="P68B1DB1-Normal12"/>
              <w:jc w:val="center"/>
              <w:rPr>
                <w:rFonts w:cs="Times New Roman"/>
                <w:noProof/>
              </w:rPr>
            </w:pPr>
            <w:r w:rsidRPr="00BC4EE7">
              <w:rPr>
                <w:rFonts w:cs="Times New Roman"/>
                <w:noProof/>
              </w:rPr>
              <w:t>2023</w:t>
            </w:r>
          </w:p>
        </w:tc>
        <w:tc>
          <w:tcPr>
            <w:tcW w:w="3895" w:type="dxa"/>
            <w:shd w:val="clear" w:color="auto" w:fill="C6EFCE"/>
          </w:tcPr>
          <w:p w14:paraId="70950286" w14:textId="77777777" w:rsidR="00D65CB4" w:rsidRPr="00BC4EE7" w:rsidRDefault="00572307">
            <w:pPr>
              <w:pStyle w:val="P68B1DB1-Normal12"/>
              <w:rPr>
                <w:rFonts w:cs="Times New Roman"/>
                <w:noProof/>
              </w:rPr>
            </w:pPr>
            <w:r w:rsidRPr="00BC4EE7">
              <w:rPr>
                <w:rFonts w:cs="Times New Roman"/>
                <w:noProof/>
              </w:rPr>
              <w:t>Az autonóm közösségek és a helyi önkormányzatok a 2025-ig tartó időszakra szóló digitális stratégia, a közigazgatás digitalizációs terve és a közszféra számára tervezett korszerűsítési intézkedések többi része stratégiai vonalain belüli projekteket hajtottak végre. Konkrétabban: a) Minden autonóm közösség megvalósított legalább egy projektet az öt stratégiai vonal egyikében (1. A polgárokra összpontosító közigazgatás, 2. Intelligens műveletek, 3. Adatkormányzás, 4. Digitális infrastruktúrák és/vagy 5. Kiberbiztonság); a regionális közigazgatások (</w:t>
            </w:r>
            <w:r w:rsidRPr="00BC4EE7">
              <w:rPr>
                <w:rFonts w:cs="Times New Roman"/>
                <w:i/>
                <w:noProof/>
              </w:rPr>
              <w:t>Comunidades Autónomas) digitális eljárásainak 60%-a</w:t>
            </w:r>
            <w:r w:rsidRPr="00BC4EE7">
              <w:rPr>
                <w:rFonts w:cs="Times New Roman"/>
                <w:noProof/>
              </w:rPr>
              <w:t xml:space="preserve">lehetővé teszi azok mobil használatát (jelenleg: 48%). </w:t>
            </w:r>
          </w:p>
        </w:tc>
      </w:tr>
      <w:tr w:rsidR="00D65CB4" w:rsidRPr="00BC4EE7" w14:paraId="29457D88" w14:textId="77777777" w:rsidTr="00481CF8">
        <w:trPr>
          <w:trHeight w:val="309"/>
        </w:trPr>
        <w:tc>
          <w:tcPr>
            <w:tcW w:w="1195" w:type="dxa"/>
            <w:shd w:val="clear" w:color="auto" w:fill="C6EFCE"/>
          </w:tcPr>
          <w:p w14:paraId="43DD2ED9" w14:textId="77777777" w:rsidR="00D65CB4" w:rsidRPr="00BC4EE7" w:rsidRDefault="00572307">
            <w:pPr>
              <w:pStyle w:val="P68B1DB1-Normal12"/>
              <w:jc w:val="center"/>
              <w:rPr>
                <w:rFonts w:cs="Times New Roman"/>
                <w:noProof/>
              </w:rPr>
            </w:pPr>
            <w:r w:rsidRPr="00BC4EE7">
              <w:rPr>
                <w:rFonts w:cs="Times New Roman"/>
                <w:noProof/>
              </w:rPr>
              <w:t>168</w:t>
            </w:r>
          </w:p>
        </w:tc>
        <w:tc>
          <w:tcPr>
            <w:tcW w:w="1323" w:type="dxa"/>
            <w:shd w:val="clear" w:color="auto" w:fill="C6EFCE"/>
          </w:tcPr>
          <w:p w14:paraId="175B0B9C" w14:textId="77777777" w:rsidR="00D65CB4" w:rsidRPr="00BC4EE7" w:rsidRDefault="00572307">
            <w:pPr>
              <w:pStyle w:val="P68B1DB1-Normal12"/>
              <w:jc w:val="center"/>
              <w:rPr>
                <w:rFonts w:cs="Times New Roman"/>
                <w:noProof/>
              </w:rPr>
            </w:pPr>
            <w:r w:rsidRPr="00BC4EE7">
              <w:rPr>
                <w:rFonts w:cs="Times New Roman"/>
                <w:noProof/>
              </w:rPr>
              <w:t>C11.I3</w:t>
            </w:r>
          </w:p>
        </w:tc>
        <w:tc>
          <w:tcPr>
            <w:tcW w:w="1091" w:type="dxa"/>
            <w:shd w:val="clear" w:color="auto" w:fill="C6EFCE"/>
          </w:tcPr>
          <w:p w14:paraId="1AD90BCF" w14:textId="77777777" w:rsidR="00D65CB4" w:rsidRPr="00BC4EE7" w:rsidRDefault="00572307">
            <w:pPr>
              <w:pStyle w:val="P68B1DB1-Normal12"/>
              <w:jc w:val="center"/>
              <w:rPr>
                <w:rFonts w:cs="Times New Roman"/>
                <w:noProof/>
              </w:rPr>
            </w:pPr>
            <w:r w:rsidRPr="00BC4EE7">
              <w:rPr>
                <w:rFonts w:cs="Times New Roman"/>
                <w:noProof/>
              </w:rPr>
              <w:t>T</w:t>
            </w:r>
          </w:p>
        </w:tc>
        <w:tc>
          <w:tcPr>
            <w:tcW w:w="1593" w:type="dxa"/>
            <w:shd w:val="clear" w:color="auto" w:fill="C6EFCE"/>
          </w:tcPr>
          <w:p w14:paraId="13A6B727" w14:textId="77777777" w:rsidR="00D65CB4" w:rsidRPr="00BC4EE7" w:rsidRDefault="00572307">
            <w:pPr>
              <w:pStyle w:val="P68B1DB1-Normal12"/>
              <w:rPr>
                <w:rFonts w:cs="Times New Roman"/>
                <w:noProof/>
              </w:rPr>
            </w:pPr>
            <w:r w:rsidRPr="00BC4EE7">
              <w:rPr>
                <w:rFonts w:cs="Times New Roman"/>
                <w:noProof/>
              </w:rPr>
              <w:t>A regionális és helyi közigazgatások, valamint a Területpolitikai és Közigazgatási Minisztérium digitális átalakulását támogató projektek odaítélése</w:t>
            </w:r>
          </w:p>
        </w:tc>
        <w:tc>
          <w:tcPr>
            <w:tcW w:w="1409" w:type="dxa"/>
            <w:shd w:val="clear" w:color="auto" w:fill="C6EFCE"/>
          </w:tcPr>
          <w:p w14:paraId="7DCD1A6C" w14:textId="77777777" w:rsidR="00D65CB4" w:rsidRPr="00BC4EE7" w:rsidRDefault="00572307">
            <w:pPr>
              <w:pStyle w:val="P68B1DB1-Normal12"/>
              <w:jc w:val="center"/>
              <w:rPr>
                <w:rFonts w:cs="Times New Roman"/>
                <w:noProof/>
              </w:rPr>
            </w:pPr>
            <w:r w:rsidRPr="00BC4EE7">
              <w:rPr>
                <w:rFonts w:cs="Times New Roman"/>
                <w:noProof/>
              </w:rPr>
              <w:t xml:space="preserve"> </w:t>
            </w:r>
          </w:p>
        </w:tc>
        <w:tc>
          <w:tcPr>
            <w:tcW w:w="1059" w:type="dxa"/>
            <w:shd w:val="clear" w:color="auto" w:fill="C6EFCE"/>
          </w:tcPr>
          <w:p w14:paraId="407B9779" w14:textId="77777777" w:rsidR="00D65CB4" w:rsidRPr="00BC4EE7" w:rsidRDefault="00572307">
            <w:pPr>
              <w:pStyle w:val="P68B1DB1-Normal12"/>
              <w:rPr>
                <w:rFonts w:cs="Times New Roman"/>
                <w:noProof/>
              </w:rPr>
            </w:pPr>
            <w:r w:rsidRPr="00BC4EE7">
              <w:rPr>
                <w:rFonts w:cs="Times New Roman"/>
                <w:noProof/>
              </w:rPr>
              <w:t>Millió EUR</w:t>
            </w:r>
          </w:p>
        </w:tc>
        <w:tc>
          <w:tcPr>
            <w:tcW w:w="971" w:type="dxa"/>
            <w:shd w:val="clear" w:color="auto" w:fill="C6EFCE"/>
          </w:tcPr>
          <w:p w14:paraId="606EC8B5" w14:textId="77777777" w:rsidR="00D65CB4" w:rsidRPr="00BC4EE7" w:rsidRDefault="00572307">
            <w:pPr>
              <w:pStyle w:val="P68B1DB1-Normal12"/>
              <w:jc w:val="right"/>
              <w:rPr>
                <w:rFonts w:cs="Times New Roman"/>
                <w:noProof/>
              </w:rPr>
            </w:pPr>
            <w:r w:rsidRPr="00BC4EE7">
              <w:rPr>
                <w:rFonts w:cs="Times New Roman"/>
                <w:noProof/>
              </w:rPr>
              <w:t>0</w:t>
            </w:r>
          </w:p>
        </w:tc>
        <w:tc>
          <w:tcPr>
            <w:tcW w:w="696" w:type="dxa"/>
            <w:shd w:val="clear" w:color="auto" w:fill="C6EFCE"/>
          </w:tcPr>
          <w:p w14:paraId="1516BA19" w14:textId="77777777" w:rsidR="00D65CB4" w:rsidRPr="00BC4EE7" w:rsidRDefault="00572307">
            <w:pPr>
              <w:pStyle w:val="P68B1DB1-Normal12"/>
              <w:jc w:val="right"/>
              <w:rPr>
                <w:rFonts w:cs="Times New Roman"/>
                <w:noProof/>
              </w:rPr>
            </w:pPr>
            <w:r w:rsidRPr="00BC4EE7">
              <w:rPr>
                <w:rFonts w:cs="Times New Roman"/>
                <w:noProof/>
              </w:rPr>
              <w:t>1 000</w:t>
            </w:r>
          </w:p>
        </w:tc>
        <w:tc>
          <w:tcPr>
            <w:tcW w:w="558" w:type="dxa"/>
            <w:shd w:val="clear" w:color="auto" w:fill="C6EFCE"/>
          </w:tcPr>
          <w:p w14:paraId="23EE0B9A" w14:textId="77777777" w:rsidR="00D65CB4" w:rsidRPr="00BC4EE7" w:rsidRDefault="00572307">
            <w:pPr>
              <w:pStyle w:val="P68B1DB1-Normal12"/>
              <w:jc w:val="center"/>
              <w:rPr>
                <w:rFonts w:cs="Times New Roman"/>
                <w:noProof/>
              </w:rPr>
            </w:pPr>
            <w:r w:rsidRPr="00BC4EE7">
              <w:rPr>
                <w:rFonts w:cs="Times New Roman"/>
                <w:noProof/>
              </w:rPr>
              <w:t>Q2</w:t>
            </w:r>
          </w:p>
        </w:tc>
        <w:tc>
          <w:tcPr>
            <w:tcW w:w="806" w:type="dxa"/>
            <w:shd w:val="clear" w:color="auto" w:fill="C6EFCE"/>
          </w:tcPr>
          <w:p w14:paraId="7E3FE776" w14:textId="77777777" w:rsidR="00D65CB4" w:rsidRPr="00BC4EE7" w:rsidRDefault="00572307">
            <w:pPr>
              <w:pStyle w:val="P68B1DB1-Normal12"/>
              <w:jc w:val="center"/>
              <w:rPr>
                <w:rFonts w:cs="Times New Roman"/>
                <w:noProof/>
              </w:rPr>
            </w:pPr>
            <w:r w:rsidRPr="00BC4EE7">
              <w:rPr>
                <w:rFonts w:cs="Times New Roman"/>
                <w:noProof/>
              </w:rPr>
              <w:t>2025</w:t>
            </w:r>
          </w:p>
        </w:tc>
        <w:tc>
          <w:tcPr>
            <w:tcW w:w="3895" w:type="dxa"/>
            <w:shd w:val="clear" w:color="auto" w:fill="C6EFCE"/>
          </w:tcPr>
          <w:p w14:paraId="749F95DF" w14:textId="77777777" w:rsidR="00D65CB4" w:rsidRPr="00BC4EE7" w:rsidRDefault="00572307">
            <w:pPr>
              <w:rPr>
                <w:rFonts w:ascii="Times New Roman" w:hAnsi="Times New Roman" w:cs="Times New Roman"/>
                <w:noProof/>
                <w:sz w:val="18"/>
              </w:rPr>
            </w:pPr>
            <w:r w:rsidRPr="00BC4EE7">
              <w:rPr>
                <w:rFonts w:ascii="Times New Roman" w:hAnsi="Times New Roman" w:cs="Times New Roman"/>
                <w:noProof/>
              </w:rPr>
              <w:t>A következő területeket lefedő projektek odaítélésének</w:t>
            </w:r>
            <w:r w:rsidRPr="00BC4EE7">
              <w:rPr>
                <w:rFonts w:ascii="Times New Roman" w:hAnsi="Times New Roman" w:cs="Times New Roman"/>
                <w:noProof/>
                <w:sz w:val="18"/>
              </w:rPr>
              <w:t xml:space="preserve">közzététele a Hivatalos Lapban vagy a közbeszerzési platformon: </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Digitális átalakulás a proaktivitás, a mobilitás és a felhasználói élmény tekintetében;</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Digitális átalakulás az automatizálás és az adatközpontú közigazgatás tekintetében;</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Digitális átalakulás a fizikai, logikai infrastruktúrák és szoftverek tekintetében;</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Digitális átalakulás a kiberbiztonság tekintetében.</w:t>
            </w:r>
          </w:p>
        </w:tc>
      </w:tr>
      <w:tr w:rsidR="00D65CB4" w:rsidRPr="00BC4EE7" w14:paraId="70646FC0" w14:textId="77777777" w:rsidTr="00481CF8">
        <w:trPr>
          <w:trHeight w:val="309"/>
        </w:trPr>
        <w:tc>
          <w:tcPr>
            <w:tcW w:w="1195" w:type="dxa"/>
            <w:shd w:val="clear" w:color="auto" w:fill="C6EFCE"/>
          </w:tcPr>
          <w:p w14:paraId="69ED8513" w14:textId="77777777" w:rsidR="00D65CB4" w:rsidRPr="00BC4EE7" w:rsidRDefault="00572307">
            <w:pPr>
              <w:pStyle w:val="P68B1DB1-Normal12"/>
              <w:jc w:val="center"/>
              <w:rPr>
                <w:rFonts w:cs="Times New Roman"/>
                <w:noProof/>
              </w:rPr>
            </w:pPr>
            <w:r w:rsidRPr="00BC4EE7">
              <w:rPr>
                <w:rFonts w:cs="Times New Roman"/>
                <w:noProof/>
              </w:rPr>
              <w:t>169</w:t>
            </w:r>
          </w:p>
        </w:tc>
        <w:tc>
          <w:tcPr>
            <w:tcW w:w="1323" w:type="dxa"/>
            <w:shd w:val="clear" w:color="auto" w:fill="C6EFCE"/>
          </w:tcPr>
          <w:p w14:paraId="58170C5B" w14:textId="77777777" w:rsidR="00D65CB4" w:rsidRPr="00BC4EE7" w:rsidRDefault="00572307">
            <w:pPr>
              <w:pStyle w:val="P68B1DB1-Normal12"/>
              <w:jc w:val="center"/>
              <w:rPr>
                <w:rFonts w:cs="Times New Roman"/>
                <w:noProof/>
              </w:rPr>
            </w:pPr>
            <w:r w:rsidRPr="00BC4EE7">
              <w:rPr>
                <w:rFonts w:cs="Times New Roman"/>
                <w:noProof/>
              </w:rPr>
              <w:t>C11.I3</w:t>
            </w:r>
          </w:p>
        </w:tc>
        <w:tc>
          <w:tcPr>
            <w:tcW w:w="1091" w:type="dxa"/>
            <w:shd w:val="clear" w:color="auto" w:fill="C6EFCE"/>
          </w:tcPr>
          <w:p w14:paraId="0741F2D4" w14:textId="77777777" w:rsidR="00D65CB4" w:rsidRPr="00BC4EE7" w:rsidRDefault="00572307">
            <w:pPr>
              <w:pStyle w:val="P68B1DB1-Normal12"/>
              <w:jc w:val="center"/>
              <w:rPr>
                <w:rFonts w:cs="Times New Roman"/>
                <w:noProof/>
              </w:rPr>
            </w:pPr>
            <w:r w:rsidRPr="00BC4EE7">
              <w:rPr>
                <w:rFonts w:cs="Times New Roman"/>
                <w:noProof/>
              </w:rPr>
              <w:t>M</w:t>
            </w:r>
          </w:p>
        </w:tc>
        <w:tc>
          <w:tcPr>
            <w:tcW w:w="1593" w:type="dxa"/>
            <w:shd w:val="clear" w:color="auto" w:fill="C6EFCE"/>
          </w:tcPr>
          <w:p w14:paraId="080D547C" w14:textId="77777777" w:rsidR="00D65CB4" w:rsidRPr="00BC4EE7" w:rsidRDefault="00572307">
            <w:pPr>
              <w:pStyle w:val="P68B1DB1-Normal12"/>
              <w:rPr>
                <w:rFonts w:cs="Times New Roman"/>
                <w:noProof/>
              </w:rPr>
            </w:pPr>
            <w:r w:rsidRPr="00BC4EE7">
              <w:rPr>
                <w:rFonts w:cs="Times New Roman"/>
                <w:noProof/>
              </w:rPr>
              <w:t>A regionális és helyi közigazgatások, valamint a Területpolitikai és Közigazgatási Minisztérium digitális átalakulását támogató valamennyi projekt lezárása</w:t>
            </w:r>
          </w:p>
        </w:tc>
        <w:tc>
          <w:tcPr>
            <w:tcW w:w="1409" w:type="dxa"/>
            <w:shd w:val="clear" w:color="auto" w:fill="C6EFCE"/>
          </w:tcPr>
          <w:p w14:paraId="026EC5A2" w14:textId="77777777" w:rsidR="00D65CB4" w:rsidRPr="00BC4EE7" w:rsidRDefault="00572307">
            <w:pPr>
              <w:pStyle w:val="P68B1DB1-Normal12"/>
              <w:jc w:val="center"/>
              <w:rPr>
                <w:rFonts w:cs="Times New Roman"/>
                <w:noProof/>
              </w:rPr>
            </w:pPr>
            <w:r w:rsidRPr="00BC4EE7">
              <w:rPr>
                <w:rFonts w:cs="Times New Roman"/>
                <w:noProof/>
              </w:rPr>
              <w:t>Az illetékes hatóság által aláírt, a projektek befejezését és működőképességét igazoló tanúsítványok</w:t>
            </w:r>
          </w:p>
        </w:tc>
        <w:tc>
          <w:tcPr>
            <w:tcW w:w="1059" w:type="dxa"/>
            <w:shd w:val="clear" w:color="auto" w:fill="C6EFCE"/>
          </w:tcPr>
          <w:p w14:paraId="6EA08E3F"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971" w:type="dxa"/>
            <w:shd w:val="clear" w:color="auto" w:fill="C6EFCE"/>
          </w:tcPr>
          <w:p w14:paraId="207E0226"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696" w:type="dxa"/>
            <w:shd w:val="clear" w:color="auto" w:fill="C6EFCE"/>
          </w:tcPr>
          <w:p w14:paraId="1D252E91"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558" w:type="dxa"/>
            <w:shd w:val="clear" w:color="auto" w:fill="C6EFCE"/>
          </w:tcPr>
          <w:p w14:paraId="36784472" w14:textId="77777777" w:rsidR="00D65CB4" w:rsidRPr="00BC4EE7" w:rsidRDefault="00572307">
            <w:pPr>
              <w:pStyle w:val="P68B1DB1-Normal12"/>
              <w:jc w:val="center"/>
              <w:rPr>
                <w:rFonts w:cs="Times New Roman"/>
                <w:noProof/>
              </w:rPr>
            </w:pPr>
            <w:r w:rsidRPr="00BC4EE7">
              <w:rPr>
                <w:rFonts w:cs="Times New Roman"/>
                <w:noProof/>
              </w:rPr>
              <w:t>Q2</w:t>
            </w:r>
          </w:p>
        </w:tc>
        <w:tc>
          <w:tcPr>
            <w:tcW w:w="806" w:type="dxa"/>
            <w:shd w:val="clear" w:color="auto" w:fill="C6EFCE"/>
          </w:tcPr>
          <w:p w14:paraId="3EE6A61A" w14:textId="77777777" w:rsidR="00D65CB4" w:rsidRPr="00BC4EE7" w:rsidRDefault="00572307">
            <w:pPr>
              <w:pStyle w:val="P68B1DB1-Normal12"/>
              <w:jc w:val="center"/>
              <w:rPr>
                <w:rFonts w:cs="Times New Roman"/>
                <w:noProof/>
              </w:rPr>
            </w:pPr>
            <w:r w:rsidRPr="00BC4EE7">
              <w:rPr>
                <w:rFonts w:cs="Times New Roman"/>
                <w:noProof/>
              </w:rPr>
              <w:t>2026</w:t>
            </w:r>
          </w:p>
        </w:tc>
        <w:tc>
          <w:tcPr>
            <w:tcW w:w="3895" w:type="dxa"/>
            <w:shd w:val="clear" w:color="auto" w:fill="C6EFCE"/>
          </w:tcPr>
          <w:p w14:paraId="317F015F" w14:textId="77777777" w:rsidR="00D65CB4" w:rsidRPr="00BC4EE7" w:rsidRDefault="00572307">
            <w:pPr>
              <w:rPr>
                <w:rFonts w:ascii="Times New Roman" w:hAnsi="Times New Roman" w:cs="Times New Roman"/>
                <w:noProof/>
                <w:sz w:val="18"/>
              </w:rPr>
            </w:pPr>
            <w:r w:rsidRPr="00BC4EE7">
              <w:rPr>
                <w:rFonts w:ascii="Times New Roman" w:hAnsi="Times New Roman" w:cs="Times New Roman"/>
                <w:noProof/>
                <w:sz w:val="18"/>
              </w:rPr>
              <w:t>A következő területeket lefedő valamennyi projekt lezárása (a #168. célnak megfelelően)</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Digitális átalakulás a proaktivitás, a mobilitás és a felhasználói élmény tekintetében</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Digitális átalakulás az automatizálás és az adatközpontú közigazgatás tekintetében</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Digitális átalakulás a fizikai, logikai infrastruktúrák és szoftverek tekintetében.</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Digitális átalakulás a kiberbiztonság tekintetében.</w:t>
            </w:r>
          </w:p>
        </w:tc>
      </w:tr>
      <w:tr w:rsidR="00D65CB4" w:rsidRPr="00BC4EE7" w14:paraId="6A151996" w14:textId="77777777" w:rsidTr="00481CF8">
        <w:trPr>
          <w:trHeight w:val="309"/>
        </w:trPr>
        <w:tc>
          <w:tcPr>
            <w:tcW w:w="1195" w:type="dxa"/>
            <w:shd w:val="clear" w:color="auto" w:fill="C6EFCE"/>
          </w:tcPr>
          <w:p w14:paraId="211C1731" w14:textId="70CDA916" w:rsidR="00D65CB4" w:rsidRPr="00BC4EE7" w:rsidRDefault="00572307">
            <w:pPr>
              <w:pStyle w:val="P68B1DB1-Normal12"/>
              <w:jc w:val="center"/>
              <w:rPr>
                <w:rFonts w:cs="Times New Roman"/>
                <w:noProof/>
              </w:rPr>
            </w:pPr>
            <w:r w:rsidRPr="00BC4EE7">
              <w:rPr>
                <w:rFonts w:cs="Times New Roman"/>
                <w:noProof/>
              </w:rPr>
              <w:t>438</w:t>
            </w:r>
          </w:p>
        </w:tc>
        <w:tc>
          <w:tcPr>
            <w:tcW w:w="1323" w:type="dxa"/>
            <w:shd w:val="clear" w:color="auto" w:fill="C6EFCE"/>
          </w:tcPr>
          <w:p w14:paraId="4DB2848C" w14:textId="1CDC9673" w:rsidR="00D65CB4" w:rsidRPr="00BC4EE7" w:rsidRDefault="00572307">
            <w:pPr>
              <w:pStyle w:val="P68B1DB1-Normal12"/>
              <w:jc w:val="center"/>
              <w:rPr>
                <w:rFonts w:cs="Times New Roman"/>
                <w:noProof/>
              </w:rPr>
            </w:pPr>
            <w:r w:rsidRPr="00BC4EE7">
              <w:rPr>
                <w:rFonts w:cs="Times New Roman"/>
                <w:noProof/>
              </w:rPr>
              <w:t>C11.I3</w:t>
            </w:r>
          </w:p>
        </w:tc>
        <w:tc>
          <w:tcPr>
            <w:tcW w:w="1091" w:type="dxa"/>
            <w:shd w:val="clear" w:color="auto" w:fill="C6EFCE"/>
          </w:tcPr>
          <w:p w14:paraId="5493CF37" w14:textId="55846B27" w:rsidR="00D65CB4" w:rsidRPr="00BC4EE7" w:rsidRDefault="00572307">
            <w:pPr>
              <w:pStyle w:val="P68B1DB1-Normal12"/>
              <w:jc w:val="center"/>
              <w:rPr>
                <w:rFonts w:cs="Times New Roman"/>
                <w:noProof/>
              </w:rPr>
            </w:pPr>
            <w:r w:rsidRPr="00BC4EE7">
              <w:rPr>
                <w:rFonts w:cs="Times New Roman"/>
                <w:noProof/>
              </w:rPr>
              <w:t>T</w:t>
            </w:r>
          </w:p>
        </w:tc>
        <w:tc>
          <w:tcPr>
            <w:tcW w:w="1593" w:type="dxa"/>
            <w:shd w:val="clear" w:color="auto" w:fill="C6EFCE"/>
          </w:tcPr>
          <w:p w14:paraId="45816173" w14:textId="540FABE8" w:rsidR="00D65CB4" w:rsidRPr="00BC4EE7" w:rsidRDefault="00572307">
            <w:pPr>
              <w:pStyle w:val="P68B1DB1-Normal12"/>
              <w:rPr>
                <w:rFonts w:cs="Times New Roman"/>
                <w:noProof/>
              </w:rPr>
            </w:pPr>
            <w:r w:rsidRPr="00BC4EE7">
              <w:rPr>
                <w:rFonts w:cs="Times New Roman"/>
                <w:noProof/>
              </w:rPr>
              <w:t>A személyes digitális ellátásról szóló terv végrehajtása</w:t>
            </w:r>
          </w:p>
        </w:tc>
        <w:tc>
          <w:tcPr>
            <w:tcW w:w="1409" w:type="dxa"/>
            <w:shd w:val="clear" w:color="auto" w:fill="C6EFCE"/>
          </w:tcPr>
          <w:p w14:paraId="0F8444E8" w14:textId="7842BCF8" w:rsidR="00D65CB4" w:rsidRPr="00BC4EE7" w:rsidRDefault="00572307">
            <w:pPr>
              <w:pStyle w:val="P68B1DB1-Normal12"/>
              <w:jc w:val="center"/>
              <w:rPr>
                <w:rFonts w:cs="Times New Roman"/>
                <w:noProof/>
              </w:rPr>
            </w:pPr>
            <w:r w:rsidRPr="00BC4EE7">
              <w:rPr>
                <w:rFonts w:cs="Times New Roman"/>
                <w:noProof/>
              </w:rPr>
              <w:t xml:space="preserve"> </w:t>
            </w:r>
          </w:p>
        </w:tc>
        <w:tc>
          <w:tcPr>
            <w:tcW w:w="1059" w:type="dxa"/>
            <w:shd w:val="clear" w:color="auto" w:fill="C6EFCE"/>
          </w:tcPr>
          <w:p w14:paraId="605440BC" w14:textId="33586031" w:rsidR="00D65CB4" w:rsidRPr="00BC4EE7" w:rsidRDefault="00572307">
            <w:pPr>
              <w:pStyle w:val="P68B1DB1-Normal12"/>
              <w:rPr>
                <w:rFonts w:cs="Times New Roman"/>
                <w:noProof/>
              </w:rPr>
            </w:pPr>
            <w:r w:rsidRPr="00BC4EE7">
              <w:rPr>
                <w:rFonts w:cs="Times New Roman"/>
                <w:noProof/>
              </w:rPr>
              <w:t>Szám</w:t>
            </w:r>
          </w:p>
        </w:tc>
        <w:tc>
          <w:tcPr>
            <w:tcW w:w="971" w:type="dxa"/>
            <w:shd w:val="clear" w:color="auto" w:fill="C6EFCE"/>
          </w:tcPr>
          <w:p w14:paraId="1B445EF1" w14:textId="606F196E" w:rsidR="00D65CB4" w:rsidRPr="00BC4EE7" w:rsidRDefault="00572307">
            <w:pPr>
              <w:pStyle w:val="P68B1DB1-Normal12"/>
              <w:jc w:val="right"/>
              <w:rPr>
                <w:rFonts w:cs="Times New Roman"/>
                <w:noProof/>
              </w:rPr>
            </w:pPr>
            <w:r w:rsidRPr="00BC4EE7">
              <w:rPr>
                <w:rFonts w:cs="Times New Roman"/>
                <w:noProof/>
              </w:rPr>
              <w:t>0</w:t>
            </w:r>
          </w:p>
        </w:tc>
        <w:tc>
          <w:tcPr>
            <w:tcW w:w="696" w:type="dxa"/>
            <w:shd w:val="clear" w:color="auto" w:fill="C6EFCE"/>
          </w:tcPr>
          <w:p w14:paraId="28FAF395" w14:textId="212F84CD" w:rsidR="00D65CB4" w:rsidRPr="00BC4EE7" w:rsidRDefault="00572307">
            <w:pPr>
              <w:pStyle w:val="P68B1DB1-Normal12"/>
              <w:jc w:val="right"/>
              <w:rPr>
                <w:rFonts w:cs="Times New Roman"/>
                <w:noProof/>
              </w:rPr>
            </w:pPr>
            <w:r w:rsidRPr="00BC4EE7">
              <w:rPr>
                <w:rFonts w:cs="Times New Roman"/>
                <w:noProof/>
              </w:rPr>
              <w:t>17</w:t>
            </w:r>
          </w:p>
        </w:tc>
        <w:tc>
          <w:tcPr>
            <w:tcW w:w="558" w:type="dxa"/>
            <w:shd w:val="clear" w:color="auto" w:fill="C6EFCE"/>
          </w:tcPr>
          <w:p w14:paraId="3E5F5F2A" w14:textId="37067F45" w:rsidR="00D65CB4" w:rsidRPr="00BC4EE7" w:rsidRDefault="00572307">
            <w:pPr>
              <w:pStyle w:val="P68B1DB1-Normal12"/>
              <w:jc w:val="center"/>
              <w:rPr>
                <w:rFonts w:cs="Times New Roman"/>
                <w:noProof/>
              </w:rPr>
            </w:pPr>
            <w:r w:rsidRPr="00BC4EE7">
              <w:rPr>
                <w:rFonts w:cs="Times New Roman"/>
                <w:noProof/>
              </w:rPr>
              <w:t>Q2</w:t>
            </w:r>
          </w:p>
        </w:tc>
        <w:tc>
          <w:tcPr>
            <w:tcW w:w="806" w:type="dxa"/>
            <w:shd w:val="clear" w:color="auto" w:fill="C6EFCE"/>
          </w:tcPr>
          <w:p w14:paraId="6BD2A566" w14:textId="0F4D48E5" w:rsidR="00D65CB4" w:rsidRPr="00BC4EE7" w:rsidRDefault="00572307">
            <w:pPr>
              <w:pStyle w:val="P68B1DB1-Normal12"/>
              <w:jc w:val="center"/>
              <w:rPr>
                <w:rFonts w:cs="Times New Roman"/>
                <w:noProof/>
              </w:rPr>
            </w:pPr>
            <w:r w:rsidRPr="00BC4EE7">
              <w:rPr>
                <w:rFonts w:cs="Times New Roman"/>
                <w:noProof/>
              </w:rPr>
              <w:t>2026</w:t>
            </w:r>
          </w:p>
        </w:tc>
        <w:tc>
          <w:tcPr>
            <w:tcW w:w="3895" w:type="dxa"/>
            <w:shd w:val="clear" w:color="auto" w:fill="C6EFCE"/>
          </w:tcPr>
          <w:p w14:paraId="22F22FF7" w14:textId="77777777" w:rsidR="00D65CB4" w:rsidRPr="00BC4EE7" w:rsidRDefault="00572307">
            <w:pPr>
              <w:pStyle w:val="P68B1DB1-Normal12"/>
              <w:rPr>
                <w:rFonts w:cs="Times New Roman"/>
                <w:noProof/>
              </w:rPr>
            </w:pPr>
            <w:r w:rsidRPr="00BC4EE7">
              <w:rPr>
                <w:rFonts w:cs="Times New Roman"/>
                <w:noProof/>
              </w:rPr>
              <w:t>Legalább 17 kísérleti projekt lezárása a személyes digitális ellátási terv keretében, amelyek előmozdítják a 2025-ig tartó időszakra szóló spanyol digitális menetrend célkitűzését, a polgárok igényeinek megfelelő, személyre szabott gondozás előmozdítását. A projekteknek a digitalizáció révén a következő területek legalább egyikére ki kell terjedniük:</w:t>
            </w:r>
          </w:p>
          <w:p w14:paraId="4026E81A" w14:textId="77777777" w:rsidR="00D65CB4" w:rsidRPr="00BC4EE7" w:rsidRDefault="00572307">
            <w:pPr>
              <w:pStyle w:val="P68B1DB1-Normal12"/>
              <w:rPr>
                <w:rFonts w:cs="Times New Roman"/>
                <w:noProof/>
              </w:rPr>
            </w:pPr>
            <w:r w:rsidRPr="00BC4EE7">
              <w:rPr>
                <w:rFonts w:cs="Times New Roman"/>
                <w:noProof/>
              </w:rPr>
              <w:t>Adatrögzítés: a betegek adatainak rögzítésére, tárolására és értelmezésére szolgáló informatikai megoldások tesztelése</w:t>
            </w:r>
          </w:p>
          <w:p w14:paraId="2FA31153" w14:textId="77777777" w:rsidR="00D65CB4" w:rsidRPr="00BC4EE7" w:rsidRDefault="00572307">
            <w:pPr>
              <w:pStyle w:val="P68B1DB1-Normal12"/>
              <w:rPr>
                <w:rFonts w:cs="Times New Roman"/>
                <w:noProof/>
              </w:rPr>
            </w:pPr>
            <w:r w:rsidRPr="00BC4EE7">
              <w:rPr>
                <w:rFonts w:cs="Times New Roman"/>
                <w:noProof/>
              </w:rPr>
              <w:t>Személyre szabott digitális ellátás: a személyre szabott digitális ellátás biztosításához szükséges eszközök és/vagy közművek tesztelése</w:t>
            </w:r>
          </w:p>
          <w:p w14:paraId="1DDC7BDD" w14:textId="77777777" w:rsidR="00D65CB4" w:rsidRPr="00BC4EE7" w:rsidRDefault="00572307">
            <w:pPr>
              <w:pStyle w:val="P68B1DB1-Normal12"/>
              <w:rPr>
                <w:rFonts w:cs="Times New Roman"/>
                <w:noProof/>
              </w:rPr>
            </w:pPr>
            <w:r w:rsidRPr="00BC4EE7">
              <w:rPr>
                <w:rFonts w:cs="Times New Roman"/>
                <w:noProof/>
              </w:rPr>
              <w:t>Olyan eszközök és/vagy közművek információgenerációs tesztelése, amelyek a kapott betegadatokon alapulnak, segítik a szakembereket a betegek diagnosztizálásában vagy nyomon követésében.</w:t>
            </w:r>
          </w:p>
          <w:p w14:paraId="0B201D6A" w14:textId="2E88978A" w:rsidR="00D65CB4" w:rsidRPr="00BC4EE7" w:rsidRDefault="00572307">
            <w:pPr>
              <w:pStyle w:val="P68B1DB1-Normal12"/>
              <w:rPr>
                <w:rFonts w:cs="Times New Roman"/>
                <w:noProof/>
              </w:rPr>
            </w:pPr>
            <w:r w:rsidRPr="00BC4EE7">
              <w:rPr>
                <w:rFonts w:cs="Times New Roman"/>
                <w:noProof/>
              </w:rPr>
              <w:t>A kísérleti projektek befejezését követően előzetes értékelést kell közzétenni, amelyben értékelik a kísérleti projektek hatékonyságát és az egészségügyi szolgáltatások javítására gyakorolt hatásukat, beleértve a hiányosságok vagy gyengeségek azonosítása esetén konkrét ajánlásokat is.</w:t>
            </w:r>
          </w:p>
        </w:tc>
      </w:tr>
      <w:tr w:rsidR="00D65CB4" w:rsidRPr="00BC4EE7" w14:paraId="2EC2DAE2" w14:textId="77777777" w:rsidTr="00481CF8">
        <w:trPr>
          <w:trHeight w:val="309"/>
        </w:trPr>
        <w:tc>
          <w:tcPr>
            <w:tcW w:w="1195" w:type="dxa"/>
            <w:shd w:val="clear" w:color="auto" w:fill="C6EFCE"/>
          </w:tcPr>
          <w:p w14:paraId="58201B93" w14:textId="77777777" w:rsidR="00D65CB4" w:rsidRPr="00BC4EE7" w:rsidRDefault="00572307">
            <w:pPr>
              <w:pStyle w:val="P68B1DB1-Normal12"/>
              <w:jc w:val="center"/>
              <w:rPr>
                <w:rFonts w:cs="Times New Roman"/>
                <w:noProof/>
              </w:rPr>
            </w:pPr>
            <w:r w:rsidRPr="00BC4EE7">
              <w:rPr>
                <w:rFonts w:cs="Times New Roman"/>
                <w:noProof/>
              </w:rPr>
              <w:t>170</w:t>
            </w:r>
          </w:p>
        </w:tc>
        <w:tc>
          <w:tcPr>
            <w:tcW w:w="1323" w:type="dxa"/>
            <w:shd w:val="clear" w:color="auto" w:fill="C6EFCE"/>
          </w:tcPr>
          <w:p w14:paraId="62CEB5EF" w14:textId="77777777" w:rsidR="00D65CB4" w:rsidRPr="00BC4EE7" w:rsidRDefault="00572307">
            <w:pPr>
              <w:pStyle w:val="P68B1DB1-Normal12"/>
              <w:jc w:val="center"/>
              <w:rPr>
                <w:rFonts w:cs="Times New Roman"/>
                <w:noProof/>
              </w:rPr>
            </w:pPr>
            <w:r w:rsidRPr="00BC4EE7">
              <w:rPr>
                <w:rFonts w:cs="Times New Roman"/>
                <w:noProof/>
              </w:rPr>
              <w:t>C11.I4</w:t>
            </w:r>
          </w:p>
        </w:tc>
        <w:tc>
          <w:tcPr>
            <w:tcW w:w="1091" w:type="dxa"/>
            <w:shd w:val="clear" w:color="auto" w:fill="C6EFCE"/>
          </w:tcPr>
          <w:p w14:paraId="2F26825E" w14:textId="77777777" w:rsidR="00D65CB4" w:rsidRPr="00BC4EE7" w:rsidRDefault="00572307">
            <w:pPr>
              <w:pStyle w:val="P68B1DB1-Normal12"/>
              <w:jc w:val="center"/>
              <w:rPr>
                <w:rFonts w:cs="Times New Roman"/>
                <w:noProof/>
              </w:rPr>
            </w:pPr>
            <w:r w:rsidRPr="00BC4EE7">
              <w:rPr>
                <w:rFonts w:cs="Times New Roman"/>
                <w:noProof/>
              </w:rPr>
              <w:t>T</w:t>
            </w:r>
          </w:p>
        </w:tc>
        <w:tc>
          <w:tcPr>
            <w:tcW w:w="1593" w:type="dxa"/>
            <w:shd w:val="clear" w:color="auto" w:fill="C6EFCE"/>
          </w:tcPr>
          <w:p w14:paraId="7364233E" w14:textId="77777777" w:rsidR="00D65CB4" w:rsidRPr="00BC4EE7" w:rsidRDefault="00572307">
            <w:pPr>
              <w:pStyle w:val="P68B1DB1-Normal12"/>
              <w:rPr>
                <w:rFonts w:cs="Times New Roman"/>
                <w:noProof/>
              </w:rPr>
            </w:pPr>
            <w:r w:rsidRPr="00BC4EE7">
              <w:rPr>
                <w:rFonts w:cs="Times New Roman"/>
                <w:noProof/>
              </w:rPr>
              <w:t>Járművek felújítása a közigazgatásban</w:t>
            </w:r>
          </w:p>
        </w:tc>
        <w:tc>
          <w:tcPr>
            <w:tcW w:w="1409" w:type="dxa"/>
            <w:shd w:val="clear" w:color="auto" w:fill="C6EFCE"/>
          </w:tcPr>
          <w:p w14:paraId="63A8EC38" w14:textId="77777777" w:rsidR="00D65CB4" w:rsidRPr="00BC4EE7" w:rsidRDefault="00572307">
            <w:pPr>
              <w:pStyle w:val="P68B1DB1-Normal12"/>
              <w:jc w:val="center"/>
              <w:rPr>
                <w:rFonts w:cs="Times New Roman"/>
                <w:noProof/>
              </w:rPr>
            </w:pPr>
            <w:r w:rsidRPr="00BC4EE7">
              <w:rPr>
                <w:rFonts w:cs="Times New Roman"/>
                <w:noProof/>
              </w:rPr>
              <w:t xml:space="preserve"> </w:t>
            </w:r>
          </w:p>
        </w:tc>
        <w:tc>
          <w:tcPr>
            <w:tcW w:w="1059" w:type="dxa"/>
            <w:shd w:val="clear" w:color="auto" w:fill="C6EFCE"/>
          </w:tcPr>
          <w:p w14:paraId="627B135B" w14:textId="77777777" w:rsidR="00D65CB4" w:rsidRPr="00BC4EE7" w:rsidRDefault="00572307">
            <w:pPr>
              <w:pStyle w:val="P68B1DB1-Normal12"/>
              <w:rPr>
                <w:rFonts w:cs="Times New Roman"/>
                <w:noProof/>
              </w:rPr>
            </w:pPr>
            <w:r w:rsidRPr="00BC4EE7">
              <w:rPr>
                <w:rFonts w:cs="Times New Roman"/>
                <w:noProof/>
              </w:rPr>
              <w:t>Szám</w:t>
            </w:r>
          </w:p>
        </w:tc>
        <w:tc>
          <w:tcPr>
            <w:tcW w:w="971" w:type="dxa"/>
            <w:shd w:val="clear" w:color="auto" w:fill="C6EFCE"/>
          </w:tcPr>
          <w:p w14:paraId="26A2834B" w14:textId="77777777" w:rsidR="00D65CB4" w:rsidRPr="00BC4EE7" w:rsidRDefault="00572307">
            <w:pPr>
              <w:pStyle w:val="P68B1DB1-Normal12"/>
              <w:jc w:val="right"/>
              <w:rPr>
                <w:rFonts w:cs="Times New Roman"/>
                <w:noProof/>
              </w:rPr>
            </w:pPr>
            <w:r w:rsidRPr="00BC4EE7">
              <w:rPr>
                <w:rFonts w:cs="Times New Roman"/>
                <w:noProof/>
              </w:rPr>
              <w:t>0</w:t>
            </w:r>
          </w:p>
        </w:tc>
        <w:tc>
          <w:tcPr>
            <w:tcW w:w="696" w:type="dxa"/>
            <w:shd w:val="clear" w:color="auto" w:fill="C6EFCE"/>
          </w:tcPr>
          <w:p w14:paraId="4393AA0A" w14:textId="49FE25DB" w:rsidR="00D65CB4" w:rsidRPr="00BC4EE7" w:rsidRDefault="00572307">
            <w:pPr>
              <w:pStyle w:val="P68B1DB1-Normal12"/>
              <w:jc w:val="right"/>
              <w:rPr>
                <w:rFonts w:cs="Times New Roman"/>
                <w:noProof/>
              </w:rPr>
            </w:pPr>
            <w:r w:rsidRPr="00BC4EE7">
              <w:rPr>
                <w:rFonts w:cs="Times New Roman"/>
                <w:noProof/>
              </w:rPr>
              <w:t>5 500</w:t>
            </w:r>
          </w:p>
        </w:tc>
        <w:tc>
          <w:tcPr>
            <w:tcW w:w="558" w:type="dxa"/>
            <w:shd w:val="clear" w:color="auto" w:fill="C6EFCE"/>
          </w:tcPr>
          <w:p w14:paraId="12EF1AA7" w14:textId="35FF11E9" w:rsidR="00D65CB4" w:rsidRPr="00BC4EE7" w:rsidRDefault="00572307">
            <w:pPr>
              <w:pStyle w:val="P68B1DB1-Normal12"/>
              <w:jc w:val="center"/>
              <w:rPr>
                <w:rFonts w:cs="Times New Roman"/>
                <w:noProof/>
              </w:rPr>
            </w:pPr>
            <w:r w:rsidRPr="00BC4EE7">
              <w:rPr>
                <w:rFonts w:cs="Times New Roman"/>
                <w:noProof/>
              </w:rPr>
              <w:t>Q4</w:t>
            </w:r>
          </w:p>
        </w:tc>
        <w:tc>
          <w:tcPr>
            <w:tcW w:w="806" w:type="dxa"/>
            <w:shd w:val="clear" w:color="auto" w:fill="C6EFCE"/>
          </w:tcPr>
          <w:p w14:paraId="79DE240C" w14:textId="77777777" w:rsidR="00D65CB4" w:rsidRPr="00BC4EE7" w:rsidRDefault="00572307">
            <w:pPr>
              <w:pStyle w:val="P68B1DB1-Normal12"/>
              <w:jc w:val="center"/>
              <w:rPr>
                <w:rFonts w:cs="Times New Roman"/>
                <w:noProof/>
              </w:rPr>
            </w:pPr>
            <w:r w:rsidRPr="00BC4EE7">
              <w:rPr>
                <w:rFonts w:cs="Times New Roman"/>
                <w:noProof/>
              </w:rPr>
              <w:t>2024</w:t>
            </w:r>
          </w:p>
        </w:tc>
        <w:tc>
          <w:tcPr>
            <w:tcW w:w="3895" w:type="dxa"/>
            <w:shd w:val="clear" w:color="auto" w:fill="C6EFCE"/>
          </w:tcPr>
          <w:p w14:paraId="5A19E714" w14:textId="72B13E44" w:rsidR="00D65CB4" w:rsidRPr="00BC4EE7" w:rsidRDefault="00572307">
            <w:pPr>
              <w:pStyle w:val="P68B1DB1-Normal12"/>
              <w:rPr>
                <w:rFonts w:cs="Times New Roman"/>
                <w:noProof/>
              </w:rPr>
            </w:pPr>
            <w:r w:rsidRPr="00BC4EE7">
              <w:rPr>
                <w:rFonts w:cs="Times New Roman"/>
                <w:noProof/>
              </w:rPr>
              <w:t xml:space="preserve">Legalább 5500 nulla vagy alacsony szén-dioxid-kibocsátású jármű (BEV, REEV, PHEV, FCEV), amelyek a közigazgatásban használt, fosszilis tüzelőanyagokon alapuló járműveket helyettesítik. </w:t>
            </w:r>
          </w:p>
        </w:tc>
      </w:tr>
      <w:tr w:rsidR="00D65CB4" w:rsidRPr="00BC4EE7" w14:paraId="61842A22" w14:textId="77777777" w:rsidTr="00481CF8">
        <w:trPr>
          <w:trHeight w:val="309"/>
        </w:trPr>
        <w:tc>
          <w:tcPr>
            <w:tcW w:w="1195" w:type="dxa"/>
            <w:shd w:val="clear" w:color="auto" w:fill="C6EFCE"/>
          </w:tcPr>
          <w:p w14:paraId="0453EA2B" w14:textId="77777777" w:rsidR="00D65CB4" w:rsidRPr="00BC4EE7" w:rsidRDefault="00572307">
            <w:pPr>
              <w:pStyle w:val="P68B1DB1-Normal12"/>
              <w:jc w:val="center"/>
              <w:rPr>
                <w:rFonts w:cs="Times New Roman"/>
                <w:noProof/>
              </w:rPr>
            </w:pPr>
            <w:r w:rsidRPr="00BC4EE7">
              <w:rPr>
                <w:rFonts w:cs="Times New Roman"/>
                <w:noProof/>
              </w:rPr>
              <w:t>171</w:t>
            </w:r>
          </w:p>
        </w:tc>
        <w:tc>
          <w:tcPr>
            <w:tcW w:w="1323" w:type="dxa"/>
            <w:shd w:val="clear" w:color="auto" w:fill="C6EFCE"/>
          </w:tcPr>
          <w:p w14:paraId="224B33D6" w14:textId="77777777" w:rsidR="00D65CB4" w:rsidRPr="00BC4EE7" w:rsidRDefault="00572307">
            <w:pPr>
              <w:pStyle w:val="P68B1DB1-Normal12"/>
              <w:jc w:val="center"/>
              <w:rPr>
                <w:rFonts w:cs="Times New Roman"/>
                <w:noProof/>
              </w:rPr>
            </w:pPr>
            <w:r w:rsidRPr="00BC4EE7">
              <w:rPr>
                <w:rFonts w:cs="Times New Roman"/>
                <w:noProof/>
              </w:rPr>
              <w:t>C11.I4</w:t>
            </w:r>
          </w:p>
        </w:tc>
        <w:tc>
          <w:tcPr>
            <w:tcW w:w="1091" w:type="dxa"/>
            <w:shd w:val="clear" w:color="auto" w:fill="C6EFCE"/>
          </w:tcPr>
          <w:p w14:paraId="3A1065C5" w14:textId="77777777" w:rsidR="00D65CB4" w:rsidRPr="00BC4EE7" w:rsidRDefault="00572307">
            <w:pPr>
              <w:pStyle w:val="P68B1DB1-Normal12"/>
              <w:jc w:val="center"/>
              <w:rPr>
                <w:rFonts w:cs="Times New Roman"/>
                <w:noProof/>
              </w:rPr>
            </w:pPr>
            <w:r w:rsidRPr="00BC4EE7">
              <w:rPr>
                <w:rFonts w:cs="Times New Roman"/>
                <w:noProof/>
              </w:rPr>
              <w:t>T</w:t>
            </w:r>
          </w:p>
        </w:tc>
        <w:tc>
          <w:tcPr>
            <w:tcW w:w="1593" w:type="dxa"/>
            <w:shd w:val="clear" w:color="auto" w:fill="C6EFCE"/>
          </w:tcPr>
          <w:p w14:paraId="221D05EB" w14:textId="77777777" w:rsidR="00D65CB4" w:rsidRPr="00BC4EE7" w:rsidRDefault="00572307">
            <w:pPr>
              <w:pStyle w:val="P68B1DB1-Normal12"/>
              <w:rPr>
                <w:rFonts w:cs="Times New Roman"/>
                <w:noProof/>
              </w:rPr>
            </w:pPr>
            <w:r w:rsidRPr="00BC4EE7">
              <w:rPr>
                <w:rFonts w:cs="Times New Roman"/>
                <w:noProof/>
              </w:rPr>
              <w:t>Középületek energetikai felújítása (140 000 m 2</w:t>
            </w:r>
            <w:r w:rsidRPr="00BC4EE7">
              <w:rPr>
                <w:rFonts w:cs="Times New Roman"/>
                <w:noProof/>
                <w:vertAlign w:val="superscript"/>
              </w:rPr>
              <w:t>)</w:t>
            </w:r>
          </w:p>
        </w:tc>
        <w:tc>
          <w:tcPr>
            <w:tcW w:w="1409" w:type="dxa"/>
            <w:shd w:val="clear" w:color="auto" w:fill="C6EFCE"/>
          </w:tcPr>
          <w:p w14:paraId="4E78C98F" w14:textId="77777777" w:rsidR="00D65CB4" w:rsidRPr="00BC4EE7" w:rsidRDefault="00572307">
            <w:pPr>
              <w:pStyle w:val="P68B1DB1-Normal12"/>
              <w:jc w:val="center"/>
              <w:rPr>
                <w:rFonts w:cs="Times New Roman"/>
                <w:noProof/>
              </w:rPr>
            </w:pPr>
            <w:r w:rsidRPr="00BC4EE7">
              <w:rPr>
                <w:rFonts w:cs="Times New Roman"/>
                <w:noProof/>
              </w:rPr>
              <w:t xml:space="preserve"> </w:t>
            </w:r>
          </w:p>
        </w:tc>
        <w:tc>
          <w:tcPr>
            <w:tcW w:w="1059" w:type="dxa"/>
            <w:shd w:val="clear" w:color="auto" w:fill="C6EFCE"/>
          </w:tcPr>
          <w:p w14:paraId="0AD94DD7" w14:textId="77777777" w:rsidR="00D65CB4" w:rsidRPr="00BC4EE7" w:rsidRDefault="00572307">
            <w:pPr>
              <w:pStyle w:val="P68B1DB1-Normal12"/>
              <w:rPr>
                <w:rFonts w:cs="Times New Roman"/>
                <w:noProof/>
              </w:rPr>
            </w:pPr>
            <w:r w:rsidRPr="00BC4EE7">
              <w:rPr>
                <w:rFonts w:cs="Times New Roman"/>
                <w:noProof/>
              </w:rPr>
              <w:t>Szám (m</w:t>
            </w:r>
            <w:r w:rsidRPr="00BC4EE7">
              <w:rPr>
                <w:rFonts w:cs="Times New Roman"/>
                <w:noProof/>
                <w:vertAlign w:val="superscript"/>
              </w:rPr>
              <w:t>2</w:t>
            </w:r>
            <w:r w:rsidRPr="00BC4EE7">
              <w:rPr>
                <w:rFonts w:cs="Times New Roman"/>
                <w:noProof/>
              </w:rPr>
              <w:t>)</w:t>
            </w:r>
          </w:p>
        </w:tc>
        <w:tc>
          <w:tcPr>
            <w:tcW w:w="971" w:type="dxa"/>
            <w:shd w:val="clear" w:color="auto" w:fill="C6EFCE"/>
          </w:tcPr>
          <w:p w14:paraId="4D8BF13E" w14:textId="77777777" w:rsidR="00D65CB4" w:rsidRPr="00BC4EE7" w:rsidRDefault="00572307">
            <w:pPr>
              <w:pStyle w:val="P68B1DB1-Normal12"/>
              <w:jc w:val="right"/>
              <w:rPr>
                <w:rFonts w:cs="Times New Roman"/>
                <w:noProof/>
              </w:rPr>
            </w:pPr>
            <w:r w:rsidRPr="00BC4EE7">
              <w:rPr>
                <w:rFonts w:cs="Times New Roman"/>
                <w:noProof/>
              </w:rPr>
              <w:t>0</w:t>
            </w:r>
          </w:p>
        </w:tc>
        <w:tc>
          <w:tcPr>
            <w:tcW w:w="696" w:type="dxa"/>
            <w:shd w:val="clear" w:color="auto" w:fill="C6EFCE"/>
          </w:tcPr>
          <w:p w14:paraId="0CB2C3F3" w14:textId="77777777" w:rsidR="00D65CB4" w:rsidRPr="00BC4EE7" w:rsidRDefault="00572307">
            <w:pPr>
              <w:pStyle w:val="P68B1DB1-Normal12"/>
              <w:jc w:val="right"/>
              <w:rPr>
                <w:rFonts w:cs="Times New Roman"/>
                <w:noProof/>
              </w:rPr>
            </w:pPr>
            <w:r w:rsidRPr="00BC4EE7">
              <w:rPr>
                <w:rFonts w:cs="Times New Roman"/>
                <w:noProof/>
              </w:rPr>
              <w:t>140 000</w:t>
            </w:r>
          </w:p>
        </w:tc>
        <w:tc>
          <w:tcPr>
            <w:tcW w:w="558" w:type="dxa"/>
            <w:shd w:val="clear" w:color="auto" w:fill="C6EFCE"/>
          </w:tcPr>
          <w:p w14:paraId="4113EE62" w14:textId="77777777" w:rsidR="00D65CB4" w:rsidRPr="00BC4EE7" w:rsidRDefault="00572307">
            <w:pPr>
              <w:pStyle w:val="P68B1DB1-Normal12"/>
              <w:jc w:val="center"/>
              <w:rPr>
                <w:rFonts w:cs="Times New Roman"/>
                <w:noProof/>
              </w:rPr>
            </w:pPr>
            <w:r w:rsidRPr="00BC4EE7">
              <w:rPr>
                <w:rFonts w:cs="Times New Roman"/>
                <w:noProof/>
              </w:rPr>
              <w:t>Q4</w:t>
            </w:r>
          </w:p>
        </w:tc>
        <w:tc>
          <w:tcPr>
            <w:tcW w:w="806" w:type="dxa"/>
            <w:shd w:val="clear" w:color="auto" w:fill="C6EFCE"/>
          </w:tcPr>
          <w:p w14:paraId="34AD0CC7" w14:textId="77777777" w:rsidR="00D65CB4" w:rsidRPr="00BC4EE7" w:rsidRDefault="00572307">
            <w:pPr>
              <w:pStyle w:val="P68B1DB1-Normal12"/>
              <w:jc w:val="center"/>
              <w:rPr>
                <w:rFonts w:cs="Times New Roman"/>
                <w:noProof/>
              </w:rPr>
            </w:pPr>
            <w:r w:rsidRPr="00BC4EE7">
              <w:rPr>
                <w:rFonts w:cs="Times New Roman"/>
                <w:noProof/>
              </w:rPr>
              <w:t>2024</w:t>
            </w:r>
          </w:p>
        </w:tc>
        <w:tc>
          <w:tcPr>
            <w:tcW w:w="3895" w:type="dxa"/>
            <w:shd w:val="clear" w:color="auto" w:fill="C6EFCE"/>
          </w:tcPr>
          <w:p w14:paraId="6DD00CB3" w14:textId="77777777" w:rsidR="00D65CB4" w:rsidRPr="00BC4EE7" w:rsidRDefault="00572307">
            <w:pPr>
              <w:pStyle w:val="P68B1DB1-Normal12"/>
              <w:rPr>
                <w:rFonts w:cs="Times New Roman"/>
                <w:noProof/>
              </w:rPr>
            </w:pPr>
            <w:r w:rsidRPr="00BC4EE7">
              <w:rPr>
                <w:rFonts w:cs="Times New Roman"/>
                <w:noProof/>
              </w:rPr>
              <w:t>A középületeken végrehajtott legalább 140 000 m 2</w:t>
            </w:r>
            <w:r w:rsidRPr="00BC4EE7">
              <w:rPr>
                <w:rFonts w:cs="Times New Roman"/>
                <w:noProof/>
                <w:vertAlign w:val="superscript"/>
              </w:rPr>
              <w:t>energetikai</w:t>
            </w:r>
            <w:r w:rsidRPr="00BC4EE7">
              <w:rPr>
                <w:rFonts w:cs="Times New Roman"/>
                <w:noProof/>
              </w:rPr>
              <w:t xml:space="preserve"> felújítás, amely átlagosan legalább 30%-os primerenergia-kereslet-csökkentést ér el. </w:t>
            </w:r>
          </w:p>
        </w:tc>
      </w:tr>
      <w:tr w:rsidR="00D65CB4" w:rsidRPr="00BC4EE7" w14:paraId="0ECAD83F" w14:textId="77777777" w:rsidTr="00481CF8">
        <w:trPr>
          <w:trHeight w:val="309"/>
        </w:trPr>
        <w:tc>
          <w:tcPr>
            <w:tcW w:w="1195" w:type="dxa"/>
            <w:shd w:val="clear" w:color="auto" w:fill="C6EFCE"/>
          </w:tcPr>
          <w:p w14:paraId="265144FA" w14:textId="77777777" w:rsidR="00D65CB4" w:rsidRPr="00BC4EE7" w:rsidRDefault="00572307">
            <w:pPr>
              <w:pStyle w:val="P68B1DB1-Normal12"/>
              <w:jc w:val="center"/>
              <w:rPr>
                <w:rFonts w:cs="Times New Roman"/>
                <w:noProof/>
              </w:rPr>
            </w:pPr>
            <w:r w:rsidRPr="00BC4EE7">
              <w:rPr>
                <w:rFonts w:cs="Times New Roman"/>
                <w:noProof/>
              </w:rPr>
              <w:t>172</w:t>
            </w:r>
          </w:p>
        </w:tc>
        <w:tc>
          <w:tcPr>
            <w:tcW w:w="1323" w:type="dxa"/>
            <w:shd w:val="clear" w:color="auto" w:fill="C6EFCE"/>
          </w:tcPr>
          <w:p w14:paraId="16CFF082" w14:textId="77777777" w:rsidR="00D65CB4" w:rsidRPr="00BC4EE7" w:rsidRDefault="00572307">
            <w:pPr>
              <w:pStyle w:val="P68B1DB1-Normal12"/>
              <w:jc w:val="center"/>
              <w:rPr>
                <w:rFonts w:cs="Times New Roman"/>
                <w:noProof/>
              </w:rPr>
            </w:pPr>
            <w:r w:rsidRPr="00BC4EE7">
              <w:rPr>
                <w:rFonts w:cs="Times New Roman"/>
                <w:noProof/>
              </w:rPr>
              <w:t>C11.I4</w:t>
            </w:r>
          </w:p>
        </w:tc>
        <w:tc>
          <w:tcPr>
            <w:tcW w:w="1091" w:type="dxa"/>
            <w:shd w:val="clear" w:color="auto" w:fill="C6EFCE"/>
          </w:tcPr>
          <w:p w14:paraId="424A5BDB" w14:textId="77777777" w:rsidR="00D65CB4" w:rsidRPr="00BC4EE7" w:rsidRDefault="00572307">
            <w:pPr>
              <w:pStyle w:val="P68B1DB1-Normal12"/>
              <w:jc w:val="center"/>
              <w:rPr>
                <w:rFonts w:cs="Times New Roman"/>
                <w:noProof/>
              </w:rPr>
            </w:pPr>
            <w:r w:rsidRPr="00BC4EE7">
              <w:rPr>
                <w:rFonts w:cs="Times New Roman"/>
                <w:noProof/>
              </w:rPr>
              <w:t>T</w:t>
            </w:r>
          </w:p>
        </w:tc>
        <w:tc>
          <w:tcPr>
            <w:tcW w:w="1593" w:type="dxa"/>
            <w:shd w:val="clear" w:color="auto" w:fill="C6EFCE"/>
          </w:tcPr>
          <w:p w14:paraId="39B2B5FA" w14:textId="14AE9D35" w:rsidR="00D65CB4" w:rsidRPr="00BC4EE7" w:rsidRDefault="00572307">
            <w:pPr>
              <w:pStyle w:val="P68B1DB1-Normal12"/>
              <w:rPr>
                <w:rFonts w:cs="Times New Roman"/>
                <w:noProof/>
              </w:rPr>
            </w:pPr>
            <w:r w:rsidRPr="00BC4EE7">
              <w:rPr>
                <w:rFonts w:cs="Times New Roman"/>
                <w:noProof/>
              </w:rPr>
              <w:t>A középületek energetikai felújítása (1 050 000 m 2)</w:t>
            </w:r>
          </w:p>
        </w:tc>
        <w:tc>
          <w:tcPr>
            <w:tcW w:w="1409" w:type="dxa"/>
            <w:shd w:val="clear" w:color="auto" w:fill="C6EFCE"/>
          </w:tcPr>
          <w:p w14:paraId="17FC145C" w14:textId="77777777" w:rsidR="00D65CB4" w:rsidRPr="00BC4EE7" w:rsidRDefault="00572307">
            <w:pPr>
              <w:pStyle w:val="P68B1DB1-Normal12"/>
              <w:jc w:val="center"/>
              <w:rPr>
                <w:rFonts w:cs="Times New Roman"/>
                <w:noProof/>
              </w:rPr>
            </w:pPr>
            <w:r w:rsidRPr="00BC4EE7">
              <w:rPr>
                <w:rFonts w:cs="Times New Roman"/>
                <w:noProof/>
              </w:rPr>
              <w:t xml:space="preserve"> </w:t>
            </w:r>
          </w:p>
        </w:tc>
        <w:tc>
          <w:tcPr>
            <w:tcW w:w="1059" w:type="dxa"/>
            <w:shd w:val="clear" w:color="auto" w:fill="C6EFCE"/>
          </w:tcPr>
          <w:p w14:paraId="3CA5CD69" w14:textId="77777777" w:rsidR="00D65CB4" w:rsidRPr="00BC4EE7" w:rsidRDefault="00572307">
            <w:pPr>
              <w:pStyle w:val="P68B1DB1-Normal12"/>
              <w:rPr>
                <w:rFonts w:cs="Times New Roman"/>
                <w:noProof/>
              </w:rPr>
            </w:pPr>
            <w:r w:rsidRPr="00BC4EE7">
              <w:rPr>
                <w:rFonts w:cs="Times New Roman"/>
                <w:noProof/>
              </w:rPr>
              <w:t>Szám (m</w:t>
            </w:r>
            <w:r w:rsidRPr="00BC4EE7">
              <w:rPr>
                <w:rFonts w:cs="Times New Roman"/>
                <w:noProof/>
                <w:vertAlign w:val="superscript"/>
              </w:rPr>
              <w:t>2</w:t>
            </w:r>
            <w:r w:rsidRPr="00BC4EE7">
              <w:rPr>
                <w:rFonts w:cs="Times New Roman"/>
                <w:noProof/>
              </w:rPr>
              <w:t>)</w:t>
            </w:r>
          </w:p>
        </w:tc>
        <w:tc>
          <w:tcPr>
            <w:tcW w:w="971" w:type="dxa"/>
            <w:shd w:val="clear" w:color="auto" w:fill="C6EFCE"/>
          </w:tcPr>
          <w:p w14:paraId="3FC613A1" w14:textId="77777777" w:rsidR="00D65CB4" w:rsidRPr="00BC4EE7" w:rsidRDefault="00572307">
            <w:pPr>
              <w:pStyle w:val="P68B1DB1-Normal12"/>
              <w:jc w:val="right"/>
              <w:rPr>
                <w:rFonts w:cs="Times New Roman"/>
                <w:noProof/>
              </w:rPr>
            </w:pPr>
            <w:r w:rsidRPr="00BC4EE7">
              <w:rPr>
                <w:rFonts w:cs="Times New Roman"/>
                <w:noProof/>
              </w:rPr>
              <w:t>140 000</w:t>
            </w:r>
          </w:p>
        </w:tc>
        <w:tc>
          <w:tcPr>
            <w:tcW w:w="696" w:type="dxa"/>
            <w:shd w:val="clear" w:color="auto" w:fill="C6EFCE"/>
          </w:tcPr>
          <w:p w14:paraId="2CEBE334" w14:textId="09D1C051" w:rsidR="00D65CB4" w:rsidRPr="00BC4EE7" w:rsidRDefault="00572307">
            <w:pPr>
              <w:pStyle w:val="P68B1DB1-Normal12"/>
              <w:jc w:val="right"/>
              <w:rPr>
                <w:rFonts w:cs="Times New Roman"/>
                <w:noProof/>
              </w:rPr>
            </w:pPr>
            <w:r w:rsidRPr="00BC4EE7">
              <w:rPr>
                <w:rFonts w:cs="Times New Roman"/>
                <w:noProof/>
              </w:rPr>
              <w:t>1 050 000</w:t>
            </w:r>
          </w:p>
        </w:tc>
        <w:tc>
          <w:tcPr>
            <w:tcW w:w="558" w:type="dxa"/>
            <w:shd w:val="clear" w:color="auto" w:fill="C6EFCE"/>
          </w:tcPr>
          <w:p w14:paraId="707801F4" w14:textId="77777777" w:rsidR="00D65CB4" w:rsidRPr="00BC4EE7" w:rsidRDefault="00572307">
            <w:pPr>
              <w:pStyle w:val="P68B1DB1-Normal12"/>
              <w:jc w:val="center"/>
              <w:rPr>
                <w:rFonts w:cs="Times New Roman"/>
                <w:noProof/>
              </w:rPr>
            </w:pPr>
            <w:r w:rsidRPr="00BC4EE7">
              <w:rPr>
                <w:rFonts w:cs="Times New Roman"/>
                <w:noProof/>
              </w:rPr>
              <w:t>Q2</w:t>
            </w:r>
          </w:p>
        </w:tc>
        <w:tc>
          <w:tcPr>
            <w:tcW w:w="806" w:type="dxa"/>
            <w:shd w:val="clear" w:color="auto" w:fill="C6EFCE"/>
          </w:tcPr>
          <w:p w14:paraId="46EFD318" w14:textId="77777777" w:rsidR="00D65CB4" w:rsidRPr="00BC4EE7" w:rsidRDefault="00572307">
            <w:pPr>
              <w:pStyle w:val="P68B1DB1-Normal12"/>
              <w:jc w:val="center"/>
              <w:rPr>
                <w:rFonts w:cs="Times New Roman"/>
                <w:noProof/>
              </w:rPr>
            </w:pPr>
            <w:r w:rsidRPr="00BC4EE7">
              <w:rPr>
                <w:rFonts w:cs="Times New Roman"/>
                <w:noProof/>
              </w:rPr>
              <w:t>2026</w:t>
            </w:r>
          </w:p>
        </w:tc>
        <w:tc>
          <w:tcPr>
            <w:tcW w:w="3895" w:type="dxa"/>
            <w:shd w:val="clear" w:color="auto" w:fill="C6EFCE"/>
          </w:tcPr>
          <w:p w14:paraId="79821775" w14:textId="4ECB9088" w:rsidR="00D65CB4" w:rsidRPr="00BC4EE7" w:rsidRDefault="00572307">
            <w:pPr>
              <w:pStyle w:val="P68B1DB1-Normal12"/>
              <w:rPr>
                <w:rFonts w:cs="Times New Roman"/>
                <w:noProof/>
              </w:rPr>
            </w:pPr>
            <w:r w:rsidRPr="00BC4EE7">
              <w:rPr>
                <w:rFonts w:cs="Times New Roman"/>
                <w:noProof/>
              </w:rPr>
              <w:t>Legalább 1 050 000 m 2</w:t>
            </w:r>
            <w:r w:rsidRPr="00BC4EE7">
              <w:rPr>
                <w:rFonts w:cs="Times New Roman"/>
                <w:noProof/>
                <w:vertAlign w:val="superscript"/>
              </w:rPr>
              <w:t>energetikai</w:t>
            </w:r>
            <w:r w:rsidRPr="00BC4EE7">
              <w:rPr>
                <w:rFonts w:cs="Times New Roman"/>
                <w:noProof/>
              </w:rPr>
              <w:t xml:space="preserve"> felújítás befejezése középületekben, amelyek átlagosan legalább 30%-os primerenergia-kereslet-csökkentést érnek el. (alapforgatókönyv: 2024. december 31.)</w:t>
            </w:r>
          </w:p>
        </w:tc>
      </w:tr>
      <w:tr w:rsidR="00D65CB4" w:rsidRPr="00BC4EE7" w14:paraId="1A19CA85" w14:textId="77777777" w:rsidTr="00481CF8">
        <w:trPr>
          <w:trHeight w:val="309"/>
        </w:trPr>
        <w:tc>
          <w:tcPr>
            <w:tcW w:w="1195" w:type="dxa"/>
            <w:shd w:val="clear" w:color="auto" w:fill="C6EFCE"/>
          </w:tcPr>
          <w:p w14:paraId="266C876D" w14:textId="1CED3F3D" w:rsidR="00D65CB4" w:rsidRPr="00BC4EE7" w:rsidRDefault="00572307">
            <w:pPr>
              <w:pStyle w:val="P68B1DB1-Normal12"/>
              <w:jc w:val="center"/>
              <w:rPr>
                <w:rFonts w:cs="Times New Roman"/>
                <w:noProof/>
              </w:rPr>
            </w:pPr>
            <w:r w:rsidRPr="00BC4EE7">
              <w:rPr>
                <w:rFonts w:cs="Times New Roman"/>
                <w:noProof/>
              </w:rPr>
              <w:t>439</w:t>
            </w:r>
          </w:p>
        </w:tc>
        <w:tc>
          <w:tcPr>
            <w:tcW w:w="1323" w:type="dxa"/>
            <w:shd w:val="clear" w:color="auto" w:fill="C6EFCE"/>
          </w:tcPr>
          <w:p w14:paraId="2C941AE5" w14:textId="549FD562" w:rsidR="00D65CB4" w:rsidRPr="00BC4EE7" w:rsidRDefault="00572307">
            <w:pPr>
              <w:pStyle w:val="P68B1DB1-Normal12"/>
              <w:jc w:val="center"/>
              <w:rPr>
                <w:rFonts w:cs="Times New Roman"/>
                <w:noProof/>
              </w:rPr>
            </w:pPr>
            <w:r w:rsidRPr="00BC4EE7">
              <w:rPr>
                <w:rFonts w:cs="Times New Roman"/>
                <w:noProof/>
              </w:rPr>
              <w:t>C11.I4</w:t>
            </w:r>
          </w:p>
        </w:tc>
        <w:tc>
          <w:tcPr>
            <w:tcW w:w="1091" w:type="dxa"/>
            <w:shd w:val="clear" w:color="auto" w:fill="C6EFCE"/>
          </w:tcPr>
          <w:p w14:paraId="48D882CE" w14:textId="12CA02B8" w:rsidR="00D65CB4" w:rsidRPr="00BC4EE7" w:rsidRDefault="00572307">
            <w:pPr>
              <w:pStyle w:val="P68B1DB1-Normal12"/>
              <w:jc w:val="center"/>
              <w:rPr>
                <w:rFonts w:cs="Times New Roman"/>
                <w:noProof/>
              </w:rPr>
            </w:pPr>
            <w:r w:rsidRPr="00BC4EE7">
              <w:rPr>
                <w:rFonts w:cs="Times New Roman"/>
                <w:noProof/>
              </w:rPr>
              <w:t>T</w:t>
            </w:r>
          </w:p>
        </w:tc>
        <w:tc>
          <w:tcPr>
            <w:tcW w:w="1593" w:type="dxa"/>
            <w:shd w:val="clear" w:color="auto" w:fill="C6EFCE"/>
          </w:tcPr>
          <w:p w14:paraId="351EFAD8" w14:textId="6AD718D2" w:rsidR="00D65CB4" w:rsidRPr="00BC4EE7" w:rsidRDefault="00572307">
            <w:pPr>
              <w:pStyle w:val="P68B1DB1-Normal12"/>
              <w:rPr>
                <w:rFonts w:cs="Times New Roman"/>
                <w:noProof/>
              </w:rPr>
            </w:pPr>
            <w:r w:rsidRPr="00BC4EE7">
              <w:rPr>
                <w:rFonts w:cs="Times New Roman"/>
                <w:noProof/>
              </w:rPr>
              <w:t>Fotovoltaikus napenergia-rendszerek vagy más megújuló energiák alkalmazása a központi közigazgatás létesítményeiben</w:t>
            </w:r>
          </w:p>
        </w:tc>
        <w:tc>
          <w:tcPr>
            <w:tcW w:w="1409" w:type="dxa"/>
            <w:shd w:val="clear" w:color="auto" w:fill="C6EFCE"/>
          </w:tcPr>
          <w:p w14:paraId="0089FA6D" w14:textId="77777777" w:rsidR="00D65CB4" w:rsidRPr="00BC4EE7" w:rsidRDefault="00D65CB4">
            <w:pPr>
              <w:jc w:val="center"/>
              <w:rPr>
                <w:rFonts w:ascii="Times New Roman" w:hAnsi="Times New Roman" w:cs="Times New Roman"/>
                <w:noProof/>
                <w:sz w:val="18"/>
              </w:rPr>
            </w:pPr>
          </w:p>
        </w:tc>
        <w:tc>
          <w:tcPr>
            <w:tcW w:w="1059" w:type="dxa"/>
            <w:shd w:val="clear" w:color="auto" w:fill="C6EFCE"/>
          </w:tcPr>
          <w:p w14:paraId="4858E5CA" w14:textId="75BB5C50" w:rsidR="00D65CB4" w:rsidRPr="00BC4EE7" w:rsidRDefault="00572307">
            <w:pPr>
              <w:pStyle w:val="P68B1DB1-Normal12"/>
              <w:rPr>
                <w:rFonts w:cs="Times New Roman"/>
                <w:noProof/>
              </w:rPr>
            </w:pPr>
            <w:r w:rsidRPr="00BC4EE7">
              <w:rPr>
                <w:rFonts w:cs="Times New Roman"/>
                <w:noProof/>
              </w:rPr>
              <w:t>Millió EUR</w:t>
            </w:r>
          </w:p>
        </w:tc>
        <w:tc>
          <w:tcPr>
            <w:tcW w:w="971" w:type="dxa"/>
            <w:shd w:val="clear" w:color="auto" w:fill="C6EFCE"/>
          </w:tcPr>
          <w:p w14:paraId="15744716" w14:textId="26FF9995" w:rsidR="00D65CB4" w:rsidRPr="00BC4EE7" w:rsidRDefault="00572307">
            <w:pPr>
              <w:pStyle w:val="P68B1DB1-Normal12"/>
              <w:jc w:val="right"/>
              <w:rPr>
                <w:rFonts w:cs="Times New Roman"/>
                <w:noProof/>
              </w:rPr>
            </w:pPr>
            <w:r w:rsidRPr="00BC4EE7">
              <w:rPr>
                <w:rFonts w:cs="Times New Roman"/>
                <w:noProof/>
              </w:rPr>
              <w:t>0</w:t>
            </w:r>
          </w:p>
        </w:tc>
        <w:tc>
          <w:tcPr>
            <w:tcW w:w="696" w:type="dxa"/>
            <w:shd w:val="clear" w:color="auto" w:fill="C6EFCE"/>
          </w:tcPr>
          <w:p w14:paraId="28D7C79F" w14:textId="36B39F61" w:rsidR="00D65CB4" w:rsidRPr="00BC4EE7" w:rsidRDefault="00572307">
            <w:pPr>
              <w:pStyle w:val="P68B1DB1-Normal12"/>
              <w:jc w:val="right"/>
              <w:rPr>
                <w:rFonts w:cs="Times New Roman"/>
                <w:noProof/>
              </w:rPr>
            </w:pPr>
            <w:r w:rsidRPr="00BC4EE7">
              <w:rPr>
                <w:rFonts w:cs="Times New Roman"/>
                <w:noProof/>
              </w:rPr>
              <w:t>80</w:t>
            </w:r>
          </w:p>
        </w:tc>
        <w:tc>
          <w:tcPr>
            <w:tcW w:w="558" w:type="dxa"/>
            <w:shd w:val="clear" w:color="auto" w:fill="C6EFCE"/>
          </w:tcPr>
          <w:p w14:paraId="7911F42D" w14:textId="23F61333" w:rsidR="00D65CB4" w:rsidRPr="00BC4EE7" w:rsidRDefault="00572307">
            <w:pPr>
              <w:pStyle w:val="P68B1DB1-Normal12"/>
              <w:jc w:val="center"/>
              <w:rPr>
                <w:rFonts w:cs="Times New Roman"/>
                <w:noProof/>
              </w:rPr>
            </w:pPr>
            <w:r w:rsidRPr="00BC4EE7">
              <w:rPr>
                <w:rFonts w:cs="Times New Roman"/>
                <w:noProof/>
              </w:rPr>
              <w:t>Q2</w:t>
            </w:r>
          </w:p>
        </w:tc>
        <w:tc>
          <w:tcPr>
            <w:tcW w:w="806" w:type="dxa"/>
            <w:shd w:val="clear" w:color="auto" w:fill="C6EFCE"/>
          </w:tcPr>
          <w:p w14:paraId="40D1653F" w14:textId="324B3F87" w:rsidR="00D65CB4" w:rsidRPr="00BC4EE7" w:rsidRDefault="00572307">
            <w:pPr>
              <w:pStyle w:val="P68B1DB1-Normal12"/>
              <w:jc w:val="center"/>
              <w:rPr>
                <w:rFonts w:cs="Times New Roman"/>
                <w:noProof/>
              </w:rPr>
            </w:pPr>
            <w:r w:rsidRPr="00BC4EE7">
              <w:rPr>
                <w:rFonts w:cs="Times New Roman"/>
                <w:noProof/>
              </w:rPr>
              <w:t>2026</w:t>
            </w:r>
          </w:p>
        </w:tc>
        <w:tc>
          <w:tcPr>
            <w:tcW w:w="3895" w:type="dxa"/>
            <w:shd w:val="clear" w:color="auto" w:fill="C6EFCE"/>
          </w:tcPr>
          <w:p w14:paraId="3C260850" w14:textId="0BD0FA22" w:rsidR="00D65CB4" w:rsidRPr="00BC4EE7" w:rsidRDefault="00572307">
            <w:pPr>
              <w:pStyle w:val="P68B1DB1-Normal12"/>
              <w:rPr>
                <w:rFonts w:cs="Times New Roman"/>
                <w:noProof/>
              </w:rPr>
            </w:pPr>
            <w:r w:rsidRPr="00BC4EE7">
              <w:rPr>
                <w:rFonts w:cs="Times New Roman"/>
                <w:noProof/>
              </w:rPr>
              <w:t>Fotovoltaikus napenergia-rendszerek vagy más megújuló energiák megvalósítására irányuló projektek lezárása a központi kormányzat igazgatási létesítményeiben, legalább 80 000 000 EUR értékben.</w:t>
            </w:r>
          </w:p>
        </w:tc>
      </w:tr>
      <w:tr w:rsidR="00D65CB4" w:rsidRPr="00BC4EE7" w14:paraId="51420AED" w14:textId="77777777" w:rsidTr="00481CF8">
        <w:trPr>
          <w:trHeight w:val="309"/>
        </w:trPr>
        <w:tc>
          <w:tcPr>
            <w:tcW w:w="1195" w:type="dxa"/>
            <w:shd w:val="clear" w:color="auto" w:fill="C6EFCE"/>
          </w:tcPr>
          <w:p w14:paraId="16D69C5E" w14:textId="77777777" w:rsidR="00D65CB4" w:rsidRPr="00BC4EE7" w:rsidRDefault="00572307">
            <w:pPr>
              <w:pStyle w:val="P68B1DB1-Normal12"/>
              <w:jc w:val="center"/>
              <w:rPr>
                <w:rFonts w:cs="Times New Roman"/>
                <w:noProof/>
              </w:rPr>
            </w:pPr>
            <w:r w:rsidRPr="00BC4EE7">
              <w:rPr>
                <w:rFonts w:cs="Times New Roman"/>
                <w:noProof/>
              </w:rPr>
              <w:t>173</w:t>
            </w:r>
          </w:p>
        </w:tc>
        <w:tc>
          <w:tcPr>
            <w:tcW w:w="1323" w:type="dxa"/>
            <w:shd w:val="clear" w:color="auto" w:fill="C6EFCE"/>
          </w:tcPr>
          <w:p w14:paraId="42396D75" w14:textId="77777777" w:rsidR="00D65CB4" w:rsidRPr="00BC4EE7" w:rsidRDefault="00572307">
            <w:pPr>
              <w:pStyle w:val="P68B1DB1-Normal12"/>
              <w:jc w:val="center"/>
              <w:rPr>
                <w:rFonts w:cs="Times New Roman"/>
                <w:noProof/>
              </w:rPr>
            </w:pPr>
            <w:r w:rsidRPr="00BC4EE7">
              <w:rPr>
                <w:rFonts w:cs="Times New Roman"/>
                <w:noProof/>
              </w:rPr>
              <w:t>C11.I5</w:t>
            </w:r>
          </w:p>
        </w:tc>
        <w:tc>
          <w:tcPr>
            <w:tcW w:w="1091" w:type="dxa"/>
            <w:shd w:val="clear" w:color="auto" w:fill="C6EFCE"/>
          </w:tcPr>
          <w:p w14:paraId="3028FAE5" w14:textId="77777777" w:rsidR="00D65CB4" w:rsidRPr="00BC4EE7" w:rsidRDefault="00572307">
            <w:pPr>
              <w:pStyle w:val="P68B1DB1-Normal12"/>
              <w:jc w:val="center"/>
              <w:rPr>
                <w:rFonts w:cs="Times New Roman"/>
                <w:noProof/>
              </w:rPr>
            </w:pPr>
            <w:r w:rsidRPr="00BC4EE7">
              <w:rPr>
                <w:rFonts w:cs="Times New Roman"/>
                <w:noProof/>
              </w:rPr>
              <w:t>M</w:t>
            </w:r>
          </w:p>
        </w:tc>
        <w:tc>
          <w:tcPr>
            <w:tcW w:w="1593" w:type="dxa"/>
            <w:shd w:val="clear" w:color="auto" w:fill="C6EFCE"/>
          </w:tcPr>
          <w:p w14:paraId="2F2DF16B" w14:textId="77777777" w:rsidR="00D65CB4" w:rsidRPr="00BC4EE7" w:rsidRDefault="00572307">
            <w:pPr>
              <w:pStyle w:val="P68B1DB1-Normal12"/>
              <w:rPr>
                <w:rFonts w:cs="Times New Roman"/>
                <w:noProof/>
              </w:rPr>
            </w:pPr>
            <w:r w:rsidRPr="00BC4EE7">
              <w:rPr>
                <w:rFonts w:cs="Times New Roman"/>
                <w:noProof/>
              </w:rPr>
              <w:t>A Helyreállítási és Rezilienciaépítési Eszköz integrált információs rendszere</w:t>
            </w:r>
          </w:p>
        </w:tc>
        <w:tc>
          <w:tcPr>
            <w:tcW w:w="1409" w:type="dxa"/>
            <w:shd w:val="clear" w:color="auto" w:fill="C6EFCE"/>
          </w:tcPr>
          <w:p w14:paraId="109361A0" w14:textId="77777777" w:rsidR="00D65CB4" w:rsidRPr="00BC4EE7" w:rsidRDefault="00572307">
            <w:pPr>
              <w:pStyle w:val="P68B1DB1-Normal12"/>
              <w:jc w:val="center"/>
              <w:rPr>
                <w:rFonts w:cs="Times New Roman"/>
                <w:noProof/>
              </w:rPr>
            </w:pPr>
            <w:r w:rsidRPr="00BC4EE7">
              <w:rPr>
                <w:rFonts w:cs="Times New Roman"/>
                <w:noProof/>
              </w:rPr>
              <w:t>Ellenőrzési jelentés</w:t>
            </w:r>
          </w:p>
        </w:tc>
        <w:tc>
          <w:tcPr>
            <w:tcW w:w="1059" w:type="dxa"/>
            <w:shd w:val="clear" w:color="auto" w:fill="C6EFCE"/>
          </w:tcPr>
          <w:p w14:paraId="0115031B"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971" w:type="dxa"/>
            <w:shd w:val="clear" w:color="auto" w:fill="C6EFCE"/>
          </w:tcPr>
          <w:p w14:paraId="1E24DD54"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696" w:type="dxa"/>
            <w:shd w:val="clear" w:color="auto" w:fill="C6EFCE"/>
          </w:tcPr>
          <w:p w14:paraId="074BB40A" w14:textId="77777777" w:rsidR="00D65CB4" w:rsidRPr="00BC4EE7" w:rsidRDefault="00572307">
            <w:pPr>
              <w:pStyle w:val="P68B1DB1-Normal12"/>
              <w:jc w:val="right"/>
              <w:rPr>
                <w:rFonts w:cs="Times New Roman"/>
                <w:noProof/>
              </w:rPr>
            </w:pPr>
            <w:r w:rsidRPr="00BC4EE7">
              <w:rPr>
                <w:rFonts w:cs="Times New Roman"/>
                <w:noProof/>
              </w:rPr>
              <w:t xml:space="preserve"> </w:t>
            </w:r>
          </w:p>
        </w:tc>
        <w:tc>
          <w:tcPr>
            <w:tcW w:w="558" w:type="dxa"/>
            <w:shd w:val="clear" w:color="auto" w:fill="C6EFCE"/>
          </w:tcPr>
          <w:p w14:paraId="7E469E69" w14:textId="77777777" w:rsidR="00D65CB4" w:rsidRPr="00BC4EE7" w:rsidRDefault="00572307">
            <w:pPr>
              <w:pStyle w:val="P68B1DB1-Normal12"/>
              <w:jc w:val="center"/>
              <w:rPr>
                <w:rFonts w:cs="Times New Roman"/>
                <w:noProof/>
              </w:rPr>
            </w:pPr>
            <w:r w:rsidRPr="00BC4EE7">
              <w:rPr>
                <w:rFonts w:cs="Times New Roman"/>
                <w:noProof/>
              </w:rPr>
              <w:t>Q3</w:t>
            </w:r>
          </w:p>
        </w:tc>
        <w:tc>
          <w:tcPr>
            <w:tcW w:w="806" w:type="dxa"/>
            <w:shd w:val="clear" w:color="auto" w:fill="C6EFCE"/>
          </w:tcPr>
          <w:p w14:paraId="7638223B" w14:textId="77777777" w:rsidR="00D65CB4" w:rsidRPr="00BC4EE7" w:rsidRDefault="00572307">
            <w:pPr>
              <w:pStyle w:val="P68B1DB1-Normal12"/>
              <w:jc w:val="center"/>
              <w:rPr>
                <w:rFonts w:cs="Times New Roman"/>
                <w:noProof/>
              </w:rPr>
            </w:pPr>
            <w:r w:rsidRPr="00BC4EE7">
              <w:rPr>
                <w:rFonts w:cs="Times New Roman"/>
                <w:noProof/>
              </w:rPr>
              <w:t>2021</w:t>
            </w:r>
          </w:p>
        </w:tc>
        <w:tc>
          <w:tcPr>
            <w:tcW w:w="3895" w:type="dxa"/>
            <w:shd w:val="clear" w:color="auto" w:fill="C6EFCE"/>
          </w:tcPr>
          <w:p w14:paraId="6286323C" w14:textId="77777777" w:rsidR="00D65CB4" w:rsidRPr="00BC4EE7" w:rsidRDefault="00572307">
            <w:pPr>
              <w:pStyle w:val="P68B1DB1-Normal12"/>
              <w:rPr>
                <w:rFonts w:cs="Times New Roman"/>
                <w:noProof/>
              </w:rPr>
            </w:pPr>
            <w:r w:rsidRPr="00BC4EE7">
              <w:rPr>
                <w:rFonts w:cs="Times New Roman"/>
                <w:noProof/>
              </w:rPr>
              <w:t>Olyan rendszer bevezetése, amely lehetővé teszi a) a helyreállítási és rezilienciaépítési terv, valamint a mérföldkövek és célok elérésének végrehajtására és nyomon követésére vonatkozó információk feltöltését; b) a vezetői nyilatkozatok és az ellenőrzési összefoglaló, valamint a kifizetési kérelmek elkészítése, valamint c) a kedvezményezettekre, vállalkozókra, alvállalkozókra és tényleges tulajdonosokra vonatkozó adatok gyűjtése és tárolása a Helyreállítási és Rezilienciaépítési Eszközről szóló rendelet 22. cikkével összhangban. A használt rendszerről külön ellenőrzési jelentést kell készíteni. Amennyiben a jelentés hiányosságokat tár fel, az ellenőrzési jelentésnek korrekciós intézkedéseket kell javasolnia.</w:t>
            </w:r>
          </w:p>
        </w:tc>
      </w:tr>
      <w:tr w:rsidR="00D65CB4" w:rsidRPr="00BC4EE7" w14:paraId="3D6B6EB3" w14:textId="77777777" w:rsidTr="00481CF8">
        <w:trPr>
          <w:trHeight w:val="309"/>
        </w:trPr>
        <w:tc>
          <w:tcPr>
            <w:tcW w:w="1195" w:type="dxa"/>
            <w:shd w:val="clear" w:color="auto" w:fill="C6EFCE"/>
          </w:tcPr>
          <w:p w14:paraId="6DAA0BD9" w14:textId="77777777" w:rsidR="00D65CB4" w:rsidRPr="00BC4EE7" w:rsidRDefault="00572307">
            <w:pPr>
              <w:pStyle w:val="P68B1DB1-Normal12"/>
              <w:jc w:val="center"/>
              <w:rPr>
                <w:rFonts w:cs="Times New Roman"/>
                <w:noProof/>
              </w:rPr>
            </w:pPr>
            <w:r w:rsidRPr="00BC4EE7">
              <w:rPr>
                <w:rFonts w:cs="Times New Roman"/>
                <w:noProof/>
              </w:rPr>
              <w:t>174</w:t>
            </w:r>
          </w:p>
        </w:tc>
        <w:tc>
          <w:tcPr>
            <w:tcW w:w="1323" w:type="dxa"/>
            <w:shd w:val="clear" w:color="auto" w:fill="C6EFCE"/>
          </w:tcPr>
          <w:p w14:paraId="2F95774C" w14:textId="77777777" w:rsidR="00D65CB4" w:rsidRPr="00BC4EE7" w:rsidRDefault="00572307">
            <w:pPr>
              <w:pStyle w:val="P68B1DB1-Normal12"/>
              <w:jc w:val="center"/>
              <w:rPr>
                <w:rFonts w:cs="Times New Roman"/>
                <w:noProof/>
              </w:rPr>
            </w:pPr>
            <w:r w:rsidRPr="00BC4EE7">
              <w:rPr>
                <w:rFonts w:cs="Times New Roman"/>
                <w:noProof/>
              </w:rPr>
              <w:t>C11.I5</w:t>
            </w:r>
          </w:p>
        </w:tc>
        <w:tc>
          <w:tcPr>
            <w:tcW w:w="1091" w:type="dxa"/>
            <w:shd w:val="clear" w:color="auto" w:fill="C6EFCE"/>
          </w:tcPr>
          <w:p w14:paraId="140E7501" w14:textId="77777777" w:rsidR="00D65CB4" w:rsidRPr="00BC4EE7" w:rsidRDefault="00572307">
            <w:pPr>
              <w:pStyle w:val="P68B1DB1-Normal12"/>
              <w:jc w:val="center"/>
              <w:rPr>
                <w:rFonts w:cs="Times New Roman"/>
                <w:noProof/>
              </w:rPr>
            </w:pPr>
            <w:r w:rsidRPr="00BC4EE7">
              <w:rPr>
                <w:rFonts w:cs="Times New Roman"/>
                <w:noProof/>
              </w:rPr>
              <w:t>T</w:t>
            </w:r>
          </w:p>
        </w:tc>
        <w:tc>
          <w:tcPr>
            <w:tcW w:w="1593" w:type="dxa"/>
            <w:shd w:val="clear" w:color="auto" w:fill="C6EFCE"/>
          </w:tcPr>
          <w:p w14:paraId="09AB6B67" w14:textId="77777777" w:rsidR="00D65CB4" w:rsidRPr="00BC4EE7" w:rsidRDefault="00572307">
            <w:pPr>
              <w:pStyle w:val="P68B1DB1-Normal12"/>
              <w:rPr>
                <w:rFonts w:cs="Times New Roman"/>
                <w:noProof/>
              </w:rPr>
            </w:pPr>
            <w:r w:rsidRPr="00BC4EE7">
              <w:rPr>
                <w:rFonts w:cs="Times New Roman"/>
                <w:noProof/>
              </w:rPr>
              <w:t>Új kommunikációs eszközök és tevékenységek</w:t>
            </w:r>
          </w:p>
        </w:tc>
        <w:tc>
          <w:tcPr>
            <w:tcW w:w="1409" w:type="dxa"/>
            <w:shd w:val="clear" w:color="auto" w:fill="C6EFCE"/>
          </w:tcPr>
          <w:p w14:paraId="1043FF33" w14:textId="77777777" w:rsidR="00D65CB4" w:rsidRPr="00BC4EE7" w:rsidRDefault="00572307">
            <w:pPr>
              <w:pStyle w:val="P68B1DB1-Normal12"/>
              <w:jc w:val="center"/>
              <w:rPr>
                <w:rFonts w:cs="Times New Roman"/>
                <w:noProof/>
              </w:rPr>
            </w:pPr>
            <w:r w:rsidRPr="00BC4EE7">
              <w:rPr>
                <w:rFonts w:cs="Times New Roman"/>
                <w:noProof/>
              </w:rPr>
              <w:t xml:space="preserve"> </w:t>
            </w:r>
          </w:p>
        </w:tc>
        <w:tc>
          <w:tcPr>
            <w:tcW w:w="1059" w:type="dxa"/>
            <w:shd w:val="clear" w:color="auto" w:fill="C6EFCE"/>
          </w:tcPr>
          <w:p w14:paraId="1BA20486" w14:textId="77777777" w:rsidR="00D65CB4" w:rsidRPr="00BC4EE7" w:rsidRDefault="00572307">
            <w:pPr>
              <w:pStyle w:val="P68B1DB1-Normal12"/>
              <w:rPr>
                <w:rFonts w:cs="Times New Roman"/>
                <w:noProof/>
              </w:rPr>
            </w:pPr>
            <w:r w:rsidRPr="00BC4EE7">
              <w:rPr>
                <w:rFonts w:cs="Times New Roman"/>
                <w:noProof/>
              </w:rPr>
              <w:t>Szám</w:t>
            </w:r>
          </w:p>
        </w:tc>
        <w:tc>
          <w:tcPr>
            <w:tcW w:w="971" w:type="dxa"/>
            <w:shd w:val="clear" w:color="auto" w:fill="C6EFCE"/>
          </w:tcPr>
          <w:p w14:paraId="3194369D" w14:textId="77777777" w:rsidR="00D65CB4" w:rsidRPr="00BC4EE7" w:rsidRDefault="00572307">
            <w:pPr>
              <w:pStyle w:val="P68B1DB1-Normal12"/>
              <w:jc w:val="right"/>
              <w:rPr>
                <w:rFonts w:cs="Times New Roman"/>
                <w:noProof/>
              </w:rPr>
            </w:pPr>
            <w:r w:rsidRPr="00BC4EE7">
              <w:rPr>
                <w:rFonts w:cs="Times New Roman"/>
                <w:noProof/>
              </w:rPr>
              <w:t>0</w:t>
            </w:r>
          </w:p>
        </w:tc>
        <w:tc>
          <w:tcPr>
            <w:tcW w:w="696" w:type="dxa"/>
            <w:shd w:val="clear" w:color="auto" w:fill="C6EFCE"/>
          </w:tcPr>
          <w:p w14:paraId="1DFFE5C7" w14:textId="77777777" w:rsidR="00D65CB4" w:rsidRPr="00BC4EE7" w:rsidRDefault="00572307">
            <w:pPr>
              <w:pStyle w:val="P68B1DB1-Normal12"/>
              <w:jc w:val="right"/>
              <w:rPr>
                <w:rFonts w:cs="Times New Roman"/>
                <w:noProof/>
              </w:rPr>
            </w:pPr>
            <w:r w:rsidRPr="00BC4EE7">
              <w:rPr>
                <w:rFonts w:cs="Times New Roman"/>
                <w:noProof/>
              </w:rPr>
              <w:t>4</w:t>
            </w:r>
          </w:p>
        </w:tc>
        <w:tc>
          <w:tcPr>
            <w:tcW w:w="558" w:type="dxa"/>
            <w:shd w:val="clear" w:color="auto" w:fill="C6EFCE"/>
          </w:tcPr>
          <w:p w14:paraId="7D1EB45E" w14:textId="77777777" w:rsidR="00D65CB4" w:rsidRPr="00BC4EE7" w:rsidRDefault="00572307">
            <w:pPr>
              <w:pStyle w:val="P68B1DB1-Normal12"/>
              <w:jc w:val="center"/>
              <w:rPr>
                <w:rFonts w:cs="Times New Roman"/>
                <w:noProof/>
              </w:rPr>
            </w:pPr>
            <w:r w:rsidRPr="00BC4EE7">
              <w:rPr>
                <w:rFonts w:cs="Times New Roman"/>
                <w:noProof/>
              </w:rPr>
              <w:t>Q4</w:t>
            </w:r>
          </w:p>
        </w:tc>
        <w:tc>
          <w:tcPr>
            <w:tcW w:w="806" w:type="dxa"/>
            <w:shd w:val="clear" w:color="auto" w:fill="C6EFCE"/>
          </w:tcPr>
          <w:p w14:paraId="1DFA7961" w14:textId="77777777" w:rsidR="00D65CB4" w:rsidRPr="00BC4EE7" w:rsidRDefault="00572307">
            <w:pPr>
              <w:pStyle w:val="P68B1DB1-Normal12"/>
              <w:jc w:val="center"/>
              <w:rPr>
                <w:rFonts w:cs="Times New Roman"/>
                <w:noProof/>
              </w:rPr>
            </w:pPr>
            <w:r w:rsidRPr="00BC4EE7">
              <w:rPr>
                <w:rFonts w:cs="Times New Roman"/>
                <w:noProof/>
              </w:rPr>
              <w:t>2022</w:t>
            </w:r>
          </w:p>
        </w:tc>
        <w:tc>
          <w:tcPr>
            <w:tcW w:w="3895" w:type="dxa"/>
            <w:shd w:val="clear" w:color="auto" w:fill="C6EFCE"/>
          </w:tcPr>
          <w:p w14:paraId="2D0F4233" w14:textId="77777777" w:rsidR="00D65CB4" w:rsidRPr="00BC4EE7" w:rsidRDefault="00572307">
            <w:pPr>
              <w:pStyle w:val="P68B1DB1-Normal12"/>
              <w:rPr>
                <w:rFonts w:cs="Times New Roman"/>
                <w:noProof/>
              </w:rPr>
            </w:pPr>
            <w:r w:rsidRPr="00BC4EE7">
              <w:rPr>
                <w:rFonts w:cs="Times New Roman"/>
                <w:noProof/>
              </w:rPr>
              <w:t>Legalább 2 közösségi vezetőt foglalkoztatnak a közösségi médiában való jelenlét növelése érdekében, növelve a terv potenciális résztvevőinek és kedvezményezettjeinek számát, hogy tudomást szerezzenek a terv által kínált lehetőségekről; 2 honlap működik, hogy hozzájáruljon a források felhasználásának maximalizálásához.</w:t>
            </w:r>
          </w:p>
        </w:tc>
      </w:tr>
      <w:tr w:rsidR="00D65CB4" w:rsidRPr="00BC4EE7" w14:paraId="2692D9E7" w14:textId="77777777" w:rsidTr="00481CF8">
        <w:trPr>
          <w:trHeight w:val="309"/>
        </w:trPr>
        <w:tc>
          <w:tcPr>
            <w:tcW w:w="1195" w:type="dxa"/>
            <w:shd w:val="clear" w:color="auto" w:fill="C6EFCE"/>
          </w:tcPr>
          <w:p w14:paraId="5D82B080" w14:textId="77777777" w:rsidR="00D65CB4" w:rsidRPr="00BC4EE7" w:rsidRDefault="00572307">
            <w:pPr>
              <w:pStyle w:val="P68B1DB1-Normal12"/>
              <w:jc w:val="center"/>
              <w:rPr>
                <w:rFonts w:cs="Times New Roman"/>
                <w:noProof/>
              </w:rPr>
            </w:pPr>
            <w:r w:rsidRPr="00BC4EE7">
              <w:rPr>
                <w:rFonts w:cs="Times New Roman"/>
                <w:noProof/>
              </w:rPr>
              <w:t>175</w:t>
            </w:r>
          </w:p>
        </w:tc>
        <w:tc>
          <w:tcPr>
            <w:tcW w:w="1323" w:type="dxa"/>
            <w:shd w:val="clear" w:color="auto" w:fill="C6EFCE"/>
          </w:tcPr>
          <w:p w14:paraId="79BA18C8" w14:textId="77777777" w:rsidR="00D65CB4" w:rsidRPr="00BC4EE7" w:rsidRDefault="00572307">
            <w:pPr>
              <w:pStyle w:val="P68B1DB1-Normal12"/>
              <w:jc w:val="center"/>
              <w:rPr>
                <w:rFonts w:cs="Times New Roman"/>
                <w:noProof/>
              </w:rPr>
            </w:pPr>
            <w:r w:rsidRPr="00BC4EE7">
              <w:rPr>
                <w:rFonts w:cs="Times New Roman"/>
                <w:noProof/>
              </w:rPr>
              <w:t>C11.I5</w:t>
            </w:r>
          </w:p>
        </w:tc>
        <w:tc>
          <w:tcPr>
            <w:tcW w:w="1091" w:type="dxa"/>
            <w:shd w:val="clear" w:color="auto" w:fill="C6EFCE"/>
          </w:tcPr>
          <w:p w14:paraId="73559B47" w14:textId="77777777" w:rsidR="00D65CB4" w:rsidRPr="00BC4EE7" w:rsidRDefault="00572307">
            <w:pPr>
              <w:pStyle w:val="P68B1DB1-Normal12"/>
              <w:jc w:val="center"/>
              <w:rPr>
                <w:rFonts w:cs="Times New Roman"/>
                <w:noProof/>
              </w:rPr>
            </w:pPr>
            <w:r w:rsidRPr="00BC4EE7">
              <w:rPr>
                <w:rFonts w:cs="Times New Roman"/>
                <w:noProof/>
              </w:rPr>
              <w:t>T</w:t>
            </w:r>
          </w:p>
        </w:tc>
        <w:tc>
          <w:tcPr>
            <w:tcW w:w="1593" w:type="dxa"/>
            <w:shd w:val="clear" w:color="auto" w:fill="C6EFCE"/>
          </w:tcPr>
          <w:p w14:paraId="3632DEEA" w14:textId="77777777" w:rsidR="00D65CB4" w:rsidRPr="00BC4EE7" w:rsidRDefault="00572307">
            <w:pPr>
              <w:pStyle w:val="P68B1DB1-Normal12"/>
              <w:rPr>
                <w:rFonts w:cs="Times New Roman"/>
                <w:noProof/>
              </w:rPr>
            </w:pPr>
            <w:r w:rsidRPr="00BC4EE7">
              <w:rPr>
                <w:rFonts w:cs="Times New Roman"/>
                <w:noProof/>
              </w:rPr>
              <w:t xml:space="preserve">A közigazgatásból kiképzett személyzet </w:t>
            </w:r>
          </w:p>
        </w:tc>
        <w:tc>
          <w:tcPr>
            <w:tcW w:w="1409" w:type="dxa"/>
            <w:shd w:val="clear" w:color="auto" w:fill="C6EFCE"/>
          </w:tcPr>
          <w:p w14:paraId="589E950B" w14:textId="77777777" w:rsidR="00D65CB4" w:rsidRPr="00BC4EE7" w:rsidRDefault="00572307">
            <w:pPr>
              <w:pStyle w:val="P68B1DB1-Normal12"/>
              <w:jc w:val="center"/>
              <w:rPr>
                <w:rFonts w:cs="Times New Roman"/>
                <w:noProof/>
              </w:rPr>
            </w:pPr>
            <w:r w:rsidRPr="00BC4EE7">
              <w:rPr>
                <w:rFonts w:cs="Times New Roman"/>
                <w:noProof/>
              </w:rPr>
              <w:t xml:space="preserve"> </w:t>
            </w:r>
          </w:p>
        </w:tc>
        <w:tc>
          <w:tcPr>
            <w:tcW w:w="1059" w:type="dxa"/>
            <w:shd w:val="clear" w:color="auto" w:fill="C6EFCE"/>
          </w:tcPr>
          <w:p w14:paraId="56C89F43" w14:textId="77777777" w:rsidR="00D65CB4" w:rsidRPr="00BC4EE7" w:rsidRDefault="00572307">
            <w:pPr>
              <w:pStyle w:val="P68B1DB1-Normal12"/>
              <w:rPr>
                <w:rFonts w:cs="Times New Roman"/>
                <w:noProof/>
              </w:rPr>
            </w:pPr>
            <w:r w:rsidRPr="00BC4EE7">
              <w:rPr>
                <w:rFonts w:cs="Times New Roman"/>
                <w:noProof/>
              </w:rPr>
              <w:t>Szám</w:t>
            </w:r>
          </w:p>
        </w:tc>
        <w:tc>
          <w:tcPr>
            <w:tcW w:w="971" w:type="dxa"/>
            <w:shd w:val="clear" w:color="auto" w:fill="C6EFCE"/>
          </w:tcPr>
          <w:p w14:paraId="6992A621" w14:textId="77777777" w:rsidR="00D65CB4" w:rsidRPr="00BC4EE7" w:rsidRDefault="00572307">
            <w:pPr>
              <w:pStyle w:val="P68B1DB1-Normal12"/>
              <w:jc w:val="right"/>
              <w:rPr>
                <w:rFonts w:cs="Times New Roman"/>
                <w:noProof/>
              </w:rPr>
            </w:pPr>
            <w:r w:rsidRPr="00BC4EE7">
              <w:rPr>
                <w:rFonts w:cs="Times New Roman"/>
                <w:noProof/>
              </w:rPr>
              <w:t>0</w:t>
            </w:r>
          </w:p>
        </w:tc>
        <w:tc>
          <w:tcPr>
            <w:tcW w:w="696" w:type="dxa"/>
            <w:shd w:val="clear" w:color="auto" w:fill="C6EFCE"/>
          </w:tcPr>
          <w:p w14:paraId="39FC2332" w14:textId="77777777" w:rsidR="00D65CB4" w:rsidRPr="00BC4EE7" w:rsidRDefault="00572307">
            <w:pPr>
              <w:pStyle w:val="P68B1DB1-Normal12"/>
              <w:jc w:val="right"/>
              <w:rPr>
                <w:rFonts w:cs="Times New Roman"/>
                <w:noProof/>
              </w:rPr>
            </w:pPr>
            <w:r w:rsidRPr="00BC4EE7">
              <w:rPr>
                <w:rFonts w:cs="Times New Roman"/>
                <w:noProof/>
              </w:rPr>
              <w:t>3 150</w:t>
            </w:r>
          </w:p>
        </w:tc>
        <w:tc>
          <w:tcPr>
            <w:tcW w:w="558" w:type="dxa"/>
            <w:shd w:val="clear" w:color="auto" w:fill="C6EFCE"/>
          </w:tcPr>
          <w:p w14:paraId="18DEFB86" w14:textId="77777777" w:rsidR="00D65CB4" w:rsidRPr="00BC4EE7" w:rsidRDefault="00572307">
            <w:pPr>
              <w:pStyle w:val="P68B1DB1-Normal12"/>
              <w:jc w:val="center"/>
              <w:rPr>
                <w:rFonts w:cs="Times New Roman"/>
                <w:noProof/>
              </w:rPr>
            </w:pPr>
            <w:r w:rsidRPr="00BC4EE7">
              <w:rPr>
                <w:rFonts w:cs="Times New Roman"/>
                <w:noProof/>
              </w:rPr>
              <w:t>Q3</w:t>
            </w:r>
          </w:p>
        </w:tc>
        <w:tc>
          <w:tcPr>
            <w:tcW w:w="806" w:type="dxa"/>
            <w:shd w:val="clear" w:color="auto" w:fill="C6EFCE"/>
          </w:tcPr>
          <w:p w14:paraId="3D640CA9" w14:textId="77777777" w:rsidR="00D65CB4" w:rsidRPr="00BC4EE7" w:rsidRDefault="00572307">
            <w:pPr>
              <w:pStyle w:val="P68B1DB1-Normal12"/>
              <w:jc w:val="center"/>
              <w:rPr>
                <w:rFonts w:cs="Times New Roman"/>
                <w:noProof/>
              </w:rPr>
            </w:pPr>
            <w:r w:rsidRPr="00BC4EE7">
              <w:rPr>
                <w:rFonts w:cs="Times New Roman"/>
                <w:noProof/>
              </w:rPr>
              <w:t>2026</w:t>
            </w:r>
          </w:p>
        </w:tc>
        <w:tc>
          <w:tcPr>
            <w:tcW w:w="3895" w:type="dxa"/>
            <w:shd w:val="clear" w:color="auto" w:fill="C6EFCE"/>
          </w:tcPr>
          <w:p w14:paraId="42468616" w14:textId="77777777" w:rsidR="00D65CB4" w:rsidRPr="00BC4EE7" w:rsidRDefault="00572307">
            <w:pPr>
              <w:pStyle w:val="P68B1DB1-Normal12"/>
              <w:rPr>
                <w:rFonts w:cs="Times New Roman"/>
                <w:noProof/>
              </w:rPr>
            </w:pPr>
            <w:r w:rsidRPr="00BC4EE7">
              <w:rPr>
                <w:rFonts w:cs="Times New Roman"/>
                <w:noProof/>
              </w:rPr>
              <w:t xml:space="preserve">A közigazgatás legalább 3150 alkalmazottja részesült képzésben a helyreállítási és rezilienciaépítési terv végrehajtásával, kontrolljával és ellenőrzésével kapcsolatos területeken </w:t>
            </w:r>
          </w:p>
        </w:tc>
      </w:tr>
    </w:tbl>
    <w:p w14:paraId="000C812F" w14:textId="77777777" w:rsidR="00D65CB4" w:rsidRPr="00BC4EE7" w:rsidRDefault="00D65CB4">
      <w:pPr>
        <w:spacing w:before="120" w:after="120" w:line="240" w:lineRule="auto"/>
        <w:ind w:left="709"/>
        <w:jc w:val="both"/>
        <w:rPr>
          <w:rFonts w:ascii="Times New Roman" w:hAnsi="Times New Roman" w:cs="Times New Roman"/>
          <w:noProof/>
          <w:sz w:val="24"/>
        </w:rPr>
        <w:sectPr w:rsidR="00D65CB4" w:rsidRPr="00BC4EE7" w:rsidSect="00B511EF">
          <w:headerReference w:type="even" r:id="rId231"/>
          <w:headerReference w:type="default" r:id="rId232"/>
          <w:footerReference w:type="even" r:id="rId233"/>
          <w:footerReference w:type="default" r:id="rId234"/>
          <w:headerReference w:type="first" r:id="rId235"/>
          <w:footerReference w:type="first" r:id="rId236"/>
          <w:pgSz w:w="16839" w:h="11907" w:orient="landscape"/>
          <w:pgMar w:top="1134" w:right="1134" w:bottom="1134" w:left="1134" w:header="567" w:footer="567" w:gutter="0"/>
          <w:cols w:space="720"/>
          <w:docGrid w:linePitch="360"/>
        </w:sectPr>
      </w:pPr>
    </w:p>
    <w:p w14:paraId="7AC49A7F" w14:textId="77777777" w:rsidR="00D65CB4" w:rsidRPr="00BC4EE7" w:rsidRDefault="00572307">
      <w:pPr>
        <w:spacing w:before="120" w:after="120" w:line="240" w:lineRule="auto"/>
        <w:jc w:val="both"/>
        <w:rPr>
          <w:rStyle w:val="eop"/>
          <w:rFonts w:ascii="Times New Roman" w:hAnsi="Times New Roman" w:cs="Times New Roman"/>
          <w:noProof/>
          <w:sz w:val="24"/>
          <w:shd w:val="clear" w:color="auto" w:fill="FFFFFF"/>
        </w:rPr>
      </w:pPr>
      <w:r w:rsidRPr="00BC4EE7">
        <w:rPr>
          <w:rStyle w:val="normaltextrun"/>
          <w:rFonts w:ascii="Times New Roman" w:hAnsi="Times New Roman" w:cs="Times New Roman"/>
          <w:b/>
          <w:noProof/>
          <w:sz w:val="24"/>
          <w:u w:val="single"/>
        </w:rPr>
        <w:t>K</w:t>
      </w:r>
      <w:r w:rsidRPr="00BC4EE7">
        <w:rPr>
          <w:rStyle w:val="normaltextrun"/>
          <w:rFonts w:ascii="Times New Roman" w:hAnsi="Times New Roman" w:cs="Times New Roman"/>
          <w:b/>
          <w:noProof/>
          <w:sz w:val="24"/>
          <w:u w:val="single"/>
          <w:shd w:val="clear" w:color="auto" w:fill="FFFFFF"/>
        </w:rPr>
        <w:t>.3. A hiteltámogatást célzó reformok és beruházások ismertetése</w:t>
      </w:r>
    </w:p>
    <w:p w14:paraId="28630AE6"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(C11.I6) – Kiberbiztonság, reziliencia és biztonsági eszközök</w:t>
      </w:r>
    </w:p>
    <w:p w14:paraId="7AA5F2B7" w14:textId="77777777" w:rsidR="00D65CB4" w:rsidRPr="00BC4EE7" w:rsidRDefault="00572307">
      <w:pPr>
        <w:pStyle w:val="P68B1DB1-Normal4"/>
        <w:spacing w:before="120" w:after="120" w:line="240" w:lineRule="auto"/>
        <w:jc w:val="both"/>
        <w:rPr>
          <w:rFonts w:eastAsia="Times New Roman" w:cs="Times New Roman"/>
          <w:noProof/>
        </w:rPr>
      </w:pPr>
      <w:r w:rsidRPr="00BC4EE7">
        <w:rPr>
          <w:rFonts w:cs="Times New Roman"/>
          <w:noProof/>
        </w:rPr>
        <w:t>Ez az intézkedés két fő beruházást foglal magában: a „kiberbiztonsági program” a közigazgatás kiberbiztonsági képességeinek megerősítésére a kiberfenyegetések megelőzése, védelme, észlelése és az azokra való reagálás terén; valamint ii. az „Ellenállósági és Biztonsági Alap” a spanyol területen a produktív beruházások és a termelési kapacitás növelésének előmozdítása érdekében a biztonság, a védelem, a repüléstechnika és az űripar területén.</w:t>
      </w:r>
    </w:p>
    <w:p w14:paraId="4B5D5C87" w14:textId="77777777" w:rsidR="00D65CB4" w:rsidRPr="00BC4EE7" w:rsidRDefault="00572307">
      <w:pPr>
        <w:pStyle w:val="P68B1DB1-Normal17"/>
        <w:rPr>
          <w:rFonts w:cs="Times New Roman"/>
          <w:noProof/>
        </w:rPr>
      </w:pPr>
      <w:r w:rsidRPr="00BC4EE7">
        <w:rPr>
          <w:rFonts w:cs="Times New Roman"/>
          <w:noProof/>
        </w:rPr>
        <w:t>Kiberbiztonsági Program</w:t>
      </w:r>
    </w:p>
    <w:p w14:paraId="57B37F3C" w14:textId="64869168" w:rsidR="00D65CB4" w:rsidRPr="00BC4EE7" w:rsidRDefault="00572307">
      <w:pPr>
        <w:pStyle w:val="P68B1DB1-Normal4"/>
        <w:spacing w:before="120" w:after="120" w:line="240" w:lineRule="auto"/>
        <w:jc w:val="both"/>
        <w:rPr>
          <w:rFonts w:eastAsia="Times New Roman" w:cs="Times New Roman"/>
          <w:noProof/>
        </w:rPr>
      </w:pPr>
      <w:r w:rsidRPr="00BC4EE7">
        <w:rPr>
          <w:rFonts w:cs="Times New Roman"/>
          <w:noProof/>
        </w:rPr>
        <w:t>Az intézkedés ezen eleme a kiberbiztonsági program keretében megvalósuló projektek végrehajtását foglalja magában, amelyek hozzájárulnak a következőkhöz: i. kapacitásépítés a kiberfenyegetésekre való reagáláshoz; a stratégiai eszközök biztonságának és rezilienciájának biztosítása; a kiberbűnözéssel kapcsolatos nyomozási és büntetőeljárási kapacitások megerősítése; a kiberbiztonság fokozása a polgárok és a vállalkozások számára; v. a kiberbiztonsági ágazat fellendítése; és vi. kiberbiztonsági kultúra kialakítása.</w:t>
      </w:r>
    </w:p>
    <w:p w14:paraId="5532C259" w14:textId="6F6CC342" w:rsidR="00D65CB4" w:rsidRPr="00BC4EE7" w:rsidRDefault="00572307">
      <w:pPr>
        <w:pStyle w:val="P68B1DB1-Normal4"/>
        <w:spacing w:before="120" w:after="120" w:line="240" w:lineRule="auto"/>
        <w:jc w:val="both"/>
        <w:rPr>
          <w:rFonts w:eastAsia="Times New Roman" w:cs="Times New Roman"/>
          <w:noProof/>
        </w:rPr>
      </w:pPr>
      <w:r w:rsidRPr="00BC4EE7">
        <w:rPr>
          <w:rFonts w:cs="Times New Roman"/>
          <w:noProof/>
        </w:rPr>
        <w:t>A kiberbiztonsági program végrehajtását 2026. június 30-ig be kell fejezni.</w:t>
      </w:r>
    </w:p>
    <w:p w14:paraId="1C24F29F" w14:textId="77777777" w:rsidR="00D65CB4" w:rsidRPr="00BC4EE7" w:rsidRDefault="00572307">
      <w:pPr>
        <w:pStyle w:val="P68B1DB1-Normal17"/>
        <w:rPr>
          <w:rFonts w:eastAsia="Times New Roman" w:cs="Times New Roman"/>
          <w:noProof/>
        </w:rPr>
      </w:pPr>
      <w:r w:rsidRPr="00BC4EE7">
        <w:rPr>
          <w:rFonts w:cs="Times New Roman"/>
          <w:noProof/>
        </w:rPr>
        <w:t>Biztonsági és Rezilienciaépítési Alap</w:t>
      </w:r>
    </w:p>
    <w:p w14:paraId="507C7EB9" w14:textId="7B87C380" w:rsidR="00D65CB4" w:rsidRPr="00BC4EE7" w:rsidRDefault="00572307">
      <w:pPr>
        <w:spacing w:line="240" w:lineRule="auto"/>
        <w:jc w:val="both"/>
        <w:rPr>
          <w:rStyle w:val="normaltextrun"/>
          <w:rFonts w:ascii="Times New Roman" w:eastAsia="Times New Roman" w:hAnsi="Times New Roman" w:cs="Times New Roman"/>
          <w:noProof/>
          <w:sz w:val="24"/>
          <w:shd w:val="clear" w:color="auto" w:fill="FFFFFF"/>
        </w:rPr>
      </w:pPr>
      <w:r w:rsidRPr="00BC4EE7">
        <w:rPr>
          <w:rStyle w:val="normaltextrun"/>
          <w:rFonts w:ascii="Times New Roman" w:hAnsi="Times New Roman" w:cs="Times New Roman"/>
          <w:noProof/>
          <w:sz w:val="24"/>
          <w:shd w:val="clear" w:color="auto" w:fill="FFFFFF"/>
        </w:rPr>
        <w:t xml:space="preserve">Az intézkedés ezen eleme az eszközbe, a Biztonsági és Rezilienciaépítési Alapba történő közberuházásokból áll annak érdekében, hogy </w:t>
      </w:r>
      <w:bookmarkStart w:id="19" w:name="_Hlk145601028"/>
      <w:r w:rsidRPr="00BC4EE7">
        <w:rPr>
          <w:rStyle w:val="normaltextrun"/>
          <w:rFonts w:ascii="Times New Roman" w:hAnsi="Times New Roman" w:cs="Times New Roman"/>
          <w:noProof/>
          <w:sz w:val="24"/>
          <w:shd w:val="clear" w:color="auto" w:fill="FFFFFF"/>
        </w:rPr>
        <w:t xml:space="preserve">ösztönözze a magánberuházásokat, javítsa a finanszírozáshoz való hozzáférést </w:t>
      </w:r>
      <w:bookmarkEnd w:id="19"/>
      <w:r w:rsidRPr="00BC4EE7">
        <w:rPr>
          <w:rStyle w:val="normaltextrun"/>
          <w:rFonts w:ascii="Times New Roman" w:hAnsi="Times New Roman" w:cs="Times New Roman"/>
          <w:noProof/>
          <w:sz w:val="24"/>
          <w:shd w:val="clear" w:color="auto" w:fill="FFFFFF"/>
        </w:rPr>
        <w:t>Spanyolország biztonsági</w:t>
      </w:r>
      <w:r w:rsidRPr="00BC4EE7">
        <w:rPr>
          <w:rFonts w:ascii="Times New Roman" w:hAnsi="Times New Roman" w:cs="Times New Roman"/>
          <w:noProof/>
          <w:sz w:val="24"/>
        </w:rPr>
        <w:t xml:space="preserve">, védelmi, repüléstechnikai </w:t>
      </w:r>
      <w:r w:rsidRPr="00BC4EE7">
        <w:rPr>
          <w:rStyle w:val="normaltextrun"/>
          <w:rFonts w:ascii="Times New Roman" w:hAnsi="Times New Roman" w:cs="Times New Roman"/>
          <w:noProof/>
          <w:sz w:val="24"/>
          <w:shd w:val="clear" w:color="auto" w:fill="FFFFFF"/>
        </w:rPr>
        <w:t>és űrágazatában, valamint hogy ezeken a területeken fejlessze a tőkepiacokat. A hitelezési eszköz úgy működik, hogy közvetlenül vagy közvetítőkön keresztül kölcsönöket, sajáttőke- és kvázisajáttőke-befektetéseket nyújt a magánszektornak, valamint a hasonló tevékenységeket folytató közszektorbeli szervezeteknek.  A Helyreállítási és Rezilienciaépítési Eszköz beruházásai alapján az eszköz célja kezdetben legalább 1 000 000 000 EUR összegű finanszírozás biztosítása.</w:t>
      </w:r>
    </w:p>
    <w:p w14:paraId="53166B8D" w14:textId="4ED87A3F" w:rsidR="00D65CB4" w:rsidRPr="00BC4EE7" w:rsidRDefault="00572307">
      <w:pPr>
        <w:spacing w:line="240" w:lineRule="auto"/>
        <w:jc w:val="both"/>
        <w:rPr>
          <w:rStyle w:val="normaltextrun"/>
          <w:rFonts w:ascii="Times New Roman" w:eastAsia="Times New Roman" w:hAnsi="Times New Roman" w:cs="Times New Roman"/>
          <w:noProof/>
          <w:sz w:val="24"/>
          <w:shd w:val="clear" w:color="auto" w:fill="FFFFFF"/>
        </w:rPr>
      </w:pPr>
      <w:r w:rsidRPr="00BC4EE7">
        <w:rPr>
          <w:rStyle w:val="normaltextrun"/>
          <w:rFonts w:ascii="Times New Roman" w:hAnsi="Times New Roman" w:cs="Times New Roman"/>
          <w:noProof/>
          <w:sz w:val="24"/>
          <w:shd w:val="clear" w:color="auto" w:fill="FFFFFF"/>
        </w:rPr>
        <w:t xml:space="preserve">Az eszközt végrehajtó partnerként a Sociedad Estatal de Participaciones Industriales Desarrollo Empresarial (SEPIDES) kezeli. A beruházási keret a következő két terméksort foglalja magában: </w:t>
      </w:r>
    </w:p>
    <w:p w14:paraId="1E28F317" w14:textId="23405C19" w:rsidR="00D65CB4" w:rsidRPr="00BC4EE7" w:rsidRDefault="00572307">
      <w:pPr>
        <w:pStyle w:val="P68B1DB1-ListParagraph6"/>
        <w:numPr>
          <w:ilvl w:val="0"/>
          <w:numId w:val="447"/>
        </w:numPr>
        <w:spacing w:before="120" w:after="120" w:line="240" w:lineRule="auto"/>
        <w:jc w:val="both"/>
        <w:rPr>
          <w:rStyle w:val="normaltextrun"/>
          <w:rFonts w:eastAsia="Times New Roman" w:cs="Times New Roman"/>
          <w:noProof/>
        </w:rPr>
      </w:pPr>
      <w:r w:rsidRPr="00BC4EE7">
        <w:rPr>
          <w:rFonts w:cs="Times New Roman"/>
          <w:noProof/>
        </w:rPr>
        <w:t>Közvetlen vezeték: Az eszköz közvetlenül olyan vállalatokba fektet be, amelyek kötelezettséget vállaltak arra, hogy a megcélzott ágazatokban új projekteket hajtanak végre, beleértve a folyamatban lévő fejlesztési programokon belüli új projekteket is.  A Keretnek képesnek kell lennie arra, hogy hitel-, sajáttőke- és kvázisajáttőke-eszközök felhasználásával fektessenek be. Az Alap tőkebefektetései nem eredményezhetik azt, hogy a végső kedvezményezett állami tulajdonú tőkéje meghaladja a teljes saját tőke 49%-át.</w:t>
      </w:r>
    </w:p>
    <w:p w14:paraId="24F7DD89" w14:textId="03462FBA" w:rsidR="00D65CB4" w:rsidRPr="00BC4EE7" w:rsidRDefault="00572307">
      <w:pPr>
        <w:pStyle w:val="ListParagraph"/>
        <w:numPr>
          <w:ilvl w:val="0"/>
          <w:numId w:val="614"/>
        </w:numPr>
        <w:rPr>
          <w:rFonts w:ascii="Times New Roman" w:hAnsi="Times New Roman" w:cs="Times New Roman"/>
          <w:noProof/>
          <w:sz w:val="24"/>
        </w:rPr>
      </w:pPr>
      <w:r w:rsidRPr="00BC4EE7">
        <w:rPr>
          <w:rFonts w:ascii="Times New Roman" w:hAnsi="Times New Roman" w:cs="Times New Roman"/>
          <w:noProof/>
          <w:sz w:val="24"/>
        </w:rPr>
        <w:t>Közvetett vonal: Az eszköz olyan meglévő alapokba fektet be, amelyek az eszköz által megcélzott ágazatokba fektetnek be. Az eszköz maximális részvétele nem haladhatja meg bármely alap vagy egyéb beruházási eszköz 49%-át.</w:t>
      </w:r>
      <w:r w:rsidRPr="00BC4EE7">
        <w:rPr>
          <w:rFonts w:ascii="Times New Roman" w:hAnsi="Times New Roman" w:cs="Times New Roman"/>
          <w:noProof/>
        </w:rPr>
        <w:t xml:space="preserve"> </w:t>
      </w:r>
      <w:r w:rsidRPr="00BC4EE7">
        <w:rPr>
          <w:rFonts w:ascii="Times New Roman" w:hAnsi="Times New Roman" w:cs="Times New Roman"/>
          <w:noProof/>
          <w:sz w:val="24"/>
        </w:rPr>
        <w:t>Az alapok tőkebefektetései nem eredményezhetik azt, hogy egy alapban vagy befektetési eszközben köztulajdonban lévő részesedés meghaladja a teljes saját tőke 49%-át.</w:t>
      </w:r>
    </w:p>
    <w:p w14:paraId="0EB3BAEC" w14:textId="531C94A7" w:rsidR="00D65CB4" w:rsidRPr="00BC4EE7" w:rsidRDefault="00572307">
      <w:pPr>
        <w:pStyle w:val="P68B1DB1-Normal4"/>
        <w:spacing w:before="120" w:after="120" w:line="240" w:lineRule="auto"/>
        <w:jc w:val="both"/>
        <w:rPr>
          <w:rFonts w:eastAsia="Times New Roman" w:cs="Times New Roman"/>
          <w:noProof/>
        </w:rPr>
      </w:pPr>
      <w:r w:rsidRPr="00BC4EE7">
        <w:rPr>
          <w:rFonts w:cs="Times New Roman"/>
          <w:noProof/>
        </w:rPr>
        <w:t xml:space="preserve">Az eszközbe történő beruházás végrehajtása érdekében Spanyolország rendeletet és bármely kapcsolódó dokumentumot hagy jóvá az eszköz létrehozásáról és irányításáról, amely a következő tartalmat tartalmazza:  </w:t>
      </w:r>
    </w:p>
    <w:p w14:paraId="6E600765" w14:textId="38BE4A50" w:rsidR="00D65CB4" w:rsidRPr="00BC4EE7" w:rsidRDefault="00572307">
      <w:pPr>
        <w:pStyle w:val="P68B1DB1-ListParagraph6"/>
        <w:numPr>
          <w:ilvl w:val="0"/>
          <w:numId w:val="734"/>
        </w:numPr>
        <w:spacing w:line="240" w:lineRule="auto"/>
        <w:contextualSpacing w:val="0"/>
        <w:jc w:val="both"/>
        <w:rPr>
          <w:rFonts w:eastAsia="Times New Roman" w:cs="Times New Roman"/>
          <w:noProof/>
        </w:rPr>
      </w:pPr>
      <w:r w:rsidRPr="00BC4EE7">
        <w:rPr>
          <w:rFonts w:cs="Times New Roman"/>
          <w:noProof/>
        </w:rPr>
        <w:t>Az eszköz döntéshozatali folyamatának leírása:  Az eszköz kezdeti beruházási döntését beruházási bizottság vagy más, azzal egyenértékű irányító testület hozza meg, és a spanyol kormánytól független tagok szavazatainak többségével hagyja jóvá. Az eszköz végleges beruházási döntése a beruházási bizottság vagy azzal egyenértékű irányító testület által javasolt beruházási döntés (módosítás nélküli) jóváhagyására, vagy a döntéssel kapcsolatos vétójog gyakorlására korlátozódik. A közvetített beruházások esetében a végső beruházási döntést a közvetítők hozzák meg. A közvetítő által javasolt befektetési döntéssel kapcsolatos vétójog nemzetbiztonsági okokból gyakorolható.</w:t>
      </w:r>
    </w:p>
    <w:p w14:paraId="49221D99" w14:textId="16873181" w:rsidR="00D65CB4" w:rsidRPr="00BC4EE7" w:rsidRDefault="00572307">
      <w:pPr>
        <w:pStyle w:val="P68B1DB1-ListParagraph6"/>
        <w:numPr>
          <w:ilvl w:val="0"/>
          <w:numId w:val="734"/>
        </w:numPr>
        <w:spacing w:line="240" w:lineRule="auto"/>
        <w:jc w:val="both"/>
        <w:rPr>
          <w:rFonts w:eastAsia="Times New Roman" w:cs="Times New Roman"/>
          <w:noProof/>
        </w:rPr>
      </w:pPr>
      <w:r w:rsidRPr="00BC4EE7">
        <w:rPr>
          <w:rFonts w:cs="Times New Roman"/>
          <w:noProof/>
        </w:rPr>
        <w:t>A kapcsolódó beruházási politika fő követelményei, amelyek a következőket foglalják magukban:</w:t>
      </w:r>
    </w:p>
    <w:p w14:paraId="205E8354" w14:textId="36A196FD" w:rsidR="00D65CB4" w:rsidRPr="00BC4EE7" w:rsidRDefault="00572307">
      <w:pPr>
        <w:pStyle w:val="ListParagraph"/>
        <w:numPr>
          <w:ilvl w:val="1"/>
          <w:numId w:val="734"/>
        </w:numPr>
        <w:spacing w:line="240" w:lineRule="auto"/>
        <w:jc w:val="both"/>
        <w:rPr>
          <w:rFonts w:ascii="Times New Roman" w:eastAsia="Times New Roman" w:hAnsi="Times New Roman" w:cs="Times New Roman"/>
          <w:noProof/>
          <w:sz w:val="24"/>
        </w:rPr>
      </w:pPr>
      <w:r w:rsidRPr="00BC4EE7">
        <w:rPr>
          <w:rFonts w:ascii="Times New Roman" w:hAnsi="Times New Roman" w:cs="Times New Roman"/>
          <w:noProof/>
          <w:sz w:val="24"/>
        </w:rPr>
        <w:t>A pénzügyi termékek és a támogatható végső kedvezményezettek leírása az intézkedés leírásával összhangban.  Stratégiai beruházások, azaz az Európai Védelmi Alap éves munkaprogramjában meghatározott védelmi technológiákba és termékekbe történő beruházások; űrberuházás atomórákba, stratégiai hordozórakétákba; és űripari termékek;  valamint a kizárólag kiberbiztonsági eszközök és megoldások fejlesztésére és bevezetésére összpontosító beruházások, beleértve azokat az eseteket is, amikor ezek a digitális hálózatok és adatinfrastruktúra kiépítésének vagy korszerűsítésének részét képezik; a végső kedvezményezettek nem állhatnak harmadik ország vagy harmadik országbeli szervezet ellenőrzése alatt, és ügyvezető ügyvezetésüknek az Unióban kell lennie, kivéve a 10 000 000 EUR alatti beruházásokat. Ha a végső kedvezményezett stratégiai beruházásban vesz részt az 5G konnektivitás területén, az 5G kiberbiztonsági eszköztár szerinti intézkedéseket és kockázatcsökkentési terveket a beszállítóira is</w:t>
      </w:r>
      <w:r w:rsidRPr="00BC4EE7">
        <w:rPr>
          <w:rStyle w:val="FootnoteReference"/>
          <w:rFonts w:ascii="Times New Roman" w:eastAsia="Times New Roman" w:hAnsi="Times New Roman" w:cs="Times New Roman"/>
          <w:noProof/>
          <w:sz w:val="24"/>
        </w:rPr>
        <w:footnoteReference w:id="21"/>
      </w:r>
      <w:r w:rsidRPr="00BC4EE7">
        <w:rPr>
          <w:rFonts w:ascii="Times New Roman" w:hAnsi="Times New Roman" w:cs="Times New Roman"/>
          <w:noProof/>
          <w:sz w:val="24"/>
        </w:rPr>
        <w:t xml:space="preserve"> alkalmazni kell. E beszállítók közé tartoznak a távközlési berendezések gyártóinak értékesítési partnerei és az egyéb harmadik fél beszállítók, így például a felhőalapú infrastruktúrák szolgáltatói, a bérelt szolgáltatást nyújtók (managed service providers), a rendszerintegrátorok, a biztonsággal és karbantartással foglalkozó vállalkozók és az átviteli berendezések gyártói. Amennyiben a végső kedvezményezett védelmi stratégiai beruházásban vesz részt, ez a korlátozás a beszállítóira és alvállalkozóira is vonatkozik. A harmadik ország vagy harmadik országbeli szervezet általi ellenőrzés hiányára vonatkozó, a fenti három bekezdésben meghatározott korlátozások nem alkalmazandók egy adott finanszírozási és beruházási műveletre, amennyiben a végső kedvezményezett bizonyítani tudja, hogy olyan jogalany, amelyre vonatkozóan a székhelye szerinti tagállam az Európai Védelmi Alapról (a továbbiakban: EDF) szóló rendelet vonatkozó rendelkezéseiben meghatározott, a támogatható szervezetekre vonatkozó elvekkel összhangban garanciát hagyott jóvá,</w:t>
      </w:r>
      <w:r w:rsidRPr="00BC4EE7">
        <w:rPr>
          <w:rStyle w:val="FootnoteReference"/>
          <w:rFonts w:ascii="Times New Roman" w:eastAsia="Times New Roman" w:hAnsi="Times New Roman" w:cs="Times New Roman"/>
          <w:noProof/>
          <w:sz w:val="24"/>
        </w:rPr>
        <w:footnoteReference w:id="22"/>
      </w:r>
      <w:r w:rsidRPr="00BC4EE7">
        <w:rPr>
          <w:rFonts w:ascii="Times New Roman" w:hAnsi="Times New Roman" w:cs="Times New Roman"/>
          <w:noProof/>
          <w:sz w:val="24"/>
        </w:rPr>
        <w:t xml:space="preserve"> vagy a Bizottság által a támogatható szervezetekre vonatkozóan az űrrendelet vonatkozó rendelkezéseiben meghatározott elvekkel összhangban adott felmentést</w:t>
      </w:r>
      <w:r w:rsidRPr="00BC4EE7">
        <w:rPr>
          <w:rStyle w:val="FootnoteReference"/>
          <w:rFonts w:ascii="Times New Roman" w:eastAsia="Times New Roman" w:hAnsi="Times New Roman" w:cs="Times New Roman"/>
          <w:noProof/>
          <w:sz w:val="24"/>
        </w:rPr>
        <w:footnoteReference w:id="23"/>
      </w:r>
      <w:r w:rsidRPr="00BC4EE7">
        <w:rPr>
          <w:rFonts w:ascii="Times New Roman" w:hAnsi="Times New Roman" w:cs="Times New Roman"/>
          <w:noProof/>
          <w:sz w:val="24"/>
        </w:rPr>
        <w:t xml:space="preserve">. A végrehajtó partnernek értesítenie kell a kormányt a korlátozások alól engedélyezett bármely eltérésről.   </w:t>
      </w:r>
    </w:p>
    <w:p w14:paraId="2EFD2C81" w14:textId="51BC5F71" w:rsidR="00D65CB4" w:rsidRPr="00BC4EE7" w:rsidRDefault="00572307">
      <w:pPr>
        <w:pStyle w:val="P68B1DB1-ListParagraph6"/>
        <w:numPr>
          <w:ilvl w:val="1"/>
          <w:numId w:val="734"/>
        </w:numPr>
        <w:spacing w:line="240" w:lineRule="auto"/>
        <w:jc w:val="both"/>
        <w:rPr>
          <w:rFonts w:eastAsia="Times New Roman" w:cs="Times New Roman"/>
          <w:noProof/>
        </w:rPr>
      </w:pPr>
      <w:r w:rsidRPr="00BC4EE7">
        <w:rPr>
          <w:rFonts w:cs="Times New Roman"/>
          <w:noProof/>
        </w:rPr>
        <w:t>Az a követelmény, hogy minden támogatott beruházás gazdaságilag életképes legyen.</w:t>
      </w:r>
    </w:p>
    <w:p w14:paraId="563AF7F0" w14:textId="0EB49510" w:rsidR="00D65CB4" w:rsidRPr="00BC4EE7" w:rsidRDefault="00572307">
      <w:pPr>
        <w:pStyle w:val="P68B1DB1-ListParagraph6"/>
        <w:numPr>
          <w:ilvl w:val="1"/>
          <w:numId w:val="734"/>
        </w:numPr>
        <w:spacing w:line="240" w:lineRule="auto"/>
        <w:jc w:val="both"/>
        <w:rPr>
          <w:rFonts w:eastAsia="Times New Roman" w:cs="Times New Roman"/>
          <w:noProof/>
        </w:rPr>
      </w:pPr>
      <w:r w:rsidRPr="00BC4EE7">
        <w:rPr>
          <w:rFonts w:cs="Times New Roman"/>
          <w:noProof/>
        </w:rPr>
        <w:t xml:space="preserve">A fennálló hitelek refinanszírozásának tilalma.  </w:t>
      </w:r>
    </w:p>
    <w:p w14:paraId="0A322070" w14:textId="022667E5" w:rsidR="00D65CB4" w:rsidRPr="00BC4EE7" w:rsidRDefault="00572307">
      <w:pPr>
        <w:pStyle w:val="P68B1DB1-ListParagraph6"/>
        <w:numPr>
          <w:ilvl w:val="1"/>
          <w:numId w:val="734"/>
        </w:numPr>
        <w:spacing w:line="240" w:lineRule="auto"/>
        <w:jc w:val="both"/>
        <w:rPr>
          <w:rFonts w:eastAsia="Times New Roman" w:cs="Times New Roman"/>
          <w:noProof/>
        </w:rPr>
      </w:pPr>
      <w:r w:rsidRPr="00BC4EE7">
        <w:rPr>
          <w:rFonts w:cs="Times New Roman"/>
          <w:noProof/>
        </w:rPr>
        <w:t xml:space="preserve">A jelentős károkozás elkerülését célzó elvnek való megfelelés követelménye a DNSH technikai iránymutatásban (2021/C58/01), különösen: </w:t>
      </w:r>
      <w:bookmarkStart w:id="20" w:name="_Hlk145599269"/>
    </w:p>
    <w:p w14:paraId="257C51EC" w14:textId="41476553" w:rsidR="00D65CB4" w:rsidRPr="00BC4EE7" w:rsidRDefault="00572307">
      <w:pPr>
        <w:pStyle w:val="ListParagraph"/>
        <w:numPr>
          <w:ilvl w:val="2"/>
          <w:numId w:val="734"/>
        </w:numPr>
        <w:jc w:val="both"/>
        <w:rPr>
          <w:rFonts w:ascii="Times New Roman" w:eastAsia="Times New Roman" w:hAnsi="Times New Roman" w:cs="Times New Roman"/>
          <w:noProof/>
          <w:sz w:val="24"/>
        </w:rPr>
      </w:pPr>
      <w:r w:rsidRPr="00BC4EE7">
        <w:rPr>
          <w:rFonts w:ascii="Times New Roman" w:hAnsi="Times New Roman" w:cs="Times New Roman"/>
          <w:noProof/>
          <w:sz w:val="24"/>
        </w:rPr>
        <w:t>Hitelek, projektkötvények vagy ezekkel egyenértékű eszközök esetében: a befektetési politika kizárja a támogathatóság köréből a következő tevékenységek és eszközök listáját: i. a fosszilis tüzelőanyagokhoz kapcsolódó tevékenységek és eszközök, beleértve a downstream felhasználást is, ii. az uniós kibocsátáskereskedelmi rendszer</w:t>
      </w:r>
      <w:r w:rsidRPr="00BC4EE7">
        <w:rPr>
          <w:rStyle w:val="FootnoteReference"/>
          <w:rFonts w:ascii="Times New Roman" w:eastAsia="Times New Roman" w:hAnsi="Times New Roman" w:cs="Times New Roman"/>
          <w:noProof/>
          <w:sz w:val="24"/>
        </w:rPr>
        <w:footnoteReference w:id="24"/>
      </w:r>
      <w:r w:rsidRPr="00BC4EE7">
        <w:rPr>
          <w:rFonts w:ascii="Times New Roman" w:hAnsi="Times New Roman" w:cs="Times New Roman"/>
          <w:noProof/>
          <w:sz w:val="24"/>
        </w:rPr>
        <w:t xml:space="preserve">(ETS) keretébe tartozó tevékenységek és eszközök, amelyek elérik a vonatkozó referenciaértékeket meg nem haladó, előre jelzett üvegházhatásúgáz-kibocsátást, iii. a hulladéklerakókhoz, égetőművekhez és mechanikai-biológiai </w:t>
      </w:r>
      <w:r w:rsidRPr="00BC4EE7">
        <w:rPr>
          <w:rFonts w:ascii="Times New Roman" w:hAnsi="Times New Roman" w:cs="Times New Roman"/>
          <w:noProof/>
        </w:rPr>
        <w:t>hulladékkezelő létesítményekhez kapcsolódó</w:t>
      </w:r>
      <w:r w:rsidRPr="00BC4EE7">
        <w:rPr>
          <w:rStyle w:val="FootnoteReference"/>
          <w:rFonts w:ascii="Times New Roman" w:eastAsia="Times New Roman" w:hAnsi="Times New Roman" w:cs="Times New Roman"/>
          <w:noProof/>
          <w:sz w:val="24"/>
        </w:rPr>
        <w:footnoteReference w:id="25"/>
      </w:r>
      <w:r w:rsidRPr="00BC4EE7">
        <w:rPr>
          <w:rFonts w:ascii="Times New Roman" w:hAnsi="Times New Roman" w:cs="Times New Roman"/>
          <w:noProof/>
        </w:rPr>
        <w:t xml:space="preserve"> </w:t>
      </w:r>
      <w:bookmarkStart w:id="21" w:name="_Hlk145696282"/>
      <w:r w:rsidRPr="00BC4EE7">
        <w:rPr>
          <w:rFonts w:ascii="Times New Roman" w:hAnsi="Times New Roman" w:cs="Times New Roman"/>
          <w:noProof/>
        </w:rPr>
        <w:t>tevékenységek</w:t>
      </w:r>
      <w:r w:rsidRPr="00BC4EE7">
        <w:rPr>
          <w:rStyle w:val="FootnoteReference"/>
          <w:rFonts w:ascii="Times New Roman" w:eastAsia="Times New Roman" w:hAnsi="Times New Roman" w:cs="Times New Roman"/>
          <w:noProof/>
          <w:sz w:val="24"/>
        </w:rPr>
        <w:footnoteReference w:id="26"/>
      </w:r>
      <w:r w:rsidRPr="00BC4EE7">
        <w:rPr>
          <w:rFonts w:ascii="Times New Roman" w:hAnsi="Times New Roman" w:cs="Times New Roman"/>
          <w:noProof/>
        </w:rPr>
        <w:t xml:space="preserve"> és eszközök</w:t>
      </w:r>
      <w:r w:rsidRPr="00BC4EE7">
        <w:rPr>
          <w:rStyle w:val="FootnoteReference"/>
          <w:rFonts w:ascii="Times New Roman" w:hAnsi="Times New Roman" w:cs="Times New Roman"/>
          <w:noProof/>
        </w:rPr>
        <w:footnoteReference w:id="27"/>
      </w:r>
      <w:r w:rsidRPr="00BC4EE7">
        <w:rPr>
          <w:rFonts w:ascii="Times New Roman" w:hAnsi="Times New Roman" w:cs="Times New Roman"/>
          <w:noProof/>
        </w:rPr>
        <w:t xml:space="preserve">. </w:t>
      </w:r>
      <w:bookmarkEnd w:id="21"/>
    </w:p>
    <w:p w14:paraId="62379C76" w14:textId="3AE7FE1B" w:rsidR="00D65CB4" w:rsidRPr="00BC4EE7" w:rsidRDefault="00572307">
      <w:pPr>
        <w:pStyle w:val="ListParagraph"/>
        <w:numPr>
          <w:ilvl w:val="2"/>
          <w:numId w:val="734"/>
        </w:numPr>
        <w:jc w:val="both"/>
        <w:rPr>
          <w:rFonts w:ascii="Times New Roman" w:eastAsia="Times New Roman" w:hAnsi="Times New Roman" w:cs="Times New Roman"/>
          <w:noProof/>
          <w:sz w:val="24"/>
        </w:rPr>
      </w:pPr>
      <w:bookmarkStart w:id="22" w:name="_Hlk145612965"/>
      <w:r w:rsidRPr="00BC4EE7">
        <w:rPr>
          <w:rFonts w:ascii="Times New Roman" w:hAnsi="Times New Roman" w:cs="Times New Roman"/>
          <w:noProof/>
          <w:sz w:val="24"/>
        </w:rPr>
        <w:t>Saját tőke, kvázi-sajáttőke, vállalati kötvények vagy ezekkel egyenértékű eszközök esetében: a befektetési politikának elő kell írnia a vállalatok számára, hogy a 2013/34/EU irányelv 19a. cikke (2) bekezdése a) pontjának iii. alpontjában foglalt fogalommeghatározással összhangban zöld átállási terveket fogadjanak el,</w:t>
      </w:r>
      <w:r w:rsidRPr="00BC4EE7">
        <w:rPr>
          <w:rStyle w:val="FootnoteReference"/>
          <w:rFonts w:ascii="Times New Roman" w:eastAsia="Times New Roman" w:hAnsi="Times New Roman" w:cs="Times New Roman"/>
          <w:noProof/>
          <w:sz w:val="24"/>
        </w:rPr>
        <w:footnoteReference w:id="28"/>
      </w:r>
      <w:r w:rsidRPr="00BC4EE7">
        <w:rPr>
          <w:rFonts w:ascii="Times New Roman" w:hAnsi="Times New Roman" w:cs="Times New Roman"/>
          <w:noProof/>
          <w:sz w:val="24"/>
        </w:rPr>
        <w:t xml:space="preserve"> ha az előző pénzügyi év közvetlen bevételeinek több mint 50%-a a tevékenységek és eszközök alábbi listájából származik: i. a fosszilis tüzelőanyagokhoz kapcsolódó tevékenységek és eszközök, beleértve a downstream felhasználást is, ii. az uniós kibocsátáskereskedelmi rendszer</w:t>
      </w:r>
      <w:r w:rsidRPr="00BC4EE7">
        <w:rPr>
          <w:rStyle w:val="FootnoteReference"/>
          <w:rFonts w:ascii="Times New Roman" w:eastAsia="Times New Roman" w:hAnsi="Times New Roman" w:cs="Times New Roman"/>
          <w:noProof/>
          <w:sz w:val="24"/>
        </w:rPr>
        <w:footnoteReference w:id="29"/>
      </w:r>
      <w:r w:rsidRPr="00BC4EE7">
        <w:rPr>
          <w:rFonts w:ascii="Times New Roman" w:hAnsi="Times New Roman" w:cs="Times New Roman"/>
          <w:noProof/>
          <w:sz w:val="24"/>
        </w:rPr>
        <w:t>(ETS) keretébe tartozó tevékenységek és eszközök, amelyek elérik a vonatkozó referenciaértékeket meg nem haladó, előre jelzett üvegházhatásúgáz-kibocsátást, iii. a hulladéklerakókhoz, égetőművekhez és mechanikai-biológiai hulladékkezelő létesítményekhez kapcsolódó</w:t>
      </w:r>
      <w:r w:rsidRPr="00BC4EE7">
        <w:rPr>
          <w:rStyle w:val="FootnoteReference"/>
          <w:rFonts w:ascii="Times New Roman" w:eastAsia="Times New Roman" w:hAnsi="Times New Roman" w:cs="Times New Roman"/>
          <w:noProof/>
          <w:sz w:val="24"/>
        </w:rPr>
        <w:footnoteReference w:id="30"/>
      </w:r>
      <w:r w:rsidRPr="00BC4EE7">
        <w:rPr>
          <w:rFonts w:ascii="Times New Roman" w:hAnsi="Times New Roman" w:cs="Times New Roman"/>
          <w:noProof/>
          <w:sz w:val="24"/>
        </w:rPr>
        <w:t>tevékenységek</w:t>
      </w:r>
      <w:r w:rsidRPr="00BC4EE7">
        <w:rPr>
          <w:rStyle w:val="FootnoteReference"/>
          <w:rFonts w:ascii="Times New Roman" w:eastAsia="Times New Roman" w:hAnsi="Times New Roman" w:cs="Times New Roman"/>
          <w:noProof/>
          <w:sz w:val="24"/>
        </w:rPr>
        <w:footnoteReference w:id="31"/>
      </w:r>
      <w:r w:rsidRPr="00BC4EE7">
        <w:rPr>
          <w:rFonts w:ascii="Times New Roman" w:hAnsi="Times New Roman" w:cs="Times New Roman"/>
          <w:noProof/>
          <w:sz w:val="24"/>
        </w:rPr>
        <w:t xml:space="preserve"> és eszközök</w:t>
      </w:r>
      <w:r w:rsidRPr="00BC4EE7">
        <w:rPr>
          <w:rStyle w:val="FootnoteReference"/>
          <w:rFonts w:ascii="Times New Roman" w:eastAsia="Times New Roman" w:hAnsi="Times New Roman" w:cs="Times New Roman"/>
          <w:noProof/>
          <w:sz w:val="24"/>
        </w:rPr>
        <w:footnoteReference w:id="32"/>
      </w:r>
      <w:r w:rsidRPr="00BC4EE7">
        <w:rPr>
          <w:rFonts w:ascii="Times New Roman" w:hAnsi="Times New Roman" w:cs="Times New Roman"/>
          <w:noProof/>
          <w:sz w:val="24"/>
        </w:rPr>
        <w:t xml:space="preserve">. </w:t>
      </w:r>
    </w:p>
    <w:bookmarkEnd w:id="22"/>
    <w:p w14:paraId="77963A6E" w14:textId="2BC8F4B7" w:rsidR="00D65CB4" w:rsidRPr="00BC4EE7" w:rsidRDefault="00572307">
      <w:pPr>
        <w:pStyle w:val="P68B1DB1-ListParagraph6"/>
        <w:numPr>
          <w:ilvl w:val="2"/>
          <w:numId w:val="734"/>
        </w:numPr>
        <w:rPr>
          <w:rFonts w:eastAsia="Times New Roman" w:cs="Times New Roman"/>
          <w:noProof/>
        </w:rPr>
      </w:pPr>
      <w:r w:rsidRPr="00BC4EE7">
        <w:rPr>
          <w:rFonts w:cs="Times New Roman"/>
          <w:noProof/>
        </w:rPr>
        <w:t>A beruházási politikának továbbá meg kell követelnie az eszköz végső kedvezményezettjeinek a vonatkozó uniós és nemzeti környezetvédelmi jogszabályoknak való megfelelését.</w:t>
      </w:r>
    </w:p>
    <w:p w14:paraId="5AFDB985" w14:textId="2BC8F4B7" w:rsidR="00D65CB4" w:rsidRPr="00BC4EE7" w:rsidRDefault="00572307">
      <w:pPr>
        <w:pStyle w:val="P68B1DB1-ListParagraph6"/>
        <w:numPr>
          <w:ilvl w:val="1"/>
          <w:numId w:val="734"/>
        </w:numPr>
        <w:rPr>
          <w:rFonts w:eastAsia="Times New Roman" w:cs="Times New Roman"/>
          <w:noProof/>
        </w:rPr>
      </w:pPr>
      <w:r w:rsidRPr="00BC4EE7">
        <w:rPr>
          <w:rFonts w:cs="Times New Roman"/>
          <w:noProof/>
        </w:rPr>
        <w:t>Az a követelmény, hogy az eszköz végső kedvezményezettjei nem részesülhetnek támogatásban más uniós eszközökből ugyanazon költségek fedezésére.</w:t>
      </w:r>
    </w:p>
    <w:p w14:paraId="412A05D5" w14:textId="50E0CC3A" w:rsidR="00D65CB4" w:rsidRPr="00BC4EE7" w:rsidRDefault="00572307">
      <w:pPr>
        <w:pStyle w:val="P68B1DB1-ListParagraph6"/>
        <w:numPr>
          <w:ilvl w:val="0"/>
          <w:numId w:val="734"/>
        </w:numPr>
        <w:rPr>
          <w:rFonts w:eastAsia="Times New Roman" w:cs="Times New Roman"/>
          <w:noProof/>
        </w:rPr>
      </w:pPr>
      <w:r w:rsidRPr="00BC4EE7">
        <w:rPr>
          <w:rFonts w:cs="Times New Roman"/>
          <w:noProof/>
        </w:rPr>
        <w:t xml:space="preserve">A rendelet hatálya </w:t>
      </w:r>
      <w:bookmarkStart w:id="23" w:name="_Hlk145660035"/>
      <w:r w:rsidRPr="00BC4EE7">
        <w:rPr>
          <w:rFonts w:cs="Times New Roman"/>
          <w:noProof/>
        </w:rPr>
        <w:t xml:space="preserve">alá tartozó összeg és az eszközt létrehozó kapcsolódó dokumentumok, a végrehajtó partner díjstruktúrája, valamint az </w:t>
      </w:r>
      <w:bookmarkEnd w:id="23"/>
      <w:r w:rsidRPr="00BC4EE7">
        <w:rPr>
          <w:rFonts w:cs="Times New Roman"/>
          <w:noProof/>
        </w:rPr>
        <w:t>eszköz beruházási politikájának megfelelően a visszafolyó bevételek újbóli befektetésének követelménye, kivéve, ha azokat a Helyreállítási és Rezilienciaépítési Eszköz hiteltörlesztéseinek fedezésére használják fel.</w:t>
      </w:r>
    </w:p>
    <w:p w14:paraId="042E9FE3" w14:textId="2BC8F4B7" w:rsidR="00D65CB4" w:rsidRPr="00BC4EE7" w:rsidRDefault="00572307">
      <w:pPr>
        <w:pStyle w:val="P68B1DB1-ListParagraph6"/>
        <w:numPr>
          <w:ilvl w:val="0"/>
          <w:numId w:val="734"/>
        </w:numPr>
        <w:rPr>
          <w:rFonts w:eastAsia="Times New Roman" w:cs="Times New Roman"/>
          <w:noProof/>
        </w:rPr>
      </w:pPr>
      <w:r w:rsidRPr="00BC4EE7">
        <w:rPr>
          <w:rFonts w:cs="Times New Roman"/>
          <w:noProof/>
        </w:rPr>
        <w:t>Nyomonkövetési, ellenőrzési és kontrollkövetelmények, beleértve a következőket:</w:t>
      </w:r>
    </w:p>
    <w:p w14:paraId="0BB88356" w14:textId="2BC8F4B7" w:rsidR="00D65CB4" w:rsidRPr="00BC4EE7" w:rsidRDefault="00572307">
      <w:pPr>
        <w:pStyle w:val="P68B1DB1-ListParagraph6"/>
        <w:numPr>
          <w:ilvl w:val="1"/>
          <w:numId w:val="734"/>
        </w:numPr>
        <w:rPr>
          <w:rFonts w:eastAsia="Times New Roman" w:cs="Times New Roman"/>
          <w:noProof/>
        </w:rPr>
      </w:pPr>
      <w:r w:rsidRPr="00BC4EE7">
        <w:rPr>
          <w:rFonts w:cs="Times New Roman"/>
          <w:noProof/>
        </w:rPr>
        <w:t>A végrehajtó partner által a mozgósított beruházásról való jelentéstételhez használt monitoringrendszer leírása.</w:t>
      </w:r>
    </w:p>
    <w:p w14:paraId="409332BD" w14:textId="1D181889" w:rsidR="00D65CB4" w:rsidRPr="00BC4EE7" w:rsidRDefault="00572307">
      <w:pPr>
        <w:pStyle w:val="P68B1DB1-ListParagraph6"/>
        <w:numPr>
          <w:ilvl w:val="1"/>
          <w:numId w:val="734"/>
        </w:numPr>
        <w:rPr>
          <w:rFonts w:eastAsia="Times New Roman" w:cs="Times New Roman"/>
          <w:noProof/>
        </w:rPr>
      </w:pPr>
      <w:r w:rsidRPr="00BC4EE7">
        <w:rPr>
          <w:rFonts w:cs="Times New Roman"/>
          <w:noProof/>
        </w:rPr>
        <w:t xml:space="preserve">A végrehajtó partner azon eljárásainak leírása, amelyek biztosítják a csalás, a korrupció és az összeférhetetlenség megelőzését, felderítését és korrekcióját. </w:t>
      </w:r>
    </w:p>
    <w:p w14:paraId="6A0E54D9" w14:textId="2BC8F4B7" w:rsidR="00D65CB4" w:rsidRPr="00BC4EE7" w:rsidRDefault="00572307">
      <w:pPr>
        <w:pStyle w:val="P68B1DB1-ListParagraph6"/>
        <w:numPr>
          <w:ilvl w:val="1"/>
          <w:numId w:val="734"/>
        </w:numPr>
        <w:rPr>
          <w:rFonts w:eastAsia="Times New Roman" w:cs="Times New Roman"/>
          <w:noProof/>
        </w:rPr>
      </w:pPr>
      <w:r w:rsidRPr="00BC4EE7">
        <w:rPr>
          <w:rFonts w:cs="Times New Roman"/>
          <w:noProof/>
        </w:rPr>
        <w:t>Az egyes műveletek támogathatóságának a végrehajtási megállapodásban meghatározott követelményekkel összhangban történő, az egyes műveletek finanszírozására való kötelezettségvállalást megelőző ellenőrzésére vonatkozó kötelezettség.</w:t>
      </w:r>
    </w:p>
    <w:p w14:paraId="42DA0104" w14:textId="56D387C0" w:rsidR="00D65CB4" w:rsidRPr="00BC4EE7" w:rsidRDefault="00572307">
      <w:pPr>
        <w:pStyle w:val="P68B1DB1-ListParagraph6"/>
        <w:numPr>
          <w:ilvl w:val="1"/>
          <w:numId w:val="734"/>
        </w:numPr>
        <w:rPr>
          <w:rFonts w:eastAsia="Times New Roman" w:cs="Times New Roman"/>
          <w:noProof/>
        </w:rPr>
      </w:pPr>
      <w:r w:rsidRPr="00BC4EE7">
        <w:rPr>
          <w:rFonts w:cs="Times New Roman"/>
          <w:noProof/>
        </w:rPr>
        <w:t xml:space="preserve">A kockázatalapú utólagos ellenőrzések elvégzésére vonatkozó kötelezettség a SEPIDES ellenőrzési tervével összhangban. Ezeknek az ellenőrzéseknek meg kell győződniük i. arról, hogy az ellenőrzési rendszerek hatékonyak-e, beleértve a csalás, a korrupció és az összeférhetetlenség felderítését; a DNSH-elvnek, az állami támogatásokra vonatkozó szabályoknak, valamint az éghajlat-politikai és digitális célkitűzésekre vonatkozó követelményeknek való megfelelés; és iii. betartották azt a követelményt, amely szerint a közvetítőnek ellenőriznie kell, hogy a végső kedvezményezett felelősségteljes nyilatkozatot nyújt-e be annak ellenőrzése érdekében, hogy ugyanazt a költséget egy másik uniós eszköz fedezi-e.   Az ellenőrzések azt is ellenőrzik, hogy az ügyletek jogszerűek-e, valamint hogy tiszteletben tartják-e az eszközt és a finanszírozási megállapodásokat létrehozó rendeletben és kapcsolódó dokumentumokban foglalt feltételeket. </w:t>
      </w:r>
    </w:p>
    <w:p w14:paraId="76700374" w14:textId="3A118CB2" w:rsidR="00D65CB4" w:rsidRPr="00BC4EE7" w:rsidRDefault="00572307">
      <w:pPr>
        <w:pStyle w:val="P68B1DB1-ListParagraph6"/>
        <w:numPr>
          <w:ilvl w:val="0"/>
          <w:numId w:val="734"/>
        </w:numPr>
        <w:rPr>
          <w:rFonts w:eastAsia="Times New Roman" w:cs="Times New Roman"/>
          <w:noProof/>
        </w:rPr>
      </w:pPr>
      <w:r w:rsidRPr="00BC4EE7">
        <w:rPr>
          <w:rFonts w:cs="Times New Roman"/>
          <w:noProof/>
        </w:rPr>
        <w:t xml:space="preserve">A pénzügyi közvetítők kiválasztására vonatkozó követelmények: A SEPIDES nyílt, átlátható és megkülönböztetésmentes módon választja ki a pénzügyi közvetítőket. A pénzügyi közvetítőket érintő összeférhetetlenség hiányára vonatkozó ellenőrzéseket előzetesen el kell végezni az informatikai rendszeren, például a Minerván keresztül valamennyi érintett pénzügyi szereplő esetében.  </w:t>
      </w:r>
    </w:p>
    <w:p w14:paraId="64409DA5" w14:textId="4096CEFE" w:rsidR="00D65CB4" w:rsidRPr="00BC4EE7" w:rsidRDefault="00572307">
      <w:pPr>
        <w:pStyle w:val="P68B1DB1-ListParagraph6"/>
        <w:numPr>
          <w:ilvl w:val="0"/>
          <w:numId w:val="734"/>
        </w:numPr>
        <w:rPr>
          <w:rFonts w:eastAsia="Times New Roman" w:cs="Times New Roman"/>
          <w:noProof/>
        </w:rPr>
      </w:pPr>
      <w:r w:rsidRPr="00BC4EE7">
        <w:rPr>
          <w:rFonts w:cs="Times New Roman"/>
          <w:noProof/>
        </w:rPr>
        <w:t xml:space="preserve">Finanszírozási megállapodások aláírására vonatkozó kötelezettség: </w:t>
      </w:r>
      <w:bookmarkStart w:id="24" w:name="_Hlk145660075"/>
      <w:r w:rsidRPr="00BC4EE7">
        <w:rPr>
          <w:rFonts w:cs="Times New Roman"/>
          <w:noProof/>
        </w:rPr>
        <w:t>A SEPIDES finanszírozási megállapodásokat ír alá a pénzügyi közvetítőkkel az eszközt létrehozó kapcsolódó dokumentumok részeként benyújtandó kulcsfontosságú követelményekkel összhangban.</w:t>
      </w:r>
      <w:bookmarkEnd w:id="24"/>
      <w:r w:rsidRPr="00BC4EE7">
        <w:rPr>
          <w:rFonts w:cs="Times New Roman"/>
          <w:noProof/>
        </w:rPr>
        <w:t xml:space="preserve"> A finanszírozási megállapodás fő követelményeinek magukban kell foglalniuk mindazokat a követelményeket, amelyek alapján az eszköz működik, beleértve a következőket:  </w:t>
      </w:r>
    </w:p>
    <w:p w14:paraId="1989935B" w14:textId="2BC8F4B7" w:rsidR="00D65CB4" w:rsidRPr="00BC4EE7" w:rsidRDefault="00572307">
      <w:pPr>
        <w:pStyle w:val="P68B1DB1-ListParagraph6"/>
        <w:numPr>
          <w:ilvl w:val="1"/>
          <w:numId w:val="734"/>
        </w:numPr>
        <w:rPr>
          <w:rFonts w:eastAsia="Times New Roman" w:cs="Times New Roman"/>
          <w:noProof/>
        </w:rPr>
      </w:pPr>
      <w:r w:rsidRPr="00BC4EE7">
        <w:rPr>
          <w:rFonts w:cs="Times New Roman"/>
          <w:noProof/>
        </w:rPr>
        <w:t xml:space="preserve">A pénzügyi közvetítő azon kötelezettsége, hogy döntéseit </w:t>
      </w:r>
      <w:r w:rsidRPr="00BC4EE7">
        <w:rPr>
          <w:rFonts w:cs="Times New Roman"/>
          <w:i/>
          <w:noProof/>
        </w:rPr>
        <w:t>értelemszerűen</w:t>
      </w:r>
      <w:r w:rsidRPr="00BC4EE7">
        <w:rPr>
          <w:rFonts w:cs="Times New Roman"/>
          <w:noProof/>
        </w:rPr>
        <w:t xml:space="preserve"> a fent meghatározott döntéshozatali és beruházási politikai követelményeknek megfelelően hozza meg, beleértve a DNSH-elv tiszteletben tartásával kapcsolatos követelményeket is. </w:t>
      </w:r>
    </w:p>
    <w:p w14:paraId="6539DE4B" w14:textId="2BC8F4B7" w:rsidR="00D65CB4" w:rsidRPr="00BC4EE7" w:rsidRDefault="00572307">
      <w:pPr>
        <w:pStyle w:val="P68B1DB1-ListParagraph6"/>
        <w:numPr>
          <w:ilvl w:val="1"/>
          <w:numId w:val="734"/>
        </w:numPr>
        <w:rPr>
          <w:rFonts w:eastAsia="Times New Roman" w:cs="Times New Roman"/>
          <w:noProof/>
        </w:rPr>
      </w:pPr>
      <w:r w:rsidRPr="00BC4EE7">
        <w:rPr>
          <w:rFonts w:cs="Times New Roman"/>
          <w:noProof/>
        </w:rPr>
        <w:t xml:space="preserve">A pénzügyi közvetítő által létrehozandó nyomonkövetési, ellenőrzési és kontrollkeret leírása, amelyre </w:t>
      </w:r>
      <w:r w:rsidRPr="00BC4EE7">
        <w:rPr>
          <w:rFonts w:cs="Times New Roman"/>
          <w:i/>
          <w:noProof/>
        </w:rPr>
        <w:t>értelemszerűen</w:t>
      </w:r>
      <w:r w:rsidRPr="00BC4EE7">
        <w:rPr>
          <w:rFonts w:cs="Times New Roman"/>
          <w:noProof/>
        </w:rPr>
        <w:t xml:space="preserve"> a fent meghatározott valamennyi nyomonkövetési, ellenőrzési és kontrollkövetelmény vonatkozik.  </w:t>
      </w:r>
    </w:p>
    <w:p w14:paraId="41DA3C74" w14:textId="544F9D56" w:rsidR="00D65CB4" w:rsidRPr="00BC4EE7" w:rsidRDefault="00572307">
      <w:pPr>
        <w:pStyle w:val="P68B1DB1-ListParagraph6"/>
        <w:ind w:left="0"/>
        <w:rPr>
          <w:rFonts w:eastAsia="Times New Roman" w:cs="Times New Roman"/>
          <w:noProof/>
        </w:rPr>
      </w:pPr>
      <w:r w:rsidRPr="00BC4EE7">
        <w:rPr>
          <w:rFonts w:cs="Times New Roman"/>
          <w:noProof/>
        </w:rPr>
        <w:t>Az intézkedés végrehajtását 2026. augusztus 31-ig be kell fejezni.</w:t>
      </w:r>
    </w:p>
    <w:bookmarkEnd w:id="20"/>
    <w:p w14:paraId="524E8F38" w14:textId="77777777" w:rsidR="00D65CB4" w:rsidRPr="00BC4EE7" w:rsidRDefault="00572307">
      <w:pPr>
        <w:spacing w:line="240" w:lineRule="auto"/>
        <w:ind w:left="720"/>
        <w:rPr>
          <w:rFonts w:ascii="Times New Roman" w:hAnsi="Times New Roman" w:cs="Times New Roman"/>
          <w:b/>
          <w:noProof/>
          <w:sz w:val="24"/>
          <w:u w:val="single"/>
        </w:rPr>
      </w:pPr>
      <w:r w:rsidRPr="00BC4EE7">
        <w:rPr>
          <w:rFonts w:ascii="Times New Roman" w:hAnsi="Times New Roman" w:cs="Times New Roman"/>
          <w:b/>
          <w:noProof/>
          <w:sz w:val="24"/>
          <w:u w:val="single"/>
        </w:rPr>
        <w:t xml:space="preserve">K.4.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A hiteltámogatás nyomon követésére és végrehajtására vonatkozó mérföldkövek, célok, mutatók és ütemterv</w:t>
      </w:r>
    </w:p>
    <w:p w14:paraId="2AD937C7" w14:textId="418509D2" w:rsidR="00D65CB4" w:rsidRPr="00BC4EE7" w:rsidRDefault="00572307">
      <w:pPr>
        <w:pStyle w:val="P68B1DB1-Normal17"/>
        <w:spacing w:line="240" w:lineRule="auto"/>
        <w:rPr>
          <w:rFonts w:cs="Times New Roman"/>
          <w:noProof/>
        </w:rPr>
      </w:pPr>
      <w:r w:rsidRPr="00BC4EE7">
        <w:rPr>
          <w:rFonts w:cs="Times New Roman"/>
          <w:noProof/>
        </w:rPr>
        <w:t xml:space="preserve">Táblázat alább. Az összes mutató esetében a kiindulási időpont 2020. február 1., kivéve, ha az intézkedés leírása másként jelzi. Az L17-re vonatkozó táblázatban szereplő összegek nem tartalmazzák a héát. </w:t>
      </w:r>
    </w:p>
    <w:p w14:paraId="6A3D9E5D" w14:textId="77777777" w:rsidR="00D65CB4" w:rsidRPr="00BC4EE7" w:rsidRDefault="00D65CB4">
      <w:pPr>
        <w:spacing w:before="120" w:after="120" w:line="240" w:lineRule="auto"/>
        <w:jc w:val="both"/>
        <w:rPr>
          <w:rStyle w:val="eop"/>
          <w:rFonts w:ascii="Times New Roman" w:hAnsi="Times New Roman" w:cs="Times New Roman"/>
          <w:noProof/>
          <w:shd w:val="clear" w:color="auto" w:fill="FFFFFF"/>
        </w:rPr>
        <w:sectPr w:rsidR="00D65CB4" w:rsidRPr="00BC4EE7" w:rsidSect="00B511EF">
          <w:headerReference w:type="even" r:id="rId237"/>
          <w:headerReference w:type="default" r:id="rId238"/>
          <w:footerReference w:type="even" r:id="rId239"/>
          <w:footerReference w:type="default" r:id="rId240"/>
          <w:headerReference w:type="first" r:id="rId241"/>
          <w:footerReference w:type="first" r:id="rId242"/>
          <w:pgSz w:w="11907" w:h="16839"/>
          <w:pgMar w:top="1134" w:right="1134" w:bottom="1134" w:left="1134" w:header="567" w:footer="567" w:gutter="0"/>
          <w:cols w:space="720"/>
          <w:docGrid w:linePitch="360"/>
        </w:sectPr>
      </w:pPr>
    </w:p>
    <w:tbl>
      <w:tblPr>
        <w:tblW w:w="15273"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22"/>
        <w:gridCol w:w="880"/>
        <w:gridCol w:w="1134"/>
        <w:gridCol w:w="2262"/>
        <w:gridCol w:w="1332"/>
        <w:gridCol w:w="686"/>
        <w:gridCol w:w="974"/>
        <w:gridCol w:w="896"/>
        <w:gridCol w:w="412"/>
        <w:gridCol w:w="812"/>
        <w:gridCol w:w="5063"/>
      </w:tblGrid>
      <w:tr w:rsidR="00D65CB4" w:rsidRPr="00BC4EE7" w14:paraId="2616F5E1" w14:textId="77777777" w:rsidTr="00481CF8">
        <w:trPr>
          <w:trHeight w:val="309"/>
          <w:tblHeader/>
        </w:trPr>
        <w:tc>
          <w:tcPr>
            <w:tcW w:w="822" w:type="dxa"/>
            <w:vMerge w:val="restart"/>
            <w:shd w:val="clear" w:color="auto" w:fill="C6D9F1" w:themeFill="text2" w:themeFillTint="33"/>
            <w:noWrap/>
            <w:vAlign w:val="center"/>
          </w:tcPr>
          <w:p w14:paraId="3AD07B5D"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Szám</w:t>
            </w:r>
          </w:p>
        </w:tc>
        <w:tc>
          <w:tcPr>
            <w:tcW w:w="880" w:type="dxa"/>
            <w:vMerge w:val="restart"/>
            <w:shd w:val="clear" w:color="auto" w:fill="C6D9F1" w:themeFill="text2" w:themeFillTint="33"/>
            <w:noWrap/>
            <w:vAlign w:val="center"/>
          </w:tcPr>
          <w:p w14:paraId="6B19678A"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Intézkedés</w:t>
            </w:r>
          </w:p>
        </w:tc>
        <w:tc>
          <w:tcPr>
            <w:tcW w:w="1134" w:type="dxa"/>
            <w:vMerge w:val="restart"/>
            <w:shd w:val="clear" w:color="auto" w:fill="C6D9F1" w:themeFill="text2" w:themeFillTint="33"/>
            <w:noWrap/>
            <w:vAlign w:val="center"/>
          </w:tcPr>
          <w:p w14:paraId="48A60148" w14:textId="77777777" w:rsidR="00D65CB4" w:rsidRPr="00BC4EE7" w:rsidRDefault="00572307">
            <w:pPr>
              <w:spacing w:after="0" w:line="240" w:lineRule="auto"/>
              <w:jc w:val="center"/>
              <w:rPr>
                <w:rFonts w:ascii="Times New Roman" w:hAnsi="Times New Roman" w:cs="Times New Roman"/>
                <w:b/>
                <w:noProof/>
                <w:sz w:val="18"/>
              </w:rPr>
            </w:pPr>
            <w:r w:rsidRPr="00BC4EE7">
              <w:rPr>
                <w:rFonts w:ascii="Times New Roman" w:hAnsi="Times New Roman" w:cs="Times New Roman"/>
                <w:b/>
                <w:noProof/>
                <w:sz w:val="18"/>
              </w:rPr>
              <w:t>Mérföldkő</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b/>
                <w:noProof/>
                <w:sz w:val="18"/>
              </w:rPr>
              <w:t xml:space="preserve"> /Cél</w:t>
            </w:r>
          </w:p>
        </w:tc>
        <w:tc>
          <w:tcPr>
            <w:tcW w:w="2262" w:type="dxa"/>
            <w:vMerge w:val="restart"/>
            <w:shd w:val="clear" w:color="auto" w:fill="C6D9F1" w:themeFill="text2" w:themeFillTint="33"/>
            <w:noWrap/>
            <w:vAlign w:val="center"/>
          </w:tcPr>
          <w:p w14:paraId="238C1394"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Név</w:t>
            </w:r>
          </w:p>
        </w:tc>
        <w:tc>
          <w:tcPr>
            <w:tcW w:w="1332" w:type="dxa"/>
            <w:vMerge w:val="restart"/>
            <w:shd w:val="clear" w:color="auto" w:fill="C6D9F1" w:themeFill="text2" w:themeFillTint="33"/>
            <w:noWrap/>
            <w:vAlign w:val="center"/>
          </w:tcPr>
          <w:p w14:paraId="4FD7E83C"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mérföldkövek minőségi mutatója</w:t>
            </w:r>
          </w:p>
        </w:tc>
        <w:tc>
          <w:tcPr>
            <w:tcW w:w="2556" w:type="dxa"/>
            <w:gridSpan w:val="3"/>
            <w:shd w:val="clear" w:color="auto" w:fill="C6D9F1" w:themeFill="text2" w:themeFillTint="33"/>
            <w:noWrap/>
            <w:vAlign w:val="center"/>
          </w:tcPr>
          <w:p w14:paraId="28F52CFA"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célérték mennyiségi mutatója</w:t>
            </w:r>
          </w:p>
        </w:tc>
        <w:tc>
          <w:tcPr>
            <w:tcW w:w="1224" w:type="dxa"/>
            <w:gridSpan w:val="2"/>
            <w:shd w:val="clear" w:color="auto" w:fill="C6D9F1" w:themeFill="text2" w:themeFillTint="33"/>
            <w:noWrap/>
            <w:vAlign w:val="center"/>
          </w:tcPr>
          <w:p w14:paraId="60CB2ADD"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Idő</w:t>
            </w:r>
          </w:p>
        </w:tc>
        <w:tc>
          <w:tcPr>
            <w:tcW w:w="5063" w:type="dxa"/>
            <w:vMerge w:val="restart"/>
            <w:shd w:val="clear" w:color="auto" w:fill="C6D9F1" w:themeFill="text2" w:themeFillTint="33"/>
            <w:noWrap/>
            <w:vAlign w:val="center"/>
          </w:tcPr>
          <w:p w14:paraId="6D385B64"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Az egyes mérföldkövek és célértékek leírása</w:t>
            </w:r>
          </w:p>
        </w:tc>
      </w:tr>
      <w:tr w:rsidR="00D65CB4" w:rsidRPr="00BC4EE7" w14:paraId="6E7F24D4" w14:textId="77777777" w:rsidTr="00481CF8">
        <w:trPr>
          <w:trHeight w:val="309"/>
          <w:tblHeader/>
        </w:trPr>
        <w:tc>
          <w:tcPr>
            <w:tcW w:w="822" w:type="dxa"/>
            <w:vMerge/>
            <w:shd w:val="clear" w:color="auto" w:fill="C6D9F1" w:themeFill="text2" w:themeFillTint="33"/>
            <w:noWrap/>
          </w:tcPr>
          <w:p w14:paraId="59E3779A" w14:textId="77777777" w:rsidR="00D65CB4" w:rsidRPr="00BC4EE7" w:rsidRDefault="00D65CB4">
            <w:pPr>
              <w:spacing w:after="0" w:line="240" w:lineRule="auto"/>
              <w:jc w:val="center"/>
              <w:rPr>
                <w:rFonts w:ascii="Times New Roman" w:hAnsi="Times New Roman" w:cs="Times New Roman"/>
                <w:b/>
                <w:noProof/>
                <w:sz w:val="18"/>
              </w:rPr>
            </w:pPr>
          </w:p>
        </w:tc>
        <w:tc>
          <w:tcPr>
            <w:tcW w:w="880" w:type="dxa"/>
            <w:vMerge/>
            <w:shd w:val="clear" w:color="auto" w:fill="C6D9F1" w:themeFill="text2" w:themeFillTint="33"/>
            <w:noWrap/>
          </w:tcPr>
          <w:p w14:paraId="06703800" w14:textId="77777777" w:rsidR="00D65CB4" w:rsidRPr="00BC4EE7" w:rsidRDefault="00D65CB4">
            <w:pPr>
              <w:spacing w:after="0" w:line="240" w:lineRule="auto"/>
              <w:jc w:val="center"/>
              <w:rPr>
                <w:rFonts w:ascii="Times New Roman" w:hAnsi="Times New Roman" w:cs="Times New Roman"/>
                <w:b/>
                <w:noProof/>
                <w:sz w:val="18"/>
              </w:rPr>
            </w:pPr>
          </w:p>
        </w:tc>
        <w:tc>
          <w:tcPr>
            <w:tcW w:w="1134" w:type="dxa"/>
            <w:vMerge/>
            <w:shd w:val="clear" w:color="auto" w:fill="C6D9F1" w:themeFill="text2" w:themeFillTint="33"/>
            <w:noWrap/>
          </w:tcPr>
          <w:p w14:paraId="1A20FE71" w14:textId="77777777" w:rsidR="00D65CB4" w:rsidRPr="00BC4EE7" w:rsidRDefault="00D65CB4">
            <w:pPr>
              <w:spacing w:after="0" w:line="240" w:lineRule="auto"/>
              <w:jc w:val="center"/>
              <w:rPr>
                <w:rFonts w:ascii="Times New Roman" w:hAnsi="Times New Roman" w:cs="Times New Roman"/>
                <w:b/>
                <w:noProof/>
                <w:sz w:val="18"/>
              </w:rPr>
            </w:pPr>
          </w:p>
        </w:tc>
        <w:tc>
          <w:tcPr>
            <w:tcW w:w="2262" w:type="dxa"/>
            <w:vMerge/>
            <w:shd w:val="clear" w:color="auto" w:fill="C6D9F1" w:themeFill="text2" w:themeFillTint="33"/>
            <w:noWrap/>
          </w:tcPr>
          <w:p w14:paraId="7ECDEF7E" w14:textId="77777777" w:rsidR="00D65CB4" w:rsidRPr="00BC4EE7" w:rsidRDefault="00D65CB4">
            <w:pPr>
              <w:spacing w:after="0" w:line="240" w:lineRule="auto"/>
              <w:rPr>
                <w:rFonts w:ascii="Times New Roman" w:hAnsi="Times New Roman" w:cs="Times New Roman"/>
                <w:b/>
                <w:noProof/>
                <w:sz w:val="18"/>
              </w:rPr>
            </w:pPr>
          </w:p>
        </w:tc>
        <w:tc>
          <w:tcPr>
            <w:tcW w:w="1332" w:type="dxa"/>
            <w:vMerge/>
            <w:shd w:val="clear" w:color="auto" w:fill="C6D9F1" w:themeFill="text2" w:themeFillTint="33"/>
            <w:noWrap/>
          </w:tcPr>
          <w:p w14:paraId="3D69A8B0" w14:textId="77777777" w:rsidR="00D65CB4" w:rsidRPr="00BC4EE7" w:rsidRDefault="00D65CB4">
            <w:pPr>
              <w:spacing w:after="0" w:line="240" w:lineRule="auto"/>
              <w:jc w:val="center"/>
              <w:rPr>
                <w:rFonts w:ascii="Times New Roman" w:hAnsi="Times New Roman" w:cs="Times New Roman"/>
                <w:b/>
                <w:noProof/>
                <w:sz w:val="18"/>
              </w:rPr>
            </w:pPr>
          </w:p>
        </w:tc>
        <w:tc>
          <w:tcPr>
            <w:tcW w:w="686" w:type="dxa"/>
            <w:shd w:val="clear" w:color="auto" w:fill="C6D9F1" w:themeFill="text2" w:themeFillTint="33"/>
            <w:noWrap/>
            <w:vAlign w:val="center"/>
          </w:tcPr>
          <w:p w14:paraId="197941C7"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Egység</w:t>
            </w:r>
          </w:p>
        </w:tc>
        <w:tc>
          <w:tcPr>
            <w:tcW w:w="974" w:type="dxa"/>
            <w:shd w:val="clear" w:color="auto" w:fill="C6D9F1" w:themeFill="text2" w:themeFillTint="33"/>
            <w:noWrap/>
            <w:vAlign w:val="center"/>
          </w:tcPr>
          <w:p w14:paraId="5BDD40F7" w14:textId="7596D4CD" w:rsidR="00D65CB4" w:rsidRPr="00BC4EE7" w:rsidRDefault="00572307">
            <w:pPr>
              <w:pStyle w:val="P68B1DB1-Normal8"/>
              <w:spacing w:after="0" w:line="240" w:lineRule="auto"/>
              <w:jc w:val="center"/>
              <w:rPr>
                <w:rFonts w:cs="Times New Roman"/>
                <w:noProof/>
              </w:rPr>
            </w:pPr>
            <w:r w:rsidRPr="00BC4EE7">
              <w:rPr>
                <w:rFonts w:cs="Times New Roman"/>
                <w:noProof/>
              </w:rPr>
              <w:t>Kiindulási</w:t>
            </w:r>
          </w:p>
        </w:tc>
        <w:tc>
          <w:tcPr>
            <w:tcW w:w="896" w:type="dxa"/>
            <w:shd w:val="clear" w:color="auto" w:fill="C6D9F1" w:themeFill="text2" w:themeFillTint="33"/>
            <w:noWrap/>
            <w:vAlign w:val="center"/>
          </w:tcPr>
          <w:p w14:paraId="52121D1F"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Cél</w:t>
            </w:r>
          </w:p>
        </w:tc>
        <w:tc>
          <w:tcPr>
            <w:tcW w:w="412" w:type="dxa"/>
            <w:shd w:val="clear" w:color="auto" w:fill="C6D9F1" w:themeFill="text2" w:themeFillTint="33"/>
            <w:noWrap/>
            <w:vAlign w:val="center"/>
          </w:tcPr>
          <w:p w14:paraId="1BF3FC7D"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Q</w:t>
            </w:r>
          </w:p>
        </w:tc>
        <w:tc>
          <w:tcPr>
            <w:tcW w:w="812" w:type="dxa"/>
            <w:shd w:val="clear" w:color="auto" w:fill="C6D9F1" w:themeFill="text2" w:themeFillTint="33"/>
            <w:noWrap/>
            <w:vAlign w:val="center"/>
          </w:tcPr>
          <w:p w14:paraId="7A2A1329"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Éve</w:t>
            </w:r>
          </w:p>
        </w:tc>
        <w:tc>
          <w:tcPr>
            <w:tcW w:w="5063" w:type="dxa"/>
            <w:vMerge/>
            <w:shd w:val="clear" w:color="auto" w:fill="C6D9F1" w:themeFill="text2" w:themeFillTint="33"/>
            <w:noWrap/>
          </w:tcPr>
          <w:p w14:paraId="3B2DFE3C" w14:textId="77777777" w:rsidR="00D65CB4" w:rsidRPr="00BC4EE7" w:rsidRDefault="00D65CB4">
            <w:pPr>
              <w:spacing w:after="0" w:line="240" w:lineRule="auto"/>
              <w:rPr>
                <w:rFonts w:ascii="Times New Roman" w:hAnsi="Times New Roman" w:cs="Times New Roman"/>
                <w:b/>
                <w:noProof/>
                <w:sz w:val="18"/>
              </w:rPr>
            </w:pPr>
          </w:p>
        </w:tc>
      </w:tr>
      <w:tr w:rsidR="00D65CB4" w:rsidRPr="00BC4EE7" w14:paraId="563278B1" w14:textId="77777777" w:rsidTr="00481CF8">
        <w:trPr>
          <w:trHeight w:val="309"/>
        </w:trPr>
        <w:tc>
          <w:tcPr>
            <w:tcW w:w="822" w:type="dxa"/>
            <w:shd w:val="clear" w:color="auto" w:fill="C6EFCE"/>
            <w:noWrap/>
          </w:tcPr>
          <w:p w14:paraId="1EB4BB79" w14:textId="69640D2E"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L89</w:t>
            </w:r>
          </w:p>
        </w:tc>
        <w:tc>
          <w:tcPr>
            <w:tcW w:w="880" w:type="dxa"/>
            <w:shd w:val="clear" w:color="auto" w:fill="C6EFCE"/>
            <w:noWrap/>
          </w:tcPr>
          <w:p w14:paraId="1688DE83" w14:textId="3E5A978B"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C11.I6</w:t>
            </w:r>
          </w:p>
        </w:tc>
        <w:tc>
          <w:tcPr>
            <w:tcW w:w="1134" w:type="dxa"/>
            <w:shd w:val="clear" w:color="auto" w:fill="C6EFCE"/>
            <w:noWrap/>
          </w:tcPr>
          <w:p w14:paraId="1BCCFAFE" w14:textId="347496AC"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2262" w:type="dxa"/>
            <w:shd w:val="clear" w:color="auto" w:fill="C6EFCE"/>
            <w:noWrap/>
          </w:tcPr>
          <w:p w14:paraId="21C5ACFB" w14:textId="77C522E4" w:rsidR="00D65CB4" w:rsidRPr="00BC4EE7" w:rsidRDefault="00572307">
            <w:pPr>
              <w:pStyle w:val="P68B1DB1-Normal12"/>
              <w:spacing w:after="0" w:line="240" w:lineRule="auto"/>
              <w:rPr>
                <w:rFonts w:eastAsia="Times New Roman" w:cs="Times New Roman"/>
                <w:noProof/>
              </w:rPr>
            </w:pPr>
            <w:r w:rsidRPr="00BC4EE7">
              <w:rPr>
                <w:rFonts w:cs="Times New Roman"/>
                <w:noProof/>
              </w:rPr>
              <w:t>Projektek odaítélése a közigazgatás kiberbiztonsági képességeinek megerősítésére a kiberfenyegetések megelőzése, védelme, észlelése és elhárítása terén (kiberbiztonsági program)</w:t>
            </w:r>
          </w:p>
        </w:tc>
        <w:tc>
          <w:tcPr>
            <w:tcW w:w="1332" w:type="dxa"/>
            <w:shd w:val="clear" w:color="auto" w:fill="C6EFCE"/>
            <w:noWrap/>
          </w:tcPr>
          <w:p w14:paraId="3789D055" w14:textId="055709F3"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Közzététel a hivatalos közlönyben vagy a közbeszerzési platformon</w:t>
            </w:r>
          </w:p>
        </w:tc>
        <w:tc>
          <w:tcPr>
            <w:tcW w:w="686" w:type="dxa"/>
            <w:shd w:val="clear" w:color="auto" w:fill="C6EFCE"/>
            <w:noWrap/>
          </w:tcPr>
          <w:p w14:paraId="3D0A1ABB" w14:textId="77256AEB"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Millió EUR</w:t>
            </w:r>
          </w:p>
        </w:tc>
        <w:tc>
          <w:tcPr>
            <w:tcW w:w="974" w:type="dxa"/>
            <w:shd w:val="clear" w:color="auto" w:fill="C6EFCE"/>
            <w:noWrap/>
          </w:tcPr>
          <w:p w14:paraId="47B04735" w14:textId="7183A9B0"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0</w:t>
            </w:r>
          </w:p>
        </w:tc>
        <w:tc>
          <w:tcPr>
            <w:tcW w:w="896" w:type="dxa"/>
            <w:shd w:val="clear" w:color="auto" w:fill="C6EFCE"/>
            <w:noWrap/>
          </w:tcPr>
          <w:p w14:paraId="50A89CD6" w14:textId="71D776DD"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1 041</w:t>
            </w:r>
          </w:p>
        </w:tc>
        <w:tc>
          <w:tcPr>
            <w:tcW w:w="412" w:type="dxa"/>
            <w:shd w:val="clear" w:color="auto" w:fill="C6EFCE"/>
            <w:noWrap/>
          </w:tcPr>
          <w:p w14:paraId="6F959CC0" w14:textId="37A2F76B"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Q2</w:t>
            </w:r>
          </w:p>
        </w:tc>
        <w:tc>
          <w:tcPr>
            <w:tcW w:w="812" w:type="dxa"/>
            <w:shd w:val="clear" w:color="auto" w:fill="C6EFCE"/>
            <w:noWrap/>
          </w:tcPr>
          <w:p w14:paraId="59AB57E0" w14:textId="01FA9240"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2025</w:t>
            </w:r>
          </w:p>
        </w:tc>
        <w:tc>
          <w:tcPr>
            <w:tcW w:w="5063" w:type="dxa"/>
            <w:shd w:val="clear" w:color="auto" w:fill="C6EFCE"/>
            <w:noWrap/>
          </w:tcPr>
          <w:p w14:paraId="31E9175F" w14:textId="10028EF8" w:rsidR="00D65CB4" w:rsidRPr="00BC4EE7" w:rsidRDefault="00572307">
            <w:pPr>
              <w:pStyle w:val="P68B1DB1-Normal12"/>
              <w:spacing w:after="0" w:line="240" w:lineRule="auto"/>
              <w:rPr>
                <w:rFonts w:eastAsia="Times New Roman" w:cs="Times New Roman"/>
                <w:noProof/>
              </w:rPr>
            </w:pPr>
            <w:r w:rsidRPr="00BC4EE7">
              <w:rPr>
                <w:rFonts w:cs="Times New Roman"/>
                <w:noProof/>
              </w:rPr>
              <w:t>Legalább 1 041 525 000 EUR odaítélésének közzététele a Hivatalos Lapban vagy a közbeszerzési platformon a közigazgatás kiberbiztonsági képességeinek megerősítésére irányuló projektek keretében a kiberfenyegetések megelőzése, védelme, észlelése és elhárítása terén. Ezek a projektek a következő célkitűzések közül egy vagy több megvalósításához járulnak hozzá: i. kapacitásépítés a kiberfenyegetésekre való reagáláshoz; a stratégiai eszközök biztonságának és rezilienciájának biztosítása; a kiberbűnözéssel kapcsolatos nyomozási és büntetőeljárási kapacitások megerősítése; a kiberbiztonság fokozása a polgárok és a vállalkozások számára; v. a kiberbiztonsági ágazat fellendítése; és vi. kiberbiztonsági kultúra kialakítása.</w:t>
            </w:r>
          </w:p>
        </w:tc>
      </w:tr>
      <w:tr w:rsidR="00D65CB4" w:rsidRPr="00BC4EE7" w14:paraId="748067CB" w14:textId="77777777" w:rsidTr="00481CF8">
        <w:trPr>
          <w:trHeight w:val="309"/>
        </w:trPr>
        <w:tc>
          <w:tcPr>
            <w:tcW w:w="822" w:type="dxa"/>
            <w:shd w:val="clear" w:color="auto" w:fill="C6EFCE"/>
            <w:noWrap/>
          </w:tcPr>
          <w:p w14:paraId="30DF82E4" w14:textId="143F7966"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L17</w:t>
            </w:r>
          </w:p>
        </w:tc>
        <w:tc>
          <w:tcPr>
            <w:tcW w:w="880" w:type="dxa"/>
            <w:shd w:val="clear" w:color="auto" w:fill="C6EFCE"/>
            <w:noWrap/>
          </w:tcPr>
          <w:p w14:paraId="09AD2858" w14:textId="6220FCC5"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C11.I6</w:t>
            </w:r>
          </w:p>
        </w:tc>
        <w:tc>
          <w:tcPr>
            <w:tcW w:w="1134" w:type="dxa"/>
            <w:shd w:val="clear" w:color="auto" w:fill="C6EFCE"/>
            <w:noWrap/>
          </w:tcPr>
          <w:p w14:paraId="52F15E55" w14:textId="268DECAE"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2262" w:type="dxa"/>
            <w:shd w:val="clear" w:color="auto" w:fill="C6EFCE"/>
            <w:noWrap/>
          </w:tcPr>
          <w:p w14:paraId="10BCBCB9" w14:textId="2DBDA442" w:rsidR="00D65CB4" w:rsidRPr="00BC4EE7" w:rsidRDefault="00572307">
            <w:pPr>
              <w:pStyle w:val="P68B1DB1-Normal12"/>
              <w:spacing w:after="0" w:line="240" w:lineRule="auto"/>
              <w:rPr>
                <w:rFonts w:eastAsia="Times New Roman" w:cs="Times New Roman"/>
                <w:noProof/>
              </w:rPr>
            </w:pPr>
            <w:r w:rsidRPr="00BC4EE7">
              <w:rPr>
                <w:rFonts w:cs="Times New Roman"/>
                <w:noProof/>
              </w:rPr>
              <w:t>A közigazgatás kiberbiztonsági képességeinek megerősítését célzó projektek lezárása a kiberfenyegetések megelőzése, védelme, észlelése és elhárítása terén (kiberbiztonsági program)</w:t>
            </w:r>
          </w:p>
        </w:tc>
        <w:tc>
          <w:tcPr>
            <w:tcW w:w="1332" w:type="dxa"/>
            <w:shd w:val="clear" w:color="auto" w:fill="C6EFCE"/>
            <w:noWrap/>
          </w:tcPr>
          <w:p w14:paraId="33A0B084" w14:textId="77777777" w:rsidR="00D65CB4" w:rsidRPr="00BC4EE7" w:rsidRDefault="00D65CB4">
            <w:pPr>
              <w:spacing w:after="0" w:line="240" w:lineRule="auto"/>
              <w:jc w:val="center"/>
              <w:rPr>
                <w:rFonts w:ascii="Times New Roman" w:eastAsia="Times New Roman" w:hAnsi="Times New Roman" w:cs="Times New Roman"/>
                <w:noProof/>
                <w:sz w:val="18"/>
              </w:rPr>
            </w:pPr>
          </w:p>
        </w:tc>
        <w:tc>
          <w:tcPr>
            <w:tcW w:w="686" w:type="dxa"/>
            <w:shd w:val="clear" w:color="auto" w:fill="C6EFCE"/>
            <w:noWrap/>
          </w:tcPr>
          <w:p w14:paraId="36A09158" w14:textId="5F5331AB"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Millió EUR</w:t>
            </w:r>
          </w:p>
        </w:tc>
        <w:tc>
          <w:tcPr>
            <w:tcW w:w="974" w:type="dxa"/>
            <w:shd w:val="clear" w:color="auto" w:fill="C6EFCE"/>
            <w:noWrap/>
          </w:tcPr>
          <w:p w14:paraId="48F4AB32" w14:textId="15A56815"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0</w:t>
            </w:r>
          </w:p>
        </w:tc>
        <w:tc>
          <w:tcPr>
            <w:tcW w:w="896" w:type="dxa"/>
            <w:shd w:val="clear" w:color="auto" w:fill="C6EFCE"/>
            <w:noWrap/>
          </w:tcPr>
          <w:p w14:paraId="6D5868EA" w14:textId="3E874266"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1 041</w:t>
            </w:r>
          </w:p>
        </w:tc>
        <w:tc>
          <w:tcPr>
            <w:tcW w:w="412" w:type="dxa"/>
            <w:shd w:val="clear" w:color="auto" w:fill="C6EFCE"/>
            <w:noWrap/>
          </w:tcPr>
          <w:p w14:paraId="73BDCB58" w14:textId="7F19B5B1"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Q2</w:t>
            </w:r>
          </w:p>
        </w:tc>
        <w:tc>
          <w:tcPr>
            <w:tcW w:w="812" w:type="dxa"/>
            <w:shd w:val="clear" w:color="auto" w:fill="C6EFCE"/>
            <w:noWrap/>
          </w:tcPr>
          <w:p w14:paraId="532EF65D" w14:textId="185C4808"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2026</w:t>
            </w:r>
          </w:p>
        </w:tc>
        <w:tc>
          <w:tcPr>
            <w:tcW w:w="5063" w:type="dxa"/>
            <w:shd w:val="clear" w:color="auto" w:fill="C6EFCE"/>
            <w:noWrap/>
          </w:tcPr>
          <w:p w14:paraId="274410C8"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közigazgatás kiberbiztonsági képességeinek megerősítését célzó projektek lezárása a kiberfenyegetések megelőzése, védelme, észlelése és elhárítása terén, legalább 1 041 525 000 EUR értékben. Ezek a projektek a következő célkitűzések közül egy vagy több megvalósításához járulnak hozzá: i. kapacitásépítés a kiberfenyegetésekre való reagáláshoz; a stratégiai eszközök biztonságának és rezilienciájának biztosítása; a kiberbűnözéssel kapcsolatos nyomozási és büntetőeljárási kapacitások megerősítése; a kiberbiztonság fokozása a polgárok és a vállalkozások számára; v. a kiberbiztonsági ágazat fellendítése; és vi. kiberbiztonsági kultúra kialakítása.</w:t>
            </w:r>
          </w:p>
          <w:p w14:paraId="4BAE3051" w14:textId="77777777" w:rsidR="00D65CB4" w:rsidRPr="00BC4EE7" w:rsidRDefault="00D65CB4">
            <w:pPr>
              <w:spacing w:after="0" w:line="240" w:lineRule="auto"/>
              <w:rPr>
                <w:rFonts w:ascii="Times New Roman" w:eastAsia="Times New Roman" w:hAnsi="Times New Roman" w:cs="Times New Roman"/>
                <w:noProof/>
                <w:sz w:val="18"/>
              </w:rPr>
            </w:pPr>
          </w:p>
        </w:tc>
      </w:tr>
      <w:tr w:rsidR="00D65CB4" w:rsidRPr="00BC4EE7" w14:paraId="300EF90E" w14:textId="77777777" w:rsidTr="00481CF8">
        <w:trPr>
          <w:trHeight w:val="309"/>
        </w:trPr>
        <w:tc>
          <w:tcPr>
            <w:tcW w:w="822" w:type="dxa"/>
            <w:shd w:val="clear" w:color="auto" w:fill="C6EFCE"/>
            <w:noWrap/>
          </w:tcPr>
          <w:p w14:paraId="694D0EB1" w14:textId="1628BA02"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L18</w:t>
            </w:r>
          </w:p>
        </w:tc>
        <w:tc>
          <w:tcPr>
            <w:tcW w:w="880" w:type="dxa"/>
            <w:shd w:val="clear" w:color="auto" w:fill="C6EFCE"/>
            <w:noWrap/>
          </w:tcPr>
          <w:p w14:paraId="4C3987D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C11.I6</w:t>
            </w:r>
          </w:p>
        </w:tc>
        <w:tc>
          <w:tcPr>
            <w:tcW w:w="1134" w:type="dxa"/>
            <w:shd w:val="clear" w:color="auto" w:fill="C6EFCE"/>
            <w:noWrap/>
          </w:tcPr>
          <w:p w14:paraId="561C763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2262" w:type="dxa"/>
            <w:shd w:val="clear" w:color="auto" w:fill="C6EFCE"/>
            <w:noWrap/>
          </w:tcPr>
          <w:p w14:paraId="1CF08157" w14:textId="18A48FCA" w:rsidR="00D65CB4" w:rsidRPr="00BC4EE7" w:rsidRDefault="00572307">
            <w:pPr>
              <w:pStyle w:val="P68B1DB1-Normal12"/>
              <w:spacing w:after="0" w:line="240" w:lineRule="auto"/>
              <w:rPr>
                <w:rFonts w:eastAsia="Times New Roman" w:cs="Times New Roman"/>
                <w:noProof/>
              </w:rPr>
            </w:pPr>
            <w:r w:rsidRPr="00BC4EE7">
              <w:rPr>
                <w:rFonts w:cs="Times New Roman"/>
                <w:noProof/>
              </w:rPr>
              <w:t>Rendelet a Biztonsági és Rezilienciaépítési Alap létrehozásáról </w:t>
            </w:r>
          </w:p>
        </w:tc>
        <w:tc>
          <w:tcPr>
            <w:tcW w:w="1332" w:type="dxa"/>
            <w:shd w:val="clear" w:color="auto" w:fill="C6EFCE"/>
            <w:noWrap/>
          </w:tcPr>
          <w:p w14:paraId="2250FE67" w14:textId="72E0A992"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A rendelet hatálybalépése</w:t>
            </w:r>
          </w:p>
          <w:p w14:paraId="519E9A28" w14:textId="7D0E2291" w:rsidR="00D65CB4" w:rsidRPr="00BC4EE7" w:rsidRDefault="00D65CB4">
            <w:pPr>
              <w:spacing w:after="0" w:line="240" w:lineRule="auto"/>
              <w:jc w:val="center"/>
              <w:rPr>
                <w:rFonts w:ascii="Times New Roman" w:eastAsia="Times New Roman" w:hAnsi="Times New Roman" w:cs="Times New Roman"/>
                <w:noProof/>
                <w:sz w:val="18"/>
              </w:rPr>
            </w:pPr>
          </w:p>
        </w:tc>
        <w:tc>
          <w:tcPr>
            <w:tcW w:w="686" w:type="dxa"/>
            <w:shd w:val="clear" w:color="auto" w:fill="C6EFCE"/>
            <w:noWrap/>
          </w:tcPr>
          <w:p w14:paraId="4C8CC92C"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974" w:type="dxa"/>
            <w:shd w:val="clear" w:color="auto" w:fill="C6EFCE"/>
            <w:noWrap/>
          </w:tcPr>
          <w:p w14:paraId="500E7241"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896" w:type="dxa"/>
            <w:shd w:val="clear" w:color="auto" w:fill="C6EFCE"/>
            <w:noWrap/>
          </w:tcPr>
          <w:p w14:paraId="5541F636"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412" w:type="dxa"/>
            <w:shd w:val="clear" w:color="auto" w:fill="C6EFCE"/>
            <w:noWrap/>
          </w:tcPr>
          <w:p w14:paraId="5E8F6436" w14:textId="7537AC60"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Q2 </w:t>
            </w:r>
          </w:p>
        </w:tc>
        <w:tc>
          <w:tcPr>
            <w:tcW w:w="812" w:type="dxa"/>
            <w:shd w:val="clear" w:color="auto" w:fill="C6EFCE"/>
            <w:noWrap/>
          </w:tcPr>
          <w:p w14:paraId="3E04495A" w14:textId="73DCC945"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2024</w:t>
            </w:r>
          </w:p>
        </w:tc>
        <w:tc>
          <w:tcPr>
            <w:tcW w:w="5063" w:type="dxa"/>
            <w:shd w:val="clear" w:color="auto" w:fill="C6EFCE"/>
            <w:noWrap/>
          </w:tcPr>
          <w:p w14:paraId="457EE473" w14:textId="3E1B2FB3" w:rsidR="00D65CB4" w:rsidRPr="00BC4EE7" w:rsidRDefault="00572307">
            <w:pPr>
              <w:pStyle w:val="P68B1DB1-Normal12"/>
              <w:spacing w:after="0" w:line="240" w:lineRule="auto"/>
              <w:rPr>
                <w:rFonts w:eastAsia="Times New Roman" w:cs="Times New Roman"/>
                <w:noProof/>
              </w:rPr>
            </w:pPr>
            <w:r w:rsidRPr="00BC4EE7">
              <w:rPr>
                <w:rFonts w:cs="Times New Roman"/>
                <w:noProof/>
              </w:rPr>
              <w:t>Az eszközt létrehozó rendelet és a kapcsolódó dokumentumok hatálybalépése.</w:t>
            </w:r>
          </w:p>
        </w:tc>
      </w:tr>
      <w:tr w:rsidR="00D65CB4" w:rsidRPr="00BC4EE7" w14:paraId="5298DA75" w14:textId="77777777" w:rsidTr="00481CF8">
        <w:trPr>
          <w:trHeight w:val="309"/>
        </w:trPr>
        <w:tc>
          <w:tcPr>
            <w:tcW w:w="822" w:type="dxa"/>
            <w:shd w:val="clear" w:color="auto" w:fill="C6EFCE"/>
            <w:noWrap/>
          </w:tcPr>
          <w:p w14:paraId="4975496E" w14:textId="7B7A06DD" w:rsidR="00D65CB4" w:rsidRPr="00BC4EE7" w:rsidRDefault="00572307">
            <w:pPr>
              <w:pStyle w:val="P68B1DB1-Normal12"/>
              <w:spacing w:after="0" w:line="240" w:lineRule="auto"/>
              <w:jc w:val="center"/>
              <w:rPr>
                <w:rFonts w:cs="Times New Roman"/>
                <w:noProof/>
              </w:rPr>
            </w:pPr>
            <w:r w:rsidRPr="00BC4EE7">
              <w:rPr>
                <w:rFonts w:cs="Times New Roman"/>
                <w:noProof/>
              </w:rPr>
              <w:t>L19</w:t>
            </w:r>
          </w:p>
        </w:tc>
        <w:tc>
          <w:tcPr>
            <w:tcW w:w="880" w:type="dxa"/>
            <w:shd w:val="clear" w:color="auto" w:fill="C6EFCE"/>
            <w:noWrap/>
          </w:tcPr>
          <w:p w14:paraId="338ED568"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C11.I6</w:t>
            </w:r>
          </w:p>
        </w:tc>
        <w:tc>
          <w:tcPr>
            <w:tcW w:w="1134" w:type="dxa"/>
            <w:shd w:val="clear" w:color="auto" w:fill="C6EFCE"/>
            <w:noWrap/>
          </w:tcPr>
          <w:p w14:paraId="099DC576"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2262" w:type="dxa"/>
            <w:shd w:val="clear" w:color="auto" w:fill="C6EFCE"/>
            <w:noWrap/>
          </w:tcPr>
          <w:p w14:paraId="04ACE8B5" w14:textId="4B2C7BE1" w:rsidR="00D65CB4" w:rsidRPr="00BC4EE7" w:rsidRDefault="00572307">
            <w:pPr>
              <w:pStyle w:val="P68B1DB1-Normal12"/>
              <w:spacing w:after="0" w:line="240" w:lineRule="auto"/>
              <w:rPr>
                <w:rFonts w:eastAsia="Times New Roman" w:cs="Times New Roman"/>
                <w:noProof/>
              </w:rPr>
            </w:pPr>
            <w:r w:rsidRPr="00BC4EE7">
              <w:rPr>
                <w:rFonts w:cs="Times New Roman"/>
                <w:noProof/>
              </w:rPr>
              <w:t>Biztonsági és Rezilienciaépítési Alap: A végső kedvezményezettekkel aláírt jogi finanszírozási megállapodások (beleértve a tőkealapokat is) (I)</w:t>
            </w:r>
          </w:p>
        </w:tc>
        <w:tc>
          <w:tcPr>
            <w:tcW w:w="1332" w:type="dxa"/>
            <w:shd w:val="clear" w:color="auto" w:fill="C6EFCE"/>
            <w:noWrap/>
          </w:tcPr>
          <w:p w14:paraId="78681B00" w14:textId="13ECC24E" w:rsidR="00D65CB4" w:rsidRPr="00BC4EE7" w:rsidRDefault="00D65CB4">
            <w:pPr>
              <w:spacing w:after="0" w:line="240" w:lineRule="auto"/>
              <w:jc w:val="center"/>
              <w:rPr>
                <w:rFonts w:ascii="Times New Roman" w:hAnsi="Times New Roman" w:cs="Times New Roman"/>
                <w:noProof/>
                <w:sz w:val="18"/>
              </w:rPr>
            </w:pPr>
          </w:p>
        </w:tc>
        <w:tc>
          <w:tcPr>
            <w:tcW w:w="686" w:type="dxa"/>
            <w:shd w:val="clear" w:color="auto" w:fill="C6EFCE"/>
            <w:noWrap/>
          </w:tcPr>
          <w:p w14:paraId="4CE0D87E" w14:textId="49602E9D" w:rsidR="00D65CB4" w:rsidRPr="00BC4EE7" w:rsidRDefault="00D65CB4">
            <w:pPr>
              <w:spacing w:after="0" w:line="240" w:lineRule="auto"/>
              <w:jc w:val="right"/>
              <w:rPr>
                <w:rFonts w:ascii="Times New Roman" w:hAnsi="Times New Roman" w:cs="Times New Roman"/>
                <w:noProof/>
                <w:sz w:val="18"/>
              </w:rPr>
            </w:pPr>
          </w:p>
        </w:tc>
        <w:tc>
          <w:tcPr>
            <w:tcW w:w="974" w:type="dxa"/>
            <w:shd w:val="clear" w:color="auto" w:fill="C6EFCE"/>
            <w:noWrap/>
          </w:tcPr>
          <w:p w14:paraId="68DE3F99" w14:textId="58EED0E9" w:rsidR="00D65CB4" w:rsidRPr="00BC4EE7" w:rsidRDefault="00D65CB4">
            <w:pPr>
              <w:spacing w:after="0" w:line="240" w:lineRule="auto"/>
              <w:jc w:val="right"/>
              <w:rPr>
                <w:rFonts w:ascii="Times New Roman" w:hAnsi="Times New Roman" w:cs="Times New Roman"/>
                <w:noProof/>
                <w:sz w:val="18"/>
              </w:rPr>
            </w:pPr>
          </w:p>
        </w:tc>
        <w:tc>
          <w:tcPr>
            <w:tcW w:w="896" w:type="dxa"/>
            <w:shd w:val="clear" w:color="auto" w:fill="C6EFCE"/>
            <w:noWrap/>
          </w:tcPr>
          <w:p w14:paraId="313ACB04" w14:textId="1DE92BFA" w:rsidR="00D65CB4" w:rsidRPr="00BC4EE7" w:rsidRDefault="00572307">
            <w:pPr>
              <w:pStyle w:val="P68B1DB1-Normal12"/>
              <w:spacing w:after="0" w:line="240" w:lineRule="auto"/>
              <w:jc w:val="right"/>
              <w:rPr>
                <w:rFonts w:cs="Times New Roman"/>
                <w:noProof/>
              </w:rPr>
            </w:pPr>
            <w:r w:rsidRPr="00BC4EE7">
              <w:rPr>
                <w:rFonts w:cs="Times New Roman"/>
                <w:noProof/>
              </w:rPr>
              <w:t>35%</w:t>
            </w:r>
          </w:p>
        </w:tc>
        <w:tc>
          <w:tcPr>
            <w:tcW w:w="412" w:type="dxa"/>
            <w:shd w:val="clear" w:color="auto" w:fill="C6EFCE"/>
            <w:noWrap/>
          </w:tcPr>
          <w:p w14:paraId="378B2AA6"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812" w:type="dxa"/>
            <w:shd w:val="clear" w:color="auto" w:fill="C6EFCE"/>
            <w:noWrap/>
          </w:tcPr>
          <w:p w14:paraId="70F0061B"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2025</w:t>
            </w:r>
          </w:p>
        </w:tc>
        <w:tc>
          <w:tcPr>
            <w:tcW w:w="5063" w:type="dxa"/>
            <w:shd w:val="clear" w:color="auto" w:fill="C6EFCE"/>
            <w:noWrap/>
          </w:tcPr>
          <w:p w14:paraId="432737EA" w14:textId="27FA2BC2" w:rsidR="00D65CB4" w:rsidRPr="00BC4EE7" w:rsidRDefault="00572307">
            <w:pPr>
              <w:pStyle w:val="P68B1DB1-Normal12"/>
              <w:spacing w:after="0" w:line="240" w:lineRule="auto"/>
              <w:rPr>
                <w:rFonts w:cs="Times New Roman"/>
                <w:noProof/>
              </w:rPr>
            </w:pPr>
            <w:r w:rsidRPr="00BC4EE7">
              <w:rPr>
                <w:rFonts w:cs="Times New Roman"/>
                <w:noProof/>
              </w:rPr>
              <w:t>Az eszköznek és a SEPIDES által kiválasztott közvetítőknek jogi finanszírozási megállapodásokat kell kötniük a végső kedvezményezettekkel (beleértve a tőkealapokat is) a Helyreállítási és Rezilienciaépítési Eszközbe történő beruházás legalább 35%-ának felhasználásához szükséges összegről (figyelembe véve az irányítási díjakat). A finanszírozás legalább 10%-ának tőkealapokkal aláírt finanszírozási megállapodásoknak, legalább 40%-ának pedig a végső kedvezményezettekkel aláírt finanszírozási megállapodásoknak kell megfelelnie minden egyéb befektetési termék tekintetében (beleértve a végrehajtó partner közvetlen tőkebefektetéseit is).</w:t>
            </w:r>
          </w:p>
        </w:tc>
      </w:tr>
      <w:tr w:rsidR="00D65CB4" w:rsidRPr="00BC4EE7" w14:paraId="03767160" w14:textId="77777777" w:rsidTr="00481CF8">
        <w:trPr>
          <w:trHeight w:val="309"/>
        </w:trPr>
        <w:tc>
          <w:tcPr>
            <w:tcW w:w="822" w:type="dxa"/>
            <w:shd w:val="clear" w:color="auto" w:fill="C6EFCE"/>
            <w:noWrap/>
          </w:tcPr>
          <w:p w14:paraId="4D019B29" w14:textId="6F85AC8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L20</w:t>
            </w:r>
          </w:p>
        </w:tc>
        <w:tc>
          <w:tcPr>
            <w:tcW w:w="880" w:type="dxa"/>
            <w:shd w:val="clear" w:color="auto" w:fill="C6EFCE"/>
            <w:noWrap/>
          </w:tcPr>
          <w:p w14:paraId="51AA59DF"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C11.I6</w:t>
            </w:r>
          </w:p>
        </w:tc>
        <w:tc>
          <w:tcPr>
            <w:tcW w:w="1134" w:type="dxa"/>
            <w:shd w:val="clear" w:color="auto" w:fill="C6EFCE"/>
            <w:noWrap/>
          </w:tcPr>
          <w:p w14:paraId="0F46A205"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2262" w:type="dxa"/>
            <w:shd w:val="clear" w:color="auto" w:fill="C6EFCE"/>
            <w:noWrap/>
          </w:tcPr>
          <w:p w14:paraId="23C263C6" w14:textId="34B4572C" w:rsidR="00D65CB4" w:rsidRPr="00BC4EE7" w:rsidRDefault="00572307">
            <w:pPr>
              <w:pStyle w:val="P68B1DB1-Normal12"/>
              <w:spacing w:after="0" w:line="240" w:lineRule="auto"/>
              <w:rPr>
                <w:rFonts w:eastAsia="Times New Roman" w:cs="Times New Roman"/>
                <w:noProof/>
              </w:rPr>
            </w:pPr>
            <w:r w:rsidRPr="00BC4EE7">
              <w:rPr>
                <w:rFonts w:cs="Times New Roman"/>
                <w:noProof/>
              </w:rPr>
              <w:t>Biztonsági és Rezilienciaépítési Alap: A végső kedvezményezettekkel aláírt jogi finanszírozási megállapodások (beleértve a tőkealapokat) (II)</w:t>
            </w:r>
          </w:p>
        </w:tc>
        <w:tc>
          <w:tcPr>
            <w:tcW w:w="1332" w:type="dxa"/>
            <w:shd w:val="clear" w:color="auto" w:fill="C6EFCE"/>
            <w:noWrap/>
          </w:tcPr>
          <w:p w14:paraId="737A611E" w14:textId="0662E0A0" w:rsidR="00D65CB4" w:rsidRPr="00BC4EE7" w:rsidRDefault="00D65CB4">
            <w:pPr>
              <w:spacing w:after="0" w:line="240" w:lineRule="auto"/>
              <w:jc w:val="center"/>
              <w:rPr>
                <w:rFonts w:ascii="Times New Roman" w:hAnsi="Times New Roman" w:cs="Times New Roman"/>
                <w:noProof/>
                <w:sz w:val="18"/>
              </w:rPr>
            </w:pPr>
          </w:p>
        </w:tc>
        <w:tc>
          <w:tcPr>
            <w:tcW w:w="686" w:type="dxa"/>
            <w:shd w:val="clear" w:color="auto" w:fill="C6EFCE"/>
            <w:noWrap/>
          </w:tcPr>
          <w:p w14:paraId="38ECB2F6" w14:textId="6BDE6811" w:rsidR="00D65CB4" w:rsidRPr="00BC4EE7" w:rsidRDefault="00D65CB4">
            <w:pPr>
              <w:spacing w:after="0" w:line="240" w:lineRule="auto"/>
              <w:jc w:val="right"/>
              <w:rPr>
                <w:rFonts w:ascii="Times New Roman" w:hAnsi="Times New Roman" w:cs="Times New Roman"/>
                <w:noProof/>
                <w:sz w:val="18"/>
              </w:rPr>
            </w:pPr>
          </w:p>
        </w:tc>
        <w:tc>
          <w:tcPr>
            <w:tcW w:w="974" w:type="dxa"/>
            <w:shd w:val="clear" w:color="auto" w:fill="C6EFCE"/>
            <w:noWrap/>
          </w:tcPr>
          <w:p w14:paraId="6B9A52F8" w14:textId="1F37611B" w:rsidR="00D65CB4" w:rsidRPr="00BC4EE7" w:rsidRDefault="00D65CB4">
            <w:pPr>
              <w:spacing w:after="0" w:line="240" w:lineRule="auto"/>
              <w:jc w:val="right"/>
              <w:rPr>
                <w:rFonts w:ascii="Times New Roman" w:eastAsia="Times New Roman" w:hAnsi="Times New Roman" w:cs="Times New Roman"/>
                <w:noProof/>
                <w:sz w:val="18"/>
              </w:rPr>
            </w:pPr>
          </w:p>
        </w:tc>
        <w:tc>
          <w:tcPr>
            <w:tcW w:w="896" w:type="dxa"/>
            <w:shd w:val="clear" w:color="auto" w:fill="C6EFCE"/>
            <w:noWrap/>
          </w:tcPr>
          <w:p w14:paraId="03176944" w14:textId="13FDD322"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100%-OS</w:t>
            </w:r>
          </w:p>
        </w:tc>
        <w:tc>
          <w:tcPr>
            <w:tcW w:w="412" w:type="dxa"/>
            <w:shd w:val="clear" w:color="auto" w:fill="C6EFCE"/>
            <w:noWrap/>
          </w:tcPr>
          <w:p w14:paraId="342E031C" w14:textId="086BA1AB"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Q3</w:t>
            </w:r>
          </w:p>
        </w:tc>
        <w:tc>
          <w:tcPr>
            <w:tcW w:w="812" w:type="dxa"/>
            <w:shd w:val="clear" w:color="auto" w:fill="C6EFCE"/>
            <w:noWrap/>
          </w:tcPr>
          <w:p w14:paraId="643A25D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2026</w:t>
            </w:r>
          </w:p>
        </w:tc>
        <w:tc>
          <w:tcPr>
            <w:tcW w:w="5063" w:type="dxa"/>
            <w:shd w:val="clear" w:color="auto" w:fill="C6EFCE"/>
            <w:noWrap/>
          </w:tcPr>
          <w:p w14:paraId="25CB4DDA" w14:textId="0D8B68F6" w:rsidR="00D65CB4" w:rsidRPr="00BC4EE7" w:rsidRDefault="00572307">
            <w:pPr>
              <w:pStyle w:val="P68B1DB1-Normal12"/>
              <w:spacing w:after="0" w:line="240" w:lineRule="auto"/>
              <w:rPr>
                <w:rFonts w:eastAsia="Times New Roman" w:cs="Times New Roman"/>
                <w:noProof/>
              </w:rPr>
            </w:pPr>
            <w:r w:rsidRPr="00BC4EE7">
              <w:rPr>
                <w:rFonts w:cs="Times New Roman"/>
                <w:noProof/>
              </w:rPr>
              <w:t>Az eszköznek és a SEPIDES által kiválasztott közvetítőknek jogi finanszírozási megállapodásokat kell kötniük a végső kedvezményezettekkel (beleértve a tőkealapokat is) az RRF-beruházás 100%-ának az eszközbe történő felhasználásához szükséges összegről (figyelembe véve az irányítási díjakat). A finanszírozás legalább 10%-ának tőkealapokkal aláírt finanszírozási megállapodásoknak, legalább 40%-ának pedig a végső kedvezményezettekkel aláírt finanszírozási megállapodásoknak kell megfelelnie minden egyéb befektetési termék tekintetében (beleértve a végrehajtó partner közvetlen tőkebefektetéseit is).</w:t>
            </w:r>
          </w:p>
        </w:tc>
      </w:tr>
      <w:tr w:rsidR="00D65CB4" w:rsidRPr="00BC4EE7" w14:paraId="43BFD388" w14:textId="77777777" w:rsidTr="00481CF8">
        <w:trPr>
          <w:trHeight w:val="309"/>
        </w:trPr>
        <w:tc>
          <w:tcPr>
            <w:tcW w:w="822" w:type="dxa"/>
            <w:shd w:val="clear" w:color="auto" w:fill="C6EFCE"/>
            <w:noWrap/>
          </w:tcPr>
          <w:p w14:paraId="71E826CB" w14:textId="6FDBF7F5"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L21</w:t>
            </w:r>
          </w:p>
        </w:tc>
        <w:tc>
          <w:tcPr>
            <w:tcW w:w="880" w:type="dxa"/>
            <w:shd w:val="clear" w:color="auto" w:fill="C6EFCE"/>
            <w:noWrap/>
          </w:tcPr>
          <w:p w14:paraId="72253F6A"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C11.I6</w:t>
            </w:r>
          </w:p>
        </w:tc>
        <w:tc>
          <w:tcPr>
            <w:tcW w:w="1134" w:type="dxa"/>
            <w:shd w:val="clear" w:color="auto" w:fill="C6EFCE"/>
            <w:noWrap/>
          </w:tcPr>
          <w:p w14:paraId="19FEC783" w14:textId="69F4304C" w:rsidR="00D65CB4" w:rsidRPr="00BC4EE7" w:rsidRDefault="00572307">
            <w:pPr>
              <w:pStyle w:val="P68B1DB1-Normal12"/>
              <w:spacing w:after="0" w:line="240" w:lineRule="auto"/>
              <w:jc w:val="center"/>
              <w:rPr>
                <w:rFonts w:cs="Times New Roman"/>
                <w:noProof/>
              </w:rPr>
            </w:pPr>
            <w:r w:rsidRPr="00BC4EE7">
              <w:rPr>
                <w:rFonts w:cs="Times New Roman"/>
                <w:noProof/>
              </w:rPr>
              <w:t>M</w:t>
            </w:r>
          </w:p>
        </w:tc>
        <w:tc>
          <w:tcPr>
            <w:tcW w:w="2262" w:type="dxa"/>
            <w:shd w:val="clear" w:color="auto" w:fill="C6EFCE"/>
            <w:noWrap/>
          </w:tcPr>
          <w:p w14:paraId="5E38A5C2" w14:textId="26CAFEB0" w:rsidR="00D65CB4" w:rsidRPr="00BC4EE7" w:rsidRDefault="00572307">
            <w:pPr>
              <w:pStyle w:val="P68B1DB1-Normal12"/>
              <w:spacing w:after="0" w:line="240" w:lineRule="auto"/>
              <w:rPr>
                <w:rFonts w:eastAsia="Times New Roman" w:cs="Times New Roman"/>
                <w:noProof/>
              </w:rPr>
            </w:pPr>
            <w:r w:rsidRPr="00BC4EE7">
              <w:rPr>
                <w:rFonts w:cs="Times New Roman"/>
                <w:noProof/>
              </w:rPr>
              <w:t>Biztonsági és Rezilienciaépítési Alap: A minisztérium befejezte a beruházást</w:t>
            </w:r>
          </w:p>
        </w:tc>
        <w:tc>
          <w:tcPr>
            <w:tcW w:w="1332" w:type="dxa"/>
            <w:shd w:val="clear" w:color="auto" w:fill="C6EFCE"/>
            <w:noWrap/>
          </w:tcPr>
          <w:p w14:paraId="3E3BF405" w14:textId="737AC62E" w:rsidR="00D65CB4" w:rsidRPr="00BC4EE7" w:rsidRDefault="00572307">
            <w:pPr>
              <w:pStyle w:val="P68B1DB1-Normal12"/>
              <w:spacing w:after="0" w:line="240" w:lineRule="auto"/>
              <w:jc w:val="center"/>
              <w:rPr>
                <w:rFonts w:cs="Times New Roman"/>
                <w:noProof/>
              </w:rPr>
            </w:pPr>
            <w:r w:rsidRPr="00BC4EE7">
              <w:rPr>
                <w:rFonts w:cs="Times New Roman"/>
                <w:noProof/>
              </w:rPr>
              <w:t>Átutalási igazolás</w:t>
            </w:r>
          </w:p>
        </w:tc>
        <w:tc>
          <w:tcPr>
            <w:tcW w:w="686" w:type="dxa"/>
            <w:shd w:val="clear" w:color="auto" w:fill="C6EFCE"/>
            <w:noWrap/>
          </w:tcPr>
          <w:p w14:paraId="1D0D36EA" w14:textId="58AF3D04" w:rsidR="00D65CB4" w:rsidRPr="00BC4EE7" w:rsidRDefault="00D65CB4">
            <w:pPr>
              <w:spacing w:after="0" w:line="240" w:lineRule="auto"/>
              <w:jc w:val="right"/>
              <w:rPr>
                <w:rFonts w:ascii="Times New Roman" w:hAnsi="Times New Roman" w:cs="Times New Roman"/>
                <w:noProof/>
                <w:sz w:val="18"/>
              </w:rPr>
            </w:pPr>
          </w:p>
        </w:tc>
        <w:tc>
          <w:tcPr>
            <w:tcW w:w="974" w:type="dxa"/>
            <w:shd w:val="clear" w:color="auto" w:fill="C6EFCE"/>
            <w:noWrap/>
          </w:tcPr>
          <w:p w14:paraId="1F007358" w14:textId="411739BF" w:rsidR="00D65CB4" w:rsidRPr="00BC4EE7" w:rsidRDefault="00D65CB4">
            <w:pPr>
              <w:spacing w:after="0" w:line="240" w:lineRule="auto"/>
              <w:jc w:val="right"/>
              <w:rPr>
                <w:rFonts w:ascii="Times New Roman" w:eastAsia="Times New Roman" w:hAnsi="Times New Roman" w:cs="Times New Roman"/>
                <w:noProof/>
                <w:sz w:val="18"/>
              </w:rPr>
            </w:pPr>
          </w:p>
        </w:tc>
        <w:tc>
          <w:tcPr>
            <w:tcW w:w="896" w:type="dxa"/>
            <w:shd w:val="clear" w:color="auto" w:fill="C6EFCE"/>
            <w:noWrap/>
          </w:tcPr>
          <w:p w14:paraId="6F55C39E" w14:textId="1D41CAA6" w:rsidR="00D65CB4" w:rsidRPr="00BC4EE7" w:rsidRDefault="00D65CB4">
            <w:pPr>
              <w:spacing w:after="0" w:line="240" w:lineRule="auto"/>
              <w:jc w:val="right"/>
              <w:rPr>
                <w:rFonts w:ascii="Times New Roman" w:eastAsia="Times New Roman" w:hAnsi="Times New Roman" w:cs="Times New Roman"/>
                <w:noProof/>
                <w:sz w:val="18"/>
              </w:rPr>
            </w:pPr>
          </w:p>
        </w:tc>
        <w:tc>
          <w:tcPr>
            <w:tcW w:w="412" w:type="dxa"/>
            <w:shd w:val="clear" w:color="auto" w:fill="C6EFCE"/>
            <w:noWrap/>
          </w:tcPr>
          <w:p w14:paraId="483E7DA2" w14:textId="2425D8D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Q3</w:t>
            </w:r>
          </w:p>
        </w:tc>
        <w:tc>
          <w:tcPr>
            <w:tcW w:w="812" w:type="dxa"/>
            <w:shd w:val="clear" w:color="auto" w:fill="C6EFCE"/>
            <w:noWrap/>
          </w:tcPr>
          <w:p w14:paraId="206685C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2026</w:t>
            </w:r>
          </w:p>
        </w:tc>
        <w:tc>
          <w:tcPr>
            <w:tcW w:w="5063" w:type="dxa"/>
            <w:shd w:val="clear" w:color="auto" w:fill="C6EFCE"/>
            <w:noWrap/>
          </w:tcPr>
          <w:p w14:paraId="1827A3B3" w14:textId="7A7DC374" w:rsidR="00D65CB4" w:rsidRPr="00BC4EE7" w:rsidRDefault="00572307">
            <w:pPr>
              <w:pStyle w:val="P68B1DB1-Normal12"/>
              <w:spacing w:after="0" w:line="240" w:lineRule="auto"/>
              <w:rPr>
                <w:rFonts w:eastAsia="Times New Roman" w:cs="Times New Roman"/>
                <w:noProof/>
              </w:rPr>
            </w:pPr>
            <w:r w:rsidRPr="00BC4EE7">
              <w:rPr>
                <w:rFonts w:cs="Times New Roman"/>
                <w:noProof/>
              </w:rPr>
              <w:t>Spanyolország 1 000 000 000 EUR-t csoportosít át az eszközbe.</w:t>
            </w:r>
          </w:p>
        </w:tc>
      </w:tr>
    </w:tbl>
    <w:p w14:paraId="23653004" w14:textId="77777777" w:rsidR="00D65CB4" w:rsidRPr="00BC4EE7" w:rsidRDefault="00D65CB4">
      <w:pPr>
        <w:pStyle w:val="Heading1"/>
        <w:jc w:val="left"/>
        <w:rPr>
          <w:rFonts w:ascii="Times New Roman" w:hAnsi="Times New Roman" w:cs="Times New Roman"/>
          <w:noProof/>
          <w:sz w:val="24"/>
        </w:rPr>
        <w:sectPr w:rsidR="00D65CB4" w:rsidRPr="00BC4EE7" w:rsidSect="00B511EF">
          <w:headerReference w:type="even" r:id="rId243"/>
          <w:headerReference w:type="default" r:id="rId244"/>
          <w:footerReference w:type="even" r:id="rId245"/>
          <w:footerReference w:type="default" r:id="rId246"/>
          <w:headerReference w:type="first" r:id="rId247"/>
          <w:footerReference w:type="first" r:id="rId248"/>
          <w:pgSz w:w="16839" w:h="11907" w:orient="landscape"/>
          <w:pgMar w:top="1134" w:right="1134" w:bottom="1134" w:left="1134" w:header="567" w:footer="567" w:gutter="0"/>
          <w:cols w:space="720"/>
          <w:docGrid w:linePitch="360"/>
        </w:sectPr>
      </w:pPr>
    </w:p>
    <w:p w14:paraId="3A744280" w14:textId="77777777" w:rsidR="00D65CB4" w:rsidRPr="00BC4EE7" w:rsidRDefault="00572307">
      <w:pPr>
        <w:pStyle w:val="P68B1DB1-Heading12"/>
        <w:rPr>
          <w:rFonts w:cs="Times New Roman"/>
          <w:noProof/>
        </w:rPr>
      </w:pPr>
      <w:r w:rsidRPr="00BC4EE7">
        <w:rPr>
          <w:rFonts w:cs="Times New Roman"/>
          <w:noProof/>
        </w:rPr>
        <w:t>L. 12. KOMPONENS: Iparpolitika</w:t>
      </w:r>
    </w:p>
    <w:p w14:paraId="1927F800"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spanyol helyreállítási és rezilienciaépítési terv 12. komponensének célja, hogy a digitális és zöld átállás gyorsabb megvalósítása révén fokozza a spanyol ipari szolgáltatási ökoszisztéma korszerűsítését és termelékenységét.</w:t>
      </w:r>
    </w:p>
    <w:p w14:paraId="2D61E720" w14:textId="751A43F5" w:rsidR="00D65CB4" w:rsidRPr="00BC4EE7" w:rsidRDefault="00572307">
      <w:pPr>
        <w:spacing w:before="120" w:after="120" w:line="240" w:lineRule="auto"/>
        <w:jc w:val="both"/>
        <w:rPr>
          <w:rFonts w:ascii="Times New Roman" w:hAnsi="Times New Roman" w:cs="Times New Roman"/>
          <w:noProof/>
          <w:sz w:val="24"/>
        </w:rPr>
      </w:pPr>
      <w:r w:rsidRPr="00BC4EE7">
        <w:rPr>
          <w:rFonts w:ascii="Times New Roman" w:hAnsi="Times New Roman" w:cs="Times New Roman"/>
          <w:noProof/>
          <w:sz w:val="24"/>
        </w:rPr>
        <w:t>A spanyol helyreállítási és rezilienciaépítési terv ezen komponense hozzájárul az innovációba és az energiahatékonyságba történő beruházások előmozdításáról szóló 2019. évi 3. országspecifikus ajánlás megvalósításához. Összhangban van továbbá a 2020. évi 3. országspecifikus ajánlással (a köz- és magánberuházások előmozdítása és a zöld átállás előmozdítása révén). A komponens hozzájárul továbbá a vállalkozások és az oktatás közötti, a munkaerőpiac szempontjából releváns készségek biztosítása érdekében folytatott együttműködés előmozdításáról szóló 2019. évi 2. országspecifikus ajánlás, valamint az egészségügyi rendszer rezilienciájának megerősítéséről szóló, 2020. évi 1. országspecifikus ajánlás teljesítéséhez is. A komponens hozzájárul továbbá az újrafeldolgozási arányoknak az uniós célok elérése érdekében történő növeléséről és a körforgásos gazdaság előmozdításáról szóló, 2022. évi 3. országspecifikus ajánlás megvalósításához azáltal, hogy fokozza a koordinációt valamennyi kormányzati szint között, és további beruházásokat hajt végre a szelektív hulladékgyűjtésre és az újrafeldolgozásra vonatkozó kötelezettségek teljesítése érdekében.</w:t>
      </w:r>
      <w:r w:rsidRPr="00BC4EE7">
        <w:rPr>
          <w:rFonts w:ascii="Times New Roman" w:hAnsi="Times New Roman" w:cs="Times New Roman"/>
          <w:noProof/>
        </w:rPr>
        <w:t xml:space="preserve"> </w:t>
      </w:r>
      <w:r w:rsidRPr="00BC4EE7">
        <w:rPr>
          <w:rFonts w:ascii="Times New Roman" w:hAnsi="Times New Roman" w:cs="Times New Roman"/>
          <w:noProof/>
          <w:sz w:val="24"/>
        </w:rPr>
        <w:t>A komponens hozzájárul a fosszilis tüzelőanyagoktól való függés csökkentésére, a megújuló energia elterjedésének és az elektromos közlekedés elterjedésének felgyorsítására irányuló, 2023. évi 3. országspecifikus ajánlás teljesítéséhez is.</w:t>
      </w:r>
    </w:p>
    <w:p w14:paraId="1FEC8946" w14:textId="69A8A817" w:rsidR="00D65CB4" w:rsidRPr="00BC4EE7" w:rsidRDefault="00572307">
      <w:pPr>
        <w:pStyle w:val="P68B1DB1-Normal4"/>
        <w:spacing w:before="120" w:after="120" w:line="240" w:lineRule="auto"/>
        <w:jc w:val="both"/>
        <w:rPr>
          <w:rFonts w:cs="Times New Roman"/>
          <w:noProof/>
        </w:rPr>
      </w:pPr>
      <w:r w:rsidRPr="00BC4EE7">
        <w:rPr>
          <w:rFonts w:cs="Times New Roman"/>
          <w:noProof/>
        </w:rPr>
        <w:t>A komponensben szereplő intézkedések egyik célkitűzése, hogy megkönnyítse a spanyol vállalkozások részvételét egy közös európai érdeket szolgáló fontos projektben (IPCEI).</w:t>
      </w:r>
    </w:p>
    <w:p w14:paraId="505B0351"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jelentős károkozás elkerülését célzó elvről szóló technikai iránymutatásnak (2021/C58/01) megfelelően a helyreállítási és rezilienciaépítési tervben meghatározott intézkedések leírását és a helyreállítási és rezilienciaépítési tervben meghatározott enyhítő lépéseket figyelembe véve ebben a komponensben várhatóan egyetlen intézkedés sem sérti jelentős mértékben az (EU) 2020/852 rendelet 17. cikke szerinti környezeti célkitűzéseket.</w:t>
      </w:r>
    </w:p>
    <w:p w14:paraId="4E9B1FCE" w14:textId="77777777" w:rsidR="00D65CB4" w:rsidRPr="00BC4EE7" w:rsidRDefault="00572307">
      <w:pPr>
        <w:spacing w:before="120" w:after="120" w:line="240" w:lineRule="auto"/>
        <w:ind w:left="720"/>
        <w:jc w:val="both"/>
        <w:rPr>
          <w:rFonts w:ascii="Times New Roman" w:hAnsi="Times New Roman" w:cs="Times New Roman"/>
          <w:b/>
          <w:i/>
          <w:noProof/>
          <w:sz w:val="24"/>
        </w:rPr>
      </w:pPr>
      <w:r w:rsidRPr="00BC4EE7">
        <w:rPr>
          <w:rFonts w:ascii="Times New Roman" w:hAnsi="Times New Roman" w:cs="Times New Roman"/>
          <w:b/>
          <w:noProof/>
          <w:sz w:val="24"/>
          <w:u w:val="single"/>
        </w:rPr>
        <w:t xml:space="preserve">L.1.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Vissza nem térítendő pénzügyi támogatás – a reformok és beruházások ismertetése</w:t>
      </w:r>
    </w:p>
    <w:p w14:paraId="301FF276"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Reform (C12.R1) – Az ipar fellendítését célzó, 2030-ig szóló spanyol stratégia</w:t>
      </w:r>
    </w:p>
    <w:p w14:paraId="54A55D6D" w14:textId="77777777" w:rsidR="00D65CB4" w:rsidRPr="00BC4EE7" w:rsidRDefault="00572307">
      <w:pPr>
        <w:spacing w:before="120" w:after="120" w:line="240" w:lineRule="auto"/>
        <w:jc w:val="both"/>
        <w:rPr>
          <w:rFonts w:ascii="Times New Roman" w:hAnsi="Times New Roman" w:cs="Times New Roman"/>
          <w:noProof/>
          <w:sz w:val="24"/>
        </w:rPr>
      </w:pPr>
      <w:r w:rsidRPr="00BC4EE7">
        <w:rPr>
          <w:rFonts w:ascii="Times New Roman" w:hAnsi="Times New Roman" w:cs="Times New Roman"/>
          <w:noProof/>
          <w:sz w:val="24"/>
        </w:rPr>
        <w:t>Az ipar fellendítésére irányuló, 2030-ig szóló spanyol stratégia célja a szabályozási keret kiigazítása annak érdekében, hogy segítse az ipart a szolgáltatásnyújtás, a digitalizáció, a környezeti fenntarthatóság és a körforgásos gazdaság kihívásaival való szembenézésben. A stratégia magában foglalja különösen az iparról szóló 1992. évi törvény reformját. Az intézkedés célja az iparpolitika különböző kormányzati szintjei közötti koordinációs mechanizmusok javítása, valamint az ipari minőség és biztonság javítása egy megerősített piacfelügyeleti rendszer révén, összhangban a piacfelügyeletről és a termékek megfelelőségéről, valamint a 2004/42/EK irányelv, a 765/2008/EK és a 305/2011/EU rendelet módosításáról szóló, 2019. június 20-i (EU) 2019/1020 európai parlamenti és tanácsi rendelettel</w:t>
      </w:r>
      <w:r w:rsidRPr="00BC4EE7">
        <w:rPr>
          <w:rStyle w:val="FootnoteReference"/>
          <w:rFonts w:ascii="Times New Roman" w:hAnsi="Times New Roman" w:cs="Times New Roman"/>
          <w:noProof/>
          <w:sz w:val="24"/>
        </w:rPr>
        <w:footnoteReference w:id="33"/>
      </w:r>
      <w:r w:rsidRPr="00BC4EE7">
        <w:rPr>
          <w:rFonts w:ascii="Times New Roman" w:hAnsi="Times New Roman" w:cs="Times New Roman"/>
          <w:noProof/>
          <w:sz w:val="24"/>
        </w:rPr>
        <w:t>. Végezetül felül kell vizsgálni a jogsértések iparpolitikai fogalommeghatározását, és naprakésszé kell tenni az alkalmazható szankciók szintjét.</w:t>
      </w:r>
    </w:p>
    <w:p w14:paraId="66FE0027" w14:textId="52714F8C" w:rsidR="00D65CB4" w:rsidRPr="00BC4EE7" w:rsidRDefault="00572307">
      <w:pPr>
        <w:pStyle w:val="P68B1DB1-Normal4"/>
        <w:spacing w:before="120" w:after="120" w:line="240" w:lineRule="auto"/>
        <w:jc w:val="both"/>
        <w:rPr>
          <w:rFonts w:cs="Times New Roman"/>
          <w:noProof/>
        </w:rPr>
      </w:pPr>
      <w:r w:rsidRPr="00BC4EE7">
        <w:rPr>
          <w:rFonts w:cs="Times New Roman"/>
          <w:noProof/>
        </w:rPr>
        <w:t>Az intézkedés végrehajtását 2023. december 31-ig be kell fejezni.</w:t>
      </w:r>
    </w:p>
    <w:p w14:paraId="3958C50A"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Reform (C12.R2) – Hulladékpolitika és a körforgásos gazdaság fellendítése</w:t>
      </w:r>
    </w:p>
    <w:p w14:paraId="1D8BE78D"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Az intézkedés célja olyan termelési és fogyasztási modellek előmozdítása, amelyek a termékeket, az anyagokat és a természeti erőforrásokat a lehető leghosszabb ideig a gazdaságban tartják. A cél a hulladékkeletkezés minimálisra csökkentése, valamint az elkerülhetetlen hulladék teljes körű hasznosításának biztosítása. Ez a reform magában foglalja a körforgásos gazdaságra vonatkozó spanyol stratégia 2020 júniusában történő jóváhagyását, összhangban a körforgásos gazdaságra vonatkozó uniós cselekvési tervekkel.</w:t>
      </w:r>
    </w:p>
    <w:p w14:paraId="1B3EDAAD"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Az intézkedésnek tartalmaznia kell egy, a körforgásos gazdaságra vonatkozó intézkedéscsomagot is, amelynek célja a hulladékszállítás és -ártalmatlanítás szabályozása és az elhasználódott gumiabroncsok kezelése, valamint az elhasználódott járművekre vonatkozó intézkedéseket. E célból jóváhagyták a 2020. június 2-i 553/2020. sz. királyi rendeletet, a 2020. június 2-i 646/2020. sz., a 2020. július 7-i 731/2020. sz. királyi rendeletet és a 2020. augusztus 4-i 731/2020. sz. királyi rendeletet, valamint a január 19-i 27/2021. és az április 13-i 265/2021. sz. királyi rendeletet. Emellett a reformnak magában kell foglalnia a csomagolásra és a csomagolási hulladékra vonatkozó szabályozási intézkedések Minisztertanács általi, 2022-ben történő jóváhagyását.</w:t>
      </w:r>
    </w:p>
    <w:p w14:paraId="5557D924" w14:textId="46C75789"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Emellett az intézkedés magában foglalja a hulladékokról és a szennyezett talajról szóló új törvény 2022. december 31-ig történő hatálybalépését. A törvény a következőket tartalmazza: </w:t>
      </w:r>
    </w:p>
    <w:p w14:paraId="2632200F" w14:textId="77777777" w:rsidR="00D65CB4" w:rsidRPr="00BC4EE7" w:rsidRDefault="00572307">
      <w:pPr>
        <w:pStyle w:val="P68B1DB1-Normal4"/>
        <w:numPr>
          <w:ilvl w:val="0"/>
          <w:numId w:val="110"/>
        </w:numPr>
        <w:spacing w:before="120" w:after="120" w:line="240" w:lineRule="auto"/>
        <w:jc w:val="both"/>
        <w:rPr>
          <w:rFonts w:cs="Times New Roman"/>
          <w:noProof/>
        </w:rPr>
      </w:pPr>
      <w:r w:rsidRPr="00BC4EE7">
        <w:rPr>
          <w:rFonts w:cs="Times New Roman"/>
          <w:noProof/>
        </w:rPr>
        <w:t xml:space="preserve">A hulladékokról szóló keretirányelv és az egyszer használatos műanyagokról szóló irányelv végrehajtása, valamint a spanyol szabályozás kiigazítása az elmúlt tíz év tapasztalatainak fényében; </w:t>
      </w:r>
    </w:p>
    <w:p w14:paraId="6C049B17" w14:textId="77777777" w:rsidR="00D65CB4" w:rsidRPr="00BC4EE7" w:rsidRDefault="00572307">
      <w:pPr>
        <w:pStyle w:val="P68B1DB1-Normal4"/>
        <w:numPr>
          <w:ilvl w:val="0"/>
          <w:numId w:val="110"/>
        </w:numPr>
        <w:spacing w:before="120" w:after="120" w:line="240" w:lineRule="auto"/>
        <w:jc w:val="both"/>
        <w:rPr>
          <w:rFonts w:cs="Times New Roman"/>
          <w:noProof/>
        </w:rPr>
      </w:pPr>
      <w:r w:rsidRPr="00BC4EE7">
        <w:rPr>
          <w:rFonts w:cs="Times New Roman"/>
          <w:noProof/>
        </w:rPr>
        <w:t>A hulladékra vonatkozó uniós célkitűzések bevezetése, valamint az uniós szabályozásból eredő, az elkülönített gyűjtésre vonatkozó kötelezettségek bevezetése, előre jelezve azok biohulladékban való alkalmazását az 5000-nál több lakosú településeken. Az intézkedésnek továbbá olyan elkülönített gyűjtési kötelezettségeket kell bevezetnie, amelyek túlmutatnak az uniós jogban meghatározott követelményeken;</w:t>
      </w:r>
    </w:p>
    <w:p w14:paraId="07BEB1AD" w14:textId="77777777" w:rsidR="00D65CB4" w:rsidRPr="00BC4EE7" w:rsidRDefault="00572307">
      <w:pPr>
        <w:pStyle w:val="P68B1DB1-Normal4"/>
        <w:numPr>
          <w:ilvl w:val="0"/>
          <w:numId w:val="110"/>
        </w:numPr>
        <w:spacing w:before="120" w:after="120" w:line="240" w:lineRule="auto"/>
        <w:jc w:val="both"/>
        <w:rPr>
          <w:rFonts w:cs="Times New Roman"/>
          <w:noProof/>
        </w:rPr>
      </w:pPr>
      <w:r w:rsidRPr="00BC4EE7">
        <w:rPr>
          <w:rFonts w:cs="Times New Roman"/>
          <w:noProof/>
        </w:rPr>
        <w:t>A kiterjesztett gyártói felelősség szabályozásának felülvizsgálata, új szabályozási keret létrehozása (amelyet uniós és további rendeletek írnak elő); és</w:t>
      </w:r>
    </w:p>
    <w:p w14:paraId="39B2F81D" w14:textId="77777777" w:rsidR="00D65CB4" w:rsidRPr="00BC4EE7" w:rsidRDefault="00572307">
      <w:pPr>
        <w:pStyle w:val="P68B1DB1-Normal4"/>
        <w:numPr>
          <w:ilvl w:val="0"/>
          <w:numId w:val="110"/>
        </w:numPr>
        <w:spacing w:before="120" w:after="120" w:line="240" w:lineRule="auto"/>
        <w:jc w:val="both"/>
        <w:rPr>
          <w:rFonts w:cs="Times New Roman"/>
          <w:noProof/>
        </w:rPr>
      </w:pPr>
      <w:r w:rsidRPr="00BC4EE7">
        <w:rPr>
          <w:rFonts w:cs="Times New Roman"/>
          <w:noProof/>
        </w:rPr>
        <w:t>A hulladékra vonatkozó állami adó bevezetése (beleértve a hulladéklerakást, az égetést és az együttégetést, valamint az egyszer használatos műanyag tárolóedényeket).</w:t>
      </w:r>
    </w:p>
    <w:p w14:paraId="21E54834" w14:textId="77777777" w:rsidR="00D65CB4" w:rsidRPr="00BC4EE7" w:rsidRDefault="00572307">
      <w:pPr>
        <w:pStyle w:val="P68B1DB1-Normal4"/>
        <w:spacing w:line="240" w:lineRule="auto"/>
        <w:jc w:val="both"/>
        <w:rPr>
          <w:rFonts w:eastAsia="Times New Roman" w:cs="Times New Roman"/>
          <w:noProof/>
        </w:rPr>
      </w:pPr>
      <w:r w:rsidRPr="00BC4EE7">
        <w:rPr>
          <w:rFonts w:cs="Times New Roman"/>
          <w:noProof/>
        </w:rPr>
        <w:t xml:space="preserve">Végezetül e reformnak elő kell mozdítania a hulladékgazdálkodás különböző szervezeti és kompetenciaszintjei közötti koordinációt a jogszabályok végrehajtásának javítása és végső soron a hulladékkeletkezés csökkentése, valamint az olyan hulladékok kezelésének javítása érdekében, amelyek keletkezése nem kerülhető el, az újrahasználatra való előkészítés és az újrafeldolgozás célkitűzéseinek elérése érdekében. </w:t>
      </w:r>
    </w:p>
    <w:p w14:paraId="740FBA4B" w14:textId="77777777" w:rsidR="00D65CB4" w:rsidRPr="00BC4EE7" w:rsidRDefault="00572307">
      <w:pPr>
        <w:pStyle w:val="P68B1DB1-Normal4"/>
        <w:spacing w:line="240" w:lineRule="auto"/>
        <w:jc w:val="both"/>
        <w:rPr>
          <w:rFonts w:eastAsia="Times New Roman" w:cs="Times New Roman"/>
          <w:noProof/>
        </w:rPr>
      </w:pPr>
      <w:r w:rsidRPr="00BC4EE7">
        <w:rPr>
          <w:rFonts w:cs="Times New Roman"/>
          <w:noProof/>
        </w:rPr>
        <w:t>E célból ez a reform a következőket foglalja magában:</w:t>
      </w:r>
    </w:p>
    <w:p w14:paraId="1A6AD36C" w14:textId="6C8AD484" w:rsidR="00D65CB4" w:rsidRPr="00BC4EE7" w:rsidRDefault="00572307">
      <w:pPr>
        <w:pStyle w:val="P68B1DB1-ListParagraph23"/>
        <w:numPr>
          <w:ilvl w:val="0"/>
          <w:numId w:val="332"/>
        </w:numPr>
        <w:spacing w:line="240" w:lineRule="auto"/>
        <w:jc w:val="both"/>
        <w:rPr>
          <w:rFonts w:eastAsia="Times New Roman" w:cs="Times New Roman"/>
          <w:noProof/>
          <w:sz w:val="24"/>
        </w:rPr>
      </w:pPr>
      <w:r w:rsidRPr="00BC4EE7">
        <w:rPr>
          <w:rFonts w:cs="Times New Roman"/>
          <w:noProof/>
          <w:sz w:val="24"/>
        </w:rPr>
        <w:t xml:space="preserve">Munkacsoport létrehozása a hulladékkoordinációs bizottságon belül a hulladékokkal kapcsolatos jogszabályok végrehajtásának nyomon követésére, valamint a harmonizált nemzeti hulladékgazdálkodási jogszabályoknak való megfelelést elősegítő egyedi intézkedések elfogadása. Az elfogadott intézkedéseket közzéteszik a minisztérium honlapján. </w:t>
      </w:r>
    </w:p>
    <w:p w14:paraId="0F3D9999" w14:textId="062F2E1C" w:rsidR="00D65CB4" w:rsidRPr="00BC4EE7" w:rsidRDefault="00572307">
      <w:pPr>
        <w:pStyle w:val="P68B1DB1-ListParagraph6"/>
        <w:numPr>
          <w:ilvl w:val="0"/>
          <w:numId w:val="332"/>
        </w:numPr>
        <w:spacing w:line="240" w:lineRule="auto"/>
        <w:jc w:val="both"/>
        <w:rPr>
          <w:rFonts w:eastAsia="Times New Roman" w:cs="Times New Roman"/>
          <w:noProof/>
        </w:rPr>
      </w:pPr>
      <w:r w:rsidRPr="00BC4EE7">
        <w:rPr>
          <w:rFonts w:cs="Times New Roman"/>
          <w:noProof/>
        </w:rPr>
        <w:t>A körforgásos gazdaságra vonatkozó szabályozási aktusok második csomagjának elfogadása, amely a következő szempontokat hajtja végre:</w:t>
      </w:r>
    </w:p>
    <w:p w14:paraId="493A415F" w14:textId="68964B62" w:rsidR="00D65CB4" w:rsidRPr="00BC4EE7" w:rsidRDefault="00572307">
      <w:pPr>
        <w:pStyle w:val="P68B1DB1-ListParagraph6"/>
        <w:numPr>
          <w:ilvl w:val="1"/>
          <w:numId w:val="332"/>
        </w:numPr>
        <w:spacing w:line="240" w:lineRule="auto"/>
        <w:jc w:val="both"/>
        <w:rPr>
          <w:rFonts w:eastAsia="Times New Roman" w:cs="Times New Roman"/>
          <w:noProof/>
        </w:rPr>
      </w:pPr>
      <w:r w:rsidRPr="00BC4EE7">
        <w:rPr>
          <w:rFonts w:cs="Times New Roman"/>
          <w:noProof/>
        </w:rPr>
        <w:t xml:space="preserve">Rendelet az egyes termelők és hulladékkezelők számára előírt pénzügyi garanciákról annak érdekében, hogy e garanciák kiszámítása valamennyi régióban azonos kritériumok alapján történjen </w:t>
      </w:r>
    </w:p>
    <w:p w14:paraId="5AEABB97" w14:textId="23EDEF5E" w:rsidR="00D65CB4" w:rsidRPr="00BC4EE7" w:rsidRDefault="00572307">
      <w:pPr>
        <w:pStyle w:val="P68B1DB1-ListParagraph6"/>
        <w:numPr>
          <w:ilvl w:val="1"/>
          <w:numId w:val="332"/>
        </w:numPr>
        <w:spacing w:line="240" w:lineRule="auto"/>
        <w:jc w:val="both"/>
        <w:rPr>
          <w:rFonts w:eastAsia="Times New Roman" w:cs="Times New Roman"/>
          <w:noProof/>
        </w:rPr>
      </w:pPr>
      <w:r w:rsidRPr="00BC4EE7">
        <w:rPr>
          <w:rFonts w:cs="Times New Roman"/>
          <w:noProof/>
        </w:rPr>
        <w:t>Rendelet a szűrőket tartalmazó dohánytermékekről és a dohánytermékekkel való együttes használatra forgalomba hozott szűrőkről.</w:t>
      </w:r>
      <w:bookmarkStart w:id="25" w:name="_Hlk141089476"/>
      <w:r w:rsidRPr="00BC4EE7">
        <w:rPr>
          <w:rFonts w:cs="Times New Roman"/>
          <w:noProof/>
        </w:rPr>
        <w:t xml:space="preserve"> A rendelet különösen:</w:t>
      </w:r>
    </w:p>
    <w:p w14:paraId="7A2B8723" w14:textId="63C8439F" w:rsidR="00D65CB4" w:rsidRPr="00BC4EE7" w:rsidRDefault="00572307">
      <w:pPr>
        <w:pStyle w:val="P68B1DB1-ListParagraph6"/>
        <w:numPr>
          <w:ilvl w:val="2"/>
          <w:numId w:val="332"/>
        </w:numPr>
        <w:spacing w:line="240" w:lineRule="auto"/>
        <w:jc w:val="both"/>
        <w:rPr>
          <w:rFonts w:eastAsia="Times New Roman" w:cs="Times New Roman"/>
          <w:noProof/>
        </w:rPr>
      </w:pPr>
      <w:r w:rsidRPr="00BC4EE7">
        <w:rPr>
          <w:rFonts w:cs="Times New Roman"/>
          <w:noProof/>
        </w:rPr>
        <w:t xml:space="preserve">Elő kell írniuk, hogy megelőzési programokat dolgozzanak ki azon termelők számára, akik bizonyos mennyiségű terméket hoznak forgalomba a nemzeti piacon; </w:t>
      </w:r>
    </w:p>
    <w:p w14:paraId="72EC5082" w14:textId="685C1BD7" w:rsidR="00D65CB4" w:rsidRPr="00BC4EE7" w:rsidRDefault="00572307">
      <w:pPr>
        <w:pStyle w:val="P68B1DB1-ListParagraph6"/>
        <w:numPr>
          <w:ilvl w:val="2"/>
          <w:numId w:val="332"/>
        </w:numPr>
        <w:spacing w:line="240" w:lineRule="auto"/>
        <w:jc w:val="both"/>
        <w:rPr>
          <w:rFonts w:eastAsia="Times New Roman" w:cs="Times New Roman"/>
          <w:noProof/>
        </w:rPr>
      </w:pPr>
      <w:r w:rsidRPr="00BC4EE7">
        <w:rPr>
          <w:rFonts w:cs="Times New Roman"/>
          <w:noProof/>
        </w:rPr>
        <w:t xml:space="preserve">Kötelezővé teszi a nyilvános gyűjtési rendszerek részét képező tárolóedényeket, valamint a dohánytermék-hulladék szűrőkkel és szűrőkkel történő elkülönített gyűjtését lehetővé tevő egyedi infrastruktúra kialakítását; </w:t>
      </w:r>
    </w:p>
    <w:p w14:paraId="6ED982BC" w14:textId="46230736" w:rsidR="00D65CB4" w:rsidRPr="00BC4EE7" w:rsidRDefault="00572307">
      <w:pPr>
        <w:pStyle w:val="P68B1DB1-ListParagraph6"/>
        <w:numPr>
          <w:ilvl w:val="2"/>
          <w:numId w:val="332"/>
        </w:numPr>
        <w:spacing w:line="240" w:lineRule="auto"/>
        <w:jc w:val="both"/>
        <w:rPr>
          <w:rFonts w:eastAsia="Times New Roman" w:cs="Times New Roman"/>
          <w:noProof/>
        </w:rPr>
      </w:pPr>
      <w:r w:rsidRPr="00BC4EE7">
        <w:rPr>
          <w:rFonts w:cs="Times New Roman"/>
          <w:noProof/>
        </w:rPr>
        <w:t>Tartalmazza annak lehetőségét, hogy az elért eredményeknek megfelelően megelőzési és elkülönített gyűjtési célkitűzéseket határozzanak meg;</w:t>
      </w:r>
    </w:p>
    <w:p w14:paraId="29795BB6" w14:textId="7A04C05D" w:rsidR="00D65CB4" w:rsidRPr="00BC4EE7" w:rsidRDefault="00572307">
      <w:pPr>
        <w:pStyle w:val="P68B1DB1-ListParagraph6"/>
        <w:numPr>
          <w:ilvl w:val="2"/>
          <w:numId w:val="332"/>
        </w:numPr>
        <w:spacing w:line="240" w:lineRule="auto"/>
        <w:jc w:val="both"/>
        <w:rPr>
          <w:rFonts w:eastAsia="Times New Roman" w:cs="Times New Roman"/>
          <w:noProof/>
        </w:rPr>
      </w:pPr>
      <w:r w:rsidRPr="00BC4EE7">
        <w:rPr>
          <w:rFonts w:cs="Times New Roman"/>
          <w:noProof/>
        </w:rPr>
        <w:t>A szűrőket és szűrőket tartalmazó dohánytermékek gyártói nyilvántartásának létrehozása;</w:t>
      </w:r>
      <w:bookmarkEnd w:id="25"/>
    </w:p>
    <w:p w14:paraId="2FC020DF" w14:textId="4EEAEDF5" w:rsidR="00D65CB4" w:rsidRPr="00BC4EE7" w:rsidRDefault="00572307">
      <w:pPr>
        <w:pStyle w:val="P68B1DB1-ListParagraph6"/>
        <w:numPr>
          <w:ilvl w:val="1"/>
          <w:numId w:val="332"/>
        </w:numPr>
        <w:spacing w:line="240" w:lineRule="auto"/>
        <w:jc w:val="both"/>
        <w:rPr>
          <w:rFonts w:eastAsia="Times New Roman" w:cs="Times New Roman"/>
          <w:noProof/>
        </w:rPr>
      </w:pPr>
      <w:r w:rsidRPr="00BC4EE7">
        <w:rPr>
          <w:rFonts w:cs="Times New Roman"/>
          <w:noProof/>
        </w:rPr>
        <w:t>Az ipari hulladékolajokról szóló rendelet annak érdekében, hogy a szabályozási keret összhangba kerüljön a hulladékokról szóló új törvény rendelkezéseivel, amely az ipari hulladékolajokra vonatkozó rendelkezést is tartalmaz;</w:t>
      </w:r>
    </w:p>
    <w:p w14:paraId="78B9D6FC" w14:textId="598CA2E2" w:rsidR="00D65CB4" w:rsidRPr="00BC4EE7" w:rsidRDefault="00572307">
      <w:pPr>
        <w:pStyle w:val="P68B1DB1-ListParagraph6"/>
        <w:numPr>
          <w:ilvl w:val="1"/>
          <w:numId w:val="332"/>
        </w:numPr>
        <w:spacing w:line="240" w:lineRule="auto"/>
        <w:jc w:val="both"/>
        <w:rPr>
          <w:rFonts w:eastAsia="Times New Roman" w:cs="Times New Roman"/>
          <w:noProof/>
        </w:rPr>
      </w:pPr>
      <w:r w:rsidRPr="00BC4EE7">
        <w:rPr>
          <w:rFonts w:cs="Times New Roman"/>
          <w:noProof/>
        </w:rPr>
        <w:t>Rendelet az elhasználódott gumiabroncsokról, a jelenlegi szabvány 2020-ban elvégzett részleges és időben történő felülvizsgálatán túl; és</w:t>
      </w:r>
    </w:p>
    <w:p w14:paraId="0C7988CC" w14:textId="0351A93F" w:rsidR="00D65CB4" w:rsidRPr="00BC4EE7" w:rsidRDefault="00572307">
      <w:pPr>
        <w:pStyle w:val="P68B1DB1-ListParagraph6"/>
        <w:numPr>
          <w:ilvl w:val="1"/>
          <w:numId w:val="332"/>
        </w:numPr>
        <w:spacing w:line="240" w:lineRule="auto"/>
        <w:jc w:val="both"/>
        <w:rPr>
          <w:rFonts w:eastAsia="Times New Roman" w:cs="Times New Roman"/>
          <w:noProof/>
        </w:rPr>
      </w:pPr>
      <w:r w:rsidRPr="00BC4EE7">
        <w:rPr>
          <w:rFonts w:cs="Times New Roman"/>
          <w:noProof/>
        </w:rPr>
        <w:t>Miniszteri rendelet a települési hulladék lerakás előtti kezelésére vonatkozó minimumkövetelményekről.</w:t>
      </w:r>
    </w:p>
    <w:p w14:paraId="2D81A857" w14:textId="77777777" w:rsidR="00D65CB4" w:rsidRPr="00BC4EE7" w:rsidRDefault="00572307">
      <w:pPr>
        <w:pStyle w:val="P68B1DB1-Normal4"/>
        <w:spacing w:before="120" w:after="120" w:line="240" w:lineRule="auto"/>
        <w:jc w:val="both"/>
        <w:rPr>
          <w:rFonts w:eastAsia="Times New Roman" w:cs="Times New Roman"/>
          <w:noProof/>
        </w:rPr>
      </w:pPr>
      <w:r w:rsidRPr="00BC4EE7">
        <w:rPr>
          <w:rFonts w:cs="Times New Roman"/>
          <w:noProof/>
        </w:rPr>
        <w:t xml:space="preserve">Ezek a rendeletek biztosítják az összehangolt irányítást a régiókban, valamint a kiterjesztett gyártói felelősségi rendszer végrehajtását. </w:t>
      </w:r>
    </w:p>
    <w:p w14:paraId="6223EE37" w14:textId="77777777" w:rsidR="00D65CB4" w:rsidRPr="00BC4EE7" w:rsidRDefault="00572307">
      <w:pPr>
        <w:pStyle w:val="P68B1DB1-Normal4"/>
        <w:spacing w:before="120" w:after="120" w:line="240" w:lineRule="auto"/>
        <w:jc w:val="both"/>
        <w:rPr>
          <w:rFonts w:eastAsia="Times New Roman" w:cs="Times New Roman"/>
          <w:noProof/>
          <w:shd w:val="clear" w:color="auto" w:fill="E6E6E6"/>
        </w:rPr>
      </w:pPr>
      <w:r w:rsidRPr="00BC4EE7">
        <w:rPr>
          <w:rFonts w:cs="Times New Roman"/>
          <w:noProof/>
        </w:rPr>
        <w:t>Emellett a reformnak magában kell foglalnia a körforgásos gazdaságra vonatkozó második cselekvési terv elfogadását, amelyet a körforgásos gazdaságra vonatkozó spanyol stratégia részeként a 2024–2026-os időszakban kell végrehajtani. A második cselekvési terv foglalkozik az első terv végrehajtása során azonosított kérdésekkel, valamint azokkal az ágazatokkal, ahol állami szintű kezdeményezésekre van szükség.</w:t>
      </w:r>
    </w:p>
    <w:p w14:paraId="1776A14E" w14:textId="75E6A396" w:rsidR="00D65CB4" w:rsidRPr="00BC4EE7" w:rsidRDefault="00572307">
      <w:pPr>
        <w:pStyle w:val="P68B1DB1-Normal4"/>
        <w:spacing w:before="120" w:after="120" w:line="240" w:lineRule="auto"/>
        <w:jc w:val="both"/>
        <w:rPr>
          <w:rFonts w:cs="Times New Roman"/>
          <w:noProof/>
        </w:rPr>
      </w:pPr>
      <w:r w:rsidRPr="00BC4EE7">
        <w:rPr>
          <w:rFonts w:cs="Times New Roman"/>
          <w:noProof/>
        </w:rPr>
        <w:t>Az intézkedés végrehajtását 2025. december 31-ig be kell fejezni.</w:t>
      </w:r>
    </w:p>
    <w:p w14:paraId="3D16E156"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 xml:space="preserve">Beruházás (C12.I1) – Ágazati adatterek a stratégiai termelési ágazatok digitalizálása érdekében </w:t>
      </w:r>
    </w:p>
    <w:p w14:paraId="31CF7C55"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Ezen intézkedés célja biztonságos és nagy adatterek létrehozása a stratégiai ipari ágazatokban, például az agrár-élelmiszeriparban, a fenntartható mobilitásban, az egészségügyben és a kereskedelmi ágazatban. Az innovációt, a hatékonyságot és a méretgazdaságosságot közös komponensek (építőelemek) fejlesztésével, valamint a közös infrastruktúrák és adatok (felhőplatformok, szuper-számítástechnikai és tárolóhálózatok, nagy adathalmazok elemzése és mesterséges intelligencia) megosztásával kell előmozdítani. </w:t>
      </w:r>
    </w:p>
    <w:p w14:paraId="7FE1856B" w14:textId="1A0E4136" w:rsidR="00D65CB4" w:rsidRPr="00BC4EE7" w:rsidRDefault="00572307">
      <w:pPr>
        <w:spacing w:before="120" w:after="120" w:line="240" w:lineRule="auto"/>
        <w:jc w:val="both"/>
        <w:rPr>
          <w:rFonts w:ascii="Times New Roman" w:hAnsi="Times New Roman" w:cs="Times New Roman"/>
          <w:noProof/>
          <w:sz w:val="24"/>
        </w:rPr>
      </w:pPr>
      <w:r w:rsidRPr="00BC4EE7">
        <w:rPr>
          <w:rFonts w:ascii="Times New Roman" w:hAnsi="Times New Roman" w:cs="Times New Roman"/>
          <w:noProof/>
          <w:sz w:val="24"/>
        </w:rPr>
        <w:t>Az irányítási struktúrákat meg kell erősíteni az adatterek fejlesztése terén a köz- és magánszféra közötti együttműködés kialakítása érdekében. Emellett meg kell határozni az interoperabilitást biztosító mechanizmusokat, és megfelelő szabályokat és mechanizmusokat kell kidolgozni a vállalatok közötti adatmegosztás előmozdítása érdekében. A beruházást az Európai Bizottság „Európai adatstratégia” című közleményével</w:t>
      </w:r>
      <w:r w:rsidRPr="00BC4EE7">
        <w:rPr>
          <w:rStyle w:val="FootnoteReference"/>
          <w:rFonts w:ascii="Times New Roman" w:hAnsi="Times New Roman" w:cs="Times New Roman"/>
          <w:noProof/>
          <w:sz w:val="24"/>
        </w:rPr>
        <w:footnoteReference w:id="34"/>
      </w:r>
      <w:r w:rsidRPr="00BC4EE7">
        <w:rPr>
          <w:rFonts w:ascii="Times New Roman" w:hAnsi="Times New Roman" w:cs="Times New Roman"/>
          <w:noProof/>
          <w:sz w:val="24"/>
        </w:rPr>
        <w:t xml:space="preserve"> és az abban előirányzott intézkedésekkel, különösen a küszöbön álló adatmegosztási rendelettel és irányítási rendelettel,</w:t>
      </w:r>
      <w:r w:rsidRPr="00BC4EE7">
        <w:rPr>
          <w:rStyle w:val="FootnoteReference"/>
          <w:rFonts w:ascii="Times New Roman" w:hAnsi="Times New Roman" w:cs="Times New Roman"/>
          <w:noProof/>
          <w:sz w:val="24"/>
        </w:rPr>
        <w:footnoteReference w:id="35"/>
      </w:r>
      <w:r w:rsidRPr="00BC4EE7">
        <w:rPr>
          <w:rFonts w:ascii="Times New Roman" w:hAnsi="Times New Roman" w:cs="Times New Roman"/>
          <w:noProof/>
          <w:sz w:val="24"/>
        </w:rPr>
        <w:t>valamint az EU számításifelhő-szövetségével összhangban kell végrehajtani. A szinergiáknak biztosítaniuk kell a Digitális Európa programmal való kiegészítő jelleget</w:t>
      </w:r>
      <w:r w:rsidRPr="00BC4EE7">
        <w:rPr>
          <w:rStyle w:val="FootnoteReference"/>
          <w:rFonts w:ascii="Times New Roman" w:hAnsi="Times New Roman" w:cs="Times New Roman"/>
          <w:noProof/>
          <w:sz w:val="24"/>
        </w:rPr>
        <w:footnoteReference w:id="36"/>
      </w:r>
      <w:r w:rsidRPr="00BC4EE7">
        <w:rPr>
          <w:rFonts w:ascii="Times New Roman" w:hAnsi="Times New Roman" w:cs="Times New Roman"/>
          <w:noProof/>
          <w:sz w:val="24"/>
        </w:rPr>
        <w:t>. A beruházást össze kell hangolni a fő hivatkozásokkal és szabványokkal, például a Nemzetközi Adattér-szövetség (IDS) által támogatottakkal.</w:t>
      </w:r>
    </w:p>
    <w:p w14:paraId="09C85116"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2023. december 31-ig legalább négy nagy értékű ágazati és interoperábilis adatteret kell támogatni az agrár-élelmiszeripari ágazatban, a fenntartható mobilitási ágazatban, az egészségügyi ágazatban és a kereskedelmi ágazatban.</w:t>
      </w:r>
    </w:p>
    <w:p w14:paraId="64DB6C2B"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beruházás végrehajtását 2026. június 30-ig be kell fejezni. </w:t>
      </w:r>
    </w:p>
    <w:p w14:paraId="50D189C8" w14:textId="77777777" w:rsidR="00D65CB4" w:rsidRPr="00BC4EE7" w:rsidRDefault="00572307">
      <w:pPr>
        <w:pStyle w:val="P68B1DB1-Normal5"/>
        <w:keepNext/>
        <w:spacing w:before="120" w:after="120" w:line="240" w:lineRule="auto"/>
        <w:jc w:val="both"/>
        <w:rPr>
          <w:rFonts w:cs="Times New Roman"/>
          <w:noProof/>
        </w:rPr>
      </w:pPr>
      <w:r w:rsidRPr="00BC4EE7">
        <w:rPr>
          <w:rFonts w:cs="Times New Roman"/>
          <w:noProof/>
        </w:rPr>
        <w:t xml:space="preserve">Beruházás (C12.I2) – A versenyképességet és az ipari fenntarthatóságot ösztönző program </w:t>
      </w:r>
    </w:p>
    <w:p w14:paraId="119FA788" w14:textId="77777777" w:rsidR="00D65CB4" w:rsidRPr="00BC4EE7" w:rsidRDefault="00572307">
      <w:pPr>
        <w:pStyle w:val="P68B1DB1-Normal4"/>
        <w:keepNext/>
        <w:spacing w:before="120" w:after="120" w:line="240" w:lineRule="auto"/>
        <w:jc w:val="both"/>
        <w:rPr>
          <w:rFonts w:cs="Times New Roman"/>
          <w:noProof/>
        </w:rPr>
      </w:pPr>
      <w:r w:rsidRPr="00BC4EE7">
        <w:rPr>
          <w:rFonts w:cs="Times New Roman"/>
          <w:noProof/>
        </w:rPr>
        <w:t xml:space="preserve">Ezen intézkedés célja a Spanyolország ipari átalakulása szempontjából kulcsfontosságú stratégiai ágazatok – például a gépjárműipar és az elektromos járművek, az agrár-élelmiszeripar, az egészségügy, a repüléstechnikai és a haditengerészeti ágazat, a megújuló energiákhoz kapcsolódó ipari ágazatok, valamint a processzorok és félvezető technológiák tervezéséhez és gyártásához szükséges képességek – átalakításának előmozdítása. E fellépés keretében legalább három nagy stratégiai projektet (úgynevezett „PERTE”) kell támogatni, amelyek az érintett ágazat teljes értékláncát felölelik, beleértve a kkv-k támogatását is. </w:t>
      </w:r>
    </w:p>
    <w:p w14:paraId="34EAD922"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Ez az intézkedés kisebb léptékű projekteket is finanszíroz, mint például az ipari szimuláció, a fejlett anyagok, a virtuális valóság, valamint az együttműködésen alapuló és kognitív robotika. Az intézkedésnek továbbra is támogatnia kell a fenntartható ipari infrastruktúrákat, például az ipari parkokat vagy a logisztikai területeket. Az intézkedés ezen elemének részeként a spanyol helyreállítási és rezilienciaépítési tervnek legalább 78 olyan innovatív projektet kell finanszíroznia, amelyek jelentős ipari átalakulást eredményeznek az energiahatékonyság, a fenntarthatóság és a digitális transzformáció tekintetében.</w:t>
      </w:r>
    </w:p>
    <w:p w14:paraId="3098C731"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Miután a Miniszterek Tanácsa jóváhagyta a PERTE-t, az illetékes minisztérium versenyfelhívást tesz közzé a jóváhagyott PERTE keretében kidolgozandó konkrét javaslatok fogadása céljából. Az olyan támogatási intézkedések végrehajtására, amelyek az EUMSZ 107. cikkével összhangban állami támogatásnak minősülhetnek, és amelyek esetében szükség lehet a Bizottságnak történő előzetes bejelentésre, csak azt követően kerülhet sor, hogy Spanyolország megkapta az állami támogatás Bizottság általi jóváhagyását. </w:t>
      </w:r>
    </w:p>
    <w:p w14:paraId="701E7478" w14:textId="77777777" w:rsidR="00D65CB4" w:rsidRPr="00BC4EE7" w:rsidRDefault="00572307">
      <w:pPr>
        <w:pStyle w:val="Text1"/>
        <w:ind w:left="0"/>
        <w:rPr>
          <w:rFonts w:ascii="Times New Roman" w:hAnsi="Times New Roman" w:cs="Times New Roman"/>
          <w:noProof/>
        </w:rPr>
      </w:pPr>
      <w:r w:rsidRPr="00BC4EE7">
        <w:rPr>
          <w:rFonts w:ascii="Times New Roman" w:hAnsi="Times New Roman" w:cs="Times New Roman"/>
          <w:noProof/>
        </w:rPr>
        <w:t>A Miniszterek Tanácsának a PERTE-t jóváhagyó határozata részletes kiválasztási kritériumokat tartalmaz a jelentős károkozás elkerülését célzó technikai iránymutatásnak (2021/C58/01) való megfelelés biztosítása érdekében. Annak biztosítása érdekében, hogy az intézkedés megfeleljen a jelentős károkozás elkerülését célzó elvről szóló technikai iránymutatásnak (2021/C58/01), a soron következő pályázati felhívásokra vonatkozó feladatmeghatározásban szereplő támogathatósági kritériumok nem tartalmazzák a tevékenységek alábbi listáját: a fosszilis tüzelőanyagokkal kapcsolatos tevékenységek, beleértve a továbbfelhasználást is</w:t>
      </w:r>
      <w:r w:rsidRPr="00BC4EE7">
        <w:rPr>
          <w:rStyle w:val="FootnoteReference"/>
          <w:rFonts w:ascii="Times New Roman" w:hAnsi="Times New Roman" w:cs="Times New Roman"/>
          <w:noProof/>
        </w:rPr>
        <w:footnoteReference w:id="37"/>
      </w:r>
      <w:r w:rsidRPr="00BC4EE7">
        <w:rPr>
          <w:rFonts w:ascii="Times New Roman" w:hAnsi="Times New Roman" w:cs="Times New Roman"/>
          <w:noProof/>
        </w:rPr>
        <w:t>; ii. az uniós kibocsátáskereskedelmi rendszer (ETS) keretében végzett tevékenységek, amelyek elérik a vonatkozó referenciaértékeket meg nem haladó, előre jelzett üvegházhatásúgáz-kibocsátást</w:t>
      </w:r>
      <w:r w:rsidRPr="00BC4EE7">
        <w:rPr>
          <w:rStyle w:val="FootnoteReference"/>
          <w:rFonts w:ascii="Times New Roman" w:hAnsi="Times New Roman" w:cs="Times New Roman"/>
          <w:noProof/>
        </w:rPr>
        <w:footnoteReference w:id="38"/>
      </w:r>
      <w:r w:rsidRPr="00BC4EE7">
        <w:rPr>
          <w:rFonts w:ascii="Times New Roman" w:hAnsi="Times New Roman" w:cs="Times New Roman"/>
          <w:noProof/>
        </w:rPr>
        <w:t>; iii. a kibocsátáskereskedelmi rendszer közvetett költségeinek ellentételezése; iv. a hulladéklerakókkal, hulladékégetőkkel</w:t>
      </w:r>
      <w:r w:rsidRPr="00BC4EE7">
        <w:rPr>
          <w:rStyle w:val="FootnoteReference"/>
          <w:rFonts w:ascii="Times New Roman" w:hAnsi="Times New Roman" w:cs="Times New Roman"/>
          <w:noProof/>
        </w:rPr>
        <w:footnoteReference w:id="39"/>
      </w:r>
      <w:r w:rsidRPr="00BC4EE7">
        <w:rPr>
          <w:rFonts w:ascii="Times New Roman" w:hAnsi="Times New Roman" w:cs="Times New Roman"/>
          <w:noProof/>
        </w:rPr>
        <w:t xml:space="preserve"> és mechanikai-biológiai hulladékkezelő létesítményekkel kapcsolatos tevékenységek</w:t>
      </w:r>
      <w:r w:rsidRPr="00BC4EE7">
        <w:rPr>
          <w:rStyle w:val="FootnoteReference"/>
          <w:rFonts w:ascii="Times New Roman" w:hAnsi="Times New Roman" w:cs="Times New Roman"/>
          <w:noProof/>
        </w:rPr>
        <w:footnoteReference w:id="40"/>
      </w:r>
      <w:r w:rsidRPr="00BC4EE7">
        <w:rPr>
          <w:rFonts w:ascii="Times New Roman" w:hAnsi="Times New Roman" w:cs="Times New Roman"/>
          <w:noProof/>
        </w:rPr>
        <w:t xml:space="preserve">; és v. olyan tevékenységek, amelyek esetében a hosszú távú hulladékártalmatlanítás károsíthatja a környezetet. A feladatmeghatározás előírja továbbá, hogy csak olyan tevékenységek választhatók ki, amelyek megfelelnek a vonatkozó uniós és nemzeti környezetvédelmi jogszabályoknak. </w:t>
      </w:r>
    </w:p>
    <w:p w14:paraId="5B671F58" w14:textId="77777777" w:rsidR="00D65CB4" w:rsidRPr="00BC4EE7" w:rsidRDefault="00572307">
      <w:pPr>
        <w:pStyle w:val="P68B1DB1-Text118"/>
        <w:ind w:left="0"/>
        <w:rPr>
          <w:rFonts w:cs="Times New Roman"/>
          <w:noProof/>
          <w:highlight w:val="green"/>
        </w:rPr>
      </w:pPr>
      <w:r w:rsidRPr="00BC4EE7">
        <w:rPr>
          <w:rFonts w:cs="Times New Roman"/>
          <w:noProof/>
        </w:rPr>
        <w:t>Az e beruházás keretében végrehajtott következő K+F+I tevékenységeket úgy kell tekinteni, hogy megfelelnek a jelentős károkozás elkerülését célzó technikai iránymutatásnak (2021/C58/01): E beruházás keretében a vállalatok környezeti fenntarthatóságának jelentős növelésére (például dekarbonizáció, szennyezéscsökkentés és körforgásos gazdaság) irányuló K+F+I tevékenységek, amennyiben az e beruházás keretében végrehajtott K+F+I tevékenységek elsődleges célja az ágazatban a lehető legkisebb környezeti hatással járó alternatívák kifejlesztése vagy kiigazítása.</w:t>
      </w:r>
    </w:p>
    <w:p w14:paraId="1E2A67A2" w14:textId="052CED05" w:rsidR="00D65CB4" w:rsidRPr="00BC4EE7" w:rsidRDefault="00572307">
      <w:pPr>
        <w:spacing w:before="120" w:after="120" w:line="240" w:lineRule="auto"/>
        <w:jc w:val="both"/>
        <w:rPr>
          <w:rFonts w:ascii="Times New Roman" w:hAnsi="Times New Roman" w:cs="Times New Roman"/>
          <w:noProof/>
          <w:sz w:val="24"/>
        </w:rPr>
      </w:pPr>
      <w:r w:rsidRPr="00BC4EE7">
        <w:rPr>
          <w:rFonts w:ascii="Times New Roman" w:hAnsi="Times New Roman" w:cs="Times New Roman"/>
          <w:noProof/>
          <w:sz w:val="24"/>
        </w:rPr>
        <w:t>A kiválasztási kritériumoknak biztosítaniuk kell, hogy a Helyreállítási és Rezilienciaépítési Eszköz létrehozásáról szóló, 2021. február 12-i (EU) 2021/241 európai parlamenti és tanácsi rendelet VI. mellékletével összhangban legalább 455 000 000 EUR 100%-os éghajlati együtthatóval és legalább 1 500 000 000 EUR 40%-os éghajlati együtthatóval járuljon hozzá az éghajlatváltozással kapcsolatos célkitűzésekhez.</w:t>
      </w:r>
      <w:r w:rsidRPr="00BC4EE7">
        <w:rPr>
          <w:rStyle w:val="FootnoteReference"/>
          <w:rFonts w:ascii="Times New Roman" w:hAnsi="Times New Roman" w:cs="Times New Roman"/>
          <w:noProof/>
          <w:sz w:val="24"/>
        </w:rPr>
        <w:footnoteReference w:id="41"/>
      </w:r>
      <w:r w:rsidRPr="00BC4EE7">
        <w:rPr>
          <w:rFonts w:ascii="Times New Roman" w:hAnsi="Times New Roman" w:cs="Times New Roman"/>
          <w:noProof/>
          <w:sz w:val="24"/>
        </w:rPr>
        <w:t xml:space="preserve"> Alternatív megoldásként, amennyiben az alternatív megközelítés esetleg nem megvalósítható, a kiválasztási kritériumoknak biztosítaniuk kell, hogy az (EU) 2021/241 rendelet VI. mellékletével összhangban legalább 2 531 500 000 EUR átlagosan legalább 40%-os éghajlat-együtthatóval</w:t>
      </w:r>
      <w:r w:rsidRPr="00BC4EE7">
        <w:rPr>
          <w:rFonts w:ascii="Times New Roman" w:hAnsi="Times New Roman" w:cs="Times New Roman"/>
          <w:noProof/>
          <w:sz w:val="24"/>
          <w:shd w:val="clear" w:color="auto" w:fill="E6E6E6"/>
        </w:rPr>
        <w:t xml:space="preserve"> </w:t>
      </w:r>
      <w:r w:rsidRPr="00BC4EE7">
        <w:rPr>
          <w:rFonts w:ascii="Times New Roman" w:hAnsi="Times New Roman" w:cs="Times New Roman"/>
          <w:noProof/>
          <w:sz w:val="24"/>
        </w:rPr>
        <w:t>járuljon hozzá az éghajlatváltozással kapcsolatos célkitűzésekhez.</w:t>
      </w:r>
    </w:p>
    <w:p w14:paraId="5BD68492"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beruházás végrehajtását 2026. június 30-ig be kell fejezni. </w:t>
      </w:r>
    </w:p>
    <w:p w14:paraId="4FA8C342" w14:textId="77777777" w:rsidR="00D65CB4" w:rsidRPr="00BC4EE7" w:rsidRDefault="00572307">
      <w:pPr>
        <w:pStyle w:val="P68B1DB1-Normal5"/>
        <w:keepNext/>
        <w:spacing w:before="120" w:after="120" w:line="240" w:lineRule="auto"/>
        <w:jc w:val="both"/>
        <w:rPr>
          <w:rFonts w:cs="Times New Roman"/>
          <w:noProof/>
        </w:rPr>
      </w:pPr>
      <w:r w:rsidRPr="00BC4EE7">
        <w:rPr>
          <w:rFonts w:cs="Times New Roman"/>
          <w:noProof/>
        </w:rPr>
        <w:t>Beruházás (C12.I3) – A hulladékokról szóló jogszabályok végrehajtását és a körforgásos gazdaság előmozdítását támogató terv</w:t>
      </w:r>
    </w:p>
    <w:p w14:paraId="18579C3C" w14:textId="77777777" w:rsidR="00D65CB4" w:rsidRPr="00BC4EE7" w:rsidRDefault="00572307">
      <w:pPr>
        <w:pStyle w:val="P68B1DB1-Normal4"/>
        <w:keepNext/>
        <w:spacing w:before="120" w:after="120" w:line="240" w:lineRule="auto"/>
        <w:jc w:val="both"/>
        <w:rPr>
          <w:rFonts w:cs="Times New Roman"/>
          <w:noProof/>
        </w:rPr>
      </w:pPr>
      <w:r w:rsidRPr="00BC4EE7">
        <w:rPr>
          <w:rFonts w:cs="Times New Roman"/>
          <w:noProof/>
        </w:rPr>
        <w:t xml:space="preserve">Ezen intézkedés célja, hogy segítse Spanyolországban a körforgásos gazdaság előmozdítását a nemzeti hulladékszabályozási keret végrehajtását és a hulladékkal kapcsolatos uniós célkitűzések elérését célzó projektek, valamint a körforgásos gazdaságra való átállás megkönnyítése érdekében a magánszektorban megvalósuló innovatív körforgásos gazdasági projektek finanszírozása révén.  </w:t>
      </w:r>
    </w:p>
    <w:p w14:paraId="74117ACB" w14:textId="50485F89" w:rsidR="00D65CB4" w:rsidRPr="00BC4EE7" w:rsidRDefault="00572307">
      <w:pPr>
        <w:spacing w:before="120" w:after="120" w:line="240" w:lineRule="auto"/>
        <w:jc w:val="both"/>
        <w:rPr>
          <w:rFonts w:ascii="Times New Roman" w:hAnsi="Times New Roman" w:cs="Times New Roman"/>
          <w:noProof/>
          <w:sz w:val="24"/>
        </w:rPr>
      </w:pPr>
      <w:r w:rsidRPr="00BC4EE7">
        <w:rPr>
          <w:rFonts w:ascii="Times New Roman" w:hAnsi="Times New Roman" w:cs="Times New Roman"/>
          <w:noProof/>
          <w:sz w:val="24"/>
        </w:rPr>
        <w:t>Az intézkedés támogatja a meglévő elkülönített hulladékgyűjtési rendszerek korszerűsítését, valamint a gyűjtőhelyekbe történő beruházásokat az újrafeldolgozás fokozása, az új hulladékkezelő üzemek építése és a meglévő mechanikai-biológiai szennyvíztisztító telepek erőforrás-hatékonyságának növelése érdekében, anélkül, hogy növelné azok élettartamát vagy kapacitását (üzemi szinten ellenőrizendő). Az intézkedés célkitűzésének ki kell terjednie a területen alkalmazott digitális megoldásokra és a körforgásos gazdaság vállalati szintű előmozdítására is. A javasolt cél az, hogy a tervezett projektek közül legalább 30 elkészüljön. Az intézkedés révén évente legalább</w:t>
      </w:r>
      <w:r w:rsidRPr="00BC4EE7">
        <w:rPr>
          <w:rFonts w:ascii="Times New Roman" w:hAnsi="Times New Roman" w:cs="Times New Roman"/>
          <w:noProof/>
        </w:rPr>
        <w:t xml:space="preserve"> 1500000 tonna új kezelési kapacitás jön létre az elkülönítetten gyűjtött települési hulladék kezelésére. </w:t>
      </w:r>
      <w:r w:rsidRPr="00BC4EE7">
        <w:rPr>
          <w:rFonts w:ascii="Times New Roman" w:hAnsi="Times New Roman" w:cs="Times New Roman"/>
          <w:noProof/>
          <w:sz w:val="24"/>
        </w:rPr>
        <w:t xml:space="preserve"> </w:t>
      </w:r>
    </w:p>
    <w:p w14:paraId="5DA0A525" w14:textId="2980A241" w:rsidR="00D65CB4" w:rsidRPr="00BC4EE7" w:rsidRDefault="00572307">
      <w:pPr>
        <w:pStyle w:val="P68B1DB1-Normal4"/>
        <w:spacing w:before="120" w:after="120" w:line="240" w:lineRule="auto"/>
        <w:jc w:val="both"/>
        <w:rPr>
          <w:rFonts w:cs="Times New Roman"/>
          <w:noProof/>
        </w:rPr>
      </w:pPr>
      <w:r w:rsidRPr="00BC4EE7">
        <w:rPr>
          <w:rFonts w:cs="Times New Roman"/>
          <w:noProof/>
        </w:rPr>
        <w:t>Az intézkedés magában foglalja továbbá a hulladékokra vonatkozó jogszabályokat végrehajtó projektekre szánt pénzeszközöknek az autonóm közösségek közötti elosztását, amelyeket egy ágazati konferencián vagy a támogatásokról szóló 38/2003. sz. általános törvénnyel összhangban közvetlen támogatás útján kell elfogadni és jóváhagyni, 2024 végéig.</w:t>
      </w:r>
    </w:p>
    <w:p w14:paraId="76EC6FC1" w14:textId="77777777" w:rsidR="00D65CB4" w:rsidRPr="00BC4EE7" w:rsidRDefault="00572307">
      <w:pPr>
        <w:pStyle w:val="Text1"/>
        <w:ind w:left="0"/>
        <w:rPr>
          <w:rFonts w:ascii="Times New Roman" w:hAnsi="Times New Roman" w:cs="Times New Roman"/>
          <w:noProof/>
          <w:highlight w:val="green"/>
        </w:rPr>
      </w:pPr>
      <w:r w:rsidRPr="00BC4EE7">
        <w:rPr>
          <w:rFonts w:ascii="Times New Roman" w:hAnsi="Times New Roman" w:cs="Times New Roman"/>
          <w:noProof/>
        </w:rPr>
        <w:t>Annak biztosítása érdekében, hogy az intézkedés megfeleljen a jelentős károkozás elkerülését célzó elvről szóló technikai iránymutatásnak (2021/C58/01), a soron következő pályázati felhívásokra vonatkozó feladatmeghatározásban szereplő támogathatósági kritériumok nem tartalmazzák a tevékenységek alábbi listáját: a fosszilis tüzelőanyagokkal kapcsolatos tevékenységek, beleértve a továbbfelhasználást is</w:t>
      </w:r>
      <w:r w:rsidRPr="00BC4EE7">
        <w:rPr>
          <w:rStyle w:val="FootnoteReference"/>
          <w:rFonts w:ascii="Times New Roman" w:hAnsi="Times New Roman" w:cs="Times New Roman"/>
          <w:noProof/>
        </w:rPr>
        <w:footnoteReference w:id="42"/>
      </w:r>
      <w:r w:rsidRPr="00BC4EE7">
        <w:rPr>
          <w:rFonts w:ascii="Times New Roman" w:hAnsi="Times New Roman" w:cs="Times New Roman"/>
          <w:noProof/>
        </w:rPr>
        <w:t>; ii. az uniós kibocsátáskereskedelmi rendszer (ETS) keretében végzett tevékenységek, amelyek elérik a vonatkozó referenciaértékeket meg nem haladó, előre jelzett üvegházhatásúgáz-kibocsátást</w:t>
      </w:r>
      <w:r w:rsidRPr="00BC4EE7">
        <w:rPr>
          <w:rStyle w:val="FootnoteReference"/>
          <w:rFonts w:ascii="Times New Roman" w:hAnsi="Times New Roman" w:cs="Times New Roman"/>
          <w:noProof/>
        </w:rPr>
        <w:footnoteReference w:id="43"/>
      </w:r>
      <w:r w:rsidRPr="00BC4EE7">
        <w:rPr>
          <w:rFonts w:ascii="Times New Roman" w:hAnsi="Times New Roman" w:cs="Times New Roman"/>
          <w:noProof/>
        </w:rPr>
        <w:t>; hulladéklerakókkal, hulladékégetőkkel</w:t>
      </w:r>
      <w:r w:rsidRPr="00BC4EE7">
        <w:rPr>
          <w:rStyle w:val="FootnoteReference"/>
          <w:rFonts w:ascii="Times New Roman" w:hAnsi="Times New Roman" w:cs="Times New Roman"/>
          <w:noProof/>
        </w:rPr>
        <w:footnoteReference w:id="44"/>
      </w:r>
      <w:r w:rsidRPr="00BC4EE7">
        <w:rPr>
          <w:rFonts w:ascii="Times New Roman" w:hAnsi="Times New Roman" w:cs="Times New Roman"/>
          <w:noProof/>
        </w:rPr>
        <w:t xml:space="preserve"> és mechanikai-biológiai hulladékkezelő létesítményekkel kapcsolatos tevékenységek</w:t>
      </w:r>
      <w:r w:rsidRPr="00BC4EE7">
        <w:rPr>
          <w:rStyle w:val="FootnoteReference"/>
          <w:rFonts w:ascii="Times New Roman" w:hAnsi="Times New Roman" w:cs="Times New Roman"/>
          <w:noProof/>
        </w:rPr>
        <w:footnoteReference w:id="45"/>
      </w:r>
      <w:r w:rsidRPr="00BC4EE7">
        <w:rPr>
          <w:rFonts w:ascii="Times New Roman" w:hAnsi="Times New Roman" w:cs="Times New Roman"/>
          <w:noProof/>
        </w:rPr>
        <w:t>; valamint iv. azok a tevékenységek, amelyek esetében a hulladék hosszú távú ártalmatlanítása károsíthatja a környezetet. A feladatmeghatározás előírja továbbá, hogy csak olyan tevékenységek választhatók ki, amelyek megfelelnek a vonatkozó uniós és nemzeti környezetvédelmi jogszabályoknak.</w:t>
      </w:r>
    </w:p>
    <w:p w14:paraId="67882DDB" w14:textId="2988A829"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beruházás végrehajtását 2026. június 30-ig be kell fejezni. </w:t>
      </w:r>
    </w:p>
    <w:p w14:paraId="6E541661" w14:textId="34B2B521"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(C12.I4) – A félvezető-értéklánc iparának megerősítése</w:t>
      </w:r>
    </w:p>
    <w:p w14:paraId="2AEB6FB1" w14:textId="7BF88EAA" w:rsidR="00D65CB4" w:rsidRPr="00BC4EE7" w:rsidRDefault="00572307">
      <w:pPr>
        <w:pStyle w:val="P68B1DB1-Normal4"/>
        <w:spacing w:before="120" w:after="120" w:line="240" w:lineRule="auto"/>
        <w:jc w:val="both"/>
        <w:rPr>
          <w:rFonts w:eastAsia="Times New Roman" w:cs="Times New Roman"/>
          <w:noProof/>
        </w:rPr>
      </w:pPr>
      <w:r w:rsidRPr="00BC4EE7">
        <w:rPr>
          <w:rFonts w:cs="Times New Roman"/>
          <w:noProof/>
        </w:rPr>
        <w:t xml:space="preserve">A beruházás célja, hogy vissza nem térítendő támogatások révén támogatást nyújtson a félvezető-értéklánchoz kapcsolódó projektekhez a nemzeti mikroelektronikai ökoszisztéma megerősítése és a spanyol vállalatok mikroelektronikára és kommunikációs technológiákra vonatkozó közös európai érdeket szolgáló fontos projektben való részvétele hatásának kiterjesztése érdekében. Ez a támogatás növeli a félvezetőipar tervezési és gyártási kapacitását Spanyolországban. </w:t>
      </w:r>
    </w:p>
    <w:p w14:paraId="252894DF" w14:textId="22BBE09C" w:rsidR="00D65CB4" w:rsidRPr="00BC4EE7" w:rsidRDefault="00572307">
      <w:pPr>
        <w:pStyle w:val="P68B1DB1-Normal4"/>
        <w:spacing w:before="120" w:after="120" w:line="240" w:lineRule="auto"/>
        <w:jc w:val="both"/>
        <w:rPr>
          <w:rFonts w:eastAsia="Times New Roman" w:cs="Times New Roman"/>
          <w:noProof/>
        </w:rPr>
      </w:pPr>
      <w:r w:rsidRPr="00BC4EE7">
        <w:rPr>
          <w:rFonts w:cs="Times New Roman"/>
          <w:noProof/>
        </w:rPr>
        <w:t>Ezen intézkedés végrehajtása két eszköztípuson keresztül történik:</w:t>
      </w:r>
    </w:p>
    <w:p w14:paraId="20E3F200" w14:textId="098613EF" w:rsidR="00D65CB4" w:rsidRPr="00BC4EE7" w:rsidRDefault="00572307">
      <w:pPr>
        <w:pStyle w:val="P68B1DB1-ListParagraph6"/>
        <w:numPr>
          <w:ilvl w:val="0"/>
          <w:numId w:val="306"/>
        </w:numPr>
        <w:spacing w:after="0" w:line="240" w:lineRule="auto"/>
        <w:jc w:val="both"/>
        <w:rPr>
          <w:rFonts w:eastAsia="Times New Roman" w:cs="Times New Roman"/>
          <w:noProof/>
        </w:rPr>
      </w:pPr>
      <w:r w:rsidRPr="00BC4EE7">
        <w:rPr>
          <w:rFonts w:cs="Times New Roman"/>
          <w:noProof/>
        </w:rPr>
        <w:t>Az első a spanyol társaságoknak az Európai Bizottság által jóváhagyott közös európai érdeket szolgáló fontos projektekben (IPCEI-MCE) való részvételének támogatásához szükséges finanszírozást egészíti ki.</w:t>
      </w:r>
    </w:p>
    <w:p w14:paraId="7E2A4962" w14:textId="1A1CEB12" w:rsidR="00D65CB4" w:rsidRPr="00BC4EE7" w:rsidRDefault="00572307">
      <w:pPr>
        <w:pStyle w:val="P68B1DB1-ListParagraph6"/>
        <w:numPr>
          <w:ilvl w:val="0"/>
          <w:numId w:val="306"/>
        </w:numPr>
        <w:spacing w:after="0" w:line="240" w:lineRule="auto"/>
        <w:jc w:val="both"/>
        <w:rPr>
          <w:rFonts w:eastAsia="Times New Roman" w:cs="Times New Roman"/>
          <w:noProof/>
        </w:rPr>
      </w:pPr>
      <w:r w:rsidRPr="00BC4EE7">
        <w:rPr>
          <w:rFonts w:cs="Times New Roman"/>
          <w:noProof/>
        </w:rPr>
        <w:t>A második, a nemzeti pályázati felhívásnak a félvezetőipar értékláncában részt vevő vállalkozások által kidolgozott egyéb projektek finanszírozására kell összpontosítania.</w:t>
      </w:r>
    </w:p>
    <w:p w14:paraId="374E2A04"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beruházást 2026. augusztus 31-ig be kell fejezni.</w:t>
      </w:r>
    </w:p>
    <w:p w14:paraId="6351683B" w14:textId="43F82796"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(C12.I5) – A körforgásos gazdaságot támogató támogatási rendszer</w:t>
      </w:r>
    </w:p>
    <w:p w14:paraId="45188051" w14:textId="77B77B2F" w:rsidR="00D65CB4" w:rsidRPr="00BC4EE7" w:rsidRDefault="00572307">
      <w:pPr>
        <w:spacing w:before="120" w:after="120" w:line="240" w:lineRule="auto"/>
        <w:jc w:val="both"/>
        <w:textAlignment w:val="baseline"/>
        <w:rPr>
          <w:rFonts w:ascii="Times New Roman" w:hAnsi="Times New Roman" w:cs="Times New Roman"/>
          <w:noProof/>
        </w:rPr>
      </w:pPr>
      <w:bookmarkStart w:id="26" w:name="_Hlk145498671"/>
      <w:r w:rsidRPr="00BC4EE7">
        <w:rPr>
          <w:rStyle w:val="normaltextrun"/>
          <w:rFonts w:ascii="Times New Roman" w:hAnsi="Times New Roman" w:cs="Times New Roman"/>
          <w:noProof/>
          <w:sz w:val="24"/>
        </w:rPr>
        <w:t xml:space="preserve">Ez az intézkedés egy támogatási rendszerbe történő állami beruházásból áll, amelynek célja a magánberuházások ösztönzése és a körforgásos gazdaság vállalati szintű előmozdításának támogatása a spanyol gazdaság három kulcsfontosságú ágazatában: a textil- és divatiparban, a műanyagiparban és a megújuló energiával kapcsolatos berendezések ágazatában. A rendszer úgy működik, hogy a magánszektornak vissza nem térítendő támogatások vagy tőkebefektetések – többek között kockázati tőke- és tőkealapok – odaítélése révén pénzügyi ösztönzőket nyújt. A Helyreállítási és Rezilienciaépítési Eszköz beruházásai alapján a program kezdetben legalább 300 millió EUR összegű finanszírozást kíván biztosítani. </w:t>
      </w:r>
    </w:p>
    <w:p w14:paraId="1118D082" w14:textId="666D102B" w:rsidR="00D65CB4" w:rsidRPr="00BC4EE7" w:rsidRDefault="00572307">
      <w:pPr>
        <w:pStyle w:val="paragraph"/>
        <w:spacing w:before="0" w:beforeAutospacing="0" w:after="0" w:afterAutospacing="0"/>
        <w:jc w:val="both"/>
        <w:textAlignment w:val="baseline"/>
        <w:rPr>
          <w:rFonts w:ascii="Times New Roman" w:hAnsi="Times New Roman" w:cs="Times New Roman"/>
          <w:noProof/>
        </w:rPr>
      </w:pPr>
      <w:r w:rsidRPr="00BC4EE7">
        <w:rPr>
          <w:rStyle w:val="normaltextrun"/>
          <w:rFonts w:ascii="Times New Roman" w:hAnsi="Times New Roman" w:cs="Times New Roman"/>
          <w:noProof/>
        </w:rPr>
        <w:t>A programot végrehajtó partnerként az Instituto de Diversificación y Ahorro de la Energía (IDAE) és a Fundación Biodiversidad irányítja. A beruházás programba történő végrehajtása érdekében a kormány egy vagy több jogi eszközt fogad el(sajáttőke-befektetések esetében ez az eszköz az IDAE által jóváhagyandó befektetési politika lenne), amely létrehozza a rendszert, amely a következő elemeket tartalmazza:</w:t>
      </w:r>
    </w:p>
    <w:p w14:paraId="5707E25A" w14:textId="77777777" w:rsidR="00D65CB4" w:rsidRPr="00BC4EE7" w:rsidRDefault="00D65CB4">
      <w:pPr>
        <w:pStyle w:val="paragraph"/>
        <w:spacing w:before="0" w:beforeAutospacing="0" w:after="0" w:afterAutospacing="0"/>
        <w:jc w:val="both"/>
        <w:textAlignment w:val="baseline"/>
        <w:rPr>
          <w:rStyle w:val="normaltextrun"/>
          <w:rFonts w:ascii="Times New Roman" w:eastAsiaTheme="majorEastAsia" w:hAnsi="Times New Roman" w:cs="Times New Roman"/>
          <w:noProof/>
        </w:rPr>
      </w:pPr>
    </w:p>
    <w:p w14:paraId="1739F3C2" w14:textId="6ED69400" w:rsidR="00D65CB4" w:rsidRPr="00BC4EE7" w:rsidRDefault="00572307">
      <w:pPr>
        <w:pStyle w:val="P68B1DB1-paragraph24"/>
        <w:numPr>
          <w:ilvl w:val="0"/>
          <w:numId w:val="726"/>
        </w:numPr>
        <w:spacing w:before="0" w:beforeAutospacing="0" w:after="0" w:afterAutospacing="0"/>
        <w:jc w:val="both"/>
        <w:textAlignment w:val="baseline"/>
        <w:rPr>
          <w:rFonts w:cs="Times New Roman"/>
          <w:noProof/>
        </w:rPr>
      </w:pPr>
      <w:r w:rsidRPr="00BC4EE7">
        <w:rPr>
          <w:rFonts w:cs="Times New Roman"/>
          <w:noProof/>
        </w:rPr>
        <w:t>A rendszer döntéshozatali folyamatának leírása. A pályázatok értékelését és a program keretében a végleges odaítélési határozatokba vagy beruházási döntésekbe belefoglalandó kedvezményezettek kiválasztását értékelő testületnek kell elvégeznie, amelyet a spanyol kormánytól független tagok szavazatainak többségével kell jóváhagyni, azaz a végrehajtó partnerek által alkalmazott személyzetnek és/vagy más független szakértőknek kell lenniük. A program végleges beruházási döntése a beruházási bizottság vagy annak megfelelő irányító testület által javasolt beruházási döntéssel kapcsolatos (módosítás nélküli) jóváhagyásra vagy vétójog gyakorlására korlátozódik. Abban az esetben, ha a pályázók bármelyike részt vesz az IDAE-ben, és e felhívás költségvetése nem elegendő az összes beérkezett pályázat fedezésére, az értékelési eljárást az IDAE „Plan de Mitigación de Potenciales Confictos de Interés en Sociedades Participadas” című dokumentumának megfelelően külső ellenőrzésnek kell alávetni.</w:t>
      </w:r>
    </w:p>
    <w:p w14:paraId="71B3B126" w14:textId="4AE06E6F" w:rsidR="00D65CB4" w:rsidRPr="00BC4EE7" w:rsidRDefault="00572307">
      <w:pPr>
        <w:pStyle w:val="P68B1DB1-paragraph24"/>
        <w:numPr>
          <w:ilvl w:val="0"/>
          <w:numId w:val="726"/>
        </w:numPr>
        <w:spacing w:before="0" w:beforeAutospacing="0" w:after="0" w:afterAutospacing="0"/>
        <w:jc w:val="both"/>
        <w:textAlignment w:val="baseline"/>
        <w:rPr>
          <w:rFonts w:cs="Times New Roman"/>
          <w:noProof/>
        </w:rPr>
      </w:pPr>
      <w:r w:rsidRPr="00BC4EE7">
        <w:rPr>
          <w:rFonts w:cs="Times New Roman"/>
          <w:noProof/>
        </w:rPr>
        <w:t xml:space="preserve">A támogatható tevékenységek jegyzéke, amely a következő: </w:t>
      </w:r>
    </w:p>
    <w:p w14:paraId="66B23614" w14:textId="2F82F780" w:rsidR="00D65CB4" w:rsidRPr="00BC4EE7" w:rsidRDefault="00572307">
      <w:pPr>
        <w:pStyle w:val="paragraph"/>
        <w:numPr>
          <w:ilvl w:val="1"/>
          <w:numId w:val="726"/>
        </w:numPr>
        <w:spacing w:before="0" w:beforeAutospacing="0" w:after="0" w:afterAutospacing="0"/>
        <w:jc w:val="both"/>
        <w:textAlignment w:val="baseline"/>
        <w:rPr>
          <w:rStyle w:val="normaltextrun"/>
          <w:rFonts w:ascii="Times New Roman" w:eastAsiaTheme="minorHAnsi" w:hAnsi="Times New Roman" w:cs="Times New Roman"/>
          <w:noProof/>
          <w:sz w:val="22"/>
        </w:rPr>
      </w:pPr>
      <w:r w:rsidRPr="00BC4EE7">
        <w:rPr>
          <w:rStyle w:val="normaltextrun"/>
          <w:rFonts w:ascii="Times New Roman" w:hAnsi="Times New Roman" w:cs="Times New Roman"/>
          <w:noProof/>
        </w:rPr>
        <w:t>Textíliák, divat és műanyagok (legalább 200 000 000 EUR, amelyet a Fundación Biodiversidad kezel): infrastruktúrába, technológiákba és K+F+I-be történő beruházások az anyagok csökkentése, újrafelhasználása és újrafeldolgozása és/vagy újravalorizálása érdekében.</w:t>
      </w:r>
    </w:p>
    <w:p w14:paraId="5DD17CA6" w14:textId="6756D3E7" w:rsidR="00D65CB4" w:rsidRPr="00BC4EE7" w:rsidRDefault="00572307">
      <w:pPr>
        <w:pStyle w:val="paragraph"/>
        <w:numPr>
          <w:ilvl w:val="1"/>
          <w:numId w:val="726"/>
        </w:numPr>
        <w:spacing w:before="0" w:beforeAutospacing="0" w:after="0" w:afterAutospacing="0"/>
        <w:jc w:val="both"/>
        <w:textAlignment w:val="baseline"/>
        <w:rPr>
          <w:rStyle w:val="normaltextrun"/>
          <w:rFonts w:ascii="Times New Roman" w:hAnsi="Times New Roman" w:cs="Times New Roman"/>
          <w:noProof/>
        </w:rPr>
      </w:pPr>
      <w:r w:rsidRPr="00BC4EE7">
        <w:rPr>
          <w:rStyle w:val="normaltextrun"/>
          <w:rFonts w:ascii="Times New Roman" w:hAnsi="Times New Roman" w:cs="Times New Roman"/>
          <w:noProof/>
        </w:rPr>
        <w:t>Megújuló energiát hasznosító berendezések (legalább 100 000 000 EUR az IDAE kezelésében): a környezettudatos tervezésbe, az infrastruktúrába, a technológiákba, a K+F+I-be és/vagy az anyagok csökkentését, újrafelhasználását és újrafeldolgozását és/vagy újravalorizálását elősegítő létesítmények és rendszerek fejlesztésébe történő beruházások.</w:t>
      </w:r>
    </w:p>
    <w:p w14:paraId="2B1296E5" w14:textId="702A2607" w:rsidR="00D65CB4" w:rsidRPr="00BC4EE7" w:rsidRDefault="00572307">
      <w:pPr>
        <w:pStyle w:val="paragraph"/>
        <w:numPr>
          <w:ilvl w:val="0"/>
          <w:numId w:val="726"/>
        </w:numPr>
        <w:spacing w:before="0" w:beforeAutospacing="0" w:after="0" w:afterAutospacing="0"/>
        <w:jc w:val="both"/>
        <w:textAlignment w:val="baseline"/>
        <w:rPr>
          <w:rFonts w:ascii="Times New Roman" w:eastAsiaTheme="majorEastAsia" w:hAnsi="Times New Roman" w:cs="Times New Roman"/>
          <w:noProof/>
        </w:rPr>
      </w:pPr>
      <w:bookmarkStart w:id="27" w:name="_Hlk145500540"/>
      <w:r w:rsidRPr="00BC4EE7">
        <w:rPr>
          <w:rStyle w:val="normaltextrun"/>
          <w:rFonts w:ascii="Times New Roman" w:hAnsi="Times New Roman" w:cs="Times New Roman"/>
          <w:noProof/>
        </w:rPr>
        <w:t>A jelentős károkozás elkerülését célzó elvnek való megfelelés követelménye a Helyreállítási és Rezilienciaépítési Eszköz keretében, a DNSH technikai iránymutatásban (2021/C58/01) meghatározottak szerint. A jogi eszköz(ök) kizárja(k) különösen a következő tevékenységek listáját: a fosszilis tüzelőanyagokkal kapcsolatos tevékenységek, beleértve a továbbfelhasználást is</w:t>
      </w:r>
      <w:r w:rsidRPr="00BC4EE7">
        <w:rPr>
          <w:rStyle w:val="FootnoteReference"/>
          <w:rFonts w:ascii="Times New Roman" w:eastAsiaTheme="minorHAnsi" w:hAnsi="Times New Roman" w:cs="Times New Roman"/>
          <w:noProof/>
        </w:rPr>
        <w:footnoteReference w:id="46"/>
      </w:r>
      <w:r w:rsidRPr="00BC4EE7">
        <w:rPr>
          <w:rFonts w:ascii="Times New Roman" w:hAnsi="Times New Roman" w:cs="Times New Roman"/>
          <w:noProof/>
        </w:rPr>
        <w:t>; ii. az uniós kibocsátáskereskedelmi rendszer (ETS) keretében végzett tevékenységek, amelyek elérik a vonatkozó referenciaértékeket meg nem haladó, előre jelzett üvegházhatásúgáz-kibocsátást</w:t>
      </w:r>
      <w:r w:rsidRPr="00BC4EE7">
        <w:rPr>
          <w:rStyle w:val="FootnoteReference"/>
          <w:rFonts w:ascii="Times New Roman" w:eastAsiaTheme="minorHAnsi" w:hAnsi="Times New Roman" w:cs="Times New Roman"/>
          <w:noProof/>
        </w:rPr>
        <w:footnoteReference w:id="47"/>
      </w:r>
      <w:r w:rsidRPr="00BC4EE7">
        <w:rPr>
          <w:rFonts w:ascii="Times New Roman" w:hAnsi="Times New Roman" w:cs="Times New Roman"/>
          <w:noProof/>
        </w:rPr>
        <w:t>; valamint iii. a hulladéklerakókkal, hulladékégetőkkel</w:t>
      </w:r>
      <w:r w:rsidRPr="00BC4EE7">
        <w:rPr>
          <w:rStyle w:val="FootnoteReference"/>
          <w:rFonts w:ascii="Times New Roman" w:eastAsiaTheme="minorHAnsi" w:hAnsi="Times New Roman" w:cs="Times New Roman"/>
          <w:noProof/>
        </w:rPr>
        <w:footnoteReference w:id="48"/>
      </w:r>
      <w:r w:rsidRPr="00BC4EE7">
        <w:rPr>
          <w:rFonts w:ascii="Times New Roman" w:hAnsi="Times New Roman" w:cs="Times New Roman"/>
          <w:noProof/>
        </w:rPr>
        <w:t xml:space="preserve"> és mechanikai-biológiai hulladékkezelő létesítményekkel kapcsolatos tevékenységek</w:t>
      </w:r>
      <w:r w:rsidRPr="00BC4EE7">
        <w:rPr>
          <w:rStyle w:val="FootnoteReference"/>
          <w:rFonts w:ascii="Times New Roman" w:eastAsiaTheme="minorHAnsi" w:hAnsi="Times New Roman" w:cs="Times New Roman"/>
          <w:noProof/>
        </w:rPr>
        <w:footnoteReference w:id="49"/>
      </w:r>
      <w:r w:rsidRPr="00BC4EE7">
        <w:rPr>
          <w:rFonts w:ascii="Times New Roman" w:hAnsi="Times New Roman" w:cs="Times New Roman"/>
          <w:noProof/>
        </w:rPr>
        <w:t>. A vállalatok általános támogatása (beleértve a saját tőkét és a kockázati tőkét) esetében a jogi eszköz(ök) kizárja(k) azokat a vállalatokat, amelyek jelentős hangsúlyt</w:t>
      </w:r>
      <w:r w:rsidRPr="00BC4EE7">
        <w:rPr>
          <w:rFonts w:ascii="Times New Roman" w:hAnsi="Times New Roman" w:cs="Times New Roman"/>
          <w:noProof/>
        </w:rPr>
        <w:footnoteReference w:id="50"/>
      </w:r>
      <w:r w:rsidRPr="00BC4EE7">
        <w:rPr>
          <w:rFonts w:ascii="Times New Roman" w:hAnsi="Times New Roman" w:cs="Times New Roman"/>
          <w:noProof/>
        </w:rPr>
        <w:t xml:space="preserve"> fektetnek a következő ágazatokra: fosszilis tüzelőanyagokon alapuló energiatermelés és kapcsolódó tevékenységek</w:t>
      </w:r>
      <w:r w:rsidRPr="00BC4EE7">
        <w:rPr>
          <w:rFonts w:ascii="Times New Roman" w:hAnsi="Times New Roman" w:cs="Times New Roman"/>
          <w:noProof/>
        </w:rPr>
        <w:footnoteReference w:id="51"/>
      </w:r>
      <w:r w:rsidRPr="00BC4EE7">
        <w:rPr>
          <w:rFonts w:ascii="Times New Roman" w:hAnsi="Times New Roman" w:cs="Times New Roman"/>
          <w:noProof/>
        </w:rPr>
        <w:t>; ii. energiaigényes és/vagy magas szén-dioxid-kibocsátású iparágak</w:t>
      </w:r>
      <w:r w:rsidRPr="00BC4EE7">
        <w:rPr>
          <w:rFonts w:ascii="Times New Roman" w:hAnsi="Times New Roman" w:cs="Times New Roman"/>
          <w:noProof/>
        </w:rPr>
        <w:footnoteReference w:id="52"/>
      </w:r>
      <w:r w:rsidRPr="00BC4EE7">
        <w:rPr>
          <w:rFonts w:ascii="Times New Roman" w:hAnsi="Times New Roman" w:cs="Times New Roman"/>
          <w:noProof/>
        </w:rPr>
        <w:t>; szennyező járművek gyártása, bérlése vagy értékesítése</w:t>
      </w:r>
      <w:r w:rsidRPr="00BC4EE7">
        <w:rPr>
          <w:rFonts w:ascii="Times New Roman" w:hAnsi="Times New Roman" w:cs="Times New Roman"/>
          <w:noProof/>
        </w:rPr>
        <w:footnoteReference w:id="53"/>
      </w:r>
      <w:r w:rsidRPr="00BC4EE7">
        <w:rPr>
          <w:rFonts w:ascii="Times New Roman" w:hAnsi="Times New Roman" w:cs="Times New Roman"/>
          <w:noProof/>
        </w:rPr>
        <w:t>; IV. hulladékgyűjtés, hulladékkezelés és -ártalmatlanítás</w:t>
      </w:r>
      <w:r w:rsidRPr="00BC4EE7">
        <w:rPr>
          <w:rFonts w:ascii="Times New Roman" w:hAnsi="Times New Roman" w:cs="Times New Roman"/>
          <w:noProof/>
        </w:rPr>
        <w:footnoteReference w:id="54"/>
      </w:r>
      <w:r w:rsidRPr="00BC4EE7">
        <w:rPr>
          <w:rFonts w:ascii="Times New Roman" w:hAnsi="Times New Roman" w:cs="Times New Roman"/>
          <w:noProof/>
        </w:rPr>
        <w:t>, v. nukleáris üzemanyag feldolgozása, atomenergia előállítása. Ezen túlmenően a jogi eszköz(ök) előírja(k) a támogatási rendszerek végső kedvezményezettjei számára a vonatkozó uniós és nemzeti környezetvédelmi jogszabályoknak való megfelelést.</w:t>
      </w:r>
    </w:p>
    <w:p w14:paraId="60464F34" w14:textId="66B7E8FD" w:rsidR="00D65CB4" w:rsidRPr="00BC4EE7" w:rsidRDefault="00572307">
      <w:pPr>
        <w:pStyle w:val="P68B1DB1-paragraph24"/>
        <w:numPr>
          <w:ilvl w:val="0"/>
          <w:numId w:val="726"/>
        </w:numPr>
        <w:spacing w:before="0" w:beforeAutospacing="0" w:after="0" w:afterAutospacing="0"/>
        <w:jc w:val="both"/>
        <w:textAlignment w:val="baseline"/>
        <w:rPr>
          <w:rStyle w:val="normaltextrun"/>
          <w:rFonts w:eastAsiaTheme="majorEastAsia" w:cs="Times New Roman"/>
          <w:noProof/>
          <w:sz w:val="22"/>
        </w:rPr>
      </w:pPr>
      <w:bookmarkStart w:id="28" w:name="_Hlk145500550"/>
      <w:bookmarkEnd w:id="27"/>
      <w:r w:rsidRPr="00BC4EE7">
        <w:rPr>
          <w:rFonts w:cs="Times New Roman"/>
          <w:noProof/>
        </w:rPr>
        <w:t>Az a követelmény, hogy a támogatási rendszerek végső kedvezményezettjei nem részesülhetnek támogatásban más uniós eszközökből ugyanazon költségek fedezésére</w:t>
      </w:r>
      <w:bookmarkEnd w:id="28"/>
      <w:r w:rsidRPr="00BC4EE7">
        <w:rPr>
          <w:rFonts w:cs="Times New Roman"/>
          <w:noProof/>
        </w:rPr>
        <w:t>.</w:t>
      </w:r>
    </w:p>
    <w:p w14:paraId="7CC63F0B" w14:textId="389D6619" w:rsidR="00D65CB4" w:rsidRPr="00BC4EE7" w:rsidRDefault="00572307">
      <w:pPr>
        <w:pStyle w:val="ListParagraph"/>
        <w:numPr>
          <w:ilvl w:val="0"/>
          <w:numId w:val="726"/>
        </w:numPr>
        <w:jc w:val="both"/>
        <w:rPr>
          <w:rStyle w:val="normaltextrun"/>
          <w:rFonts w:ascii="Times New Roman" w:eastAsiaTheme="majorEastAsia" w:hAnsi="Times New Roman" w:cs="Times New Roman"/>
          <w:noProof/>
          <w:sz w:val="24"/>
        </w:rPr>
      </w:pPr>
      <w:r w:rsidRPr="00BC4EE7">
        <w:rPr>
          <w:rStyle w:val="normaltextrun"/>
          <w:rFonts w:ascii="Times New Roman" w:hAnsi="Times New Roman" w:cs="Times New Roman"/>
          <w:noProof/>
          <w:sz w:val="24"/>
        </w:rPr>
        <w:t>A program hatálya alá tartozó összeg és a támogatási program fel nem használt bevételeinek a fent felsorolt tevékenységekbe való újbóli befektetésére vonatkozó követelmény, 2026 után is.</w:t>
      </w:r>
    </w:p>
    <w:p w14:paraId="6CFD6B63" w14:textId="7190A871" w:rsidR="00D65CB4" w:rsidRPr="00BC4EE7" w:rsidRDefault="00572307">
      <w:pPr>
        <w:pStyle w:val="ListParagraph"/>
        <w:numPr>
          <w:ilvl w:val="0"/>
          <w:numId w:val="726"/>
        </w:numPr>
        <w:jc w:val="both"/>
        <w:rPr>
          <w:rStyle w:val="normaltextrun"/>
          <w:rFonts w:ascii="Times New Roman" w:eastAsiaTheme="majorEastAsia" w:hAnsi="Times New Roman" w:cs="Times New Roman"/>
          <w:noProof/>
          <w:sz w:val="24"/>
        </w:rPr>
      </w:pPr>
      <w:r w:rsidRPr="00BC4EE7">
        <w:rPr>
          <w:rStyle w:val="normaltextrun"/>
          <w:rFonts w:ascii="Times New Roman" w:hAnsi="Times New Roman" w:cs="Times New Roman"/>
          <w:noProof/>
          <w:sz w:val="24"/>
        </w:rPr>
        <w:t>A támogatási rendszerek éghajlat-politikai beruházásaira vonatkozó jelentéstételi követelmények</w:t>
      </w:r>
      <w:r w:rsidRPr="00BC4EE7">
        <w:rPr>
          <w:rStyle w:val="FootnoteReference"/>
          <w:rFonts w:ascii="Times New Roman" w:eastAsiaTheme="majorEastAsia" w:hAnsi="Times New Roman" w:cs="Times New Roman"/>
          <w:noProof/>
          <w:sz w:val="24"/>
        </w:rPr>
        <w:footnoteReference w:id="55"/>
      </w:r>
      <w:r w:rsidRPr="00BC4EE7">
        <w:rPr>
          <w:rStyle w:val="normaltextrun"/>
          <w:rFonts w:ascii="Times New Roman" w:hAnsi="Times New Roman" w:cs="Times New Roman"/>
          <w:noProof/>
          <w:sz w:val="24"/>
        </w:rPr>
        <w:t>.</w:t>
      </w:r>
    </w:p>
    <w:p w14:paraId="228CA13B" w14:textId="6D76C95E" w:rsidR="00D65CB4" w:rsidRPr="00BC4EE7" w:rsidRDefault="00572307">
      <w:pPr>
        <w:pStyle w:val="ListParagraph"/>
        <w:numPr>
          <w:ilvl w:val="0"/>
          <w:numId w:val="726"/>
        </w:numPr>
        <w:jc w:val="both"/>
        <w:rPr>
          <w:rStyle w:val="normaltextrun"/>
          <w:rFonts w:ascii="Times New Roman" w:eastAsiaTheme="majorEastAsia" w:hAnsi="Times New Roman" w:cs="Times New Roman"/>
          <w:noProof/>
          <w:sz w:val="24"/>
        </w:rPr>
      </w:pPr>
      <w:r w:rsidRPr="00BC4EE7">
        <w:rPr>
          <w:rStyle w:val="normaltextrun"/>
          <w:rFonts w:ascii="Times New Roman" w:hAnsi="Times New Roman" w:cs="Times New Roman"/>
          <w:noProof/>
          <w:sz w:val="24"/>
        </w:rPr>
        <w:t xml:space="preserve">A tőkebefektetések – beleértve a kockázati tőkét is – esetében a befektetési politika alapvető követelményei a források esetleges odaítélése tekintetében a következőket foglalják magukban:  </w:t>
      </w:r>
    </w:p>
    <w:p w14:paraId="0812194C" w14:textId="6D76C95E" w:rsidR="00D65CB4" w:rsidRPr="00BC4EE7" w:rsidRDefault="00572307">
      <w:pPr>
        <w:pStyle w:val="ListParagraph"/>
        <w:numPr>
          <w:ilvl w:val="1"/>
          <w:numId w:val="726"/>
        </w:numPr>
        <w:jc w:val="both"/>
        <w:rPr>
          <w:rStyle w:val="normaltextrun"/>
          <w:rFonts w:ascii="Times New Roman" w:eastAsiaTheme="majorEastAsia" w:hAnsi="Times New Roman" w:cs="Times New Roman"/>
          <w:noProof/>
          <w:sz w:val="24"/>
        </w:rPr>
      </w:pPr>
      <w:r w:rsidRPr="00BC4EE7">
        <w:rPr>
          <w:rStyle w:val="normaltextrun"/>
          <w:rFonts w:ascii="Times New Roman" w:hAnsi="Times New Roman" w:cs="Times New Roman"/>
          <w:noProof/>
          <w:sz w:val="24"/>
        </w:rPr>
        <w:t xml:space="preserve">A pénzügyi termék(ek) és a támogatható végső kedvezményezettek leírása </w:t>
      </w:r>
    </w:p>
    <w:p w14:paraId="39612950" w14:textId="5E85E411" w:rsidR="00D65CB4" w:rsidRPr="00BC4EE7" w:rsidRDefault="00572307">
      <w:pPr>
        <w:pStyle w:val="ListParagraph"/>
        <w:numPr>
          <w:ilvl w:val="1"/>
          <w:numId w:val="726"/>
        </w:numPr>
        <w:jc w:val="both"/>
        <w:rPr>
          <w:rStyle w:val="normaltextrun"/>
          <w:rFonts w:ascii="Times New Roman" w:eastAsiaTheme="majorEastAsia" w:hAnsi="Times New Roman" w:cs="Times New Roman"/>
          <w:noProof/>
          <w:sz w:val="24"/>
        </w:rPr>
      </w:pPr>
      <w:r w:rsidRPr="00BC4EE7">
        <w:rPr>
          <w:rStyle w:val="normaltextrun"/>
          <w:rFonts w:ascii="Times New Roman" w:hAnsi="Times New Roman" w:cs="Times New Roman"/>
          <w:noProof/>
          <w:sz w:val="24"/>
        </w:rPr>
        <w:t xml:space="preserve">Az a követelmény, hogy minden támogatott beruházás gazdaságilag életképes legyen.  </w:t>
      </w:r>
    </w:p>
    <w:p w14:paraId="3735BC1C" w14:textId="0610D4D4" w:rsidR="00D65CB4" w:rsidRPr="00BC4EE7" w:rsidRDefault="00572307">
      <w:pPr>
        <w:pStyle w:val="ListParagraph"/>
        <w:numPr>
          <w:ilvl w:val="0"/>
          <w:numId w:val="726"/>
        </w:numPr>
        <w:jc w:val="both"/>
        <w:rPr>
          <w:rStyle w:val="normaltextrun"/>
          <w:rFonts w:ascii="Times New Roman" w:eastAsiaTheme="majorEastAsia" w:hAnsi="Times New Roman" w:cs="Times New Roman"/>
          <w:noProof/>
          <w:sz w:val="24"/>
        </w:rPr>
      </w:pPr>
      <w:r w:rsidRPr="00BC4EE7">
        <w:rPr>
          <w:rStyle w:val="normaltextrun"/>
          <w:rFonts w:ascii="Times New Roman" w:hAnsi="Times New Roman" w:cs="Times New Roman"/>
          <w:noProof/>
          <w:sz w:val="24"/>
        </w:rPr>
        <w:t xml:space="preserve">A tőkebefektetések esetében, beleértve a kockázati tőkét is, a következő nyomonkövetési, ellenőrzési és ellenőrzési követelmények, beleértve a következőket: </w:t>
      </w:r>
    </w:p>
    <w:p w14:paraId="5813F73D" w14:textId="21990745" w:rsidR="00D65CB4" w:rsidRPr="00BC4EE7" w:rsidRDefault="00572307">
      <w:pPr>
        <w:pStyle w:val="P68B1DB1-Normal4"/>
        <w:numPr>
          <w:ilvl w:val="1"/>
          <w:numId w:val="726"/>
        </w:numPr>
        <w:spacing w:after="0" w:line="240" w:lineRule="auto"/>
        <w:jc w:val="both"/>
        <w:rPr>
          <w:rFonts w:cs="Times New Roman"/>
          <w:noProof/>
        </w:rPr>
      </w:pPr>
      <w:r w:rsidRPr="00BC4EE7">
        <w:rPr>
          <w:rFonts w:cs="Times New Roman"/>
          <w:noProof/>
        </w:rPr>
        <w:t>Az IDAE által a mozgósított beruházások jelentésére szolgáló monitoringrendszer leírása.</w:t>
      </w:r>
    </w:p>
    <w:p w14:paraId="530565DC" w14:textId="77278F4C" w:rsidR="00D65CB4" w:rsidRPr="00BC4EE7" w:rsidRDefault="00572307">
      <w:pPr>
        <w:pStyle w:val="P68B1DB1-paragraph24"/>
        <w:numPr>
          <w:ilvl w:val="1"/>
          <w:numId w:val="726"/>
        </w:numPr>
        <w:spacing w:before="0" w:beforeAutospacing="0" w:after="0" w:afterAutospacing="0"/>
        <w:jc w:val="both"/>
        <w:textAlignment w:val="baseline"/>
        <w:rPr>
          <w:rFonts w:eastAsiaTheme="majorEastAsia" w:cs="Times New Roman"/>
          <w:noProof/>
        </w:rPr>
      </w:pPr>
      <w:r w:rsidRPr="00BC4EE7">
        <w:rPr>
          <w:rFonts w:cs="Times New Roman"/>
          <w:noProof/>
        </w:rPr>
        <w:t>Az IDAE azon eljárásainak leírása, amelyek biztosítják a csalás, a korrupció és az összeférhetetlenség megelőzését, felderítését és korrekcióját.</w:t>
      </w:r>
    </w:p>
    <w:p w14:paraId="6576DF5B" w14:textId="18EBFB24" w:rsidR="00D65CB4" w:rsidRPr="00BC4EE7" w:rsidRDefault="00572307">
      <w:pPr>
        <w:pStyle w:val="ListParagraph"/>
        <w:numPr>
          <w:ilvl w:val="1"/>
          <w:numId w:val="726"/>
        </w:numPr>
        <w:rPr>
          <w:rStyle w:val="normaltextrun"/>
          <w:rFonts w:ascii="Times New Roman" w:eastAsiaTheme="majorEastAsia" w:hAnsi="Times New Roman" w:cs="Times New Roman"/>
          <w:noProof/>
          <w:sz w:val="24"/>
        </w:rPr>
      </w:pPr>
      <w:r w:rsidRPr="00BC4EE7">
        <w:rPr>
          <w:rStyle w:val="normaltextrun"/>
          <w:rFonts w:ascii="Times New Roman" w:hAnsi="Times New Roman" w:cs="Times New Roman"/>
          <w:noProof/>
          <w:sz w:val="24"/>
        </w:rPr>
        <w:t>Az egyes műveletek támogathatóságának a végrehajtási megállapodásban meghatározott követelményekkel összhangban történő, az egyes műveletek finanszírozására való kötelezettségvállalást megelőző ellenőrzésére vonatkozó kötelezettség.</w:t>
      </w:r>
    </w:p>
    <w:p w14:paraId="68FA448A" w14:textId="1F736C94" w:rsidR="00D65CB4" w:rsidRPr="00BC4EE7" w:rsidRDefault="00572307">
      <w:pPr>
        <w:pStyle w:val="ListParagraph"/>
        <w:numPr>
          <w:ilvl w:val="1"/>
          <w:numId w:val="726"/>
        </w:numPr>
        <w:jc w:val="both"/>
        <w:rPr>
          <w:rStyle w:val="normaltextrun"/>
          <w:rFonts w:ascii="Times New Roman" w:eastAsiaTheme="majorEastAsia" w:hAnsi="Times New Roman" w:cs="Times New Roman"/>
          <w:noProof/>
          <w:sz w:val="24"/>
        </w:rPr>
      </w:pPr>
      <w:r w:rsidRPr="00BC4EE7">
        <w:rPr>
          <w:rStyle w:val="normaltextrun"/>
          <w:rFonts w:ascii="Times New Roman" w:hAnsi="Times New Roman" w:cs="Times New Roman"/>
          <w:noProof/>
          <w:sz w:val="24"/>
        </w:rPr>
        <w:t>A kockázatalapú utólagos ellenőrzések elvégzésének kötelezettsége az IDAE ellenőrzési tervével összhangban. Ezeknek az ellenőrzéseknek meg kell győződniük i. arról, hogy az ellenőrzési rendszerek hatékonyak-e, beleértve a csalás, a korrupció és az összeférhetetlenség felderítését; a DNSH-elvnek, az állami támogatásokra vonatkozó szabályoknak és az éghajlat-politikai célkitűzésekre vonatkozó követelményeknek való megfelelés; és iii. tiszteletben tartják azt a követelményt, hogy az IDEA-nak ellenőriznie kell, hogy a végső kedvezményezett felelősségteljes nyilatkozatot nyújt-e be annak ellenőrzése érdekében, hogy ugyanazt a költséget egy másik uniós eszköz fedezi-e. Az ellenőrzések azt is ellenőrzik, hogy az ügyletek jogszerűek-e, és hogy betartják-e a rendszert létrehozó alkalmazandó jogi eszköz(ök) vagy beruházási politika feltételeit.</w:t>
      </w:r>
    </w:p>
    <w:p w14:paraId="2DF7F196" w14:textId="4A64BF29" w:rsidR="00D65CB4" w:rsidRPr="00BC4EE7" w:rsidRDefault="00572307">
      <w:pPr>
        <w:pStyle w:val="P68B1DB1-paragraph24"/>
        <w:spacing w:before="120" w:beforeAutospacing="0" w:after="120" w:afterAutospacing="0"/>
        <w:jc w:val="both"/>
        <w:textAlignment w:val="baseline"/>
        <w:rPr>
          <w:rFonts w:cs="Times New Roman"/>
          <w:noProof/>
        </w:rPr>
      </w:pPr>
      <w:bookmarkStart w:id="29" w:name="_Hlk145498759"/>
      <w:bookmarkEnd w:id="26"/>
      <w:r w:rsidRPr="00BC4EE7">
        <w:rPr>
          <w:rFonts w:cs="Times New Roman"/>
          <w:noProof/>
        </w:rPr>
        <w:t xml:space="preserve">A beruházás végrehajtását 2026. augusztus 31-ig be kell fejezni. </w:t>
      </w:r>
      <w:bookmarkEnd w:id="29"/>
    </w:p>
    <w:p w14:paraId="2B161184" w14:textId="2BD7C09D" w:rsidR="00D65CB4" w:rsidRPr="00BC4EE7" w:rsidRDefault="00572307">
      <w:pPr>
        <w:pStyle w:val="P68B1DB1-paragraph25"/>
        <w:spacing w:before="120" w:after="120"/>
        <w:jc w:val="both"/>
        <w:textAlignment w:val="baseline"/>
        <w:rPr>
          <w:rFonts w:cs="Times New Roman"/>
          <w:noProof/>
        </w:rPr>
      </w:pPr>
      <w:r w:rsidRPr="00BC4EE7">
        <w:rPr>
          <w:rFonts w:cs="Times New Roman"/>
          <w:noProof/>
        </w:rPr>
        <w:t>Beruházás (C12.I6) – Támogatási program az elektromos autók értékláncában megvalósuló stratégiai projektek támogatására (támogatások)</w:t>
      </w:r>
    </w:p>
    <w:p w14:paraId="08AAB58C" w14:textId="4985C9D0" w:rsidR="00D65CB4" w:rsidRPr="00BC4EE7" w:rsidRDefault="00572307">
      <w:pPr>
        <w:pStyle w:val="P68B1DB1-paragraph24"/>
        <w:spacing w:before="120" w:after="120"/>
        <w:jc w:val="both"/>
        <w:textAlignment w:val="baseline"/>
        <w:rPr>
          <w:rFonts w:cs="Times New Roman"/>
          <w:noProof/>
        </w:rPr>
      </w:pPr>
      <w:r w:rsidRPr="00BC4EE7">
        <w:rPr>
          <w:rFonts w:cs="Times New Roman"/>
          <w:noProof/>
        </w:rPr>
        <w:t>Ez az intézkedés egy olyan támogatási rendszerbe történő állami beruházásból áll, amely vissza nem térítendő támogatások révén ösztönzi az elektromos autók értékláncába történő magánberuházásokat. A programnak elő kell mozdítania a stratégiai ágazatok, például a gépjárműipar és az elektromos járművek átalakítását a magánszektornak nyújtott támogatások révén, a Miniszterek Tanácsa által jóváhagyott stratégiai projektek vagy PERTE-k keretében. A Helyreállítási és Rezilienciaépítési Eszköz beruházásai alapján a támogatási program kezdetben legalább 250 000 000 EUR összegű finanszírozást kíván biztosítani.</w:t>
      </w:r>
    </w:p>
    <w:p w14:paraId="18037602" w14:textId="555AC385" w:rsidR="00D65CB4" w:rsidRPr="00BC4EE7" w:rsidRDefault="00572307">
      <w:pPr>
        <w:pStyle w:val="P68B1DB1-paragraph24"/>
        <w:spacing w:before="120" w:after="120"/>
        <w:jc w:val="both"/>
        <w:textAlignment w:val="baseline"/>
        <w:rPr>
          <w:rFonts w:cs="Times New Roman"/>
          <w:noProof/>
        </w:rPr>
      </w:pPr>
      <w:r w:rsidRPr="00BC4EE7">
        <w:rPr>
          <w:rFonts w:cs="Times New Roman"/>
          <w:noProof/>
        </w:rPr>
        <w:t>A rendszert végrehajtó partnerként a SEPIDES irányítja. A vonatkozó jogi aktus e beruházás végrehajtása érdekében a SEPIDES-t közvállalkozássá alakítja át (ez a Spanyolország helyreállítási és rezilienciaépítési terve 31. komponensének 6. beruházása keretében mérföldkő).</w:t>
      </w:r>
    </w:p>
    <w:p w14:paraId="57D2DC67" w14:textId="4241956F" w:rsidR="00D65CB4" w:rsidRPr="00BC4EE7" w:rsidRDefault="00572307">
      <w:pPr>
        <w:pStyle w:val="P68B1DB1-paragraph24"/>
        <w:spacing w:before="120" w:after="120"/>
        <w:jc w:val="both"/>
        <w:textAlignment w:val="baseline"/>
        <w:rPr>
          <w:rFonts w:cs="Times New Roman"/>
          <w:noProof/>
        </w:rPr>
      </w:pPr>
      <w:r w:rsidRPr="00BC4EE7">
        <w:rPr>
          <w:rFonts w:cs="Times New Roman"/>
          <w:noProof/>
        </w:rPr>
        <w:t xml:space="preserve">A programba történő beruházás végrehajtása érdekében a kormány a programot létrehozó egy vagy több jogi eszközt fogad el, amelyek a következő elemeket tartalmazzák:  </w:t>
      </w:r>
    </w:p>
    <w:p w14:paraId="71E4313C" w14:textId="1106F10F" w:rsidR="00D65CB4" w:rsidRPr="00BC4EE7" w:rsidRDefault="00572307">
      <w:pPr>
        <w:pStyle w:val="P68B1DB1-paragraph24"/>
        <w:numPr>
          <w:ilvl w:val="0"/>
          <w:numId w:val="763"/>
        </w:numPr>
        <w:spacing w:before="120" w:after="120"/>
        <w:jc w:val="both"/>
        <w:textAlignment w:val="baseline"/>
        <w:rPr>
          <w:rFonts w:cs="Times New Roman"/>
          <w:noProof/>
        </w:rPr>
      </w:pPr>
      <w:r w:rsidRPr="00BC4EE7">
        <w:rPr>
          <w:rFonts w:cs="Times New Roman"/>
          <w:noProof/>
        </w:rPr>
        <w:t>A programra vonatkozó döntéshozatali eljárás leírása: A pályázatok értékelését és a program keretében a végleges odaítélési határozatokba vagy beruházási döntésekbe belefoglalandó kedvezményezettek kiválasztását értékelő bizottság vagy más ezzel egyenértékű irányító testület hozza meg, amelyet a spanyol kormánytól független tagok szavazatainak többségével kell jóváhagyni, azaz a SEPIDES által alkalmazott személyzetnek és/vagy más független szakértőknek kell lenniük. A program végleges beruházási döntése az értékelő bizottság vagy annak megfelelő irányító testület által javasolt beruházási döntéssel kapcsolatos (módosítás nélküli) jóváhagyásra vagy vétójog gyakorlására korlátozódik.</w:t>
      </w:r>
    </w:p>
    <w:p w14:paraId="70E00AA1" w14:textId="48F9DA2C" w:rsidR="00D65CB4" w:rsidRPr="00BC4EE7" w:rsidRDefault="00572307">
      <w:pPr>
        <w:pStyle w:val="P68B1DB1-paragraph24"/>
        <w:numPr>
          <w:ilvl w:val="0"/>
          <w:numId w:val="763"/>
        </w:numPr>
        <w:spacing w:before="120" w:after="120"/>
        <w:jc w:val="both"/>
        <w:textAlignment w:val="baseline"/>
        <w:rPr>
          <w:rFonts w:cs="Times New Roman"/>
          <w:noProof/>
        </w:rPr>
      </w:pPr>
      <w:r w:rsidRPr="00BC4EE7">
        <w:rPr>
          <w:rFonts w:cs="Times New Roman"/>
          <w:noProof/>
        </w:rPr>
        <w:t>Az ágazat zöld és digitális átalakulására irányuló, támogatásra jogosult tevékenységek jegyzéke, amelynek összege legalább 250 000 000 EUR. Az intézkedés olyan innovatív projekteket támogat, amelyek az ágazat energiahatékonysága, fenntarthatósága és digitális átalakulása szempontjából jelentős ipari átalakulást eredményeznek.</w:t>
      </w:r>
    </w:p>
    <w:p w14:paraId="68E02A32" w14:textId="55F7B6E0" w:rsidR="00D65CB4" w:rsidRPr="00BC4EE7" w:rsidRDefault="00572307">
      <w:pPr>
        <w:pStyle w:val="paragraph"/>
        <w:numPr>
          <w:ilvl w:val="0"/>
          <w:numId w:val="763"/>
        </w:numPr>
        <w:spacing w:before="120" w:after="120"/>
        <w:jc w:val="both"/>
        <w:textAlignment w:val="baseline"/>
        <w:rPr>
          <w:rFonts w:ascii="Times New Roman" w:hAnsi="Times New Roman" w:cs="Times New Roman"/>
          <w:noProof/>
        </w:rPr>
      </w:pPr>
      <w:r w:rsidRPr="00BC4EE7">
        <w:rPr>
          <w:rFonts w:ascii="Times New Roman" w:hAnsi="Times New Roman" w:cs="Times New Roman"/>
          <w:noProof/>
        </w:rPr>
        <w:t>A jelentős károkozás elkerülését célzó elvnek való megfelelés követelménye a Helyreállítási és Rezilienciaépítési Eszköz keretében, a DNSH technikai iránymutatásban (2021/C58/01) meghatározottak szerint. A jogi eszköz(ök) kizárja(k) különösen a következő tevékenységek listáját: a fosszilis tüzelőanyagokkal kapcsolatos tevékenységek, beleértve a továbbfelhasználást is</w:t>
      </w:r>
      <w:r w:rsidRPr="00BC4EE7">
        <w:rPr>
          <w:rStyle w:val="FootnoteReference"/>
          <w:rFonts w:ascii="Times New Roman" w:eastAsiaTheme="minorHAnsi" w:hAnsi="Times New Roman" w:cs="Times New Roman"/>
          <w:noProof/>
        </w:rPr>
        <w:footnoteReference w:id="56"/>
      </w:r>
      <w:r w:rsidRPr="00BC4EE7">
        <w:rPr>
          <w:rFonts w:ascii="Times New Roman" w:hAnsi="Times New Roman" w:cs="Times New Roman"/>
          <w:noProof/>
        </w:rPr>
        <w:t>; ii. az uniós kibocsátáskereskedelmi rendszer (ETS) keretében végzett tevékenységek, amelyek elérik a vonatkozó referenciaértékeket meg nem haladó, előre jelzett üvegházhatásúgáz-kibocsátást</w:t>
      </w:r>
      <w:r w:rsidRPr="00BC4EE7">
        <w:rPr>
          <w:rStyle w:val="FootnoteReference"/>
          <w:rFonts w:ascii="Times New Roman" w:eastAsiaTheme="minorHAnsi" w:hAnsi="Times New Roman" w:cs="Times New Roman"/>
          <w:noProof/>
        </w:rPr>
        <w:footnoteReference w:id="57"/>
      </w:r>
      <w:r w:rsidRPr="00BC4EE7">
        <w:rPr>
          <w:rFonts w:ascii="Times New Roman" w:hAnsi="Times New Roman" w:cs="Times New Roman"/>
          <w:noProof/>
        </w:rPr>
        <w:t>; valamint iii. a hulladéklerakókkal, hulladékégetőkkel</w:t>
      </w:r>
      <w:r w:rsidRPr="00BC4EE7">
        <w:rPr>
          <w:rStyle w:val="FootnoteReference"/>
          <w:rFonts w:ascii="Times New Roman" w:eastAsiaTheme="minorHAnsi" w:hAnsi="Times New Roman" w:cs="Times New Roman"/>
          <w:noProof/>
        </w:rPr>
        <w:footnoteReference w:id="58"/>
      </w:r>
      <w:r w:rsidRPr="00BC4EE7">
        <w:rPr>
          <w:rFonts w:ascii="Times New Roman" w:hAnsi="Times New Roman" w:cs="Times New Roman"/>
          <w:noProof/>
        </w:rPr>
        <w:t xml:space="preserve"> és mechanikai-biológiai hulladékkezelő létesítményekkel kapcsolatos tevékenységek</w:t>
      </w:r>
      <w:r w:rsidRPr="00BC4EE7">
        <w:rPr>
          <w:rStyle w:val="FootnoteReference"/>
          <w:rFonts w:ascii="Times New Roman" w:eastAsiaTheme="minorHAnsi" w:hAnsi="Times New Roman" w:cs="Times New Roman"/>
          <w:noProof/>
        </w:rPr>
        <w:footnoteReference w:id="59"/>
      </w:r>
      <w:r w:rsidRPr="00BC4EE7">
        <w:rPr>
          <w:rFonts w:ascii="Times New Roman" w:hAnsi="Times New Roman" w:cs="Times New Roman"/>
          <w:noProof/>
        </w:rPr>
        <w:t xml:space="preserve">.  Ezen túlmenően a jogi eszköz(ök) előírja(k) a támogatási rendszerek végső kedvezményezettjei számára a vonatkozó uniós és nemzeti környezetvédelmi jogszabályoknak való megfelelést. Az e beruházás keretében végrehajtott következő K+F+I tevékenységeket úgy kell tekinteni, hogy megfelelnek a jelentős károkozás elkerülését célzó technikai iránymutatásnak (2021/C58/01): E beruházás keretében a vállalatok környezeti fenntarthatóságának jelentős növelésére (például dekarbonizáció, szennyezéscsökkentés és körforgásos gazdaság) irányuló K+F+I tevékenységek, amennyiben az e beruházás keretében végrehajtott K+F+I tevékenységek elsődleges célja az ágazatban a lehető legkisebb környezeti hatással járó alternatívák kifejlesztése vagy kiigazítása.   </w:t>
      </w:r>
    </w:p>
    <w:p w14:paraId="59D67AB0" w14:textId="7980C0D2" w:rsidR="00D65CB4" w:rsidRPr="00BC4EE7" w:rsidRDefault="00572307">
      <w:pPr>
        <w:pStyle w:val="paragraph"/>
        <w:numPr>
          <w:ilvl w:val="0"/>
          <w:numId w:val="763"/>
        </w:numPr>
        <w:spacing w:before="120" w:after="120"/>
        <w:jc w:val="both"/>
        <w:textAlignment w:val="baseline"/>
        <w:rPr>
          <w:rFonts w:ascii="Times New Roman" w:hAnsi="Times New Roman" w:cs="Times New Roman"/>
          <w:noProof/>
        </w:rPr>
      </w:pPr>
      <w:r w:rsidRPr="00BC4EE7">
        <w:rPr>
          <w:rFonts w:ascii="Times New Roman" w:hAnsi="Times New Roman" w:cs="Times New Roman"/>
          <w:noProof/>
        </w:rPr>
        <w:t>A SEPIDES által végrehajtott éghajlat-politikai beruházásokra vonatkozó követelmények: a Helyreállítási és Rezilienciaépítési Eszköz programba történő beruházásából legalább 100 000 000 EUR-nak a Helyreállítási és Rezilienciaépítési Eszközről szóló rendelet VI. mellékletével összhangban hozzá kell járulnia az éghajlatváltozással kapcsolatos célkitűzésekhez.</w:t>
      </w:r>
      <w:r w:rsidRPr="00BC4EE7">
        <w:rPr>
          <w:rStyle w:val="FootnoteReference"/>
          <w:rFonts w:ascii="Times New Roman" w:hAnsi="Times New Roman" w:cs="Times New Roman"/>
          <w:noProof/>
        </w:rPr>
        <w:footnoteReference w:id="60"/>
      </w:r>
      <w:r w:rsidRPr="00BC4EE7">
        <w:rPr>
          <w:rFonts w:ascii="Times New Roman" w:hAnsi="Times New Roman" w:cs="Times New Roman"/>
          <w:noProof/>
        </w:rPr>
        <w:t xml:space="preserve"> </w:t>
      </w:r>
    </w:p>
    <w:p w14:paraId="4F5E45AA" w14:textId="7FBD7822" w:rsidR="00D65CB4" w:rsidRPr="00BC4EE7" w:rsidRDefault="00572307">
      <w:pPr>
        <w:pStyle w:val="P68B1DB1-paragraph24"/>
        <w:numPr>
          <w:ilvl w:val="0"/>
          <w:numId w:val="763"/>
        </w:numPr>
        <w:spacing w:before="120" w:after="120"/>
        <w:jc w:val="both"/>
        <w:textAlignment w:val="baseline"/>
        <w:rPr>
          <w:rFonts w:cs="Times New Roman"/>
          <w:noProof/>
        </w:rPr>
      </w:pPr>
      <w:r w:rsidRPr="00BC4EE7">
        <w:rPr>
          <w:rFonts w:cs="Times New Roman"/>
          <w:noProof/>
        </w:rPr>
        <w:t>Az a követelmény, hogy a támogatási rendszer végső kedvezményezettjei nem részesülhetnek támogatásban más uniós eszközökből ugyanazon költségek fedezésére.</w:t>
      </w:r>
    </w:p>
    <w:p w14:paraId="61C4B048" w14:textId="6D76C95E" w:rsidR="00D65CB4" w:rsidRPr="00BC4EE7" w:rsidRDefault="00572307">
      <w:pPr>
        <w:pStyle w:val="P68B1DB1-paragraph24"/>
        <w:numPr>
          <w:ilvl w:val="0"/>
          <w:numId w:val="763"/>
        </w:numPr>
        <w:spacing w:before="120" w:after="120"/>
        <w:jc w:val="both"/>
        <w:textAlignment w:val="baseline"/>
        <w:rPr>
          <w:rFonts w:cs="Times New Roman"/>
          <w:noProof/>
        </w:rPr>
      </w:pPr>
      <w:r w:rsidRPr="00BC4EE7">
        <w:rPr>
          <w:rFonts w:cs="Times New Roman"/>
          <w:noProof/>
        </w:rPr>
        <w:t>A program hatálya alá tartozó összeg és a támogatási program fel nem használt bevételeinek a fent felsorolt tevékenységekbe való újbóli befektetésére vonatkozó követelmény, 2026 után is.</w:t>
      </w:r>
    </w:p>
    <w:p w14:paraId="30FD7CD7" w14:textId="36DF14D3" w:rsidR="00D65CB4" w:rsidRPr="00BC4EE7" w:rsidRDefault="00572307">
      <w:pPr>
        <w:pStyle w:val="P68B1DB1-paragraph24"/>
        <w:spacing w:before="120" w:beforeAutospacing="0" w:after="120" w:afterAutospacing="0"/>
        <w:jc w:val="both"/>
        <w:textAlignment w:val="baseline"/>
        <w:rPr>
          <w:rFonts w:cs="Times New Roman"/>
          <w:noProof/>
        </w:rPr>
      </w:pPr>
      <w:r w:rsidRPr="00BC4EE7">
        <w:rPr>
          <w:rFonts w:cs="Times New Roman"/>
          <w:noProof/>
        </w:rPr>
        <w:t>A beruházás végrehajtását 2026. augusztus 31-ig be kell fejezni.</w:t>
      </w:r>
    </w:p>
    <w:p w14:paraId="6F9695D0" w14:textId="77777777" w:rsidR="00D65CB4" w:rsidRPr="00BC4EE7" w:rsidRDefault="00D65CB4">
      <w:pPr>
        <w:spacing w:before="120" w:after="120" w:line="240" w:lineRule="auto"/>
        <w:jc w:val="both"/>
        <w:rPr>
          <w:rFonts w:ascii="Times New Roman" w:hAnsi="Times New Roman" w:cs="Times New Roman"/>
          <w:noProof/>
          <w:sz w:val="24"/>
        </w:rPr>
      </w:pPr>
    </w:p>
    <w:p w14:paraId="7EFE469E" w14:textId="77777777" w:rsidR="00D65CB4" w:rsidRPr="00BC4EE7" w:rsidRDefault="00572307">
      <w:pPr>
        <w:spacing w:before="120" w:after="120" w:line="240" w:lineRule="auto"/>
        <w:ind w:left="709"/>
        <w:jc w:val="both"/>
        <w:rPr>
          <w:rFonts w:ascii="Times New Roman" w:hAnsi="Times New Roman" w:cs="Times New Roman"/>
          <w:b/>
          <w:noProof/>
          <w:sz w:val="24"/>
          <w:u w:val="single"/>
        </w:rPr>
      </w:pPr>
      <w:r w:rsidRPr="00BC4EE7">
        <w:rPr>
          <w:rFonts w:ascii="Times New Roman" w:hAnsi="Times New Roman" w:cs="Times New Roman"/>
          <w:b/>
          <w:noProof/>
          <w:sz w:val="24"/>
          <w:u w:val="single"/>
        </w:rPr>
        <w:t xml:space="preserve">L.2.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Vissza nem térítendő pénzügyi támogatás – a végrehajtáshoz és a nyomon követéshez kapcsolódó mérföldkövek, célok, mutatók és ütemterv</w:t>
      </w:r>
    </w:p>
    <w:p w14:paraId="7BE8178D" w14:textId="554A4523" w:rsidR="00D65CB4" w:rsidRPr="00BC4EE7" w:rsidRDefault="00572307">
      <w:pPr>
        <w:pStyle w:val="P68B1DB1-Normal4"/>
        <w:spacing w:before="120" w:after="120" w:line="240" w:lineRule="auto"/>
        <w:jc w:val="both"/>
        <w:rPr>
          <w:rFonts w:cs="Times New Roman"/>
          <w:noProof/>
          <w:u w:val="single"/>
        </w:rPr>
      </w:pPr>
      <w:r w:rsidRPr="00BC4EE7">
        <w:rPr>
          <w:rFonts w:cs="Times New Roman"/>
          <w:i/>
          <w:noProof/>
        </w:rPr>
        <w:t>Táblázat alább.</w:t>
      </w:r>
      <w:r w:rsidRPr="00BC4EE7">
        <w:rPr>
          <w:rFonts w:cs="Times New Roman"/>
          <w:noProof/>
        </w:rPr>
        <w:t xml:space="preserve"> </w:t>
      </w:r>
      <w:r w:rsidRPr="00BC4EE7">
        <w:rPr>
          <w:rFonts w:cs="Times New Roman"/>
          <w:i/>
          <w:noProof/>
        </w:rPr>
        <w:t>Az összes mutató esetében a kiindulási időpont 2020. február 1., kivéve, ha az intézkedés leírása másként jelzi. A táblázatban szereplő összegek nem tartalmazzák a héát.</w:t>
      </w:r>
    </w:p>
    <w:p w14:paraId="11DC7BAE" w14:textId="77777777" w:rsidR="00D65CB4" w:rsidRPr="00BC4EE7" w:rsidRDefault="00D65CB4">
      <w:pPr>
        <w:spacing w:before="120" w:after="120" w:line="240" w:lineRule="auto"/>
        <w:ind w:left="709"/>
        <w:jc w:val="both"/>
        <w:rPr>
          <w:rFonts w:ascii="Times New Roman" w:hAnsi="Times New Roman" w:cs="Times New Roman"/>
          <w:noProof/>
          <w:sz w:val="24"/>
        </w:rPr>
      </w:pPr>
    </w:p>
    <w:p w14:paraId="67D31997" w14:textId="77777777" w:rsidR="00D65CB4" w:rsidRPr="00BC4EE7" w:rsidRDefault="00D65CB4">
      <w:pPr>
        <w:spacing w:after="0" w:line="240" w:lineRule="auto"/>
        <w:jc w:val="both"/>
        <w:rPr>
          <w:rFonts w:ascii="Times New Roman" w:hAnsi="Times New Roman" w:cs="Times New Roman"/>
          <w:noProof/>
          <w:sz w:val="24"/>
        </w:rPr>
        <w:sectPr w:rsidR="00D65CB4" w:rsidRPr="00BC4EE7" w:rsidSect="00B511EF">
          <w:headerReference w:type="even" r:id="rId249"/>
          <w:headerReference w:type="default" r:id="rId250"/>
          <w:footerReference w:type="even" r:id="rId251"/>
          <w:footerReference w:type="default" r:id="rId252"/>
          <w:headerReference w:type="first" r:id="rId253"/>
          <w:footerReference w:type="first" r:id="rId254"/>
          <w:pgSz w:w="11907" w:h="16839"/>
          <w:pgMar w:top="1134" w:right="1134" w:bottom="1134" w:left="1134" w:header="567" w:footer="567" w:gutter="0"/>
          <w:cols w:space="720"/>
          <w:docGrid w:linePitch="360"/>
        </w:sectPr>
      </w:pPr>
    </w:p>
    <w:tbl>
      <w:tblPr>
        <w:tblW w:w="15419"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10"/>
        <w:gridCol w:w="992"/>
        <w:gridCol w:w="942"/>
        <w:gridCol w:w="1220"/>
        <w:gridCol w:w="1003"/>
        <w:gridCol w:w="790"/>
        <w:gridCol w:w="919"/>
        <w:gridCol w:w="945"/>
        <w:gridCol w:w="396"/>
        <w:gridCol w:w="527"/>
        <w:gridCol w:w="6975"/>
      </w:tblGrid>
      <w:tr w:rsidR="00D65CB4" w:rsidRPr="00BC4EE7" w14:paraId="393CB269" w14:textId="77777777" w:rsidTr="00481CF8">
        <w:trPr>
          <w:trHeight w:val="309"/>
          <w:tblHeader/>
        </w:trPr>
        <w:tc>
          <w:tcPr>
            <w:tcW w:w="710"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43936C38" w14:textId="77777777" w:rsidR="00D65CB4" w:rsidRPr="00BC4EE7" w:rsidRDefault="00572307">
            <w:pPr>
              <w:pStyle w:val="P68B1DB1-Normal8"/>
              <w:spacing w:after="0" w:line="240" w:lineRule="auto"/>
              <w:jc w:val="both"/>
              <w:rPr>
                <w:rFonts w:cs="Times New Roman"/>
                <w:noProof/>
              </w:rPr>
            </w:pPr>
            <w:r w:rsidRPr="00BC4EE7">
              <w:rPr>
                <w:rFonts w:cs="Times New Roman"/>
                <w:noProof/>
              </w:rPr>
              <w:t>Szám</w:t>
            </w:r>
          </w:p>
        </w:tc>
        <w:tc>
          <w:tcPr>
            <w:tcW w:w="992"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09AB8041"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Intézkedés</w:t>
            </w:r>
          </w:p>
        </w:tc>
        <w:tc>
          <w:tcPr>
            <w:tcW w:w="942"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13640446" w14:textId="77777777" w:rsidR="00D65CB4" w:rsidRPr="00BC4EE7" w:rsidRDefault="00572307">
            <w:pPr>
              <w:spacing w:after="0" w:line="240" w:lineRule="auto"/>
              <w:jc w:val="center"/>
              <w:rPr>
                <w:rFonts w:ascii="Times New Roman" w:hAnsi="Times New Roman" w:cs="Times New Roman"/>
                <w:noProof/>
                <w:sz w:val="18"/>
              </w:rPr>
            </w:pPr>
            <w:r w:rsidRPr="00BC4EE7">
              <w:rPr>
                <w:rFonts w:ascii="Times New Roman" w:hAnsi="Times New Roman" w:cs="Times New Roman"/>
                <w:b/>
                <w:noProof/>
                <w:sz w:val="18"/>
              </w:rPr>
              <w:t>Mérföldkő</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b/>
                <w:noProof/>
                <w:sz w:val="18"/>
              </w:rPr>
              <w:t xml:space="preserve"> /Cél</w:t>
            </w:r>
          </w:p>
        </w:tc>
        <w:tc>
          <w:tcPr>
            <w:tcW w:w="1220"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7F04AFEB"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Név</w:t>
            </w:r>
          </w:p>
        </w:tc>
        <w:tc>
          <w:tcPr>
            <w:tcW w:w="1003"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71DDB6F1"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mérföldkövek minőségi mutatója</w:t>
            </w:r>
          </w:p>
        </w:tc>
        <w:tc>
          <w:tcPr>
            <w:tcW w:w="265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1C01D08"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célérték mennyiségi mutatója</w:t>
            </w:r>
          </w:p>
        </w:tc>
        <w:tc>
          <w:tcPr>
            <w:tcW w:w="923"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2226A1E3"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Idő</w:t>
            </w:r>
          </w:p>
        </w:tc>
        <w:tc>
          <w:tcPr>
            <w:tcW w:w="6975"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3F1D3D1C" w14:textId="77777777" w:rsidR="00D65CB4" w:rsidRPr="00BC4EE7" w:rsidRDefault="00D65CB4">
            <w:pPr>
              <w:spacing w:after="0" w:line="240" w:lineRule="auto"/>
              <w:jc w:val="center"/>
              <w:rPr>
                <w:rFonts w:ascii="Times New Roman" w:hAnsi="Times New Roman" w:cs="Times New Roman"/>
                <w:noProof/>
                <w:sz w:val="18"/>
              </w:rPr>
            </w:pPr>
          </w:p>
          <w:p w14:paraId="5FBE2520"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Az egyes mérföldkövek és célértékek leírása</w:t>
            </w:r>
          </w:p>
          <w:p w14:paraId="1CA3212E" w14:textId="77777777" w:rsidR="00D65CB4" w:rsidRPr="00BC4EE7" w:rsidRDefault="00572307">
            <w:pPr>
              <w:tabs>
                <w:tab w:val="left" w:pos="737"/>
              </w:tabs>
              <w:spacing w:after="0" w:line="240" w:lineRule="auto"/>
              <w:rPr>
                <w:rFonts w:ascii="Times New Roman" w:hAnsi="Times New Roman" w:cs="Times New Roman"/>
                <w:noProof/>
                <w:sz w:val="18"/>
              </w:rPr>
            </w:pPr>
            <w:r w:rsidRPr="00BC4EE7">
              <w:rPr>
                <w:rFonts w:ascii="Times New Roman" w:hAnsi="Times New Roman" w:cs="Times New Roman"/>
                <w:noProof/>
              </w:rPr>
              <w:tab/>
            </w:r>
          </w:p>
        </w:tc>
      </w:tr>
      <w:tr w:rsidR="00D65CB4" w:rsidRPr="00BC4EE7" w14:paraId="78B59B52" w14:textId="77777777" w:rsidTr="00481CF8">
        <w:trPr>
          <w:trHeight w:val="309"/>
          <w:tblHeader/>
        </w:trPr>
        <w:tc>
          <w:tcPr>
            <w:tcW w:w="710" w:type="dxa"/>
            <w:vMerge/>
            <w:noWrap/>
          </w:tcPr>
          <w:p w14:paraId="689531AC" w14:textId="77777777" w:rsidR="00D65CB4" w:rsidRPr="00BC4EE7" w:rsidRDefault="00D65CB4">
            <w:pPr>
              <w:spacing w:after="0" w:line="240" w:lineRule="auto"/>
              <w:jc w:val="center"/>
              <w:rPr>
                <w:rFonts w:ascii="Times New Roman" w:hAnsi="Times New Roman" w:cs="Times New Roman"/>
                <w:noProof/>
                <w:sz w:val="18"/>
              </w:rPr>
            </w:pPr>
          </w:p>
        </w:tc>
        <w:tc>
          <w:tcPr>
            <w:tcW w:w="992" w:type="dxa"/>
            <w:vMerge/>
            <w:noWrap/>
          </w:tcPr>
          <w:p w14:paraId="3E9F70EC" w14:textId="77777777" w:rsidR="00D65CB4" w:rsidRPr="00BC4EE7" w:rsidRDefault="00D65CB4">
            <w:pPr>
              <w:spacing w:after="0" w:line="240" w:lineRule="auto"/>
              <w:jc w:val="center"/>
              <w:rPr>
                <w:rFonts w:ascii="Times New Roman" w:hAnsi="Times New Roman" w:cs="Times New Roman"/>
                <w:noProof/>
                <w:sz w:val="18"/>
              </w:rPr>
            </w:pPr>
          </w:p>
        </w:tc>
        <w:tc>
          <w:tcPr>
            <w:tcW w:w="942" w:type="dxa"/>
            <w:vMerge/>
            <w:noWrap/>
          </w:tcPr>
          <w:p w14:paraId="05BBD49F" w14:textId="77777777" w:rsidR="00D65CB4" w:rsidRPr="00BC4EE7" w:rsidRDefault="00D65CB4">
            <w:pPr>
              <w:spacing w:after="0" w:line="240" w:lineRule="auto"/>
              <w:jc w:val="center"/>
              <w:rPr>
                <w:rFonts w:ascii="Times New Roman" w:hAnsi="Times New Roman" w:cs="Times New Roman"/>
                <w:noProof/>
                <w:sz w:val="18"/>
              </w:rPr>
            </w:pPr>
          </w:p>
        </w:tc>
        <w:tc>
          <w:tcPr>
            <w:tcW w:w="1220" w:type="dxa"/>
            <w:vMerge/>
            <w:noWrap/>
          </w:tcPr>
          <w:p w14:paraId="11D884CC" w14:textId="77777777" w:rsidR="00D65CB4" w:rsidRPr="00BC4EE7" w:rsidRDefault="00D65CB4">
            <w:pPr>
              <w:spacing w:after="0" w:line="240" w:lineRule="auto"/>
              <w:jc w:val="center"/>
              <w:rPr>
                <w:rFonts w:ascii="Times New Roman" w:hAnsi="Times New Roman" w:cs="Times New Roman"/>
                <w:noProof/>
                <w:sz w:val="18"/>
              </w:rPr>
            </w:pPr>
          </w:p>
        </w:tc>
        <w:tc>
          <w:tcPr>
            <w:tcW w:w="1003" w:type="dxa"/>
            <w:vMerge/>
            <w:noWrap/>
            <w:vAlign w:val="center"/>
          </w:tcPr>
          <w:p w14:paraId="3A6B3FF4" w14:textId="77777777" w:rsidR="00D65CB4" w:rsidRPr="00BC4EE7" w:rsidRDefault="00D65CB4">
            <w:pPr>
              <w:spacing w:after="0" w:line="240" w:lineRule="auto"/>
              <w:jc w:val="center"/>
              <w:rPr>
                <w:rFonts w:ascii="Times New Roman" w:hAnsi="Times New Roman" w:cs="Times New Roman"/>
                <w:noProof/>
                <w:sz w:val="18"/>
              </w:rPr>
            </w:pPr>
          </w:p>
        </w:tc>
        <w:tc>
          <w:tcPr>
            <w:tcW w:w="79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F81562C"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Egység</w:t>
            </w:r>
          </w:p>
        </w:tc>
        <w:tc>
          <w:tcPr>
            <w:tcW w:w="91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FD3AA5A" w14:textId="351E430E" w:rsidR="00D65CB4" w:rsidRPr="00BC4EE7" w:rsidRDefault="00572307">
            <w:pPr>
              <w:pStyle w:val="P68B1DB1-Normal8"/>
              <w:spacing w:after="0" w:line="240" w:lineRule="auto"/>
              <w:jc w:val="center"/>
              <w:rPr>
                <w:rFonts w:cs="Times New Roman"/>
                <w:noProof/>
              </w:rPr>
            </w:pPr>
            <w:r w:rsidRPr="00BC4EE7">
              <w:rPr>
                <w:rFonts w:cs="Times New Roman"/>
                <w:noProof/>
              </w:rPr>
              <w:t>Kiindulási</w:t>
            </w:r>
          </w:p>
        </w:tc>
        <w:tc>
          <w:tcPr>
            <w:tcW w:w="94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63B2CC4"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Cél</w:t>
            </w:r>
          </w:p>
        </w:tc>
        <w:tc>
          <w:tcPr>
            <w:tcW w:w="39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7312E86"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Q</w:t>
            </w:r>
          </w:p>
        </w:tc>
        <w:tc>
          <w:tcPr>
            <w:tcW w:w="52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74D2A3EB"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Éve</w:t>
            </w:r>
          </w:p>
        </w:tc>
        <w:tc>
          <w:tcPr>
            <w:tcW w:w="6975" w:type="dxa"/>
            <w:vMerge/>
            <w:noWrap/>
          </w:tcPr>
          <w:p w14:paraId="4FE75506" w14:textId="77777777" w:rsidR="00D65CB4" w:rsidRPr="00BC4EE7" w:rsidRDefault="00D65CB4">
            <w:pPr>
              <w:tabs>
                <w:tab w:val="left" w:pos="737"/>
              </w:tabs>
              <w:spacing w:after="0" w:line="240" w:lineRule="auto"/>
              <w:rPr>
                <w:rFonts w:ascii="Times New Roman" w:hAnsi="Times New Roman" w:cs="Times New Roman"/>
                <w:noProof/>
                <w:sz w:val="18"/>
              </w:rPr>
            </w:pPr>
          </w:p>
        </w:tc>
      </w:tr>
      <w:tr w:rsidR="00D65CB4" w:rsidRPr="00BC4EE7" w14:paraId="31788039" w14:textId="77777777" w:rsidTr="00481CF8">
        <w:trPr>
          <w:trHeight w:val="309"/>
        </w:trPr>
        <w:tc>
          <w:tcPr>
            <w:tcW w:w="710" w:type="dxa"/>
            <w:tcBorders>
              <w:top w:val="single" w:sz="4" w:space="0" w:color="auto"/>
              <w:left w:val="single" w:sz="4" w:space="0" w:color="auto"/>
              <w:bottom w:val="single" w:sz="4" w:space="0" w:color="auto"/>
              <w:right w:val="single" w:sz="4" w:space="0" w:color="auto"/>
            </w:tcBorders>
            <w:shd w:val="clear" w:color="auto" w:fill="C6EFCE"/>
            <w:noWrap/>
          </w:tcPr>
          <w:p w14:paraId="6A149851"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176</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33243B43"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C12.R1</w:t>
            </w:r>
          </w:p>
        </w:tc>
        <w:tc>
          <w:tcPr>
            <w:tcW w:w="942" w:type="dxa"/>
            <w:tcBorders>
              <w:top w:val="single" w:sz="4" w:space="0" w:color="auto"/>
              <w:left w:val="single" w:sz="4" w:space="0" w:color="auto"/>
              <w:bottom w:val="single" w:sz="4" w:space="0" w:color="auto"/>
              <w:right w:val="single" w:sz="4" w:space="0" w:color="auto"/>
            </w:tcBorders>
            <w:shd w:val="clear" w:color="auto" w:fill="C6EFCE"/>
            <w:noWrap/>
          </w:tcPr>
          <w:p w14:paraId="10023908"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M</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4052AA85" w14:textId="67BB68E8" w:rsidR="00D65CB4" w:rsidRPr="00BC4EE7" w:rsidRDefault="00572307">
            <w:pPr>
              <w:pStyle w:val="P68B1DB1-Normal12"/>
              <w:spacing w:after="0" w:line="240" w:lineRule="auto"/>
              <w:rPr>
                <w:rFonts w:cs="Times New Roman"/>
                <w:noProof/>
              </w:rPr>
            </w:pPr>
            <w:r w:rsidRPr="00BC4EE7">
              <w:rPr>
                <w:rFonts w:cs="Times New Roman"/>
                <w:noProof/>
              </w:rPr>
              <w:t>Az iparról szóló törvény hatálybalépése</w:t>
            </w:r>
          </w:p>
        </w:tc>
        <w:tc>
          <w:tcPr>
            <w:tcW w:w="1003" w:type="dxa"/>
            <w:tcBorders>
              <w:top w:val="single" w:sz="4" w:space="0" w:color="auto"/>
              <w:left w:val="single" w:sz="4" w:space="0" w:color="auto"/>
              <w:bottom w:val="single" w:sz="4" w:space="0" w:color="auto"/>
              <w:right w:val="single" w:sz="4" w:space="0" w:color="auto"/>
            </w:tcBorders>
            <w:shd w:val="clear" w:color="auto" w:fill="C6EFCE"/>
            <w:noWrap/>
          </w:tcPr>
          <w:p w14:paraId="3E647626"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A jogszabály hatálybalépésére vonatkozó rendelkezés a jogszabályban</w:t>
            </w:r>
          </w:p>
        </w:tc>
        <w:tc>
          <w:tcPr>
            <w:tcW w:w="790" w:type="dxa"/>
            <w:tcBorders>
              <w:top w:val="single" w:sz="4" w:space="0" w:color="auto"/>
              <w:left w:val="single" w:sz="4" w:space="0" w:color="auto"/>
              <w:bottom w:val="single" w:sz="4" w:space="0" w:color="auto"/>
              <w:right w:val="single" w:sz="4" w:space="0" w:color="auto"/>
            </w:tcBorders>
            <w:shd w:val="clear" w:color="auto" w:fill="C6EFCE"/>
            <w:noWrap/>
          </w:tcPr>
          <w:p w14:paraId="2F1574BC"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 xml:space="preserve"> </w:t>
            </w:r>
          </w:p>
        </w:tc>
        <w:tc>
          <w:tcPr>
            <w:tcW w:w="919" w:type="dxa"/>
            <w:tcBorders>
              <w:top w:val="single" w:sz="4" w:space="0" w:color="auto"/>
              <w:left w:val="single" w:sz="4" w:space="0" w:color="auto"/>
              <w:bottom w:val="single" w:sz="4" w:space="0" w:color="auto"/>
              <w:right w:val="single" w:sz="4" w:space="0" w:color="auto"/>
            </w:tcBorders>
            <w:shd w:val="clear" w:color="auto" w:fill="C6EFCE"/>
            <w:noWrap/>
          </w:tcPr>
          <w:p w14:paraId="652C1D79"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 xml:space="preserve"> </w:t>
            </w:r>
          </w:p>
        </w:tc>
        <w:tc>
          <w:tcPr>
            <w:tcW w:w="945" w:type="dxa"/>
            <w:tcBorders>
              <w:top w:val="single" w:sz="4" w:space="0" w:color="auto"/>
              <w:left w:val="single" w:sz="4" w:space="0" w:color="auto"/>
              <w:bottom w:val="single" w:sz="4" w:space="0" w:color="auto"/>
              <w:right w:val="single" w:sz="4" w:space="0" w:color="auto"/>
            </w:tcBorders>
            <w:shd w:val="clear" w:color="auto" w:fill="C6EFCE"/>
            <w:noWrap/>
          </w:tcPr>
          <w:p w14:paraId="6873883E"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 xml:space="preserve"> </w:t>
            </w:r>
          </w:p>
        </w:tc>
        <w:tc>
          <w:tcPr>
            <w:tcW w:w="396" w:type="dxa"/>
            <w:tcBorders>
              <w:top w:val="single" w:sz="4" w:space="0" w:color="auto"/>
              <w:left w:val="single" w:sz="4" w:space="0" w:color="auto"/>
              <w:bottom w:val="single" w:sz="4" w:space="0" w:color="auto"/>
              <w:right w:val="single" w:sz="4" w:space="0" w:color="auto"/>
            </w:tcBorders>
            <w:shd w:val="clear" w:color="auto" w:fill="C6EFCE"/>
            <w:noWrap/>
          </w:tcPr>
          <w:p w14:paraId="333E91D5"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527" w:type="dxa"/>
            <w:tcBorders>
              <w:top w:val="single" w:sz="4" w:space="0" w:color="auto"/>
              <w:left w:val="single" w:sz="4" w:space="0" w:color="auto"/>
              <w:bottom w:val="single" w:sz="4" w:space="0" w:color="auto"/>
              <w:right w:val="single" w:sz="4" w:space="0" w:color="auto"/>
            </w:tcBorders>
            <w:shd w:val="clear" w:color="auto" w:fill="C6EFCE"/>
            <w:noWrap/>
          </w:tcPr>
          <w:p w14:paraId="026D7405" w14:textId="2047E901" w:rsidR="00D65CB4" w:rsidRPr="00BC4EE7" w:rsidRDefault="00572307">
            <w:pPr>
              <w:pStyle w:val="P68B1DB1-Normal12"/>
              <w:spacing w:after="0" w:line="240" w:lineRule="auto"/>
              <w:jc w:val="center"/>
              <w:rPr>
                <w:rFonts w:cs="Times New Roman"/>
                <w:noProof/>
              </w:rPr>
            </w:pPr>
            <w:r w:rsidRPr="00BC4EE7">
              <w:rPr>
                <w:rFonts w:cs="Times New Roman"/>
                <w:noProof/>
              </w:rPr>
              <w:t>2023</w:t>
            </w:r>
          </w:p>
        </w:tc>
        <w:tc>
          <w:tcPr>
            <w:tcW w:w="6975" w:type="dxa"/>
            <w:tcBorders>
              <w:top w:val="single" w:sz="4" w:space="0" w:color="auto"/>
              <w:left w:val="single" w:sz="4" w:space="0" w:color="auto"/>
              <w:bottom w:val="single" w:sz="4" w:space="0" w:color="auto"/>
              <w:right w:val="single" w:sz="4" w:space="0" w:color="auto"/>
            </w:tcBorders>
            <w:shd w:val="clear" w:color="auto" w:fill="C6EFCE"/>
            <w:noWrap/>
          </w:tcPr>
          <w:p w14:paraId="3C089CEA" w14:textId="401E2416" w:rsidR="00D65CB4" w:rsidRPr="00BC4EE7" w:rsidRDefault="00572307">
            <w:pPr>
              <w:pStyle w:val="P68B1DB1-Normal12"/>
              <w:spacing w:after="0" w:line="240" w:lineRule="auto"/>
              <w:rPr>
                <w:rFonts w:cs="Times New Roman"/>
                <w:noProof/>
              </w:rPr>
            </w:pPr>
            <w:r w:rsidRPr="00BC4EE7">
              <w:rPr>
                <w:rFonts w:cs="Times New Roman"/>
                <w:noProof/>
              </w:rPr>
              <w:t>A törvény célja, hogy a piacfelügyeletről és a termékek megfelelőségéről, valamint a 2004/42/EK irányelv, a 765/2008/EK rendelet és a 305/2011/EU rendelet módosításáról szóló, 2019. június 20-i (EU) 2019/1020 európai parlamenti és tanácsi rendelettel összhangban javítsa a különböző kormányzati szintek közötti koordinációs mechanizmusokat az iparpolitika területén, valamint egy megerősített piacfelügyeleti rendszer révén javítsa az ipar minőségét és biztonságát. Végezetül felül kell vizsgálni a területen elkövetett jogsértések fogalommeghatározását, és naprakésszé kell tenni az alkalmazható szankciók mértékét.</w:t>
            </w:r>
          </w:p>
        </w:tc>
      </w:tr>
      <w:tr w:rsidR="00D65CB4" w:rsidRPr="00BC4EE7" w14:paraId="30E8B3C3" w14:textId="77777777" w:rsidTr="00481CF8">
        <w:trPr>
          <w:trHeight w:val="309"/>
        </w:trPr>
        <w:tc>
          <w:tcPr>
            <w:tcW w:w="710" w:type="dxa"/>
            <w:tcBorders>
              <w:top w:val="single" w:sz="4" w:space="0" w:color="auto"/>
              <w:left w:val="single" w:sz="4" w:space="0" w:color="auto"/>
              <w:bottom w:val="single" w:sz="4" w:space="0" w:color="auto"/>
              <w:right w:val="single" w:sz="4" w:space="0" w:color="auto"/>
            </w:tcBorders>
            <w:shd w:val="clear" w:color="auto" w:fill="C6EFCE"/>
            <w:noWrap/>
          </w:tcPr>
          <w:p w14:paraId="76DBD28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177</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6A29BF9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C12.R2</w:t>
            </w:r>
          </w:p>
        </w:tc>
        <w:tc>
          <w:tcPr>
            <w:tcW w:w="942" w:type="dxa"/>
            <w:tcBorders>
              <w:top w:val="single" w:sz="4" w:space="0" w:color="auto"/>
              <w:left w:val="single" w:sz="4" w:space="0" w:color="auto"/>
              <w:bottom w:val="single" w:sz="4" w:space="0" w:color="auto"/>
              <w:right w:val="single" w:sz="4" w:space="0" w:color="auto"/>
            </w:tcBorders>
            <w:shd w:val="clear" w:color="auto" w:fill="C6EFCE"/>
            <w:noWrap/>
          </w:tcPr>
          <w:p w14:paraId="5EA7152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4AE4A169"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körforgásos gazdaságra vonatkozó spanyol stratégia (EEEC)</w:t>
            </w:r>
          </w:p>
        </w:tc>
        <w:tc>
          <w:tcPr>
            <w:tcW w:w="1003" w:type="dxa"/>
            <w:tcBorders>
              <w:top w:val="single" w:sz="4" w:space="0" w:color="auto"/>
              <w:left w:val="single" w:sz="4" w:space="0" w:color="auto"/>
              <w:bottom w:val="single" w:sz="4" w:space="0" w:color="auto"/>
              <w:right w:val="single" w:sz="4" w:space="0" w:color="auto"/>
            </w:tcBorders>
            <w:shd w:val="clear" w:color="auto" w:fill="C6EFCE"/>
            <w:noWrap/>
          </w:tcPr>
          <w:p w14:paraId="4011243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A Miniszterek Tanácsa általi jóváhagyás</w:t>
            </w:r>
          </w:p>
        </w:tc>
        <w:tc>
          <w:tcPr>
            <w:tcW w:w="790" w:type="dxa"/>
            <w:tcBorders>
              <w:top w:val="single" w:sz="4" w:space="0" w:color="auto"/>
              <w:left w:val="single" w:sz="4" w:space="0" w:color="auto"/>
              <w:bottom w:val="single" w:sz="4" w:space="0" w:color="auto"/>
              <w:right w:val="single" w:sz="4" w:space="0" w:color="auto"/>
            </w:tcBorders>
            <w:shd w:val="clear" w:color="auto" w:fill="C6EFCE"/>
            <w:noWrap/>
          </w:tcPr>
          <w:p w14:paraId="6CA74179"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919" w:type="dxa"/>
            <w:tcBorders>
              <w:top w:val="single" w:sz="4" w:space="0" w:color="auto"/>
              <w:left w:val="single" w:sz="4" w:space="0" w:color="auto"/>
              <w:bottom w:val="single" w:sz="4" w:space="0" w:color="auto"/>
              <w:right w:val="single" w:sz="4" w:space="0" w:color="auto"/>
            </w:tcBorders>
            <w:shd w:val="clear" w:color="auto" w:fill="C6EFCE"/>
            <w:noWrap/>
          </w:tcPr>
          <w:p w14:paraId="6787A395"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945" w:type="dxa"/>
            <w:tcBorders>
              <w:top w:val="single" w:sz="4" w:space="0" w:color="auto"/>
              <w:left w:val="single" w:sz="4" w:space="0" w:color="auto"/>
              <w:bottom w:val="single" w:sz="4" w:space="0" w:color="auto"/>
              <w:right w:val="single" w:sz="4" w:space="0" w:color="auto"/>
            </w:tcBorders>
            <w:shd w:val="clear" w:color="auto" w:fill="C6EFCE"/>
            <w:noWrap/>
          </w:tcPr>
          <w:p w14:paraId="599B893B"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396" w:type="dxa"/>
            <w:tcBorders>
              <w:top w:val="single" w:sz="4" w:space="0" w:color="auto"/>
              <w:left w:val="single" w:sz="4" w:space="0" w:color="auto"/>
              <w:bottom w:val="single" w:sz="4" w:space="0" w:color="auto"/>
              <w:right w:val="single" w:sz="4" w:space="0" w:color="auto"/>
            </w:tcBorders>
            <w:shd w:val="clear" w:color="auto" w:fill="C6EFCE"/>
            <w:noWrap/>
          </w:tcPr>
          <w:p w14:paraId="3EEC912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Q2</w:t>
            </w:r>
          </w:p>
        </w:tc>
        <w:tc>
          <w:tcPr>
            <w:tcW w:w="527" w:type="dxa"/>
            <w:tcBorders>
              <w:top w:val="single" w:sz="4" w:space="0" w:color="auto"/>
              <w:left w:val="single" w:sz="4" w:space="0" w:color="auto"/>
              <w:bottom w:val="single" w:sz="4" w:space="0" w:color="auto"/>
              <w:right w:val="single" w:sz="4" w:space="0" w:color="auto"/>
            </w:tcBorders>
            <w:shd w:val="clear" w:color="auto" w:fill="C6EFCE"/>
            <w:noWrap/>
          </w:tcPr>
          <w:p w14:paraId="148A1EAD"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2020</w:t>
            </w:r>
          </w:p>
        </w:tc>
        <w:tc>
          <w:tcPr>
            <w:tcW w:w="6975" w:type="dxa"/>
            <w:tcBorders>
              <w:top w:val="single" w:sz="4" w:space="0" w:color="auto"/>
              <w:left w:val="single" w:sz="4" w:space="0" w:color="auto"/>
              <w:bottom w:val="single" w:sz="4" w:space="0" w:color="auto"/>
              <w:right w:val="single" w:sz="4" w:space="0" w:color="auto"/>
            </w:tcBorders>
            <w:shd w:val="clear" w:color="auto" w:fill="C6EFCE"/>
            <w:noWrap/>
          </w:tcPr>
          <w:p w14:paraId="11C79696"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körforgásos gazdaságra vonatkozó spanyol stratégia (EEEC) jóváhagyása. Megteremti az alapot egy olyan új termelési és fogyasztási modell előmozdításához, amelyben a termékek, anyagok és erőforrások értéke a lehető leghosszabb ideig fennmarad, és amelyben a hulladék keletkezését minimalizálják, és az el nem kerülhető hulladékot teljes mértékben kiaknázzák.</w:t>
            </w:r>
          </w:p>
        </w:tc>
      </w:tr>
      <w:tr w:rsidR="00D65CB4" w:rsidRPr="00BC4EE7" w14:paraId="7EF1EA25" w14:textId="77777777" w:rsidTr="00481CF8">
        <w:trPr>
          <w:trHeight w:val="309"/>
        </w:trPr>
        <w:tc>
          <w:tcPr>
            <w:tcW w:w="710" w:type="dxa"/>
            <w:tcBorders>
              <w:top w:val="single" w:sz="4" w:space="0" w:color="auto"/>
              <w:left w:val="single" w:sz="4" w:space="0" w:color="auto"/>
              <w:bottom w:val="single" w:sz="4" w:space="0" w:color="auto"/>
              <w:right w:val="single" w:sz="4" w:space="0" w:color="auto"/>
            </w:tcBorders>
            <w:shd w:val="clear" w:color="auto" w:fill="C6EFCE"/>
            <w:noWrap/>
          </w:tcPr>
          <w:p w14:paraId="6A450D5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178</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761CAF3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C12.R2</w:t>
            </w:r>
          </w:p>
        </w:tc>
        <w:tc>
          <w:tcPr>
            <w:tcW w:w="942" w:type="dxa"/>
            <w:tcBorders>
              <w:top w:val="single" w:sz="4" w:space="0" w:color="auto"/>
              <w:left w:val="single" w:sz="4" w:space="0" w:color="auto"/>
              <w:bottom w:val="single" w:sz="4" w:space="0" w:color="auto"/>
              <w:right w:val="single" w:sz="4" w:space="0" w:color="auto"/>
            </w:tcBorders>
            <w:shd w:val="clear" w:color="auto" w:fill="C6EFCE"/>
            <w:noWrap/>
          </w:tcPr>
          <w:p w14:paraId="457AEC8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17D0FA8B"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körforgásos gazdaságra vonatkozó szakpolitikai csomag részét képező jogi aktusok hatálybalépése</w:t>
            </w:r>
          </w:p>
        </w:tc>
        <w:tc>
          <w:tcPr>
            <w:tcW w:w="1003" w:type="dxa"/>
            <w:tcBorders>
              <w:top w:val="single" w:sz="4" w:space="0" w:color="auto"/>
              <w:left w:val="single" w:sz="4" w:space="0" w:color="auto"/>
              <w:bottom w:val="single" w:sz="4" w:space="0" w:color="auto"/>
              <w:right w:val="single" w:sz="4" w:space="0" w:color="auto"/>
            </w:tcBorders>
            <w:shd w:val="clear" w:color="auto" w:fill="C6EFCE"/>
            <w:noWrap/>
          </w:tcPr>
          <w:p w14:paraId="472877D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A királyi rendeleteknek a jogszabályok hatálybalépését feltüntető rendelkezései</w:t>
            </w:r>
          </w:p>
        </w:tc>
        <w:tc>
          <w:tcPr>
            <w:tcW w:w="790" w:type="dxa"/>
            <w:tcBorders>
              <w:top w:val="single" w:sz="4" w:space="0" w:color="auto"/>
              <w:left w:val="single" w:sz="4" w:space="0" w:color="auto"/>
              <w:bottom w:val="single" w:sz="4" w:space="0" w:color="auto"/>
              <w:right w:val="single" w:sz="4" w:space="0" w:color="auto"/>
            </w:tcBorders>
            <w:shd w:val="clear" w:color="auto" w:fill="C6EFCE"/>
            <w:noWrap/>
          </w:tcPr>
          <w:p w14:paraId="768B6386"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919" w:type="dxa"/>
            <w:tcBorders>
              <w:top w:val="single" w:sz="4" w:space="0" w:color="auto"/>
              <w:left w:val="single" w:sz="4" w:space="0" w:color="auto"/>
              <w:bottom w:val="single" w:sz="4" w:space="0" w:color="auto"/>
              <w:right w:val="single" w:sz="4" w:space="0" w:color="auto"/>
            </w:tcBorders>
            <w:shd w:val="clear" w:color="auto" w:fill="C6EFCE"/>
            <w:noWrap/>
          </w:tcPr>
          <w:p w14:paraId="5C7610C0"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945" w:type="dxa"/>
            <w:tcBorders>
              <w:top w:val="single" w:sz="4" w:space="0" w:color="auto"/>
              <w:left w:val="single" w:sz="4" w:space="0" w:color="auto"/>
              <w:bottom w:val="single" w:sz="4" w:space="0" w:color="auto"/>
              <w:right w:val="single" w:sz="4" w:space="0" w:color="auto"/>
            </w:tcBorders>
            <w:shd w:val="clear" w:color="auto" w:fill="C6EFCE"/>
            <w:noWrap/>
          </w:tcPr>
          <w:p w14:paraId="386D865E"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396" w:type="dxa"/>
            <w:tcBorders>
              <w:top w:val="single" w:sz="4" w:space="0" w:color="auto"/>
              <w:left w:val="single" w:sz="4" w:space="0" w:color="auto"/>
              <w:bottom w:val="single" w:sz="4" w:space="0" w:color="auto"/>
              <w:right w:val="single" w:sz="4" w:space="0" w:color="auto"/>
            </w:tcBorders>
            <w:shd w:val="clear" w:color="auto" w:fill="C6EFCE"/>
            <w:noWrap/>
          </w:tcPr>
          <w:p w14:paraId="5CC89E3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27" w:type="dxa"/>
            <w:tcBorders>
              <w:top w:val="single" w:sz="4" w:space="0" w:color="auto"/>
              <w:left w:val="single" w:sz="4" w:space="0" w:color="auto"/>
              <w:bottom w:val="single" w:sz="4" w:space="0" w:color="auto"/>
              <w:right w:val="single" w:sz="4" w:space="0" w:color="auto"/>
            </w:tcBorders>
            <w:shd w:val="clear" w:color="auto" w:fill="C6EFCE"/>
            <w:noWrap/>
          </w:tcPr>
          <w:p w14:paraId="176A643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2022</w:t>
            </w:r>
          </w:p>
        </w:tc>
        <w:tc>
          <w:tcPr>
            <w:tcW w:w="6975" w:type="dxa"/>
            <w:tcBorders>
              <w:top w:val="single" w:sz="4" w:space="0" w:color="auto"/>
              <w:left w:val="single" w:sz="4" w:space="0" w:color="auto"/>
              <w:bottom w:val="single" w:sz="4" w:space="0" w:color="auto"/>
              <w:right w:val="single" w:sz="4" w:space="0" w:color="auto"/>
            </w:tcBorders>
            <w:shd w:val="clear" w:color="auto" w:fill="C6EFCE"/>
            <w:noWrap/>
          </w:tcPr>
          <w:p w14:paraId="67929F30" w14:textId="77777777" w:rsidR="00D65CB4" w:rsidRPr="00BC4EE7" w:rsidRDefault="00572307">
            <w:pPr>
              <w:spacing w:after="0" w:line="240" w:lineRule="auto"/>
              <w:rPr>
                <w:rFonts w:ascii="Times New Roman" w:eastAsia="Times New Roman" w:hAnsi="Times New Roman" w:cs="Times New Roman"/>
                <w:noProof/>
                <w:sz w:val="18"/>
              </w:rPr>
            </w:pPr>
            <w:r w:rsidRPr="00BC4EE7">
              <w:rPr>
                <w:rFonts w:ascii="Times New Roman" w:hAnsi="Times New Roman" w:cs="Times New Roman"/>
                <w:noProof/>
                <w:sz w:val="18"/>
              </w:rPr>
              <w:t>A körforgásos gazdaságra vonatkozó szakpolitikai csomag a következőket tartalmazza:</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Az elhasználódott gumiabroncsok kezeléséről szóló, 2005. december 30-i 1619/2005. sz. királyi rendeletet módosító augusztus 4-i 731/2020. sz. királyi rendelet.</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 hulladéklerakókban történő hulladékártalmatlanítás szabályozásáról szóló, július 7-i 646/2020. sz. királyi rendelet.</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Az állam területén történő hulladékszállítást szabályozó, június 2-i 553/2020. sz. királyi rendelet.</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 január 19-i 27/2021. sz. és az április 13-i 265/2021. sz. királyi rendelet.</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 csomagolásra és a csomagolási hulladékra vonatkozó szabályozási intézkedéseknek a Miniszterek Tanácsa általi, 2022 folyamán történő közelgő jóváhagyása.</w:t>
            </w:r>
          </w:p>
        </w:tc>
      </w:tr>
      <w:tr w:rsidR="00D65CB4" w:rsidRPr="00BC4EE7" w14:paraId="11D87B12" w14:textId="77777777" w:rsidTr="00481CF8">
        <w:trPr>
          <w:trHeight w:val="309"/>
        </w:trPr>
        <w:tc>
          <w:tcPr>
            <w:tcW w:w="710" w:type="dxa"/>
            <w:tcBorders>
              <w:top w:val="single" w:sz="4" w:space="0" w:color="auto"/>
              <w:left w:val="single" w:sz="4" w:space="0" w:color="auto"/>
              <w:bottom w:val="single" w:sz="4" w:space="0" w:color="auto"/>
              <w:right w:val="single" w:sz="4" w:space="0" w:color="auto"/>
            </w:tcBorders>
            <w:shd w:val="clear" w:color="auto" w:fill="C6EFCE"/>
            <w:noWrap/>
          </w:tcPr>
          <w:p w14:paraId="21B09B5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179</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0F44CD1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C12.R2</w:t>
            </w:r>
          </w:p>
        </w:tc>
        <w:tc>
          <w:tcPr>
            <w:tcW w:w="942" w:type="dxa"/>
            <w:tcBorders>
              <w:top w:val="single" w:sz="4" w:space="0" w:color="auto"/>
              <w:left w:val="single" w:sz="4" w:space="0" w:color="auto"/>
              <w:bottom w:val="single" w:sz="4" w:space="0" w:color="auto"/>
              <w:right w:val="single" w:sz="4" w:space="0" w:color="auto"/>
            </w:tcBorders>
            <w:shd w:val="clear" w:color="auto" w:fill="C6EFCE"/>
            <w:noWrap/>
          </w:tcPr>
          <w:p w14:paraId="5D7D062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206210B6"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 hulladékokról és a szennyezett talajról szóló törvény hatálybalépése </w:t>
            </w:r>
          </w:p>
        </w:tc>
        <w:tc>
          <w:tcPr>
            <w:tcW w:w="1003" w:type="dxa"/>
            <w:tcBorders>
              <w:top w:val="single" w:sz="4" w:space="0" w:color="auto"/>
              <w:left w:val="single" w:sz="4" w:space="0" w:color="auto"/>
              <w:bottom w:val="single" w:sz="4" w:space="0" w:color="auto"/>
              <w:right w:val="single" w:sz="4" w:space="0" w:color="auto"/>
            </w:tcBorders>
            <w:shd w:val="clear" w:color="auto" w:fill="C6EFCE"/>
            <w:noWrap/>
          </w:tcPr>
          <w:p w14:paraId="6D27EA5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A jogszabály hatálybalépésére vonatkozó rendelkezés a jogszabályban </w:t>
            </w:r>
          </w:p>
        </w:tc>
        <w:tc>
          <w:tcPr>
            <w:tcW w:w="790" w:type="dxa"/>
            <w:tcBorders>
              <w:top w:val="single" w:sz="4" w:space="0" w:color="auto"/>
              <w:left w:val="single" w:sz="4" w:space="0" w:color="auto"/>
              <w:bottom w:val="single" w:sz="4" w:space="0" w:color="auto"/>
              <w:right w:val="single" w:sz="4" w:space="0" w:color="auto"/>
            </w:tcBorders>
            <w:shd w:val="clear" w:color="auto" w:fill="C6EFCE"/>
            <w:noWrap/>
          </w:tcPr>
          <w:p w14:paraId="2F55C560"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919" w:type="dxa"/>
            <w:tcBorders>
              <w:top w:val="single" w:sz="4" w:space="0" w:color="auto"/>
              <w:left w:val="single" w:sz="4" w:space="0" w:color="auto"/>
              <w:bottom w:val="single" w:sz="4" w:space="0" w:color="auto"/>
              <w:right w:val="single" w:sz="4" w:space="0" w:color="auto"/>
            </w:tcBorders>
            <w:shd w:val="clear" w:color="auto" w:fill="C6EFCE"/>
            <w:noWrap/>
          </w:tcPr>
          <w:p w14:paraId="0881CF84"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945" w:type="dxa"/>
            <w:tcBorders>
              <w:top w:val="single" w:sz="4" w:space="0" w:color="auto"/>
              <w:left w:val="single" w:sz="4" w:space="0" w:color="auto"/>
              <w:bottom w:val="single" w:sz="4" w:space="0" w:color="auto"/>
              <w:right w:val="single" w:sz="4" w:space="0" w:color="auto"/>
            </w:tcBorders>
            <w:shd w:val="clear" w:color="auto" w:fill="C6EFCE"/>
            <w:noWrap/>
          </w:tcPr>
          <w:p w14:paraId="7702B40C"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396" w:type="dxa"/>
            <w:tcBorders>
              <w:top w:val="single" w:sz="4" w:space="0" w:color="auto"/>
              <w:left w:val="single" w:sz="4" w:space="0" w:color="auto"/>
              <w:bottom w:val="single" w:sz="4" w:space="0" w:color="auto"/>
              <w:right w:val="single" w:sz="4" w:space="0" w:color="auto"/>
            </w:tcBorders>
            <w:shd w:val="clear" w:color="auto" w:fill="C6EFCE"/>
            <w:noWrap/>
          </w:tcPr>
          <w:p w14:paraId="3DC219E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27" w:type="dxa"/>
            <w:tcBorders>
              <w:top w:val="single" w:sz="4" w:space="0" w:color="auto"/>
              <w:left w:val="single" w:sz="4" w:space="0" w:color="auto"/>
              <w:bottom w:val="single" w:sz="4" w:space="0" w:color="auto"/>
              <w:right w:val="single" w:sz="4" w:space="0" w:color="auto"/>
            </w:tcBorders>
            <w:shd w:val="clear" w:color="auto" w:fill="C6EFCE"/>
            <w:noWrap/>
          </w:tcPr>
          <w:p w14:paraId="5A69BD1D"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2022</w:t>
            </w:r>
          </w:p>
        </w:tc>
        <w:tc>
          <w:tcPr>
            <w:tcW w:w="6975" w:type="dxa"/>
            <w:tcBorders>
              <w:top w:val="single" w:sz="4" w:space="0" w:color="auto"/>
              <w:left w:val="single" w:sz="4" w:space="0" w:color="auto"/>
              <w:bottom w:val="single" w:sz="4" w:space="0" w:color="auto"/>
              <w:right w:val="single" w:sz="4" w:space="0" w:color="auto"/>
            </w:tcBorders>
            <w:shd w:val="clear" w:color="auto" w:fill="C6EFCE"/>
            <w:noWrap/>
          </w:tcPr>
          <w:p w14:paraId="2588F2D4" w14:textId="77777777" w:rsidR="00D65CB4" w:rsidRPr="00BC4EE7" w:rsidRDefault="00572307">
            <w:pPr>
              <w:spacing w:after="0" w:line="240" w:lineRule="auto"/>
              <w:rPr>
                <w:rFonts w:ascii="Times New Roman" w:hAnsi="Times New Roman" w:cs="Times New Roman"/>
                <w:noProof/>
                <w:sz w:val="18"/>
              </w:rPr>
            </w:pPr>
            <w:r w:rsidRPr="00BC4EE7">
              <w:rPr>
                <w:rFonts w:ascii="Times New Roman" w:hAnsi="Times New Roman" w:cs="Times New Roman"/>
                <w:noProof/>
                <w:sz w:val="18"/>
              </w:rPr>
              <w:t xml:space="preserve">A törvény a következőket tartalmazza: </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i. a hulladékokról szóló keretirányelv és az egyszer használatos műanyagokról szóló irányelv végrehajtása, valamint az elmúlt tíz év tapasztalatainak fényében a spanyol rendeletek aktualizálása; </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 hulladékra vonatkozó uniós célkitűzések bevezetése, valamint az uniós szabályozásból eredő, az elkülönített gyűjtésre vonatkozó kötelezettségek bevezetése, előre jelezve azok biohulladékban való alkalmazását az 5000-nál több lakosú településeken.  Az intézkedésnek továbbá olyan elkülönített gyűjtési kötelezettségeket kell bevezetnie, amelyek túlmutatnak az uniós jogban meghatározott követelményeken;</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iii. a kiterjesztett gyártói felelősség szabályozásának felülvizsgálata, az uniós jog által előírtakon túlmutató újak meghatározásával;</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 hulladékra vonatkozó állami adó bevezetése (beleértve a hulladéklerakókat, az égetést és az együttégetést, valamint az egyszer használatos műanyag tárolóedényeket).</w:t>
            </w:r>
          </w:p>
        </w:tc>
      </w:tr>
      <w:tr w:rsidR="00D65CB4" w:rsidRPr="00BC4EE7" w14:paraId="36D9C0F6" w14:textId="77777777" w:rsidTr="00481CF8">
        <w:trPr>
          <w:trHeight w:val="309"/>
        </w:trPr>
        <w:tc>
          <w:tcPr>
            <w:tcW w:w="710" w:type="dxa"/>
            <w:tcBorders>
              <w:top w:val="single" w:sz="4" w:space="0" w:color="auto"/>
              <w:left w:val="single" w:sz="4" w:space="0" w:color="auto"/>
              <w:bottom w:val="single" w:sz="4" w:space="0" w:color="auto"/>
              <w:right w:val="single" w:sz="4" w:space="0" w:color="auto"/>
            </w:tcBorders>
            <w:shd w:val="clear" w:color="auto" w:fill="C6EFCE"/>
            <w:noWrap/>
          </w:tcPr>
          <w:p w14:paraId="38F6230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180</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55AA93F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C12.I1</w:t>
            </w:r>
          </w:p>
        </w:tc>
        <w:tc>
          <w:tcPr>
            <w:tcW w:w="942" w:type="dxa"/>
            <w:tcBorders>
              <w:top w:val="single" w:sz="4" w:space="0" w:color="auto"/>
              <w:left w:val="single" w:sz="4" w:space="0" w:color="auto"/>
              <w:bottom w:val="single" w:sz="4" w:space="0" w:color="auto"/>
              <w:right w:val="single" w:sz="4" w:space="0" w:color="auto"/>
            </w:tcBorders>
            <w:shd w:val="clear" w:color="auto" w:fill="C6EFCE"/>
            <w:noWrap/>
          </w:tcPr>
          <w:p w14:paraId="0BFA5A9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1E715A99"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Nagy értékű ágazati és interoperábilis adatterek</w:t>
            </w:r>
          </w:p>
        </w:tc>
        <w:tc>
          <w:tcPr>
            <w:tcW w:w="1003" w:type="dxa"/>
            <w:tcBorders>
              <w:top w:val="single" w:sz="4" w:space="0" w:color="auto"/>
              <w:left w:val="single" w:sz="4" w:space="0" w:color="auto"/>
              <w:bottom w:val="single" w:sz="4" w:space="0" w:color="auto"/>
              <w:right w:val="single" w:sz="4" w:space="0" w:color="auto"/>
            </w:tcBorders>
            <w:shd w:val="clear" w:color="auto" w:fill="C6EFCE"/>
            <w:noWrap/>
          </w:tcPr>
          <w:p w14:paraId="7DAD64F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790" w:type="dxa"/>
            <w:tcBorders>
              <w:top w:val="single" w:sz="4" w:space="0" w:color="auto"/>
              <w:left w:val="single" w:sz="4" w:space="0" w:color="auto"/>
              <w:bottom w:val="single" w:sz="4" w:space="0" w:color="auto"/>
              <w:right w:val="single" w:sz="4" w:space="0" w:color="auto"/>
            </w:tcBorders>
            <w:shd w:val="clear" w:color="auto" w:fill="C6EFCE"/>
            <w:noWrap/>
          </w:tcPr>
          <w:p w14:paraId="00073937"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Szám</w:t>
            </w:r>
          </w:p>
        </w:tc>
        <w:tc>
          <w:tcPr>
            <w:tcW w:w="919" w:type="dxa"/>
            <w:tcBorders>
              <w:top w:val="single" w:sz="4" w:space="0" w:color="auto"/>
              <w:left w:val="single" w:sz="4" w:space="0" w:color="auto"/>
              <w:bottom w:val="single" w:sz="4" w:space="0" w:color="auto"/>
              <w:right w:val="single" w:sz="4" w:space="0" w:color="auto"/>
            </w:tcBorders>
            <w:shd w:val="clear" w:color="auto" w:fill="C6EFCE"/>
            <w:noWrap/>
          </w:tcPr>
          <w:p w14:paraId="302AB299"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0</w:t>
            </w:r>
          </w:p>
        </w:tc>
        <w:tc>
          <w:tcPr>
            <w:tcW w:w="945" w:type="dxa"/>
            <w:tcBorders>
              <w:top w:val="single" w:sz="4" w:space="0" w:color="auto"/>
              <w:left w:val="single" w:sz="4" w:space="0" w:color="auto"/>
              <w:bottom w:val="single" w:sz="4" w:space="0" w:color="auto"/>
              <w:right w:val="single" w:sz="4" w:space="0" w:color="auto"/>
            </w:tcBorders>
            <w:shd w:val="clear" w:color="auto" w:fill="C6EFCE"/>
            <w:noWrap/>
          </w:tcPr>
          <w:p w14:paraId="71125339"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4</w:t>
            </w:r>
          </w:p>
        </w:tc>
        <w:tc>
          <w:tcPr>
            <w:tcW w:w="396" w:type="dxa"/>
            <w:tcBorders>
              <w:top w:val="single" w:sz="4" w:space="0" w:color="auto"/>
              <w:left w:val="single" w:sz="4" w:space="0" w:color="auto"/>
              <w:bottom w:val="single" w:sz="4" w:space="0" w:color="auto"/>
              <w:right w:val="single" w:sz="4" w:space="0" w:color="auto"/>
            </w:tcBorders>
            <w:shd w:val="clear" w:color="auto" w:fill="C6EFCE"/>
            <w:noWrap/>
          </w:tcPr>
          <w:p w14:paraId="670FAFA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Q2</w:t>
            </w:r>
          </w:p>
        </w:tc>
        <w:tc>
          <w:tcPr>
            <w:tcW w:w="527" w:type="dxa"/>
            <w:tcBorders>
              <w:top w:val="single" w:sz="4" w:space="0" w:color="auto"/>
              <w:left w:val="single" w:sz="4" w:space="0" w:color="auto"/>
              <w:bottom w:val="single" w:sz="4" w:space="0" w:color="auto"/>
              <w:right w:val="single" w:sz="4" w:space="0" w:color="auto"/>
            </w:tcBorders>
            <w:shd w:val="clear" w:color="auto" w:fill="C6EFCE"/>
            <w:noWrap/>
          </w:tcPr>
          <w:p w14:paraId="5FD2CD4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2026</w:t>
            </w:r>
          </w:p>
        </w:tc>
        <w:tc>
          <w:tcPr>
            <w:tcW w:w="6975" w:type="dxa"/>
            <w:tcBorders>
              <w:top w:val="single" w:sz="4" w:space="0" w:color="auto"/>
              <w:left w:val="single" w:sz="4" w:space="0" w:color="auto"/>
              <w:bottom w:val="single" w:sz="4" w:space="0" w:color="auto"/>
              <w:right w:val="single" w:sz="4" w:space="0" w:color="auto"/>
            </w:tcBorders>
            <w:shd w:val="clear" w:color="auto" w:fill="C6EFCE"/>
            <w:noWrap/>
          </w:tcPr>
          <w:p w14:paraId="3519B8F8"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 stratégiai ágazatokban létrehozott nagy értékű, nagy értékű ágazati és interoperábilis adatterek. Legalább négy az agrár-élelmiszeripari ágazatban, a fenntartható mobilitási ágazatban, az egészségügyi ágazatban és a kereskedelmi ágazatban, összhangban a jelentős károkozás elkerülését célzó technikai iránymutatással (2021/C58/01) a kizárási lista, valamint a vonatkozó uniós és nemzeti környezetvédelmi jogszabályoknak való megfelelés követelménye révén. Az e célra igénybe vett költségvetés végrehajtása legalább 400 000 000 EUR. </w:t>
            </w:r>
          </w:p>
        </w:tc>
      </w:tr>
      <w:tr w:rsidR="00D65CB4" w:rsidRPr="00BC4EE7" w14:paraId="49B378B6" w14:textId="77777777" w:rsidTr="00481CF8">
        <w:trPr>
          <w:trHeight w:val="309"/>
        </w:trPr>
        <w:tc>
          <w:tcPr>
            <w:tcW w:w="710" w:type="dxa"/>
            <w:tcBorders>
              <w:top w:val="single" w:sz="4" w:space="0" w:color="auto"/>
              <w:left w:val="single" w:sz="4" w:space="0" w:color="auto"/>
              <w:bottom w:val="single" w:sz="4" w:space="0" w:color="auto"/>
              <w:right w:val="single" w:sz="4" w:space="0" w:color="auto"/>
            </w:tcBorders>
            <w:shd w:val="clear" w:color="auto" w:fill="C6EFCE"/>
            <w:noWrap/>
          </w:tcPr>
          <w:p w14:paraId="5ACC600D"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181</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6D8DC5E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C12.I2</w:t>
            </w:r>
          </w:p>
        </w:tc>
        <w:tc>
          <w:tcPr>
            <w:tcW w:w="942" w:type="dxa"/>
            <w:tcBorders>
              <w:top w:val="single" w:sz="4" w:space="0" w:color="auto"/>
              <w:left w:val="single" w:sz="4" w:space="0" w:color="auto"/>
              <w:bottom w:val="single" w:sz="4" w:space="0" w:color="auto"/>
              <w:right w:val="single" w:sz="4" w:space="0" w:color="auto"/>
            </w:tcBorders>
            <w:shd w:val="clear" w:color="auto" w:fill="C6EFCE"/>
            <w:noWrap/>
          </w:tcPr>
          <w:p w14:paraId="72ED764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1ADF28FC"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Terv a gépjárműipar értékláncának fellendítésére a fenntartható és összekapcsolt mobilitás felé</w:t>
            </w:r>
          </w:p>
        </w:tc>
        <w:tc>
          <w:tcPr>
            <w:tcW w:w="1003" w:type="dxa"/>
            <w:tcBorders>
              <w:top w:val="single" w:sz="4" w:space="0" w:color="auto"/>
              <w:left w:val="single" w:sz="4" w:space="0" w:color="auto"/>
              <w:bottom w:val="single" w:sz="4" w:space="0" w:color="auto"/>
              <w:right w:val="single" w:sz="4" w:space="0" w:color="auto"/>
            </w:tcBorders>
            <w:shd w:val="clear" w:color="auto" w:fill="C6EFCE"/>
            <w:noWrap/>
          </w:tcPr>
          <w:p w14:paraId="7E33FF0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A Miniszterek Tanácsa általi jóváhagyás</w:t>
            </w:r>
          </w:p>
        </w:tc>
        <w:tc>
          <w:tcPr>
            <w:tcW w:w="790" w:type="dxa"/>
            <w:tcBorders>
              <w:top w:val="single" w:sz="4" w:space="0" w:color="auto"/>
              <w:left w:val="single" w:sz="4" w:space="0" w:color="auto"/>
              <w:bottom w:val="single" w:sz="4" w:space="0" w:color="auto"/>
              <w:right w:val="single" w:sz="4" w:space="0" w:color="auto"/>
            </w:tcBorders>
            <w:shd w:val="clear" w:color="auto" w:fill="C6EFCE"/>
            <w:noWrap/>
          </w:tcPr>
          <w:p w14:paraId="2BCB5ADA"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919" w:type="dxa"/>
            <w:tcBorders>
              <w:top w:val="single" w:sz="4" w:space="0" w:color="auto"/>
              <w:left w:val="single" w:sz="4" w:space="0" w:color="auto"/>
              <w:bottom w:val="single" w:sz="4" w:space="0" w:color="auto"/>
              <w:right w:val="single" w:sz="4" w:space="0" w:color="auto"/>
            </w:tcBorders>
            <w:shd w:val="clear" w:color="auto" w:fill="C6EFCE"/>
            <w:noWrap/>
          </w:tcPr>
          <w:p w14:paraId="336936BC"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945" w:type="dxa"/>
            <w:tcBorders>
              <w:top w:val="single" w:sz="4" w:space="0" w:color="auto"/>
              <w:left w:val="single" w:sz="4" w:space="0" w:color="auto"/>
              <w:bottom w:val="single" w:sz="4" w:space="0" w:color="auto"/>
              <w:right w:val="single" w:sz="4" w:space="0" w:color="auto"/>
            </w:tcBorders>
            <w:shd w:val="clear" w:color="auto" w:fill="C6EFCE"/>
            <w:noWrap/>
          </w:tcPr>
          <w:p w14:paraId="6665A675"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396" w:type="dxa"/>
            <w:tcBorders>
              <w:top w:val="single" w:sz="4" w:space="0" w:color="auto"/>
              <w:left w:val="single" w:sz="4" w:space="0" w:color="auto"/>
              <w:bottom w:val="single" w:sz="4" w:space="0" w:color="auto"/>
              <w:right w:val="single" w:sz="4" w:space="0" w:color="auto"/>
            </w:tcBorders>
            <w:shd w:val="clear" w:color="auto" w:fill="C6EFCE"/>
            <w:noWrap/>
          </w:tcPr>
          <w:p w14:paraId="64AFC06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Q2</w:t>
            </w:r>
          </w:p>
        </w:tc>
        <w:tc>
          <w:tcPr>
            <w:tcW w:w="527" w:type="dxa"/>
            <w:tcBorders>
              <w:top w:val="single" w:sz="4" w:space="0" w:color="auto"/>
              <w:left w:val="single" w:sz="4" w:space="0" w:color="auto"/>
              <w:bottom w:val="single" w:sz="4" w:space="0" w:color="auto"/>
              <w:right w:val="single" w:sz="4" w:space="0" w:color="auto"/>
            </w:tcBorders>
            <w:shd w:val="clear" w:color="auto" w:fill="C6EFCE"/>
            <w:noWrap/>
          </w:tcPr>
          <w:p w14:paraId="457415F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2020</w:t>
            </w:r>
          </w:p>
        </w:tc>
        <w:tc>
          <w:tcPr>
            <w:tcW w:w="6975" w:type="dxa"/>
            <w:tcBorders>
              <w:top w:val="single" w:sz="4" w:space="0" w:color="auto"/>
              <w:left w:val="single" w:sz="4" w:space="0" w:color="auto"/>
              <w:bottom w:val="single" w:sz="4" w:space="0" w:color="auto"/>
              <w:right w:val="single" w:sz="4" w:space="0" w:color="auto"/>
            </w:tcBorders>
            <w:shd w:val="clear" w:color="auto" w:fill="C6EFCE"/>
            <w:noWrap/>
          </w:tcPr>
          <w:p w14:paraId="117B7E93"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 Miniszterek Tanácsa hagyja jóvá a gépjárműipar értékláncának a fenntartható és összekapcsolt mobilitás felé történő fellendítésére irányuló tervet. </w:t>
            </w:r>
          </w:p>
        </w:tc>
      </w:tr>
      <w:tr w:rsidR="00D65CB4" w:rsidRPr="00BC4EE7" w14:paraId="17F7E0DC" w14:textId="77777777" w:rsidTr="00481CF8">
        <w:trPr>
          <w:trHeight w:val="309"/>
        </w:trPr>
        <w:tc>
          <w:tcPr>
            <w:tcW w:w="710" w:type="dxa"/>
            <w:tcBorders>
              <w:top w:val="single" w:sz="4" w:space="0" w:color="auto"/>
              <w:left w:val="single" w:sz="4" w:space="0" w:color="auto"/>
              <w:bottom w:val="single" w:sz="4" w:space="0" w:color="auto"/>
              <w:right w:val="single" w:sz="4" w:space="0" w:color="auto"/>
            </w:tcBorders>
            <w:shd w:val="clear" w:color="auto" w:fill="C6EFCE"/>
            <w:noWrap/>
          </w:tcPr>
          <w:p w14:paraId="052AB78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182</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52CEC47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C12.I2</w:t>
            </w:r>
          </w:p>
        </w:tc>
        <w:tc>
          <w:tcPr>
            <w:tcW w:w="942" w:type="dxa"/>
            <w:tcBorders>
              <w:top w:val="single" w:sz="4" w:space="0" w:color="auto"/>
              <w:left w:val="single" w:sz="4" w:space="0" w:color="auto"/>
              <w:bottom w:val="single" w:sz="4" w:space="0" w:color="auto"/>
              <w:right w:val="single" w:sz="4" w:space="0" w:color="auto"/>
            </w:tcBorders>
            <w:shd w:val="clear" w:color="auto" w:fill="C6EFCE"/>
            <w:noWrap/>
          </w:tcPr>
          <w:p w14:paraId="615361E4"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56DF5A2B"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PERTE az elektromos járművek területén</w:t>
            </w:r>
          </w:p>
        </w:tc>
        <w:tc>
          <w:tcPr>
            <w:tcW w:w="1003" w:type="dxa"/>
            <w:tcBorders>
              <w:top w:val="single" w:sz="4" w:space="0" w:color="auto"/>
              <w:left w:val="single" w:sz="4" w:space="0" w:color="auto"/>
              <w:bottom w:val="single" w:sz="4" w:space="0" w:color="auto"/>
              <w:right w:val="single" w:sz="4" w:space="0" w:color="auto"/>
            </w:tcBorders>
            <w:shd w:val="clear" w:color="auto" w:fill="C6EFCE"/>
            <w:noWrap/>
          </w:tcPr>
          <w:p w14:paraId="5193048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A Miniszterek Tanácsa általi jóváhagyás</w:t>
            </w:r>
          </w:p>
        </w:tc>
        <w:tc>
          <w:tcPr>
            <w:tcW w:w="790" w:type="dxa"/>
            <w:tcBorders>
              <w:top w:val="single" w:sz="4" w:space="0" w:color="auto"/>
              <w:left w:val="single" w:sz="4" w:space="0" w:color="auto"/>
              <w:bottom w:val="single" w:sz="4" w:space="0" w:color="auto"/>
              <w:right w:val="single" w:sz="4" w:space="0" w:color="auto"/>
            </w:tcBorders>
            <w:shd w:val="clear" w:color="auto" w:fill="C6EFCE"/>
            <w:noWrap/>
          </w:tcPr>
          <w:p w14:paraId="10209D63"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919" w:type="dxa"/>
            <w:tcBorders>
              <w:top w:val="single" w:sz="4" w:space="0" w:color="auto"/>
              <w:left w:val="single" w:sz="4" w:space="0" w:color="auto"/>
              <w:bottom w:val="single" w:sz="4" w:space="0" w:color="auto"/>
              <w:right w:val="single" w:sz="4" w:space="0" w:color="auto"/>
            </w:tcBorders>
            <w:shd w:val="clear" w:color="auto" w:fill="C6EFCE"/>
            <w:noWrap/>
          </w:tcPr>
          <w:p w14:paraId="4E428E3E" w14:textId="77777777" w:rsidR="00D65CB4" w:rsidRPr="00BC4EE7" w:rsidRDefault="00D65CB4">
            <w:pPr>
              <w:spacing w:after="0" w:line="240" w:lineRule="auto"/>
              <w:jc w:val="center"/>
              <w:rPr>
                <w:rFonts w:ascii="Times New Roman" w:eastAsia="Times New Roman" w:hAnsi="Times New Roman" w:cs="Times New Roman"/>
                <w:noProof/>
                <w:sz w:val="18"/>
              </w:rPr>
            </w:pPr>
          </w:p>
        </w:tc>
        <w:tc>
          <w:tcPr>
            <w:tcW w:w="945" w:type="dxa"/>
            <w:tcBorders>
              <w:top w:val="single" w:sz="4" w:space="0" w:color="auto"/>
              <w:left w:val="single" w:sz="4" w:space="0" w:color="auto"/>
              <w:bottom w:val="single" w:sz="4" w:space="0" w:color="auto"/>
              <w:right w:val="single" w:sz="4" w:space="0" w:color="auto"/>
            </w:tcBorders>
            <w:shd w:val="clear" w:color="auto" w:fill="C6EFCE"/>
            <w:noWrap/>
          </w:tcPr>
          <w:p w14:paraId="6A57D1F6" w14:textId="77777777" w:rsidR="00D65CB4" w:rsidRPr="00BC4EE7" w:rsidRDefault="00D65CB4">
            <w:pPr>
              <w:spacing w:after="0" w:line="240" w:lineRule="auto"/>
              <w:jc w:val="center"/>
              <w:rPr>
                <w:rFonts w:ascii="Times New Roman" w:eastAsia="Times New Roman" w:hAnsi="Times New Roman" w:cs="Times New Roman"/>
                <w:noProof/>
                <w:sz w:val="18"/>
              </w:rPr>
            </w:pPr>
          </w:p>
        </w:tc>
        <w:tc>
          <w:tcPr>
            <w:tcW w:w="396" w:type="dxa"/>
            <w:tcBorders>
              <w:top w:val="single" w:sz="4" w:space="0" w:color="auto"/>
              <w:left w:val="single" w:sz="4" w:space="0" w:color="auto"/>
              <w:bottom w:val="single" w:sz="4" w:space="0" w:color="auto"/>
              <w:right w:val="single" w:sz="4" w:space="0" w:color="auto"/>
            </w:tcBorders>
            <w:shd w:val="clear" w:color="auto" w:fill="C6EFCE"/>
            <w:noWrap/>
          </w:tcPr>
          <w:p w14:paraId="461ECAB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Q3</w:t>
            </w:r>
          </w:p>
        </w:tc>
        <w:tc>
          <w:tcPr>
            <w:tcW w:w="527" w:type="dxa"/>
            <w:tcBorders>
              <w:top w:val="single" w:sz="4" w:space="0" w:color="auto"/>
              <w:left w:val="single" w:sz="4" w:space="0" w:color="auto"/>
              <w:bottom w:val="single" w:sz="4" w:space="0" w:color="auto"/>
              <w:right w:val="single" w:sz="4" w:space="0" w:color="auto"/>
            </w:tcBorders>
            <w:shd w:val="clear" w:color="auto" w:fill="C6EFCE"/>
            <w:noWrap/>
          </w:tcPr>
          <w:p w14:paraId="2653D474"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2022</w:t>
            </w:r>
          </w:p>
        </w:tc>
        <w:tc>
          <w:tcPr>
            <w:tcW w:w="6975" w:type="dxa"/>
            <w:tcBorders>
              <w:top w:val="single" w:sz="4" w:space="0" w:color="auto"/>
              <w:left w:val="single" w:sz="4" w:space="0" w:color="auto"/>
              <w:bottom w:val="single" w:sz="4" w:space="0" w:color="auto"/>
              <w:right w:val="single" w:sz="4" w:space="0" w:color="auto"/>
            </w:tcBorders>
            <w:shd w:val="clear" w:color="auto" w:fill="C6EFCE"/>
            <w:noWrap/>
          </w:tcPr>
          <w:p w14:paraId="790A3749"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Az elektromos járművek stratégiai területén a gazdaságélénkítő és -átalakítási stratégiai projekt (PERTE) Minisztertanács általi jóváhagyása, valamint legalább 400 000 000 EUR összegű költségvetési támogatás elkülönítése. A PERTE-t jóváhagyó határozatnak részletes kiválasztási kritériumokat kell tartalmaznia a jelentős károkozás elkerülését célzó technikai iránymutatásnak (2021/C58/01) való megfelelés biztosítása érdekében a kizárási lista, valamint a vonatkozó uniós és nemzeti környezetvédelmi jogszabályoknak való megfelelés követelménye révén. A kiválasztási kritériumoknak emellett tükrözniük kell az éghajlatváltozással kapcsolatos célkitűzések tekintetében alkalmazandó beavatkozási területek követelményeit is, a Helyreállítási és Rezilienciaépítési Eszköz létrehozásáról szóló, 2021. február 12-i (EU) 2021/241 európai parlamenti és tanácsi rendelet VI. mellékletével összhangban.</w:t>
            </w:r>
          </w:p>
        </w:tc>
      </w:tr>
      <w:tr w:rsidR="00D65CB4" w:rsidRPr="00BC4EE7" w14:paraId="1FF85CB4" w14:textId="77777777" w:rsidTr="00481CF8">
        <w:trPr>
          <w:trHeight w:val="309"/>
        </w:trPr>
        <w:tc>
          <w:tcPr>
            <w:tcW w:w="710" w:type="dxa"/>
            <w:tcBorders>
              <w:top w:val="single" w:sz="4" w:space="0" w:color="auto"/>
              <w:left w:val="single" w:sz="4" w:space="0" w:color="auto"/>
              <w:bottom w:val="single" w:sz="4" w:space="0" w:color="auto"/>
              <w:right w:val="single" w:sz="4" w:space="0" w:color="auto"/>
            </w:tcBorders>
            <w:shd w:val="clear" w:color="auto" w:fill="C6EFCE"/>
            <w:noWrap/>
          </w:tcPr>
          <w:p w14:paraId="1B7A1CC9" w14:textId="1D4B45E1"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183</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36AEFBB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C12.I2</w:t>
            </w:r>
          </w:p>
        </w:tc>
        <w:tc>
          <w:tcPr>
            <w:tcW w:w="942" w:type="dxa"/>
            <w:tcBorders>
              <w:top w:val="single" w:sz="4" w:space="0" w:color="auto"/>
              <w:left w:val="single" w:sz="4" w:space="0" w:color="auto"/>
              <w:bottom w:val="single" w:sz="4" w:space="0" w:color="auto"/>
              <w:right w:val="single" w:sz="4" w:space="0" w:color="auto"/>
            </w:tcBorders>
            <w:shd w:val="clear" w:color="auto" w:fill="C6EFCE"/>
            <w:noWrap/>
          </w:tcPr>
          <w:p w14:paraId="71FBC49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62B1D3A2"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PERTE-k a tervben meghatározott stratégiai területeken </w:t>
            </w:r>
          </w:p>
        </w:tc>
        <w:tc>
          <w:tcPr>
            <w:tcW w:w="1003" w:type="dxa"/>
            <w:tcBorders>
              <w:top w:val="single" w:sz="4" w:space="0" w:color="auto"/>
              <w:left w:val="single" w:sz="4" w:space="0" w:color="auto"/>
              <w:bottom w:val="single" w:sz="4" w:space="0" w:color="auto"/>
              <w:right w:val="single" w:sz="4" w:space="0" w:color="auto"/>
            </w:tcBorders>
            <w:shd w:val="clear" w:color="auto" w:fill="C6EFCE"/>
            <w:noWrap/>
          </w:tcPr>
          <w:p w14:paraId="5B10D494"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A Miniszterek Tanácsa általi jóváhagyás</w:t>
            </w:r>
          </w:p>
        </w:tc>
        <w:tc>
          <w:tcPr>
            <w:tcW w:w="790" w:type="dxa"/>
            <w:tcBorders>
              <w:top w:val="single" w:sz="4" w:space="0" w:color="auto"/>
              <w:left w:val="single" w:sz="4" w:space="0" w:color="auto"/>
              <w:bottom w:val="single" w:sz="4" w:space="0" w:color="auto"/>
              <w:right w:val="single" w:sz="4" w:space="0" w:color="auto"/>
            </w:tcBorders>
            <w:shd w:val="clear" w:color="auto" w:fill="C6EFCE"/>
            <w:noWrap/>
          </w:tcPr>
          <w:p w14:paraId="2FB80CBB"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919" w:type="dxa"/>
            <w:tcBorders>
              <w:top w:val="single" w:sz="4" w:space="0" w:color="auto"/>
              <w:left w:val="single" w:sz="4" w:space="0" w:color="auto"/>
              <w:bottom w:val="single" w:sz="4" w:space="0" w:color="auto"/>
              <w:right w:val="single" w:sz="4" w:space="0" w:color="auto"/>
            </w:tcBorders>
            <w:shd w:val="clear" w:color="auto" w:fill="C6EFCE"/>
            <w:noWrap/>
          </w:tcPr>
          <w:p w14:paraId="42CD290A" w14:textId="77777777" w:rsidR="00D65CB4" w:rsidRPr="00BC4EE7" w:rsidRDefault="00D65CB4">
            <w:pPr>
              <w:spacing w:after="0" w:line="240" w:lineRule="auto"/>
              <w:jc w:val="center"/>
              <w:rPr>
                <w:rFonts w:ascii="Times New Roman" w:eastAsia="Times New Roman" w:hAnsi="Times New Roman" w:cs="Times New Roman"/>
                <w:noProof/>
                <w:sz w:val="18"/>
              </w:rPr>
            </w:pPr>
          </w:p>
        </w:tc>
        <w:tc>
          <w:tcPr>
            <w:tcW w:w="945" w:type="dxa"/>
            <w:tcBorders>
              <w:top w:val="single" w:sz="4" w:space="0" w:color="auto"/>
              <w:left w:val="single" w:sz="4" w:space="0" w:color="auto"/>
              <w:bottom w:val="single" w:sz="4" w:space="0" w:color="auto"/>
              <w:right w:val="single" w:sz="4" w:space="0" w:color="auto"/>
            </w:tcBorders>
            <w:shd w:val="clear" w:color="auto" w:fill="C6EFCE"/>
            <w:noWrap/>
          </w:tcPr>
          <w:p w14:paraId="53AC4CEF" w14:textId="77777777" w:rsidR="00D65CB4" w:rsidRPr="00BC4EE7" w:rsidRDefault="00D65CB4">
            <w:pPr>
              <w:spacing w:after="0" w:line="240" w:lineRule="auto"/>
              <w:jc w:val="center"/>
              <w:rPr>
                <w:rFonts w:ascii="Times New Roman" w:eastAsia="Times New Roman" w:hAnsi="Times New Roman" w:cs="Times New Roman"/>
                <w:noProof/>
                <w:sz w:val="18"/>
              </w:rPr>
            </w:pPr>
          </w:p>
        </w:tc>
        <w:tc>
          <w:tcPr>
            <w:tcW w:w="396" w:type="dxa"/>
            <w:tcBorders>
              <w:top w:val="single" w:sz="4" w:space="0" w:color="auto"/>
              <w:left w:val="single" w:sz="4" w:space="0" w:color="auto"/>
              <w:bottom w:val="single" w:sz="4" w:space="0" w:color="auto"/>
              <w:right w:val="single" w:sz="4" w:space="0" w:color="auto"/>
            </w:tcBorders>
            <w:shd w:val="clear" w:color="auto" w:fill="C6EFCE"/>
            <w:noWrap/>
          </w:tcPr>
          <w:p w14:paraId="141040A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27" w:type="dxa"/>
            <w:tcBorders>
              <w:top w:val="single" w:sz="4" w:space="0" w:color="auto"/>
              <w:left w:val="single" w:sz="4" w:space="0" w:color="auto"/>
              <w:bottom w:val="single" w:sz="4" w:space="0" w:color="auto"/>
              <w:right w:val="single" w:sz="4" w:space="0" w:color="auto"/>
            </w:tcBorders>
            <w:shd w:val="clear" w:color="auto" w:fill="C6EFCE"/>
            <w:noWrap/>
          </w:tcPr>
          <w:p w14:paraId="4E8DC3C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2022</w:t>
            </w:r>
          </w:p>
        </w:tc>
        <w:tc>
          <w:tcPr>
            <w:tcW w:w="6975" w:type="dxa"/>
            <w:tcBorders>
              <w:top w:val="single" w:sz="4" w:space="0" w:color="auto"/>
              <w:left w:val="single" w:sz="4" w:space="0" w:color="auto"/>
              <w:bottom w:val="single" w:sz="4" w:space="0" w:color="auto"/>
              <w:right w:val="single" w:sz="4" w:space="0" w:color="auto"/>
            </w:tcBorders>
            <w:shd w:val="clear" w:color="auto" w:fill="C6EFCE"/>
            <w:noWrap/>
          </w:tcPr>
          <w:p w14:paraId="2F9C7319" w14:textId="18272EC8"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 Miniszterek Tanácsa legalább két PERTE-t hagyott jóvá, és összesen legalább 800 000 000 EUR összegű költségvetési juttatást különít el támogatásra más stratégiai területeken, például az agrár-élelmiszeripari, az egészségügyi, a repülés- és a haditengerészeti ágazatban, a megújuló energiákhoz kapcsolódó ipari ágazatokban, valamint a processzorok és félvezető technológiák tervezésére és gyártására szolgáló képességek terén. A PERTE-t jóváhagyó határozatnak részletes kiválasztási kritériumokat kell tartalmaznia a jelentős károkozás elkerülését célzó technikai iránymutatásnak (2021/C58/01) való megfelelés biztosítása érdekében a kizárási lista, valamint a vonatkozó uniós és nemzeti környezetvédelmi jogszabályoknak való megfelelés követelménye révén. A kiválasztási kritériumoknak emellett tükrözniük kell az éghajlatváltozással kapcsolatos célkitűzések tekintetében alkalmazandó beavatkozási területek követelményeit is, a Helyreállítási és Rezilienciaépítési Eszköz létrehozásáról szóló, 2021. február 12-i (EU) 2021/241 európai parlamenti és tanácsi rendelet VI. mellékletével összhangban. </w:t>
            </w:r>
          </w:p>
        </w:tc>
      </w:tr>
      <w:tr w:rsidR="00D65CB4" w:rsidRPr="00BC4EE7" w14:paraId="466C1B6D" w14:textId="77777777" w:rsidTr="00481CF8">
        <w:trPr>
          <w:trHeight w:val="309"/>
        </w:trPr>
        <w:tc>
          <w:tcPr>
            <w:tcW w:w="710" w:type="dxa"/>
            <w:tcBorders>
              <w:top w:val="single" w:sz="4" w:space="0" w:color="auto"/>
              <w:left w:val="single" w:sz="4" w:space="0" w:color="auto"/>
              <w:bottom w:val="single" w:sz="4" w:space="0" w:color="auto"/>
              <w:right w:val="single" w:sz="4" w:space="0" w:color="auto"/>
            </w:tcBorders>
            <w:shd w:val="clear" w:color="auto" w:fill="C6EFCE"/>
            <w:noWrap/>
          </w:tcPr>
          <w:p w14:paraId="160917F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184</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75E94FD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C12.I2</w:t>
            </w:r>
          </w:p>
        </w:tc>
        <w:tc>
          <w:tcPr>
            <w:tcW w:w="942" w:type="dxa"/>
            <w:tcBorders>
              <w:top w:val="single" w:sz="4" w:space="0" w:color="auto"/>
              <w:left w:val="single" w:sz="4" w:space="0" w:color="auto"/>
              <w:bottom w:val="single" w:sz="4" w:space="0" w:color="auto"/>
              <w:right w:val="single" w:sz="4" w:space="0" w:color="auto"/>
            </w:tcBorders>
            <w:shd w:val="clear" w:color="auto" w:fill="C6EFCE"/>
            <w:noWrap/>
          </w:tcPr>
          <w:p w14:paraId="12AA027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1F2E6595"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Innovatív projektek az ipar átalakítására az energiahatékonyság, a fenntarthatóság és a digitalizáció tekintetében </w:t>
            </w:r>
          </w:p>
        </w:tc>
        <w:tc>
          <w:tcPr>
            <w:tcW w:w="1003" w:type="dxa"/>
            <w:tcBorders>
              <w:top w:val="single" w:sz="4" w:space="0" w:color="auto"/>
              <w:left w:val="single" w:sz="4" w:space="0" w:color="auto"/>
              <w:bottom w:val="single" w:sz="4" w:space="0" w:color="auto"/>
              <w:right w:val="single" w:sz="4" w:space="0" w:color="auto"/>
            </w:tcBorders>
            <w:shd w:val="clear" w:color="auto" w:fill="C6EFCE"/>
            <w:noWrap/>
          </w:tcPr>
          <w:p w14:paraId="51FBB56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790" w:type="dxa"/>
            <w:tcBorders>
              <w:top w:val="single" w:sz="4" w:space="0" w:color="auto"/>
              <w:left w:val="single" w:sz="4" w:space="0" w:color="auto"/>
              <w:bottom w:val="single" w:sz="4" w:space="0" w:color="auto"/>
              <w:right w:val="single" w:sz="4" w:space="0" w:color="auto"/>
            </w:tcBorders>
            <w:shd w:val="clear" w:color="auto" w:fill="C6EFCE"/>
            <w:noWrap/>
          </w:tcPr>
          <w:p w14:paraId="406A498B"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Szám</w:t>
            </w:r>
          </w:p>
        </w:tc>
        <w:tc>
          <w:tcPr>
            <w:tcW w:w="919" w:type="dxa"/>
            <w:tcBorders>
              <w:top w:val="single" w:sz="4" w:space="0" w:color="auto"/>
              <w:left w:val="single" w:sz="4" w:space="0" w:color="auto"/>
              <w:bottom w:val="single" w:sz="4" w:space="0" w:color="auto"/>
              <w:right w:val="single" w:sz="4" w:space="0" w:color="auto"/>
            </w:tcBorders>
            <w:shd w:val="clear" w:color="auto" w:fill="C6EFCE"/>
            <w:noWrap/>
          </w:tcPr>
          <w:p w14:paraId="4894244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0</w:t>
            </w:r>
          </w:p>
        </w:tc>
        <w:tc>
          <w:tcPr>
            <w:tcW w:w="945" w:type="dxa"/>
            <w:tcBorders>
              <w:top w:val="single" w:sz="4" w:space="0" w:color="auto"/>
              <w:left w:val="single" w:sz="4" w:space="0" w:color="auto"/>
              <w:bottom w:val="single" w:sz="4" w:space="0" w:color="auto"/>
              <w:right w:val="single" w:sz="4" w:space="0" w:color="auto"/>
            </w:tcBorders>
            <w:shd w:val="clear" w:color="auto" w:fill="C6EFCE"/>
            <w:noWrap/>
          </w:tcPr>
          <w:p w14:paraId="764075E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78</w:t>
            </w:r>
          </w:p>
        </w:tc>
        <w:tc>
          <w:tcPr>
            <w:tcW w:w="396" w:type="dxa"/>
            <w:tcBorders>
              <w:top w:val="single" w:sz="4" w:space="0" w:color="auto"/>
              <w:left w:val="single" w:sz="4" w:space="0" w:color="auto"/>
              <w:bottom w:val="single" w:sz="4" w:space="0" w:color="auto"/>
              <w:right w:val="single" w:sz="4" w:space="0" w:color="auto"/>
            </w:tcBorders>
            <w:shd w:val="clear" w:color="auto" w:fill="C6EFCE"/>
            <w:noWrap/>
          </w:tcPr>
          <w:p w14:paraId="21F8356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27" w:type="dxa"/>
            <w:tcBorders>
              <w:top w:val="single" w:sz="4" w:space="0" w:color="auto"/>
              <w:left w:val="single" w:sz="4" w:space="0" w:color="auto"/>
              <w:bottom w:val="single" w:sz="4" w:space="0" w:color="auto"/>
              <w:right w:val="single" w:sz="4" w:space="0" w:color="auto"/>
            </w:tcBorders>
            <w:shd w:val="clear" w:color="auto" w:fill="C6EFCE"/>
            <w:noWrap/>
          </w:tcPr>
          <w:p w14:paraId="4A247386" w14:textId="10E74AB4"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2022</w:t>
            </w:r>
          </w:p>
        </w:tc>
        <w:tc>
          <w:tcPr>
            <w:tcW w:w="6975" w:type="dxa"/>
            <w:tcBorders>
              <w:top w:val="single" w:sz="4" w:space="0" w:color="auto"/>
              <w:left w:val="single" w:sz="4" w:space="0" w:color="auto"/>
              <w:bottom w:val="single" w:sz="4" w:space="0" w:color="auto"/>
              <w:right w:val="single" w:sz="4" w:space="0" w:color="auto"/>
            </w:tcBorders>
            <w:shd w:val="clear" w:color="auto" w:fill="C6EFCE"/>
            <w:noWrap/>
          </w:tcPr>
          <w:p w14:paraId="7370B8BD" w14:textId="608FEA68"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Az ipari miniszter legalább 1 200 000 000 EUR-t ítél oda legalább 78 olyan innovatív projektnek, beleértve a jóváhagyott (legalább 3) PERTE-hez kapcsolódó projekteket is, amelyek az ipar jelentős átalakításával járnak az energiahatékonyság, a fenntarthatóság és a digitális transzformáció tekintetében. Projektek kiválasztása a Hivatalos Lapban közzétett pályázati felhívás alapján, a jelentős károkozás elkerülését célzó technikai iránymutatásnak (2021/C58/01) való megfelelésre vonatkozó kiválasztási kritériumok alapján, kizárási lista, valamint a vonatkozó uniós és nemzeti környezetvédelmi jogszabályoknak való megfelelés követelménye révén. A kiválasztási kritériumoknak emellett tükrözniük kell az éghajlatváltozással kapcsolatos célkitűzések tekintetében alkalmazandó beavatkozási területek követelményeit is, a Helyreállítási és Rezilienciaépítési Eszköz létrehozásáról szóló, 2021. február 12-i (EU) 2021/241 európai parlamenti és tanácsi rendelet VI. mellékletével összhangban. </w:t>
            </w:r>
          </w:p>
        </w:tc>
      </w:tr>
      <w:tr w:rsidR="00D65CB4" w:rsidRPr="00BC4EE7" w14:paraId="52430A1A" w14:textId="77777777" w:rsidTr="00481CF8">
        <w:trPr>
          <w:trHeight w:val="309"/>
        </w:trPr>
        <w:tc>
          <w:tcPr>
            <w:tcW w:w="710" w:type="dxa"/>
            <w:tcBorders>
              <w:top w:val="single" w:sz="4" w:space="0" w:color="auto"/>
              <w:left w:val="single" w:sz="4" w:space="0" w:color="auto"/>
              <w:bottom w:val="single" w:sz="4" w:space="0" w:color="auto"/>
              <w:right w:val="single" w:sz="4" w:space="0" w:color="auto"/>
            </w:tcBorders>
            <w:shd w:val="clear" w:color="auto" w:fill="C6EFCE"/>
            <w:noWrap/>
          </w:tcPr>
          <w:p w14:paraId="3C650CA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185</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0BA407CA" w14:textId="01C286EF"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C12.I2</w:t>
            </w:r>
          </w:p>
        </w:tc>
        <w:tc>
          <w:tcPr>
            <w:tcW w:w="942" w:type="dxa"/>
            <w:tcBorders>
              <w:top w:val="single" w:sz="4" w:space="0" w:color="auto"/>
              <w:left w:val="single" w:sz="4" w:space="0" w:color="auto"/>
              <w:bottom w:val="single" w:sz="4" w:space="0" w:color="auto"/>
              <w:right w:val="single" w:sz="4" w:space="0" w:color="auto"/>
            </w:tcBorders>
            <w:shd w:val="clear" w:color="auto" w:fill="C6EFCE"/>
            <w:noWrap/>
          </w:tcPr>
          <w:p w14:paraId="2ECB9A0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53E13A50"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 PERTES költségvetésének végrehajtása és az ipar átalakítását célzó innovatív projektek </w:t>
            </w:r>
          </w:p>
        </w:tc>
        <w:tc>
          <w:tcPr>
            <w:tcW w:w="1003" w:type="dxa"/>
            <w:tcBorders>
              <w:top w:val="single" w:sz="4" w:space="0" w:color="auto"/>
              <w:left w:val="single" w:sz="4" w:space="0" w:color="auto"/>
              <w:bottom w:val="single" w:sz="4" w:space="0" w:color="auto"/>
              <w:right w:val="single" w:sz="4" w:space="0" w:color="auto"/>
            </w:tcBorders>
            <w:shd w:val="clear" w:color="auto" w:fill="C6EFCE"/>
            <w:noWrap/>
          </w:tcPr>
          <w:p w14:paraId="0286F04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790" w:type="dxa"/>
            <w:tcBorders>
              <w:top w:val="single" w:sz="4" w:space="0" w:color="auto"/>
              <w:left w:val="single" w:sz="4" w:space="0" w:color="auto"/>
              <w:bottom w:val="single" w:sz="4" w:space="0" w:color="auto"/>
              <w:right w:val="single" w:sz="4" w:space="0" w:color="auto"/>
            </w:tcBorders>
            <w:shd w:val="clear" w:color="auto" w:fill="C6EFCE"/>
            <w:noWrap/>
          </w:tcPr>
          <w:p w14:paraId="0DBB6AEB"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EUR  </w:t>
            </w:r>
          </w:p>
        </w:tc>
        <w:tc>
          <w:tcPr>
            <w:tcW w:w="919" w:type="dxa"/>
            <w:tcBorders>
              <w:top w:val="single" w:sz="4" w:space="0" w:color="auto"/>
              <w:left w:val="single" w:sz="4" w:space="0" w:color="auto"/>
              <w:bottom w:val="single" w:sz="4" w:space="0" w:color="auto"/>
              <w:right w:val="single" w:sz="4" w:space="0" w:color="auto"/>
            </w:tcBorders>
            <w:shd w:val="clear" w:color="auto" w:fill="C6EFCE"/>
            <w:noWrap/>
          </w:tcPr>
          <w:p w14:paraId="6A017E8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0</w:t>
            </w:r>
          </w:p>
        </w:tc>
        <w:tc>
          <w:tcPr>
            <w:tcW w:w="945" w:type="dxa"/>
            <w:tcBorders>
              <w:top w:val="single" w:sz="4" w:space="0" w:color="auto"/>
              <w:left w:val="single" w:sz="4" w:space="0" w:color="auto"/>
              <w:bottom w:val="single" w:sz="4" w:space="0" w:color="auto"/>
              <w:right w:val="single" w:sz="4" w:space="0" w:color="auto"/>
            </w:tcBorders>
            <w:shd w:val="clear" w:color="auto" w:fill="C6EFCE"/>
            <w:noWrap/>
          </w:tcPr>
          <w:p w14:paraId="56600AFC" w14:textId="1EBF41D0"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2 531 500 000</w:t>
            </w:r>
          </w:p>
        </w:tc>
        <w:tc>
          <w:tcPr>
            <w:tcW w:w="396" w:type="dxa"/>
            <w:tcBorders>
              <w:top w:val="single" w:sz="4" w:space="0" w:color="auto"/>
              <w:left w:val="single" w:sz="4" w:space="0" w:color="auto"/>
              <w:bottom w:val="single" w:sz="4" w:space="0" w:color="auto"/>
              <w:right w:val="single" w:sz="4" w:space="0" w:color="auto"/>
            </w:tcBorders>
            <w:shd w:val="clear" w:color="auto" w:fill="C6EFCE"/>
            <w:noWrap/>
          </w:tcPr>
          <w:p w14:paraId="3D924EB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27" w:type="dxa"/>
            <w:tcBorders>
              <w:top w:val="single" w:sz="4" w:space="0" w:color="auto"/>
              <w:left w:val="single" w:sz="4" w:space="0" w:color="auto"/>
              <w:bottom w:val="single" w:sz="4" w:space="0" w:color="auto"/>
              <w:right w:val="single" w:sz="4" w:space="0" w:color="auto"/>
            </w:tcBorders>
            <w:shd w:val="clear" w:color="auto" w:fill="C6EFCE"/>
            <w:noWrap/>
          </w:tcPr>
          <w:p w14:paraId="30E3D02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2024</w:t>
            </w:r>
          </w:p>
        </w:tc>
        <w:tc>
          <w:tcPr>
            <w:tcW w:w="6975" w:type="dxa"/>
            <w:tcBorders>
              <w:top w:val="single" w:sz="4" w:space="0" w:color="auto"/>
              <w:left w:val="single" w:sz="4" w:space="0" w:color="auto"/>
              <w:bottom w:val="single" w:sz="4" w:space="0" w:color="auto"/>
              <w:right w:val="single" w:sz="4" w:space="0" w:color="auto"/>
            </w:tcBorders>
            <w:shd w:val="clear" w:color="auto" w:fill="C6EFCE"/>
            <w:noWrap/>
          </w:tcPr>
          <w:p w14:paraId="2EB43431" w14:textId="5FF42028" w:rsidR="00D65CB4" w:rsidRPr="00BC4EE7" w:rsidRDefault="00572307">
            <w:pPr>
              <w:pStyle w:val="P68B1DB1-Normal12"/>
              <w:spacing w:after="0" w:line="240" w:lineRule="auto"/>
              <w:rPr>
                <w:rFonts w:eastAsia="Times New Roman" w:cs="Times New Roman"/>
                <w:noProof/>
              </w:rPr>
            </w:pPr>
            <w:r w:rsidRPr="00BC4EE7">
              <w:rPr>
                <w:rFonts w:cs="Times New Roman"/>
                <w:noProof/>
              </w:rPr>
              <w:t>Legalább 2 531 500 000 EUR összegű költségvetés-végrehajtás, amelyet legalább 210 innovatív projekt keretében mozgósítottak, beleértve a jóváhagyott (legalább 3) PERTE-hez kapcsolódó projekteket is, amelyek a jelentős károkozás elkerülését célzó technikai iránymutatással (2021/C58/01) összhangban az ipar tényleges átalakításával járnak az energiahatékonyság, a fenntarthatóság és a digitális transzformáció tekintetében, egy kizárási lista, valamint a vonatkozó uniós és nemzeti környezetvédelmi jogszabályoknak való megfelelés követelménye révén. A kiválasztási kritériumoknak biztosítaniuk kell, hogy a Helyreállítási és Rezilienciaépítési Eszköz létrehozásáról szóló, 2021. február 12-i (EU) 2021/241 európai parlamenti és tanácsi rendelet VI. mellékletével összhangban legalább 455 000 000 EUR 100%-os éghajlati együtthatóval, legalább 1 500 000 000 EUR pedig 40%-os éghajlati együtthatóval járuljon hozzá az éghajlatváltozással kapcsolatos célkitűzésekhez. Alternatív megoldásként, amennyiben az alternatív megközelítés esetleg nem megvalósítható, a kiválasztási kritériumoknak biztosítaniuk kell, hogy a Helyreállítási és Rezilienciaépítési Eszköz létrehozásáról szóló, 2021. február 12-i (EU) 2021/241 európai parlamenti és tanácsi rendelet VI. mellékletével összhangban legalább 2 531 500 000 EUR átlagosan legalább 40%-os éghajlati együtthatóval járuljon hozzá az éghajlatváltozással kapcsolatos célkitűzésekhez. A Helyreállítási és Rezilienciaépítési Eszköz forrásaiból legalább 3 800 000 000 EUR magánberuházásokat kell mozgósítani, összhangban a jelentős károkozás elkerülését célzó technikai iránymutatással (2021/C58/01) is, egy kizárási lista, valamint a vonatkozó uniós és nemzeti környezetvédelmi jogszabályoknak való megfelelés követelménye révén. Ez a cél nem tekinthető teljesítettnek abban az esetben, ha bármely olyan intézkedés, amelyre költségvetési kötelezettséget vállaltak, az EUMSZ 107. cikkével összhangban állami támogatásnak minősül, be kell jelenteni a Bizottságnak, és 2024. december 31-ig nem kapta meg a Bizottság jóváhagyását.</w:t>
            </w:r>
          </w:p>
        </w:tc>
      </w:tr>
      <w:tr w:rsidR="00D65CB4" w:rsidRPr="00BC4EE7" w14:paraId="07D1830A" w14:textId="77777777" w:rsidTr="00481CF8">
        <w:trPr>
          <w:trHeight w:val="309"/>
        </w:trPr>
        <w:tc>
          <w:tcPr>
            <w:tcW w:w="710" w:type="dxa"/>
            <w:tcBorders>
              <w:top w:val="single" w:sz="4" w:space="0" w:color="auto"/>
              <w:left w:val="single" w:sz="4" w:space="0" w:color="auto"/>
              <w:bottom w:val="single" w:sz="4" w:space="0" w:color="auto"/>
              <w:right w:val="single" w:sz="4" w:space="0" w:color="auto"/>
            </w:tcBorders>
            <w:shd w:val="clear" w:color="auto" w:fill="C6EFCE"/>
            <w:noWrap/>
          </w:tcPr>
          <w:p w14:paraId="70E75A2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186</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767AEB7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C12.I2</w:t>
            </w:r>
          </w:p>
        </w:tc>
        <w:tc>
          <w:tcPr>
            <w:tcW w:w="942" w:type="dxa"/>
            <w:tcBorders>
              <w:top w:val="single" w:sz="4" w:space="0" w:color="auto"/>
              <w:left w:val="single" w:sz="4" w:space="0" w:color="auto"/>
              <w:bottom w:val="single" w:sz="4" w:space="0" w:color="auto"/>
              <w:right w:val="single" w:sz="4" w:space="0" w:color="auto"/>
            </w:tcBorders>
            <w:shd w:val="clear" w:color="auto" w:fill="C6EFCE"/>
            <w:noWrap/>
          </w:tcPr>
          <w:p w14:paraId="64A888A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308F46B6"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PERTE-k és az ipar átalakítását célzó innovatív projektek lezárása</w:t>
            </w:r>
          </w:p>
        </w:tc>
        <w:tc>
          <w:tcPr>
            <w:tcW w:w="1003" w:type="dxa"/>
            <w:tcBorders>
              <w:top w:val="single" w:sz="4" w:space="0" w:color="auto"/>
              <w:left w:val="single" w:sz="4" w:space="0" w:color="auto"/>
              <w:bottom w:val="single" w:sz="4" w:space="0" w:color="auto"/>
              <w:right w:val="single" w:sz="4" w:space="0" w:color="auto"/>
            </w:tcBorders>
            <w:shd w:val="clear" w:color="auto" w:fill="C6EFCE"/>
            <w:noWrap/>
          </w:tcPr>
          <w:p w14:paraId="0398780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790" w:type="dxa"/>
            <w:tcBorders>
              <w:top w:val="single" w:sz="4" w:space="0" w:color="auto"/>
              <w:left w:val="single" w:sz="4" w:space="0" w:color="auto"/>
              <w:bottom w:val="single" w:sz="4" w:space="0" w:color="auto"/>
              <w:right w:val="single" w:sz="4" w:space="0" w:color="auto"/>
            </w:tcBorders>
            <w:shd w:val="clear" w:color="auto" w:fill="C6EFCE"/>
            <w:noWrap/>
          </w:tcPr>
          <w:p w14:paraId="0B408792"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Szám </w:t>
            </w:r>
          </w:p>
        </w:tc>
        <w:tc>
          <w:tcPr>
            <w:tcW w:w="919" w:type="dxa"/>
            <w:tcBorders>
              <w:top w:val="single" w:sz="4" w:space="0" w:color="auto"/>
              <w:left w:val="single" w:sz="4" w:space="0" w:color="auto"/>
              <w:bottom w:val="single" w:sz="4" w:space="0" w:color="auto"/>
              <w:right w:val="single" w:sz="4" w:space="0" w:color="auto"/>
            </w:tcBorders>
            <w:shd w:val="clear" w:color="auto" w:fill="C6EFCE"/>
            <w:noWrap/>
          </w:tcPr>
          <w:p w14:paraId="459DB14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0</w:t>
            </w:r>
          </w:p>
        </w:tc>
        <w:tc>
          <w:tcPr>
            <w:tcW w:w="945" w:type="dxa"/>
            <w:tcBorders>
              <w:top w:val="single" w:sz="4" w:space="0" w:color="auto"/>
              <w:left w:val="single" w:sz="4" w:space="0" w:color="auto"/>
              <w:bottom w:val="single" w:sz="4" w:space="0" w:color="auto"/>
              <w:right w:val="single" w:sz="4" w:space="0" w:color="auto"/>
            </w:tcBorders>
            <w:shd w:val="clear" w:color="auto" w:fill="C6EFCE"/>
            <w:noWrap/>
          </w:tcPr>
          <w:p w14:paraId="4DA69DF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w:t>
            </w:r>
          </w:p>
        </w:tc>
        <w:tc>
          <w:tcPr>
            <w:tcW w:w="396" w:type="dxa"/>
            <w:tcBorders>
              <w:top w:val="single" w:sz="4" w:space="0" w:color="auto"/>
              <w:left w:val="single" w:sz="4" w:space="0" w:color="auto"/>
              <w:bottom w:val="single" w:sz="4" w:space="0" w:color="auto"/>
              <w:right w:val="single" w:sz="4" w:space="0" w:color="auto"/>
            </w:tcBorders>
            <w:shd w:val="clear" w:color="auto" w:fill="C6EFCE"/>
            <w:noWrap/>
          </w:tcPr>
          <w:p w14:paraId="0C07479B"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Q2</w:t>
            </w:r>
          </w:p>
        </w:tc>
        <w:tc>
          <w:tcPr>
            <w:tcW w:w="527" w:type="dxa"/>
            <w:tcBorders>
              <w:top w:val="single" w:sz="4" w:space="0" w:color="auto"/>
              <w:left w:val="single" w:sz="4" w:space="0" w:color="auto"/>
              <w:bottom w:val="single" w:sz="4" w:space="0" w:color="auto"/>
              <w:right w:val="single" w:sz="4" w:space="0" w:color="auto"/>
            </w:tcBorders>
            <w:shd w:val="clear" w:color="auto" w:fill="C6EFCE"/>
            <w:noWrap/>
          </w:tcPr>
          <w:p w14:paraId="0E52B93D"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2026</w:t>
            </w:r>
          </w:p>
        </w:tc>
        <w:tc>
          <w:tcPr>
            <w:tcW w:w="6975" w:type="dxa"/>
            <w:tcBorders>
              <w:top w:val="single" w:sz="4" w:space="0" w:color="auto"/>
              <w:left w:val="single" w:sz="4" w:space="0" w:color="auto"/>
              <w:bottom w:val="single" w:sz="4" w:space="0" w:color="auto"/>
              <w:right w:val="single" w:sz="4" w:space="0" w:color="auto"/>
            </w:tcBorders>
            <w:shd w:val="clear" w:color="auto" w:fill="C6EFCE"/>
            <w:noWrap/>
          </w:tcPr>
          <w:p w14:paraId="169907EB" w14:textId="61EA1AC6" w:rsidR="00D65CB4" w:rsidRPr="00BC4EE7" w:rsidRDefault="00572307">
            <w:pPr>
              <w:pStyle w:val="P68B1DB1-Normal12"/>
              <w:spacing w:after="0" w:line="240" w:lineRule="auto"/>
              <w:rPr>
                <w:rFonts w:eastAsia="Times New Roman" w:cs="Times New Roman"/>
                <w:noProof/>
              </w:rPr>
            </w:pPr>
            <w:r w:rsidRPr="00BC4EE7">
              <w:rPr>
                <w:rFonts w:cs="Times New Roman"/>
                <w:noProof/>
              </w:rPr>
              <w:t>A jelentős károkozás elkerülését célzó technikai iránymutatással (2021/C58/01) összhangban legalább 210 innovatív projekt lezárása, beleértve a jóváhagyott (legalább három) PERTE-hez kapcsolódó projektet is, amelyek a jelentős károkozás elkerülését célzó technikai iránymutatásnak (2021/C58/01) megfelelően magukban foglalják az ipar tényleges átalakítását az energiahatékonyság, a fenntarthatóság és a digitális transzformáció tekintetében, egy kizárási lista, valamint a vonatkozó uniós és nemzeti környezetvédelmi jogszabályoknak való megfelelés követelménye révén.</w:t>
            </w:r>
          </w:p>
        </w:tc>
      </w:tr>
      <w:tr w:rsidR="00D65CB4" w:rsidRPr="00BC4EE7" w14:paraId="5ACA68BD" w14:textId="77777777" w:rsidTr="00481CF8">
        <w:trPr>
          <w:trHeight w:val="309"/>
        </w:trPr>
        <w:tc>
          <w:tcPr>
            <w:tcW w:w="710" w:type="dxa"/>
            <w:tcBorders>
              <w:top w:val="single" w:sz="4" w:space="0" w:color="auto"/>
              <w:left w:val="single" w:sz="4" w:space="0" w:color="auto"/>
              <w:bottom w:val="single" w:sz="4" w:space="0" w:color="auto"/>
              <w:right w:val="single" w:sz="4" w:space="0" w:color="auto"/>
            </w:tcBorders>
            <w:shd w:val="clear" w:color="auto" w:fill="C6EFCE"/>
            <w:noWrap/>
          </w:tcPr>
          <w:p w14:paraId="0B9CC0B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187</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179B160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C12.I3</w:t>
            </w:r>
          </w:p>
        </w:tc>
        <w:tc>
          <w:tcPr>
            <w:tcW w:w="942" w:type="dxa"/>
            <w:tcBorders>
              <w:top w:val="single" w:sz="4" w:space="0" w:color="auto"/>
              <w:left w:val="single" w:sz="4" w:space="0" w:color="auto"/>
              <w:bottom w:val="single" w:sz="4" w:space="0" w:color="auto"/>
              <w:right w:val="single" w:sz="4" w:space="0" w:color="auto"/>
            </w:tcBorders>
            <w:shd w:val="clear" w:color="auto" w:fill="C6EFCE"/>
            <w:noWrap/>
          </w:tcPr>
          <w:p w14:paraId="33A8348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56F3E4CD"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hulladékra vonatkozó jogszabályok végrehajtását támogató és a körforgásos gazdaság vállalkozáson belüli előmozdítását célzó projektek lezárása</w:t>
            </w:r>
          </w:p>
        </w:tc>
        <w:tc>
          <w:tcPr>
            <w:tcW w:w="1003" w:type="dxa"/>
            <w:tcBorders>
              <w:top w:val="single" w:sz="4" w:space="0" w:color="auto"/>
              <w:left w:val="single" w:sz="4" w:space="0" w:color="auto"/>
              <w:bottom w:val="single" w:sz="4" w:space="0" w:color="auto"/>
              <w:right w:val="single" w:sz="4" w:space="0" w:color="auto"/>
            </w:tcBorders>
            <w:shd w:val="clear" w:color="auto" w:fill="C6EFCE"/>
            <w:noWrap/>
          </w:tcPr>
          <w:p w14:paraId="659D6A6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790" w:type="dxa"/>
            <w:tcBorders>
              <w:top w:val="single" w:sz="4" w:space="0" w:color="auto"/>
              <w:left w:val="single" w:sz="4" w:space="0" w:color="auto"/>
              <w:bottom w:val="single" w:sz="4" w:space="0" w:color="auto"/>
              <w:right w:val="single" w:sz="4" w:space="0" w:color="auto"/>
            </w:tcBorders>
            <w:shd w:val="clear" w:color="auto" w:fill="C6EFCE"/>
            <w:noWrap/>
          </w:tcPr>
          <w:p w14:paraId="6308F59F"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Szám</w:t>
            </w:r>
          </w:p>
        </w:tc>
        <w:tc>
          <w:tcPr>
            <w:tcW w:w="919" w:type="dxa"/>
            <w:tcBorders>
              <w:top w:val="single" w:sz="4" w:space="0" w:color="auto"/>
              <w:left w:val="single" w:sz="4" w:space="0" w:color="auto"/>
              <w:bottom w:val="single" w:sz="4" w:space="0" w:color="auto"/>
              <w:right w:val="single" w:sz="4" w:space="0" w:color="auto"/>
            </w:tcBorders>
            <w:shd w:val="clear" w:color="auto" w:fill="C6EFCE"/>
            <w:noWrap/>
          </w:tcPr>
          <w:p w14:paraId="69C3B1A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0</w:t>
            </w:r>
          </w:p>
        </w:tc>
        <w:tc>
          <w:tcPr>
            <w:tcW w:w="945" w:type="dxa"/>
            <w:tcBorders>
              <w:top w:val="single" w:sz="4" w:space="0" w:color="auto"/>
              <w:left w:val="single" w:sz="4" w:space="0" w:color="auto"/>
              <w:bottom w:val="single" w:sz="4" w:space="0" w:color="auto"/>
              <w:right w:val="single" w:sz="4" w:space="0" w:color="auto"/>
            </w:tcBorders>
            <w:shd w:val="clear" w:color="auto" w:fill="C6EFCE"/>
            <w:noWrap/>
          </w:tcPr>
          <w:p w14:paraId="1383F65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30</w:t>
            </w:r>
          </w:p>
        </w:tc>
        <w:tc>
          <w:tcPr>
            <w:tcW w:w="396" w:type="dxa"/>
            <w:tcBorders>
              <w:top w:val="single" w:sz="4" w:space="0" w:color="auto"/>
              <w:left w:val="single" w:sz="4" w:space="0" w:color="auto"/>
              <w:bottom w:val="single" w:sz="4" w:space="0" w:color="auto"/>
              <w:right w:val="single" w:sz="4" w:space="0" w:color="auto"/>
            </w:tcBorders>
            <w:shd w:val="clear" w:color="auto" w:fill="C6EFCE"/>
            <w:noWrap/>
          </w:tcPr>
          <w:p w14:paraId="488D4B4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27" w:type="dxa"/>
            <w:tcBorders>
              <w:top w:val="single" w:sz="4" w:space="0" w:color="auto"/>
              <w:left w:val="single" w:sz="4" w:space="0" w:color="auto"/>
              <w:bottom w:val="single" w:sz="4" w:space="0" w:color="auto"/>
              <w:right w:val="single" w:sz="4" w:space="0" w:color="auto"/>
            </w:tcBorders>
            <w:shd w:val="clear" w:color="auto" w:fill="C6EFCE"/>
            <w:noWrap/>
          </w:tcPr>
          <w:p w14:paraId="6F8ECCEB"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2023</w:t>
            </w:r>
          </w:p>
        </w:tc>
        <w:tc>
          <w:tcPr>
            <w:tcW w:w="6975" w:type="dxa"/>
            <w:tcBorders>
              <w:top w:val="single" w:sz="4" w:space="0" w:color="auto"/>
              <w:left w:val="single" w:sz="4" w:space="0" w:color="auto"/>
              <w:bottom w:val="single" w:sz="4" w:space="0" w:color="auto"/>
              <w:right w:val="single" w:sz="4" w:space="0" w:color="auto"/>
            </w:tcBorders>
            <w:shd w:val="clear" w:color="auto" w:fill="C6EFCE"/>
            <w:noWrap/>
          </w:tcPr>
          <w:p w14:paraId="54584E8D"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Legalább 30, a MITERD által jóváhagyott projekt lezárása a hulladékra vonatkozó jogszabályok végrehajtásának támogatása és a vállalkozás körforgásos gazdaságának előmozdítása érdekében, a jelentős károkozás elkerülését célzó technikai iránymutatásnak (2021/C58/01) megfelelően, kizárási lista, valamint a vonatkozó uniós és nemzeti környezetvédelmi jogszabályoknak való megfelelés követelménye révén. E beruházás keretében a mechanikus-biológiai szennyvíztisztító telepekhez kapcsolódó intézkedésekre csak akkor kerülhet sor a meglévő mechanikus-biológiai szennyvíztisztító telepeken, ha az e beruházás keretében végrehajtott intézkedések célja az erőforrás-hatékonyság növelése vagy az elkülönített hulladék komposzt biohulladékká történő újrafeldolgozási műveletekhez való utólagos átalakítása és a biohulladék anaerob lebontása, feltéve, hogy az e beruházás keretében végrehajtott ilyen intézkedések nem eredményezik az üzemek hulladékfeldolgozási kapacitásának növekedését vagy az üzemek élettartamának meghosszabbítását, amelyet az üzemek szintjén ellenőriznek. </w:t>
            </w:r>
          </w:p>
        </w:tc>
      </w:tr>
      <w:tr w:rsidR="00D65CB4" w:rsidRPr="00BC4EE7" w14:paraId="41CA6781" w14:textId="77777777" w:rsidTr="00481CF8">
        <w:trPr>
          <w:trHeight w:val="309"/>
        </w:trPr>
        <w:tc>
          <w:tcPr>
            <w:tcW w:w="710" w:type="dxa"/>
            <w:tcBorders>
              <w:top w:val="single" w:sz="4" w:space="0" w:color="auto"/>
              <w:left w:val="single" w:sz="4" w:space="0" w:color="auto"/>
              <w:bottom w:val="single" w:sz="4" w:space="0" w:color="auto"/>
              <w:right w:val="single" w:sz="4" w:space="0" w:color="auto"/>
            </w:tcBorders>
            <w:shd w:val="clear" w:color="auto" w:fill="C6EFCE"/>
            <w:noWrap/>
          </w:tcPr>
          <w:p w14:paraId="2220FB9F"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188</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6661B7E2"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C12.I3</w:t>
            </w:r>
          </w:p>
        </w:tc>
        <w:tc>
          <w:tcPr>
            <w:tcW w:w="942" w:type="dxa"/>
            <w:tcBorders>
              <w:top w:val="single" w:sz="4" w:space="0" w:color="auto"/>
              <w:left w:val="single" w:sz="4" w:space="0" w:color="auto"/>
              <w:bottom w:val="single" w:sz="4" w:space="0" w:color="auto"/>
              <w:right w:val="single" w:sz="4" w:space="0" w:color="auto"/>
            </w:tcBorders>
            <w:shd w:val="clear" w:color="auto" w:fill="C6EFCE"/>
            <w:noWrap/>
          </w:tcPr>
          <w:p w14:paraId="4DD850FC"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7EA7C55C" w14:textId="77777777" w:rsidR="00D65CB4" w:rsidRPr="00BC4EE7" w:rsidRDefault="00572307">
            <w:pPr>
              <w:pStyle w:val="P68B1DB1-Normal12"/>
              <w:spacing w:after="0" w:line="240" w:lineRule="auto"/>
              <w:rPr>
                <w:rFonts w:cs="Times New Roman"/>
                <w:noProof/>
              </w:rPr>
            </w:pPr>
            <w:r w:rsidRPr="00BC4EE7">
              <w:rPr>
                <w:rFonts w:cs="Times New Roman"/>
                <w:noProof/>
              </w:rPr>
              <w:t>Az elkülönítetten gyűjtött települési hulladék növelése</w:t>
            </w:r>
          </w:p>
        </w:tc>
        <w:tc>
          <w:tcPr>
            <w:tcW w:w="1003" w:type="dxa"/>
            <w:tcBorders>
              <w:top w:val="single" w:sz="4" w:space="0" w:color="auto"/>
              <w:left w:val="single" w:sz="4" w:space="0" w:color="auto"/>
              <w:bottom w:val="single" w:sz="4" w:space="0" w:color="auto"/>
              <w:right w:val="single" w:sz="4" w:space="0" w:color="auto"/>
            </w:tcBorders>
            <w:shd w:val="clear" w:color="auto" w:fill="C6EFCE"/>
            <w:noWrap/>
          </w:tcPr>
          <w:p w14:paraId="054B5742"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w:t>
            </w:r>
          </w:p>
        </w:tc>
        <w:tc>
          <w:tcPr>
            <w:tcW w:w="790" w:type="dxa"/>
            <w:tcBorders>
              <w:top w:val="single" w:sz="4" w:space="0" w:color="auto"/>
              <w:left w:val="single" w:sz="4" w:space="0" w:color="auto"/>
              <w:bottom w:val="single" w:sz="4" w:space="0" w:color="auto"/>
              <w:right w:val="single" w:sz="4" w:space="0" w:color="auto"/>
            </w:tcBorders>
            <w:shd w:val="clear" w:color="auto" w:fill="C6EFCE"/>
            <w:noWrap/>
          </w:tcPr>
          <w:p w14:paraId="365F23C4" w14:textId="7CA2169E" w:rsidR="00D65CB4" w:rsidRPr="00BC4EE7" w:rsidRDefault="00572307">
            <w:pPr>
              <w:pStyle w:val="P68B1DB1-Normal12"/>
              <w:spacing w:after="0" w:line="240" w:lineRule="auto"/>
              <w:rPr>
                <w:rFonts w:cs="Times New Roman"/>
                <w:noProof/>
              </w:rPr>
            </w:pPr>
            <w:r w:rsidRPr="00BC4EE7">
              <w:rPr>
                <w:rFonts w:cs="Times New Roman"/>
                <w:noProof/>
              </w:rPr>
              <w:t>a szelektív gyűjtésű településihulladék-kapacitás t/év %-a </w:t>
            </w:r>
          </w:p>
        </w:tc>
        <w:tc>
          <w:tcPr>
            <w:tcW w:w="919" w:type="dxa"/>
            <w:tcBorders>
              <w:top w:val="single" w:sz="4" w:space="0" w:color="auto"/>
              <w:left w:val="single" w:sz="4" w:space="0" w:color="auto"/>
              <w:bottom w:val="single" w:sz="4" w:space="0" w:color="auto"/>
              <w:right w:val="single" w:sz="4" w:space="0" w:color="auto"/>
            </w:tcBorders>
            <w:shd w:val="clear" w:color="auto" w:fill="C6EFCE"/>
            <w:noWrap/>
          </w:tcPr>
          <w:p w14:paraId="7AEBF728" w14:textId="714AA108" w:rsidR="00D65CB4" w:rsidRPr="00BC4EE7" w:rsidRDefault="00572307">
            <w:pPr>
              <w:pStyle w:val="P68B1DB1-Normal12"/>
              <w:spacing w:after="0" w:line="240" w:lineRule="auto"/>
              <w:jc w:val="center"/>
              <w:rPr>
                <w:rFonts w:cs="Times New Roman"/>
                <w:noProof/>
              </w:rPr>
            </w:pPr>
            <w:r w:rsidRPr="00BC4EE7">
              <w:rPr>
                <w:rFonts w:cs="Times New Roman"/>
                <w:noProof/>
              </w:rPr>
              <w:t>0</w:t>
            </w:r>
          </w:p>
        </w:tc>
        <w:tc>
          <w:tcPr>
            <w:tcW w:w="945" w:type="dxa"/>
            <w:tcBorders>
              <w:top w:val="single" w:sz="4" w:space="0" w:color="auto"/>
              <w:left w:val="single" w:sz="4" w:space="0" w:color="auto"/>
              <w:bottom w:val="single" w:sz="4" w:space="0" w:color="auto"/>
              <w:right w:val="single" w:sz="4" w:space="0" w:color="auto"/>
            </w:tcBorders>
            <w:shd w:val="clear" w:color="auto" w:fill="C6EFCE"/>
            <w:noWrap/>
          </w:tcPr>
          <w:p w14:paraId="4975BB62" w14:textId="1092E985" w:rsidR="00D65CB4" w:rsidRPr="00BC4EE7" w:rsidRDefault="00572307">
            <w:pPr>
              <w:pStyle w:val="P68B1DB1-Normal12"/>
              <w:spacing w:after="0" w:line="240" w:lineRule="auto"/>
              <w:jc w:val="center"/>
              <w:rPr>
                <w:rFonts w:cs="Times New Roman"/>
                <w:noProof/>
              </w:rPr>
            </w:pPr>
            <w:r w:rsidRPr="00BC4EE7">
              <w:rPr>
                <w:rFonts w:cs="Times New Roman"/>
                <w:noProof/>
              </w:rPr>
              <w:t>1.500.000</w:t>
            </w:r>
          </w:p>
        </w:tc>
        <w:tc>
          <w:tcPr>
            <w:tcW w:w="396" w:type="dxa"/>
            <w:tcBorders>
              <w:top w:val="single" w:sz="4" w:space="0" w:color="auto"/>
              <w:left w:val="single" w:sz="4" w:space="0" w:color="auto"/>
              <w:bottom w:val="single" w:sz="4" w:space="0" w:color="auto"/>
              <w:right w:val="single" w:sz="4" w:space="0" w:color="auto"/>
            </w:tcBorders>
            <w:shd w:val="clear" w:color="auto" w:fill="C6EFCE"/>
            <w:noWrap/>
          </w:tcPr>
          <w:p w14:paraId="44A27033"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527" w:type="dxa"/>
            <w:tcBorders>
              <w:top w:val="single" w:sz="4" w:space="0" w:color="auto"/>
              <w:left w:val="single" w:sz="4" w:space="0" w:color="auto"/>
              <w:bottom w:val="single" w:sz="4" w:space="0" w:color="auto"/>
              <w:right w:val="single" w:sz="4" w:space="0" w:color="auto"/>
            </w:tcBorders>
            <w:shd w:val="clear" w:color="auto" w:fill="C6EFCE"/>
            <w:noWrap/>
          </w:tcPr>
          <w:p w14:paraId="26B726F3"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2026</w:t>
            </w:r>
          </w:p>
        </w:tc>
        <w:tc>
          <w:tcPr>
            <w:tcW w:w="6975" w:type="dxa"/>
            <w:tcBorders>
              <w:top w:val="single" w:sz="4" w:space="0" w:color="auto"/>
              <w:left w:val="single" w:sz="4" w:space="0" w:color="auto"/>
              <w:bottom w:val="single" w:sz="4" w:space="0" w:color="auto"/>
              <w:right w:val="single" w:sz="4" w:space="0" w:color="auto"/>
            </w:tcBorders>
            <w:shd w:val="clear" w:color="auto" w:fill="C6EFCE"/>
            <w:noWrap/>
          </w:tcPr>
          <w:p w14:paraId="5B5E0A9F" w14:textId="5329EF6D" w:rsidR="00D65CB4" w:rsidRPr="00BC4EE7" w:rsidRDefault="00572307">
            <w:pPr>
              <w:pStyle w:val="P68B1DB1-Normal12"/>
              <w:spacing w:after="0" w:line="240" w:lineRule="auto"/>
              <w:rPr>
                <w:rFonts w:cs="Times New Roman"/>
                <w:noProof/>
              </w:rPr>
            </w:pPr>
            <w:r w:rsidRPr="00BC4EE7">
              <w:rPr>
                <w:rFonts w:cs="Times New Roman"/>
                <w:noProof/>
              </w:rPr>
              <w:t xml:space="preserve">Évente legalább 1 500 000 tonna elkülönítetten gyűjtött hulladék kezelésére szolgáló új kapacitás kiépítése. Az elkülönített gyűjtés olyan gyűjtést jelent, amelynek során a hulladékáramot típus és jelleg szerint elkülönítve kell tartani a különleges kezelés megkönnyítése érdekében. </w:t>
            </w:r>
          </w:p>
        </w:tc>
      </w:tr>
      <w:tr w:rsidR="00D65CB4" w:rsidRPr="00BC4EE7" w14:paraId="25B72405" w14:textId="77777777" w:rsidTr="00481CF8">
        <w:trPr>
          <w:trHeight w:val="309"/>
        </w:trPr>
        <w:tc>
          <w:tcPr>
            <w:tcW w:w="710" w:type="dxa"/>
            <w:tcBorders>
              <w:top w:val="single" w:sz="4" w:space="0" w:color="auto"/>
              <w:left w:val="single" w:sz="4" w:space="0" w:color="auto"/>
              <w:bottom w:val="single" w:sz="4" w:space="0" w:color="auto"/>
              <w:right w:val="single" w:sz="4" w:space="0" w:color="auto"/>
            </w:tcBorders>
            <w:shd w:val="clear" w:color="auto" w:fill="C6EFCE"/>
            <w:noWrap/>
          </w:tcPr>
          <w:p w14:paraId="0CF18F5E" w14:textId="1599D404" w:rsidR="00D65CB4" w:rsidRPr="00BC4EE7" w:rsidRDefault="00572307">
            <w:pPr>
              <w:pStyle w:val="P68B1DB1-Normal12"/>
              <w:spacing w:after="0" w:line="240" w:lineRule="auto"/>
              <w:jc w:val="center"/>
              <w:rPr>
                <w:rFonts w:cs="Times New Roman"/>
                <w:noProof/>
              </w:rPr>
            </w:pPr>
            <w:r w:rsidRPr="00BC4EE7">
              <w:rPr>
                <w:rFonts w:cs="Times New Roman"/>
                <w:noProof/>
              </w:rPr>
              <w:t>440</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2A15B1E9"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C12.R2</w:t>
            </w:r>
          </w:p>
        </w:tc>
        <w:tc>
          <w:tcPr>
            <w:tcW w:w="942" w:type="dxa"/>
            <w:tcBorders>
              <w:top w:val="single" w:sz="4" w:space="0" w:color="auto"/>
              <w:left w:val="single" w:sz="4" w:space="0" w:color="auto"/>
              <w:bottom w:val="single" w:sz="4" w:space="0" w:color="auto"/>
              <w:right w:val="single" w:sz="4" w:space="0" w:color="auto"/>
            </w:tcBorders>
            <w:shd w:val="clear" w:color="auto" w:fill="C6EFCE"/>
            <w:noWrap/>
          </w:tcPr>
          <w:p w14:paraId="1D570A4B" w14:textId="2370C530" w:rsidR="00D65CB4" w:rsidRPr="00BC4EE7" w:rsidRDefault="00572307">
            <w:pPr>
              <w:pStyle w:val="P68B1DB1-Normal12"/>
              <w:spacing w:after="0" w:line="240" w:lineRule="auto"/>
              <w:jc w:val="center"/>
              <w:rPr>
                <w:rFonts w:cs="Times New Roman"/>
                <w:noProof/>
              </w:rPr>
            </w:pPr>
            <w:r w:rsidRPr="00BC4EE7">
              <w:rPr>
                <w:rFonts w:cs="Times New Roman"/>
                <w:noProof/>
              </w:rPr>
              <w:t>M</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2F32A023" w14:textId="384998FB" w:rsidR="00D65CB4" w:rsidRPr="00BC4EE7" w:rsidRDefault="00572307">
            <w:pPr>
              <w:pStyle w:val="P68B1DB1-Normal12"/>
              <w:spacing w:after="0" w:line="240" w:lineRule="auto"/>
              <w:rPr>
                <w:rFonts w:cs="Times New Roman"/>
                <w:noProof/>
              </w:rPr>
            </w:pPr>
            <w:r w:rsidRPr="00BC4EE7">
              <w:rPr>
                <w:rFonts w:cs="Times New Roman"/>
                <w:noProof/>
              </w:rPr>
              <w:t>A hulladékkoordinációs bizottság munkacsoportja a hulladékokról szóló jogszabályoknak való megfelelés nyomon követésével</w:t>
            </w:r>
          </w:p>
        </w:tc>
        <w:tc>
          <w:tcPr>
            <w:tcW w:w="1003" w:type="dxa"/>
            <w:tcBorders>
              <w:top w:val="single" w:sz="4" w:space="0" w:color="auto"/>
              <w:left w:val="single" w:sz="4" w:space="0" w:color="auto"/>
              <w:bottom w:val="single" w:sz="4" w:space="0" w:color="auto"/>
              <w:right w:val="single" w:sz="4" w:space="0" w:color="auto"/>
            </w:tcBorders>
            <w:shd w:val="clear" w:color="auto" w:fill="C6EFCE"/>
            <w:noWrap/>
          </w:tcPr>
          <w:p w14:paraId="44361DBB" w14:textId="4F5C2FF6" w:rsidR="00D65CB4" w:rsidRPr="00BC4EE7" w:rsidRDefault="00572307">
            <w:pPr>
              <w:pStyle w:val="P68B1DB1-Normal12"/>
              <w:spacing w:after="0" w:line="240" w:lineRule="auto"/>
              <w:jc w:val="center"/>
              <w:rPr>
                <w:rFonts w:cs="Times New Roman"/>
                <w:noProof/>
              </w:rPr>
            </w:pPr>
            <w:r w:rsidRPr="00BC4EE7">
              <w:rPr>
                <w:rFonts w:cs="Times New Roman"/>
                <w:noProof/>
              </w:rPr>
              <w:t>A hulladékkoordinációs bizottság általi jóváhagyás</w:t>
            </w:r>
          </w:p>
        </w:tc>
        <w:tc>
          <w:tcPr>
            <w:tcW w:w="790" w:type="dxa"/>
            <w:tcBorders>
              <w:top w:val="single" w:sz="4" w:space="0" w:color="auto"/>
              <w:left w:val="single" w:sz="4" w:space="0" w:color="auto"/>
              <w:bottom w:val="single" w:sz="4" w:space="0" w:color="auto"/>
              <w:right w:val="single" w:sz="4" w:space="0" w:color="auto"/>
            </w:tcBorders>
            <w:shd w:val="clear" w:color="auto" w:fill="C6EFCE"/>
            <w:noWrap/>
          </w:tcPr>
          <w:p w14:paraId="6B1F5F8E"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 xml:space="preserve"> </w:t>
            </w:r>
          </w:p>
        </w:tc>
        <w:tc>
          <w:tcPr>
            <w:tcW w:w="919" w:type="dxa"/>
            <w:tcBorders>
              <w:top w:val="single" w:sz="4" w:space="0" w:color="auto"/>
              <w:left w:val="single" w:sz="4" w:space="0" w:color="auto"/>
              <w:bottom w:val="single" w:sz="4" w:space="0" w:color="auto"/>
              <w:right w:val="single" w:sz="4" w:space="0" w:color="auto"/>
            </w:tcBorders>
            <w:shd w:val="clear" w:color="auto" w:fill="C6EFCE"/>
            <w:noWrap/>
          </w:tcPr>
          <w:p w14:paraId="2DA1B583"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 xml:space="preserve"> </w:t>
            </w:r>
          </w:p>
        </w:tc>
        <w:tc>
          <w:tcPr>
            <w:tcW w:w="945" w:type="dxa"/>
            <w:tcBorders>
              <w:top w:val="single" w:sz="4" w:space="0" w:color="auto"/>
              <w:left w:val="single" w:sz="4" w:space="0" w:color="auto"/>
              <w:bottom w:val="single" w:sz="4" w:space="0" w:color="auto"/>
              <w:right w:val="single" w:sz="4" w:space="0" w:color="auto"/>
            </w:tcBorders>
            <w:shd w:val="clear" w:color="auto" w:fill="C6EFCE"/>
            <w:noWrap/>
          </w:tcPr>
          <w:p w14:paraId="2FBD1DDC"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 xml:space="preserve"> </w:t>
            </w:r>
          </w:p>
        </w:tc>
        <w:tc>
          <w:tcPr>
            <w:tcW w:w="396" w:type="dxa"/>
            <w:tcBorders>
              <w:top w:val="single" w:sz="4" w:space="0" w:color="auto"/>
              <w:left w:val="single" w:sz="4" w:space="0" w:color="auto"/>
              <w:bottom w:val="single" w:sz="4" w:space="0" w:color="auto"/>
              <w:right w:val="single" w:sz="4" w:space="0" w:color="auto"/>
            </w:tcBorders>
            <w:shd w:val="clear" w:color="auto" w:fill="C6EFCE"/>
            <w:noWrap/>
          </w:tcPr>
          <w:p w14:paraId="052F4E67" w14:textId="67DF786E"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527" w:type="dxa"/>
            <w:tcBorders>
              <w:top w:val="single" w:sz="4" w:space="0" w:color="auto"/>
              <w:left w:val="single" w:sz="4" w:space="0" w:color="auto"/>
              <w:bottom w:val="single" w:sz="4" w:space="0" w:color="auto"/>
              <w:right w:val="single" w:sz="4" w:space="0" w:color="auto"/>
            </w:tcBorders>
            <w:shd w:val="clear" w:color="auto" w:fill="C6EFCE"/>
            <w:noWrap/>
          </w:tcPr>
          <w:p w14:paraId="02DF71DB"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2024</w:t>
            </w:r>
          </w:p>
        </w:tc>
        <w:tc>
          <w:tcPr>
            <w:tcW w:w="6975" w:type="dxa"/>
            <w:tcBorders>
              <w:top w:val="single" w:sz="4" w:space="0" w:color="auto"/>
              <w:left w:val="single" w:sz="4" w:space="0" w:color="auto"/>
              <w:bottom w:val="single" w:sz="4" w:space="0" w:color="auto"/>
              <w:right w:val="single" w:sz="4" w:space="0" w:color="auto"/>
            </w:tcBorders>
            <w:shd w:val="clear" w:color="auto" w:fill="C6EFCE"/>
            <w:noWrap/>
          </w:tcPr>
          <w:p w14:paraId="511F8705" w14:textId="77777777" w:rsidR="00D65CB4" w:rsidRPr="00BC4EE7" w:rsidRDefault="00572307">
            <w:pPr>
              <w:pStyle w:val="P68B1DB1-Normal12"/>
              <w:rPr>
                <w:rFonts w:eastAsia="Times New Roman" w:cs="Times New Roman"/>
                <w:noProof/>
              </w:rPr>
            </w:pPr>
            <w:r w:rsidRPr="00BC4EE7">
              <w:rPr>
                <w:rFonts w:cs="Times New Roman"/>
                <w:noProof/>
              </w:rPr>
              <w:t>A hulladékkoordinációs bizottság jóváhagyja egy külön munkacsoport létrehozását a hulladékokra vonatkozó jogszabályoknak való megfelelés ellenőrzésére, a megfelelés kritériumainak összehangolására, valamint az ezt elősegítő intézkedések elfogadására.</w:t>
            </w:r>
          </w:p>
          <w:p w14:paraId="418BA7F4" w14:textId="77777777" w:rsidR="00D65CB4" w:rsidRPr="00BC4EE7" w:rsidRDefault="00D65CB4">
            <w:pPr>
              <w:spacing w:after="0" w:line="240" w:lineRule="auto"/>
              <w:rPr>
                <w:rFonts w:ascii="Times New Roman" w:hAnsi="Times New Roman" w:cs="Times New Roman"/>
                <w:noProof/>
                <w:sz w:val="18"/>
              </w:rPr>
            </w:pPr>
          </w:p>
        </w:tc>
      </w:tr>
      <w:tr w:rsidR="00D65CB4" w:rsidRPr="00BC4EE7" w14:paraId="07072F30" w14:textId="77777777" w:rsidTr="00481CF8">
        <w:trPr>
          <w:trHeight w:val="309"/>
        </w:trPr>
        <w:tc>
          <w:tcPr>
            <w:tcW w:w="710" w:type="dxa"/>
            <w:tcBorders>
              <w:top w:val="single" w:sz="4" w:space="0" w:color="auto"/>
              <w:left w:val="single" w:sz="4" w:space="0" w:color="auto"/>
              <w:bottom w:val="single" w:sz="4" w:space="0" w:color="auto"/>
              <w:right w:val="single" w:sz="4" w:space="0" w:color="auto"/>
            </w:tcBorders>
            <w:shd w:val="clear" w:color="auto" w:fill="C6EFCE"/>
            <w:noWrap/>
          </w:tcPr>
          <w:p w14:paraId="7DED8843" w14:textId="4A07E80A" w:rsidR="00D65CB4" w:rsidRPr="00BC4EE7" w:rsidRDefault="00572307">
            <w:pPr>
              <w:pStyle w:val="P68B1DB1-Normal12"/>
              <w:spacing w:after="0" w:line="240" w:lineRule="auto"/>
              <w:jc w:val="center"/>
              <w:rPr>
                <w:rFonts w:cs="Times New Roman"/>
                <w:noProof/>
              </w:rPr>
            </w:pPr>
            <w:r w:rsidRPr="00BC4EE7">
              <w:rPr>
                <w:rFonts w:cs="Times New Roman"/>
                <w:noProof/>
              </w:rPr>
              <w:t>441</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1C91783D"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C12.R2</w:t>
            </w:r>
          </w:p>
        </w:tc>
        <w:tc>
          <w:tcPr>
            <w:tcW w:w="942" w:type="dxa"/>
            <w:tcBorders>
              <w:top w:val="single" w:sz="4" w:space="0" w:color="auto"/>
              <w:left w:val="single" w:sz="4" w:space="0" w:color="auto"/>
              <w:bottom w:val="single" w:sz="4" w:space="0" w:color="auto"/>
              <w:right w:val="single" w:sz="4" w:space="0" w:color="auto"/>
            </w:tcBorders>
            <w:shd w:val="clear" w:color="auto" w:fill="C6EFCE"/>
            <w:noWrap/>
          </w:tcPr>
          <w:p w14:paraId="13BE866B" w14:textId="630B514C" w:rsidR="00D65CB4" w:rsidRPr="00BC4EE7" w:rsidRDefault="00572307">
            <w:pPr>
              <w:pStyle w:val="P68B1DB1-Normal12"/>
              <w:spacing w:after="0" w:line="240" w:lineRule="auto"/>
              <w:jc w:val="center"/>
              <w:rPr>
                <w:rFonts w:cs="Times New Roman"/>
                <w:noProof/>
              </w:rPr>
            </w:pPr>
            <w:r w:rsidRPr="00BC4EE7">
              <w:rPr>
                <w:rFonts w:cs="Times New Roman"/>
                <w:noProof/>
              </w:rPr>
              <w:t>M</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0F376A93" w14:textId="77777777" w:rsidR="00D65CB4" w:rsidRPr="00BC4EE7" w:rsidRDefault="00572307">
            <w:pPr>
              <w:pStyle w:val="P68B1DB1-Normal12"/>
              <w:spacing w:after="0" w:line="240" w:lineRule="auto"/>
              <w:rPr>
                <w:rFonts w:cs="Times New Roman"/>
                <w:noProof/>
              </w:rPr>
            </w:pPr>
            <w:r w:rsidRPr="00BC4EE7">
              <w:rPr>
                <w:rFonts w:cs="Times New Roman"/>
                <w:noProof/>
              </w:rPr>
              <w:t>A körforgásos gazdaságról szóló második csomag részét képező jogi aktusok hatálybalépése</w:t>
            </w:r>
          </w:p>
        </w:tc>
        <w:tc>
          <w:tcPr>
            <w:tcW w:w="1003" w:type="dxa"/>
            <w:tcBorders>
              <w:top w:val="single" w:sz="4" w:space="0" w:color="auto"/>
              <w:left w:val="single" w:sz="4" w:space="0" w:color="auto"/>
              <w:bottom w:val="single" w:sz="4" w:space="0" w:color="auto"/>
              <w:right w:val="single" w:sz="4" w:space="0" w:color="auto"/>
            </w:tcBorders>
            <w:shd w:val="clear" w:color="auto" w:fill="C6EFCE"/>
            <w:noWrap/>
          </w:tcPr>
          <w:p w14:paraId="5C00499D"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A jogi aktusok hatálybalépését előíró királyi rendeletek rendelkezései</w:t>
            </w:r>
          </w:p>
        </w:tc>
        <w:tc>
          <w:tcPr>
            <w:tcW w:w="790" w:type="dxa"/>
            <w:tcBorders>
              <w:top w:val="single" w:sz="4" w:space="0" w:color="auto"/>
              <w:left w:val="single" w:sz="4" w:space="0" w:color="auto"/>
              <w:bottom w:val="single" w:sz="4" w:space="0" w:color="auto"/>
              <w:right w:val="single" w:sz="4" w:space="0" w:color="auto"/>
            </w:tcBorders>
            <w:shd w:val="clear" w:color="auto" w:fill="C6EFCE"/>
            <w:noWrap/>
          </w:tcPr>
          <w:p w14:paraId="1214FF6E"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 xml:space="preserve"> </w:t>
            </w:r>
          </w:p>
        </w:tc>
        <w:tc>
          <w:tcPr>
            <w:tcW w:w="919" w:type="dxa"/>
            <w:tcBorders>
              <w:top w:val="single" w:sz="4" w:space="0" w:color="auto"/>
              <w:left w:val="single" w:sz="4" w:space="0" w:color="auto"/>
              <w:bottom w:val="single" w:sz="4" w:space="0" w:color="auto"/>
              <w:right w:val="single" w:sz="4" w:space="0" w:color="auto"/>
            </w:tcBorders>
            <w:shd w:val="clear" w:color="auto" w:fill="C6EFCE"/>
            <w:noWrap/>
          </w:tcPr>
          <w:p w14:paraId="4A97C7F2"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 xml:space="preserve"> </w:t>
            </w:r>
          </w:p>
        </w:tc>
        <w:tc>
          <w:tcPr>
            <w:tcW w:w="945" w:type="dxa"/>
            <w:tcBorders>
              <w:top w:val="single" w:sz="4" w:space="0" w:color="auto"/>
              <w:left w:val="single" w:sz="4" w:space="0" w:color="auto"/>
              <w:bottom w:val="single" w:sz="4" w:space="0" w:color="auto"/>
              <w:right w:val="single" w:sz="4" w:space="0" w:color="auto"/>
            </w:tcBorders>
            <w:shd w:val="clear" w:color="auto" w:fill="C6EFCE"/>
            <w:noWrap/>
          </w:tcPr>
          <w:p w14:paraId="3BDE7677"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 xml:space="preserve"> </w:t>
            </w:r>
          </w:p>
        </w:tc>
        <w:tc>
          <w:tcPr>
            <w:tcW w:w="396" w:type="dxa"/>
            <w:tcBorders>
              <w:top w:val="single" w:sz="4" w:space="0" w:color="auto"/>
              <w:left w:val="single" w:sz="4" w:space="0" w:color="auto"/>
              <w:bottom w:val="single" w:sz="4" w:space="0" w:color="auto"/>
              <w:right w:val="single" w:sz="4" w:space="0" w:color="auto"/>
            </w:tcBorders>
            <w:shd w:val="clear" w:color="auto" w:fill="C6EFCE"/>
            <w:noWrap/>
          </w:tcPr>
          <w:p w14:paraId="60738E1E" w14:textId="443AB0BF"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527" w:type="dxa"/>
            <w:tcBorders>
              <w:top w:val="single" w:sz="4" w:space="0" w:color="auto"/>
              <w:left w:val="single" w:sz="4" w:space="0" w:color="auto"/>
              <w:bottom w:val="single" w:sz="4" w:space="0" w:color="auto"/>
              <w:right w:val="single" w:sz="4" w:space="0" w:color="auto"/>
            </w:tcBorders>
            <w:shd w:val="clear" w:color="auto" w:fill="C6EFCE"/>
            <w:noWrap/>
          </w:tcPr>
          <w:p w14:paraId="4C1FFB66"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2025</w:t>
            </w:r>
          </w:p>
        </w:tc>
        <w:tc>
          <w:tcPr>
            <w:tcW w:w="6975" w:type="dxa"/>
            <w:tcBorders>
              <w:top w:val="single" w:sz="4" w:space="0" w:color="auto"/>
              <w:left w:val="single" w:sz="4" w:space="0" w:color="auto"/>
              <w:bottom w:val="single" w:sz="4" w:space="0" w:color="auto"/>
              <w:right w:val="single" w:sz="4" w:space="0" w:color="auto"/>
            </w:tcBorders>
            <w:shd w:val="clear" w:color="auto" w:fill="C6EFCE"/>
            <w:noWrap/>
          </w:tcPr>
          <w:p w14:paraId="01FC647B" w14:textId="1A9B5B97" w:rsidR="00D65CB4" w:rsidRPr="00BC4EE7" w:rsidRDefault="00572307">
            <w:pPr>
              <w:pStyle w:val="P68B1DB1-Normal12"/>
              <w:spacing w:after="0"/>
              <w:rPr>
                <w:rFonts w:eastAsia="Times New Roman" w:cs="Times New Roman"/>
                <w:noProof/>
              </w:rPr>
            </w:pPr>
            <w:r w:rsidRPr="00BC4EE7">
              <w:rPr>
                <w:rFonts w:cs="Times New Roman"/>
                <w:noProof/>
              </w:rPr>
              <w:t xml:space="preserve">A körforgásos gazdaságra vonatkozó második szabályozási csomag a következőket tartalmazza: </w:t>
            </w:r>
          </w:p>
          <w:p w14:paraId="4AA76FCA" w14:textId="55157F47" w:rsidR="00D65CB4" w:rsidRPr="00BC4EE7" w:rsidRDefault="00572307">
            <w:pPr>
              <w:pStyle w:val="P68B1DB1-ListParagraph13"/>
              <w:numPr>
                <w:ilvl w:val="0"/>
                <w:numId w:val="318"/>
              </w:numPr>
              <w:spacing w:after="0"/>
              <w:rPr>
                <w:rFonts w:eastAsia="Times New Roman" w:cs="Times New Roman"/>
                <w:noProof/>
              </w:rPr>
            </w:pPr>
            <w:r w:rsidRPr="00BC4EE7">
              <w:rPr>
                <w:rFonts w:cs="Times New Roman"/>
                <w:noProof/>
              </w:rPr>
              <w:t>Királyi rendelet a hulladéktermelők és hulladékkezelők pénzügyi biztosítékairól</w:t>
            </w:r>
          </w:p>
          <w:p w14:paraId="14787F90" w14:textId="77777777" w:rsidR="00D65CB4" w:rsidRPr="00BC4EE7" w:rsidRDefault="00572307">
            <w:pPr>
              <w:pStyle w:val="P68B1DB1-ListParagraph13"/>
              <w:numPr>
                <w:ilvl w:val="0"/>
                <w:numId w:val="318"/>
              </w:numPr>
              <w:spacing w:after="0"/>
              <w:rPr>
                <w:rFonts w:eastAsia="Times New Roman" w:cs="Times New Roman"/>
                <w:noProof/>
              </w:rPr>
            </w:pPr>
            <w:r w:rsidRPr="00BC4EE7">
              <w:rPr>
                <w:rFonts w:cs="Times New Roman"/>
                <w:noProof/>
              </w:rPr>
              <w:t>Királyi rendelet a szűrőket tartalmazó dohánytermékekből és a dohánytermékekkel való együttes használatra forgalomba hozott szűrőkből származó hulladék kezeléséről</w:t>
            </w:r>
          </w:p>
          <w:p w14:paraId="6DC2865C" w14:textId="77777777" w:rsidR="00D65CB4" w:rsidRPr="00BC4EE7" w:rsidRDefault="00572307">
            <w:pPr>
              <w:pStyle w:val="P68B1DB1-ListParagraph13"/>
              <w:numPr>
                <w:ilvl w:val="0"/>
                <w:numId w:val="318"/>
              </w:numPr>
              <w:rPr>
                <w:rFonts w:eastAsia="Times New Roman" w:cs="Times New Roman"/>
                <w:noProof/>
              </w:rPr>
            </w:pPr>
            <w:r w:rsidRPr="00BC4EE7">
              <w:rPr>
                <w:rFonts w:cs="Times New Roman"/>
                <w:noProof/>
              </w:rPr>
              <w:t>Királyi rendelet az ipari hulladékolajok kezeléséről</w:t>
            </w:r>
          </w:p>
          <w:p w14:paraId="5AA96976" w14:textId="77777777" w:rsidR="00D65CB4" w:rsidRPr="00BC4EE7" w:rsidRDefault="00572307">
            <w:pPr>
              <w:pStyle w:val="P68B1DB1-ListParagraph13"/>
              <w:numPr>
                <w:ilvl w:val="0"/>
                <w:numId w:val="318"/>
              </w:numPr>
              <w:rPr>
                <w:rFonts w:eastAsia="Times New Roman" w:cs="Times New Roman"/>
                <w:noProof/>
              </w:rPr>
            </w:pPr>
            <w:r w:rsidRPr="00BC4EE7">
              <w:rPr>
                <w:rFonts w:cs="Times New Roman"/>
                <w:noProof/>
              </w:rPr>
              <w:t xml:space="preserve">Királyi rendelet az elhasználódott gumiabroncsok kezeléséről. </w:t>
            </w:r>
          </w:p>
          <w:p w14:paraId="303FBF64" w14:textId="77777777" w:rsidR="00D65CB4" w:rsidRPr="00BC4EE7" w:rsidRDefault="00572307">
            <w:pPr>
              <w:pStyle w:val="P68B1DB1-ListParagraph13"/>
              <w:numPr>
                <w:ilvl w:val="0"/>
                <w:numId w:val="318"/>
              </w:numPr>
              <w:rPr>
                <w:rFonts w:eastAsia="Times New Roman" w:cs="Times New Roman"/>
                <w:noProof/>
              </w:rPr>
            </w:pPr>
            <w:r w:rsidRPr="00BC4EE7">
              <w:rPr>
                <w:rFonts w:cs="Times New Roman"/>
                <w:noProof/>
              </w:rPr>
              <w:t>Miniszteri rendelet a települési hulladék lerakását megelőző kezelésre vonatkozó minimumkövetelmények megállapításáról</w:t>
            </w:r>
          </w:p>
          <w:p w14:paraId="189E2BE8" w14:textId="77777777" w:rsidR="00D65CB4" w:rsidRPr="00BC4EE7" w:rsidRDefault="00572307">
            <w:pPr>
              <w:pStyle w:val="P68B1DB1-ListParagraph13"/>
              <w:numPr>
                <w:ilvl w:val="0"/>
                <w:numId w:val="318"/>
              </w:numPr>
              <w:rPr>
                <w:rFonts w:cs="Times New Roman"/>
                <w:noProof/>
              </w:rPr>
            </w:pPr>
            <w:r w:rsidRPr="00BC4EE7">
              <w:rPr>
                <w:rFonts w:cs="Times New Roman"/>
                <w:noProof/>
              </w:rPr>
              <w:t>A körforgásos gazdaságra vonatkozó második cselekvési terv elfogadása</w:t>
            </w:r>
          </w:p>
        </w:tc>
      </w:tr>
      <w:tr w:rsidR="00D65CB4" w:rsidRPr="00BC4EE7" w14:paraId="5164B366" w14:textId="77777777" w:rsidTr="00481CF8">
        <w:trPr>
          <w:trHeight w:val="309"/>
        </w:trPr>
        <w:tc>
          <w:tcPr>
            <w:tcW w:w="710" w:type="dxa"/>
            <w:tcBorders>
              <w:top w:val="single" w:sz="4" w:space="0" w:color="auto"/>
              <w:left w:val="single" w:sz="4" w:space="0" w:color="auto"/>
              <w:bottom w:val="single" w:sz="4" w:space="0" w:color="auto"/>
              <w:right w:val="single" w:sz="4" w:space="0" w:color="auto"/>
            </w:tcBorders>
            <w:shd w:val="clear" w:color="auto" w:fill="C6EFCE"/>
            <w:noWrap/>
          </w:tcPr>
          <w:p w14:paraId="39A9F7FD" w14:textId="6480BBFD"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442</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489B7D8D"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C12.I3</w:t>
            </w:r>
          </w:p>
        </w:tc>
        <w:tc>
          <w:tcPr>
            <w:tcW w:w="942" w:type="dxa"/>
            <w:tcBorders>
              <w:top w:val="single" w:sz="4" w:space="0" w:color="auto"/>
              <w:left w:val="single" w:sz="4" w:space="0" w:color="auto"/>
              <w:bottom w:val="single" w:sz="4" w:space="0" w:color="auto"/>
              <w:right w:val="single" w:sz="4" w:space="0" w:color="auto"/>
            </w:tcBorders>
            <w:shd w:val="clear" w:color="auto" w:fill="C6EFCE"/>
            <w:noWrap/>
          </w:tcPr>
          <w:p w14:paraId="102C5F7F" w14:textId="5E726FE4"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11583360"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hulladékgazdálkodási projektek végrehajtásához nyújtott támogatások elosztása.</w:t>
            </w:r>
          </w:p>
        </w:tc>
        <w:tc>
          <w:tcPr>
            <w:tcW w:w="1003" w:type="dxa"/>
            <w:tcBorders>
              <w:top w:val="single" w:sz="4" w:space="0" w:color="auto"/>
              <w:left w:val="single" w:sz="4" w:space="0" w:color="auto"/>
              <w:bottom w:val="single" w:sz="4" w:space="0" w:color="auto"/>
              <w:right w:val="single" w:sz="4" w:space="0" w:color="auto"/>
            </w:tcBorders>
            <w:shd w:val="clear" w:color="auto" w:fill="C6EFCE"/>
            <w:noWrap/>
          </w:tcPr>
          <w:p w14:paraId="7FB7B21A" w14:textId="77777777" w:rsidR="00D65CB4" w:rsidRPr="00BC4EE7" w:rsidRDefault="00D65CB4">
            <w:pPr>
              <w:spacing w:after="0" w:line="240" w:lineRule="auto"/>
              <w:jc w:val="center"/>
              <w:rPr>
                <w:rFonts w:ascii="Times New Roman" w:eastAsia="Times New Roman" w:hAnsi="Times New Roman" w:cs="Times New Roman"/>
                <w:noProof/>
                <w:sz w:val="18"/>
              </w:rPr>
            </w:pPr>
          </w:p>
        </w:tc>
        <w:tc>
          <w:tcPr>
            <w:tcW w:w="790" w:type="dxa"/>
            <w:tcBorders>
              <w:top w:val="single" w:sz="4" w:space="0" w:color="auto"/>
              <w:left w:val="single" w:sz="4" w:space="0" w:color="auto"/>
              <w:bottom w:val="single" w:sz="4" w:space="0" w:color="auto"/>
              <w:right w:val="single" w:sz="4" w:space="0" w:color="auto"/>
            </w:tcBorders>
            <w:shd w:val="clear" w:color="auto" w:fill="C6EFCE"/>
            <w:noWrap/>
          </w:tcPr>
          <w:p w14:paraId="42754665" w14:textId="0803C52A"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Millió EUR</w:t>
            </w:r>
          </w:p>
        </w:tc>
        <w:tc>
          <w:tcPr>
            <w:tcW w:w="919" w:type="dxa"/>
            <w:tcBorders>
              <w:top w:val="single" w:sz="4" w:space="0" w:color="auto"/>
              <w:left w:val="single" w:sz="4" w:space="0" w:color="auto"/>
              <w:bottom w:val="single" w:sz="4" w:space="0" w:color="auto"/>
              <w:right w:val="single" w:sz="4" w:space="0" w:color="auto"/>
            </w:tcBorders>
            <w:shd w:val="clear" w:color="auto" w:fill="C6EFCE"/>
            <w:noWrap/>
          </w:tcPr>
          <w:p w14:paraId="281A6E4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0</w:t>
            </w:r>
          </w:p>
        </w:tc>
        <w:tc>
          <w:tcPr>
            <w:tcW w:w="945" w:type="dxa"/>
            <w:tcBorders>
              <w:top w:val="single" w:sz="4" w:space="0" w:color="auto"/>
              <w:left w:val="single" w:sz="4" w:space="0" w:color="auto"/>
              <w:bottom w:val="single" w:sz="4" w:space="0" w:color="auto"/>
              <w:right w:val="single" w:sz="4" w:space="0" w:color="auto"/>
            </w:tcBorders>
            <w:shd w:val="clear" w:color="auto" w:fill="C6EFCE"/>
            <w:noWrap/>
          </w:tcPr>
          <w:p w14:paraId="19056E9D"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300</w:t>
            </w:r>
          </w:p>
        </w:tc>
        <w:tc>
          <w:tcPr>
            <w:tcW w:w="396" w:type="dxa"/>
            <w:tcBorders>
              <w:top w:val="single" w:sz="4" w:space="0" w:color="auto"/>
              <w:left w:val="single" w:sz="4" w:space="0" w:color="auto"/>
              <w:bottom w:val="single" w:sz="4" w:space="0" w:color="auto"/>
              <w:right w:val="single" w:sz="4" w:space="0" w:color="auto"/>
            </w:tcBorders>
            <w:shd w:val="clear" w:color="auto" w:fill="C6EFCE"/>
            <w:noWrap/>
          </w:tcPr>
          <w:p w14:paraId="0071483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27" w:type="dxa"/>
            <w:tcBorders>
              <w:top w:val="single" w:sz="4" w:space="0" w:color="auto"/>
              <w:left w:val="single" w:sz="4" w:space="0" w:color="auto"/>
              <w:bottom w:val="single" w:sz="4" w:space="0" w:color="auto"/>
              <w:right w:val="single" w:sz="4" w:space="0" w:color="auto"/>
            </w:tcBorders>
            <w:shd w:val="clear" w:color="auto" w:fill="C6EFCE"/>
            <w:noWrap/>
          </w:tcPr>
          <w:p w14:paraId="14EB3A6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2024</w:t>
            </w:r>
          </w:p>
        </w:tc>
        <w:tc>
          <w:tcPr>
            <w:tcW w:w="6975" w:type="dxa"/>
            <w:tcBorders>
              <w:top w:val="single" w:sz="4" w:space="0" w:color="auto"/>
              <w:left w:val="single" w:sz="4" w:space="0" w:color="auto"/>
              <w:bottom w:val="single" w:sz="4" w:space="0" w:color="auto"/>
              <w:right w:val="single" w:sz="4" w:space="0" w:color="auto"/>
            </w:tcBorders>
            <w:shd w:val="clear" w:color="auto" w:fill="C6EFCE"/>
            <w:noWrap/>
          </w:tcPr>
          <w:p w14:paraId="787591BB" w14:textId="1429A1AD" w:rsidR="00D65CB4" w:rsidRPr="00BC4EE7" w:rsidRDefault="00572307">
            <w:pPr>
              <w:pStyle w:val="P68B1DB1-Normal12"/>
              <w:spacing w:after="0" w:line="240" w:lineRule="auto"/>
              <w:rPr>
                <w:rFonts w:eastAsia="Times New Roman" w:cs="Times New Roman"/>
                <w:noProof/>
              </w:rPr>
            </w:pPr>
            <w:r w:rsidRPr="00BC4EE7">
              <w:rPr>
                <w:rFonts w:cs="Times New Roman"/>
                <w:noProof/>
              </w:rPr>
              <w:t>A nemzeti hulladékszabályozási keret végrehajtását és az uniós célkitűzések elérését célzó projektek finanszírozására vonatkozó, a hulladékokra vonatkozó 2024. évi jogszabályok végrehajtásának támogatására irányuló tervvel kapcsolatos, a támogatások elosztási kritériumait és területi elosztását jóváhagyó környezetvédelmi ágazati konferencia megállapodásának jóváhagyása, illetve a közvetlen támogatások jóváhagyása a támogatásokról szóló 28/2003. sz. általános törvénnyel összhangban.  A projektek a szelektív hulladékgyűjtési rendszerek bevezetésére és fejlesztésére irányuló intézkedésekből, az újrafeldolgozás javítását célzó gyűjtőhelyekbe történő beruházásokból, valamint új szelektíven gyűjtött hulladékkezelő üzem megépítéséből állnak.</w:t>
            </w:r>
          </w:p>
        </w:tc>
      </w:tr>
      <w:tr w:rsidR="00D65CB4" w:rsidRPr="00BC4EE7" w14:paraId="7C60E430" w14:textId="77777777" w:rsidTr="00481CF8">
        <w:trPr>
          <w:trHeight w:val="309"/>
        </w:trPr>
        <w:tc>
          <w:tcPr>
            <w:tcW w:w="710" w:type="dxa"/>
            <w:tcBorders>
              <w:top w:val="single" w:sz="4" w:space="0" w:color="auto"/>
              <w:left w:val="single" w:sz="4" w:space="0" w:color="auto"/>
              <w:bottom w:val="single" w:sz="4" w:space="0" w:color="auto"/>
              <w:right w:val="single" w:sz="4" w:space="0" w:color="auto"/>
            </w:tcBorders>
            <w:shd w:val="clear" w:color="auto" w:fill="C6EFCE"/>
            <w:noWrap/>
          </w:tcPr>
          <w:p w14:paraId="1F43270C" w14:textId="7273D458"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443</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6E3DCCC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C12.I3</w:t>
            </w:r>
          </w:p>
        </w:tc>
        <w:tc>
          <w:tcPr>
            <w:tcW w:w="942" w:type="dxa"/>
            <w:tcBorders>
              <w:top w:val="single" w:sz="4" w:space="0" w:color="auto"/>
              <w:left w:val="single" w:sz="4" w:space="0" w:color="auto"/>
              <w:bottom w:val="single" w:sz="4" w:space="0" w:color="auto"/>
              <w:right w:val="single" w:sz="4" w:space="0" w:color="auto"/>
            </w:tcBorders>
            <w:shd w:val="clear" w:color="auto" w:fill="C6EFCE"/>
            <w:noWrap/>
          </w:tcPr>
          <w:p w14:paraId="53E5CAD4"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31A30D72"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Hulladékgazdálkodási projektek lezárása</w:t>
            </w:r>
          </w:p>
        </w:tc>
        <w:tc>
          <w:tcPr>
            <w:tcW w:w="1003" w:type="dxa"/>
            <w:tcBorders>
              <w:top w:val="single" w:sz="4" w:space="0" w:color="auto"/>
              <w:left w:val="single" w:sz="4" w:space="0" w:color="auto"/>
              <w:bottom w:val="single" w:sz="4" w:space="0" w:color="auto"/>
              <w:right w:val="single" w:sz="4" w:space="0" w:color="auto"/>
            </w:tcBorders>
            <w:shd w:val="clear" w:color="auto" w:fill="C6EFCE"/>
            <w:noWrap/>
          </w:tcPr>
          <w:p w14:paraId="57478D81" w14:textId="77777777" w:rsidR="00D65CB4" w:rsidRPr="00BC4EE7" w:rsidRDefault="00D65CB4">
            <w:pPr>
              <w:spacing w:after="0" w:line="240" w:lineRule="auto"/>
              <w:jc w:val="center"/>
              <w:rPr>
                <w:rFonts w:ascii="Times New Roman" w:eastAsia="Times New Roman" w:hAnsi="Times New Roman" w:cs="Times New Roman"/>
                <w:noProof/>
                <w:sz w:val="18"/>
              </w:rPr>
            </w:pPr>
          </w:p>
        </w:tc>
        <w:tc>
          <w:tcPr>
            <w:tcW w:w="790" w:type="dxa"/>
            <w:tcBorders>
              <w:top w:val="single" w:sz="4" w:space="0" w:color="auto"/>
              <w:left w:val="single" w:sz="4" w:space="0" w:color="auto"/>
              <w:bottom w:val="single" w:sz="4" w:space="0" w:color="auto"/>
              <w:right w:val="single" w:sz="4" w:space="0" w:color="auto"/>
            </w:tcBorders>
            <w:shd w:val="clear" w:color="auto" w:fill="C6EFCE"/>
            <w:noWrap/>
          </w:tcPr>
          <w:p w14:paraId="6F0C6574"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Millió EUR </w:t>
            </w:r>
          </w:p>
        </w:tc>
        <w:tc>
          <w:tcPr>
            <w:tcW w:w="919" w:type="dxa"/>
            <w:tcBorders>
              <w:top w:val="single" w:sz="4" w:space="0" w:color="auto"/>
              <w:left w:val="single" w:sz="4" w:space="0" w:color="auto"/>
              <w:bottom w:val="single" w:sz="4" w:space="0" w:color="auto"/>
              <w:right w:val="single" w:sz="4" w:space="0" w:color="auto"/>
            </w:tcBorders>
            <w:shd w:val="clear" w:color="auto" w:fill="C6EFCE"/>
            <w:noWrap/>
          </w:tcPr>
          <w:p w14:paraId="499CF9F1" w14:textId="77777777" w:rsidR="00D65CB4" w:rsidRPr="00BC4EE7" w:rsidRDefault="00D65CB4">
            <w:pPr>
              <w:spacing w:after="0" w:line="240" w:lineRule="auto"/>
              <w:jc w:val="center"/>
              <w:rPr>
                <w:rFonts w:ascii="Times New Roman" w:eastAsia="Times New Roman" w:hAnsi="Times New Roman" w:cs="Times New Roman"/>
                <w:noProof/>
                <w:sz w:val="18"/>
              </w:rPr>
            </w:pPr>
          </w:p>
        </w:tc>
        <w:tc>
          <w:tcPr>
            <w:tcW w:w="945" w:type="dxa"/>
            <w:tcBorders>
              <w:top w:val="single" w:sz="4" w:space="0" w:color="auto"/>
              <w:left w:val="single" w:sz="4" w:space="0" w:color="auto"/>
              <w:bottom w:val="single" w:sz="4" w:space="0" w:color="auto"/>
              <w:right w:val="single" w:sz="4" w:space="0" w:color="auto"/>
            </w:tcBorders>
            <w:shd w:val="clear" w:color="auto" w:fill="C6EFCE"/>
            <w:noWrap/>
          </w:tcPr>
          <w:p w14:paraId="262D747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270</w:t>
            </w:r>
          </w:p>
        </w:tc>
        <w:tc>
          <w:tcPr>
            <w:tcW w:w="396" w:type="dxa"/>
            <w:tcBorders>
              <w:top w:val="single" w:sz="4" w:space="0" w:color="auto"/>
              <w:left w:val="single" w:sz="4" w:space="0" w:color="auto"/>
              <w:bottom w:val="single" w:sz="4" w:space="0" w:color="auto"/>
              <w:right w:val="single" w:sz="4" w:space="0" w:color="auto"/>
            </w:tcBorders>
            <w:shd w:val="clear" w:color="auto" w:fill="C6EFCE"/>
            <w:noWrap/>
          </w:tcPr>
          <w:p w14:paraId="38DA7C0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Q2</w:t>
            </w:r>
          </w:p>
        </w:tc>
        <w:tc>
          <w:tcPr>
            <w:tcW w:w="527" w:type="dxa"/>
            <w:tcBorders>
              <w:top w:val="single" w:sz="4" w:space="0" w:color="auto"/>
              <w:left w:val="single" w:sz="4" w:space="0" w:color="auto"/>
              <w:bottom w:val="single" w:sz="4" w:space="0" w:color="auto"/>
              <w:right w:val="single" w:sz="4" w:space="0" w:color="auto"/>
            </w:tcBorders>
            <w:shd w:val="clear" w:color="auto" w:fill="C6EFCE"/>
            <w:noWrap/>
          </w:tcPr>
          <w:p w14:paraId="30D5279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2026</w:t>
            </w:r>
          </w:p>
        </w:tc>
        <w:tc>
          <w:tcPr>
            <w:tcW w:w="6975" w:type="dxa"/>
            <w:tcBorders>
              <w:top w:val="single" w:sz="4" w:space="0" w:color="auto"/>
              <w:left w:val="single" w:sz="4" w:space="0" w:color="auto"/>
              <w:bottom w:val="single" w:sz="4" w:space="0" w:color="auto"/>
              <w:right w:val="single" w:sz="4" w:space="0" w:color="auto"/>
            </w:tcBorders>
            <w:shd w:val="clear" w:color="auto" w:fill="C6EFCE"/>
            <w:noWrap/>
          </w:tcPr>
          <w:p w14:paraId="7C5C4F73" w14:textId="7E7E143E" w:rsidR="00D65CB4" w:rsidRPr="00BC4EE7" w:rsidRDefault="00572307">
            <w:pPr>
              <w:pStyle w:val="P68B1DB1-Normal12"/>
              <w:spacing w:after="0" w:line="240" w:lineRule="auto"/>
              <w:rPr>
                <w:rFonts w:eastAsia="Times New Roman" w:cs="Times New Roman"/>
                <w:noProof/>
              </w:rPr>
            </w:pPr>
            <w:r w:rsidRPr="00BC4EE7">
              <w:rPr>
                <w:rFonts w:cs="Times New Roman"/>
                <w:noProof/>
              </w:rPr>
              <w:t>Legalább 270 000 000 EUR összegű, a szelektív hulladékgyűjtési rendszerek megvalósítására és fejlesztésére odaítélt projektek lezárása, az újrafeldolgozás javítását célzó gyűjtőhelyekre irányuló beruházások, valamint új szelektíven gyűjtött hulladékkezelő üzemek építése.</w:t>
            </w:r>
          </w:p>
        </w:tc>
      </w:tr>
      <w:tr w:rsidR="00D65CB4" w:rsidRPr="00BC4EE7" w14:paraId="758C3169" w14:textId="77777777" w:rsidTr="00481CF8">
        <w:trPr>
          <w:trHeight w:val="309"/>
        </w:trPr>
        <w:tc>
          <w:tcPr>
            <w:tcW w:w="710" w:type="dxa"/>
            <w:tcBorders>
              <w:top w:val="single" w:sz="4" w:space="0" w:color="auto"/>
              <w:left w:val="single" w:sz="4" w:space="0" w:color="auto"/>
              <w:bottom w:val="single" w:sz="4" w:space="0" w:color="auto"/>
              <w:right w:val="single" w:sz="4" w:space="0" w:color="auto"/>
            </w:tcBorders>
            <w:shd w:val="clear" w:color="auto" w:fill="C6EFCE"/>
            <w:noWrap/>
          </w:tcPr>
          <w:p w14:paraId="2C1EF78E" w14:textId="4C0041F2"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444</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3B0BCEA4"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C12.I4</w:t>
            </w:r>
          </w:p>
        </w:tc>
        <w:tc>
          <w:tcPr>
            <w:tcW w:w="942" w:type="dxa"/>
            <w:tcBorders>
              <w:top w:val="single" w:sz="4" w:space="0" w:color="auto"/>
              <w:left w:val="single" w:sz="4" w:space="0" w:color="auto"/>
              <w:bottom w:val="single" w:sz="4" w:space="0" w:color="auto"/>
              <w:right w:val="single" w:sz="4" w:space="0" w:color="auto"/>
            </w:tcBorders>
            <w:shd w:val="clear" w:color="auto" w:fill="C6EFCE"/>
            <w:noWrap/>
          </w:tcPr>
          <w:p w14:paraId="4F032B1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4797FB93"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PERTE CHIP. A félvezetők értékláncának megerősítése. </w:t>
            </w:r>
          </w:p>
        </w:tc>
        <w:tc>
          <w:tcPr>
            <w:tcW w:w="1003" w:type="dxa"/>
            <w:tcBorders>
              <w:top w:val="single" w:sz="4" w:space="0" w:color="auto"/>
              <w:left w:val="single" w:sz="4" w:space="0" w:color="auto"/>
              <w:bottom w:val="single" w:sz="4" w:space="0" w:color="auto"/>
              <w:right w:val="single" w:sz="4" w:space="0" w:color="auto"/>
            </w:tcBorders>
            <w:shd w:val="clear" w:color="auto" w:fill="C6EFCE"/>
            <w:noWrap/>
          </w:tcPr>
          <w:p w14:paraId="2C9B0C6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Közzététel a Hivatalos Lapban vagy a hivatalos honlapon  </w:t>
            </w:r>
          </w:p>
        </w:tc>
        <w:tc>
          <w:tcPr>
            <w:tcW w:w="790" w:type="dxa"/>
            <w:tcBorders>
              <w:top w:val="single" w:sz="4" w:space="0" w:color="auto"/>
              <w:left w:val="single" w:sz="4" w:space="0" w:color="auto"/>
              <w:bottom w:val="single" w:sz="4" w:space="0" w:color="auto"/>
              <w:right w:val="single" w:sz="4" w:space="0" w:color="auto"/>
            </w:tcBorders>
            <w:shd w:val="clear" w:color="auto" w:fill="C6EFCE"/>
            <w:noWrap/>
          </w:tcPr>
          <w:p w14:paraId="533852C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Millió EUR </w:t>
            </w:r>
          </w:p>
        </w:tc>
        <w:tc>
          <w:tcPr>
            <w:tcW w:w="919" w:type="dxa"/>
            <w:tcBorders>
              <w:top w:val="single" w:sz="4" w:space="0" w:color="auto"/>
              <w:left w:val="single" w:sz="4" w:space="0" w:color="auto"/>
              <w:bottom w:val="single" w:sz="4" w:space="0" w:color="auto"/>
              <w:right w:val="single" w:sz="4" w:space="0" w:color="auto"/>
            </w:tcBorders>
            <w:shd w:val="clear" w:color="auto" w:fill="C6EFCE"/>
            <w:noWrap/>
          </w:tcPr>
          <w:p w14:paraId="32CCFB2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45" w:type="dxa"/>
            <w:tcBorders>
              <w:top w:val="single" w:sz="4" w:space="0" w:color="auto"/>
              <w:left w:val="single" w:sz="4" w:space="0" w:color="auto"/>
              <w:bottom w:val="single" w:sz="4" w:space="0" w:color="auto"/>
              <w:right w:val="single" w:sz="4" w:space="0" w:color="auto"/>
            </w:tcBorders>
            <w:shd w:val="clear" w:color="auto" w:fill="C6EFCE"/>
            <w:noWrap/>
          </w:tcPr>
          <w:p w14:paraId="7CCB027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200 </w:t>
            </w:r>
          </w:p>
        </w:tc>
        <w:tc>
          <w:tcPr>
            <w:tcW w:w="396" w:type="dxa"/>
            <w:tcBorders>
              <w:top w:val="single" w:sz="4" w:space="0" w:color="auto"/>
              <w:left w:val="single" w:sz="4" w:space="0" w:color="auto"/>
              <w:bottom w:val="single" w:sz="4" w:space="0" w:color="auto"/>
              <w:right w:val="single" w:sz="4" w:space="0" w:color="auto"/>
            </w:tcBorders>
            <w:shd w:val="clear" w:color="auto" w:fill="C6EFCE"/>
            <w:noWrap/>
          </w:tcPr>
          <w:p w14:paraId="132A9B8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Q1</w:t>
            </w:r>
          </w:p>
        </w:tc>
        <w:tc>
          <w:tcPr>
            <w:tcW w:w="527" w:type="dxa"/>
            <w:tcBorders>
              <w:top w:val="single" w:sz="4" w:space="0" w:color="auto"/>
              <w:left w:val="single" w:sz="4" w:space="0" w:color="auto"/>
              <w:bottom w:val="single" w:sz="4" w:space="0" w:color="auto"/>
              <w:right w:val="single" w:sz="4" w:space="0" w:color="auto"/>
            </w:tcBorders>
            <w:shd w:val="clear" w:color="auto" w:fill="C6EFCE"/>
            <w:noWrap/>
          </w:tcPr>
          <w:p w14:paraId="649C322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2025</w:t>
            </w:r>
          </w:p>
        </w:tc>
        <w:tc>
          <w:tcPr>
            <w:tcW w:w="6975" w:type="dxa"/>
            <w:tcBorders>
              <w:top w:val="single" w:sz="4" w:space="0" w:color="auto"/>
              <w:left w:val="single" w:sz="4" w:space="0" w:color="auto"/>
              <w:bottom w:val="single" w:sz="4" w:space="0" w:color="auto"/>
              <w:right w:val="single" w:sz="4" w:space="0" w:color="auto"/>
            </w:tcBorders>
            <w:shd w:val="clear" w:color="auto" w:fill="C6EFCE"/>
            <w:noWrap/>
          </w:tcPr>
          <w:p w14:paraId="573DB66C"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200 000 000 EUR összegű jogi kötelezettségvállalás az IPCEI-Mikroelektronikában és a konnektivitásban részt vevő végső kedvezményezettek, valamint a spanyol félvezető-ökoszisztéma számára a kutatás, fejlesztés és innováció (K+F+I) szakaszban és az első ipari bevezetési szakaszban támogatásban részesülő végső kedvezményezettek számára, a tömegtermelés és a kereskedelmi tevékenységek kizárásával. </w:t>
            </w:r>
          </w:p>
        </w:tc>
      </w:tr>
      <w:tr w:rsidR="00D65CB4" w:rsidRPr="00BC4EE7" w14:paraId="63434339" w14:textId="77777777" w:rsidTr="00481CF8">
        <w:trPr>
          <w:trHeight w:val="309"/>
        </w:trPr>
        <w:tc>
          <w:tcPr>
            <w:tcW w:w="710" w:type="dxa"/>
            <w:tcBorders>
              <w:top w:val="single" w:sz="4" w:space="0" w:color="auto"/>
              <w:left w:val="single" w:sz="4" w:space="0" w:color="auto"/>
              <w:bottom w:val="single" w:sz="4" w:space="0" w:color="auto"/>
              <w:right w:val="single" w:sz="4" w:space="0" w:color="auto"/>
            </w:tcBorders>
            <w:shd w:val="clear" w:color="auto" w:fill="C6EFCE"/>
            <w:noWrap/>
          </w:tcPr>
          <w:p w14:paraId="1E5083BB" w14:textId="403B4173"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445</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11DA56B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C12.I4</w:t>
            </w:r>
          </w:p>
        </w:tc>
        <w:tc>
          <w:tcPr>
            <w:tcW w:w="942" w:type="dxa"/>
            <w:tcBorders>
              <w:top w:val="single" w:sz="4" w:space="0" w:color="auto"/>
              <w:left w:val="single" w:sz="4" w:space="0" w:color="auto"/>
              <w:bottom w:val="single" w:sz="4" w:space="0" w:color="auto"/>
              <w:right w:val="single" w:sz="4" w:space="0" w:color="auto"/>
            </w:tcBorders>
            <w:shd w:val="clear" w:color="auto" w:fill="C6EFCE"/>
            <w:noWrap/>
          </w:tcPr>
          <w:p w14:paraId="003D12F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420CF322"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PERTE CHIP. A félvezetők értékláncának megerősítése (II.).   </w:t>
            </w:r>
          </w:p>
        </w:tc>
        <w:tc>
          <w:tcPr>
            <w:tcW w:w="1003" w:type="dxa"/>
            <w:tcBorders>
              <w:top w:val="single" w:sz="4" w:space="0" w:color="auto"/>
              <w:left w:val="single" w:sz="4" w:space="0" w:color="auto"/>
              <w:bottom w:val="single" w:sz="4" w:space="0" w:color="auto"/>
              <w:right w:val="single" w:sz="4" w:space="0" w:color="auto"/>
            </w:tcBorders>
            <w:shd w:val="clear" w:color="auto" w:fill="C6EFCE"/>
            <w:noWrap/>
          </w:tcPr>
          <w:p w14:paraId="05D826B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790" w:type="dxa"/>
            <w:tcBorders>
              <w:top w:val="single" w:sz="4" w:space="0" w:color="auto"/>
              <w:left w:val="single" w:sz="4" w:space="0" w:color="auto"/>
              <w:bottom w:val="single" w:sz="4" w:space="0" w:color="auto"/>
              <w:right w:val="single" w:sz="4" w:space="0" w:color="auto"/>
            </w:tcBorders>
            <w:shd w:val="clear" w:color="auto" w:fill="C6EFCE"/>
            <w:noWrap/>
          </w:tcPr>
          <w:p w14:paraId="5050ECCD"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Millió EUR</w:t>
            </w:r>
          </w:p>
        </w:tc>
        <w:tc>
          <w:tcPr>
            <w:tcW w:w="919" w:type="dxa"/>
            <w:tcBorders>
              <w:top w:val="single" w:sz="4" w:space="0" w:color="auto"/>
              <w:left w:val="single" w:sz="4" w:space="0" w:color="auto"/>
              <w:bottom w:val="single" w:sz="4" w:space="0" w:color="auto"/>
              <w:right w:val="single" w:sz="4" w:space="0" w:color="auto"/>
            </w:tcBorders>
            <w:shd w:val="clear" w:color="auto" w:fill="C6EFCE"/>
            <w:noWrap/>
          </w:tcPr>
          <w:p w14:paraId="4B995D86" w14:textId="0A07AF81" w:rsidR="00D65CB4" w:rsidRPr="00BC4EE7" w:rsidRDefault="00D65CB4">
            <w:pPr>
              <w:spacing w:after="0" w:line="240" w:lineRule="auto"/>
              <w:jc w:val="center"/>
              <w:rPr>
                <w:rFonts w:ascii="Times New Roman" w:eastAsia="Times New Roman" w:hAnsi="Times New Roman" w:cs="Times New Roman"/>
                <w:noProof/>
                <w:sz w:val="18"/>
              </w:rPr>
            </w:pPr>
          </w:p>
        </w:tc>
        <w:tc>
          <w:tcPr>
            <w:tcW w:w="945" w:type="dxa"/>
            <w:tcBorders>
              <w:top w:val="single" w:sz="4" w:space="0" w:color="auto"/>
              <w:left w:val="single" w:sz="4" w:space="0" w:color="auto"/>
              <w:bottom w:val="single" w:sz="4" w:space="0" w:color="auto"/>
              <w:right w:val="single" w:sz="4" w:space="0" w:color="auto"/>
            </w:tcBorders>
            <w:shd w:val="clear" w:color="auto" w:fill="C6EFCE"/>
            <w:noWrap/>
          </w:tcPr>
          <w:p w14:paraId="55A5AA7B"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180</w:t>
            </w:r>
          </w:p>
        </w:tc>
        <w:tc>
          <w:tcPr>
            <w:tcW w:w="396" w:type="dxa"/>
            <w:tcBorders>
              <w:top w:val="single" w:sz="4" w:space="0" w:color="auto"/>
              <w:left w:val="single" w:sz="4" w:space="0" w:color="auto"/>
              <w:bottom w:val="single" w:sz="4" w:space="0" w:color="auto"/>
              <w:right w:val="single" w:sz="4" w:space="0" w:color="auto"/>
            </w:tcBorders>
            <w:shd w:val="clear" w:color="auto" w:fill="C6EFCE"/>
            <w:noWrap/>
          </w:tcPr>
          <w:p w14:paraId="4F8A117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Q2</w:t>
            </w:r>
          </w:p>
        </w:tc>
        <w:tc>
          <w:tcPr>
            <w:tcW w:w="527" w:type="dxa"/>
            <w:tcBorders>
              <w:top w:val="single" w:sz="4" w:space="0" w:color="auto"/>
              <w:left w:val="single" w:sz="4" w:space="0" w:color="auto"/>
              <w:bottom w:val="single" w:sz="4" w:space="0" w:color="auto"/>
              <w:right w:val="single" w:sz="4" w:space="0" w:color="auto"/>
            </w:tcBorders>
            <w:shd w:val="clear" w:color="auto" w:fill="C6EFCE"/>
            <w:noWrap/>
          </w:tcPr>
          <w:p w14:paraId="7ECDDC5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2026</w:t>
            </w:r>
          </w:p>
        </w:tc>
        <w:tc>
          <w:tcPr>
            <w:tcW w:w="6975" w:type="dxa"/>
            <w:tcBorders>
              <w:top w:val="single" w:sz="4" w:space="0" w:color="auto"/>
              <w:left w:val="single" w:sz="4" w:space="0" w:color="auto"/>
              <w:bottom w:val="single" w:sz="4" w:space="0" w:color="auto"/>
              <w:right w:val="single" w:sz="4" w:space="0" w:color="auto"/>
            </w:tcBorders>
            <w:shd w:val="clear" w:color="auto" w:fill="C6EFCE"/>
            <w:noWrap/>
          </w:tcPr>
          <w:p w14:paraId="3A8A35EB" w14:textId="2D13C318" w:rsidR="00D65CB4" w:rsidRPr="00BC4EE7" w:rsidRDefault="00572307">
            <w:pPr>
              <w:pStyle w:val="P68B1DB1-Normal12"/>
              <w:spacing w:after="0" w:line="240" w:lineRule="auto"/>
              <w:rPr>
                <w:rFonts w:eastAsia="Times New Roman" w:cs="Times New Roman"/>
                <w:noProof/>
              </w:rPr>
            </w:pPr>
            <w:r w:rsidRPr="00BC4EE7">
              <w:rPr>
                <w:rFonts w:cs="Times New Roman"/>
                <w:noProof/>
              </w:rPr>
              <w:t>Legalább 180 000 000 EUR-t folyósítottak a közös európai érdeket szolgáló fontos projektekben részt vevő végső kedvezményezettek, valamint a spanyol félvezető-ökoszisztéma számára a kutatás, fejlesztés és innováció (K+F+I) szakaszban és az ipari bevezetés első szakaszában támogatásban részesülő végső kedvezményezetteknek, a tömegtermelés és a kereskedelmi tevékenységek kizárásával.</w:t>
            </w:r>
          </w:p>
        </w:tc>
      </w:tr>
      <w:tr w:rsidR="00D65CB4" w:rsidRPr="00BC4EE7" w14:paraId="724F5035" w14:textId="77777777" w:rsidTr="00481CF8">
        <w:trPr>
          <w:trHeight w:val="309"/>
        </w:trPr>
        <w:tc>
          <w:tcPr>
            <w:tcW w:w="710" w:type="dxa"/>
            <w:tcBorders>
              <w:top w:val="single" w:sz="4" w:space="0" w:color="auto"/>
              <w:left w:val="single" w:sz="4" w:space="0" w:color="auto"/>
              <w:bottom w:val="single" w:sz="4" w:space="0" w:color="auto"/>
              <w:right w:val="single" w:sz="4" w:space="0" w:color="auto"/>
            </w:tcBorders>
            <w:shd w:val="clear" w:color="auto" w:fill="C6EFCE"/>
            <w:noWrap/>
          </w:tcPr>
          <w:p w14:paraId="1F711D7D" w14:textId="667B4A08"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448</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5185066C" w14:textId="22D3FDA8"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C12.I5</w:t>
            </w:r>
          </w:p>
        </w:tc>
        <w:tc>
          <w:tcPr>
            <w:tcW w:w="942" w:type="dxa"/>
            <w:tcBorders>
              <w:top w:val="single" w:sz="4" w:space="0" w:color="auto"/>
              <w:left w:val="single" w:sz="4" w:space="0" w:color="auto"/>
              <w:bottom w:val="single" w:sz="4" w:space="0" w:color="auto"/>
              <w:right w:val="single" w:sz="4" w:space="0" w:color="auto"/>
            </w:tcBorders>
            <w:shd w:val="clear" w:color="auto" w:fill="C6EFCE"/>
            <w:noWrap/>
          </w:tcPr>
          <w:p w14:paraId="7754380B" w14:textId="39B6ED53" w:rsidR="00D65CB4" w:rsidRPr="00BC4EE7" w:rsidRDefault="00572307">
            <w:pPr>
              <w:spacing w:after="0" w:line="240" w:lineRule="auto"/>
              <w:jc w:val="center"/>
              <w:rPr>
                <w:rFonts w:ascii="Times New Roman" w:eastAsia="Times New Roman" w:hAnsi="Times New Roman" w:cs="Times New Roman"/>
                <w:noProof/>
                <w:sz w:val="18"/>
              </w:rPr>
            </w:pPr>
            <w:r w:rsidRPr="00BC4EE7">
              <w:rPr>
                <w:rStyle w:val="normaltextrun"/>
                <w:rFonts w:ascii="Times New Roman" w:hAnsi="Times New Roman" w:cs="Times New Roman"/>
                <w:noProof/>
                <w:sz w:val="18"/>
              </w:rPr>
              <w:t xml:space="preserve">M </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74F703E4" w14:textId="39BB5415"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 körforgásos gazdaságot támogató támogatási rendszer: A minisztérium befejezte a beruházást </w:t>
            </w:r>
          </w:p>
        </w:tc>
        <w:tc>
          <w:tcPr>
            <w:tcW w:w="1003" w:type="dxa"/>
            <w:tcBorders>
              <w:top w:val="single" w:sz="4" w:space="0" w:color="auto"/>
              <w:left w:val="single" w:sz="4" w:space="0" w:color="auto"/>
              <w:bottom w:val="single" w:sz="4" w:space="0" w:color="auto"/>
              <w:right w:val="single" w:sz="4" w:space="0" w:color="auto"/>
            </w:tcBorders>
            <w:shd w:val="clear" w:color="auto" w:fill="C6EFCE"/>
            <w:noWrap/>
          </w:tcPr>
          <w:p w14:paraId="435D3272" w14:textId="629575AE" w:rsidR="00D65CB4" w:rsidRPr="00BC4EE7" w:rsidRDefault="00572307">
            <w:pPr>
              <w:spacing w:after="0" w:line="240" w:lineRule="auto"/>
              <w:jc w:val="center"/>
              <w:rPr>
                <w:rFonts w:ascii="Times New Roman" w:eastAsia="Times New Roman" w:hAnsi="Times New Roman" w:cs="Times New Roman"/>
                <w:noProof/>
                <w:sz w:val="18"/>
              </w:rPr>
            </w:pPr>
            <w:r w:rsidRPr="00BC4EE7">
              <w:rPr>
                <w:rStyle w:val="normaltextrun"/>
                <w:rFonts w:ascii="Times New Roman" w:hAnsi="Times New Roman" w:cs="Times New Roman"/>
                <w:noProof/>
                <w:sz w:val="18"/>
              </w:rPr>
              <w:t xml:space="preserve">Kifizetési igazolás a végrehajtó partner részére </w:t>
            </w:r>
          </w:p>
        </w:tc>
        <w:tc>
          <w:tcPr>
            <w:tcW w:w="790" w:type="dxa"/>
            <w:tcBorders>
              <w:top w:val="single" w:sz="4" w:space="0" w:color="auto"/>
              <w:left w:val="single" w:sz="4" w:space="0" w:color="auto"/>
              <w:bottom w:val="single" w:sz="4" w:space="0" w:color="auto"/>
              <w:right w:val="single" w:sz="4" w:space="0" w:color="auto"/>
            </w:tcBorders>
            <w:shd w:val="clear" w:color="auto" w:fill="C6EFCE"/>
            <w:noWrap/>
          </w:tcPr>
          <w:p w14:paraId="6965198D" w14:textId="77777777" w:rsidR="00D65CB4" w:rsidRPr="00BC4EE7" w:rsidRDefault="00D65CB4">
            <w:pPr>
              <w:spacing w:after="0" w:line="240" w:lineRule="auto"/>
              <w:jc w:val="center"/>
              <w:rPr>
                <w:rFonts w:ascii="Times New Roman" w:eastAsia="Times New Roman" w:hAnsi="Times New Roman" w:cs="Times New Roman"/>
                <w:noProof/>
                <w:sz w:val="18"/>
              </w:rPr>
            </w:pPr>
          </w:p>
        </w:tc>
        <w:tc>
          <w:tcPr>
            <w:tcW w:w="919" w:type="dxa"/>
            <w:tcBorders>
              <w:top w:val="single" w:sz="4" w:space="0" w:color="auto"/>
              <w:left w:val="single" w:sz="4" w:space="0" w:color="auto"/>
              <w:bottom w:val="single" w:sz="4" w:space="0" w:color="auto"/>
              <w:right w:val="single" w:sz="4" w:space="0" w:color="auto"/>
            </w:tcBorders>
            <w:shd w:val="clear" w:color="auto" w:fill="C6EFCE"/>
            <w:noWrap/>
          </w:tcPr>
          <w:p w14:paraId="669223C4" w14:textId="77777777" w:rsidR="00D65CB4" w:rsidRPr="00BC4EE7" w:rsidRDefault="00D65CB4">
            <w:pPr>
              <w:spacing w:after="0" w:line="240" w:lineRule="auto"/>
              <w:jc w:val="center"/>
              <w:rPr>
                <w:rFonts w:ascii="Times New Roman" w:eastAsia="Times New Roman" w:hAnsi="Times New Roman" w:cs="Times New Roman"/>
                <w:noProof/>
                <w:sz w:val="18"/>
              </w:rPr>
            </w:pPr>
          </w:p>
        </w:tc>
        <w:tc>
          <w:tcPr>
            <w:tcW w:w="945" w:type="dxa"/>
            <w:tcBorders>
              <w:top w:val="single" w:sz="4" w:space="0" w:color="auto"/>
              <w:left w:val="single" w:sz="4" w:space="0" w:color="auto"/>
              <w:bottom w:val="single" w:sz="4" w:space="0" w:color="auto"/>
              <w:right w:val="single" w:sz="4" w:space="0" w:color="auto"/>
            </w:tcBorders>
            <w:shd w:val="clear" w:color="auto" w:fill="C6EFCE"/>
            <w:noWrap/>
          </w:tcPr>
          <w:p w14:paraId="0F73057A" w14:textId="77777777" w:rsidR="00D65CB4" w:rsidRPr="00BC4EE7" w:rsidRDefault="00D65CB4">
            <w:pPr>
              <w:spacing w:after="0" w:line="240" w:lineRule="auto"/>
              <w:jc w:val="center"/>
              <w:rPr>
                <w:rFonts w:ascii="Times New Roman" w:eastAsia="Times New Roman" w:hAnsi="Times New Roman" w:cs="Times New Roman"/>
                <w:noProof/>
                <w:sz w:val="18"/>
              </w:rPr>
            </w:pPr>
          </w:p>
        </w:tc>
        <w:tc>
          <w:tcPr>
            <w:tcW w:w="396" w:type="dxa"/>
            <w:tcBorders>
              <w:top w:val="single" w:sz="4" w:space="0" w:color="auto"/>
              <w:left w:val="single" w:sz="4" w:space="0" w:color="auto"/>
              <w:bottom w:val="single" w:sz="4" w:space="0" w:color="auto"/>
              <w:right w:val="single" w:sz="4" w:space="0" w:color="auto"/>
            </w:tcBorders>
            <w:shd w:val="clear" w:color="auto" w:fill="C6EFCE"/>
            <w:noWrap/>
          </w:tcPr>
          <w:p w14:paraId="4AA5C2AE" w14:textId="47B7DDDA" w:rsidR="00D65CB4" w:rsidRPr="00BC4EE7" w:rsidRDefault="00572307">
            <w:pPr>
              <w:spacing w:after="0" w:line="240" w:lineRule="auto"/>
              <w:jc w:val="center"/>
              <w:rPr>
                <w:rFonts w:ascii="Times New Roman" w:eastAsia="Times New Roman" w:hAnsi="Times New Roman" w:cs="Times New Roman"/>
                <w:noProof/>
                <w:sz w:val="18"/>
              </w:rPr>
            </w:pPr>
            <w:r w:rsidRPr="00BC4EE7">
              <w:rPr>
                <w:rStyle w:val="normaltextrun"/>
                <w:rFonts w:ascii="Times New Roman" w:hAnsi="Times New Roman" w:cs="Times New Roman"/>
                <w:noProof/>
                <w:sz w:val="18"/>
              </w:rPr>
              <w:t xml:space="preserve">Q2 </w:t>
            </w:r>
          </w:p>
        </w:tc>
        <w:tc>
          <w:tcPr>
            <w:tcW w:w="527" w:type="dxa"/>
            <w:tcBorders>
              <w:top w:val="single" w:sz="4" w:space="0" w:color="auto"/>
              <w:left w:val="single" w:sz="4" w:space="0" w:color="auto"/>
              <w:bottom w:val="single" w:sz="4" w:space="0" w:color="auto"/>
              <w:right w:val="single" w:sz="4" w:space="0" w:color="auto"/>
            </w:tcBorders>
            <w:shd w:val="clear" w:color="auto" w:fill="C6EFCE"/>
            <w:noWrap/>
          </w:tcPr>
          <w:p w14:paraId="542A713D" w14:textId="73C6D30D" w:rsidR="00D65CB4" w:rsidRPr="00BC4EE7" w:rsidRDefault="00572307">
            <w:pPr>
              <w:spacing w:after="0" w:line="240" w:lineRule="auto"/>
              <w:jc w:val="center"/>
              <w:rPr>
                <w:rFonts w:ascii="Times New Roman" w:eastAsia="Times New Roman" w:hAnsi="Times New Roman" w:cs="Times New Roman"/>
                <w:noProof/>
                <w:sz w:val="18"/>
              </w:rPr>
            </w:pPr>
            <w:r w:rsidRPr="00BC4EE7">
              <w:rPr>
                <w:rStyle w:val="normaltextrun"/>
                <w:rFonts w:ascii="Times New Roman" w:hAnsi="Times New Roman" w:cs="Times New Roman"/>
                <w:noProof/>
                <w:sz w:val="18"/>
              </w:rPr>
              <w:t xml:space="preserve">2024 </w:t>
            </w:r>
          </w:p>
        </w:tc>
        <w:tc>
          <w:tcPr>
            <w:tcW w:w="6975" w:type="dxa"/>
            <w:tcBorders>
              <w:top w:val="single" w:sz="4" w:space="0" w:color="auto"/>
              <w:left w:val="single" w:sz="4" w:space="0" w:color="auto"/>
              <w:bottom w:val="single" w:sz="4" w:space="0" w:color="auto"/>
              <w:right w:val="single" w:sz="4" w:space="0" w:color="auto"/>
            </w:tcBorders>
            <w:shd w:val="clear" w:color="auto" w:fill="C6EFCE"/>
            <w:noWrap/>
          </w:tcPr>
          <w:p w14:paraId="7B471DCE" w14:textId="2D9B9847" w:rsidR="00D65CB4" w:rsidRPr="00BC4EE7" w:rsidRDefault="00572307">
            <w:pPr>
              <w:spacing w:after="0" w:line="240" w:lineRule="auto"/>
              <w:rPr>
                <w:rFonts w:ascii="Times New Roman" w:eastAsia="Times New Roman" w:hAnsi="Times New Roman" w:cs="Times New Roman"/>
                <w:noProof/>
                <w:sz w:val="18"/>
              </w:rPr>
            </w:pPr>
            <w:r w:rsidRPr="00BC4EE7">
              <w:rPr>
                <w:rStyle w:val="normaltextrun"/>
                <w:rFonts w:ascii="Times New Roman" w:hAnsi="Times New Roman" w:cs="Times New Roman"/>
                <w:noProof/>
                <w:sz w:val="18"/>
              </w:rPr>
              <w:t>Spanyolország 100 000 000 EUR-t utal át az IDAE-nek és 200 000 000 EUR-t a Fundación Biodiversidadnak a program céljaira.</w:t>
            </w:r>
          </w:p>
        </w:tc>
      </w:tr>
      <w:tr w:rsidR="00D65CB4" w:rsidRPr="00BC4EE7" w14:paraId="6192F824" w14:textId="77777777" w:rsidTr="00481CF8">
        <w:trPr>
          <w:trHeight w:val="309"/>
        </w:trPr>
        <w:tc>
          <w:tcPr>
            <w:tcW w:w="710" w:type="dxa"/>
            <w:tcBorders>
              <w:top w:val="single" w:sz="4" w:space="0" w:color="auto"/>
              <w:left w:val="single" w:sz="4" w:space="0" w:color="auto"/>
              <w:bottom w:val="single" w:sz="4" w:space="0" w:color="auto"/>
              <w:right w:val="single" w:sz="4" w:space="0" w:color="auto"/>
            </w:tcBorders>
            <w:shd w:val="clear" w:color="auto" w:fill="C6EFCE"/>
            <w:noWrap/>
          </w:tcPr>
          <w:p w14:paraId="2676CD28" w14:textId="423B2F14"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446</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36A93D24"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C12.I5</w:t>
            </w:r>
          </w:p>
        </w:tc>
        <w:tc>
          <w:tcPr>
            <w:tcW w:w="942" w:type="dxa"/>
            <w:tcBorders>
              <w:top w:val="single" w:sz="4" w:space="0" w:color="auto"/>
              <w:left w:val="single" w:sz="4" w:space="0" w:color="auto"/>
              <w:bottom w:val="single" w:sz="4" w:space="0" w:color="auto"/>
              <w:right w:val="single" w:sz="4" w:space="0" w:color="auto"/>
            </w:tcBorders>
            <w:shd w:val="clear" w:color="auto" w:fill="C6EFCE"/>
            <w:noWrap/>
          </w:tcPr>
          <w:p w14:paraId="159B5E1B"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0475E4FD" w14:textId="45DB8A9B" w:rsidR="00D65CB4" w:rsidRPr="00BC4EE7" w:rsidRDefault="00572307">
            <w:pPr>
              <w:pStyle w:val="P68B1DB1-Normal12"/>
              <w:spacing w:after="0" w:line="240" w:lineRule="auto"/>
              <w:rPr>
                <w:rFonts w:eastAsia="Times New Roman" w:cs="Times New Roman"/>
                <w:noProof/>
              </w:rPr>
            </w:pPr>
            <w:r w:rsidRPr="00BC4EE7">
              <w:rPr>
                <w:rFonts w:cs="Times New Roman"/>
                <w:noProof/>
              </w:rPr>
              <w:t>A körforgásos gazdaságot támogató támogatási rendszer: A támogatási rendszer létrehozása</w:t>
            </w:r>
          </w:p>
        </w:tc>
        <w:tc>
          <w:tcPr>
            <w:tcW w:w="1003" w:type="dxa"/>
            <w:tcBorders>
              <w:top w:val="single" w:sz="4" w:space="0" w:color="auto"/>
              <w:left w:val="single" w:sz="4" w:space="0" w:color="auto"/>
              <w:bottom w:val="single" w:sz="4" w:space="0" w:color="auto"/>
              <w:right w:val="single" w:sz="4" w:space="0" w:color="auto"/>
            </w:tcBorders>
            <w:shd w:val="clear" w:color="auto" w:fill="C6EFCE"/>
            <w:noWrap/>
          </w:tcPr>
          <w:p w14:paraId="39DE73B6" w14:textId="12612E5C"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A vonatkozó jogi eszköz(ek) hatálybalépése</w:t>
            </w:r>
          </w:p>
        </w:tc>
        <w:tc>
          <w:tcPr>
            <w:tcW w:w="790" w:type="dxa"/>
            <w:tcBorders>
              <w:top w:val="single" w:sz="4" w:space="0" w:color="auto"/>
              <w:left w:val="single" w:sz="4" w:space="0" w:color="auto"/>
              <w:bottom w:val="single" w:sz="4" w:space="0" w:color="auto"/>
              <w:right w:val="single" w:sz="4" w:space="0" w:color="auto"/>
            </w:tcBorders>
            <w:shd w:val="clear" w:color="auto" w:fill="C6EFCE"/>
            <w:noWrap/>
          </w:tcPr>
          <w:p w14:paraId="2609D0A1" w14:textId="77777777" w:rsidR="00D65CB4" w:rsidRPr="00BC4EE7" w:rsidRDefault="00D65CB4">
            <w:pPr>
              <w:spacing w:after="0" w:line="240" w:lineRule="auto"/>
              <w:jc w:val="center"/>
              <w:rPr>
                <w:rFonts w:ascii="Times New Roman" w:eastAsia="Times New Roman" w:hAnsi="Times New Roman" w:cs="Times New Roman"/>
                <w:noProof/>
                <w:sz w:val="18"/>
              </w:rPr>
            </w:pPr>
          </w:p>
        </w:tc>
        <w:tc>
          <w:tcPr>
            <w:tcW w:w="919" w:type="dxa"/>
            <w:tcBorders>
              <w:top w:val="single" w:sz="4" w:space="0" w:color="auto"/>
              <w:left w:val="single" w:sz="4" w:space="0" w:color="auto"/>
              <w:bottom w:val="single" w:sz="4" w:space="0" w:color="auto"/>
              <w:right w:val="single" w:sz="4" w:space="0" w:color="auto"/>
            </w:tcBorders>
            <w:shd w:val="clear" w:color="auto" w:fill="C6EFCE"/>
            <w:noWrap/>
          </w:tcPr>
          <w:p w14:paraId="61957D37" w14:textId="77777777" w:rsidR="00D65CB4" w:rsidRPr="00BC4EE7" w:rsidRDefault="00D65CB4">
            <w:pPr>
              <w:spacing w:after="0" w:line="240" w:lineRule="auto"/>
              <w:jc w:val="center"/>
              <w:rPr>
                <w:rFonts w:ascii="Times New Roman" w:eastAsia="Times New Roman" w:hAnsi="Times New Roman" w:cs="Times New Roman"/>
                <w:noProof/>
                <w:sz w:val="18"/>
              </w:rPr>
            </w:pPr>
          </w:p>
        </w:tc>
        <w:tc>
          <w:tcPr>
            <w:tcW w:w="945" w:type="dxa"/>
            <w:tcBorders>
              <w:top w:val="single" w:sz="4" w:space="0" w:color="auto"/>
              <w:left w:val="single" w:sz="4" w:space="0" w:color="auto"/>
              <w:bottom w:val="single" w:sz="4" w:space="0" w:color="auto"/>
              <w:right w:val="single" w:sz="4" w:space="0" w:color="auto"/>
            </w:tcBorders>
            <w:shd w:val="clear" w:color="auto" w:fill="C6EFCE"/>
            <w:noWrap/>
          </w:tcPr>
          <w:p w14:paraId="3EF180D2" w14:textId="77777777" w:rsidR="00D65CB4" w:rsidRPr="00BC4EE7" w:rsidRDefault="00D65CB4">
            <w:pPr>
              <w:spacing w:after="0" w:line="240" w:lineRule="auto"/>
              <w:jc w:val="center"/>
              <w:rPr>
                <w:rFonts w:ascii="Times New Roman" w:eastAsia="Times New Roman" w:hAnsi="Times New Roman" w:cs="Times New Roman"/>
                <w:noProof/>
                <w:sz w:val="18"/>
              </w:rPr>
            </w:pPr>
          </w:p>
        </w:tc>
        <w:tc>
          <w:tcPr>
            <w:tcW w:w="396" w:type="dxa"/>
            <w:tcBorders>
              <w:top w:val="single" w:sz="4" w:space="0" w:color="auto"/>
              <w:left w:val="single" w:sz="4" w:space="0" w:color="auto"/>
              <w:bottom w:val="single" w:sz="4" w:space="0" w:color="auto"/>
              <w:right w:val="single" w:sz="4" w:space="0" w:color="auto"/>
            </w:tcBorders>
            <w:shd w:val="clear" w:color="auto" w:fill="C6EFCE"/>
            <w:noWrap/>
          </w:tcPr>
          <w:p w14:paraId="51E7C9F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 </w:t>
            </w:r>
          </w:p>
        </w:tc>
        <w:tc>
          <w:tcPr>
            <w:tcW w:w="527" w:type="dxa"/>
            <w:tcBorders>
              <w:top w:val="single" w:sz="4" w:space="0" w:color="auto"/>
              <w:left w:val="single" w:sz="4" w:space="0" w:color="auto"/>
              <w:bottom w:val="single" w:sz="4" w:space="0" w:color="auto"/>
              <w:right w:val="single" w:sz="4" w:space="0" w:color="auto"/>
            </w:tcBorders>
            <w:shd w:val="clear" w:color="auto" w:fill="C6EFCE"/>
            <w:noWrap/>
          </w:tcPr>
          <w:p w14:paraId="443BBBC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2024 </w:t>
            </w:r>
          </w:p>
        </w:tc>
        <w:tc>
          <w:tcPr>
            <w:tcW w:w="6975" w:type="dxa"/>
            <w:tcBorders>
              <w:top w:val="single" w:sz="4" w:space="0" w:color="auto"/>
              <w:left w:val="single" w:sz="4" w:space="0" w:color="auto"/>
              <w:bottom w:val="single" w:sz="4" w:space="0" w:color="auto"/>
              <w:right w:val="single" w:sz="4" w:space="0" w:color="auto"/>
            </w:tcBorders>
            <w:shd w:val="clear" w:color="auto" w:fill="C6EFCE"/>
            <w:noWrap/>
          </w:tcPr>
          <w:p w14:paraId="429ECFB4" w14:textId="36B26541" w:rsidR="00D65CB4" w:rsidRPr="00BC4EE7" w:rsidRDefault="00572307">
            <w:pPr>
              <w:pStyle w:val="P68B1DB1-Normal12"/>
              <w:spacing w:after="0" w:line="240" w:lineRule="auto"/>
              <w:rPr>
                <w:rFonts w:eastAsia="Times New Roman" w:cs="Times New Roman"/>
                <w:noProof/>
              </w:rPr>
            </w:pPr>
            <w:r w:rsidRPr="00BC4EE7">
              <w:rPr>
                <w:rFonts w:cs="Times New Roman"/>
                <w:noProof/>
              </w:rPr>
              <w:t>A programot létrehozó jogi eszköz(ök) hatálybalépése az intézkedés leírásában meghatározott követelményekkel összhangban.</w:t>
            </w:r>
          </w:p>
        </w:tc>
      </w:tr>
      <w:tr w:rsidR="00D65CB4" w:rsidRPr="00BC4EE7" w14:paraId="193E4360" w14:textId="77777777" w:rsidTr="00481CF8">
        <w:trPr>
          <w:trHeight w:val="309"/>
        </w:trPr>
        <w:tc>
          <w:tcPr>
            <w:tcW w:w="710" w:type="dxa"/>
            <w:tcBorders>
              <w:top w:val="single" w:sz="4" w:space="0" w:color="auto"/>
              <w:left w:val="single" w:sz="4" w:space="0" w:color="auto"/>
              <w:bottom w:val="single" w:sz="4" w:space="0" w:color="auto"/>
              <w:right w:val="single" w:sz="4" w:space="0" w:color="auto"/>
            </w:tcBorders>
            <w:shd w:val="clear" w:color="auto" w:fill="C6EFCE"/>
            <w:noWrap/>
          </w:tcPr>
          <w:p w14:paraId="5E466F6B" w14:textId="39519970"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447</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4F2D3CC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C12.I5</w:t>
            </w:r>
          </w:p>
        </w:tc>
        <w:tc>
          <w:tcPr>
            <w:tcW w:w="942" w:type="dxa"/>
            <w:tcBorders>
              <w:top w:val="single" w:sz="4" w:space="0" w:color="auto"/>
              <w:left w:val="single" w:sz="4" w:space="0" w:color="auto"/>
              <w:bottom w:val="single" w:sz="4" w:space="0" w:color="auto"/>
              <w:right w:val="single" w:sz="4" w:space="0" w:color="auto"/>
            </w:tcBorders>
            <w:shd w:val="clear" w:color="auto" w:fill="C6EFCE"/>
            <w:noWrap/>
          </w:tcPr>
          <w:p w14:paraId="15808CA3" w14:textId="77777777" w:rsidR="00D65CB4" w:rsidRPr="00BC4EE7" w:rsidRDefault="00572307">
            <w:pPr>
              <w:spacing w:after="0" w:line="240" w:lineRule="auto"/>
              <w:jc w:val="center"/>
              <w:rPr>
                <w:rFonts w:ascii="Times New Roman" w:eastAsia="Times New Roman" w:hAnsi="Times New Roman" w:cs="Times New Roman"/>
                <w:noProof/>
                <w:sz w:val="18"/>
              </w:rPr>
            </w:pPr>
            <w:r w:rsidRPr="00BC4EE7">
              <w:rPr>
                <w:rStyle w:val="normaltextrun"/>
                <w:rFonts w:ascii="Times New Roman" w:hAnsi="Times New Roman" w:cs="Times New Roman"/>
                <w:noProof/>
                <w:sz w:val="18"/>
              </w:rPr>
              <w:t xml:space="preserve">T </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7F9FF87E" w14:textId="0E0CF4A4" w:rsidR="00D65CB4" w:rsidRPr="00BC4EE7" w:rsidRDefault="00572307">
            <w:pPr>
              <w:pStyle w:val="P68B1DB1-Normal12"/>
              <w:spacing w:after="0" w:line="240" w:lineRule="auto"/>
              <w:rPr>
                <w:rFonts w:eastAsia="Times New Roman" w:cs="Times New Roman"/>
                <w:noProof/>
              </w:rPr>
            </w:pPr>
            <w:r w:rsidRPr="00BC4EE7">
              <w:rPr>
                <w:rFonts w:cs="Times New Roman"/>
                <w:noProof/>
              </w:rPr>
              <w:t>A körforgásos gazdaságot támogató támogatási rendszer: A végső kedvezményezettekkel aláírt jogi megállapodások vagy a végső odaítélési határozatok közzététele</w:t>
            </w:r>
          </w:p>
        </w:tc>
        <w:tc>
          <w:tcPr>
            <w:tcW w:w="1003" w:type="dxa"/>
            <w:tcBorders>
              <w:top w:val="single" w:sz="4" w:space="0" w:color="auto"/>
              <w:left w:val="single" w:sz="4" w:space="0" w:color="auto"/>
              <w:bottom w:val="single" w:sz="4" w:space="0" w:color="auto"/>
              <w:right w:val="single" w:sz="4" w:space="0" w:color="auto"/>
            </w:tcBorders>
            <w:shd w:val="clear" w:color="auto" w:fill="C6EFCE"/>
            <w:noWrap/>
          </w:tcPr>
          <w:p w14:paraId="370CEB37" w14:textId="4F67CFEA" w:rsidR="00D65CB4" w:rsidRPr="00BC4EE7" w:rsidRDefault="00572307">
            <w:pPr>
              <w:spacing w:after="0" w:line="240" w:lineRule="auto"/>
              <w:jc w:val="center"/>
              <w:rPr>
                <w:rFonts w:ascii="Times New Roman" w:eastAsia="Times New Roman" w:hAnsi="Times New Roman" w:cs="Times New Roman"/>
                <w:noProof/>
                <w:sz w:val="18"/>
              </w:rPr>
            </w:pPr>
            <w:r w:rsidRPr="00BC4EE7">
              <w:rPr>
                <w:rStyle w:val="normaltextrun"/>
                <w:rFonts w:ascii="Times New Roman" w:hAnsi="Times New Roman" w:cs="Times New Roman"/>
                <w:noProof/>
                <w:sz w:val="18"/>
              </w:rPr>
              <w:t>A közzétett jogi finanszírozási megállapodások vagy végleges odaítélési határozatok hatálybalépése</w:t>
            </w:r>
          </w:p>
        </w:tc>
        <w:tc>
          <w:tcPr>
            <w:tcW w:w="790" w:type="dxa"/>
            <w:tcBorders>
              <w:top w:val="single" w:sz="4" w:space="0" w:color="auto"/>
              <w:left w:val="single" w:sz="4" w:space="0" w:color="auto"/>
              <w:bottom w:val="single" w:sz="4" w:space="0" w:color="auto"/>
              <w:right w:val="single" w:sz="4" w:space="0" w:color="auto"/>
            </w:tcBorders>
            <w:shd w:val="clear" w:color="auto" w:fill="C6EFCE"/>
            <w:noWrap/>
          </w:tcPr>
          <w:p w14:paraId="05A87720" w14:textId="77777777" w:rsidR="00D65CB4" w:rsidRPr="00BC4EE7" w:rsidRDefault="00572307">
            <w:pPr>
              <w:spacing w:after="0" w:line="240" w:lineRule="auto"/>
              <w:jc w:val="center"/>
              <w:rPr>
                <w:rFonts w:ascii="Times New Roman" w:eastAsia="Times New Roman" w:hAnsi="Times New Roman" w:cs="Times New Roman"/>
                <w:noProof/>
                <w:sz w:val="18"/>
              </w:rPr>
            </w:pPr>
            <w:r w:rsidRPr="00BC4EE7">
              <w:rPr>
                <w:rStyle w:val="eop"/>
                <w:rFonts w:ascii="Times New Roman" w:hAnsi="Times New Roman" w:cs="Times New Roman"/>
                <w:noProof/>
                <w:sz w:val="18"/>
              </w:rPr>
              <w:t xml:space="preserve"> </w:t>
            </w:r>
          </w:p>
        </w:tc>
        <w:tc>
          <w:tcPr>
            <w:tcW w:w="919" w:type="dxa"/>
            <w:tcBorders>
              <w:top w:val="single" w:sz="4" w:space="0" w:color="auto"/>
              <w:left w:val="single" w:sz="4" w:space="0" w:color="auto"/>
              <w:bottom w:val="single" w:sz="4" w:space="0" w:color="auto"/>
              <w:right w:val="single" w:sz="4" w:space="0" w:color="auto"/>
            </w:tcBorders>
            <w:shd w:val="clear" w:color="auto" w:fill="C6EFCE"/>
            <w:noWrap/>
          </w:tcPr>
          <w:p w14:paraId="2AEEA772" w14:textId="77777777" w:rsidR="00D65CB4" w:rsidRPr="00BC4EE7" w:rsidRDefault="00572307">
            <w:pPr>
              <w:spacing w:after="0" w:line="240" w:lineRule="auto"/>
              <w:jc w:val="center"/>
              <w:rPr>
                <w:rFonts w:ascii="Times New Roman" w:eastAsia="Times New Roman" w:hAnsi="Times New Roman" w:cs="Times New Roman"/>
                <w:noProof/>
                <w:sz w:val="18"/>
              </w:rPr>
            </w:pPr>
            <w:r w:rsidRPr="00BC4EE7">
              <w:rPr>
                <w:rStyle w:val="eop"/>
                <w:rFonts w:ascii="Times New Roman" w:hAnsi="Times New Roman" w:cs="Times New Roman"/>
                <w:noProof/>
                <w:sz w:val="18"/>
              </w:rPr>
              <w:t>0% </w:t>
            </w:r>
          </w:p>
        </w:tc>
        <w:tc>
          <w:tcPr>
            <w:tcW w:w="945" w:type="dxa"/>
            <w:tcBorders>
              <w:top w:val="single" w:sz="4" w:space="0" w:color="auto"/>
              <w:left w:val="single" w:sz="4" w:space="0" w:color="auto"/>
              <w:bottom w:val="single" w:sz="4" w:space="0" w:color="auto"/>
              <w:right w:val="single" w:sz="4" w:space="0" w:color="auto"/>
            </w:tcBorders>
            <w:shd w:val="clear" w:color="auto" w:fill="C6EFCE"/>
            <w:noWrap/>
          </w:tcPr>
          <w:p w14:paraId="209A8952" w14:textId="77777777" w:rsidR="00D65CB4" w:rsidRPr="00BC4EE7" w:rsidRDefault="00572307">
            <w:pPr>
              <w:spacing w:after="0" w:line="240" w:lineRule="auto"/>
              <w:jc w:val="center"/>
              <w:rPr>
                <w:rFonts w:ascii="Times New Roman" w:eastAsia="Times New Roman" w:hAnsi="Times New Roman" w:cs="Times New Roman"/>
                <w:noProof/>
                <w:sz w:val="18"/>
              </w:rPr>
            </w:pPr>
            <w:r w:rsidRPr="00BC4EE7">
              <w:rPr>
                <w:rStyle w:val="normaltextrun"/>
                <w:rFonts w:ascii="Times New Roman" w:hAnsi="Times New Roman" w:cs="Times New Roman"/>
                <w:noProof/>
                <w:sz w:val="18"/>
              </w:rPr>
              <w:t xml:space="preserve">100%-OS </w:t>
            </w:r>
          </w:p>
        </w:tc>
        <w:tc>
          <w:tcPr>
            <w:tcW w:w="396" w:type="dxa"/>
            <w:tcBorders>
              <w:top w:val="single" w:sz="4" w:space="0" w:color="auto"/>
              <w:left w:val="single" w:sz="4" w:space="0" w:color="auto"/>
              <w:bottom w:val="single" w:sz="4" w:space="0" w:color="auto"/>
              <w:right w:val="single" w:sz="4" w:space="0" w:color="auto"/>
            </w:tcBorders>
            <w:shd w:val="clear" w:color="auto" w:fill="C6EFCE"/>
            <w:noWrap/>
          </w:tcPr>
          <w:p w14:paraId="6392DE83" w14:textId="77777777" w:rsidR="00D65CB4" w:rsidRPr="00BC4EE7" w:rsidRDefault="00572307">
            <w:pPr>
              <w:spacing w:after="0" w:line="240" w:lineRule="auto"/>
              <w:jc w:val="center"/>
              <w:rPr>
                <w:rFonts w:ascii="Times New Roman" w:eastAsia="Times New Roman" w:hAnsi="Times New Roman" w:cs="Times New Roman"/>
                <w:noProof/>
                <w:sz w:val="18"/>
              </w:rPr>
            </w:pPr>
            <w:r w:rsidRPr="00BC4EE7">
              <w:rPr>
                <w:rStyle w:val="normaltextrun"/>
                <w:rFonts w:ascii="Times New Roman" w:hAnsi="Times New Roman" w:cs="Times New Roman"/>
                <w:noProof/>
                <w:sz w:val="18"/>
              </w:rPr>
              <w:t xml:space="preserve">Q3 </w:t>
            </w:r>
          </w:p>
        </w:tc>
        <w:tc>
          <w:tcPr>
            <w:tcW w:w="527" w:type="dxa"/>
            <w:tcBorders>
              <w:top w:val="single" w:sz="4" w:space="0" w:color="auto"/>
              <w:left w:val="single" w:sz="4" w:space="0" w:color="auto"/>
              <w:bottom w:val="single" w:sz="4" w:space="0" w:color="auto"/>
              <w:right w:val="single" w:sz="4" w:space="0" w:color="auto"/>
            </w:tcBorders>
            <w:shd w:val="clear" w:color="auto" w:fill="C6EFCE"/>
            <w:noWrap/>
          </w:tcPr>
          <w:p w14:paraId="146F2B9F" w14:textId="77777777" w:rsidR="00D65CB4" w:rsidRPr="00BC4EE7" w:rsidRDefault="00572307">
            <w:pPr>
              <w:spacing w:after="0" w:line="240" w:lineRule="auto"/>
              <w:jc w:val="center"/>
              <w:rPr>
                <w:rFonts w:ascii="Times New Roman" w:eastAsia="Times New Roman" w:hAnsi="Times New Roman" w:cs="Times New Roman"/>
                <w:noProof/>
                <w:sz w:val="18"/>
              </w:rPr>
            </w:pPr>
            <w:r w:rsidRPr="00BC4EE7">
              <w:rPr>
                <w:rStyle w:val="normaltextrun"/>
                <w:rFonts w:ascii="Times New Roman" w:hAnsi="Times New Roman" w:cs="Times New Roman"/>
                <w:noProof/>
                <w:sz w:val="18"/>
              </w:rPr>
              <w:t xml:space="preserve">2025 </w:t>
            </w:r>
          </w:p>
        </w:tc>
        <w:tc>
          <w:tcPr>
            <w:tcW w:w="6975" w:type="dxa"/>
            <w:tcBorders>
              <w:top w:val="single" w:sz="4" w:space="0" w:color="auto"/>
              <w:left w:val="single" w:sz="4" w:space="0" w:color="auto"/>
              <w:bottom w:val="single" w:sz="4" w:space="0" w:color="auto"/>
              <w:right w:val="single" w:sz="4" w:space="0" w:color="auto"/>
            </w:tcBorders>
            <w:shd w:val="clear" w:color="auto" w:fill="C6EFCE"/>
            <w:noWrap/>
          </w:tcPr>
          <w:p w14:paraId="07E9390C" w14:textId="4F4745A4" w:rsidR="00D65CB4" w:rsidRPr="00BC4EE7" w:rsidRDefault="00572307">
            <w:pPr>
              <w:spacing w:after="0" w:line="240" w:lineRule="auto"/>
              <w:rPr>
                <w:rFonts w:ascii="Times New Roman" w:eastAsia="Times New Roman" w:hAnsi="Times New Roman" w:cs="Times New Roman"/>
                <w:noProof/>
                <w:sz w:val="18"/>
              </w:rPr>
            </w:pPr>
            <w:r w:rsidRPr="00BC4EE7">
              <w:rPr>
                <w:rStyle w:val="normaltextrun"/>
                <w:rFonts w:ascii="Times New Roman" w:hAnsi="Times New Roman" w:cs="Times New Roman"/>
                <w:noProof/>
                <w:sz w:val="18"/>
              </w:rPr>
              <w:t>Az IDAE-nek és a Fundación Biodiversidadnak végleges odaítélési határozatokat kell közzétennie, vagy jogi finanszírozási megállapodást kell kötnie a végső kedvezményezettekkel az RRF-beruházások 100%-ának a rendszerbe való felhasználásához szükséges összegről.</w:t>
            </w:r>
          </w:p>
        </w:tc>
      </w:tr>
      <w:tr w:rsidR="00D65CB4" w:rsidRPr="00BC4EE7" w14:paraId="35C50EBE" w14:textId="77777777" w:rsidTr="00481CF8">
        <w:trPr>
          <w:trHeight w:val="309"/>
        </w:trPr>
        <w:tc>
          <w:tcPr>
            <w:tcW w:w="710" w:type="dxa"/>
            <w:tcBorders>
              <w:top w:val="single" w:sz="4" w:space="0" w:color="auto"/>
              <w:left w:val="single" w:sz="4" w:space="0" w:color="auto"/>
              <w:bottom w:val="single" w:sz="4" w:space="0" w:color="auto"/>
              <w:right w:val="single" w:sz="4" w:space="0" w:color="auto"/>
            </w:tcBorders>
            <w:shd w:val="clear" w:color="auto" w:fill="C6EFCE"/>
            <w:noWrap/>
          </w:tcPr>
          <w:p w14:paraId="6971327F" w14:textId="42D5F40F"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448a</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36AB2A2C" w14:textId="42733C92" w:rsidR="00D65CB4" w:rsidRPr="00BC4EE7" w:rsidRDefault="00572307">
            <w:pPr>
              <w:pStyle w:val="P68B1DB1-Normal12"/>
              <w:spacing w:after="0" w:line="240" w:lineRule="auto"/>
              <w:jc w:val="center"/>
              <w:rPr>
                <w:rFonts w:cs="Times New Roman"/>
                <w:noProof/>
              </w:rPr>
            </w:pPr>
            <w:r w:rsidRPr="00BC4EE7">
              <w:rPr>
                <w:rFonts w:cs="Times New Roman"/>
                <w:noProof/>
              </w:rPr>
              <w:t>C12.I6</w:t>
            </w:r>
          </w:p>
        </w:tc>
        <w:tc>
          <w:tcPr>
            <w:tcW w:w="942" w:type="dxa"/>
            <w:tcBorders>
              <w:top w:val="single" w:sz="4" w:space="0" w:color="auto"/>
              <w:left w:val="single" w:sz="4" w:space="0" w:color="auto"/>
              <w:bottom w:val="single" w:sz="4" w:space="0" w:color="auto"/>
              <w:right w:val="single" w:sz="4" w:space="0" w:color="auto"/>
            </w:tcBorders>
            <w:shd w:val="clear" w:color="auto" w:fill="C6EFCE"/>
            <w:noWrap/>
          </w:tcPr>
          <w:p w14:paraId="5F7DB35F" w14:textId="59E78DFF" w:rsidR="00D65CB4" w:rsidRPr="00BC4EE7" w:rsidRDefault="00572307">
            <w:pPr>
              <w:pStyle w:val="P68B1DB1-Normal12"/>
              <w:spacing w:after="0" w:line="240" w:lineRule="auto"/>
              <w:jc w:val="center"/>
              <w:rPr>
                <w:rFonts w:cs="Times New Roman"/>
                <w:noProof/>
              </w:rPr>
            </w:pPr>
            <w:r w:rsidRPr="00BC4EE7">
              <w:rPr>
                <w:rFonts w:cs="Times New Roman"/>
                <w:noProof/>
              </w:rPr>
              <w:t>M</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74573819" w14:textId="233F4B20" w:rsidR="00D65CB4" w:rsidRPr="00BC4EE7" w:rsidRDefault="00572307">
            <w:pPr>
              <w:pStyle w:val="P68B1DB1-Normal12"/>
              <w:spacing w:after="0" w:line="240" w:lineRule="auto"/>
              <w:rPr>
                <w:rFonts w:cs="Times New Roman"/>
                <w:noProof/>
              </w:rPr>
            </w:pPr>
            <w:r w:rsidRPr="00BC4EE7">
              <w:rPr>
                <w:rFonts w:cs="Times New Roman"/>
                <w:noProof/>
              </w:rPr>
              <w:t>Támogatási program az elektromosjármű-ágazat számára (támogatások): A minisztérium befejezte a beruházást</w:t>
            </w:r>
          </w:p>
        </w:tc>
        <w:tc>
          <w:tcPr>
            <w:tcW w:w="1003" w:type="dxa"/>
            <w:tcBorders>
              <w:top w:val="single" w:sz="4" w:space="0" w:color="auto"/>
              <w:left w:val="single" w:sz="4" w:space="0" w:color="auto"/>
              <w:bottom w:val="single" w:sz="4" w:space="0" w:color="auto"/>
              <w:right w:val="single" w:sz="4" w:space="0" w:color="auto"/>
            </w:tcBorders>
            <w:shd w:val="clear" w:color="auto" w:fill="C6EFCE"/>
            <w:noWrap/>
          </w:tcPr>
          <w:p w14:paraId="51100932" w14:textId="3E034B8D" w:rsidR="00D65CB4" w:rsidRPr="00BC4EE7" w:rsidRDefault="00572307">
            <w:pPr>
              <w:pStyle w:val="P68B1DB1-Normal12"/>
              <w:spacing w:after="0" w:line="240" w:lineRule="auto"/>
              <w:jc w:val="center"/>
              <w:rPr>
                <w:rFonts w:cs="Times New Roman"/>
                <w:noProof/>
              </w:rPr>
            </w:pPr>
            <w:r w:rsidRPr="00BC4EE7">
              <w:rPr>
                <w:rFonts w:cs="Times New Roman"/>
                <w:noProof/>
              </w:rPr>
              <w:t>Kifizetési igazolás a SEPIDES-hez</w:t>
            </w:r>
          </w:p>
        </w:tc>
        <w:tc>
          <w:tcPr>
            <w:tcW w:w="790" w:type="dxa"/>
            <w:tcBorders>
              <w:top w:val="single" w:sz="4" w:space="0" w:color="auto"/>
              <w:left w:val="single" w:sz="4" w:space="0" w:color="auto"/>
              <w:bottom w:val="single" w:sz="4" w:space="0" w:color="auto"/>
              <w:right w:val="single" w:sz="4" w:space="0" w:color="auto"/>
            </w:tcBorders>
            <w:shd w:val="clear" w:color="auto" w:fill="C6EFCE"/>
            <w:noWrap/>
          </w:tcPr>
          <w:p w14:paraId="6F3DB594" w14:textId="77777777" w:rsidR="00D65CB4" w:rsidRPr="00BC4EE7" w:rsidRDefault="00D65CB4">
            <w:pPr>
              <w:spacing w:after="0" w:line="240" w:lineRule="auto"/>
              <w:jc w:val="center"/>
              <w:rPr>
                <w:rStyle w:val="eop"/>
                <w:rFonts w:ascii="Times New Roman" w:hAnsi="Times New Roman" w:cs="Times New Roman"/>
                <w:noProof/>
                <w:sz w:val="18"/>
              </w:rPr>
            </w:pPr>
          </w:p>
        </w:tc>
        <w:tc>
          <w:tcPr>
            <w:tcW w:w="919" w:type="dxa"/>
            <w:tcBorders>
              <w:top w:val="single" w:sz="4" w:space="0" w:color="auto"/>
              <w:left w:val="single" w:sz="4" w:space="0" w:color="auto"/>
              <w:bottom w:val="single" w:sz="4" w:space="0" w:color="auto"/>
              <w:right w:val="single" w:sz="4" w:space="0" w:color="auto"/>
            </w:tcBorders>
            <w:shd w:val="clear" w:color="auto" w:fill="C6EFCE"/>
            <w:noWrap/>
          </w:tcPr>
          <w:p w14:paraId="2D6BD69E" w14:textId="77777777" w:rsidR="00D65CB4" w:rsidRPr="00BC4EE7" w:rsidRDefault="00D65CB4">
            <w:pPr>
              <w:spacing w:after="0" w:line="240" w:lineRule="auto"/>
              <w:jc w:val="center"/>
              <w:rPr>
                <w:rStyle w:val="eop"/>
                <w:rFonts w:ascii="Times New Roman" w:hAnsi="Times New Roman" w:cs="Times New Roman"/>
                <w:noProof/>
                <w:sz w:val="18"/>
              </w:rPr>
            </w:pPr>
          </w:p>
        </w:tc>
        <w:tc>
          <w:tcPr>
            <w:tcW w:w="945" w:type="dxa"/>
            <w:tcBorders>
              <w:top w:val="single" w:sz="4" w:space="0" w:color="auto"/>
              <w:left w:val="single" w:sz="4" w:space="0" w:color="auto"/>
              <w:bottom w:val="single" w:sz="4" w:space="0" w:color="auto"/>
              <w:right w:val="single" w:sz="4" w:space="0" w:color="auto"/>
            </w:tcBorders>
            <w:shd w:val="clear" w:color="auto" w:fill="C6EFCE"/>
            <w:noWrap/>
          </w:tcPr>
          <w:p w14:paraId="1D153BF3" w14:textId="77777777" w:rsidR="00D65CB4" w:rsidRPr="00BC4EE7" w:rsidRDefault="00D65CB4">
            <w:pPr>
              <w:spacing w:after="0" w:line="240" w:lineRule="auto"/>
              <w:jc w:val="center"/>
              <w:rPr>
                <w:rStyle w:val="eop"/>
                <w:rFonts w:ascii="Times New Roman" w:hAnsi="Times New Roman" w:cs="Times New Roman"/>
                <w:noProof/>
                <w:sz w:val="18"/>
              </w:rPr>
            </w:pPr>
          </w:p>
        </w:tc>
        <w:tc>
          <w:tcPr>
            <w:tcW w:w="396" w:type="dxa"/>
            <w:tcBorders>
              <w:top w:val="single" w:sz="4" w:space="0" w:color="auto"/>
              <w:left w:val="single" w:sz="4" w:space="0" w:color="auto"/>
              <w:bottom w:val="single" w:sz="4" w:space="0" w:color="auto"/>
              <w:right w:val="single" w:sz="4" w:space="0" w:color="auto"/>
            </w:tcBorders>
            <w:shd w:val="clear" w:color="auto" w:fill="C6EFCE"/>
            <w:noWrap/>
          </w:tcPr>
          <w:p w14:paraId="52A996DE" w14:textId="69D76941"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527" w:type="dxa"/>
            <w:tcBorders>
              <w:top w:val="single" w:sz="4" w:space="0" w:color="auto"/>
              <w:left w:val="single" w:sz="4" w:space="0" w:color="auto"/>
              <w:bottom w:val="single" w:sz="4" w:space="0" w:color="auto"/>
              <w:right w:val="single" w:sz="4" w:space="0" w:color="auto"/>
            </w:tcBorders>
            <w:shd w:val="clear" w:color="auto" w:fill="C6EFCE"/>
            <w:noWrap/>
          </w:tcPr>
          <w:p w14:paraId="4F0DA853" w14:textId="07EDDF73" w:rsidR="00D65CB4" w:rsidRPr="00BC4EE7" w:rsidRDefault="00572307">
            <w:pPr>
              <w:pStyle w:val="P68B1DB1-Normal12"/>
              <w:spacing w:after="0" w:line="240" w:lineRule="auto"/>
              <w:jc w:val="center"/>
              <w:rPr>
                <w:rFonts w:cs="Times New Roman"/>
                <w:noProof/>
              </w:rPr>
            </w:pPr>
            <w:r w:rsidRPr="00BC4EE7">
              <w:rPr>
                <w:rFonts w:cs="Times New Roman"/>
                <w:noProof/>
              </w:rPr>
              <w:t>2024</w:t>
            </w:r>
          </w:p>
        </w:tc>
        <w:tc>
          <w:tcPr>
            <w:tcW w:w="6975" w:type="dxa"/>
            <w:tcBorders>
              <w:top w:val="single" w:sz="4" w:space="0" w:color="auto"/>
              <w:left w:val="single" w:sz="4" w:space="0" w:color="auto"/>
              <w:bottom w:val="single" w:sz="4" w:space="0" w:color="auto"/>
              <w:right w:val="single" w:sz="4" w:space="0" w:color="auto"/>
            </w:tcBorders>
            <w:shd w:val="clear" w:color="auto" w:fill="C6EFCE"/>
            <w:noWrap/>
          </w:tcPr>
          <w:p w14:paraId="59FF64A6" w14:textId="1F763AF7" w:rsidR="00D65CB4" w:rsidRPr="00BC4EE7" w:rsidRDefault="00572307">
            <w:pPr>
              <w:pStyle w:val="P68B1DB1-Normal12"/>
              <w:spacing w:after="0" w:line="240" w:lineRule="auto"/>
              <w:rPr>
                <w:rFonts w:cs="Times New Roman"/>
                <w:noProof/>
              </w:rPr>
            </w:pPr>
            <w:r w:rsidRPr="00BC4EE7">
              <w:rPr>
                <w:rFonts w:cs="Times New Roman"/>
                <w:noProof/>
              </w:rPr>
              <w:t>Spanyolország 250 000 000 EUR-t utal át a SEPIDES-nek a rendszer céljára.</w:t>
            </w:r>
          </w:p>
        </w:tc>
      </w:tr>
      <w:tr w:rsidR="00D65CB4" w:rsidRPr="00BC4EE7" w14:paraId="0CF77885" w14:textId="77777777" w:rsidTr="00481CF8">
        <w:trPr>
          <w:trHeight w:val="309"/>
        </w:trPr>
        <w:tc>
          <w:tcPr>
            <w:tcW w:w="710" w:type="dxa"/>
            <w:tcBorders>
              <w:top w:val="single" w:sz="4" w:space="0" w:color="auto"/>
              <w:left w:val="single" w:sz="4" w:space="0" w:color="auto"/>
              <w:bottom w:val="single" w:sz="4" w:space="0" w:color="auto"/>
              <w:right w:val="single" w:sz="4" w:space="0" w:color="auto"/>
            </w:tcBorders>
            <w:shd w:val="clear" w:color="auto" w:fill="C6EFCE"/>
            <w:noWrap/>
          </w:tcPr>
          <w:p w14:paraId="65AA4BA2" w14:textId="22E462F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448b</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512484DB" w14:textId="7EF1C065"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C12.I6</w:t>
            </w:r>
          </w:p>
        </w:tc>
        <w:tc>
          <w:tcPr>
            <w:tcW w:w="942" w:type="dxa"/>
            <w:tcBorders>
              <w:top w:val="single" w:sz="4" w:space="0" w:color="auto"/>
              <w:left w:val="single" w:sz="4" w:space="0" w:color="auto"/>
              <w:bottom w:val="single" w:sz="4" w:space="0" w:color="auto"/>
              <w:right w:val="single" w:sz="4" w:space="0" w:color="auto"/>
            </w:tcBorders>
            <w:shd w:val="clear" w:color="auto" w:fill="C6EFCE"/>
            <w:noWrap/>
          </w:tcPr>
          <w:p w14:paraId="01099AD5" w14:textId="1B6EE572" w:rsidR="00D65CB4" w:rsidRPr="00BC4EE7" w:rsidRDefault="00572307">
            <w:pPr>
              <w:pStyle w:val="P68B1DB1-Normal12"/>
              <w:spacing w:after="0" w:line="240" w:lineRule="auto"/>
              <w:jc w:val="center"/>
              <w:rPr>
                <w:rStyle w:val="normaltextrun"/>
                <w:rFonts w:cs="Times New Roman"/>
                <w:noProof/>
              </w:rPr>
            </w:pPr>
            <w:r w:rsidRPr="00BC4EE7">
              <w:rPr>
                <w:rFonts w:cs="Times New Roman"/>
                <w:noProof/>
              </w:rPr>
              <w:t>M</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6885859D" w14:textId="43B2C672" w:rsidR="00D65CB4" w:rsidRPr="00BC4EE7" w:rsidRDefault="00572307">
            <w:pPr>
              <w:pStyle w:val="P68B1DB1-Normal12"/>
              <w:spacing w:after="0" w:line="240" w:lineRule="auto"/>
              <w:rPr>
                <w:rStyle w:val="normaltextrun"/>
                <w:rFonts w:cs="Times New Roman"/>
                <w:noProof/>
              </w:rPr>
            </w:pPr>
            <w:r w:rsidRPr="00BC4EE7">
              <w:rPr>
                <w:rFonts w:cs="Times New Roman"/>
                <w:noProof/>
              </w:rPr>
              <w:t>Támogatási program az elektromosjármű-ágazat számára (támogatások); A támogatási rendszer létrehozása</w:t>
            </w:r>
          </w:p>
        </w:tc>
        <w:tc>
          <w:tcPr>
            <w:tcW w:w="1003" w:type="dxa"/>
            <w:tcBorders>
              <w:top w:val="single" w:sz="4" w:space="0" w:color="auto"/>
              <w:left w:val="single" w:sz="4" w:space="0" w:color="auto"/>
              <w:bottom w:val="single" w:sz="4" w:space="0" w:color="auto"/>
              <w:right w:val="single" w:sz="4" w:space="0" w:color="auto"/>
            </w:tcBorders>
            <w:shd w:val="clear" w:color="auto" w:fill="C6EFCE"/>
            <w:noWrap/>
          </w:tcPr>
          <w:p w14:paraId="6563C6A1" w14:textId="3C73E426" w:rsidR="00D65CB4" w:rsidRPr="00BC4EE7" w:rsidRDefault="00572307">
            <w:pPr>
              <w:pStyle w:val="P68B1DB1-Normal12"/>
              <w:spacing w:after="0" w:line="240" w:lineRule="auto"/>
              <w:jc w:val="center"/>
              <w:rPr>
                <w:rStyle w:val="normaltextrun"/>
                <w:rFonts w:cs="Times New Roman"/>
                <w:noProof/>
              </w:rPr>
            </w:pPr>
            <w:r w:rsidRPr="00BC4EE7">
              <w:rPr>
                <w:rFonts w:cs="Times New Roman"/>
                <w:noProof/>
              </w:rPr>
              <w:t>A vonatkozó jogi eszköz(ek) hatálybalépése</w:t>
            </w:r>
          </w:p>
        </w:tc>
        <w:tc>
          <w:tcPr>
            <w:tcW w:w="790" w:type="dxa"/>
            <w:tcBorders>
              <w:top w:val="single" w:sz="4" w:space="0" w:color="auto"/>
              <w:left w:val="single" w:sz="4" w:space="0" w:color="auto"/>
              <w:bottom w:val="single" w:sz="4" w:space="0" w:color="auto"/>
              <w:right w:val="single" w:sz="4" w:space="0" w:color="auto"/>
            </w:tcBorders>
            <w:shd w:val="clear" w:color="auto" w:fill="C6EFCE"/>
            <w:noWrap/>
          </w:tcPr>
          <w:p w14:paraId="3FC7F7B0" w14:textId="77777777" w:rsidR="00D65CB4" w:rsidRPr="00BC4EE7" w:rsidRDefault="00D65CB4">
            <w:pPr>
              <w:spacing w:after="0" w:line="240" w:lineRule="auto"/>
              <w:jc w:val="center"/>
              <w:rPr>
                <w:rStyle w:val="eop"/>
                <w:rFonts w:ascii="Times New Roman" w:hAnsi="Times New Roman" w:cs="Times New Roman"/>
                <w:noProof/>
                <w:sz w:val="18"/>
              </w:rPr>
            </w:pPr>
          </w:p>
        </w:tc>
        <w:tc>
          <w:tcPr>
            <w:tcW w:w="919" w:type="dxa"/>
            <w:tcBorders>
              <w:top w:val="single" w:sz="4" w:space="0" w:color="auto"/>
              <w:left w:val="single" w:sz="4" w:space="0" w:color="auto"/>
              <w:bottom w:val="single" w:sz="4" w:space="0" w:color="auto"/>
              <w:right w:val="single" w:sz="4" w:space="0" w:color="auto"/>
            </w:tcBorders>
            <w:shd w:val="clear" w:color="auto" w:fill="C6EFCE"/>
            <w:noWrap/>
          </w:tcPr>
          <w:p w14:paraId="7575F5AC" w14:textId="77777777" w:rsidR="00D65CB4" w:rsidRPr="00BC4EE7" w:rsidRDefault="00D65CB4">
            <w:pPr>
              <w:spacing w:after="0" w:line="240" w:lineRule="auto"/>
              <w:jc w:val="center"/>
              <w:rPr>
                <w:rStyle w:val="eop"/>
                <w:rFonts w:ascii="Times New Roman" w:hAnsi="Times New Roman" w:cs="Times New Roman"/>
                <w:noProof/>
                <w:sz w:val="18"/>
              </w:rPr>
            </w:pPr>
          </w:p>
        </w:tc>
        <w:tc>
          <w:tcPr>
            <w:tcW w:w="945" w:type="dxa"/>
            <w:tcBorders>
              <w:top w:val="single" w:sz="4" w:space="0" w:color="auto"/>
              <w:left w:val="single" w:sz="4" w:space="0" w:color="auto"/>
              <w:bottom w:val="single" w:sz="4" w:space="0" w:color="auto"/>
              <w:right w:val="single" w:sz="4" w:space="0" w:color="auto"/>
            </w:tcBorders>
            <w:shd w:val="clear" w:color="auto" w:fill="C6EFCE"/>
            <w:noWrap/>
          </w:tcPr>
          <w:p w14:paraId="495EC66A" w14:textId="77777777" w:rsidR="00D65CB4" w:rsidRPr="00BC4EE7" w:rsidRDefault="00D65CB4">
            <w:pPr>
              <w:spacing w:after="0" w:line="240" w:lineRule="auto"/>
              <w:jc w:val="center"/>
              <w:rPr>
                <w:rStyle w:val="eop"/>
                <w:rFonts w:ascii="Times New Roman" w:hAnsi="Times New Roman" w:cs="Times New Roman"/>
                <w:noProof/>
                <w:sz w:val="18"/>
              </w:rPr>
            </w:pPr>
          </w:p>
        </w:tc>
        <w:tc>
          <w:tcPr>
            <w:tcW w:w="396" w:type="dxa"/>
            <w:tcBorders>
              <w:top w:val="single" w:sz="4" w:space="0" w:color="auto"/>
              <w:left w:val="single" w:sz="4" w:space="0" w:color="auto"/>
              <w:bottom w:val="single" w:sz="4" w:space="0" w:color="auto"/>
              <w:right w:val="single" w:sz="4" w:space="0" w:color="auto"/>
            </w:tcBorders>
            <w:shd w:val="clear" w:color="auto" w:fill="C6EFCE"/>
            <w:noWrap/>
          </w:tcPr>
          <w:p w14:paraId="53EE9EF5" w14:textId="1DC2A2DC" w:rsidR="00D65CB4" w:rsidRPr="00BC4EE7" w:rsidRDefault="00572307">
            <w:pPr>
              <w:pStyle w:val="P68B1DB1-Normal12"/>
              <w:spacing w:after="0" w:line="240" w:lineRule="auto"/>
              <w:jc w:val="center"/>
              <w:rPr>
                <w:rStyle w:val="normaltextrun"/>
                <w:rFonts w:cs="Times New Roman"/>
                <w:noProof/>
              </w:rPr>
            </w:pPr>
            <w:r w:rsidRPr="00BC4EE7">
              <w:rPr>
                <w:rFonts w:cs="Times New Roman"/>
                <w:noProof/>
              </w:rPr>
              <w:t>Q3</w:t>
            </w:r>
          </w:p>
        </w:tc>
        <w:tc>
          <w:tcPr>
            <w:tcW w:w="527" w:type="dxa"/>
            <w:tcBorders>
              <w:top w:val="single" w:sz="4" w:space="0" w:color="auto"/>
              <w:left w:val="single" w:sz="4" w:space="0" w:color="auto"/>
              <w:bottom w:val="single" w:sz="4" w:space="0" w:color="auto"/>
              <w:right w:val="single" w:sz="4" w:space="0" w:color="auto"/>
            </w:tcBorders>
            <w:shd w:val="clear" w:color="auto" w:fill="C6EFCE"/>
            <w:noWrap/>
          </w:tcPr>
          <w:p w14:paraId="0454FDAA" w14:textId="4EEE9967" w:rsidR="00D65CB4" w:rsidRPr="00BC4EE7" w:rsidRDefault="00572307">
            <w:pPr>
              <w:pStyle w:val="P68B1DB1-Normal12"/>
              <w:spacing w:after="0" w:line="240" w:lineRule="auto"/>
              <w:jc w:val="center"/>
              <w:rPr>
                <w:rStyle w:val="normaltextrun"/>
                <w:rFonts w:cs="Times New Roman"/>
                <w:noProof/>
              </w:rPr>
            </w:pPr>
            <w:r w:rsidRPr="00BC4EE7">
              <w:rPr>
                <w:rFonts w:cs="Times New Roman"/>
                <w:noProof/>
              </w:rPr>
              <w:t>2024</w:t>
            </w:r>
          </w:p>
        </w:tc>
        <w:tc>
          <w:tcPr>
            <w:tcW w:w="6975" w:type="dxa"/>
            <w:tcBorders>
              <w:top w:val="single" w:sz="4" w:space="0" w:color="auto"/>
              <w:left w:val="single" w:sz="4" w:space="0" w:color="auto"/>
              <w:bottom w:val="single" w:sz="4" w:space="0" w:color="auto"/>
              <w:right w:val="single" w:sz="4" w:space="0" w:color="auto"/>
            </w:tcBorders>
            <w:shd w:val="clear" w:color="auto" w:fill="C6EFCE"/>
            <w:noWrap/>
          </w:tcPr>
          <w:p w14:paraId="4B94225F" w14:textId="1504E8B4" w:rsidR="00D65CB4" w:rsidRPr="00BC4EE7" w:rsidRDefault="00572307">
            <w:pPr>
              <w:pStyle w:val="P68B1DB1-Normal12"/>
              <w:spacing w:after="0" w:line="240" w:lineRule="auto"/>
              <w:rPr>
                <w:rStyle w:val="normaltextrun"/>
                <w:rFonts w:cs="Times New Roman"/>
                <w:noProof/>
              </w:rPr>
            </w:pPr>
            <w:r w:rsidRPr="00BC4EE7">
              <w:rPr>
                <w:rFonts w:cs="Times New Roman"/>
                <w:noProof/>
              </w:rPr>
              <w:t>A támogatási programot az intézkedés leírásában meghatározott követelményekkel összhangban létrehozó jogi eszköz(ök) hatálybalépése.</w:t>
            </w:r>
          </w:p>
        </w:tc>
      </w:tr>
      <w:tr w:rsidR="00D65CB4" w:rsidRPr="00BC4EE7" w14:paraId="023D9E75" w14:textId="77777777" w:rsidTr="00481CF8">
        <w:trPr>
          <w:trHeight w:val="309"/>
        </w:trPr>
        <w:tc>
          <w:tcPr>
            <w:tcW w:w="710" w:type="dxa"/>
            <w:tcBorders>
              <w:top w:val="single" w:sz="4" w:space="0" w:color="auto"/>
              <w:left w:val="single" w:sz="4" w:space="0" w:color="auto"/>
              <w:bottom w:val="single" w:sz="4" w:space="0" w:color="auto"/>
              <w:right w:val="single" w:sz="4" w:space="0" w:color="auto"/>
            </w:tcBorders>
            <w:shd w:val="clear" w:color="auto" w:fill="C6EFCE"/>
            <w:noWrap/>
          </w:tcPr>
          <w:p w14:paraId="77A2BA75" w14:textId="2A830409"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448c</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38D8026E" w14:textId="623BE091"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C12.I6</w:t>
            </w:r>
          </w:p>
        </w:tc>
        <w:tc>
          <w:tcPr>
            <w:tcW w:w="942" w:type="dxa"/>
            <w:tcBorders>
              <w:top w:val="single" w:sz="4" w:space="0" w:color="auto"/>
              <w:left w:val="single" w:sz="4" w:space="0" w:color="auto"/>
              <w:bottom w:val="single" w:sz="4" w:space="0" w:color="auto"/>
              <w:right w:val="single" w:sz="4" w:space="0" w:color="auto"/>
            </w:tcBorders>
            <w:shd w:val="clear" w:color="auto" w:fill="C6EFCE"/>
            <w:noWrap/>
          </w:tcPr>
          <w:p w14:paraId="51E20D67" w14:textId="2E230453" w:rsidR="00D65CB4" w:rsidRPr="00BC4EE7" w:rsidRDefault="00572307">
            <w:pPr>
              <w:pStyle w:val="P68B1DB1-Normal12"/>
              <w:spacing w:after="0" w:line="240" w:lineRule="auto"/>
              <w:jc w:val="center"/>
              <w:rPr>
                <w:rStyle w:val="normaltextrun"/>
                <w:rFonts w:cs="Times New Roman"/>
                <w:noProof/>
              </w:rPr>
            </w:pPr>
            <w:r w:rsidRPr="00BC4EE7">
              <w:rPr>
                <w:rFonts w:cs="Times New Roman"/>
                <w:noProof/>
              </w:rPr>
              <w:t>T</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68290148" w14:textId="5B5E7DB6" w:rsidR="00D65CB4" w:rsidRPr="00BC4EE7" w:rsidRDefault="00572307">
            <w:pPr>
              <w:pStyle w:val="P68B1DB1-Normal12"/>
              <w:spacing w:after="0" w:line="240" w:lineRule="auto"/>
              <w:rPr>
                <w:rStyle w:val="normaltextrun"/>
                <w:rFonts w:cs="Times New Roman"/>
                <w:noProof/>
              </w:rPr>
            </w:pPr>
            <w:r w:rsidRPr="00BC4EE7">
              <w:rPr>
                <w:rFonts w:cs="Times New Roman"/>
                <w:noProof/>
              </w:rPr>
              <w:t>Támogatási program az elektromosjármű-ágazat számára (támogatások): A végső kedvezményezettekkel aláírt jogi megállapodások vagy a végső odaítélési határozatok közzététele</w:t>
            </w:r>
          </w:p>
        </w:tc>
        <w:tc>
          <w:tcPr>
            <w:tcW w:w="1003" w:type="dxa"/>
            <w:tcBorders>
              <w:top w:val="single" w:sz="4" w:space="0" w:color="auto"/>
              <w:left w:val="single" w:sz="4" w:space="0" w:color="auto"/>
              <w:bottom w:val="single" w:sz="4" w:space="0" w:color="auto"/>
              <w:right w:val="single" w:sz="4" w:space="0" w:color="auto"/>
            </w:tcBorders>
            <w:shd w:val="clear" w:color="auto" w:fill="C6EFCE"/>
            <w:noWrap/>
          </w:tcPr>
          <w:p w14:paraId="08231155" w14:textId="53099192" w:rsidR="00D65CB4" w:rsidRPr="00BC4EE7" w:rsidRDefault="00572307">
            <w:pPr>
              <w:spacing w:after="0" w:line="240" w:lineRule="auto"/>
              <w:jc w:val="center"/>
              <w:rPr>
                <w:rStyle w:val="normaltextrun"/>
                <w:rFonts w:ascii="Times New Roman" w:hAnsi="Times New Roman" w:cs="Times New Roman"/>
                <w:noProof/>
                <w:sz w:val="18"/>
              </w:rPr>
            </w:pPr>
            <w:r w:rsidRPr="00BC4EE7">
              <w:rPr>
                <w:rStyle w:val="normaltextrun"/>
                <w:rFonts w:ascii="Times New Roman" w:hAnsi="Times New Roman" w:cs="Times New Roman"/>
                <w:noProof/>
                <w:sz w:val="18"/>
              </w:rPr>
              <w:t>A közzétett jogi finanszírozási megállapodások vagy végleges odaítélési határozatok hatálybalépése</w:t>
            </w:r>
          </w:p>
        </w:tc>
        <w:tc>
          <w:tcPr>
            <w:tcW w:w="790" w:type="dxa"/>
            <w:tcBorders>
              <w:top w:val="single" w:sz="4" w:space="0" w:color="auto"/>
              <w:left w:val="single" w:sz="4" w:space="0" w:color="auto"/>
              <w:bottom w:val="single" w:sz="4" w:space="0" w:color="auto"/>
              <w:right w:val="single" w:sz="4" w:space="0" w:color="auto"/>
            </w:tcBorders>
            <w:shd w:val="clear" w:color="auto" w:fill="C6EFCE"/>
            <w:noWrap/>
          </w:tcPr>
          <w:p w14:paraId="445CAC1E" w14:textId="43AFC18F" w:rsidR="00D65CB4" w:rsidRPr="00BC4EE7" w:rsidRDefault="00D65CB4">
            <w:pPr>
              <w:spacing w:after="0" w:line="240" w:lineRule="auto"/>
              <w:jc w:val="center"/>
              <w:rPr>
                <w:rStyle w:val="eop"/>
                <w:rFonts w:ascii="Times New Roman" w:hAnsi="Times New Roman" w:cs="Times New Roman"/>
                <w:noProof/>
                <w:sz w:val="18"/>
              </w:rPr>
            </w:pPr>
          </w:p>
        </w:tc>
        <w:tc>
          <w:tcPr>
            <w:tcW w:w="919" w:type="dxa"/>
            <w:tcBorders>
              <w:top w:val="single" w:sz="4" w:space="0" w:color="auto"/>
              <w:left w:val="single" w:sz="4" w:space="0" w:color="auto"/>
              <w:bottom w:val="single" w:sz="4" w:space="0" w:color="auto"/>
              <w:right w:val="single" w:sz="4" w:space="0" w:color="auto"/>
            </w:tcBorders>
            <w:shd w:val="clear" w:color="auto" w:fill="C6EFCE"/>
            <w:noWrap/>
          </w:tcPr>
          <w:p w14:paraId="3243C441" w14:textId="04508D53" w:rsidR="00D65CB4" w:rsidRPr="00BC4EE7" w:rsidRDefault="00572307">
            <w:pPr>
              <w:pStyle w:val="P68B1DB1-Normal12"/>
              <w:spacing w:after="0" w:line="240" w:lineRule="auto"/>
              <w:jc w:val="center"/>
              <w:rPr>
                <w:rStyle w:val="eop"/>
                <w:rFonts w:cs="Times New Roman"/>
                <w:noProof/>
              </w:rPr>
            </w:pPr>
            <w:r w:rsidRPr="00BC4EE7">
              <w:rPr>
                <w:rFonts w:cs="Times New Roman"/>
                <w:noProof/>
              </w:rPr>
              <w:t>0</w:t>
            </w:r>
          </w:p>
        </w:tc>
        <w:tc>
          <w:tcPr>
            <w:tcW w:w="945" w:type="dxa"/>
            <w:tcBorders>
              <w:top w:val="single" w:sz="4" w:space="0" w:color="auto"/>
              <w:left w:val="single" w:sz="4" w:space="0" w:color="auto"/>
              <w:bottom w:val="single" w:sz="4" w:space="0" w:color="auto"/>
              <w:right w:val="single" w:sz="4" w:space="0" w:color="auto"/>
            </w:tcBorders>
            <w:shd w:val="clear" w:color="auto" w:fill="C6EFCE"/>
            <w:noWrap/>
          </w:tcPr>
          <w:p w14:paraId="6CCCC4C8" w14:textId="6A85DB45" w:rsidR="00D65CB4" w:rsidRPr="00BC4EE7" w:rsidRDefault="00572307">
            <w:pPr>
              <w:pStyle w:val="P68B1DB1-Normal12"/>
              <w:spacing w:after="0" w:line="240" w:lineRule="auto"/>
              <w:jc w:val="center"/>
              <w:rPr>
                <w:rStyle w:val="eop"/>
                <w:rFonts w:cs="Times New Roman"/>
                <w:noProof/>
              </w:rPr>
            </w:pPr>
            <w:r w:rsidRPr="00BC4EE7">
              <w:rPr>
                <w:rFonts w:cs="Times New Roman"/>
                <w:noProof/>
              </w:rPr>
              <w:t>100%-OS</w:t>
            </w:r>
          </w:p>
        </w:tc>
        <w:tc>
          <w:tcPr>
            <w:tcW w:w="396" w:type="dxa"/>
            <w:tcBorders>
              <w:top w:val="single" w:sz="4" w:space="0" w:color="auto"/>
              <w:left w:val="single" w:sz="4" w:space="0" w:color="auto"/>
              <w:bottom w:val="single" w:sz="4" w:space="0" w:color="auto"/>
              <w:right w:val="single" w:sz="4" w:space="0" w:color="auto"/>
            </w:tcBorders>
            <w:shd w:val="clear" w:color="auto" w:fill="C6EFCE"/>
            <w:noWrap/>
          </w:tcPr>
          <w:p w14:paraId="06A61E54" w14:textId="3E9C4978" w:rsidR="00D65CB4" w:rsidRPr="00BC4EE7" w:rsidRDefault="00572307">
            <w:pPr>
              <w:pStyle w:val="P68B1DB1-Normal12"/>
              <w:spacing w:after="0" w:line="240" w:lineRule="auto"/>
              <w:jc w:val="center"/>
              <w:rPr>
                <w:rStyle w:val="normaltextrun"/>
                <w:rFonts w:cs="Times New Roman"/>
                <w:noProof/>
              </w:rPr>
            </w:pPr>
            <w:r w:rsidRPr="00BC4EE7">
              <w:rPr>
                <w:rFonts w:cs="Times New Roman"/>
                <w:noProof/>
              </w:rPr>
              <w:t>Q2</w:t>
            </w:r>
          </w:p>
        </w:tc>
        <w:tc>
          <w:tcPr>
            <w:tcW w:w="527" w:type="dxa"/>
            <w:tcBorders>
              <w:top w:val="single" w:sz="4" w:space="0" w:color="auto"/>
              <w:left w:val="single" w:sz="4" w:space="0" w:color="auto"/>
              <w:bottom w:val="single" w:sz="4" w:space="0" w:color="auto"/>
              <w:right w:val="single" w:sz="4" w:space="0" w:color="auto"/>
            </w:tcBorders>
            <w:shd w:val="clear" w:color="auto" w:fill="C6EFCE"/>
            <w:noWrap/>
          </w:tcPr>
          <w:p w14:paraId="2DE61EC2" w14:textId="0CBB52CB" w:rsidR="00D65CB4" w:rsidRPr="00BC4EE7" w:rsidRDefault="00572307">
            <w:pPr>
              <w:pStyle w:val="P68B1DB1-Normal12"/>
              <w:spacing w:after="0" w:line="240" w:lineRule="auto"/>
              <w:jc w:val="center"/>
              <w:rPr>
                <w:rStyle w:val="normaltextrun"/>
                <w:rFonts w:cs="Times New Roman"/>
                <w:noProof/>
              </w:rPr>
            </w:pPr>
            <w:r w:rsidRPr="00BC4EE7">
              <w:rPr>
                <w:rFonts w:cs="Times New Roman"/>
                <w:noProof/>
              </w:rPr>
              <w:t>2026</w:t>
            </w:r>
          </w:p>
        </w:tc>
        <w:tc>
          <w:tcPr>
            <w:tcW w:w="6975" w:type="dxa"/>
            <w:tcBorders>
              <w:top w:val="single" w:sz="4" w:space="0" w:color="auto"/>
              <w:left w:val="single" w:sz="4" w:space="0" w:color="auto"/>
              <w:bottom w:val="single" w:sz="4" w:space="0" w:color="auto"/>
              <w:right w:val="single" w:sz="4" w:space="0" w:color="auto"/>
            </w:tcBorders>
            <w:shd w:val="clear" w:color="auto" w:fill="C6EFCE"/>
            <w:noWrap/>
          </w:tcPr>
          <w:p w14:paraId="7036D2B0" w14:textId="258290AC" w:rsidR="00D65CB4" w:rsidRPr="00BC4EE7" w:rsidRDefault="00572307">
            <w:pPr>
              <w:pStyle w:val="P68B1DB1-Normal12"/>
              <w:spacing w:after="0" w:line="240" w:lineRule="auto"/>
              <w:rPr>
                <w:rStyle w:val="normaltextrun"/>
                <w:rFonts w:cs="Times New Roman"/>
                <w:noProof/>
              </w:rPr>
            </w:pPr>
            <w:r w:rsidRPr="00BC4EE7">
              <w:rPr>
                <w:rFonts w:cs="Times New Roman"/>
                <w:noProof/>
              </w:rPr>
              <w:t xml:space="preserve">A SEPIDES-eknek végleges odaítélési határozatokat kell közzétenniük, vagy jogi finanszírozási megállapodásokat kell kötniük a végső kedvezményezettekkel az RRF-beruházások 100%-ának a rendszerbe való felhasználásához szükséges összegről. A SEPIDES-nek biztosítania kell, hogy e finanszírozás legalább 40%-a a Helyreállítási és Rezilienciaépítési Eszközről szóló rendelet VI. mellékletében foglalt módszertan alkalmazásával hozzájáruljon az éghajlat-politikai célkitűzésekhez.  </w:t>
            </w:r>
          </w:p>
        </w:tc>
      </w:tr>
    </w:tbl>
    <w:p w14:paraId="6ABD5187" w14:textId="40BD7164" w:rsidR="00D65CB4" w:rsidRPr="00BC4EE7" w:rsidRDefault="00572307">
      <w:pPr>
        <w:tabs>
          <w:tab w:val="left" w:pos="1155"/>
        </w:tabs>
        <w:rPr>
          <w:rFonts w:ascii="Times New Roman" w:hAnsi="Times New Roman" w:cs="Times New Roman"/>
          <w:noProof/>
        </w:rPr>
        <w:sectPr w:rsidR="00D65CB4" w:rsidRPr="00BC4EE7" w:rsidSect="002F62B4">
          <w:headerReference w:type="even" r:id="rId255"/>
          <w:headerReference w:type="default" r:id="rId256"/>
          <w:footerReference w:type="even" r:id="rId257"/>
          <w:footerReference w:type="default" r:id="rId258"/>
          <w:headerReference w:type="first" r:id="rId259"/>
          <w:footerReference w:type="first" r:id="rId260"/>
          <w:pgSz w:w="16839" w:h="11907" w:orient="landscape"/>
          <w:pgMar w:top="1134" w:right="1134" w:bottom="1134" w:left="1134" w:header="567" w:footer="567" w:gutter="0"/>
          <w:cols w:space="720"/>
          <w:docGrid w:linePitch="360"/>
        </w:sectPr>
      </w:pPr>
      <w:r w:rsidRPr="00BC4EE7">
        <w:rPr>
          <w:rFonts w:ascii="Times New Roman" w:hAnsi="Times New Roman" w:cs="Times New Roman"/>
          <w:noProof/>
        </w:rPr>
        <w:tab/>
      </w:r>
    </w:p>
    <w:p w14:paraId="44231B9C" w14:textId="68CDC3A9" w:rsidR="00D65CB4" w:rsidRPr="00BC4EE7" w:rsidRDefault="00572307">
      <w:pPr>
        <w:tabs>
          <w:tab w:val="left" w:pos="1155"/>
        </w:tabs>
        <w:rPr>
          <w:rFonts w:ascii="Times New Roman" w:hAnsi="Times New Roman" w:cs="Times New Roman"/>
          <w:b/>
          <w:noProof/>
          <w:sz w:val="24"/>
          <w:u w:val="single"/>
        </w:rPr>
      </w:pPr>
      <w:r w:rsidRPr="00BC4EE7">
        <w:rPr>
          <w:rFonts w:ascii="Times New Roman" w:hAnsi="Times New Roman" w:cs="Times New Roman"/>
          <w:b/>
          <w:noProof/>
          <w:sz w:val="24"/>
          <w:u w:val="single"/>
        </w:rPr>
        <w:t xml:space="preserve">I.3.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 xml:space="preserve">A hiteltámogatással kapcsolatos reformok és beruházások ismertetése </w:t>
      </w:r>
    </w:p>
    <w:p w14:paraId="11E71760" w14:textId="30B44000" w:rsidR="00D65CB4" w:rsidRPr="00BC4EE7" w:rsidRDefault="00572307">
      <w:pPr>
        <w:spacing w:before="120" w:after="120" w:line="240" w:lineRule="auto"/>
        <w:jc w:val="both"/>
        <w:rPr>
          <w:rStyle w:val="normaltextrun"/>
          <w:rFonts w:ascii="Times New Roman" w:hAnsi="Times New Roman" w:cs="Times New Roman"/>
          <w:noProof/>
          <w:sz w:val="24"/>
          <w:u w:val="single"/>
        </w:rPr>
      </w:pPr>
      <w:r w:rsidRPr="00BC4EE7">
        <w:rPr>
          <w:rStyle w:val="normaltextrun"/>
          <w:rFonts w:ascii="Times New Roman" w:hAnsi="Times New Roman" w:cs="Times New Roman"/>
          <w:noProof/>
          <w:sz w:val="24"/>
          <w:u w:val="single"/>
        </w:rPr>
        <w:t xml:space="preserve">Beruházás (C12.I7) – Támogatási program az elektromos autók és az agrár-élelmiszeripar értékláncában megvalósuló stratégiai projektekhez (hitelek)  </w:t>
      </w:r>
    </w:p>
    <w:p w14:paraId="2D7B7ECE" w14:textId="617414B4" w:rsidR="00D65CB4" w:rsidRPr="00BC4EE7" w:rsidRDefault="00572307">
      <w:pPr>
        <w:spacing w:before="120" w:after="120" w:line="240" w:lineRule="auto"/>
        <w:jc w:val="both"/>
        <w:rPr>
          <w:rStyle w:val="normaltextrun"/>
          <w:rFonts w:ascii="Times New Roman" w:eastAsia="Times New Roman" w:hAnsi="Times New Roman" w:cs="Times New Roman"/>
          <w:noProof/>
          <w:sz w:val="24"/>
        </w:rPr>
      </w:pPr>
      <w:r w:rsidRPr="00BC4EE7">
        <w:rPr>
          <w:rStyle w:val="normaltextrun"/>
          <w:rFonts w:ascii="Times New Roman" w:hAnsi="Times New Roman" w:cs="Times New Roman"/>
          <w:noProof/>
          <w:sz w:val="24"/>
        </w:rPr>
        <w:t>Ez az intézkedés az elektromos autók és az agrár-élelmiszeripar értékláncába történő magánberuházások hitelek révén történő ösztönzését célzó támogatási rendszerbe történő állami beruházásból áll. A programnak elő kell mozdítania a stratégiai ágazatok, például a gépjárműipar és az elektromos járművek, valamint az agrár-élelmiszeripari ágazat átalakítását a magánszektornak nyújtott hitelek révén, a Miniszterek Tanácsa által jóváhagyott stratégiai projektek vagy PERTE-k keretében. A Helyreállítási és Rezilienciaépítési Eszköz beruházásai alapján a program kezdetben legalább 1 200 000 000 EUR összegű finanszírozást kíván biztosítani.</w:t>
      </w:r>
    </w:p>
    <w:p w14:paraId="75BC80EB" w14:textId="6110EE7D" w:rsidR="00D65CB4" w:rsidRPr="00BC4EE7" w:rsidRDefault="00572307">
      <w:pPr>
        <w:spacing w:before="120" w:after="120" w:line="240" w:lineRule="auto"/>
        <w:jc w:val="both"/>
        <w:rPr>
          <w:rStyle w:val="normaltextrun"/>
          <w:rFonts w:ascii="Times New Roman" w:eastAsia="Times New Roman" w:hAnsi="Times New Roman" w:cs="Times New Roman"/>
          <w:noProof/>
          <w:sz w:val="24"/>
        </w:rPr>
      </w:pPr>
      <w:r w:rsidRPr="00BC4EE7">
        <w:rPr>
          <w:rStyle w:val="normaltextrun"/>
          <w:rFonts w:ascii="Times New Roman" w:hAnsi="Times New Roman" w:cs="Times New Roman"/>
          <w:noProof/>
          <w:sz w:val="24"/>
        </w:rPr>
        <w:t>A rendszert végrehajtó partnerként a SEPIDES irányítja. A vonatkozó jogi aktus e beruházás végrehajtása érdekében a SEPIDES-t közvállalkozássá alakítja át (ez a Spanyolország helyreállítási és rezilienciaépítési terve 31. komponensének 6. beruházása keretében mérföldkő).</w:t>
      </w:r>
    </w:p>
    <w:p w14:paraId="5BAAC0A3" w14:textId="2CAC0404" w:rsidR="00D65CB4" w:rsidRPr="00BC4EE7" w:rsidRDefault="00572307">
      <w:pPr>
        <w:spacing w:before="120" w:after="120" w:line="240" w:lineRule="auto"/>
        <w:jc w:val="both"/>
        <w:rPr>
          <w:rStyle w:val="normaltextrun"/>
          <w:rFonts w:ascii="Times New Roman" w:eastAsia="Times New Roman" w:hAnsi="Times New Roman" w:cs="Times New Roman"/>
          <w:noProof/>
          <w:sz w:val="24"/>
        </w:rPr>
      </w:pPr>
      <w:r w:rsidRPr="00BC4EE7">
        <w:rPr>
          <w:rStyle w:val="normaltextrun"/>
          <w:rFonts w:ascii="Times New Roman" w:hAnsi="Times New Roman" w:cs="Times New Roman"/>
          <w:noProof/>
          <w:sz w:val="24"/>
        </w:rPr>
        <w:t xml:space="preserve">A programba történő beruházás végrehajtása érdekében a kormány a hitelprogramot létrehozó egy vagy több jogi eszközt fogad el, amelyek a következő elemeket tartalmazzák:  </w:t>
      </w:r>
    </w:p>
    <w:p w14:paraId="40AD246D" w14:textId="1C102706" w:rsidR="00D65CB4" w:rsidRPr="00BC4EE7" w:rsidRDefault="00572307">
      <w:pPr>
        <w:pStyle w:val="ListParagraph"/>
        <w:numPr>
          <w:ilvl w:val="0"/>
          <w:numId w:val="770"/>
        </w:numPr>
        <w:spacing w:before="120" w:after="120" w:line="240" w:lineRule="auto"/>
        <w:jc w:val="both"/>
        <w:rPr>
          <w:rStyle w:val="normaltextrun"/>
          <w:rFonts w:ascii="Times New Roman" w:eastAsia="Times New Roman" w:hAnsi="Times New Roman" w:cs="Times New Roman"/>
          <w:noProof/>
          <w:sz w:val="24"/>
        </w:rPr>
      </w:pPr>
      <w:r w:rsidRPr="00BC4EE7">
        <w:rPr>
          <w:rStyle w:val="normaltextrun"/>
          <w:rFonts w:ascii="Times New Roman" w:hAnsi="Times New Roman" w:cs="Times New Roman"/>
          <w:noProof/>
          <w:sz w:val="24"/>
        </w:rPr>
        <w:t>A programra vonatkozó döntéshozatali eljárás leírása: A pályázatok értékelését és a program keretében a végleges odaítélési határozatokba vagy beruházási döntésekbe belefoglalandó kedvezményezettek kiválasztását beruházási bizottság vagy más, azzal egyenértékű irányító testület hozza meg, amelyet a spanyol kormánytól független tagok szavazatainak többségével kell jóváhagyni, azaz a SEPIDES által alkalmazott személyzetnek és/vagy más független szakértőknek kell lenniük. A program végleges beruházási döntése a beruházási bizottság vagy annak megfelelő irányító testület által javasolt beruházási döntéssel kapcsolatos (módosítás nélküli) jóváhagyásra vagy vétójog gyakorlására korlátozódik.</w:t>
      </w:r>
    </w:p>
    <w:p w14:paraId="4D5B4310" w14:textId="7026476A" w:rsidR="00D65CB4" w:rsidRPr="00BC4EE7" w:rsidRDefault="00572307">
      <w:pPr>
        <w:pStyle w:val="ListParagraph"/>
        <w:numPr>
          <w:ilvl w:val="0"/>
          <w:numId w:val="770"/>
        </w:numPr>
        <w:spacing w:before="120" w:after="120" w:line="240" w:lineRule="auto"/>
        <w:jc w:val="both"/>
        <w:rPr>
          <w:rStyle w:val="normaltextrun"/>
          <w:rFonts w:ascii="Times New Roman" w:eastAsia="Times New Roman" w:hAnsi="Times New Roman" w:cs="Times New Roman"/>
          <w:noProof/>
          <w:sz w:val="24"/>
        </w:rPr>
      </w:pPr>
      <w:r w:rsidRPr="00BC4EE7">
        <w:rPr>
          <w:rStyle w:val="normaltextrun"/>
          <w:rFonts w:ascii="Times New Roman" w:hAnsi="Times New Roman" w:cs="Times New Roman"/>
          <w:noProof/>
          <w:sz w:val="24"/>
        </w:rPr>
        <w:t>Az ágazat zöld és digitális átalakulására irányuló, támogatásra jogosult tevékenységek jegyzéke, amelynek összege legalább 1 200 000 000 EUR. Az intézkedés olyan innovatív projekteket támogat, amelyek az ágazat energiahatékonysága, fenntarthatósága és digitális átalakulása szempontjából jelentős ipari átalakulást eredményeznek.</w:t>
      </w:r>
    </w:p>
    <w:p w14:paraId="4C761E5C" w14:textId="58DF97DE" w:rsidR="00D65CB4" w:rsidRPr="00BC4EE7" w:rsidRDefault="00572307">
      <w:pPr>
        <w:pStyle w:val="ListParagraph"/>
        <w:numPr>
          <w:ilvl w:val="0"/>
          <w:numId w:val="770"/>
        </w:numPr>
        <w:spacing w:before="120" w:after="120" w:line="240" w:lineRule="auto"/>
        <w:jc w:val="both"/>
        <w:rPr>
          <w:rStyle w:val="normaltextrun"/>
          <w:rFonts w:ascii="Times New Roman" w:eastAsia="Times New Roman" w:hAnsi="Times New Roman" w:cs="Times New Roman"/>
          <w:noProof/>
          <w:sz w:val="24"/>
        </w:rPr>
      </w:pPr>
      <w:r w:rsidRPr="00BC4EE7">
        <w:rPr>
          <w:rStyle w:val="normaltextrun"/>
          <w:rFonts w:ascii="Times New Roman" w:hAnsi="Times New Roman" w:cs="Times New Roman"/>
          <w:noProof/>
          <w:sz w:val="24"/>
        </w:rPr>
        <w:t>A jelentős károkozás elkerülését célzó elvnek való megfelelés követelménye a Helyreállítási és Rezilienciaépítési Eszköz keretében, a DNSH technikai iránymutatásban (2021/C58/01) meghatározottak szerint: i. a fosszilis tüzelőanyagokhoz kapcsolódó tevékenységek és eszközök, beleértve a downstream felhasználást is, ii. az uniós kibocsátáskereskedelmi rendszer</w:t>
      </w:r>
      <w:r w:rsidRPr="00BC4EE7">
        <w:rPr>
          <w:rStyle w:val="FootnoteReference"/>
          <w:rFonts w:ascii="Times New Roman" w:hAnsi="Times New Roman" w:cs="Times New Roman"/>
          <w:noProof/>
          <w:sz w:val="24"/>
        </w:rPr>
        <w:footnoteReference w:id="61"/>
      </w:r>
      <w:r w:rsidRPr="00BC4EE7">
        <w:rPr>
          <w:rFonts w:ascii="Times New Roman" w:hAnsi="Times New Roman" w:cs="Times New Roman"/>
          <w:noProof/>
          <w:sz w:val="24"/>
        </w:rPr>
        <w:t>(ETS) keretébe tartozó tevékenységek és eszközök, amelyek elérik a vonatkozó referenciaértékeket meg nem haladó, előre jelzett üvegházhatásúgáz-kibocsátást, iii. a hulladéklerakókhoz, égetőművekhez és mechanikai-biológiai hulladékkezelő létesítményekhez kapcsolódó</w:t>
      </w:r>
      <w:r w:rsidRPr="00BC4EE7">
        <w:rPr>
          <w:rStyle w:val="FootnoteReference"/>
          <w:rFonts w:ascii="Times New Roman" w:hAnsi="Times New Roman" w:cs="Times New Roman"/>
          <w:noProof/>
          <w:sz w:val="24"/>
        </w:rPr>
        <w:footnoteReference w:id="62"/>
      </w:r>
      <w:r w:rsidRPr="00BC4EE7">
        <w:rPr>
          <w:rFonts w:ascii="Times New Roman" w:hAnsi="Times New Roman" w:cs="Times New Roman"/>
          <w:noProof/>
          <w:sz w:val="24"/>
        </w:rPr>
        <w:t>tevékenységek</w:t>
      </w:r>
      <w:r w:rsidRPr="00BC4EE7">
        <w:rPr>
          <w:rStyle w:val="FootnoteReference"/>
          <w:rFonts w:ascii="Times New Roman" w:hAnsi="Times New Roman" w:cs="Times New Roman"/>
          <w:noProof/>
          <w:sz w:val="24"/>
        </w:rPr>
        <w:footnoteReference w:id="63"/>
      </w:r>
      <w:r w:rsidRPr="00BC4EE7">
        <w:rPr>
          <w:rFonts w:ascii="Times New Roman" w:hAnsi="Times New Roman" w:cs="Times New Roman"/>
          <w:noProof/>
          <w:sz w:val="24"/>
        </w:rPr>
        <w:t xml:space="preserve"> és eszközök</w:t>
      </w:r>
      <w:r w:rsidRPr="00BC4EE7">
        <w:rPr>
          <w:rStyle w:val="FootnoteReference"/>
          <w:rFonts w:ascii="Times New Roman" w:hAnsi="Times New Roman" w:cs="Times New Roman"/>
          <w:noProof/>
          <w:sz w:val="24"/>
        </w:rPr>
        <w:footnoteReference w:id="64"/>
      </w:r>
      <w:r w:rsidRPr="00BC4EE7">
        <w:rPr>
          <w:rFonts w:ascii="Times New Roman" w:hAnsi="Times New Roman" w:cs="Times New Roman"/>
          <w:noProof/>
          <w:sz w:val="24"/>
        </w:rPr>
        <w:t xml:space="preserve">. Ezen túlmenően a jogi eszköz(ök)nek elő kell írniuk a hitelprogramok végső kedvezményezettjeinek a vonatkozó uniós és nemzeti környezetvédelmi jogszabályoknak való megfelelését. Az e beruházás keretében végrehajtott következő K+F+I tevékenységeket úgy kell tekinteni, hogy megfelelnek a jelentős károkozás elkerülését célzó technikai iránymutatásnak (2021/C58/01): E beruházás keretében a vállalatok környezeti fenntarthatóságának jelentős növelésére (például dekarbonizáció, szennyezéscsökkentés és körforgásos gazdaság) irányuló K+F+I tevékenységek, amennyiben az e beruházás keretében végrehajtott K+F+I tevékenységek elsődleges célja az ágazatban a lehető legkisebb környezeti hatással járó alternatívák kifejlesztése vagy kiigazítása. </w:t>
      </w:r>
    </w:p>
    <w:p w14:paraId="6A777BC6" w14:textId="3B57BCBC" w:rsidR="00D65CB4" w:rsidRPr="00BC4EE7" w:rsidRDefault="00572307">
      <w:pPr>
        <w:pStyle w:val="ListParagraph"/>
        <w:numPr>
          <w:ilvl w:val="0"/>
          <w:numId w:val="770"/>
        </w:numPr>
        <w:spacing w:before="120" w:after="120" w:line="240" w:lineRule="auto"/>
        <w:jc w:val="both"/>
        <w:rPr>
          <w:rStyle w:val="normaltextrun"/>
          <w:rFonts w:ascii="Times New Roman" w:eastAsia="Times New Roman" w:hAnsi="Times New Roman" w:cs="Times New Roman"/>
          <w:noProof/>
          <w:sz w:val="24"/>
        </w:rPr>
      </w:pPr>
      <w:r w:rsidRPr="00BC4EE7">
        <w:rPr>
          <w:rStyle w:val="normaltextrun"/>
          <w:rFonts w:ascii="Times New Roman" w:hAnsi="Times New Roman" w:cs="Times New Roman"/>
          <w:noProof/>
          <w:sz w:val="24"/>
        </w:rPr>
        <w:t>A SEPIDES által végrehajtott éghajlat-politikai beruházásokra vonatkozó követelmények: a Helyreállítási és Rezilienciaépítési Eszköz programba történő beruházásából legalább 480 000 000 EUR-nak a Helyreállítási és Rezilienciaépítési Eszközről szóló rendelet VI. mellékletével összhangban hozzá kell járulnia az éghajlatváltozással kapcsolatos célkitűzésekhez.</w:t>
      </w:r>
      <w:r w:rsidRPr="00BC4EE7">
        <w:rPr>
          <w:rStyle w:val="FootnoteReference"/>
          <w:rFonts w:ascii="Times New Roman" w:hAnsi="Times New Roman" w:cs="Times New Roman"/>
          <w:noProof/>
          <w:sz w:val="24"/>
        </w:rPr>
        <w:footnoteReference w:id="65"/>
      </w:r>
    </w:p>
    <w:p w14:paraId="04D4384B" w14:textId="0238DFEC" w:rsidR="00D65CB4" w:rsidRPr="00BC4EE7" w:rsidRDefault="00572307">
      <w:pPr>
        <w:pStyle w:val="ListParagraph"/>
        <w:numPr>
          <w:ilvl w:val="0"/>
          <w:numId w:val="770"/>
        </w:numPr>
        <w:spacing w:before="120" w:after="120" w:line="240" w:lineRule="auto"/>
        <w:jc w:val="both"/>
        <w:rPr>
          <w:rStyle w:val="normaltextrun"/>
          <w:rFonts w:ascii="Times New Roman" w:eastAsia="Times New Roman" w:hAnsi="Times New Roman" w:cs="Times New Roman"/>
          <w:noProof/>
          <w:sz w:val="24"/>
        </w:rPr>
      </w:pPr>
      <w:r w:rsidRPr="00BC4EE7">
        <w:rPr>
          <w:rStyle w:val="normaltextrun"/>
          <w:rFonts w:ascii="Times New Roman" w:hAnsi="Times New Roman" w:cs="Times New Roman"/>
          <w:noProof/>
          <w:sz w:val="24"/>
        </w:rPr>
        <w:t>Az a követelmény, hogy a hitelprogram végső kedvezményezettjei nem részesülhetnek támogatásban más uniós eszközökből ugyanazon költségek fedezésére.</w:t>
      </w:r>
    </w:p>
    <w:p w14:paraId="5C805529" w14:textId="4B42B69B" w:rsidR="00D65CB4" w:rsidRPr="00BC4EE7" w:rsidRDefault="00572307">
      <w:pPr>
        <w:pStyle w:val="ListParagraph"/>
        <w:numPr>
          <w:ilvl w:val="0"/>
          <w:numId w:val="770"/>
        </w:numPr>
        <w:spacing w:before="120" w:after="120" w:line="240" w:lineRule="auto"/>
        <w:jc w:val="both"/>
        <w:rPr>
          <w:rStyle w:val="normaltextrun"/>
          <w:rFonts w:ascii="Times New Roman" w:eastAsia="Times New Roman" w:hAnsi="Times New Roman" w:cs="Times New Roman"/>
          <w:noProof/>
          <w:sz w:val="24"/>
        </w:rPr>
      </w:pPr>
      <w:r w:rsidRPr="00BC4EE7">
        <w:rPr>
          <w:rStyle w:val="normaltextrun"/>
          <w:rFonts w:ascii="Times New Roman" w:hAnsi="Times New Roman" w:cs="Times New Roman"/>
          <w:noProof/>
          <w:sz w:val="24"/>
        </w:rPr>
        <w:t>A program által fedezett összeg és a hitelprogram fel nem használt bevételeinek a fent felsorolt tevékenységekbe való újbóli befektetésére vonatkozó követelmény, 2026 után is.</w:t>
      </w:r>
    </w:p>
    <w:p w14:paraId="58DF67AB" w14:textId="77777777" w:rsidR="00D65CB4" w:rsidRPr="00BC4EE7" w:rsidRDefault="00572307">
      <w:pPr>
        <w:spacing w:before="120" w:after="120" w:line="240" w:lineRule="auto"/>
        <w:jc w:val="both"/>
        <w:rPr>
          <w:rStyle w:val="normaltextrun"/>
          <w:rFonts w:ascii="Times New Roman" w:eastAsia="Times New Roman" w:hAnsi="Times New Roman" w:cs="Times New Roman"/>
          <w:noProof/>
          <w:sz w:val="24"/>
        </w:rPr>
      </w:pPr>
      <w:r w:rsidRPr="00BC4EE7">
        <w:rPr>
          <w:rStyle w:val="normaltextrun"/>
          <w:rFonts w:ascii="Times New Roman" w:hAnsi="Times New Roman" w:cs="Times New Roman"/>
          <w:noProof/>
          <w:sz w:val="24"/>
        </w:rPr>
        <w:t>A beruházás végrehajtását 2026. augusztus 31-ig be kell fejezni.</w:t>
      </w:r>
    </w:p>
    <w:p w14:paraId="6117EFB0" w14:textId="77777777" w:rsidR="00D65CB4" w:rsidRPr="00BC4EE7" w:rsidRDefault="00572307">
      <w:pPr>
        <w:spacing w:before="120" w:after="120" w:line="240" w:lineRule="auto"/>
        <w:ind w:left="720"/>
        <w:jc w:val="both"/>
        <w:rPr>
          <w:rFonts w:ascii="Times New Roman" w:hAnsi="Times New Roman" w:cs="Times New Roman"/>
          <w:b/>
          <w:noProof/>
          <w:sz w:val="24"/>
          <w:u w:val="single"/>
        </w:rPr>
      </w:pPr>
      <w:r w:rsidRPr="00BC4EE7">
        <w:rPr>
          <w:rFonts w:ascii="Times New Roman" w:hAnsi="Times New Roman" w:cs="Times New Roman"/>
          <w:b/>
          <w:noProof/>
          <w:sz w:val="24"/>
          <w:u w:val="single"/>
        </w:rPr>
        <w:t xml:space="preserve">L.4.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A hiteltámogatás nyomon követésére és végrehajtására vonatkozó mérföldkövek, célok, mutatók és ütemterv</w:t>
      </w:r>
    </w:p>
    <w:p w14:paraId="1A09251C" w14:textId="77777777" w:rsidR="00D65CB4" w:rsidRPr="00BC4EE7" w:rsidRDefault="00572307">
      <w:pPr>
        <w:pStyle w:val="P68B1DB1-Normal4"/>
        <w:rPr>
          <w:rFonts w:cs="Times New Roman"/>
          <w:i/>
          <w:noProof/>
        </w:rPr>
        <w:sectPr w:rsidR="00D65CB4" w:rsidRPr="00BC4EE7" w:rsidSect="002F62B4">
          <w:headerReference w:type="even" r:id="rId261"/>
          <w:headerReference w:type="default" r:id="rId262"/>
          <w:footerReference w:type="even" r:id="rId263"/>
          <w:footerReference w:type="default" r:id="rId264"/>
          <w:headerReference w:type="first" r:id="rId265"/>
          <w:footerReference w:type="first" r:id="rId266"/>
          <w:pgSz w:w="11907" w:h="16839"/>
          <w:pgMar w:top="1134" w:right="1134" w:bottom="1134" w:left="1134" w:header="567" w:footer="567" w:gutter="0"/>
          <w:cols w:space="720"/>
          <w:docGrid w:linePitch="360"/>
        </w:sectPr>
      </w:pPr>
      <w:r w:rsidRPr="00BC4EE7">
        <w:rPr>
          <w:rFonts w:cs="Times New Roman"/>
          <w:i/>
          <w:noProof/>
        </w:rPr>
        <w:t>Táblázat alább.</w:t>
      </w:r>
      <w:r w:rsidRPr="00BC4EE7">
        <w:rPr>
          <w:rFonts w:cs="Times New Roman"/>
          <w:noProof/>
        </w:rPr>
        <w:t xml:space="preserve"> </w:t>
      </w:r>
      <w:r w:rsidRPr="00BC4EE7">
        <w:rPr>
          <w:rFonts w:cs="Times New Roman"/>
          <w:i/>
          <w:noProof/>
        </w:rPr>
        <w:t>Az összes mutató esetében az alapforgatókönyv időpontja 2020. február 1., kivéve, ha az intézkedés leírása ettől eltérően rendelkezik. A táblázatban szereplő összegek nem tartalmazzák a héát.</w:t>
      </w:r>
    </w:p>
    <w:tbl>
      <w:tblPr>
        <w:tblW w:w="1545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42"/>
        <w:gridCol w:w="920"/>
        <w:gridCol w:w="1065"/>
        <w:gridCol w:w="1003"/>
        <w:gridCol w:w="1103"/>
        <w:gridCol w:w="691"/>
        <w:gridCol w:w="966"/>
        <w:gridCol w:w="558"/>
        <w:gridCol w:w="415"/>
        <w:gridCol w:w="553"/>
        <w:gridCol w:w="7435"/>
      </w:tblGrid>
      <w:tr w:rsidR="00D65CB4" w:rsidRPr="00BC4EE7" w14:paraId="59E9ABC6" w14:textId="77777777" w:rsidTr="00481CF8">
        <w:trPr>
          <w:trHeight w:val="309"/>
          <w:tblHeader/>
        </w:trPr>
        <w:tc>
          <w:tcPr>
            <w:tcW w:w="742"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2A5E78FB" w14:textId="77777777" w:rsidR="00D65CB4" w:rsidRPr="00BC4EE7" w:rsidRDefault="00572307">
            <w:pPr>
              <w:pStyle w:val="P68B1DB1-Normal8"/>
              <w:spacing w:after="0" w:line="240" w:lineRule="auto"/>
              <w:jc w:val="both"/>
              <w:rPr>
                <w:rFonts w:cs="Times New Roman"/>
                <w:noProof/>
              </w:rPr>
            </w:pPr>
            <w:r w:rsidRPr="00BC4EE7">
              <w:rPr>
                <w:rFonts w:cs="Times New Roman"/>
                <w:noProof/>
              </w:rPr>
              <w:t>Szám</w:t>
            </w:r>
          </w:p>
        </w:tc>
        <w:tc>
          <w:tcPr>
            <w:tcW w:w="920"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055408E2"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Intézkedés</w:t>
            </w:r>
          </w:p>
        </w:tc>
        <w:tc>
          <w:tcPr>
            <w:tcW w:w="1065"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03E57576" w14:textId="77777777" w:rsidR="00D65CB4" w:rsidRPr="00BC4EE7" w:rsidRDefault="00572307">
            <w:pPr>
              <w:spacing w:after="0" w:line="240" w:lineRule="auto"/>
              <w:jc w:val="center"/>
              <w:rPr>
                <w:rFonts w:ascii="Times New Roman" w:hAnsi="Times New Roman" w:cs="Times New Roman"/>
                <w:noProof/>
                <w:sz w:val="18"/>
              </w:rPr>
            </w:pPr>
            <w:r w:rsidRPr="00BC4EE7">
              <w:rPr>
                <w:rFonts w:ascii="Times New Roman" w:hAnsi="Times New Roman" w:cs="Times New Roman"/>
                <w:b/>
                <w:noProof/>
                <w:sz w:val="18"/>
              </w:rPr>
              <w:t>Mérföldkő</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b/>
                <w:noProof/>
                <w:sz w:val="18"/>
              </w:rPr>
              <w:t xml:space="preserve"> /Cél</w:t>
            </w:r>
          </w:p>
        </w:tc>
        <w:tc>
          <w:tcPr>
            <w:tcW w:w="1003"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14D7DB8E"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Név</w:t>
            </w:r>
          </w:p>
        </w:tc>
        <w:tc>
          <w:tcPr>
            <w:tcW w:w="110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80E8617" w14:textId="77777777" w:rsidR="00D65CB4" w:rsidRPr="00BC4EE7" w:rsidRDefault="00D65CB4">
            <w:pPr>
              <w:spacing w:after="0" w:line="240" w:lineRule="auto"/>
              <w:jc w:val="center"/>
              <w:rPr>
                <w:rFonts w:ascii="Times New Roman" w:hAnsi="Times New Roman" w:cs="Times New Roman"/>
                <w:noProof/>
                <w:sz w:val="18"/>
              </w:rPr>
            </w:pPr>
          </w:p>
        </w:tc>
        <w:tc>
          <w:tcPr>
            <w:tcW w:w="2215"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203B0057"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célérték mennyiségi mutatója</w:t>
            </w:r>
          </w:p>
        </w:tc>
        <w:tc>
          <w:tcPr>
            <w:tcW w:w="968"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288D73C"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Idő</w:t>
            </w:r>
          </w:p>
        </w:tc>
        <w:tc>
          <w:tcPr>
            <w:tcW w:w="7435"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26B5D32B" w14:textId="77777777" w:rsidR="00D65CB4" w:rsidRPr="00BC4EE7" w:rsidRDefault="00D65CB4">
            <w:pPr>
              <w:spacing w:after="0" w:line="240" w:lineRule="auto"/>
              <w:jc w:val="center"/>
              <w:rPr>
                <w:rFonts w:ascii="Times New Roman" w:hAnsi="Times New Roman" w:cs="Times New Roman"/>
                <w:noProof/>
                <w:sz w:val="18"/>
              </w:rPr>
            </w:pPr>
          </w:p>
          <w:p w14:paraId="2872DF35"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Az egyes mérföldkövek és célértékek leírása</w:t>
            </w:r>
          </w:p>
        </w:tc>
      </w:tr>
      <w:tr w:rsidR="00D65CB4" w:rsidRPr="00BC4EE7" w14:paraId="11B8C6DE" w14:textId="77777777" w:rsidTr="00481CF8">
        <w:trPr>
          <w:trHeight w:val="309"/>
          <w:tblHeader/>
        </w:trPr>
        <w:tc>
          <w:tcPr>
            <w:tcW w:w="742" w:type="dxa"/>
            <w:vMerge/>
            <w:noWrap/>
          </w:tcPr>
          <w:p w14:paraId="746FBB9E" w14:textId="77777777" w:rsidR="00D65CB4" w:rsidRPr="00BC4EE7" w:rsidRDefault="00D65CB4">
            <w:pPr>
              <w:spacing w:after="0" w:line="240" w:lineRule="auto"/>
              <w:jc w:val="center"/>
              <w:rPr>
                <w:rFonts w:ascii="Times New Roman" w:hAnsi="Times New Roman" w:cs="Times New Roman"/>
                <w:noProof/>
                <w:sz w:val="18"/>
              </w:rPr>
            </w:pPr>
          </w:p>
        </w:tc>
        <w:tc>
          <w:tcPr>
            <w:tcW w:w="920" w:type="dxa"/>
            <w:vMerge/>
            <w:noWrap/>
          </w:tcPr>
          <w:p w14:paraId="7D7DA3CA" w14:textId="77777777" w:rsidR="00D65CB4" w:rsidRPr="00BC4EE7" w:rsidRDefault="00D65CB4">
            <w:pPr>
              <w:spacing w:after="0" w:line="240" w:lineRule="auto"/>
              <w:jc w:val="center"/>
              <w:rPr>
                <w:rFonts w:ascii="Times New Roman" w:hAnsi="Times New Roman" w:cs="Times New Roman"/>
                <w:noProof/>
                <w:sz w:val="18"/>
              </w:rPr>
            </w:pPr>
          </w:p>
        </w:tc>
        <w:tc>
          <w:tcPr>
            <w:tcW w:w="1065" w:type="dxa"/>
            <w:vMerge/>
            <w:noWrap/>
          </w:tcPr>
          <w:p w14:paraId="58018547" w14:textId="77777777" w:rsidR="00D65CB4" w:rsidRPr="00BC4EE7" w:rsidRDefault="00D65CB4">
            <w:pPr>
              <w:spacing w:after="0" w:line="240" w:lineRule="auto"/>
              <w:jc w:val="center"/>
              <w:rPr>
                <w:rFonts w:ascii="Times New Roman" w:hAnsi="Times New Roman" w:cs="Times New Roman"/>
                <w:noProof/>
                <w:sz w:val="18"/>
              </w:rPr>
            </w:pPr>
          </w:p>
        </w:tc>
        <w:tc>
          <w:tcPr>
            <w:tcW w:w="1003" w:type="dxa"/>
            <w:vMerge/>
            <w:noWrap/>
          </w:tcPr>
          <w:p w14:paraId="4D62C93D" w14:textId="77777777" w:rsidR="00D65CB4" w:rsidRPr="00BC4EE7" w:rsidRDefault="00D65CB4">
            <w:pPr>
              <w:spacing w:after="0" w:line="240" w:lineRule="auto"/>
              <w:jc w:val="center"/>
              <w:rPr>
                <w:rFonts w:ascii="Times New Roman" w:hAnsi="Times New Roman" w:cs="Times New Roman"/>
                <w:noProof/>
                <w:sz w:val="18"/>
              </w:rPr>
            </w:pPr>
          </w:p>
        </w:tc>
        <w:tc>
          <w:tcPr>
            <w:tcW w:w="110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1CEF7D5"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mérföldkövek minőségi mutatója</w:t>
            </w:r>
          </w:p>
        </w:tc>
        <w:tc>
          <w:tcPr>
            <w:tcW w:w="69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C069BF1"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Egység</w:t>
            </w:r>
          </w:p>
        </w:tc>
        <w:tc>
          <w:tcPr>
            <w:tcW w:w="96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499462B" w14:textId="40415EE8" w:rsidR="00D65CB4" w:rsidRPr="00BC4EE7" w:rsidRDefault="00572307">
            <w:pPr>
              <w:pStyle w:val="P68B1DB1-Normal8"/>
              <w:spacing w:after="0" w:line="240" w:lineRule="auto"/>
              <w:jc w:val="center"/>
              <w:rPr>
                <w:rFonts w:cs="Times New Roman"/>
                <w:noProof/>
              </w:rPr>
            </w:pPr>
            <w:r w:rsidRPr="00BC4EE7">
              <w:rPr>
                <w:rFonts w:cs="Times New Roman"/>
                <w:noProof/>
              </w:rPr>
              <w:t>Kiindulási</w:t>
            </w:r>
          </w:p>
        </w:tc>
        <w:tc>
          <w:tcPr>
            <w:tcW w:w="55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7259C64"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Cél</w:t>
            </w:r>
          </w:p>
        </w:tc>
        <w:tc>
          <w:tcPr>
            <w:tcW w:w="41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48ED67B8"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Q</w:t>
            </w:r>
          </w:p>
        </w:tc>
        <w:tc>
          <w:tcPr>
            <w:tcW w:w="55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6B0CAF2"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Éve</w:t>
            </w:r>
          </w:p>
        </w:tc>
        <w:tc>
          <w:tcPr>
            <w:tcW w:w="7435" w:type="dxa"/>
            <w:vMerge/>
            <w:noWrap/>
          </w:tcPr>
          <w:p w14:paraId="57667C3B" w14:textId="77777777" w:rsidR="00D65CB4" w:rsidRPr="00BC4EE7" w:rsidRDefault="00D65CB4">
            <w:pPr>
              <w:spacing w:after="0" w:line="240" w:lineRule="auto"/>
              <w:jc w:val="center"/>
              <w:rPr>
                <w:rFonts w:ascii="Times New Roman" w:hAnsi="Times New Roman" w:cs="Times New Roman"/>
                <w:noProof/>
                <w:sz w:val="18"/>
              </w:rPr>
            </w:pPr>
          </w:p>
        </w:tc>
      </w:tr>
      <w:tr w:rsidR="00D65CB4" w:rsidRPr="00BC4EE7" w14:paraId="7244BAFA" w14:textId="77777777" w:rsidTr="00481CF8">
        <w:trPr>
          <w:trHeight w:val="309"/>
        </w:trPr>
        <w:tc>
          <w:tcPr>
            <w:tcW w:w="742" w:type="dxa"/>
            <w:tcBorders>
              <w:top w:val="single" w:sz="4" w:space="0" w:color="auto"/>
              <w:left w:val="single" w:sz="4" w:space="0" w:color="auto"/>
              <w:bottom w:val="single" w:sz="4" w:space="0" w:color="auto"/>
              <w:right w:val="single" w:sz="4" w:space="0" w:color="auto"/>
            </w:tcBorders>
            <w:shd w:val="clear" w:color="auto" w:fill="C6EFCE"/>
            <w:noWrap/>
          </w:tcPr>
          <w:p w14:paraId="499C7A10" w14:textId="4ABABD5B" w:rsidR="00D65CB4" w:rsidRPr="00BC4EE7" w:rsidRDefault="00572307">
            <w:pPr>
              <w:pStyle w:val="P68B1DB1-Normal12"/>
              <w:spacing w:line="240" w:lineRule="auto"/>
              <w:jc w:val="center"/>
              <w:rPr>
                <w:rFonts w:cs="Times New Roman"/>
                <w:noProof/>
              </w:rPr>
            </w:pPr>
            <w:r w:rsidRPr="00BC4EE7">
              <w:rPr>
                <w:rFonts w:cs="Times New Roman"/>
                <w:noProof/>
              </w:rPr>
              <w:t>L22</w:t>
            </w:r>
          </w:p>
        </w:tc>
        <w:tc>
          <w:tcPr>
            <w:tcW w:w="920" w:type="dxa"/>
            <w:tcBorders>
              <w:top w:val="single" w:sz="4" w:space="0" w:color="auto"/>
              <w:left w:val="single" w:sz="4" w:space="0" w:color="auto"/>
              <w:bottom w:val="single" w:sz="4" w:space="0" w:color="auto"/>
              <w:right w:val="single" w:sz="4" w:space="0" w:color="auto"/>
            </w:tcBorders>
            <w:shd w:val="clear" w:color="auto" w:fill="C6EFCE"/>
            <w:noWrap/>
          </w:tcPr>
          <w:p w14:paraId="1303A5BC" w14:textId="60AABD70" w:rsidR="00D65CB4" w:rsidRPr="00BC4EE7" w:rsidRDefault="00572307">
            <w:pPr>
              <w:pStyle w:val="P68B1DB1-Normal12"/>
              <w:spacing w:line="240" w:lineRule="auto"/>
              <w:jc w:val="center"/>
              <w:rPr>
                <w:rFonts w:cs="Times New Roman"/>
                <w:noProof/>
              </w:rPr>
            </w:pPr>
            <w:r w:rsidRPr="00BC4EE7">
              <w:rPr>
                <w:rFonts w:cs="Times New Roman"/>
                <w:noProof/>
              </w:rPr>
              <w:t>C12.I7</w:t>
            </w:r>
          </w:p>
        </w:tc>
        <w:tc>
          <w:tcPr>
            <w:tcW w:w="1065" w:type="dxa"/>
            <w:tcBorders>
              <w:top w:val="single" w:sz="4" w:space="0" w:color="auto"/>
              <w:left w:val="single" w:sz="4" w:space="0" w:color="auto"/>
              <w:bottom w:val="single" w:sz="4" w:space="0" w:color="auto"/>
              <w:right w:val="single" w:sz="4" w:space="0" w:color="auto"/>
            </w:tcBorders>
            <w:shd w:val="clear" w:color="auto" w:fill="C6EFCE"/>
            <w:noWrap/>
          </w:tcPr>
          <w:p w14:paraId="0DF9E2AF" w14:textId="11324D7A" w:rsidR="00D65CB4" w:rsidRPr="00BC4EE7" w:rsidRDefault="00572307">
            <w:pPr>
              <w:pStyle w:val="P68B1DB1-Normal12"/>
              <w:spacing w:line="240" w:lineRule="auto"/>
              <w:jc w:val="center"/>
              <w:rPr>
                <w:rFonts w:cs="Times New Roman"/>
                <w:noProof/>
              </w:rPr>
            </w:pPr>
            <w:r w:rsidRPr="00BC4EE7">
              <w:rPr>
                <w:rFonts w:cs="Times New Roman"/>
                <w:noProof/>
              </w:rPr>
              <w:t>M</w:t>
            </w:r>
          </w:p>
        </w:tc>
        <w:tc>
          <w:tcPr>
            <w:tcW w:w="1003" w:type="dxa"/>
            <w:tcBorders>
              <w:top w:val="single" w:sz="4" w:space="0" w:color="auto"/>
              <w:left w:val="single" w:sz="4" w:space="0" w:color="auto"/>
              <w:bottom w:val="single" w:sz="4" w:space="0" w:color="auto"/>
              <w:right w:val="single" w:sz="4" w:space="0" w:color="auto"/>
            </w:tcBorders>
            <w:shd w:val="clear" w:color="auto" w:fill="C6EFCE"/>
            <w:noWrap/>
          </w:tcPr>
          <w:p w14:paraId="467A0EB1" w14:textId="51D3085A" w:rsidR="00D65CB4" w:rsidRPr="00BC4EE7" w:rsidRDefault="00572307">
            <w:pPr>
              <w:pStyle w:val="P68B1DB1-Normal12"/>
              <w:spacing w:line="240" w:lineRule="auto"/>
              <w:rPr>
                <w:rFonts w:cs="Times New Roman"/>
                <w:noProof/>
              </w:rPr>
            </w:pPr>
            <w:r w:rsidRPr="00BC4EE7">
              <w:rPr>
                <w:rFonts w:cs="Times New Roman"/>
                <w:noProof/>
              </w:rPr>
              <w:t>Támogatási program az elektromos autók és az agrár-élelmiszeripar értékláncában megvalósuló stratégiai projektekhez (kölcsönök): A minisztérium befejezte a beruházást</w:t>
            </w:r>
          </w:p>
        </w:tc>
        <w:tc>
          <w:tcPr>
            <w:tcW w:w="1103" w:type="dxa"/>
            <w:tcBorders>
              <w:top w:val="single" w:sz="4" w:space="0" w:color="auto"/>
              <w:left w:val="single" w:sz="4" w:space="0" w:color="auto"/>
              <w:bottom w:val="single" w:sz="4" w:space="0" w:color="auto"/>
              <w:right w:val="single" w:sz="4" w:space="0" w:color="auto"/>
            </w:tcBorders>
            <w:shd w:val="clear" w:color="auto" w:fill="C6EFCE"/>
            <w:noWrap/>
          </w:tcPr>
          <w:p w14:paraId="53928234" w14:textId="559A8AF6" w:rsidR="00D65CB4" w:rsidRPr="00BC4EE7" w:rsidRDefault="00572307">
            <w:pPr>
              <w:pStyle w:val="P68B1DB1-Normal12"/>
              <w:spacing w:line="240" w:lineRule="auto"/>
              <w:jc w:val="center"/>
              <w:rPr>
                <w:rFonts w:cs="Times New Roman"/>
                <w:noProof/>
              </w:rPr>
            </w:pPr>
            <w:r w:rsidRPr="00BC4EE7">
              <w:rPr>
                <w:rFonts w:cs="Times New Roman"/>
                <w:noProof/>
              </w:rPr>
              <w:t>Kifizetési igazolás a SEPIDES-hez</w:t>
            </w:r>
          </w:p>
        </w:tc>
        <w:tc>
          <w:tcPr>
            <w:tcW w:w="691" w:type="dxa"/>
            <w:tcBorders>
              <w:top w:val="single" w:sz="4" w:space="0" w:color="auto"/>
              <w:left w:val="single" w:sz="4" w:space="0" w:color="auto"/>
              <w:bottom w:val="single" w:sz="4" w:space="0" w:color="auto"/>
              <w:right w:val="single" w:sz="4" w:space="0" w:color="auto"/>
            </w:tcBorders>
            <w:shd w:val="clear" w:color="auto" w:fill="C6EFCE"/>
            <w:noWrap/>
          </w:tcPr>
          <w:p w14:paraId="3699DFEE" w14:textId="77777777" w:rsidR="00D65CB4" w:rsidRPr="00BC4EE7" w:rsidRDefault="00D65CB4">
            <w:pPr>
              <w:spacing w:line="240" w:lineRule="auto"/>
              <w:jc w:val="right"/>
              <w:rPr>
                <w:rFonts w:ascii="Times New Roman" w:hAnsi="Times New Roman" w:cs="Times New Roman"/>
                <w:noProof/>
                <w:sz w:val="18"/>
              </w:rPr>
            </w:pPr>
          </w:p>
        </w:tc>
        <w:tc>
          <w:tcPr>
            <w:tcW w:w="966" w:type="dxa"/>
            <w:tcBorders>
              <w:top w:val="single" w:sz="4" w:space="0" w:color="auto"/>
              <w:left w:val="single" w:sz="4" w:space="0" w:color="auto"/>
              <w:bottom w:val="single" w:sz="4" w:space="0" w:color="auto"/>
              <w:right w:val="single" w:sz="4" w:space="0" w:color="auto"/>
            </w:tcBorders>
            <w:shd w:val="clear" w:color="auto" w:fill="C6EFCE"/>
            <w:noWrap/>
          </w:tcPr>
          <w:p w14:paraId="48307B89" w14:textId="77777777" w:rsidR="00D65CB4" w:rsidRPr="00BC4EE7" w:rsidRDefault="00D65CB4">
            <w:pPr>
              <w:spacing w:line="240" w:lineRule="auto"/>
              <w:jc w:val="right"/>
              <w:rPr>
                <w:rFonts w:ascii="Times New Roman" w:hAnsi="Times New Roman" w:cs="Times New Roman"/>
                <w:noProof/>
                <w:sz w:val="18"/>
              </w:rPr>
            </w:pPr>
          </w:p>
        </w:tc>
        <w:tc>
          <w:tcPr>
            <w:tcW w:w="558" w:type="dxa"/>
            <w:tcBorders>
              <w:top w:val="single" w:sz="4" w:space="0" w:color="auto"/>
              <w:left w:val="single" w:sz="4" w:space="0" w:color="auto"/>
              <w:bottom w:val="single" w:sz="4" w:space="0" w:color="auto"/>
              <w:right w:val="single" w:sz="4" w:space="0" w:color="auto"/>
            </w:tcBorders>
            <w:shd w:val="clear" w:color="auto" w:fill="C6EFCE"/>
            <w:noWrap/>
          </w:tcPr>
          <w:p w14:paraId="07001AF4" w14:textId="77777777" w:rsidR="00D65CB4" w:rsidRPr="00BC4EE7" w:rsidRDefault="00D65CB4">
            <w:pPr>
              <w:spacing w:line="240" w:lineRule="auto"/>
              <w:jc w:val="right"/>
              <w:rPr>
                <w:rFonts w:ascii="Times New Roman" w:hAnsi="Times New Roman" w:cs="Times New Roman"/>
                <w:noProof/>
                <w:sz w:val="18"/>
              </w:rPr>
            </w:pPr>
          </w:p>
        </w:tc>
        <w:tc>
          <w:tcPr>
            <w:tcW w:w="415" w:type="dxa"/>
            <w:tcBorders>
              <w:top w:val="single" w:sz="4" w:space="0" w:color="auto"/>
              <w:left w:val="single" w:sz="4" w:space="0" w:color="auto"/>
              <w:bottom w:val="single" w:sz="4" w:space="0" w:color="auto"/>
              <w:right w:val="single" w:sz="4" w:space="0" w:color="auto"/>
            </w:tcBorders>
            <w:shd w:val="clear" w:color="auto" w:fill="C6EFCE"/>
            <w:noWrap/>
          </w:tcPr>
          <w:p w14:paraId="2A16B080" w14:textId="612F5282" w:rsidR="00D65CB4" w:rsidRPr="00BC4EE7" w:rsidRDefault="00572307">
            <w:pPr>
              <w:pStyle w:val="P68B1DB1-Normal12"/>
              <w:spacing w:line="240" w:lineRule="auto"/>
              <w:jc w:val="center"/>
              <w:rPr>
                <w:rFonts w:cs="Times New Roman"/>
                <w:noProof/>
              </w:rPr>
            </w:pPr>
            <w:r w:rsidRPr="00BC4EE7">
              <w:rPr>
                <w:rFonts w:cs="Times New Roman"/>
                <w:noProof/>
              </w:rPr>
              <w:t>Q2</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437DD845" w14:textId="6F7D2881" w:rsidR="00D65CB4" w:rsidRPr="00BC4EE7" w:rsidRDefault="00572307">
            <w:pPr>
              <w:pStyle w:val="P68B1DB1-Normal12"/>
              <w:spacing w:line="240" w:lineRule="auto"/>
              <w:jc w:val="center"/>
              <w:rPr>
                <w:rFonts w:cs="Times New Roman"/>
                <w:noProof/>
              </w:rPr>
            </w:pPr>
            <w:r w:rsidRPr="00BC4EE7">
              <w:rPr>
                <w:rFonts w:cs="Times New Roman"/>
                <w:noProof/>
              </w:rPr>
              <w:t>2024</w:t>
            </w:r>
          </w:p>
        </w:tc>
        <w:tc>
          <w:tcPr>
            <w:tcW w:w="7435" w:type="dxa"/>
            <w:tcBorders>
              <w:top w:val="single" w:sz="4" w:space="0" w:color="auto"/>
              <w:left w:val="single" w:sz="4" w:space="0" w:color="auto"/>
              <w:bottom w:val="single" w:sz="4" w:space="0" w:color="auto"/>
              <w:right w:val="single" w:sz="4" w:space="0" w:color="auto"/>
            </w:tcBorders>
            <w:shd w:val="clear" w:color="auto" w:fill="C6EFCE"/>
            <w:noWrap/>
          </w:tcPr>
          <w:p w14:paraId="4DDEAAA1" w14:textId="24D1DADB" w:rsidR="00D65CB4" w:rsidRPr="00BC4EE7" w:rsidRDefault="00572307">
            <w:pPr>
              <w:pStyle w:val="P68B1DB1-Normal12"/>
              <w:spacing w:line="240" w:lineRule="auto"/>
              <w:rPr>
                <w:rFonts w:cs="Times New Roman"/>
                <w:noProof/>
              </w:rPr>
            </w:pPr>
            <w:r w:rsidRPr="00BC4EE7">
              <w:rPr>
                <w:rFonts w:cs="Times New Roman"/>
                <w:noProof/>
              </w:rPr>
              <w:t>Spanyolország 1 200 000 000 EUR-t utal át a SEPIDES-nek a rendszer céljára.</w:t>
            </w:r>
          </w:p>
        </w:tc>
      </w:tr>
      <w:tr w:rsidR="00D65CB4" w:rsidRPr="00BC4EE7" w14:paraId="623D914A" w14:textId="77777777" w:rsidTr="00481CF8">
        <w:trPr>
          <w:trHeight w:val="309"/>
        </w:trPr>
        <w:tc>
          <w:tcPr>
            <w:tcW w:w="742" w:type="dxa"/>
            <w:tcBorders>
              <w:top w:val="single" w:sz="4" w:space="0" w:color="auto"/>
              <w:left w:val="single" w:sz="4" w:space="0" w:color="auto"/>
              <w:bottom w:val="single" w:sz="4" w:space="0" w:color="auto"/>
              <w:right w:val="single" w:sz="4" w:space="0" w:color="auto"/>
            </w:tcBorders>
            <w:shd w:val="clear" w:color="auto" w:fill="C6EFCE"/>
            <w:noWrap/>
          </w:tcPr>
          <w:p w14:paraId="78B1E78B" w14:textId="6D48B3B7" w:rsidR="00D65CB4" w:rsidRPr="00BC4EE7" w:rsidRDefault="00572307">
            <w:pPr>
              <w:pStyle w:val="P68B1DB1-Normal12"/>
              <w:spacing w:line="240" w:lineRule="auto"/>
              <w:jc w:val="center"/>
              <w:rPr>
                <w:rFonts w:cs="Times New Roman"/>
                <w:noProof/>
              </w:rPr>
            </w:pPr>
            <w:r w:rsidRPr="00BC4EE7">
              <w:rPr>
                <w:rFonts w:cs="Times New Roman"/>
                <w:noProof/>
              </w:rPr>
              <w:t>L23</w:t>
            </w:r>
          </w:p>
        </w:tc>
        <w:tc>
          <w:tcPr>
            <w:tcW w:w="920" w:type="dxa"/>
            <w:tcBorders>
              <w:top w:val="single" w:sz="4" w:space="0" w:color="auto"/>
              <w:left w:val="single" w:sz="4" w:space="0" w:color="auto"/>
              <w:bottom w:val="single" w:sz="4" w:space="0" w:color="auto"/>
              <w:right w:val="single" w:sz="4" w:space="0" w:color="auto"/>
            </w:tcBorders>
            <w:shd w:val="clear" w:color="auto" w:fill="C6EFCE"/>
            <w:noWrap/>
          </w:tcPr>
          <w:p w14:paraId="5C0CC8D7" w14:textId="1745E8A6" w:rsidR="00D65CB4" w:rsidRPr="00BC4EE7" w:rsidRDefault="00572307">
            <w:pPr>
              <w:pStyle w:val="P68B1DB1-Normal12"/>
              <w:spacing w:line="240" w:lineRule="auto"/>
              <w:jc w:val="center"/>
              <w:rPr>
                <w:rFonts w:cs="Times New Roman"/>
                <w:noProof/>
              </w:rPr>
            </w:pPr>
            <w:r w:rsidRPr="00BC4EE7">
              <w:rPr>
                <w:rFonts w:cs="Times New Roman"/>
                <w:noProof/>
              </w:rPr>
              <w:t>C12.I7</w:t>
            </w:r>
          </w:p>
        </w:tc>
        <w:tc>
          <w:tcPr>
            <w:tcW w:w="1065" w:type="dxa"/>
            <w:tcBorders>
              <w:top w:val="single" w:sz="4" w:space="0" w:color="auto"/>
              <w:left w:val="single" w:sz="4" w:space="0" w:color="auto"/>
              <w:bottom w:val="single" w:sz="4" w:space="0" w:color="auto"/>
              <w:right w:val="single" w:sz="4" w:space="0" w:color="auto"/>
            </w:tcBorders>
            <w:shd w:val="clear" w:color="auto" w:fill="C6EFCE"/>
            <w:noWrap/>
          </w:tcPr>
          <w:p w14:paraId="7181B7FE" w14:textId="77777777" w:rsidR="00D65CB4" w:rsidRPr="00BC4EE7" w:rsidRDefault="00572307">
            <w:pPr>
              <w:pStyle w:val="P68B1DB1-Normal12"/>
              <w:spacing w:line="240" w:lineRule="auto"/>
              <w:jc w:val="center"/>
              <w:rPr>
                <w:rFonts w:cs="Times New Roman"/>
                <w:noProof/>
              </w:rPr>
            </w:pPr>
            <w:r w:rsidRPr="00BC4EE7">
              <w:rPr>
                <w:rFonts w:cs="Times New Roman"/>
                <w:noProof/>
              </w:rPr>
              <w:t>M</w:t>
            </w:r>
          </w:p>
        </w:tc>
        <w:tc>
          <w:tcPr>
            <w:tcW w:w="1003" w:type="dxa"/>
            <w:tcBorders>
              <w:top w:val="single" w:sz="4" w:space="0" w:color="auto"/>
              <w:left w:val="single" w:sz="4" w:space="0" w:color="auto"/>
              <w:bottom w:val="single" w:sz="4" w:space="0" w:color="auto"/>
              <w:right w:val="single" w:sz="4" w:space="0" w:color="auto"/>
            </w:tcBorders>
            <w:shd w:val="clear" w:color="auto" w:fill="C6EFCE"/>
            <w:noWrap/>
          </w:tcPr>
          <w:p w14:paraId="187C8DF3" w14:textId="44A54ACF" w:rsidR="00D65CB4" w:rsidRPr="00BC4EE7" w:rsidRDefault="00572307">
            <w:pPr>
              <w:pStyle w:val="P68B1DB1-Normal12"/>
              <w:spacing w:line="240" w:lineRule="auto"/>
              <w:rPr>
                <w:rFonts w:cs="Times New Roman"/>
                <w:noProof/>
              </w:rPr>
            </w:pPr>
            <w:r w:rsidRPr="00BC4EE7">
              <w:rPr>
                <w:rFonts w:cs="Times New Roman"/>
                <w:noProof/>
              </w:rPr>
              <w:t>Támogatási program az elektromos autók és az agrár-élelmiszeripar értékláncában megvalósuló stratégiai projektekhez (kölcsönök): A rendszer létrehozása</w:t>
            </w:r>
          </w:p>
        </w:tc>
        <w:tc>
          <w:tcPr>
            <w:tcW w:w="1103" w:type="dxa"/>
            <w:tcBorders>
              <w:top w:val="single" w:sz="4" w:space="0" w:color="auto"/>
              <w:left w:val="single" w:sz="4" w:space="0" w:color="auto"/>
              <w:bottom w:val="single" w:sz="4" w:space="0" w:color="auto"/>
              <w:right w:val="single" w:sz="4" w:space="0" w:color="auto"/>
            </w:tcBorders>
            <w:shd w:val="clear" w:color="auto" w:fill="C6EFCE"/>
            <w:noWrap/>
          </w:tcPr>
          <w:p w14:paraId="7D5E74B9" w14:textId="1433AF49" w:rsidR="00D65CB4" w:rsidRPr="00BC4EE7" w:rsidRDefault="00572307">
            <w:pPr>
              <w:pStyle w:val="P68B1DB1-Normal12"/>
              <w:spacing w:line="240" w:lineRule="auto"/>
              <w:jc w:val="center"/>
              <w:rPr>
                <w:rFonts w:cs="Times New Roman"/>
                <w:noProof/>
              </w:rPr>
            </w:pPr>
            <w:r w:rsidRPr="00BC4EE7">
              <w:rPr>
                <w:rFonts w:cs="Times New Roman"/>
                <w:noProof/>
              </w:rPr>
              <w:t>A vonatkozó jogi eszköz(ek) hatálybalépése</w:t>
            </w:r>
          </w:p>
        </w:tc>
        <w:tc>
          <w:tcPr>
            <w:tcW w:w="691" w:type="dxa"/>
            <w:tcBorders>
              <w:top w:val="single" w:sz="4" w:space="0" w:color="auto"/>
              <w:left w:val="single" w:sz="4" w:space="0" w:color="auto"/>
              <w:bottom w:val="single" w:sz="4" w:space="0" w:color="auto"/>
              <w:right w:val="single" w:sz="4" w:space="0" w:color="auto"/>
            </w:tcBorders>
            <w:shd w:val="clear" w:color="auto" w:fill="C6EFCE"/>
            <w:noWrap/>
          </w:tcPr>
          <w:p w14:paraId="2BB0C80E" w14:textId="77777777" w:rsidR="00D65CB4" w:rsidRPr="00BC4EE7" w:rsidRDefault="00D65CB4">
            <w:pPr>
              <w:spacing w:line="240" w:lineRule="auto"/>
              <w:jc w:val="right"/>
              <w:rPr>
                <w:rFonts w:ascii="Times New Roman" w:hAnsi="Times New Roman" w:cs="Times New Roman"/>
                <w:noProof/>
                <w:sz w:val="18"/>
              </w:rPr>
            </w:pPr>
          </w:p>
        </w:tc>
        <w:tc>
          <w:tcPr>
            <w:tcW w:w="966" w:type="dxa"/>
            <w:tcBorders>
              <w:top w:val="single" w:sz="4" w:space="0" w:color="auto"/>
              <w:left w:val="single" w:sz="4" w:space="0" w:color="auto"/>
              <w:bottom w:val="single" w:sz="4" w:space="0" w:color="auto"/>
              <w:right w:val="single" w:sz="4" w:space="0" w:color="auto"/>
            </w:tcBorders>
            <w:shd w:val="clear" w:color="auto" w:fill="C6EFCE"/>
            <w:noWrap/>
          </w:tcPr>
          <w:p w14:paraId="37F79BD3" w14:textId="77777777" w:rsidR="00D65CB4" w:rsidRPr="00BC4EE7" w:rsidRDefault="00D65CB4">
            <w:pPr>
              <w:spacing w:line="240" w:lineRule="auto"/>
              <w:jc w:val="right"/>
              <w:rPr>
                <w:rFonts w:ascii="Times New Roman" w:hAnsi="Times New Roman" w:cs="Times New Roman"/>
                <w:noProof/>
                <w:sz w:val="18"/>
              </w:rPr>
            </w:pPr>
          </w:p>
        </w:tc>
        <w:tc>
          <w:tcPr>
            <w:tcW w:w="558" w:type="dxa"/>
            <w:tcBorders>
              <w:top w:val="single" w:sz="4" w:space="0" w:color="auto"/>
              <w:left w:val="single" w:sz="4" w:space="0" w:color="auto"/>
              <w:bottom w:val="single" w:sz="4" w:space="0" w:color="auto"/>
              <w:right w:val="single" w:sz="4" w:space="0" w:color="auto"/>
            </w:tcBorders>
            <w:shd w:val="clear" w:color="auto" w:fill="C6EFCE"/>
            <w:noWrap/>
          </w:tcPr>
          <w:p w14:paraId="3121C638" w14:textId="77777777" w:rsidR="00D65CB4" w:rsidRPr="00BC4EE7" w:rsidRDefault="00D65CB4">
            <w:pPr>
              <w:spacing w:line="240" w:lineRule="auto"/>
              <w:jc w:val="right"/>
              <w:rPr>
                <w:rFonts w:ascii="Times New Roman" w:hAnsi="Times New Roman" w:cs="Times New Roman"/>
                <w:noProof/>
                <w:sz w:val="18"/>
              </w:rPr>
            </w:pPr>
          </w:p>
        </w:tc>
        <w:tc>
          <w:tcPr>
            <w:tcW w:w="415" w:type="dxa"/>
            <w:tcBorders>
              <w:top w:val="single" w:sz="4" w:space="0" w:color="auto"/>
              <w:left w:val="single" w:sz="4" w:space="0" w:color="auto"/>
              <w:bottom w:val="single" w:sz="4" w:space="0" w:color="auto"/>
              <w:right w:val="single" w:sz="4" w:space="0" w:color="auto"/>
            </w:tcBorders>
            <w:shd w:val="clear" w:color="auto" w:fill="C6EFCE"/>
            <w:noWrap/>
          </w:tcPr>
          <w:p w14:paraId="77BE20A4" w14:textId="77777777" w:rsidR="00D65CB4" w:rsidRPr="00BC4EE7" w:rsidRDefault="00572307">
            <w:pPr>
              <w:pStyle w:val="P68B1DB1-Normal12"/>
              <w:spacing w:line="240" w:lineRule="auto"/>
              <w:jc w:val="center"/>
              <w:rPr>
                <w:rFonts w:cs="Times New Roman"/>
                <w:noProof/>
              </w:rPr>
            </w:pPr>
            <w:r w:rsidRPr="00BC4EE7">
              <w:rPr>
                <w:rFonts w:cs="Times New Roman"/>
                <w:noProof/>
              </w:rPr>
              <w:t>Q3</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53F72CA9" w14:textId="77777777" w:rsidR="00D65CB4" w:rsidRPr="00BC4EE7" w:rsidRDefault="00572307">
            <w:pPr>
              <w:pStyle w:val="P68B1DB1-Normal12"/>
              <w:spacing w:line="240" w:lineRule="auto"/>
              <w:jc w:val="center"/>
              <w:rPr>
                <w:rFonts w:cs="Times New Roman"/>
                <w:noProof/>
              </w:rPr>
            </w:pPr>
            <w:r w:rsidRPr="00BC4EE7">
              <w:rPr>
                <w:rFonts w:cs="Times New Roman"/>
                <w:noProof/>
              </w:rPr>
              <w:t>2024</w:t>
            </w:r>
          </w:p>
        </w:tc>
        <w:tc>
          <w:tcPr>
            <w:tcW w:w="7435" w:type="dxa"/>
            <w:tcBorders>
              <w:top w:val="single" w:sz="4" w:space="0" w:color="auto"/>
              <w:left w:val="single" w:sz="4" w:space="0" w:color="auto"/>
              <w:bottom w:val="single" w:sz="4" w:space="0" w:color="auto"/>
              <w:right w:val="single" w:sz="4" w:space="0" w:color="auto"/>
            </w:tcBorders>
            <w:shd w:val="clear" w:color="auto" w:fill="C6EFCE"/>
            <w:noWrap/>
          </w:tcPr>
          <w:p w14:paraId="4C793D9D" w14:textId="453776CF" w:rsidR="00D65CB4" w:rsidRPr="00BC4EE7" w:rsidRDefault="00572307">
            <w:pPr>
              <w:pStyle w:val="P68B1DB1-Normal12"/>
              <w:spacing w:line="240" w:lineRule="auto"/>
              <w:rPr>
                <w:rFonts w:cs="Times New Roman"/>
                <w:noProof/>
              </w:rPr>
            </w:pPr>
            <w:r w:rsidRPr="00BC4EE7">
              <w:rPr>
                <w:rFonts w:cs="Times New Roman"/>
                <w:noProof/>
              </w:rPr>
              <w:t>A hitelprogramot létrehozó jogi eszköz(ök) hatálybalépése az intézkedés leírásában meghatározott követelményeknek megfelelően</w:t>
            </w:r>
          </w:p>
        </w:tc>
      </w:tr>
      <w:tr w:rsidR="00D65CB4" w:rsidRPr="00BC4EE7" w14:paraId="50F64876" w14:textId="77777777" w:rsidTr="00481CF8">
        <w:trPr>
          <w:trHeight w:val="309"/>
        </w:trPr>
        <w:tc>
          <w:tcPr>
            <w:tcW w:w="742" w:type="dxa"/>
            <w:tcBorders>
              <w:top w:val="single" w:sz="4" w:space="0" w:color="auto"/>
              <w:left w:val="single" w:sz="4" w:space="0" w:color="auto"/>
              <w:bottom w:val="single" w:sz="4" w:space="0" w:color="auto"/>
              <w:right w:val="single" w:sz="4" w:space="0" w:color="auto"/>
            </w:tcBorders>
            <w:shd w:val="clear" w:color="auto" w:fill="C6EFCE"/>
            <w:noWrap/>
          </w:tcPr>
          <w:p w14:paraId="6EFBBB3E" w14:textId="16E9D7B5" w:rsidR="00D65CB4" w:rsidRPr="00BC4EE7" w:rsidRDefault="00572307">
            <w:pPr>
              <w:pStyle w:val="P68B1DB1-Normal12"/>
              <w:spacing w:line="240" w:lineRule="auto"/>
              <w:jc w:val="center"/>
              <w:rPr>
                <w:rFonts w:cs="Times New Roman"/>
                <w:noProof/>
              </w:rPr>
            </w:pPr>
            <w:r w:rsidRPr="00BC4EE7">
              <w:rPr>
                <w:rFonts w:cs="Times New Roman"/>
                <w:noProof/>
              </w:rPr>
              <w:t>L24</w:t>
            </w:r>
          </w:p>
        </w:tc>
        <w:tc>
          <w:tcPr>
            <w:tcW w:w="920" w:type="dxa"/>
            <w:tcBorders>
              <w:top w:val="single" w:sz="4" w:space="0" w:color="auto"/>
              <w:left w:val="single" w:sz="4" w:space="0" w:color="auto"/>
              <w:bottom w:val="single" w:sz="4" w:space="0" w:color="auto"/>
              <w:right w:val="single" w:sz="4" w:space="0" w:color="auto"/>
            </w:tcBorders>
            <w:shd w:val="clear" w:color="auto" w:fill="C6EFCE"/>
            <w:noWrap/>
          </w:tcPr>
          <w:p w14:paraId="4A4B20ED" w14:textId="64988B68" w:rsidR="00D65CB4" w:rsidRPr="00BC4EE7" w:rsidRDefault="00572307">
            <w:pPr>
              <w:pStyle w:val="P68B1DB1-Normal12"/>
              <w:spacing w:line="240" w:lineRule="auto"/>
              <w:jc w:val="center"/>
              <w:rPr>
                <w:rFonts w:cs="Times New Roman"/>
                <w:noProof/>
              </w:rPr>
            </w:pPr>
            <w:r w:rsidRPr="00BC4EE7">
              <w:rPr>
                <w:rFonts w:cs="Times New Roman"/>
                <w:noProof/>
              </w:rPr>
              <w:t>C12.I7</w:t>
            </w:r>
          </w:p>
        </w:tc>
        <w:tc>
          <w:tcPr>
            <w:tcW w:w="1065" w:type="dxa"/>
            <w:tcBorders>
              <w:top w:val="single" w:sz="4" w:space="0" w:color="auto"/>
              <w:left w:val="single" w:sz="4" w:space="0" w:color="auto"/>
              <w:bottom w:val="single" w:sz="4" w:space="0" w:color="auto"/>
              <w:right w:val="single" w:sz="4" w:space="0" w:color="auto"/>
            </w:tcBorders>
            <w:shd w:val="clear" w:color="auto" w:fill="C6EFCE"/>
            <w:noWrap/>
          </w:tcPr>
          <w:p w14:paraId="3F3AF10D" w14:textId="77777777" w:rsidR="00D65CB4" w:rsidRPr="00BC4EE7" w:rsidRDefault="00572307">
            <w:pPr>
              <w:pStyle w:val="P68B1DB1-Normal12"/>
              <w:spacing w:line="240" w:lineRule="auto"/>
              <w:jc w:val="center"/>
              <w:rPr>
                <w:rFonts w:cs="Times New Roman"/>
                <w:noProof/>
              </w:rPr>
            </w:pPr>
            <w:r w:rsidRPr="00BC4EE7">
              <w:rPr>
                <w:rFonts w:cs="Times New Roman"/>
                <w:noProof/>
              </w:rPr>
              <w:t>T</w:t>
            </w:r>
          </w:p>
        </w:tc>
        <w:tc>
          <w:tcPr>
            <w:tcW w:w="1003" w:type="dxa"/>
            <w:tcBorders>
              <w:top w:val="single" w:sz="4" w:space="0" w:color="auto"/>
              <w:left w:val="single" w:sz="4" w:space="0" w:color="auto"/>
              <w:bottom w:val="single" w:sz="4" w:space="0" w:color="auto"/>
              <w:right w:val="single" w:sz="4" w:space="0" w:color="auto"/>
            </w:tcBorders>
            <w:shd w:val="clear" w:color="auto" w:fill="C6EFCE"/>
            <w:noWrap/>
          </w:tcPr>
          <w:p w14:paraId="533E481A" w14:textId="4B291270" w:rsidR="00D65CB4" w:rsidRPr="00BC4EE7" w:rsidRDefault="00572307">
            <w:pPr>
              <w:spacing w:line="240" w:lineRule="auto"/>
              <w:rPr>
                <w:rFonts w:ascii="Times New Roman" w:hAnsi="Times New Roman" w:cs="Times New Roman"/>
                <w:noProof/>
                <w:sz w:val="18"/>
              </w:rPr>
            </w:pPr>
            <w:r w:rsidRPr="00BC4EE7">
              <w:rPr>
                <w:rStyle w:val="normaltextrun"/>
                <w:rFonts w:ascii="Times New Roman" w:hAnsi="Times New Roman" w:cs="Times New Roman"/>
                <w:noProof/>
                <w:sz w:val="18"/>
              </w:rPr>
              <w:t>Támogatási program az elektromos autók és az agrár-élelmiszeripar értékláncában megvalósuló stratégiai projektekhez (kölcsönök): A végső kedvezményezettekkel aláírt jogi megállapodások vagy a végső odaítélési határozatok közzététele</w:t>
            </w:r>
          </w:p>
        </w:tc>
        <w:tc>
          <w:tcPr>
            <w:tcW w:w="1103" w:type="dxa"/>
            <w:tcBorders>
              <w:top w:val="single" w:sz="4" w:space="0" w:color="auto"/>
              <w:left w:val="single" w:sz="4" w:space="0" w:color="auto"/>
              <w:bottom w:val="single" w:sz="4" w:space="0" w:color="auto"/>
              <w:right w:val="single" w:sz="4" w:space="0" w:color="auto"/>
            </w:tcBorders>
            <w:shd w:val="clear" w:color="auto" w:fill="C6EFCE"/>
            <w:noWrap/>
          </w:tcPr>
          <w:p w14:paraId="1760F91F" w14:textId="01B51D9F" w:rsidR="00D65CB4" w:rsidRPr="00BC4EE7" w:rsidRDefault="00572307">
            <w:pPr>
              <w:spacing w:line="240" w:lineRule="auto"/>
              <w:jc w:val="center"/>
              <w:rPr>
                <w:rFonts w:ascii="Times New Roman" w:hAnsi="Times New Roman" w:cs="Times New Roman"/>
                <w:noProof/>
                <w:sz w:val="18"/>
              </w:rPr>
            </w:pPr>
            <w:r w:rsidRPr="00BC4EE7">
              <w:rPr>
                <w:rStyle w:val="normaltextrun"/>
                <w:rFonts w:ascii="Times New Roman" w:hAnsi="Times New Roman" w:cs="Times New Roman"/>
                <w:noProof/>
                <w:sz w:val="18"/>
              </w:rPr>
              <w:t>A közzétett jogi finanszírozási megállapodások vagy végleges odaítélési határozatok hatálybalépése</w:t>
            </w:r>
          </w:p>
        </w:tc>
        <w:tc>
          <w:tcPr>
            <w:tcW w:w="691" w:type="dxa"/>
            <w:tcBorders>
              <w:top w:val="single" w:sz="4" w:space="0" w:color="auto"/>
              <w:left w:val="single" w:sz="4" w:space="0" w:color="auto"/>
              <w:bottom w:val="single" w:sz="4" w:space="0" w:color="auto"/>
              <w:right w:val="single" w:sz="4" w:space="0" w:color="auto"/>
            </w:tcBorders>
            <w:shd w:val="clear" w:color="auto" w:fill="C6EFCE"/>
            <w:noWrap/>
          </w:tcPr>
          <w:p w14:paraId="7E41CE69" w14:textId="0920F352" w:rsidR="00D65CB4" w:rsidRPr="00BC4EE7" w:rsidRDefault="00D65CB4">
            <w:pPr>
              <w:spacing w:line="240" w:lineRule="auto"/>
              <w:jc w:val="right"/>
              <w:rPr>
                <w:rFonts w:ascii="Times New Roman" w:hAnsi="Times New Roman" w:cs="Times New Roman"/>
                <w:noProof/>
                <w:sz w:val="18"/>
              </w:rPr>
            </w:pPr>
          </w:p>
        </w:tc>
        <w:tc>
          <w:tcPr>
            <w:tcW w:w="966" w:type="dxa"/>
            <w:tcBorders>
              <w:top w:val="single" w:sz="4" w:space="0" w:color="auto"/>
              <w:left w:val="single" w:sz="4" w:space="0" w:color="auto"/>
              <w:bottom w:val="single" w:sz="4" w:space="0" w:color="auto"/>
              <w:right w:val="single" w:sz="4" w:space="0" w:color="auto"/>
            </w:tcBorders>
            <w:shd w:val="clear" w:color="auto" w:fill="C6EFCE"/>
            <w:noWrap/>
          </w:tcPr>
          <w:p w14:paraId="3D987C2B" w14:textId="77777777" w:rsidR="00D65CB4" w:rsidRPr="00BC4EE7" w:rsidRDefault="00572307">
            <w:pPr>
              <w:pStyle w:val="P68B1DB1-Normal12"/>
              <w:spacing w:line="240" w:lineRule="auto"/>
              <w:jc w:val="right"/>
              <w:rPr>
                <w:rFonts w:cs="Times New Roman"/>
                <w:noProof/>
              </w:rPr>
            </w:pPr>
            <w:r w:rsidRPr="00BC4EE7">
              <w:rPr>
                <w:rFonts w:cs="Times New Roman"/>
                <w:noProof/>
              </w:rPr>
              <w:t>0</w:t>
            </w:r>
          </w:p>
        </w:tc>
        <w:tc>
          <w:tcPr>
            <w:tcW w:w="558" w:type="dxa"/>
            <w:tcBorders>
              <w:top w:val="single" w:sz="4" w:space="0" w:color="auto"/>
              <w:left w:val="single" w:sz="4" w:space="0" w:color="auto"/>
              <w:bottom w:val="single" w:sz="4" w:space="0" w:color="auto"/>
              <w:right w:val="single" w:sz="4" w:space="0" w:color="auto"/>
            </w:tcBorders>
            <w:shd w:val="clear" w:color="auto" w:fill="C6EFCE"/>
            <w:noWrap/>
          </w:tcPr>
          <w:p w14:paraId="1DE0585D" w14:textId="47A557C4" w:rsidR="00D65CB4" w:rsidRPr="00BC4EE7" w:rsidRDefault="00572307">
            <w:pPr>
              <w:pStyle w:val="P68B1DB1-Normal12"/>
              <w:spacing w:line="240" w:lineRule="auto"/>
              <w:jc w:val="right"/>
              <w:rPr>
                <w:rFonts w:cs="Times New Roman"/>
                <w:noProof/>
              </w:rPr>
            </w:pPr>
            <w:r w:rsidRPr="00BC4EE7">
              <w:rPr>
                <w:rFonts w:cs="Times New Roman"/>
                <w:noProof/>
              </w:rPr>
              <w:t>100%-OS</w:t>
            </w:r>
          </w:p>
        </w:tc>
        <w:tc>
          <w:tcPr>
            <w:tcW w:w="415" w:type="dxa"/>
            <w:tcBorders>
              <w:top w:val="single" w:sz="4" w:space="0" w:color="auto"/>
              <w:left w:val="single" w:sz="4" w:space="0" w:color="auto"/>
              <w:bottom w:val="single" w:sz="4" w:space="0" w:color="auto"/>
              <w:right w:val="single" w:sz="4" w:space="0" w:color="auto"/>
            </w:tcBorders>
            <w:shd w:val="clear" w:color="auto" w:fill="C6EFCE"/>
            <w:noWrap/>
          </w:tcPr>
          <w:p w14:paraId="42AA99FD" w14:textId="77777777" w:rsidR="00D65CB4" w:rsidRPr="00BC4EE7" w:rsidRDefault="00572307">
            <w:pPr>
              <w:pStyle w:val="P68B1DB1-Normal12"/>
              <w:spacing w:line="240" w:lineRule="auto"/>
              <w:jc w:val="center"/>
              <w:rPr>
                <w:rFonts w:cs="Times New Roman"/>
                <w:noProof/>
              </w:rPr>
            </w:pPr>
            <w:r w:rsidRPr="00BC4EE7">
              <w:rPr>
                <w:rFonts w:cs="Times New Roman"/>
                <w:noProof/>
              </w:rPr>
              <w:t>Q2</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25E24D36" w14:textId="77777777" w:rsidR="00D65CB4" w:rsidRPr="00BC4EE7" w:rsidRDefault="00572307">
            <w:pPr>
              <w:pStyle w:val="P68B1DB1-Normal12"/>
              <w:spacing w:line="240" w:lineRule="auto"/>
              <w:jc w:val="center"/>
              <w:rPr>
                <w:rFonts w:cs="Times New Roman"/>
                <w:noProof/>
              </w:rPr>
            </w:pPr>
            <w:r w:rsidRPr="00BC4EE7">
              <w:rPr>
                <w:rFonts w:cs="Times New Roman"/>
                <w:noProof/>
              </w:rPr>
              <w:t>2026</w:t>
            </w:r>
          </w:p>
        </w:tc>
        <w:tc>
          <w:tcPr>
            <w:tcW w:w="7435" w:type="dxa"/>
            <w:tcBorders>
              <w:top w:val="single" w:sz="4" w:space="0" w:color="auto"/>
              <w:left w:val="single" w:sz="4" w:space="0" w:color="auto"/>
              <w:bottom w:val="single" w:sz="4" w:space="0" w:color="auto"/>
              <w:right w:val="single" w:sz="4" w:space="0" w:color="auto"/>
            </w:tcBorders>
            <w:shd w:val="clear" w:color="auto" w:fill="C6EFCE"/>
            <w:noWrap/>
          </w:tcPr>
          <w:p w14:paraId="75B8E356" w14:textId="527CA666" w:rsidR="00D65CB4" w:rsidRPr="00BC4EE7" w:rsidRDefault="00572307">
            <w:pPr>
              <w:pStyle w:val="P68B1DB1-Normal12"/>
              <w:spacing w:line="240" w:lineRule="auto"/>
              <w:rPr>
                <w:rFonts w:cs="Times New Roman"/>
                <w:noProof/>
              </w:rPr>
            </w:pPr>
            <w:r w:rsidRPr="00BC4EE7">
              <w:rPr>
                <w:rFonts w:cs="Times New Roman"/>
                <w:noProof/>
              </w:rPr>
              <w:t xml:space="preserve">A SEPIDES-eknek végleges odaítélési határozatokat kell közzétenniük, vagy jogi finanszírozási megállapodásokat kell kötniük a végső kedvezményezettekkel az RRF-beruházások 100%-ának a rendszerbe való felhasználásához szükséges összegről. A SEPIDES-nek biztosítania kell, hogy e finanszírozás legalább 40%-a a Helyreállítási és Rezilienciaépítési Eszközről szóló rendelet VI. mellékletében foglalt módszertan alkalmazásával hozzájáruljon az éghajlat-politikai célkitűzésekhez.  </w:t>
            </w:r>
          </w:p>
        </w:tc>
      </w:tr>
    </w:tbl>
    <w:p w14:paraId="61B83AA7" w14:textId="77777777" w:rsidR="00D65CB4" w:rsidRPr="00BC4EE7" w:rsidRDefault="00D65CB4">
      <w:pPr>
        <w:rPr>
          <w:rFonts w:ascii="Times New Roman" w:hAnsi="Times New Roman" w:cs="Times New Roman"/>
          <w:noProof/>
        </w:rPr>
      </w:pPr>
    </w:p>
    <w:p w14:paraId="50261866" w14:textId="77777777" w:rsidR="00D65CB4" w:rsidRPr="00BC4EE7" w:rsidRDefault="00D65CB4">
      <w:pPr>
        <w:spacing w:before="120" w:after="120" w:line="240" w:lineRule="auto"/>
        <w:ind w:left="709"/>
        <w:jc w:val="both"/>
        <w:rPr>
          <w:rFonts w:ascii="Times New Roman" w:hAnsi="Times New Roman" w:cs="Times New Roman"/>
          <w:noProof/>
          <w:sz w:val="24"/>
        </w:rPr>
        <w:sectPr w:rsidR="00D65CB4" w:rsidRPr="00BC4EE7" w:rsidSect="002F62B4">
          <w:headerReference w:type="even" r:id="rId267"/>
          <w:headerReference w:type="default" r:id="rId268"/>
          <w:footerReference w:type="even" r:id="rId269"/>
          <w:footerReference w:type="default" r:id="rId270"/>
          <w:headerReference w:type="first" r:id="rId271"/>
          <w:footerReference w:type="first" r:id="rId272"/>
          <w:pgSz w:w="16839" w:h="11907" w:orient="landscape"/>
          <w:pgMar w:top="1134" w:right="1134" w:bottom="1134" w:left="1134" w:header="567" w:footer="567" w:gutter="0"/>
          <w:cols w:space="720"/>
          <w:docGrid w:linePitch="360"/>
        </w:sectPr>
      </w:pPr>
    </w:p>
    <w:p w14:paraId="6082D2A6" w14:textId="77777777" w:rsidR="00D65CB4" w:rsidRPr="00BC4EE7" w:rsidRDefault="00572307">
      <w:pPr>
        <w:pStyle w:val="P68B1DB1-Heading12"/>
        <w:rPr>
          <w:rFonts w:cs="Times New Roman"/>
          <w:noProof/>
        </w:rPr>
      </w:pPr>
      <w:r w:rsidRPr="00BC4EE7">
        <w:rPr>
          <w:rFonts w:cs="Times New Roman"/>
          <w:noProof/>
        </w:rPr>
        <w:t xml:space="preserve">M. 13. KOMPONENS: Kkv-k támogatása  </w:t>
      </w:r>
    </w:p>
    <w:p w14:paraId="15D82318" w14:textId="1EB0591F" w:rsidR="00D65CB4" w:rsidRPr="00BC4EE7" w:rsidRDefault="00572307">
      <w:pPr>
        <w:pStyle w:val="P68B1DB1-Text118"/>
        <w:ind w:left="0"/>
        <w:rPr>
          <w:rFonts w:cs="Times New Roman"/>
          <w:noProof/>
        </w:rPr>
      </w:pPr>
      <w:r w:rsidRPr="00BC4EE7">
        <w:rPr>
          <w:rFonts w:cs="Times New Roman"/>
          <w:noProof/>
        </w:rPr>
        <w:t xml:space="preserve">A kis- és középvállalkozások (kkv-k) kulcsszerepet játszanak az EU és Spanyolország gazdaságában, különösen ott, ahol a kkv-k nagyobb mértékben járulnak hozzá a nemzeti GDP-hez, és ahol a vállalkozások átlagos mérete kisebb az uniós átlaghoz képest. </w:t>
      </w:r>
    </w:p>
    <w:p w14:paraId="1FC6FBB4" w14:textId="0C4D676D" w:rsidR="00D65CB4" w:rsidRPr="00BC4EE7" w:rsidRDefault="00572307">
      <w:pPr>
        <w:pStyle w:val="Text1"/>
        <w:ind w:left="0"/>
        <w:rPr>
          <w:rFonts w:ascii="Times New Roman" w:hAnsi="Times New Roman" w:cs="Times New Roman"/>
          <w:noProof/>
        </w:rPr>
      </w:pPr>
      <w:r w:rsidRPr="00BC4EE7">
        <w:rPr>
          <w:rFonts w:ascii="Times New Roman" w:hAnsi="Times New Roman" w:cs="Times New Roman"/>
          <w:noProof/>
        </w:rPr>
        <w:t xml:space="preserve">A </w:t>
      </w:r>
      <w:r w:rsidRPr="00BC4EE7">
        <w:rPr>
          <w:rStyle w:val="IntenseEmphasis"/>
          <w:rFonts w:ascii="Times New Roman" w:hAnsi="Times New Roman" w:cs="Times New Roman"/>
          <w:i w:val="0"/>
          <w:noProof/>
          <w:color w:val="auto"/>
        </w:rPr>
        <w:t>spanyol helyreállítási és rezilienciaépítési terv</w:t>
      </w:r>
      <w:r w:rsidRPr="00BC4EE7">
        <w:rPr>
          <w:rFonts w:ascii="Times New Roman" w:hAnsi="Times New Roman" w:cs="Times New Roman"/>
          <w:noProof/>
        </w:rPr>
        <w:t>ezen komponense a kis- és középvállalkozások (kkv-k) (köztük az önfoglalkoztatók) előtt álló kihívásokkal</w:t>
      </w:r>
      <w:r w:rsidRPr="00BC4EE7">
        <w:rPr>
          <w:rStyle w:val="IntenseEmphasis"/>
          <w:rFonts w:ascii="Times New Roman" w:hAnsi="Times New Roman" w:cs="Times New Roman"/>
          <w:noProof/>
          <w:color w:val="auto"/>
        </w:rPr>
        <w:t xml:space="preserve"> </w:t>
      </w:r>
      <w:r w:rsidRPr="00BC4EE7">
        <w:rPr>
          <w:rFonts w:ascii="Times New Roman" w:hAnsi="Times New Roman" w:cs="Times New Roman"/>
          <w:noProof/>
        </w:rPr>
        <w:t>foglalkozik a spanyol gazdaság versenyképességének fokozása, valamint a növekedés és a foglalkoztatás előmozdítása céljából. Ezek a kihívások a következők: a vállalkozás, a vállalkozások növekedése és az innováció finanszírozáshoz való nehéz hozzáférése; a digitális készségek hiánya és a kkv-k termelékenységét és versenyképességét akadályozó digitális technológiák bevezetésének hiánya; a vállalkozások kis mérete, ami akadályozza a méretgazdaságosság kihasználását és a nemzetközivé válást; valamint a külső sokkhatásokkal szembeni nagyfokú sebezhetőség és az alacsony méretgazdaságosság, ami akadályozza a beruházásokat és az innovációt.</w:t>
      </w:r>
    </w:p>
    <w:p w14:paraId="2FB2F3C5" w14:textId="77777777" w:rsidR="00D65CB4" w:rsidRPr="00BC4EE7" w:rsidRDefault="00572307">
      <w:pPr>
        <w:pStyle w:val="P68B1DB1-Text118"/>
        <w:ind w:left="0"/>
        <w:rPr>
          <w:rFonts w:cs="Times New Roman"/>
          <w:noProof/>
        </w:rPr>
      </w:pPr>
      <w:r w:rsidRPr="00BC4EE7">
        <w:rPr>
          <w:rFonts w:cs="Times New Roman"/>
          <w:noProof/>
        </w:rPr>
        <w:t>E komponens célja olyan reformok és beruházások bevezetése, amelyek célja a vállalkozások alapításának, növekedésének és szerkezetátalakításának megkönnyítése, az üzleti környezet javítása (különösen a spanyol belső piac működésének megerősítése révén), valamint a digitalizáció, az innováció és a nemzetközivé válás révén a termelékenységnövekedés fontos folyamatainak további erősítése. Ez a komponens jelentős mértékben a digitalizációra összpontosít, horizontális megközelítéssel, amely alapvető digitalizálási csomagot biztosít a kkv-k jelentős hányada számára, valamint vertikális megközelítést alkalmaz a folyamatok digitalizálásának és a technológiai innovációnak egyes kkv-knál történő fellendítésére.</w:t>
      </w:r>
    </w:p>
    <w:p w14:paraId="7F3E9C10" w14:textId="4DE96ECE" w:rsidR="00D65CB4" w:rsidRPr="00BC4EE7" w:rsidRDefault="00572307">
      <w:pPr>
        <w:pStyle w:val="P68B1DB1-Text118"/>
        <w:ind w:left="0"/>
        <w:rPr>
          <w:rFonts w:cs="Times New Roman"/>
          <w:noProof/>
        </w:rPr>
      </w:pPr>
      <w:r w:rsidRPr="00BC4EE7">
        <w:rPr>
          <w:rFonts w:cs="Times New Roman"/>
          <w:noProof/>
        </w:rPr>
        <w:t xml:space="preserve">Ez a komponens részben a piaci egységről szóló törvény végrehajtása terén elért eredményekről szóló országspecifikus ajánlásokkal (2019. évi 4. országspecifikus ajánlás), valamint a kkv-k és az önfoglalkoztatók likviditásának különösen a késedelmes fizetések elkerülése révén történő biztosítását célzó intézkedések hatékony végrehajtásának biztosításáról (2020. évi 3. országspecifikus ajánlás) foglalkozik. Foglalkozik továbbá a beruházásoknak a digitális átállásra való összpontosítására (2020. évi 3. országspecifikus ajánlás) és a digitális tanuláshoz való hozzáférés javítására (2020. évi 2. országspecifikus ajánlás) vonatkozó országspecifikus ajánlásokkal is. Előmozdítja továbbá a zöld átállásba történő beruházásokat (2023. évi 1. és 2022. évi 1. országspecifikus ajánlás). </w:t>
      </w:r>
    </w:p>
    <w:p w14:paraId="1FF6074D" w14:textId="77777777" w:rsidR="00D65CB4" w:rsidRPr="00BC4EE7" w:rsidRDefault="00572307">
      <w:pPr>
        <w:pStyle w:val="P68B1DB1-Text118"/>
        <w:ind w:left="0"/>
        <w:rPr>
          <w:rFonts w:cs="Times New Roman"/>
          <w:noProof/>
        </w:rPr>
      </w:pPr>
      <w:r w:rsidRPr="00BC4EE7">
        <w:rPr>
          <w:rFonts w:cs="Times New Roman"/>
          <w:noProof/>
        </w:rPr>
        <w:t xml:space="preserve">A jelentős károkozás elkerülését célzó elvről szóló technikai iránymutatásnak (2021/C58/01) megfelelően a helyreállítási és rezilienciaépítési tervben meghatározott intézkedések leírását és a helyreállítási és rezilienciaépítési tervben meghatározott enyhítő lépéseket figyelembe véve ebben a komponensben várhatóan egyetlen intézkedés sem sérti jelentős mértékben az (EU) 2020/852 rendelet 17. cikke szerinti környezeti célkitűzéseket. </w:t>
      </w:r>
    </w:p>
    <w:p w14:paraId="3C82E79E" w14:textId="77777777" w:rsidR="00D65CB4" w:rsidRPr="00BC4EE7" w:rsidRDefault="00572307">
      <w:pPr>
        <w:ind w:left="720"/>
        <w:rPr>
          <w:rFonts w:ascii="Times New Roman" w:hAnsi="Times New Roman" w:cs="Times New Roman"/>
          <w:noProof/>
        </w:rPr>
      </w:pPr>
      <w:r w:rsidRPr="00BC4EE7">
        <w:rPr>
          <w:rFonts w:ascii="Times New Roman" w:hAnsi="Times New Roman" w:cs="Times New Roman"/>
          <w:b/>
          <w:noProof/>
          <w:sz w:val="24"/>
          <w:u w:val="single"/>
        </w:rPr>
        <w:t xml:space="preserve">M.1.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Vissza nem térítendő pénzügyi támogatás – a reformok és beruházások ismertetése</w:t>
      </w:r>
    </w:p>
    <w:p w14:paraId="04FC7FA7" w14:textId="77777777" w:rsidR="00D65CB4" w:rsidRPr="00BC4EE7" w:rsidRDefault="00572307">
      <w:pPr>
        <w:pStyle w:val="P68B1DB1-Text119"/>
        <w:ind w:left="0"/>
        <w:rPr>
          <w:rFonts w:cs="Times New Roman"/>
          <w:noProof/>
        </w:rPr>
      </w:pPr>
      <w:r w:rsidRPr="00BC4EE7">
        <w:rPr>
          <w:rFonts w:cs="Times New Roman"/>
          <w:noProof/>
        </w:rPr>
        <w:t>Reform (C13.R1) – A vállalkozások szabályozásának és az éghajlat-politikának javítása</w:t>
      </w:r>
    </w:p>
    <w:p w14:paraId="65B9E8AE" w14:textId="77777777" w:rsidR="00D65CB4" w:rsidRPr="00BC4EE7" w:rsidRDefault="00572307">
      <w:pPr>
        <w:pStyle w:val="P68B1DB1-Text118"/>
        <w:ind w:left="0"/>
        <w:rPr>
          <w:rFonts w:cs="Times New Roman"/>
          <w:noProof/>
        </w:rPr>
      </w:pPr>
      <w:r w:rsidRPr="00BC4EE7">
        <w:rPr>
          <w:rFonts w:cs="Times New Roman"/>
          <w:noProof/>
        </w:rPr>
        <w:t xml:space="preserve">A reform célja, hogy javítsa a gazdasági tevékenység keretét azáltal, hogy jobb szabályozást és üzleti környezetet biztosít, amely megkönnyíti a vállalkozások létrehozását és növekedését, valamint szükség esetén szerkezetátalakításukat számos intézkedés elfogadása révén. </w:t>
      </w:r>
    </w:p>
    <w:p w14:paraId="28205233" w14:textId="5B09D706" w:rsidR="00D65CB4" w:rsidRPr="00BC4EE7" w:rsidRDefault="00572307">
      <w:pPr>
        <w:pStyle w:val="P68B1DB1-Text118"/>
        <w:ind w:left="0"/>
        <w:rPr>
          <w:rFonts w:cs="Times New Roman"/>
          <w:noProof/>
        </w:rPr>
      </w:pPr>
      <w:r w:rsidRPr="00BC4EE7">
        <w:rPr>
          <w:rFonts w:cs="Times New Roman"/>
          <w:noProof/>
        </w:rPr>
        <w:t>A reform a következőkből áll:</w:t>
      </w:r>
    </w:p>
    <w:p w14:paraId="7AFE3315" w14:textId="77777777" w:rsidR="00D65CB4" w:rsidRPr="00BC4EE7" w:rsidRDefault="00572307">
      <w:pPr>
        <w:pStyle w:val="P68B1DB1-Text118"/>
        <w:numPr>
          <w:ilvl w:val="0"/>
          <w:numId w:val="111"/>
        </w:numPr>
        <w:rPr>
          <w:rFonts w:cs="Times New Roman"/>
          <w:noProof/>
        </w:rPr>
      </w:pPr>
      <w:r w:rsidRPr="00BC4EE7">
        <w:rPr>
          <w:rFonts w:cs="Times New Roman"/>
          <w:noProof/>
        </w:rPr>
        <w:t>A vállalkozások alapításáról és növekedéséről szóló törvény elfogadása. E jogszabály célja:</w:t>
      </w:r>
    </w:p>
    <w:p w14:paraId="04FAB48E" w14:textId="77777777" w:rsidR="00D65CB4" w:rsidRPr="00BC4EE7" w:rsidRDefault="00572307">
      <w:pPr>
        <w:pStyle w:val="P68B1DB1-Text118"/>
        <w:numPr>
          <w:ilvl w:val="1"/>
          <w:numId w:val="111"/>
        </w:numPr>
        <w:rPr>
          <w:rFonts w:cs="Times New Roman"/>
          <w:noProof/>
        </w:rPr>
      </w:pPr>
      <w:r w:rsidRPr="00BC4EE7">
        <w:rPr>
          <w:rFonts w:cs="Times New Roman"/>
          <w:noProof/>
        </w:rPr>
        <w:t xml:space="preserve">Egyszerűsítse a vállalkozásalapítási eljárásokat. Ezt a vállalkozásalapításhoz szükséges minimális tőkekövetelmény csökkentésével, valamint a közösségi finanszírozási platformok és más állami finanszírozási eszközök megerősítésével kell elérni; </w:t>
      </w:r>
    </w:p>
    <w:p w14:paraId="20ED4BE2" w14:textId="77777777" w:rsidR="00D65CB4" w:rsidRPr="00BC4EE7" w:rsidRDefault="00572307">
      <w:pPr>
        <w:pStyle w:val="P68B1DB1-Text118"/>
        <w:numPr>
          <w:ilvl w:val="1"/>
          <w:numId w:val="111"/>
        </w:numPr>
        <w:rPr>
          <w:rFonts w:cs="Times New Roman"/>
          <w:noProof/>
        </w:rPr>
      </w:pPr>
      <w:r w:rsidRPr="00BC4EE7">
        <w:rPr>
          <w:rFonts w:cs="Times New Roman"/>
          <w:noProof/>
        </w:rPr>
        <w:t>A korai fizetési kultúra előmozdítását célzó jogi intézkedések. Ez a törvény javítja a kereskedelmi ügyletekhez kapcsolódó késedelmes fizetések elleni fellépésről szóló 2011/7/EU irányelv végrehajtásának hatékonyságát. A törvény várhatóan csökkenteni fogja a kereskedelmi ügyletek átlagos fizetési idejét. Ez segítene kezelni a hitelező kkv-k előtt álló, kellő időben ki nem fizetett likviditási kihívásokat, amelyek pozitív tovagyűrűző hatást gyakorolnak tevékenységeikre és növekedésükre. A korai fizetési kultúra előmozdítása érdekében végrehajtandó intézkedések közé tartoznak például a fizetési határidők nyilvánosságára és átláthatóságára vonatkozó iránymutatások, a bevált üzleti gyakorlatok és a jobb végrehajtást szolgáló mechanizmusok, például peren kívüli vitarendezési rendszer;</w:t>
      </w:r>
    </w:p>
    <w:p w14:paraId="4A84DB97" w14:textId="77777777" w:rsidR="00D65CB4" w:rsidRPr="00BC4EE7" w:rsidRDefault="00572307">
      <w:pPr>
        <w:pStyle w:val="P68B1DB1-Text118"/>
        <w:numPr>
          <w:ilvl w:val="1"/>
          <w:numId w:val="111"/>
        </w:numPr>
        <w:rPr>
          <w:rFonts w:cs="Times New Roman"/>
          <w:noProof/>
        </w:rPr>
      </w:pPr>
      <w:r w:rsidRPr="00BC4EE7">
        <w:rPr>
          <w:rFonts w:cs="Times New Roman"/>
          <w:noProof/>
        </w:rPr>
        <w:t>Módosítsa a piaci egységről szóló törvény egyes rendelkezéseit annak érdekében, hogy egyértelműbbé tegye azokat a területeket, ahol a kétértelműségek végrehajtási problémákhoz vezettek. A piac egységességéről szóló törvény célja a gazdasági tevékenységekhez való hozzáférés és azok folytatása, valamint a letelepedés szabadsága útjában álló szükségtelen, aránytalan vagy hátrányosan megkülönböztető akadályok felszámolása az egész területen. E reform célja továbbá a piaci egységről szóló törvényben előírt mechanizmusok hatékonyságának és átláthatóságának fokozása azon gazdasági szereplők védelme érdekében, akiknek a tevékenységét a közigazgatás által támasztott akadályok érintik. Emellett a reformnak meg kell erősítenie az együttműködést annak érdekében, hogy országszerte előmozdítsa a jobb szabályozást;</w:t>
      </w:r>
    </w:p>
    <w:p w14:paraId="65E91C6D" w14:textId="77777777" w:rsidR="00D65CB4" w:rsidRPr="00BC4EE7" w:rsidRDefault="00572307">
      <w:pPr>
        <w:pStyle w:val="P68B1DB1-Text118"/>
        <w:numPr>
          <w:ilvl w:val="0"/>
          <w:numId w:val="111"/>
        </w:numPr>
        <w:rPr>
          <w:rFonts w:cs="Times New Roman"/>
          <w:noProof/>
        </w:rPr>
      </w:pPr>
      <w:r w:rsidRPr="00BC4EE7">
        <w:rPr>
          <w:rFonts w:cs="Times New Roman"/>
          <w:noProof/>
        </w:rPr>
        <w:t>A szabályozás javításával és az üzleti éghajlattal foglalkozó új ágazati konferenciát kell létrehozni. Célja, hogy megkönnyítse a jó szabályozás elveinek valamennyi közigazgatási szerv általi helyes alkalmazását, és biztosítsa a különböző közigazgatási szervek optimális koordinációját, többek között a helyreállítást kísérő intézkedések révén. Az ágazati konferencia nyomon követi a más ágazati konferenciák keretében végzett munkát is, amelyek lehetővé teszik a jobb szabályozás jobb koordinációját, nyomon követését és előmozdítását, horizontális és ágazati szempontból egyaránt;</w:t>
      </w:r>
    </w:p>
    <w:p w14:paraId="3AF46301" w14:textId="77777777" w:rsidR="00D65CB4" w:rsidRPr="00BC4EE7" w:rsidRDefault="00572307">
      <w:pPr>
        <w:pStyle w:val="P68B1DB1-Text118"/>
        <w:numPr>
          <w:ilvl w:val="0"/>
          <w:numId w:val="111"/>
        </w:numPr>
        <w:rPr>
          <w:rFonts w:cs="Times New Roman"/>
          <w:noProof/>
        </w:rPr>
      </w:pPr>
      <w:r w:rsidRPr="00BC4EE7">
        <w:rPr>
          <w:rFonts w:cs="Times New Roman"/>
          <w:noProof/>
        </w:rPr>
        <w:t>A fizetésképtelenségi törvény reformja a megelőző szerkezetátalakítási keretekről, az adósság alóli mentesítésről és az eltiltásokról, valamint a fizetésképtelenségi eljárások hatékonyságának növelését célzó intézkedésekről és az (EU) 2017/1132 irányelv módosításáról szóló (EU) 2019/1023 irányelv (a szerkezetátalakítási és fizetésképtelenségi irányelv) átültetése érdekében. A reform magában foglalja a természetes személyek számára egy hatékonyabb második esélyre vonatkozó eljárás létrehozását, amely lehetővé teszi az adósságrendezést a fizetésképtelen fél eszközeinek előzetes felszámolása nélkül. Emellett a fizetésképtelenségről szóló (EU) 2019/1023 irányelvben előírt szerkezetátalakítási terveket olyan új, fizetésképtelenséget megelőző eszközként kell bevezetni, amely javítja a fizetésképtelenséget megelőző, jelenleg alkalmazandó eszközök hatékonyságát a fizetésképtelenség és az azt követő csőd megelőzése érdekében. A folyamat időtartamának és költségeinek csökkentése érdekében külön eljárást kell bevezetni a teljes mértékben elektronikus úton feldolgozott mikro-kkv-k számára.</w:t>
      </w:r>
    </w:p>
    <w:p w14:paraId="4C86FC4C" w14:textId="1AE05236" w:rsidR="00D65CB4" w:rsidRPr="00BC4EE7" w:rsidRDefault="00572307">
      <w:pPr>
        <w:pStyle w:val="P68B1DB1-Text118"/>
        <w:numPr>
          <w:ilvl w:val="0"/>
          <w:numId w:val="111"/>
        </w:numPr>
        <w:rPr>
          <w:rFonts w:cs="Times New Roman"/>
          <w:noProof/>
        </w:rPr>
      </w:pPr>
      <w:r w:rsidRPr="00BC4EE7">
        <w:rPr>
          <w:rFonts w:cs="Times New Roman"/>
          <w:noProof/>
        </w:rPr>
        <w:t xml:space="preserve">Ez a reform magában foglalja továbbá az ügyvédek és a procuradoresok szakmai gyakorlatára vonatkozó három jogalkotási szöveg, különösen a 34/2006. sz. törvény módosításáról szóló törvény </w:t>
      </w:r>
      <w:r w:rsidRPr="00BC4EE7">
        <w:rPr>
          <w:rFonts w:cs="Times New Roman"/>
          <w:i/>
          <w:noProof/>
        </w:rPr>
        <w:t>elfogadását</w:t>
      </w:r>
      <w:r w:rsidRPr="00BC4EE7">
        <w:rPr>
          <w:rFonts w:cs="Times New Roman"/>
          <w:noProof/>
        </w:rPr>
        <w:t xml:space="preserve">. Az új rendszernek egységes hozzáférést kell biztosítania az ügyvédi és a </w:t>
      </w:r>
      <w:r w:rsidRPr="00BC4EE7">
        <w:rPr>
          <w:rFonts w:cs="Times New Roman"/>
          <w:i/>
          <w:noProof/>
        </w:rPr>
        <w:t>procuradores</w:t>
      </w:r>
      <w:r w:rsidRPr="00BC4EE7">
        <w:rPr>
          <w:rFonts w:cs="Times New Roman"/>
          <w:noProof/>
        </w:rPr>
        <w:t xml:space="preserve"> szakmához, mivel ugyanaz a képesítés teszi lehetővé mindkét szakma gyakorlását. A multidiszciplináris szakmai társaságok számára lehetővé kell tenni, hogy közösen nyújtsanak jogi védelmi és bírósági képviseleti szolgáltatásokat. A </w:t>
      </w:r>
      <w:r w:rsidRPr="00BC4EE7">
        <w:rPr>
          <w:rFonts w:cs="Times New Roman"/>
          <w:i/>
          <w:noProof/>
        </w:rPr>
        <w:t>procuradores</w:t>
      </w:r>
      <w:r w:rsidRPr="00BC4EE7">
        <w:rPr>
          <w:rFonts w:cs="Times New Roman"/>
          <w:noProof/>
        </w:rPr>
        <w:t xml:space="preserve"> szolgáltatásaira alkalmazandó díjrendszert szintén módosítani kell: maximális díjakat kell megállapítani, de nem minimális díjakat annak biztosítása érdekében, hogy a szolgáltatás igénybe vevői versenyképes áron férhessenek hozzá a kínált szolgáltatásokhoz. E reformmal Spanyolországnak biztosítania kell, hogy az e területre vonatkozó jogszabályok összhangban legyenek a belső piaci szolgáltatásokról szóló 2006/123/EK európai parlamenti és tanácsi irányelv 15., 16. és 25. cikkével, valamint az Európai Unió működéséről szóló szerződés 49. és 56. cikkével. E reform tekintetében a Miniszterek Tanácsa 2020 szeptemberében jóváhagyta a fent említett jogalkotási javaslattervezeteket.</w:t>
      </w:r>
    </w:p>
    <w:p w14:paraId="7189CEC4" w14:textId="659B71BC" w:rsidR="00D65CB4" w:rsidRPr="00BC4EE7" w:rsidRDefault="00572307">
      <w:pPr>
        <w:pStyle w:val="P68B1DB1-Text118"/>
        <w:numPr>
          <w:ilvl w:val="0"/>
          <w:numId w:val="111"/>
        </w:numPr>
        <w:rPr>
          <w:rFonts w:cs="Times New Roman"/>
          <w:noProof/>
        </w:rPr>
      </w:pPr>
      <w:r w:rsidRPr="00BC4EE7">
        <w:rPr>
          <w:rFonts w:cs="Times New Roman"/>
          <w:noProof/>
        </w:rPr>
        <w:t>A versenyjog (a verseny védelméről szóló 15/2007. sz. törvény) és rendeleteinek (a versenyvédelmi rendeletek jóváhagyásáról szóló, 2007. február 22-i 261/2008. sz. királyi rendelet) módosítása, az eljárások egyszerűsítése és az ország antitröszt szabályozási keretének megerősítése a hatékony verseny biztosítása érdekében a legjobb nemzetközi gyakorlatokkal összhangban. A módosításnak rendelkeznie kell a versenyjog 1. cikke (konstruktív magatartás), 2. cikke (erőfölénnyel való visszaélés) és 3. cikke (a szabad verseny tisztességtelen cselekmények általi torzítása) szerinti antitrösztügyekre vonatkozó vitarendezési eljárás bevezetéséről. A módosításnak kiegészítő jogi rendelkezéseket is be kell vezetnie az (EU) 2022/1925 rendeletbe (a digitális piacokról szóló jogszabály) annak érdekében, hogy a spanyol illetékes hatóság hatáskörrel rendelkezzen a nemzeti kereten belüli vizsgálatok lefolytatására, észszerűsítse az eljárások rendezésére rendelkezésre álló időszakot és csökkentse a vállalatok adminisztratív terheit, valamint gondoskodjon a szankcionálási rendszer javításáról, többek között a jogsértések befogadásának ösztönzésével és a szankciók természetes személyekre (azaz a vezetőkre) való kiterjesztésével.</w:t>
      </w:r>
    </w:p>
    <w:p w14:paraId="5611FD7A" w14:textId="2ABEAE92" w:rsidR="00D65CB4" w:rsidRPr="00BC4EE7" w:rsidRDefault="00572307">
      <w:pPr>
        <w:pStyle w:val="P68B1DB1-Text118"/>
        <w:ind w:left="0"/>
        <w:rPr>
          <w:rFonts w:cs="Times New Roman"/>
          <w:noProof/>
        </w:rPr>
      </w:pPr>
      <w:r w:rsidRPr="00BC4EE7">
        <w:rPr>
          <w:rFonts w:cs="Times New Roman"/>
          <w:noProof/>
        </w:rPr>
        <w:t>Az intézkedés végrehajtását 2025. december 31-ig be kell fejezni.</w:t>
      </w:r>
    </w:p>
    <w:p w14:paraId="0B36211E" w14:textId="77777777" w:rsidR="00D65CB4" w:rsidRPr="00BC4EE7" w:rsidRDefault="00572307">
      <w:pPr>
        <w:pStyle w:val="P68B1DB1-Text119"/>
        <w:keepNext/>
        <w:ind w:left="0"/>
        <w:rPr>
          <w:rFonts w:cs="Times New Roman"/>
          <w:noProof/>
        </w:rPr>
      </w:pPr>
      <w:r w:rsidRPr="00BC4EE7">
        <w:rPr>
          <w:rFonts w:cs="Times New Roman"/>
          <w:noProof/>
        </w:rPr>
        <w:t>Reform (C13.R2) – A spanyol vállalkozói nemzetre vonatkozó stratégia</w:t>
      </w:r>
    </w:p>
    <w:p w14:paraId="36A12FAD" w14:textId="2999754B" w:rsidR="00D65CB4" w:rsidRPr="00BC4EE7" w:rsidRDefault="00572307">
      <w:pPr>
        <w:pStyle w:val="P68B1DB1-Text118"/>
        <w:keepNext/>
        <w:ind w:left="0"/>
        <w:rPr>
          <w:rFonts w:cs="Times New Roman"/>
          <w:noProof/>
        </w:rPr>
      </w:pPr>
      <w:r w:rsidRPr="00BC4EE7">
        <w:rPr>
          <w:rFonts w:cs="Times New Roman"/>
          <w:noProof/>
        </w:rPr>
        <w:t>Az intézkedés célja a spanyol vállalkozási stratégia előmozdítása. A reform magában foglalja az induló innovatív vállalkozásokról szóló törvény elfogadását, a rendkívül innovatív induló vállalkozások létrehozásához és növekedéséhez szükséges kedvező keret létrehozását, a forradalmi technológiák terén induló innovatív vállalkozások fellendítését célzó NEXT-TECH köz-magán alap létrehozását, valamint a munkavállalók migrációs rendszerének felülvizsgálatát a tehetségek vonzása és a szakemberhiány kezelése érdekében.</w:t>
      </w:r>
    </w:p>
    <w:p w14:paraId="60AEC707" w14:textId="77777777" w:rsidR="00D65CB4" w:rsidRPr="00BC4EE7" w:rsidRDefault="00572307">
      <w:pPr>
        <w:pStyle w:val="P68B1DB1-Text118"/>
        <w:ind w:left="0"/>
        <w:rPr>
          <w:rFonts w:cs="Times New Roman"/>
          <w:noProof/>
        </w:rPr>
      </w:pPr>
      <w:r w:rsidRPr="00BC4EE7">
        <w:rPr>
          <w:rFonts w:cs="Times New Roman"/>
          <w:noProof/>
        </w:rPr>
        <w:t>Az induló vállalkozásokról szóló törvény 2022 végéig történő elfogadása: az induló innovatív vállalkozások jogi meghatározása; adóösztönzők azonosítása a létrehozásuk elősegítése és a tehetségek vonzása érdekében; a külföldi befektetők és vállalkozók vonzását megkönnyítő intézkedések meghatározása; valamint olyan mechanizmusok elfogadása, amelyek megkönnyítik a jogszabályok végrehajtását és annak a digitális vállalkozói ökoszisztémával kapcsolatos intézkedésekkel való kapcsolatát.</w:t>
      </w:r>
    </w:p>
    <w:p w14:paraId="49F3CA66" w14:textId="772966A9" w:rsidR="00D65CB4" w:rsidRPr="00BC4EE7" w:rsidRDefault="00572307">
      <w:pPr>
        <w:pStyle w:val="P68B1DB1-Text118"/>
        <w:ind w:left="0"/>
        <w:rPr>
          <w:rFonts w:cs="Times New Roman"/>
          <w:noProof/>
        </w:rPr>
      </w:pPr>
      <w:r w:rsidRPr="00BC4EE7">
        <w:rPr>
          <w:rFonts w:cs="Times New Roman"/>
          <w:noProof/>
        </w:rPr>
        <w:t>A reform magában foglalja továbbá a Spanyolországban tartózkodó külföldiek jogairól és szabadságairól, valamint társadalmi integrációjáról szóló, január 11-i 4/2000. sz. sarkalatos törvény, valamint a vállalkozók támogatásáról és nemzetközivé válásáról szóló, szeptember 27-i 14/2013. sz. törvény módosítását.</w:t>
      </w:r>
    </w:p>
    <w:p w14:paraId="2C1646D0" w14:textId="00462CD9" w:rsidR="00D65CB4" w:rsidRPr="00BC4EE7" w:rsidRDefault="00572307">
      <w:pPr>
        <w:pStyle w:val="P68B1DB1-Text118"/>
        <w:ind w:left="0"/>
        <w:rPr>
          <w:rFonts w:cs="Times New Roman"/>
          <w:noProof/>
        </w:rPr>
      </w:pPr>
      <w:r w:rsidRPr="00BC4EE7">
        <w:rPr>
          <w:rFonts w:cs="Times New Roman"/>
          <w:noProof/>
        </w:rPr>
        <w:t>A Spanyolországban tartózkodó külföldiek jogairól és szabadságairól, valamint társadalmi integrációjáról szóló, január 11-i 4/2000. sz. sarkalatos törvény módosítása egyszerűsíti a migrációval kapcsolatos adminisztratív eljárásokat, többek között az engedélyek számának csökkentése és érvényességük meghosszabbítása, az eljárások felgyorsítása, a harmadik országbeli állampolgárok munkaerőpiacra való belépésének megkönnyítése, valamint a forrásnál történő munkaerő-felvétel rendszerének javítása révén. A módosításoknak rugalmasabb hozzáférést kell biztosítaniuk a diákok számára a munkaerőpiachoz, többéves körkörös migrációs rendszert kell bevezetniük az idénymunkások számára, új szabályokat kell bevezetniük a nemzeti foglalkoztatási helyzet értékelésére, valamint új igazgatási egységet (UTEX) kell létrehozniuk a külföldi állampolgárok aktáinak jobb feldolgozása érdekében.</w:t>
      </w:r>
    </w:p>
    <w:p w14:paraId="4A7EF98C" w14:textId="1F332FAA" w:rsidR="00D65CB4" w:rsidRPr="00BC4EE7" w:rsidRDefault="00572307">
      <w:pPr>
        <w:pStyle w:val="P68B1DB1-Text118"/>
        <w:ind w:left="0"/>
        <w:rPr>
          <w:rFonts w:cs="Times New Roman"/>
          <w:noProof/>
        </w:rPr>
      </w:pPr>
      <w:r w:rsidRPr="00BC4EE7">
        <w:rPr>
          <w:rFonts w:cs="Times New Roman"/>
          <w:noProof/>
        </w:rPr>
        <w:t>A vállalkozók támogatásáról és nemzetközivé válásáról szóló, szeptember 27-i 14/2013. sz. törvény módosítása a 4/2000. sz. sarkalatos törvény által meghatározottnál egyszerűbb és rugalmasabb eljárás révén megkönnyíti a nagyon speciális készségekkel és kompetenciákkal rendelkező külföldiek felvételét. A 14/2013. sz. törvény módosítása új migrációs rendszert vezet be a digitális nomádok számára, új innovációs kritériumokat vezet be a vállalkozók tartózkodási és munkavállalási engedélyeire vonatkozóan, kiterjeszti a magasan képzett szakemberekre vonatkozó nemzeti migrációs rendszer hatályát a kkv-kra és a magasabb szakképzési tanúsítványokkal rendelkezőkre, hosszabb érvényességi időt, valamint egyszerűsíti a tartózkodási és munkavállalási engedélyekre vonatkozó eljárásokat a 14/2013. sz. törvényben a módosítást megelőzően meghatározottakhoz képest.</w:t>
      </w:r>
    </w:p>
    <w:p w14:paraId="3D4CCDDD" w14:textId="7089989E" w:rsidR="00D65CB4" w:rsidRPr="00BC4EE7" w:rsidRDefault="00572307">
      <w:pPr>
        <w:pStyle w:val="P68B1DB1-Text118"/>
        <w:ind w:left="0"/>
        <w:rPr>
          <w:rFonts w:cs="Times New Roman"/>
          <w:noProof/>
        </w:rPr>
      </w:pPr>
      <w:r w:rsidRPr="00BC4EE7">
        <w:rPr>
          <w:rFonts w:cs="Times New Roman"/>
          <w:noProof/>
        </w:rPr>
        <w:t>Az intézkedés végrehajtását 2023. december 31-ig be kell fejezni.</w:t>
      </w:r>
    </w:p>
    <w:p w14:paraId="46827732" w14:textId="77777777" w:rsidR="00D65CB4" w:rsidRPr="00BC4EE7" w:rsidRDefault="00572307">
      <w:pPr>
        <w:pStyle w:val="P68B1DB1-Normal5"/>
        <w:spacing w:before="120" w:after="120"/>
        <w:jc w:val="both"/>
        <w:rPr>
          <w:rFonts w:eastAsiaTheme="minorEastAsia" w:cs="Times New Roman"/>
          <w:noProof/>
        </w:rPr>
      </w:pPr>
      <w:r w:rsidRPr="00BC4EE7">
        <w:rPr>
          <w:rFonts w:cs="Times New Roman"/>
          <w:noProof/>
        </w:rPr>
        <w:t>Reform (C13.R3) – Az értékpapírpiacokról és befektetési szolgáltatásokról szóló törvény felülvizsgálata</w:t>
      </w:r>
    </w:p>
    <w:p w14:paraId="6CA34C5A" w14:textId="1BB6826B" w:rsidR="00D65CB4" w:rsidRPr="00BC4EE7" w:rsidRDefault="00572307">
      <w:pPr>
        <w:pStyle w:val="P68B1DB1-Normal4"/>
        <w:spacing w:before="120" w:after="120"/>
        <w:jc w:val="both"/>
        <w:rPr>
          <w:rFonts w:eastAsiaTheme="minorEastAsia" w:cs="Times New Roman"/>
          <w:noProof/>
        </w:rPr>
      </w:pPr>
      <w:r w:rsidRPr="00BC4EE7">
        <w:rPr>
          <w:rFonts w:cs="Times New Roman"/>
          <w:noProof/>
        </w:rPr>
        <w:t xml:space="preserve">E reform célja az értékpapírpiacok szabályozásának javítása annak érdekében, hogy a spanyolországi értékpapírpiacot és befektetési szolgáltatásokat szabályozó 6/2023. sz. törvény jóváhagyása révén javuljon a finanszírozáshoz való hozzáférés, különösen a kkv-k számára. </w:t>
      </w:r>
    </w:p>
    <w:p w14:paraId="4FB51AEC" w14:textId="4666EF74" w:rsidR="00D65CB4" w:rsidRPr="00BC4EE7" w:rsidRDefault="00572307">
      <w:pPr>
        <w:pStyle w:val="P68B1DB1-Normal4"/>
        <w:spacing w:before="120" w:after="120"/>
        <w:jc w:val="both"/>
        <w:rPr>
          <w:rFonts w:cs="Times New Roman"/>
          <w:noProof/>
        </w:rPr>
      </w:pPr>
      <w:r w:rsidRPr="00BC4EE7">
        <w:rPr>
          <w:rFonts w:cs="Times New Roman"/>
          <w:noProof/>
        </w:rPr>
        <w:t xml:space="preserve"> A 6/2023. sz. törvény:</w:t>
      </w:r>
    </w:p>
    <w:p w14:paraId="71D69DE2" w14:textId="77777777" w:rsidR="00D65CB4" w:rsidRPr="00BC4EE7" w:rsidRDefault="00572307">
      <w:pPr>
        <w:pStyle w:val="P68B1DB1-ListParagraph6"/>
        <w:numPr>
          <w:ilvl w:val="0"/>
          <w:numId w:val="621"/>
        </w:numPr>
        <w:spacing w:after="0"/>
        <w:jc w:val="both"/>
        <w:rPr>
          <w:rFonts w:cs="Times New Roman"/>
          <w:noProof/>
        </w:rPr>
      </w:pPr>
      <w:r w:rsidRPr="00BC4EE7">
        <w:rPr>
          <w:rFonts w:cs="Times New Roman"/>
          <w:noProof/>
        </w:rPr>
        <w:t>egyszerűsítse a rögzített kamatozású értékpapírok szabályozott piacra történő bevezetésének folyamatát;</w:t>
      </w:r>
    </w:p>
    <w:p w14:paraId="5173D240" w14:textId="77777777" w:rsidR="00D65CB4" w:rsidRPr="00BC4EE7" w:rsidRDefault="00572307">
      <w:pPr>
        <w:pStyle w:val="P68B1DB1-ListParagraph6"/>
        <w:numPr>
          <w:ilvl w:val="0"/>
          <w:numId w:val="621"/>
        </w:numPr>
        <w:spacing w:after="0"/>
        <w:jc w:val="both"/>
        <w:rPr>
          <w:rFonts w:eastAsiaTheme="minorEastAsia" w:cs="Times New Roman"/>
          <w:noProof/>
        </w:rPr>
      </w:pPr>
      <w:r w:rsidRPr="00BC4EE7">
        <w:rPr>
          <w:rFonts w:cs="Times New Roman"/>
          <w:noProof/>
        </w:rPr>
        <w:t>a BME-növekedéshez való hozzáférés kiterjesztése (BME-tőzsdei piac a kkv-k számára);</w:t>
      </w:r>
    </w:p>
    <w:p w14:paraId="6355B17F" w14:textId="77777777" w:rsidR="00D65CB4" w:rsidRPr="00BC4EE7" w:rsidRDefault="00572307">
      <w:pPr>
        <w:pStyle w:val="P68B1DB1-ListParagraph6"/>
        <w:numPr>
          <w:ilvl w:val="0"/>
          <w:numId w:val="621"/>
        </w:numPr>
        <w:spacing w:after="0"/>
        <w:jc w:val="both"/>
        <w:rPr>
          <w:rFonts w:eastAsiaTheme="minorEastAsia" w:cs="Times New Roman"/>
          <w:noProof/>
        </w:rPr>
      </w:pPr>
      <w:r w:rsidRPr="00BC4EE7">
        <w:rPr>
          <w:rFonts w:cs="Times New Roman"/>
          <w:noProof/>
        </w:rPr>
        <w:t xml:space="preserve">a kötelező nyilvános vételi ajánlatok kiterjesztése a szabályozott piacokon kereskedett értékpapírokon túl az MTF-eken kereskedett értékpapírokra (beleértve azok uniós növekedési piaci szegmenseit is); és </w:t>
      </w:r>
    </w:p>
    <w:p w14:paraId="69874394" w14:textId="77777777" w:rsidR="00D65CB4" w:rsidRPr="00BC4EE7" w:rsidRDefault="00572307">
      <w:pPr>
        <w:pStyle w:val="P68B1DB1-ListParagraph6"/>
        <w:numPr>
          <w:ilvl w:val="0"/>
          <w:numId w:val="621"/>
        </w:numPr>
        <w:spacing w:after="0"/>
        <w:jc w:val="both"/>
        <w:rPr>
          <w:rFonts w:eastAsiaTheme="minorEastAsia" w:cs="Times New Roman"/>
          <w:noProof/>
        </w:rPr>
      </w:pPr>
      <w:r w:rsidRPr="00BC4EE7">
        <w:rPr>
          <w:rFonts w:cs="Times New Roman"/>
          <w:noProof/>
        </w:rPr>
        <w:t>a pénzügyi piacokra való belépés akadályainak csökkentése az értékpapírok klíringjének, elszámolásának és nyilvántartásba vételének nyomon követésére szolgáló információs rendszer (Post-Trade Interface) megszüntetésével a jogszabályban előirányzott átmeneti időszakon belül.</w:t>
      </w:r>
    </w:p>
    <w:p w14:paraId="05387AEE" w14:textId="77777777" w:rsidR="00D65CB4" w:rsidRPr="00BC4EE7" w:rsidRDefault="00572307">
      <w:pPr>
        <w:pStyle w:val="P68B1DB1-Normal4"/>
        <w:spacing w:before="120" w:after="120"/>
        <w:jc w:val="both"/>
        <w:rPr>
          <w:rFonts w:cs="Times New Roman"/>
          <w:noProof/>
        </w:rPr>
      </w:pPr>
      <w:r w:rsidRPr="00BC4EE7">
        <w:rPr>
          <w:rFonts w:cs="Times New Roman"/>
          <w:noProof/>
        </w:rPr>
        <w:t>Az intézkedés végrehajtását 2024. június 30-ig be kell fejezni.</w:t>
      </w:r>
    </w:p>
    <w:p w14:paraId="7D8C9E3E" w14:textId="77777777" w:rsidR="00D65CB4" w:rsidRPr="00BC4EE7" w:rsidRDefault="00D65CB4">
      <w:pPr>
        <w:pStyle w:val="Text1"/>
        <w:ind w:left="0"/>
        <w:rPr>
          <w:rFonts w:ascii="Times New Roman" w:hAnsi="Times New Roman" w:cs="Times New Roman"/>
          <w:noProof/>
        </w:rPr>
      </w:pPr>
    </w:p>
    <w:p w14:paraId="169F9947" w14:textId="77777777" w:rsidR="00D65CB4" w:rsidRPr="00BC4EE7" w:rsidRDefault="00572307">
      <w:pPr>
        <w:pStyle w:val="P68B1DB1-Normal5"/>
        <w:spacing w:before="120" w:after="120"/>
        <w:jc w:val="both"/>
        <w:rPr>
          <w:rFonts w:eastAsiaTheme="minorEastAsia" w:cs="Times New Roman"/>
          <w:noProof/>
        </w:rPr>
      </w:pPr>
      <w:r w:rsidRPr="00BC4EE7">
        <w:rPr>
          <w:rFonts w:cs="Times New Roman"/>
          <w:noProof/>
        </w:rPr>
        <w:t xml:space="preserve">Beruházás (C13.I1) – Vállalkozás </w:t>
      </w:r>
    </w:p>
    <w:p w14:paraId="03C7E9E0" w14:textId="77777777" w:rsidR="00D65CB4" w:rsidRPr="00BC4EE7" w:rsidRDefault="00572307">
      <w:pPr>
        <w:pStyle w:val="P68B1DB1-Text118"/>
        <w:ind w:left="0"/>
        <w:rPr>
          <w:rFonts w:cs="Times New Roman"/>
          <w:noProof/>
        </w:rPr>
      </w:pPr>
      <w:r w:rsidRPr="00BC4EE7">
        <w:rPr>
          <w:rFonts w:cs="Times New Roman"/>
          <w:noProof/>
        </w:rPr>
        <w:t>A beruházás célja a vállalkozói ökoszisztéma fellendítése annak érdekében, hogy reziliensebbé és versenyképesebbé váljon, kezelve a zöld és digitális átállás kihívásait.</w:t>
      </w:r>
    </w:p>
    <w:p w14:paraId="2763E8E1" w14:textId="77777777" w:rsidR="00D65CB4" w:rsidRPr="00BC4EE7" w:rsidRDefault="00572307">
      <w:pPr>
        <w:pStyle w:val="P68B1DB1-Text118"/>
        <w:ind w:left="0"/>
        <w:rPr>
          <w:rFonts w:cs="Times New Roman"/>
          <w:noProof/>
        </w:rPr>
      </w:pPr>
      <w:r w:rsidRPr="00BC4EE7">
        <w:rPr>
          <w:rFonts w:cs="Times New Roman"/>
          <w:noProof/>
        </w:rPr>
        <w:t>A beruházás négy fő intézkedésből áll:</w:t>
      </w:r>
    </w:p>
    <w:p w14:paraId="3EE9C38C" w14:textId="1B85A1C1" w:rsidR="00D65CB4" w:rsidRPr="00BC4EE7" w:rsidRDefault="00572307">
      <w:pPr>
        <w:pStyle w:val="Text1"/>
        <w:ind w:left="0"/>
        <w:rPr>
          <w:rFonts w:ascii="Times New Roman" w:hAnsi="Times New Roman" w:cs="Times New Roman"/>
          <w:noProof/>
        </w:rPr>
      </w:pPr>
      <w:r w:rsidRPr="00BC4EE7">
        <w:rPr>
          <w:rFonts w:ascii="Times New Roman" w:hAnsi="Times New Roman" w:cs="Times New Roman"/>
          <w:noProof/>
        </w:rPr>
        <w:t>A vállalkozói készségek megerősítése, beleértve a készségfejlesztést és az átképzést, valamint a vállalkozók támogatását a zöld és digitális átállásra vonatkozó uniós prioritásokkal összhangban. E fellépés részeként legalább 6900 vállalkozónak kell a vállalkozói ökoszisztéma megerősítését célzó programot végrehajtania. A vállalkozói készségek program keretében 6100 vállalkozót (ebből 1200 nőt) és 800 női vállalkozót kell támogatni a női tehetségtanulási programon keresztül.</w:t>
      </w:r>
      <w:r w:rsidRPr="00BC4EE7">
        <w:rPr>
          <w:rFonts w:ascii="Times New Roman" w:hAnsi="Times New Roman" w:cs="Times New Roman"/>
          <w:noProof/>
          <w:shd w:val="clear" w:color="auto" w:fill="E6E6E6"/>
        </w:rPr>
        <w:t xml:space="preserve"> </w:t>
      </w:r>
    </w:p>
    <w:p w14:paraId="28FFBA76" w14:textId="77777777" w:rsidR="00D65CB4" w:rsidRPr="00BC4EE7" w:rsidRDefault="00572307">
      <w:pPr>
        <w:pStyle w:val="P68B1DB1-Text118"/>
        <w:ind w:left="0"/>
        <w:rPr>
          <w:rFonts w:cs="Times New Roman"/>
          <w:noProof/>
        </w:rPr>
      </w:pPr>
      <w:r w:rsidRPr="00BC4EE7">
        <w:rPr>
          <w:rFonts w:cs="Times New Roman"/>
          <w:noProof/>
        </w:rPr>
        <w:t>2. eszközök biztosítása a vállalkozásalapítás és a vállalkozásirányítás támogatására, valamint a kkv-k megerősítésére, beleértve legalább 12000 aktív felhasználó támogatását a virtuális ONE-Nemzeti Vállalkozási Hivatal (ONE) platformján, a 2030-ig tartó időszakra vonatkozó kkv-politikai stratégiai keret, a spanyol vállalkozási stratégia és a 2025-ig tartó időszakra vonatkozó spanyol digitális menetrend égisze alatt;</w:t>
      </w:r>
    </w:p>
    <w:p w14:paraId="75A10A38" w14:textId="77777777" w:rsidR="00D65CB4" w:rsidRPr="00BC4EE7" w:rsidRDefault="00572307">
      <w:pPr>
        <w:pStyle w:val="P68B1DB1-Text118"/>
        <w:ind w:left="0"/>
        <w:rPr>
          <w:rFonts w:cs="Times New Roman"/>
          <w:noProof/>
        </w:rPr>
      </w:pPr>
      <w:r w:rsidRPr="00BC4EE7">
        <w:rPr>
          <w:rFonts w:cs="Times New Roman"/>
          <w:noProof/>
        </w:rPr>
        <w:t>Terjesztési és kommunikációs kampányok, amelyek célja az innovatív vállalatokra összpontosító nemzetközi rendezvények létrehozása, fejlesztése vagy vonzása Spanyolországba, valamint a tehetséges nők számára vonzó program. Ennek magában kell foglalnia legalább 20, a „lobogóprogram” keretében a vállalkozói szellemről szóló rendezvényt; és legalább 260 kommunikációs tevékenység (200 médiamegjelenés és 60 rendezvény) a „Brand Spain Entrepreneurship Nation” keretében; és</w:t>
      </w:r>
    </w:p>
    <w:p w14:paraId="3E11FFE1" w14:textId="77777777" w:rsidR="00D65CB4" w:rsidRPr="00BC4EE7" w:rsidRDefault="00572307">
      <w:pPr>
        <w:pStyle w:val="P68B1DB1-Normal4"/>
        <w:spacing w:line="240" w:lineRule="auto"/>
        <w:jc w:val="both"/>
        <w:rPr>
          <w:rFonts w:cs="Times New Roman"/>
          <w:noProof/>
        </w:rPr>
      </w:pPr>
      <w:r w:rsidRPr="00BC4EE7">
        <w:rPr>
          <w:rFonts w:cs="Times New Roman"/>
          <w:noProof/>
        </w:rPr>
        <w:t xml:space="preserve">4) A vállalkozói szellemet és a kkv-kat támogató költségvetési sor finanszírozása a nők vállalkozói készségét támogató programon keresztül. Ez magában foglalja legalább 200 női vállalkozó támogatását az </w:t>
      </w:r>
      <w:r w:rsidRPr="00BC4EE7">
        <w:rPr>
          <w:rFonts w:cs="Times New Roman"/>
          <w:i/>
          <w:noProof/>
        </w:rPr>
        <w:t>Empresa Nacional de Innovación, S.A. által nyújtott részvételi kölcsönök révén</w:t>
      </w:r>
      <w:r w:rsidRPr="00BC4EE7">
        <w:rPr>
          <w:rFonts w:cs="Times New Roman"/>
          <w:noProof/>
        </w:rPr>
        <w:t xml:space="preserve">. </w:t>
      </w:r>
    </w:p>
    <w:p w14:paraId="53922631" w14:textId="77777777" w:rsidR="00D65CB4" w:rsidRPr="00BC4EE7" w:rsidRDefault="00572307">
      <w:pPr>
        <w:pStyle w:val="P68B1DB1-Text118"/>
        <w:ind w:left="0"/>
        <w:rPr>
          <w:rFonts w:cs="Times New Roman"/>
          <w:noProof/>
        </w:rPr>
      </w:pPr>
      <w:r w:rsidRPr="00BC4EE7">
        <w:rPr>
          <w:rFonts w:cs="Times New Roman"/>
          <w:noProof/>
        </w:rPr>
        <w:t xml:space="preserve">A pénzügyi eszközök esetében annak biztosítása érdekében, hogy az intézkedés megfeleljen a jelentős károkozás elkerülését célzó technikai iránymutatásnak (2021/C58/01), a spanyol hatóságok és a pénzügyi eszközért felelős megbízott szervezet vagy pénzügyi közvetítő közötti jogi megállapodásnak és a pénzügyi eszköz ezt követő befektetési politikájának: </w:t>
      </w:r>
    </w:p>
    <w:p w14:paraId="28CFFC45" w14:textId="709B2534" w:rsidR="00D65CB4" w:rsidRPr="00BC4EE7" w:rsidRDefault="00572307">
      <w:pPr>
        <w:pStyle w:val="P68B1DB1-Text118"/>
        <w:numPr>
          <w:ilvl w:val="0"/>
          <w:numId w:val="197"/>
        </w:numPr>
        <w:rPr>
          <w:rFonts w:cs="Times New Roman"/>
          <w:noProof/>
        </w:rPr>
      </w:pPr>
      <w:r w:rsidRPr="00BC4EE7">
        <w:rPr>
          <w:rFonts w:cs="Times New Roman"/>
          <w:noProof/>
        </w:rPr>
        <w:t>az InvestEU Alap fenntarthatósági vizsgálatára vonatkozó bizottsági technikai iránymutatás alkalmazásának előírása</w:t>
      </w:r>
    </w:p>
    <w:p w14:paraId="4E0DAE12" w14:textId="77777777" w:rsidR="00D65CB4" w:rsidRPr="00BC4EE7" w:rsidRDefault="00572307">
      <w:pPr>
        <w:pStyle w:val="P68B1DB1-Text118"/>
        <w:numPr>
          <w:ilvl w:val="0"/>
          <w:numId w:val="197"/>
        </w:numPr>
        <w:rPr>
          <w:rFonts w:cs="Times New Roman"/>
          <w:noProof/>
        </w:rPr>
      </w:pPr>
      <w:r w:rsidRPr="00BC4EE7">
        <w:rPr>
          <w:rFonts w:cs="Times New Roman"/>
          <w:noProof/>
        </w:rPr>
        <w:t>a tevékenységek és eszközök alábbi listájának kizárása a támogathatóság köréből: a fosszilis tüzelőanyagokhoz kapcsolódó tevékenységek és eszközök, beleértve a downstream felhasználást is</w:t>
      </w:r>
      <w:r w:rsidRPr="00BC4EE7">
        <w:rPr>
          <w:rFonts w:cs="Times New Roman"/>
          <w:noProof/>
        </w:rPr>
        <w:footnoteReference w:id="66"/>
      </w:r>
      <w:r w:rsidRPr="00BC4EE7">
        <w:rPr>
          <w:rFonts w:cs="Times New Roman"/>
          <w:noProof/>
        </w:rPr>
        <w:t>; ii. az uniós kibocsátáskereskedelmi rendszer (ETS) keretében végzett olyan tevékenységek és eszközök, amelyek elérik a vonatkozó referenciaértékeket meg nem haladó, előre jelzett üvegházhatásúgáz-kibocsátást</w:t>
      </w:r>
      <w:r w:rsidRPr="00BC4EE7">
        <w:rPr>
          <w:rFonts w:cs="Times New Roman"/>
          <w:noProof/>
        </w:rPr>
        <w:footnoteReference w:id="67"/>
      </w:r>
      <w:r w:rsidRPr="00BC4EE7">
        <w:rPr>
          <w:rFonts w:cs="Times New Roman"/>
          <w:noProof/>
        </w:rPr>
        <w:t>; a hulladéklerakókkal, hulladékégetőkkel és mechanikai-biológiai hulladékkezelő létesítményekkel kapcsolatos tevékenységek</w:t>
      </w:r>
      <w:r w:rsidRPr="00BC4EE7">
        <w:rPr>
          <w:rFonts w:cs="Times New Roman"/>
          <w:noProof/>
        </w:rPr>
        <w:footnoteReference w:id="68"/>
      </w:r>
      <w:r w:rsidRPr="00BC4EE7">
        <w:rPr>
          <w:rFonts w:cs="Times New Roman"/>
          <w:noProof/>
        </w:rPr>
        <w:t xml:space="preserve"> és eszközök</w:t>
      </w:r>
      <w:r w:rsidRPr="00BC4EE7">
        <w:rPr>
          <w:rFonts w:cs="Times New Roman"/>
          <w:noProof/>
        </w:rPr>
        <w:footnoteReference w:id="69"/>
      </w:r>
      <w:r w:rsidRPr="00BC4EE7">
        <w:rPr>
          <w:rFonts w:cs="Times New Roman"/>
          <w:noProof/>
        </w:rPr>
        <w:t>; valamint iv. olyan tevékenységek és eszközök, amelyek esetében a hosszú távú hulladékártalmatlanítás károsíthatja a környezetet; és</w:t>
      </w:r>
    </w:p>
    <w:p w14:paraId="7DDBBB8E" w14:textId="77777777" w:rsidR="00D65CB4" w:rsidRPr="00BC4EE7" w:rsidRDefault="00572307">
      <w:pPr>
        <w:pStyle w:val="P68B1DB1-Text118"/>
        <w:numPr>
          <w:ilvl w:val="0"/>
          <w:numId w:val="197"/>
        </w:numPr>
        <w:rPr>
          <w:rFonts w:cs="Times New Roman"/>
          <w:noProof/>
        </w:rPr>
      </w:pPr>
      <w:r w:rsidRPr="00BC4EE7">
        <w:rPr>
          <w:rFonts w:cs="Times New Roman"/>
          <w:noProof/>
        </w:rPr>
        <w:t>annak előírása, hogy a megbízott szervezet/pénzügyi közvetítő ellenőrizze, hogy a projektek megfelelnek-e a vonatkozó uniós és nemzeti környezetvédelmi jogszabályoknak, valamennyi ügylet esetében, beleértve a fenntarthatósági vizsgálat alól mentesülő ügyleteket is.</w:t>
      </w:r>
    </w:p>
    <w:p w14:paraId="71B740AD" w14:textId="77777777" w:rsidR="00D65CB4" w:rsidRPr="00BC4EE7" w:rsidRDefault="00572307">
      <w:pPr>
        <w:pStyle w:val="Text1"/>
        <w:ind w:left="0"/>
        <w:rPr>
          <w:rFonts w:ascii="Times New Roman" w:hAnsi="Times New Roman" w:cs="Times New Roman"/>
          <w:noProof/>
          <w:highlight w:val="green"/>
        </w:rPr>
      </w:pPr>
      <w:r w:rsidRPr="00BC4EE7">
        <w:rPr>
          <w:rFonts w:ascii="Times New Roman" w:hAnsi="Times New Roman" w:cs="Times New Roman"/>
          <w:noProof/>
        </w:rPr>
        <w:t>A pályázatok esetében annak biztosítása érdekében, hogy az intézkedés megfeleljen a jelentős károkozás elkerülését célzó technikai iránymutatásnak (2021/C58/01), a soron következő pályázati felhívásokra vonatkozó feladatmeghatározásban szereplő támogathatósági kritériumoknak ki kell zárniuk a tevékenységek következő listáját: a fosszilis tüzelőanyagokkal kapcsolatos tevékenységek, beleértve a továbbfelhasználást is</w:t>
      </w:r>
      <w:r w:rsidRPr="00BC4EE7">
        <w:rPr>
          <w:rStyle w:val="FootnoteReference"/>
          <w:rFonts w:ascii="Times New Roman" w:hAnsi="Times New Roman" w:cs="Times New Roman"/>
          <w:noProof/>
        </w:rPr>
        <w:footnoteReference w:id="70"/>
      </w:r>
      <w:r w:rsidRPr="00BC4EE7">
        <w:rPr>
          <w:rFonts w:ascii="Times New Roman" w:hAnsi="Times New Roman" w:cs="Times New Roman"/>
          <w:noProof/>
        </w:rPr>
        <w:t>; ii. az uniós kibocsátáskereskedelmi rendszer (ETS) keretében végzett tevékenységek, amelyek elérik a vonatkozó referenciaértékeket meg nem haladó, előre jelzett üvegházhatásúgáz-kibocsátást</w:t>
      </w:r>
      <w:r w:rsidRPr="00BC4EE7">
        <w:rPr>
          <w:rStyle w:val="FootnoteReference"/>
          <w:rFonts w:ascii="Times New Roman" w:hAnsi="Times New Roman" w:cs="Times New Roman"/>
          <w:noProof/>
        </w:rPr>
        <w:footnoteReference w:id="71"/>
      </w:r>
      <w:r w:rsidRPr="00BC4EE7">
        <w:rPr>
          <w:rFonts w:ascii="Times New Roman" w:hAnsi="Times New Roman" w:cs="Times New Roman"/>
          <w:noProof/>
        </w:rPr>
        <w:t>; hulladéklerakókkal, hulladékégetőkkel</w:t>
      </w:r>
      <w:r w:rsidRPr="00BC4EE7">
        <w:rPr>
          <w:rStyle w:val="FootnoteReference"/>
          <w:rFonts w:ascii="Times New Roman" w:hAnsi="Times New Roman" w:cs="Times New Roman"/>
          <w:noProof/>
        </w:rPr>
        <w:footnoteReference w:id="72"/>
      </w:r>
      <w:r w:rsidRPr="00BC4EE7">
        <w:rPr>
          <w:rFonts w:ascii="Times New Roman" w:hAnsi="Times New Roman" w:cs="Times New Roman"/>
          <w:noProof/>
        </w:rPr>
        <w:t xml:space="preserve"> és mechanikai-biológiai hulladékkezelő létesítményekkel kapcsolatos tevékenységek</w:t>
      </w:r>
      <w:r w:rsidRPr="00BC4EE7">
        <w:rPr>
          <w:rStyle w:val="FootnoteReference"/>
          <w:rFonts w:ascii="Times New Roman" w:hAnsi="Times New Roman" w:cs="Times New Roman"/>
          <w:noProof/>
        </w:rPr>
        <w:footnoteReference w:id="73"/>
      </w:r>
      <w:r w:rsidRPr="00BC4EE7">
        <w:rPr>
          <w:rFonts w:ascii="Times New Roman" w:hAnsi="Times New Roman" w:cs="Times New Roman"/>
          <w:noProof/>
        </w:rPr>
        <w:t>; valamint iv. azok a tevékenységek, amelyek esetében a hulladék hosszú távú ártalmatlanítása károsíthatja a környezetet. A feladatmeghatározás előírja továbbá, hogy csak olyan tevékenységek választhatók ki, amelyek megfelelnek a vonatkozó uniós és nemzeti környezetvédelmi jogszabályoknak.</w:t>
      </w:r>
    </w:p>
    <w:p w14:paraId="1E392410" w14:textId="0AEF2FA9" w:rsidR="00D65CB4" w:rsidRPr="00BC4EE7" w:rsidRDefault="00572307">
      <w:pPr>
        <w:pStyle w:val="P68B1DB1-Normal4"/>
        <w:spacing w:line="240" w:lineRule="auto"/>
        <w:jc w:val="both"/>
        <w:rPr>
          <w:rFonts w:cs="Times New Roman"/>
          <w:noProof/>
        </w:rPr>
      </w:pPr>
      <w:r w:rsidRPr="00BC4EE7">
        <w:rPr>
          <w:rFonts w:cs="Times New Roman"/>
          <w:noProof/>
        </w:rPr>
        <w:t xml:space="preserve">A beruházás végrehajtását 2025. december 31-ig be kell fejezni. </w:t>
      </w:r>
    </w:p>
    <w:p w14:paraId="11292CFE" w14:textId="77777777" w:rsidR="00D65CB4" w:rsidRPr="00BC4EE7" w:rsidRDefault="00572307">
      <w:pPr>
        <w:pStyle w:val="P68B1DB1-Text119"/>
        <w:ind w:left="0"/>
        <w:rPr>
          <w:rFonts w:cs="Times New Roman"/>
          <w:noProof/>
        </w:rPr>
      </w:pPr>
      <w:r w:rsidRPr="00BC4EE7">
        <w:rPr>
          <w:rFonts w:cs="Times New Roman"/>
          <w:noProof/>
        </w:rPr>
        <w:t xml:space="preserve">Beruházás (C13.I2) – Növekedés </w:t>
      </w:r>
    </w:p>
    <w:p w14:paraId="73AFC212" w14:textId="77777777" w:rsidR="00D65CB4" w:rsidRPr="00BC4EE7" w:rsidRDefault="00572307">
      <w:pPr>
        <w:pStyle w:val="P68B1DB1-Text118"/>
        <w:ind w:left="0"/>
        <w:rPr>
          <w:rFonts w:cs="Times New Roman"/>
          <w:noProof/>
        </w:rPr>
      </w:pPr>
      <w:r w:rsidRPr="00BC4EE7">
        <w:rPr>
          <w:rFonts w:cs="Times New Roman"/>
          <w:noProof/>
        </w:rPr>
        <w:t xml:space="preserve">Az intézkedés célja a kkv-k növekedésének előmozdítása. </w:t>
      </w:r>
    </w:p>
    <w:p w14:paraId="38B5166A" w14:textId="77777777" w:rsidR="00D65CB4" w:rsidRPr="00BC4EE7" w:rsidRDefault="00572307">
      <w:pPr>
        <w:pStyle w:val="P68B1DB1-Text118"/>
        <w:ind w:left="0"/>
        <w:rPr>
          <w:rFonts w:cs="Times New Roman"/>
          <w:noProof/>
        </w:rPr>
      </w:pPr>
      <w:r w:rsidRPr="00BC4EE7">
        <w:rPr>
          <w:rFonts w:cs="Times New Roman"/>
          <w:noProof/>
        </w:rPr>
        <w:t>A beruházás a következőkre irányuló intézkedésekből áll:</w:t>
      </w:r>
    </w:p>
    <w:p w14:paraId="1629AD50" w14:textId="77777777" w:rsidR="00D65CB4" w:rsidRPr="00BC4EE7" w:rsidRDefault="00572307">
      <w:pPr>
        <w:pStyle w:val="P68B1DB1-Text118"/>
        <w:ind w:left="0"/>
        <w:rPr>
          <w:rFonts w:cs="Times New Roman"/>
          <w:noProof/>
        </w:rPr>
      </w:pPr>
      <w:r w:rsidRPr="00BC4EE7">
        <w:rPr>
          <w:rFonts w:cs="Times New Roman"/>
          <w:noProof/>
        </w:rPr>
        <w:t>A „Készségek a kkv-k növekedéséhez” program keretében egyes kkv-knak nyújtott támogatás (11000). E program célja, hogy biztosítsa a vállalatok számára a növekedéshez és a versenyképesség növeléséhez szükséges készségeket, megváltoztatva üzleti modelljüket és hozzájárulva a kettős átálláshoz;</w:t>
      </w:r>
    </w:p>
    <w:p w14:paraId="57EA9081" w14:textId="77777777" w:rsidR="00D65CB4" w:rsidRPr="00BC4EE7" w:rsidRDefault="00572307">
      <w:pPr>
        <w:pStyle w:val="P68B1DB1-Text118"/>
        <w:ind w:left="0"/>
        <w:rPr>
          <w:rFonts w:cs="Times New Roman"/>
          <w:noProof/>
        </w:rPr>
      </w:pPr>
      <w:r w:rsidRPr="00BC4EE7">
        <w:rPr>
          <w:rFonts w:cs="Times New Roman"/>
          <w:noProof/>
        </w:rPr>
        <w:t>A kkv-k által kidolgozott ipari projektek (1500) hosszú távú pénzügyi támogatása az új ipari létesítményekbe történő beruházás vagy a meglévők bővítése keretében megvalósuló tevékenységekhez, figyelembe véve az éghajlatváltozás mérsékléséhez való hozzájárulás lehetőségét.</w:t>
      </w:r>
    </w:p>
    <w:p w14:paraId="5CB698C7" w14:textId="77777777" w:rsidR="00D65CB4" w:rsidRPr="00BC4EE7" w:rsidRDefault="00572307">
      <w:pPr>
        <w:pStyle w:val="P68B1DB1-Text118"/>
        <w:ind w:left="0"/>
        <w:rPr>
          <w:rFonts w:cs="Times New Roman"/>
          <w:noProof/>
        </w:rPr>
      </w:pPr>
      <w:r w:rsidRPr="00BC4EE7">
        <w:rPr>
          <w:rFonts w:cs="Times New Roman"/>
          <w:noProof/>
        </w:rPr>
        <w:t xml:space="preserve">A kkv-k finanszírozáshoz való hozzáférésének javítása pénzügyi, kereskedelmi és technikai garanciák formájában nyújtott támogatás révén a </w:t>
      </w:r>
      <w:r w:rsidRPr="00BC4EE7">
        <w:rPr>
          <w:rFonts w:cs="Times New Roman"/>
          <w:i/>
          <w:noProof/>
        </w:rPr>
        <w:t>Compañia Española de Reafianzamiento SME S.A. (</w:t>
      </w:r>
      <w:r w:rsidRPr="00BC4EE7">
        <w:rPr>
          <w:rFonts w:cs="Times New Roman"/>
          <w:noProof/>
        </w:rPr>
        <w:t xml:space="preserve"> CERSA) megerősítése révén, összhangban a Helyreállítási és Rezilienciaépítési Eszközről szóló rendelet támogathatósági kritériumaival, amint azt a tagállamoknak szóló, 2021. január 21-i iránymutatás tartalmazza. E cselekvési irányvonal részeként a CERSA a viszontgarancia fedezetén keresztül hosszú távú támogatást nyújt a regionális kölcsönös garanciatársaságoknak, fedezve az általuk viselt kockázatot. A CERSA-nak elő kell mozdítania a kkv-k versenyképességét és rezilienciáját, többek között három új, célzott költségvetési sor révén, amelyek lehetővé teszik a hosszú távú finanszírozási és működőtőke-műveletekhez való hozzáférést e beruházás keretében a következő területeken: digitalizáció; fenntarthatóság; növekedés és helyreállítás (a reziliencia megerősítése, főként a Covid19-világjárvány által érintett, jelentős átalakítási és növekedési tervek végrehajtására kész kkv-k esetében). </w:t>
      </w:r>
    </w:p>
    <w:p w14:paraId="640FE40E" w14:textId="77777777" w:rsidR="00D65CB4" w:rsidRPr="00BC4EE7" w:rsidRDefault="00572307">
      <w:pPr>
        <w:pStyle w:val="P68B1DB1-Text118"/>
        <w:ind w:left="0"/>
        <w:rPr>
          <w:rFonts w:cs="Times New Roman"/>
          <w:noProof/>
        </w:rPr>
      </w:pPr>
      <w:r w:rsidRPr="00BC4EE7">
        <w:rPr>
          <w:rFonts w:cs="Times New Roman"/>
          <w:noProof/>
        </w:rPr>
        <w:t xml:space="preserve">Ezenkívül a pénzügyi garanciaeszköz végrehajtásához megállapodást kell kötni a beruházásért felelős minisztérium és a végrehajtó partner vagy a megbízott szervezet között. A megállapodásnak kötelezettségekbe kell átültetnie a helyreállítási és rezilienciaépítési tervben foglalt információkat. Továbbá, a pénzügyi eszközhöz kapcsolódó visszaáramlásokat (azaz a hitel kamatait, a tőkearányos jövedelmezőséget vagy a visszafizetett tőkét, mínusz a kapcsolódó költségek) ugyanazon szakpolitikai célkitűzések érdekében újra be kell fektetni, 2026 után is. Annak biztosítása érdekében, hogy az intézkedés megfeleljen a jelentős károkozás elkerülését célzó technikai iránymutatásnak (2021/C58/01), a spanyol hatóságok és a pénzügyi eszközért felelős megbízott szervezet vagy pénzügyi közvetítő közötti jogi megállapodásnak és a pénzügyi eszköz ezt követő befektetési politikájának: </w:t>
      </w:r>
    </w:p>
    <w:p w14:paraId="50ACDE27" w14:textId="77777777" w:rsidR="00D65CB4" w:rsidRPr="00BC4EE7" w:rsidRDefault="00572307">
      <w:pPr>
        <w:pStyle w:val="P68B1DB1-Text118"/>
        <w:numPr>
          <w:ilvl w:val="0"/>
          <w:numId w:val="199"/>
        </w:numPr>
        <w:rPr>
          <w:rFonts w:cs="Times New Roman"/>
          <w:noProof/>
        </w:rPr>
      </w:pPr>
      <w:r w:rsidRPr="00BC4EE7">
        <w:rPr>
          <w:rFonts w:cs="Times New Roman"/>
          <w:noProof/>
        </w:rPr>
        <w:t>az InvestEU Alap fenntarthatósági vizsgálatára vonatkozó bizottsági technikai iránymutatás alkalmazásának előírása;</w:t>
      </w:r>
    </w:p>
    <w:p w14:paraId="12D35BAE" w14:textId="77777777" w:rsidR="00D65CB4" w:rsidRPr="00BC4EE7" w:rsidRDefault="00572307">
      <w:pPr>
        <w:pStyle w:val="P68B1DB1-Text118"/>
        <w:numPr>
          <w:ilvl w:val="0"/>
          <w:numId w:val="199"/>
        </w:numPr>
        <w:rPr>
          <w:rFonts w:cs="Times New Roman"/>
          <w:noProof/>
        </w:rPr>
      </w:pPr>
      <w:r w:rsidRPr="00BC4EE7">
        <w:rPr>
          <w:rFonts w:cs="Times New Roman"/>
          <w:noProof/>
        </w:rPr>
        <w:t>a tevékenységek és eszközök alábbi listájának kizárása a támogathatóság köréből: a fosszilis tüzelőanyagokhoz kapcsolódó tevékenységek és eszközök, beleértve a downstream felhasználást is</w:t>
      </w:r>
      <w:r w:rsidRPr="00BC4EE7">
        <w:rPr>
          <w:rFonts w:cs="Times New Roman"/>
          <w:noProof/>
        </w:rPr>
        <w:footnoteReference w:id="74"/>
      </w:r>
      <w:r w:rsidRPr="00BC4EE7">
        <w:rPr>
          <w:rFonts w:cs="Times New Roman"/>
          <w:noProof/>
        </w:rPr>
        <w:t>; ii. az uniós kibocsátáskereskedelmi rendszer (ETS) keretében végzett olyan tevékenységek és eszközök, amelyek elérik a vonatkozó referenciaértékeket meg nem haladó, előre jelzett üvegházhatásúgáz-kibocsátást</w:t>
      </w:r>
      <w:r w:rsidRPr="00BC4EE7">
        <w:rPr>
          <w:rFonts w:cs="Times New Roman"/>
          <w:noProof/>
        </w:rPr>
        <w:footnoteReference w:id="75"/>
      </w:r>
      <w:r w:rsidRPr="00BC4EE7">
        <w:rPr>
          <w:rFonts w:cs="Times New Roman"/>
          <w:noProof/>
        </w:rPr>
        <w:t>; a hulladéklerakókkal, hulladékégetőkkel és mechanikai-biológiai hulladékkezelő létesítményekkel kapcsolatos tevékenységek</w:t>
      </w:r>
      <w:r w:rsidRPr="00BC4EE7">
        <w:rPr>
          <w:rFonts w:cs="Times New Roman"/>
          <w:noProof/>
        </w:rPr>
        <w:footnoteReference w:id="76"/>
      </w:r>
      <w:r w:rsidRPr="00BC4EE7">
        <w:rPr>
          <w:rFonts w:cs="Times New Roman"/>
          <w:noProof/>
        </w:rPr>
        <w:t xml:space="preserve"> és eszközök</w:t>
      </w:r>
      <w:r w:rsidRPr="00BC4EE7">
        <w:rPr>
          <w:rFonts w:cs="Times New Roman"/>
          <w:noProof/>
        </w:rPr>
        <w:footnoteReference w:id="77"/>
      </w:r>
      <w:r w:rsidRPr="00BC4EE7">
        <w:rPr>
          <w:rFonts w:cs="Times New Roman"/>
          <w:noProof/>
        </w:rPr>
        <w:t>; valamint iv. olyan tevékenységek és eszközök, amelyek esetében a hosszú távú hulladékártalmatlanítás károsíthatja a környezetet; és</w:t>
      </w:r>
    </w:p>
    <w:p w14:paraId="5170F010" w14:textId="77777777" w:rsidR="00D65CB4" w:rsidRPr="00BC4EE7" w:rsidRDefault="00572307">
      <w:pPr>
        <w:pStyle w:val="P68B1DB1-Text118"/>
        <w:numPr>
          <w:ilvl w:val="0"/>
          <w:numId w:val="199"/>
        </w:numPr>
        <w:rPr>
          <w:rFonts w:cs="Times New Roman"/>
          <w:noProof/>
        </w:rPr>
      </w:pPr>
      <w:r w:rsidRPr="00BC4EE7">
        <w:rPr>
          <w:rFonts w:cs="Times New Roman"/>
          <w:noProof/>
        </w:rPr>
        <w:t>annak előírása, hogy a megbízott szervezet/pénzügyi közvetítő ellenőrizze, hogy a projektek megfelelnek-e a vonatkozó uniós és nemzeti környezetvédelmi jogszabályoknak, valamennyi ügylet esetében, beleértve a fenntarthatósági vizsgálat alól mentesülő ügyleteket is.</w:t>
      </w:r>
    </w:p>
    <w:p w14:paraId="74B66515" w14:textId="77777777" w:rsidR="00D65CB4" w:rsidRPr="00BC4EE7" w:rsidRDefault="00572307">
      <w:pPr>
        <w:pStyle w:val="Text1"/>
        <w:ind w:left="0"/>
        <w:rPr>
          <w:rFonts w:ascii="Times New Roman" w:hAnsi="Times New Roman" w:cs="Times New Roman"/>
          <w:noProof/>
          <w:highlight w:val="green"/>
        </w:rPr>
      </w:pPr>
      <w:r w:rsidRPr="00BC4EE7">
        <w:rPr>
          <w:rFonts w:ascii="Times New Roman" w:hAnsi="Times New Roman" w:cs="Times New Roman"/>
          <w:noProof/>
        </w:rPr>
        <w:t>A pályázatok esetében annak biztosítása érdekében, hogy az intézkedés megfeleljen a jelentős károkozás elkerülését célzó technikai iránymutatásnak (2021/C58/01), a soron következő pályázati felhívásokra vonatkozó feladatmeghatározásban szereplő támogathatósági kritériumoknak ki kell zárniuk a tevékenységek következő listáját: a fosszilis tüzelőanyagokkal kapcsolatos tevékenységek, beleértve a továbbfelhasználást is</w:t>
      </w:r>
      <w:r w:rsidRPr="00BC4EE7">
        <w:rPr>
          <w:rStyle w:val="FootnoteReference"/>
          <w:rFonts w:ascii="Times New Roman" w:hAnsi="Times New Roman" w:cs="Times New Roman"/>
          <w:noProof/>
        </w:rPr>
        <w:footnoteReference w:id="78"/>
      </w:r>
      <w:r w:rsidRPr="00BC4EE7">
        <w:rPr>
          <w:rFonts w:ascii="Times New Roman" w:hAnsi="Times New Roman" w:cs="Times New Roman"/>
          <w:noProof/>
        </w:rPr>
        <w:t>; ii. az uniós kibocsátáskereskedelmi rendszer (ETS) keretében végzett tevékenységek, amelyek elérik a vonatkozó referenciaértékeket meg nem haladó, előre jelzett üvegházhatásúgáz-kibocsátást</w:t>
      </w:r>
      <w:r w:rsidRPr="00BC4EE7">
        <w:rPr>
          <w:rStyle w:val="FootnoteReference"/>
          <w:rFonts w:ascii="Times New Roman" w:hAnsi="Times New Roman" w:cs="Times New Roman"/>
          <w:noProof/>
        </w:rPr>
        <w:footnoteReference w:id="79"/>
      </w:r>
      <w:r w:rsidRPr="00BC4EE7">
        <w:rPr>
          <w:rFonts w:ascii="Times New Roman" w:hAnsi="Times New Roman" w:cs="Times New Roman"/>
          <w:noProof/>
        </w:rPr>
        <w:t>; hulladéklerakókkal, hulladékégetőkkel</w:t>
      </w:r>
      <w:r w:rsidRPr="00BC4EE7">
        <w:rPr>
          <w:rStyle w:val="FootnoteReference"/>
          <w:rFonts w:ascii="Times New Roman" w:hAnsi="Times New Roman" w:cs="Times New Roman"/>
          <w:noProof/>
        </w:rPr>
        <w:footnoteReference w:id="80"/>
      </w:r>
      <w:r w:rsidRPr="00BC4EE7">
        <w:rPr>
          <w:rFonts w:ascii="Times New Roman" w:hAnsi="Times New Roman" w:cs="Times New Roman"/>
          <w:noProof/>
        </w:rPr>
        <w:t xml:space="preserve"> és mechanikai-biológiai hulladékkezelő létesítményekkel kapcsolatos tevékenységek</w:t>
      </w:r>
      <w:r w:rsidRPr="00BC4EE7">
        <w:rPr>
          <w:rStyle w:val="FootnoteReference"/>
          <w:rFonts w:ascii="Times New Roman" w:hAnsi="Times New Roman" w:cs="Times New Roman"/>
          <w:noProof/>
        </w:rPr>
        <w:footnoteReference w:id="81"/>
      </w:r>
      <w:r w:rsidRPr="00BC4EE7">
        <w:rPr>
          <w:rFonts w:ascii="Times New Roman" w:hAnsi="Times New Roman" w:cs="Times New Roman"/>
          <w:noProof/>
        </w:rPr>
        <w:t>; valamint iv. azok a tevékenységek, amelyek esetében a hulladék hosszú távú ártalmatlanítása károsíthatja a környezetet. A feladatmeghatározás előírja továbbá, hogy csak olyan tevékenységek választhatók ki, amelyek megfelelnek a vonatkozó uniós és nemzeti környezetvédelmi jogszabályoknak.</w:t>
      </w:r>
    </w:p>
    <w:p w14:paraId="1450DD94" w14:textId="15040BF0" w:rsidR="00D65CB4" w:rsidRPr="00BC4EE7" w:rsidRDefault="00572307">
      <w:pPr>
        <w:pStyle w:val="P68B1DB1-Normal4"/>
        <w:spacing w:line="240" w:lineRule="auto"/>
        <w:jc w:val="both"/>
        <w:rPr>
          <w:rFonts w:cs="Times New Roman"/>
          <w:noProof/>
        </w:rPr>
      </w:pPr>
      <w:r w:rsidRPr="00BC4EE7">
        <w:rPr>
          <w:rFonts w:cs="Times New Roman"/>
          <w:noProof/>
        </w:rPr>
        <w:t>A beruházás végrehajtását 2024. december 31-ig be kell fejezni.</w:t>
      </w:r>
    </w:p>
    <w:p w14:paraId="7D512F7C" w14:textId="494020C6" w:rsidR="00D65CB4" w:rsidRPr="00BC4EE7" w:rsidRDefault="00572307">
      <w:pPr>
        <w:pStyle w:val="P68B1DB1-Text119"/>
        <w:ind w:left="0"/>
        <w:rPr>
          <w:rFonts w:cs="Times New Roman"/>
          <w:noProof/>
        </w:rPr>
      </w:pPr>
      <w:r w:rsidRPr="00BC4EE7">
        <w:rPr>
          <w:rFonts w:cs="Times New Roman"/>
          <w:noProof/>
        </w:rPr>
        <w:t xml:space="preserve">Beruházás (C13.I3) Digitalizáció és innováció </w:t>
      </w:r>
    </w:p>
    <w:p w14:paraId="2E979525" w14:textId="77777777" w:rsidR="00D65CB4" w:rsidRPr="00BC4EE7" w:rsidRDefault="00572307">
      <w:pPr>
        <w:pStyle w:val="P68B1DB1-Text118"/>
        <w:ind w:left="0"/>
        <w:rPr>
          <w:rFonts w:cs="Times New Roman"/>
          <w:noProof/>
        </w:rPr>
      </w:pPr>
      <w:r w:rsidRPr="00BC4EE7">
        <w:rPr>
          <w:rFonts w:cs="Times New Roman"/>
          <w:noProof/>
        </w:rPr>
        <w:t>E beruházás célja, hogy a kkv-kat felvértezze a digitális átálláshoz való hozzájáruláshoz és az abból eredő kihívások kezeléséhez szükséges készségekkel és eszközökkel. Összhangban van Spanyolország 2025-ig tartó időszakra szóló digitális menetrendjével, és a konnektivitásra vonatkozó 15. komponensben és a digitális készségekre vonatkozó 19. komponensben foglalt intézkedésekkel egészül ki.</w:t>
      </w:r>
    </w:p>
    <w:p w14:paraId="084171E7" w14:textId="77777777" w:rsidR="00D65CB4" w:rsidRPr="00BC4EE7" w:rsidRDefault="00572307">
      <w:pPr>
        <w:pStyle w:val="P68B1DB1-Text118"/>
        <w:ind w:left="0"/>
        <w:rPr>
          <w:rFonts w:cs="Times New Roman"/>
          <w:noProof/>
        </w:rPr>
      </w:pPr>
      <w:r w:rsidRPr="00BC4EE7">
        <w:rPr>
          <w:rFonts w:cs="Times New Roman"/>
          <w:noProof/>
        </w:rPr>
        <w:t>A beruházásnak a következő különböző intézkedésekre kell összpontosítania:</w:t>
      </w:r>
    </w:p>
    <w:p w14:paraId="51BB6D01" w14:textId="6F6D0FDA" w:rsidR="00D65CB4" w:rsidRPr="00BC4EE7" w:rsidRDefault="00572307">
      <w:pPr>
        <w:pStyle w:val="P68B1DB1-Text118"/>
        <w:ind w:left="0"/>
        <w:rPr>
          <w:rFonts w:cs="Times New Roman"/>
          <w:noProof/>
        </w:rPr>
      </w:pPr>
      <w:r w:rsidRPr="00BC4EE7">
        <w:rPr>
          <w:rFonts w:cs="Times New Roman"/>
          <w:noProof/>
        </w:rPr>
        <w:t xml:space="preserve">1. </w:t>
      </w:r>
      <w:r w:rsidRPr="00BC4EE7">
        <w:rPr>
          <w:rFonts w:cs="Times New Roman"/>
          <w:noProof/>
          <w:u w:val="single"/>
        </w:rPr>
        <w:t>Digitális eszköztár:</w:t>
      </w:r>
      <w:r w:rsidRPr="00BC4EE7">
        <w:rPr>
          <w:rFonts w:cs="Times New Roman"/>
          <w:noProof/>
        </w:rPr>
        <w:t xml:space="preserve"> Ezen intézkedés keretében ez a fő intézkedés, amely a gazdasági tevékenységek bármely ágazatában fellendíti a kis- és középvállalkozások (tíz-250 főnél kevesebb alkalmazott), a mikrovállalkozások (1–9 alkalmazott) és az önfoglalkoztatók digitalizációját, növelve digitális érettségi szintjüket. A program olyan támogatások biztosításán alapul, amelyek támogatják a digitális technológia integrációját az e-kereskedelem hatékony bevezetése, a közigazgatással és az ügyfelekkel való kapcsolatok digitalizálása, a digitális belső folyamatok fejlesztése, valamint az e-számlázás és a digitális marketing bevezetése érdekében; különösen szolgáltatásorientált megoldások előmozdítása. A program részben támogatja többek között az olyan alapvető digitális megoldásokból álló csomagok elfogadásának költségeit, mint az internetes jelenlét, az e-értékesítés, a felhőalapú iroda, a digitális munka, a digitalizációs alapfolyamatok, az ügyfélkezelés, a digitális marketing, a kiberbiztonság. Minden DTK digitalizálási csomaghoz rögzített támogatási összeget kell rendelni, amelyet minden pályázati felhívásban a vállalkozás méretének és a tevékenységi ágazatnak megfelelően kell meghatározni.</w:t>
      </w:r>
    </w:p>
    <w:p w14:paraId="1E51A126" w14:textId="77777777" w:rsidR="00D65CB4" w:rsidRPr="00BC4EE7" w:rsidRDefault="00572307">
      <w:pPr>
        <w:pStyle w:val="P68B1DB1-Text118"/>
        <w:ind w:left="0"/>
        <w:rPr>
          <w:rFonts w:cs="Times New Roman"/>
          <w:noProof/>
        </w:rPr>
      </w:pPr>
      <w:r w:rsidRPr="00BC4EE7">
        <w:rPr>
          <w:rFonts w:cs="Times New Roman"/>
          <w:noProof/>
        </w:rPr>
        <w:t>„A változás</w:t>
      </w:r>
      <w:r w:rsidRPr="00BC4EE7">
        <w:rPr>
          <w:rFonts w:cs="Times New Roman"/>
          <w:noProof/>
          <w:u w:val="single"/>
        </w:rPr>
        <w:t>szereplői” program</w:t>
      </w:r>
      <w:r w:rsidRPr="00BC4EE7">
        <w:rPr>
          <w:rFonts w:cs="Times New Roman"/>
          <w:noProof/>
        </w:rPr>
        <w:t>: ez a program legalább 15000 kis- és középvállalkozást (tíz-249 alkalmazottat) támogat digitális átalakulási folyamataikban.</w:t>
      </w:r>
    </w:p>
    <w:p w14:paraId="3C9FE3DB" w14:textId="77777777" w:rsidR="00D65CB4" w:rsidRPr="00BC4EE7" w:rsidRDefault="00572307">
      <w:pPr>
        <w:pStyle w:val="P68B1DB1-Text118"/>
        <w:ind w:left="0"/>
        <w:rPr>
          <w:rFonts w:cs="Times New Roman"/>
          <w:noProof/>
        </w:rPr>
      </w:pPr>
      <w:r w:rsidRPr="00BC4EE7">
        <w:rPr>
          <w:rFonts w:cs="Times New Roman"/>
          <w:noProof/>
        </w:rPr>
        <w:t>„</w:t>
      </w:r>
      <w:r w:rsidRPr="00BC4EE7">
        <w:rPr>
          <w:rFonts w:cs="Times New Roman"/>
          <w:noProof/>
          <w:u w:val="single"/>
        </w:rPr>
        <w:t>Kkv 2.0 akcelerátorok” program</w:t>
      </w:r>
      <w:r w:rsidRPr="00BC4EE7">
        <w:rPr>
          <w:rFonts w:cs="Times New Roman"/>
          <w:noProof/>
        </w:rPr>
        <w:t>: ez egy olyan intézkedés, amely e beruházás keretében kibővíti a kkv-k digitalizációját támogató infrastruktúrát tanácsadási szolgáltatásokkal és képzési szolgáltatásokkal.</w:t>
      </w:r>
    </w:p>
    <w:p w14:paraId="5CF5131C" w14:textId="25835A43" w:rsidR="00D65CB4" w:rsidRPr="00BC4EE7" w:rsidRDefault="00572307">
      <w:pPr>
        <w:pStyle w:val="P68B1DB1-Text118"/>
        <w:ind w:left="0"/>
        <w:rPr>
          <w:rFonts w:cs="Times New Roman"/>
          <w:noProof/>
        </w:rPr>
      </w:pPr>
      <w:r w:rsidRPr="00BC4EE7">
        <w:rPr>
          <w:rFonts w:cs="Times New Roman"/>
          <w:noProof/>
        </w:rPr>
        <w:t>„</w:t>
      </w:r>
      <w:r w:rsidRPr="00BC4EE7">
        <w:rPr>
          <w:rFonts w:cs="Times New Roman"/>
          <w:noProof/>
          <w:u w:val="single"/>
        </w:rPr>
        <w:t>Innovatív üzleti klasztertámogatás” program</w:t>
      </w:r>
      <w:r w:rsidRPr="00BC4EE7">
        <w:rPr>
          <w:rFonts w:cs="Times New Roman"/>
          <w:noProof/>
        </w:rPr>
        <w:t>: ez az intézkedés az Ipari és Idegenforgalmi Minisztérium kkv-kat támogató politikájának részeként az innovatív üzleti klaszterek és a hozzájuk kapcsolódó szervezetek által végrehajtott, a különböző gazdasági ágazatok értékláncának digitalizálására irányuló projekteket támogat.</w:t>
      </w:r>
    </w:p>
    <w:p w14:paraId="40EB0F1C" w14:textId="16698A39" w:rsidR="00D65CB4" w:rsidRPr="00BC4EE7" w:rsidRDefault="00572307">
      <w:pPr>
        <w:pStyle w:val="Text1"/>
        <w:ind w:left="0"/>
        <w:rPr>
          <w:rFonts w:ascii="Times New Roman" w:hAnsi="Times New Roman" w:cs="Times New Roman"/>
          <w:noProof/>
        </w:rPr>
      </w:pPr>
      <w:r w:rsidRPr="00BC4EE7">
        <w:rPr>
          <w:rFonts w:ascii="Times New Roman" w:hAnsi="Times New Roman" w:cs="Times New Roman"/>
          <w:noProof/>
        </w:rPr>
        <w:t>„</w:t>
      </w:r>
      <w:r w:rsidRPr="00BC4EE7">
        <w:rPr>
          <w:rFonts w:ascii="Times New Roman" w:hAnsi="Times New Roman" w:cs="Times New Roman"/>
          <w:noProof/>
          <w:u w:val="single"/>
        </w:rPr>
        <w:t>Digitális innovációs központok” (DIH) program</w:t>
      </w:r>
      <w:r w:rsidRPr="00BC4EE7">
        <w:rPr>
          <w:rFonts w:ascii="Times New Roman" w:hAnsi="Times New Roman" w:cs="Times New Roman"/>
          <w:noProof/>
        </w:rPr>
        <w:t xml:space="preserve">: ez a program a spanyolországi digitális innovációs központok fejlesztését támogatja. A digitális innovációs központok olyan struktúrák, amelyek segítik a vállalkozásokat abban, hogy a digitális technológiák intenzív használata révén üzleti és termelési folyamataikat javítva reagáljanak a digitális kihívásokra és versenyképesebbé váljanak. Ennek a 25. alintézkedésnek a keretében digitális innovációs központok (DIH-k) támogathatók annak érdekében, hogy a kkv-k számára szolgáltatásokat nyújthassanak. A 25 digitális innovációs központ közül 12 kaphat támogatást a Digitális Európa programból. A Digitális Európa program által konkrét munkacsomagokhoz nyújtott támogatás nem vehető figyelembe e beruházás megvalósításához.  </w:t>
      </w:r>
    </w:p>
    <w:p w14:paraId="14AF7B44" w14:textId="07E65BCD" w:rsidR="00D65CB4" w:rsidRPr="00BC4EE7" w:rsidRDefault="00572307">
      <w:pPr>
        <w:pStyle w:val="Text1"/>
        <w:ind w:left="0"/>
        <w:rPr>
          <w:rFonts w:ascii="Times New Roman" w:hAnsi="Times New Roman" w:cs="Times New Roman"/>
          <w:noProof/>
          <w:highlight w:val="green"/>
        </w:rPr>
      </w:pPr>
      <w:r w:rsidRPr="00BC4EE7">
        <w:rPr>
          <w:rFonts w:ascii="Times New Roman" w:hAnsi="Times New Roman" w:cs="Times New Roman"/>
          <w:noProof/>
        </w:rPr>
        <w:t>Annak biztosítása érdekében, hogy az intézkedés megfeleljen a jelentős károkozás elkerülését célzó elvről szóló technikai iránymutatásnak (2021/C58/01), a soron következő pályázati felhívásokra vonatkozó feladatmeghatározásban szereplő támogathatósági kritériumok nem tartalmazzák a tevékenységek alábbi listáját: a fosszilis tüzelőanyagokkal kapcsolatos tevékenységek, beleértve a továbbfelhasználást is</w:t>
      </w:r>
      <w:r w:rsidRPr="00BC4EE7">
        <w:rPr>
          <w:rStyle w:val="FootnoteReference"/>
          <w:rFonts w:ascii="Times New Roman" w:hAnsi="Times New Roman" w:cs="Times New Roman"/>
          <w:noProof/>
        </w:rPr>
        <w:footnoteReference w:id="82"/>
      </w:r>
      <w:r w:rsidRPr="00BC4EE7">
        <w:rPr>
          <w:rFonts w:ascii="Times New Roman" w:hAnsi="Times New Roman" w:cs="Times New Roman"/>
          <w:noProof/>
        </w:rPr>
        <w:t>; ii. az uniós kibocsátáskereskedelmi rendszer (ETS) keretében végzett tevékenységek, amelyek elérik a vonatkozó referenciaértékeket meg nem haladó, előre jelzett üvegházhatásúgáz-kibocsátást</w:t>
      </w:r>
      <w:r w:rsidRPr="00BC4EE7">
        <w:rPr>
          <w:rStyle w:val="FootnoteReference"/>
          <w:rFonts w:ascii="Times New Roman" w:hAnsi="Times New Roman" w:cs="Times New Roman"/>
          <w:noProof/>
        </w:rPr>
        <w:footnoteReference w:id="83"/>
      </w:r>
      <w:r w:rsidRPr="00BC4EE7">
        <w:rPr>
          <w:rFonts w:ascii="Times New Roman" w:hAnsi="Times New Roman" w:cs="Times New Roman"/>
          <w:noProof/>
        </w:rPr>
        <w:t>; hulladéklerakókkal, hulladékégetőkkel</w:t>
      </w:r>
      <w:r w:rsidRPr="00BC4EE7">
        <w:rPr>
          <w:rStyle w:val="FootnoteReference"/>
          <w:rFonts w:ascii="Times New Roman" w:hAnsi="Times New Roman" w:cs="Times New Roman"/>
          <w:noProof/>
        </w:rPr>
        <w:footnoteReference w:id="84"/>
      </w:r>
      <w:r w:rsidRPr="00BC4EE7">
        <w:rPr>
          <w:rFonts w:ascii="Times New Roman" w:hAnsi="Times New Roman" w:cs="Times New Roman"/>
          <w:noProof/>
        </w:rPr>
        <w:t xml:space="preserve"> és mechanikai-biológiai hulladékkezelő létesítményekkel kapcsolatos tevékenységek</w:t>
      </w:r>
      <w:r w:rsidRPr="00BC4EE7">
        <w:rPr>
          <w:rStyle w:val="FootnoteReference"/>
          <w:rFonts w:ascii="Times New Roman" w:hAnsi="Times New Roman" w:cs="Times New Roman"/>
          <w:noProof/>
        </w:rPr>
        <w:footnoteReference w:id="85"/>
      </w:r>
      <w:r w:rsidRPr="00BC4EE7">
        <w:rPr>
          <w:rFonts w:ascii="Times New Roman" w:hAnsi="Times New Roman" w:cs="Times New Roman"/>
          <w:noProof/>
        </w:rPr>
        <w:t>; valamint iv. azok a tevékenységek, amelyek esetében a hulladék hosszú távú ártalmatlanítása károsíthatja a környezetet. A feladatmeghatározás előírja továbbá, hogy csak olyan tevékenységek választhatók ki, amelyek megfelelnek a vonatkozó uniós és nemzeti környezetvédelmi jogszabályoknak.</w:t>
      </w:r>
    </w:p>
    <w:p w14:paraId="2B18AE3B" w14:textId="677E1B25" w:rsidR="00D65CB4" w:rsidRPr="00BC4EE7" w:rsidRDefault="00572307">
      <w:pPr>
        <w:pStyle w:val="P68B1DB1-Normal4"/>
        <w:spacing w:line="240" w:lineRule="auto"/>
        <w:jc w:val="both"/>
        <w:rPr>
          <w:rFonts w:cs="Times New Roman"/>
          <w:noProof/>
        </w:rPr>
      </w:pPr>
      <w:r w:rsidRPr="00BC4EE7">
        <w:rPr>
          <w:rFonts w:cs="Times New Roman"/>
          <w:noProof/>
        </w:rPr>
        <w:t>A beruházás végrehajtását 2026. június 30-ig be kell fejezni.</w:t>
      </w:r>
    </w:p>
    <w:p w14:paraId="6CE0CEB2" w14:textId="77777777" w:rsidR="00D65CB4" w:rsidRPr="00BC4EE7" w:rsidRDefault="00572307">
      <w:pPr>
        <w:pStyle w:val="P68B1DB1-Text119"/>
        <w:ind w:left="0"/>
        <w:rPr>
          <w:rFonts w:cs="Times New Roman"/>
          <w:noProof/>
        </w:rPr>
      </w:pPr>
      <w:r w:rsidRPr="00BC4EE7">
        <w:rPr>
          <w:rFonts w:cs="Times New Roman"/>
          <w:noProof/>
        </w:rPr>
        <w:t xml:space="preserve">Beruházás (C13.I4) A kereskedelem támogatása </w:t>
      </w:r>
    </w:p>
    <w:p w14:paraId="07666486" w14:textId="77777777" w:rsidR="00D65CB4" w:rsidRPr="00BC4EE7" w:rsidRDefault="00572307">
      <w:pPr>
        <w:pStyle w:val="P68B1DB1-Text118"/>
        <w:ind w:left="0"/>
        <w:rPr>
          <w:rFonts w:cs="Times New Roman"/>
          <w:noProof/>
        </w:rPr>
      </w:pPr>
      <w:r w:rsidRPr="00BC4EE7">
        <w:rPr>
          <w:rFonts w:cs="Times New Roman"/>
          <w:noProof/>
        </w:rPr>
        <w:t xml:space="preserve">Az intézkedés célja, hogy segítse a kisvállalkozásokat a kereskedelmi ágazat digitalizációjához és a megváltozott fogyasztói magatartáshoz való alkalmazkodásban. </w:t>
      </w:r>
    </w:p>
    <w:p w14:paraId="7E2B24D8" w14:textId="77777777" w:rsidR="00D65CB4" w:rsidRPr="00BC4EE7" w:rsidRDefault="00572307">
      <w:pPr>
        <w:pStyle w:val="P68B1DB1-Text118"/>
        <w:ind w:left="0"/>
        <w:rPr>
          <w:rFonts w:cs="Times New Roman"/>
          <w:noProof/>
        </w:rPr>
      </w:pPr>
      <w:r w:rsidRPr="00BC4EE7">
        <w:rPr>
          <w:rFonts w:cs="Times New Roman"/>
          <w:noProof/>
        </w:rPr>
        <w:t>A beruházásnak két fő cselekvési irányból kell állnia.</w:t>
      </w:r>
    </w:p>
    <w:p w14:paraId="58316D33" w14:textId="77777777" w:rsidR="00D65CB4" w:rsidRPr="00BC4EE7" w:rsidRDefault="00572307">
      <w:pPr>
        <w:pStyle w:val="P68B1DB1-Text118"/>
        <w:numPr>
          <w:ilvl w:val="0"/>
          <w:numId w:val="179"/>
        </w:numPr>
        <w:rPr>
          <w:rFonts w:cs="Times New Roman"/>
          <w:noProof/>
        </w:rPr>
      </w:pPr>
      <w:r w:rsidRPr="00BC4EE7">
        <w:rPr>
          <w:rFonts w:cs="Times New Roman"/>
          <w:noProof/>
        </w:rPr>
        <w:t>A kiskereskedelmi ágazatban megvalósuló projektek, amelyek célja olyan új technológiák beépítése, amelyek lehetővé teszik a helyi kereskedelem számára, hogy reagáljon az új fogyasztási szokásokra, a „Technológiai Alap” keretében (200 projekt). Az alap keretében támogatható projektek közé tartoznak a következők:</w:t>
      </w:r>
    </w:p>
    <w:p w14:paraId="7B372BBE" w14:textId="77777777" w:rsidR="00D65CB4" w:rsidRPr="00BC4EE7" w:rsidRDefault="00572307">
      <w:pPr>
        <w:pStyle w:val="P68B1DB1-Text118"/>
        <w:numPr>
          <w:ilvl w:val="1"/>
          <w:numId w:val="179"/>
        </w:numPr>
        <w:rPr>
          <w:rFonts w:cs="Times New Roman"/>
          <w:noProof/>
        </w:rPr>
      </w:pPr>
      <w:r w:rsidRPr="00BC4EE7">
        <w:rPr>
          <w:rFonts w:cs="Times New Roman"/>
          <w:noProof/>
        </w:rPr>
        <w:t>Új technológiákra irányuló projektek, amelyek célja az online kereskedelmi és kommunikációs stratégia, az üzleti modellek vagy a vásárlási tapasztalat javítása;</w:t>
      </w:r>
    </w:p>
    <w:p w14:paraId="0E961FA6" w14:textId="77777777" w:rsidR="00D65CB4" w:rsidRPr="00BC4EE7" w:rsidRDefault="00572307">
      <w:pPr>
        <w:pStyle w:val="P68B1DB1-Text118"/>
        <w:numPr>
          <w:ilvl w:val="1"/>
          <w:numId w:val="179"/>
        </w:numPr>
        <w:rPr>
          <w:rFonts w:cs="Times New Roman"/>
          <w:noProof/>
        </w:rPr>
      </w:pPr>
      <w:r w:rsidRPr="00BC4EE7">
        <w:rPr>
          <w:rFonts w:cs="Times New Roman"/>
          <w:noProof/>
        </w:rPr>
        <w:t>A fizikai vásárlási tapasztalatnak az új fogyasztói igényekhez és szokásokhoz, valamint az új irányítási modellekhez való hozzáigazítását célzó új technológiákra irányuló projektek;</w:t>
      </w:r>
    </w:p>
    <w:p w14:paraId="3048CE17" w14:textId="77777777" w:rsidR="00D65CB4" w:rsidRPr="00BC4EE7" w:rsidRDefault="00572307">
      <w:pPr>
        <w:pStyle w:val="P68B1DB1-Text118"/>
        <w:numPr>
          <w:ilvl w:val="1"/>
          <w:numId w:val="179"/>
        </w:numPr>
        <w:rPr>
          <w:rFonts w:cs="Times New Roman"/>
          <w:noProof/>
        </w:rPr>
      </w:pPr>
      <w:r w:rsidRPr="00BC4EE7">
        <w:rPr>
          <w:rFonts w:cs="Times New Roman"/>
          <w:noProof/>
        </w:rPr>
        <w:t>Technológiai megoldásokra irányuló projektek az „utolsó kilométer” logisztika hatékonyságának és fenntarthatóságának javítása érdekében;</w:t>
      </w:r>
    </w:p>
    <w:p w14:paraId="74171754" w14:textId="77777777" w:rsidR="00D65CB4" w:rsidRPr="00BC4EE7" w:rsidRDefault="00572307">
      <w:pPr>
        <w:pStyle w:val="P68B1DB1-Text118"/>
        <w:numPr>
          <w:ilvl w:val="1"/>
          <w:numId w:val="179"/>
        </w:numPr>
        <w:rPr>
          <w:rFonts w:cs="Times New Roman"/>
          <w:noProof/>
        </w:rPr>
      </w:pPr>
      <w:r w:rsidRPr="00BC4EE7">
        <w:rPr>
          <w:rFonts w:cs="Times New Roman"/>
          <w:noProof/>
        </w:rPr>
        <w:t xml:space="preserve">Az energia- és erőforrás-hatékonyság javítását célzó technológiai megoldások végrehajtására irányuló projektek. </w:t>
      </w:r>
    </w:p>
    <w:p w14:paraId="34E6DC97" w14:textId="77777777" w:rsidR="00D65CB4" w:rsidRPr="00BC4EE7" w:rsidRDefault="00572307">
      <w:pPr>
        <w:pStyle w:val="P68B1DB1-Text118"/>
        <w:ind w:left="0"/>
        <w:rPr>
          <w:rFonts w:cs="Times New Roman"/>
          <w:noProof/>
        </w:rPr>
      </w:pPr>
      <w:r w:rsidRPr="00BC4EE7">
        <w:rPr>
          <w:rFonts w:cs="Times New Roman"/>
          <w:noProof/>
        </w:rPr>
        <w:t>A beruházást egy digitális platform (plataforma</w:t>
      </w:r>
      <w:r w:rsidRPr="00BC4EE7">
        <w:rPr>
          <w:rFonts w:cs="Times New Roman"/>
          <w:i/>
          <w:noProof/>
        </w:rPr>
        <w:t>Comercio Conectado) létrehozásával kell kiegészíteni az ágazat digitalizációjának előmozdítása érdekében</w:t>
      </w:r>
      <w:r w:rsidRPr="00BC4EE7">
        <w:rPr>
          <w:rFonts w:cs="Times New Roman"/>
          <w:noProof/>
        </w:rPr>
        <w:t xml:space="preserve">. </w:t>
      </w:r>
    </w:p>
    <w:p w14:paraId="17A95610" w14:textId="77777777" w:rsidR="00D65CB4" w:rsidRPr="00BC4EE7" w:rsidRDefault="00572307">
      <w:pPr>
        <w:pStyle w:val="P68B1DB1-Text118"/>
        <w:numPr>
          <w:ilvl w:val="0"/>
          <w:numId w:val="179"/>
        </w:numPr>
        <w:rPr>
          <w:rFonts w:cs="Times New Roman"/>
          <w:noProof/>
        </w:rPr>
      </w:pPr>
      <w:r w:rsidRPr="00BC4EE7">
        <w:rPr>
          <w:rFonts w:cs="Times New Roman"/>
          <w:noProof/>
        </w:rPr>
        <w:t xml:space="preserve">A helyi hatóságok által a „Fenntartható piacok” program keretében az önkormányzati piacok, a kereskedelmi területek, a nem név szerinti értékesítési piacok és a rövid értékesítési csatornák korszerűsítésére benyújtott projektek (130 projekt). Az e program keretében támogatható projektek a következőket foglalják magukban: </w:t>
      </w:r>
    </w:p>
    <w:p w14:paraId="5657690C" w14:textId="77777777" w:rsidR="00D65CB4" w:rsidRPr="00BC4EE7" w:rsidRDefault="00572307">
      <w:pPr>
        <w:pStyle w:val="P68B1DB1-Text118"/>
        <w:numPr>
          <w:ilvl w:val="1"/>
          <w:numId w:val="179"/>
        </w:numPr>
        <w:rPr>
          <w:rFonts w:cs="Times New Roman"/>
          <w:noProof/>
        </w:rPr>
      </w:pPr>
      <w:r w:rsidRPr="00BC4EE7">
        <w:rPr>
          <w:rFonts w:cs="Times New Roman"/>
          <w:noProof/>
        </w:rPr>
        <w:t>Nagy adathalmazokon vagy más technológiákon alapuló ügyfélmegfigyelő eszközök elfogadására irányuló projektek;</w:t>
      </w:r>
    </w:p>
    <w:p w14:paraId="7265C4E7" w14:textId="77777777" w:rsidR="00D65CB4" w:rsidRPr="00BC4EE7" w:rsidRDefault="00572307">
      <w:pPr>
        <w:pStyle w:val="P68B1DB1-Text118"/>
        <w:numPr>
          <w:ilvl w:val="1"/>
          <w:numId w:val="179"/>
        </w:numPr>
        <w:rPr>
          <w:rFonts w:cs="Times New Roman"/>
          <w:noProof/>
        </w:rPr>
      </w:pPr>
      <w:r w:rsidRPr="00BC4EE7">
        <w:rPr>
          <w:rFonts w:cs="Times New Roman"/>
          <w:noProof/>
        </w:rPr>
        <w:t>A piacok digitális átalakulására irányuló projektek, amelyek javítják az omni-csatornás piacteret és a vásárlási élményt;</w:t>
      </w:r>
    </w:p>
    <w:p w14:paraId="453FC010" w14:textId="77777777" w:rsidR="00D65CB4" w:rsidRPr="00BC4EE7" w:rsidRDefault="00572307">
      <w:pPr>
        <w:pStyle w:val="P68B1DB1-Text118"/>
        <w:numPr>
          <w:ilvl w:val="1"/>
          <w:numId w:val="179"/>
        </w:numPr>
        <w:rPr>
          <w:rFonts w:cs="Times New Roman"/>
          <w:noProof/>
        </w:rPr>
      </w:pPr>
      <w:r w:rsidRPr="00BC4EE7">
        <w:rPr>
          <w:rFonts w:cs="Times New Roman"/>
          <w:noProof/>
        </w:rPr>
        <w:t>Az utcai kereskedelem és a rövid értékesítési csatornák digitális átalakítását célzó projektek;</w:t>
      </w:r>
    </w:p>
    <w:p w14:paraId="39B80040" w14:textId="77777777" w:rsidR="00D65CB4" w:rsidRPr="00BC4EE7" w:rsidRDefault="00572307">
      <w:pPr>
        <w:pStyle w:val="P68B1DB1-Text118"/>
        <w:numPr>
          <w:ilvl w:val="1"/>
          <w:numId w:val="179"/>
        </w:numPr>
        <w:rPr>
          <w:rFonts w:cs="Times New Roman"/>
          <w:noProof/>
        </w:rPr>
      </w:pPr>
      <w:r w:rsidRPr="00BC4EE7">
        <w:rPr>
          <w:rFonts w:cs="Times New Roman"/>
          <w:noProof/>
        </w:rPr>
        <w:t>Építési és felújítási projektek a létesítmények, hozzáférhetőségük, felszerelésük és az önkormányzati piacok, kereskedelmi területek és nem azonos piacok által elfoglalt területek, valamint a szomszédos területek megfelelőségének javítása érdekében;</w:t>
      </w:r>
    </w:p>
    <w:p w14:paraId="62EE7A4E" w14:textId="77777777" w:rsidR="00D65CB4" w:rsidRPr="00BC4EE7" w:rsidRDefault="00572307">
      <w:pPr>
        <w:pStyle w:val="P68B1DB1-Text118"/>
        <w:numPr>
          <w:ilvl w:val="1"/>
          <w:numId w:val="179"/>
        </w:numPr>
        <w:rPr>
          <w:rFonts w:cs="Times New Roman"/>
          <w:noProof/>
        </w:rPr>
      </w:pPr>
      <w:r w:rsidRPr="00BC4EE7">
        <w:rPr>
          <w:rFonts w:cs="Times New Roman"/>
          <w:noProof/>
        </w:rPr>
        <w:t>Az alapanyagok kereskedelmi célú felhasználásának csökkentésére és a környezetbarát alternatívák helyettesítésére irányuló projektek;</w:t>
      </w:r>
    </w:p>
    <w:p w14:paraId="71D6E11E" w14:textId="77777777" w:rsidR="00D65CB4" w:rsidRPr="00BC4EE7" w:rsidRDefault="00572307">
      <w:pPr>
        <w:pStyle w:val="P68B1DB1-Text118"/>
        <w:numPr>
          <w:ilvl w:val="1"/>
          <w:numId w:val="179"/>
        </w:numPr>
        <w:rPr>
          <w:rFonts w:cs="Times New Roman"/>
          <w:noProof/>
        </w:rPr>
      </w:pPr>
      <w:r w:rsidRPr="00BC4EE7">
        <w:rPr>
          <w:rFonts w:cs="Times New Roman"/>
          <w:noProof/>
        </w:rPr>
        <w:t>Intelligens kézbesítési pontok telepítése;</w:t>
      </w:r>
    </w:p>
    <w:p w14:paraId="5B87337C" w14:textId="77777777" w:rsidR="00D65CB4" w:rsidRPr="00BC4EE7" w:rsidRDefault="00572307">
      <w:pPr>
        <w:pStyle w:val="P68B1DB1-Text118"/>
        <w:numPr>
          <w:ilvl w:val="1"/>
          <w:numId w:val="179"/>
        </w:numPr>
        <w:rPr>
          <w:rFonts w:cs="Times New Roman"/>
          <w:noProof/>
        </w:rPr>
      </w:pPr>
      <w:r w:rsidRPr="00BC4EE7">
        <w:rPr>
          <w:rFonts w:cs="Times New Roman"/>
          <w:noProof/>
        </w:rPr>
        <w:t>Az energiahatékonyság javítását célzó projektek;</w:t>
      </w:r>
    </w:p>
    <w:p w14:paraId="6CCEF1FD" w14:textId="77777777" w:rsidR="00D65CB4" w:rsidRPr="00BC4EE7" w:rsidRDefault="00572307">
      <w:pPr>
        <w:pStyle w:val="P68B1DB1-Text118"/>
        <w:numPr>
          <w:ilvl w:val="1"/>
          <w:numId w:val="179"/>
        </w:numPr>
        <w:rPr>
          <w:rFonts w:cs="Times New Roman"/>
          <w:noProof/>
        </w:rPr>
      </w:pPr>
      <w:r w:rsidRPr="00BC4EE7">
        <w:rPr>
          <w:rFonts w:cs="Times New Roman"/>
          <w:noProof/>
        </w:rPr>
        <w:t>A hulladék újrafeldolgozását vagy újrafelhasználását előmozdító intézkedések;</w:t>
      </w:r>
    </w:p>
    <w:p w14:paraId="5A265DDC" w14:textId="77777777" w:rsidR="00D65CB4" w:rsidRPr="00BC4EE7" w:rsidRDefault="00572307">
      <w:pPr>
        <w:pStyle w:val="P68B1DB1-Text118"/>
        <w:numPr>
          <w:ilvl w:val="1"/>
          <w:numId w:val="179"/>
        </w:numPr>
        <w:rPr>
          <w:rFonts w:cs="Times New Roman"/>
          <w:noProof/>
        </w:rPr>
      </w:pPr>
      <w:r w:rsidRPr="00BC4EE7">
        <w:rPr>
          <w:rFonts w:cs="Times New Roman"/>
          <w:noProof/>
        </w:rPr>
        <w:t>A technológiai készségekkel kapcsolatos figyelemfelkeltés és képzés.</w:t>
      </w:r>
    </w:p>
    <w:p w14:paraId="0CEBB0F1" w14:textId="77777777" w:rsidR="00D65CB4" w:rsidRPr="00BC4EE7" w:rsidRDefault="00572307">
      <w:pPr>
        <w:pStyle w:val="Text1"/>
        <w:ind w:left="0"/>
        <w:rPr>
          <w:rFonts w:ascii="Times New Roman" w:hAnsi="Times New Roman" w:cs="Times New Roman"/>
          <w:noProof/>
          <w:highlight w:val="green"/>
        </w:rPr>
      </w:pPr>
      <w:r w:rsidRPr="00BC4EE7">
        <w:rPr>
          <w:rFonts w:ascii="Times New Roman" w:hAnsi="Times New Roman" w:cs="Times New Roman"/>
          <w:noProof/>
        </w:rPr>
        <w:t>Annak biztosítása érdekében, hogy az intézkedés megfeleljen a jelentős károkozás elkerülését célzó elvről szóló technikai iránymutatásnak (2021/C58/01), a soron következő pályázati felhívásokra vonatkozó feladatmeghatározásban szereplő támogathatósági kritériumok nem tartalmazzák a tevékenységek alábbi listáját: a fosszilis tüzelőanyagokkal kapcsolatos tevékenységek, beleértve a továbbfelhasználást is</w:t>
      </w:r>
      <w:r w:rsidRPr="00BC4EE7">
        <w:rPr>
          <w:rStyle w:val="FootnoteReference"/>
          <w:rFonts w:ascii="Times New Roman" w:hAnsi="Times New Roman" w:cs="Times New Roman"/>
          <w:noProof/>
        </w:rPr>
        <w:footnoteReference w:id="86"/>
      </w:r>
      <w:r w:rsidRPr="00BC4EE7">
        <w:rPr>
          <w:rFonts w:ascii="Times New Roman" w:hAnsi="Times New Roman" w:cs="Times New Roman"/>
          <w:noProof/>
        </w:rPr>
        <w:t>; ii. az uniós kibocsátáskereskedelmi rendszer (ETS) keretében végzett tevékenységek, amelyek elérik a vonatkozó referenciaértékeket meg nem haladó, előre jelzett üvegházhatásúgáz-kibocsátást</w:t>
      </w:r>
      <w:r w:rsidRPr="00BC4EE7">
        <w:rPr>
          <w:rStyle w:val="FootnoteReference"/>
          <w:rFonts w:ascii="Times New Roman" w:hAnsi="Times New Roman" w:cs="Times New Roman"/>
          <w:noProof/>
        </w:rPr>
        <w:footnoteReference w:id="87"/>
      </w:r>
      <w:r w:rsidRPr="00BC4EE7">
        <w:rPr>
          <w:rFonts w:ascii="Times New Roman" w:hAnsi="Times New Roman" w:cs="Times New Roman"/>
          <w:noProof/>
        </w:rPr>
        <w:t>; hulladéklerakókkal, hulladékégetőkkel</w:t>
      </w:r>
      <w:r w:rsidRPr="00BC4EE7">
        <w:rPr>
          <w:rStyle w:val="FootnoteReference"/>
          <w:rFonts w:ascii="Times New Roman" w:hAnsi="Times New Roman" w:cs="Times New Roman"/>
          <w:noProof/>
        </w:rPr>
        <w:footnoteReference w:id="88"/>
      </w:r>
      <w:r w:rsidRPr="00BC4EE7">
        <w:rPr>
          <w:rFonts w:ascii="Times New Roman" w:hAnsi="Times New Roman" w:cs="Times New Roman"/>
          <w:noProof/>
        </w:rPr>
        <w:t xml:space="preserve"> és mechanikai-biológiai hulladékkezelő létesítményekkel kapcsolatos tevékenységek</w:t>
      </w:r>
      <w:r w:rsidRPr="00BC4EE7">
        <w:rPr>
          <w:rStyle w:val="FootnoteReference"/>
          <w:rFonts w:ascii="Times New Roman" w:hAnsi="Times New Roman" w:cs="Times New Roman"/>
          <w:noProof/>
        </w:rPr>
        <w:footnoteReference w:id="89"/>
      </w:r>
      <w:r w:rsidRPr="00BC4EE7">
        <w:rPr>
          <w:rFonts w:ascii="Times New Roman" w:hAnsi="Times New Roman" w:cs="Times New Roman"/>
          <w:noProof/>
        </w:rPr>
        <w:t>; valamint iv. azok a tevékenységek, amelyek esetében a hulladék hosszú távú ártalmatlanítása károsíthatja a környezetet. A feladatmeghatározás előírja továbbá, hogy csak olyan tevékenységek választhatók ki, amelyek megfelelnek a vonatkozó uniós és nemzeti környezetvédelmi jogszabályoknak.</w:t>
      </w:r>
    </w:p>
    <w:p w14:paraId="48EFD63B" w14:textId="77777777" w:rsidR="00D65CB4" w:rsidRPr="00BC4EE7" w:rsidRDefault="00572307">
      <w:pPr>
        <w:pStyle w:val="P68B1DB1-Normal4"/>
        <w:spacing w:line="240" w:lineRule="auto"/>
        <w:jc w:val="both"/>
        <w:rPr>
          <w:rFonts w:cs="Times New Roman"/>
          <w:noProof/>
        </w:rPr>
      </w:pPr>
      <w:r w:rsidRPr="00BC4EE7">
        <w:rPr>
          <w:rFonts w:cs="Times New Roman"/>
          <w:noProof/>
        </w:rPr>
        <w:t>A beruházás végrehajtását 2024. december 31-ig be kell fejezni.</w:t>
      </w:r>
    </w:p>
    <w:p w14:paraId="33FA769E" w14:textId="77777777" w:rsidR="00D65CB4" w:rsidRPr="00BC4EE7" w:rsidRDefault="00572307">
      <w:pPr>
        <w:pStyle w:val="P68B1DB1-Text119"/>
        <w:ind w:left="0"/>
        <w:rPr>
          <w:rFonts w:cs="Times New Roman"/>
          <w:noProof/>
        </w:rPr>
      </w:pPr>
      <w:r w:rsidRPr="00BC4EE7">
        <w:rPr>
          <w:rFonts w:cs="Times New Roman"/>
          <w:noProof/>
        </w:rPr>
        <w:t xml:space="preserve">Beruházás (C13.I5) Nemzetközivé válás </w:t>
      </w:r>
    </w:p>
    <w:p w14:paraId="2AA5556E" w14:textId="77777777" w:rsidR="00D65CB4" w:rsidRPr="00BC4EE7" w:rsidRDefault="00572307">
      <w:pPr>
        <w:pStyle w:val="P68B1DB1-Text118"/>
        <w:ind w:left="0"/>
        <w:rPr>
          <w:rFonts w:cs="Times New Roman"/>
          <w:noProof/>
        </w:rPr>
      </w:pPr>
      <w:r w:rsidRPr="00BC4EE7">
        <w:rPr>
          <w:rFonts w:cs="Times New Roman"/>
          <w:noProof/>
        </w:rPr>
        <w:t>Az intézkedés célja a spanyol exporttámogatási, nemzetköziesítési és külföldi beruházási rendszer kapacitásainak és eszközeinek megerősítése.</w:t>
      </w:r>
    </w:p>
    <w:p w14:paraId="23CB221F" w14:textId="77777777" w:rsidR="00D65CB4" w:rsidRPr="00BC4EE7" w:rsidRDefault="00572307">
      <w:pPr>
        <w:pStyle w:val="P68B1DB1-Text118"/>
        <w:ind w:left="0"/>
        <w:rPr>
          <w:rFonts w:cs="Times New Roman"/>
          <w:noProof/>
        </w:rPr>
      </w:pPr>
      <w:r w:rsidRPr="00BC4EE7">
        <w:rPr>
          <w:rFonts w:cs="Times New Roman"/>
          <w:noProof/>
        </w:rPr>
        <w:t>A beruházás 11 intézkedésből áll, az alábbiak szerint:</w:t>
      </w:r>
    </w:p>
    <w:p w14:paraId="42E8CBD7" w14:textId="77777777" w:rsidR="00D65CB4" w:rsidRPr="00BC4EE7" w:rsidRDefault="00572307">
      <w:pPr>
        <w:pStyle w:val="P68B1DB1-Text118"/>
        <w:numPr>
          <w:ilvl w:val="0"/>
          <w:numId w:val="180"/>
        </w:numPr>
        <w:rPr>
          <w:rFonts w:cs="Times New Roman"/>
          <w:noProof/>
        </w:rPr>
      </w:pPr>
      <w:r w:rsidRPr="00BC4EE7">
        <w:rPr>
          <w:rFonts w:cs="Times New Roman"/>
          <w:noProof/>
        </w:rPr>
        <w:t>A megvalósíthatóságra, a megvalósíthatóságra, az előzetes megvalósíthatóságra, valamint az ágazati és intézményi korszerűsítésre vonatkozó tanulmányok finanszírozási sora;</w:t>
      </w:r>
    </w:p>
    <w:p w14:paraId="77E0C301" w14:textId="77777777" w:rsidR="00D65CB4" w:rsidRPr="00BC4EE7" w:rsidRDefault="00572307">
      <w:pPr>
        <w:pStyle w:val="P68B1DB1-Text118"/>
        <w:numPr>
          <w:ilvl w:val="0"/>
          <w:numId w:val="180"/>
        </w:numPr>
        <w:rPr>
          <w:rFonts w:cs="Times New Roman"/>
          <w:noProof/>
        </w:rPr>
      </w:pPr>
      <w:r w:rsidRPr="00BC4EE7">
        <w:rPr>
          <w:rFonts w:cs="Times New Roman"/>
          <w:noProof/>
        </w:rPr>
        <w:t>Az INNOVA Invest program a K+F-be történő külföldi befektetések támogatására;</w:t>
      </w:r>
    </w:p>
    <w:p w14:paraId="04A5FDA5" w14:textId="77777777" w:rsidR="00D65CB4" w:rsidRPr="00BC4EE7" w:rsidRDefault="00572307">
      <w:pPr>
        <w:pStyle w:val="P68B1DB1-Text118"/>
        <w:numPr>
          <w:ilvl w:val="0"/>
          <w:numId w:val="180"/>
        </w:numPr>
        <w:rPr>
          <w:rFonts w:cs="Times New Roman"/>
          <w:noProof/>
        </w:rPr>
      </w:pPr>
      <w:r w:rsidRPr="00BC4EE7">
        <w:rPr>
          <w:rFonts w:cs="Times New Roman"/>
          <w:noProof/>
        </w:rPr>
        <w:t>A VIVES program, amelynek célja, hogy pénzügyi támogatást nyújtson az exporttevékenységekben részt vevő vállalatoknál dolgozó gyakornokok felvételéhez;</w:t>
      </w:r>
    </w:p>
    <w:p w14:paraId="6F005537" w14:textId="77777777" w:rsidR="00D65CB4" w:rsidRPr="00BC4EE7" w:rsidRDefault="00572307">
      <w:pPr>
        <w:pStyle w:val="P68B1DB1-Text118"/>
        <w:numPr>
          <w:ilvl w:val="0"/>
          <w:numId w:val="180"/>
        </w:numPr>
        <w:rPr>
          <w:rFonts w:cs="Times New Roman"/>
          <w:noProof/>
        </w:rPr>
      </w:pPr>
      <w:r w:rsidRPr="00BC4EE7">
        <w:rPr>
          <w:rFonts w:cs="Times New Roman"/>
          <w:noProof/>
        </w:rPr>
        <w:t>A nemzetközi mentorálási képzési program;</w:t>
      </w:r>
    </w:p>
    <w:p w14:paraId="7AD21A9C" w14:textId="77777777" w:rsidR="00D65CB4" w:rsidRPr="00BC4EE7" w:rsidRDefault="00572307">
      <w:pPr>
        <w:pStyle w:val="P68B1DB1-Text118"/>
        <w:numPr>
          <w:ilvl w:val="0"/>
          <w:numId w:val="180"/>
        </w:numPr>
        <w:rPr>
          <w:rFonts w:cs="Times New Roman"/>
          <w:noProof/>
        </w:rPr>
      </w:pPr>
      <w:r w:rsidRPr="00BC4EE7">
        <w:rPr>
          <w:rFonts w:cs="Times New Roman"/>
          <w:noProof/>
        </w:rPr>
        <w:t>A kommunikációs rendszerek, a telematikai szolgáltatások és az exportszövetségek, exportszövetségek, spanyol kereskedelmi kamarák és szövetségeik digitalizálásának megerősítésére irányuló program;</w:t>
      </w:r>
    </w:p>
    <w:p w14:paraId="6953C7C8" w14:textId="77777777" w:rsidR="00D65CB4" w:rsidRPr="00BC4EE7" w:rsidRDefault="00572307">
      <w:pPr>
        <w:pStyle w:val="P68B1DB1-Text118"/>
        <w:numPr>
          <w:ilvl w:val="0"/>
          <w:numId w:val="180"/>
        </w:numPr>
        <w:rPr>
          <w:rFonts w:cs="Times New Roman"/>
          <w:noProof/>
        </w:rPr>
      </w:pPr>
      <w:r w:rsidRPr="00BC4EE7">
        <w:rPr>
          <w:rFonts w:cs="Times New Roman"/>
          <w:noProof/>
        </w:rPr>
        <w:t>Az exportalap bővítési programja, amely személyre szabott tanácsadást nyújt a vállalkozások és különösen a kkv-k nemzetközivé válásához;</w:t>
      </w:r>
    </w:p>
    <w:p w14:paraId="4E244043" w14:textId="77777777" w:rsidR="00D65CB4" w:rsidRPr="00BC4EE7" w:rsidRDefault="00572307">
      <w:pPr>
        <w:pStyle w:val="P68B1DB1-Text118"/>
        <w:numPr>
          <w:ilvl w:val="0"/>
          <w:numId w:val="180"/>
        </w:numPr>
        <w:rPr>
          <w:rFonts w:cs="Times New Roman"/>
          <w:noProof/>
        </w:rPr>
      </w:pPr>
      <w:r w:rsidRPr="00BC4EE7">
        <w:rPr>
          <w:rFonts w:cs="Times New Roman"/>
          <w:noProof/>
        </w:rPr>
        <w:t>A spanyol gyorsan növekvő vállalkozások ökoszisztémájának megerősítésére irányuló program;</w:t>
      </w:r>
    </w:p>
    <w:p w14:paraId="5FC226CD" w14:textId="77777777" w:rsidR="00D65CB4" w:rsidRPr="00BC4EE7" w:rsidRDefault="00572307">
      <w:pPr>
        <w:pStyle w:val="P68B1DB1-Text118"/>
        <w:numPr>
          <w:ilvl w:val="0"/>
          <w:numId w:val="180"/>
        </w:numPr>
        <w:rPr>
          <w:rFonts w:cs="Times New Roman"/>
          <w:noProof/>
        </w:rPr>
      </w:pPr>
      <w:r w:rsidRPr="00BC4EE7">
        <w:rPr>
          <w:rFonts w:cs="Times New Roman"/>
          <w:noProof/>
        </w:rPr>
        <w:t>Piacnyitáshoz és -konszolidációhoz nyújtott támogatás a harmadik országok hatóságainak vizsgálataival és vizsgálataival, valamint a piacvédelmi jogi és tanácsadási kiadásokkal kapcsolatos kiadások támogatása révén;</w:t>
      </w:r>
    </w:p>
    <w:p w14:paraId="365765DB" w14:textId="77777777" w:rsidR="00D65CB4" w:rsidRPr="00BC4EE7" w:rsidRDefault="00572307">
      <w:pPr>
        <w:pStyle w:val="P68B1DB1-ListParagraph6"/>
        <w:numPr>
          <w:ilvl w:val="0"/>
          <w:numId w:val="180"/>
        </w:numPr>
        <w:rPr>
          <w:rFonts w:cs="Times New Roman"/>
          <w:noProof/>
        </w:rPr>
      </w:pPr>
      <w:r w:rsidRPr="00BC4EE7">
        <w:rPr>
          <w:rFonts w:cs="Times New Roman"/>
          <w:noProof/>
        </w:rPr>
        <w:t>A COFIDES (egy állami tulajdonú pénzügyi intézmény, amely közép- és hosszú távú finanszírozást nyújt a vállalkozások nemzetközivé válását célzó beruházási projektjeinek támogatására) pénzügyi ösztönző programja a hatásbefektetések előmozdítására. Fő célja, hogy a pénzügyi megtérülés mellett mérhető, társadalmi és/vagy környezeti hatást érjen el;</w:t>
      </w:r>
    </w:p>
    <w:p w14:paraId="51EB652A" w14:textId="77777777" w:rsidR="00D65CB4" w:rsidRPr="00BC4EE7" w:rsidRDefault="00572307">
      <w:pPr>
        <w:pStyle w:val="P68B1DB1-Text118"/>
        <w:numPr>
          <w:ilvl w:val="0"/>
          <w:numId w:val="180"/>
        </w:numPr>
        <w:rPr>
          <w:rFonts w:cs="Times New Roman"/>
          <w:noProof/>
        </w:rPr>
      </w:pPr>
      <w:r w:rsidRPr="00BC4EE7">
        <w:rPr>
          <w:rFonts w:cs="Times New Roman"/>
          <w:noProof/>
        </w:rPr>
        <w:t>A kormányzati szolgáltatások digitalizációjának fellendítése a nemzetközivé válás támogatása érdekében;</w:t>
      </w:r>
    </w:p>
    <w:p w14:paraId="4E94D798" w14:textId="77777777" w:rsidR="00D65CB4" w:rsidRPr="00BC4EE7" w:rsidRDefault="00572307">
      <w:pPr>
        <w:pStyle w:val="P68B1DB1-Text118"/>
        <w:numPr>
          <w:ilvl w:val="0"/>
          <w:numId w:val="180"/>
        </w:numPr>
        <w:rPr>
          <w:rFonts w:cs="Times New Roman"/>
          <w:noProof/>
        </w:rPr>
      </w:pPr>
      <w:r w:rsidRPr="00BC4EE7">
        <w:rPr>
          <w:rFonts w:cs="Times New Roman"/>
          <w:noProof/>
        </w:rPr>
        <w:t>Az ICEX digitalizálása (a spanyol vállalkozások nemzetközivé válását előmozdító nemzeti közvállalkozás).</w:t>
      </w:r>
    </w:p>
    <w:p w14:paraId="3F1FCC2B" w14:textId="77777777" w:rsidR="00D65CB4" w:rsidRPr="00BC4EE7" w:rsidRDefault="00572307">
      <w:pPr>
        <w:pStyle w:val="Text1"/>
        <w:ind w:left="0"/>
        <w:rPr>
          <w:rFonts w:ascii="Times New Roman" w:hAnsi="Times New Roman" w:cs="Times New Roman"/>
          <w:noProof/>
          <w:highlight w:val="green"/>
        </w:rPr>
      </w:pPr>
      <w:r w:rsidRPr="00BC4EE7">
        <w:rPr>
          <w:rFonts w:ascii="Times New Roman" w:hAnsi="Times New Roman" w:cs="Times New Roman"/>
          <w:noProof/>
        </w:rPr>
        <w:t>Annak biztosítása érdekében, hogy az intézkedés megfeleljen a jelentős károkozás elkerülését célzó elvről szóló technikai iránymutatásnak (2021/C58/01), a soron következő pályázati felhívásokra vonatkozó feladatmeghatározásban szereplő támogathatósági kritériumok nem tartalmazzák a tevékenységek alábbi listáját: a fosszilis tüzelőanyagokkal kapcsolatos tevékenységek, beleértve a továbbfelhasználást is</w:t>
      </w:r>
      <w:r w:rsidRPr="00BC4EE7">
        <w:rPr>
          <w:rStyle w:val="FootnoteReference"/>
          <w:rFonts w:ascii="Times New Roman" w:hAnsi="Times New Roman" w:cs="Times New Roman"/>
          <w:noProof/>
        </w:rPr>
        <w:footnoteReference w:id="90"/>
      </w:r>
      <w:r w:rsidRPr="00BC4EE7">
        <w:rPr>
          <w:rFonts w:ascii="Times New Roman" w:hAnsi="Times New Roman" w:cs="Times New Roman"/>
          <w:noProof/>
        </w:rPr>
        <w:t>; ii. az uniós kibocsátáskereskedelmi rendszer (ETS) keretében végzett tevékenységek, amelyek elérik a vonatkozó referenciaértékeket meg nem haladó, előre jelzett üvegházhatásúgáz-kibocsátást</w:t>
      </w:r>
      <w:r w:rsidRPr="00BC4EE7">
        <w:rPr>
          <w:rStyle w:val="FootnoteReference"/>
          <w:rFonts w:ascii="Times New Roman" w:hAnsi="Times New Roman" w:cs="Times New Roman"/>
          <w:noProof/>
        </w:rPr>
        <w:footnoteReference w:id="91"/>
      </w:r>
      <w:r w:rsidRPr="00BC4EE7">
        <w:rPr>
          <w:rFonts w:ascii="Times New Roman" w:hAnsi="Times New Roman" w:cs="Times New Roman"/>
          <w:noProof/>
        </w:rPr>
        <w:t>; hulladéklerakókkal, hulladékégetőkkel</w:t>
      </w:r>
      <w:r w:rsidRPr="00BC4EE7">
        <w:rPr>
          <w:rStyle w:val="FootnoteReference"/>
          <w:rFonts w:ascii="Times New Roman" w:hAnsi="Times New Roman" w:cs="Times New Roman"/>
          <w:noProof/>
        </w:rPr>
        <w:footnoteReference w:id="92"/>
      </w:r>
      <w:r w:rsidRPr="00BC4EE7">
        <w:rPr>
          <w:rFonts w:ascii="Times New Roman" w:hAnsi="Times New Roman" w:cs="Times New Roman"/>
          <w:noProof/>
        </w:rPr>
        <w:t xml:space="preserve"> és mechanikai-biológiai hulladékkezelő létesítményekkel kapcsolatos tevékenységek</w:t>
      </w:r>
      <w:r w:rsidRPr="00BC4EE7">
        <w:rPr>
          <w:rStyle w:val="FootnoteReference"/>
          <w:rFonts w:ascii="Times New Roman" w:hAnsi="Times New Roman" w:cs="Times New Roman"/>
          <w:noProof/>
        </w:rPr>
        <w:footnoteReference w:id="93"/>
      </w:r>
      <w:r w:rsidRPr="00BC4EE7">
        <w:rPr>
          <w:rFonts w:ascii="Times New Roman" w:hAnsi="Times New Roman" w:cs="Times New Roman"/>
          <w:noProof/>
        </w:rPr>
        <w:t>; valamint iv. azok a tevékenységek, amelyek esetében a hulladék hosszú távú ártalmatlanítása károsíthatja a környezetet. A feladatmeghatározás előírja továbbá, hogy csak olyan tevékenységek választhatók ki, amelyek megfelelnek a vonatkozó uniós és nemzeti környezetvédelmi jogszabályoknak.</w:t>
      </w:r>
    </w:p>
    <w:p w14:paraId="41E86151" w14:textId="77777777" w:rsidR="00D65CB4" w:rsidRPr="00BC4EE7" w:rsidRDefault="00572307">
      <w:pPr>
        <w:pStyle w:val="P68B1DB1-Text118"/>
        <w:ind w:left="0"/>
        <w:rPr>
          <w:rFonts w:cs="Times New Roman"/>
          <w:noProof/>
        </w:rPr>
      </w:pPr>
      <w:r w:rsidRPr="00BC4EE7">
        <w:rPr>
          <w:rFonts w:cs="Times New Roman"/>
          <w:noProof/>
        </w:rPr>
        <w:t xml:space="preserve">Pénzügyi eszközök esetében annak biztosítása érdekében, hogy az intézkedés megfeleljen a jelentős károkozás elkerülését célzó technikai iránymutatásnak (2021/C58/01), a spanyol hatóságok és a pénzügyi eszközért felelős megbízott szervezet vagy pénzügyi közvetítő közötti jogi megállapodásnak és a pénzügyi eszköz ezt követő befektetési politikájának: </w:t>
      </w:r>
    </w:p>
    <w:p w14:paraId="0AEA3626" w14:textId="77777777" w:rsidR="00D65CB4" w:rsidRPr="00BC4EE7" w:rsidRDefault="00572307">
      <w:pPr>
        <w:pStyle w:val="P68B1DB1-Text118"/>
        <w:numPr>
          <w:ilvl w:val="0"/>
          <w:numId w:val="221"/>
        </w:numPr>
        <w:rPr>
          <w:rFonts w:cs="Times New Roman"/>
          <w:noProof/>
        </w:rPr>
      </w:pPr>
      <w:r w:rsidRPr="00BC4EE7">
        <w:rPr>
          <w:rFonts w:cs="Times New Roman"/>
          <w:noProof/>
        </w:rPr>
        <w:t>az InvestEU Alap fenntarthatósági vizsgálatára vonatkozó bizottsági technikai iránymutatás alkalmazásának előírása; és</w:t>
      </w:r>
    </w:p>
    <w:p w14:paraId="562BFB7D" w14:textId="77777777" w:rsidR="00D65CB4" w:rsidRPr="00BC4EE7" w:rsidRDefault="00572307">
      <w:pPr>
        <w:pStyle w:val="P68B1DB1-Text118"/>
        <w:numPr>
          <w:ilvl w:val="0"/>
          <w:numId w:val="221"/>
        </w:numPr>
        <w:rPr>
          <w:rFonts w:cs="Times New Roman"/>
          <w:noProof/>
        </w:rPr>
      </w:pPr>
      <w:r w:rsidRPr="00BC4EE7">
        <w:rPr>
          <w:rFonts w:cs="Times New Roman"/>
          <w:noProof/>
        </w:rPr>
        <w:t>a tevékenységek és eszközök alábbi listájának kizárása a támogathatóság köréből: a fosszilis tüzelőanyagokhoz kapcsolódó tevékenységek és eszközök, beleértve a downstream felhasználást is</w:t>
      </w:r>
      <w:r w:rsidRPr="00BC4EE7">
        <w:rPr>
          <w:rFonts w:cs="Times New Roman"/>
          <w:noProof/>
        </w:rPr>
        <w:footnoteReference w:id="94"/>
      </w:r>
      <w:r w:rsidRPr="00BC4EE7">
        <w:rPr>
          <w:rFonts w:cs="Times New Roman"/>
          <w:noProof/>
        </w:rPr>
        <w:t>; ii. az uniós kibocsátáskereskedelmi rendszer (ETS) keretében végzett olyan tevékenységek és eszközök, amelyek elérik a vonatkozó referenciaértékeket meg nem haladó, előre jelzett üvegházhatásúgáz-kibocsátást</w:t>
      </w:r>
      <w:r w:rsidRPr="00BC4EE7">
        <w:rPr>
          <w:rFonts w:cs="Times New Roman"/>
          <w:noProof/>
        </w:rPr>
        <w:footnoteReference w:id="95"/>
      </w:r>
      <w:r w:rsidRPr="00BC4EE7">
        <w:rPr>
          <w:rFonts w:cs="Times New Roman"/>
          <w:noProof/>
        </w:rPr>
        <w:t>; a hulladéklerakókkal, hulladékégetőkkel és mechanikai-biológiai hulladékkezelő létesítményekkel kapcsolatos tevékenységek</w:t>
      </w:r>
      <w:r w:rsidRPr="00BC4EE7">
        <w:rPr>
          <w:rFonts w:cs="Times New Roman"/>
          <w:noProof/>
        </w:rPr>
        <w:footnoteReference w:id="96"/>
      </w:r>
      <w:r w:rsidRPr="00BC4EE7">
        <w:rPr>
          <w:rFonts w:cs="Times New Roman"/>
          <w:noProof/>
        </w:rPr>
        <w:t xml:space="preserve"> és eszközök</w:t>
      </w:r>
      <w:r w:rsidRPr="00BC4EE7">
        <w:rPr>
          <w:rFonts w:cs="Times New Roman"/>
          <w:noProof/>
        </w:rPr>
        <w:footnoteReference w:id="97"/>
      </w:r>
      <w:r w:rsidRPr="00BC4EE7">
        <w:rPr>
          <w:rFonts w:cs="Times New Roman"/>
          <w:noProof/>
        </w:rPr>
        <w:t>; valamint iv. olyan tevékenységek és eszközök, amelyek esetében a hosszú távú hulladékártalmatlanítás károsíthatja a környezetet; és</w:t>
      </w:r>
    </w:p>
    <w:p w14:paraId="705BC046" w14:textId="77777777" w:rsidR="00D65CB4" w:rsidRPr="00BC4EE7" w:rsidRDefault="00572307">
      <w:pPr>
        <w:pStyle w:val="P68B1DB1-Text118"/>
        <w:numPr>
          <w:ilvl w:val="0"/>
          <w:numId w:val="221"/>
        </w:numPr>
        <w:rPr>
          <w:rFonts w:cs="Times New Roman"/>
          <w:noProof/>
        </w:rPr>
      </w:pPr>
      <w:r w:rsidRPr="00BC4EE7">
        <w:rPr>
          <w:rFonts w:cs="Times New Roman"/>
          <w:noProof/>
        </w:rPr>
        <w:t>annak előírása, hogy a megbízott szervezet/pénzügyi közvetítő ellenőrizze, hogy a projektek megfelelnek-e a vonatkozó uniós és nemzeti környezetvédelmi jogszabályoknak, valamennyi ügylet esetében, beleértve a fenntarthatósági vizsgálat alól mentesülő ügyleteket is.</w:t>
      </w:r>
    </w:p>
    <w:p w14:paraId="0AEC43C8" w14:textId="77777777" w:rsidR="00D65CB4" w:rsidRPr="00BC4EE7" w:rsidRDefault="00572307">
      <w:pPr>
        <w:pStyle w:val="P68B1DB1-Normal4"/>
        <w:spacing w:line="240" w:lineRule="auto"/>
        <w:jc w:val="both"/>
        <w:rPr>
          <w:rFonts w:cs="Times New Roman"/>
          <w:noProof/>
        </w:rPr>
      </w:pPr>
      <w:r w:rsidRPr="00BC4EE7">
        <w:rPr>
          <w:rFonts w:cs="Times New Roman"/>
          <w:noProof/>
        </w:rPr>
        <w:t>A beruházás végrehajtását 2024. december 31-ig be kell fejezni.</w:t>
      </w:r>
    </w:p>
    <w:p w14:paraId="24F0F6FF" w14:textId="10857EA4" w:rsidR="00D65CB4" w:rsidRPr="00BC4EE7" w:rsidRDefault="00572307">
      <w:pPr>
        <w:pStyle w:val="Heading2"/>
        <w:numPr>
          <w:ilvl w:val="0"/>
          <w:numId w:val="0"/>
        </w:numPr>
        <w:ind w:left="850"/>
        <w:rPr>
          <w:rFonts w:ascii="Times New Roman" w:hAnsi="Times New Roman" w:cs="Times New Roman"/>
          <w:noProof/>
          <w:u w:val="single"/>
        </w:rPr>
      </w:pPr>
      <w:r w:rsidRPr="00BC4EE7">
        <w:rPr>
          <w:rFonts w:ascii="Times New Roman" w:hAnsi="Times New Roman" w:cs="Times New Roman"/>
          <w:noProof/>
          <w:u w:val="single"/>
        </w:rPr>
        <w:t xml:space="preserve">M.2. </w:t>
      </w:r>
      <w:r w:rsidRPr="00BC4EE7">
        <w:rPr>
          <w:rFonts w:ascii="Times New Roman" w:hAnsi="Times New Roman" w:cs="Times New Roman"/>
          <w:noProof/>
        </w:rPr>
        <w:t xml:space="preserve"> </w:t>
      </w:r>
      <w:r w:rsidRPr="00BC4EE7">
        <w:rPr>
          <w:rFonts w:ascii="Times New Roman" w:hAnsi="Times New Roman" w:cs="Times New Roman"/>
          <w:noProof/>
          <w:u w:val="single"/>
        </w:rPr>
        <w:t>Vissza nem térítendő pénzügyi támogatás – a végrehajtáshoz és a nyomon követéshez kapcsolódó mérföldkövek, célok, mutatók és ütemterv</w:t>
      </w:r>
    </w:p>
    <w:p w14:paraId="4B4055F9" w14:textId="77777777" w:rsidR="00D65CB4" w:rsidRPr="00BC4EE7" w:rsidRDefault="00572307">
      <w:pPr>
        <w:pStyle w:val="P68B1DB1-Normal4"/>
        <w:spacing w:before="120" w:after="120" w:line="240" w:lineRule="auto"/>
        <w:jc w:val="both"/>
        <w:rPr>
          <w:rFonts w:cs="Times New Roman"/>
          <w:b/>
          <w:noProof/>
          <w:u w:val="single"/>
        </w:rPr>
      </w:pPr>
      <w:r w:rsidRPr="00BC4EE7">
        <w:rPr>
          <w:rFonts w:cs="Times New Roman"/>
          <w:i/>
          <w:noProof/>
        </w:rPr>
        <w:t>Táblázat alább.</w:t>
      </w:r>
      <w:r w:rsidRPr="00BC4EE7">
        <w:rPr>
          <w:rFonts w:cs="Times New Roman"/>
          <w:noProof/>
        </w:rPr>
        <w:t xml:space="preserve"> </w:t>
      </w:r>
      <w:r w:rsidRPr="00BC4EE7">
        <w:rPr>
          <w:rFonts w:cs="Times New Roman"/>
          <w:i/>
          <w:noProof/>
        </w:rPr>
        <w:t>Az összes mutató esetében az alapforgatókönyv időpontja 2020. február 1., kivéve, ha az intézkedés leírása ettől eltérően rendelkezik. A táblázatban szereplő összegek nem tartalmazzák a héát.</w:t>
      </w:r>
    </w:p>
    <w:p w14:paraId="7E2F1A47" w14:textId="77777777" w:rsidR="00D65CB4" w:rsidRPr="00BC4EE7" w:rsidRDefault="00D65CB4">
      <w:pPr>
        <w:spacing w:before="120" w:after="120" w:line="240" w:lineRule="auto"/>
        <w:ind w:left="709"/>
        <w:jc w:val="both"/>
        <w:rPr>
          <w:rFonts w:ascii="Times New Roman" w:hAnsi="Times New Roman" w:cs="Times New Roman"/>
          <w:noProof/>
          <w:sz w:val="24"/>
        </w:rPr>
      </w:pPr>
    </w:p>
    <w:p w14:paraId="70101A6A" w14:textId="77777777" w:rsidR="00D65CB4" w:rsidRPr="00BC4EE7" w:rsidRDefault="00D65CB4">
      <w:pPr>
        <w:spacing w:before="120" w:after="120" w:line="240" w:lineRule="auto"/>
        <w:ind w:left="709"/>
        <w:jc w:val="both"/>
        <w:rPr>
          <w:rFonts w:ascii="Times New Roman" w:hAnsi="Times New Roman" w:cs="Times New Roman"/>
          <w:noProof/>
          <w:sz w:val="24"/>
        </w:rPr>
        <w:sectPr w:rsidR="00D65CB4" w:rsidRPr="00BC4EE7" w:rsidSect="00B511EF">
          <w:headerReference w:type="even" r:id="rId273"/>
          <w:headerReference w:type="default" r:id="rId274"/>
          <w:footerReference w:type="even" r:id="rId275"/>
          <w:footerReference w:type="default" r:id="rId276"/>
          <w:headerReference w:type="first" r:id="rId277"/>
          <w:footerReference w:type="first" r:id="rId278"/>
          <w:pgSz w:w="11907" w:h="16839"/>
          <w:pgMar w:top="1134" w:right="1134" w:bottom="1134" w:left="1134" w:header="567" w:footer="567" w:gutter="0"/>
          <w:cols w:space="720"/>
          <w:docGrid w:linePitch="360"/>
        </w:sectPr>
      </w:pPr>
    </w:p>
    <w:tbl>
      <w:tblPr>
        <w:tblW w:w="1545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96"/>
        <w:gridCol w:w="897"/>
        <w:gridCol w:w="992"/>
        <w:gridCol w:w="1731"/>
        <w:gridCol w:w="1114"/>
        <w:gridCol w:w="697"/>
        <w:gridCol w:w="975"/>
        <w:gridCol w:w="697"/>
        <w:gridCol w:w="558"/>
        <w:gridCol w:w="558"/>
        <w:gridCol w:w="6536"/>
      </w:tblGrid>
      <w:tr w:rsidR="00D65CB4" w:rsidRPr="00BC4EE7" w14:paraId="60CFCA36" w14:textId="77777777" w:rsidTr="00481CF8">
        <w:trPr>
          <w:trHeight w:val="309"/>
          <w:tblHeader/>
        </w:trPr>
        <w:tc>
          <w:tcPr>
            <w:tcW w:w="696" w:type="dxa"/>
            <w:tcBorders>
              <w:bottom w:val="nil"/>
            </w:tcBorders>
            <w:shd w:val="clear" w:color="auto" w:fill="C6D9F1" w:themeFill="text2" w:themeFillTint="33"/>
            <w:noWrap/>
            <w:vAlign w:val="center"/>
          </w:tcPr>
          <w:p w14:paraId="34D241D4"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Szám</w:t>
            </w:r>
          </w:p>
        </w:tc>
        <w:tc>
          <w:tcPr>
            <w:tcW w:w="897" w:type="dxa"/>
            <w:tcBorders>
              <w:bottom w:val="nil"/>
            </w:tcBorders>
            <w:shd w:val="clear" w:color="auto" w:fill="C6D9F1" w:themeFill="text2" w:themeFillTint="33"/>
            <w:noWrap/>
            <w:vAlign w:val="center"/>
          </w:tcPr>
          <w:p w14:paraId="01343C75"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Intézkedés</w:t>
            </w:r>
          </w:p>
        </w:tc>
        <w:tc>
          <w:tcPr>
            <w:tcW w:w="992" w:type="dxa"/>
            <w:tcBorders>
              <w:bottom w:val="nil"/>
            </w:tcBorders>
            <w:shd w:val="clear" w:color="auto" w:fill="C6D9F1" w:themeFill="text2" w:themeFillTint="33"/>
            <w:noWrap/>
            <w:vAlign w:val="center"/>
          </w:tcPr>
          <w:p w14:paraId="4C001132" w14:textId="77777777" w:rsidR="00D65CB4" w:rsidRPr="00BC4EE7" w:rsidRDefault="00572307">
            <w:pPr>
              <w:spacing w:after="0" w:line="240" w:lineRule="auto"/>
              <w:jc w:val="center"/>
              <w:rPr>
                <w:rFonts w:ascii="Times New Roman" w:hAnsi="Times New Roman" w:cs="Times New Roman"/>
                <w:b/>
                <w:noProof/>
                <w:sz w:val="18"/>
              </w:rPr>
            </w:pPr>
            <w:r w:rsidRPr="00BC4EE7">
              <w:rPr>
                <w:rFonts w:ascii="Times New Roman" w:hAnsi="Times New Roman" w:cs="Times New Roman"/>
                <w:b/>
                <w:noProof/>
                <w:sz w:val="18"/>
              </w:rPr>
              <w:t>Mérföldkő</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b/>
                <w:noProof/>
                <w:sz w:val="18"/>
              </w:rPr>
              <w:t xml:space="preserve"> /Cél</w:t>
            </w:r>
          </w:p>
        </w:tc>
        <w:tc>
          <w:tcPr>
            <w:tcW w:w="1731" w:type="dxa"/>
            <w:tcBorders>
              <w:bottom w:val="nil"/>
            </w:tcBorders>
            <w:shd w:val="clear" w:color="auto" w:fill="C6D9F1" w:themeFill="text2" w:themeFillTint="33"/>
            <w:noWrap/>
            <w:vAlign w:val="center"/>
          </w:tcPr>
          <w:p w14:paraId="39A089F3"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Név</w:t>
            </w:r>
          </w:p>
        </w:tc>
        <w:tc>
          <w:tcPr>
            <w:tcW w:w="1114" w:type="dxa"/>
            <w:tcBorders>
              <w:bottom w:val="nil"/>
            </w:tcBorders>
            <w:shd w:val="clear" w:color="auto" w:fill="C6D9F1" w:themeFill="text2" w:themeFillTint="33"/>
            <w:noWrap/>
            <w:vAlign w:val="center"/>
          </w:tcPr>
          <w:p w14:paraId="5ED90BF6"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mérföldkövek minőségi mutatója</w:t>
            </w:r>
          </w:p>
        </w:tc>
        <w:tc>
          <w:tcPr>
            <w:tcW w:w="2369" w:type="dxa"/>
            <w:gridSpan w:val="3"/>
            <w:shd w:val="clear" w:color="auto" w:fill="C6D9F1" w:themeFill="text2" w:themeFillTint="33"/>
            <w:noWrap/>
            <w:vAlign w:val="center"/>
          </w:tcPr>
          <w:p w14:paraId="47ACD0A8"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célérték mennyiségi mutatója</w:t>
            </w:r>
          </w:p>
        </w:tc>
        <w:tc>
          <w:tcPr>
            <w:tcW w:w="1116" w:type="dxa"/>
            <w:gridSpan w:val="2"/>
            <w:shd w:val="clear" w:color="auto" w:fill="C6D9F1" w:themeFill="text2" w:themeFillTint="33"/>
            <w:noWrap/>
            <w:vAlign w:val="center"/>
          </w:tcPr>
          <w:p w14:paraId="4BCD9346"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Idő</w:t>
            </w:r>
          </w:p>
        </w:tc>
        <w:tc>
          <w:tcPr>
            <w:tcW w:w="6536" w:type="dxa"/>
            <w:tcBorders>
              <w:bottom w:val="nil"/>
            </w:tcBorders>
            <w:shd w:val="clear" w:color="auto" w:fill="C6D9F1" w:themeFill="text2" w:themeFillTint="33"/>
            <w:noWrap/>
            <w:vAlign w:val="center"/>
          </w:tcPr>
          <w:p w14:paraId="2897C0E5"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Az egyes mérföldkövek és célértékek leírása</w:t>
            </w:r>
          </w:p>
        </w:tc>
      </w:tr>
      <w:tr w:rsidR="00D65CB4" w:rsidRPr="00BC4EE7" w14:paraId="35C15B1F" w14:textId="77777777" w:rsidTr="00481CF8">
        <w:trPr>
          <w:trHeight w:val="309"/>
          <w:tblHeader/>
        </w:trPr>
        <w:tc>
          <w:tcPr>
            <w:tcW w:w="696" w:type="dxa"/>
            <w:tcBorders>
              <w:top w:val="nil"/>
            </w:tcBorders>
            <w:shd w:val="clear" w:color="auto" w:fill="C6D9F1" w:themeFill="text2" w:themeFillTint="33"/>
            <w:noWrap/>
          </w:tcPr>
          <w:p w14:paraId="1E8D5C3A" w14:textId="77777777" w:rsidR="00D65CB4" w:rsidRPr="00BC4EE7" w:rsidRDefault="00D65CB4">
            <w:pPr>
              <w:spacing w:after="0" w:line="240" w:lineRule="auto"/>
              <w:jc w:val="center"/>
              <w:rPr>
                <w:rFonts w:ascii="Times New Roman" w:hAnsi="Times New Roman" w:cs="Times New Roman"/>
                <w:b/>
                <w:noProof/>
                <w:sz w:val="18"/>
              </w:rPr>
            </w:pPr>
          </w:p>
        </w:tc>
        <w:tc>
          <w:tcPr>
            <w:tcW w:w="897" w:type="dxa"/>
            <w:tcBorders>
              <w:top w:val="nil"/>
            </w:tcBorders>
            <w:shd w:val="clear" w:color="auto" w:fill="C6D9F1" w:themeFill="text2" w:themeFillTint="33"/>
            <w:noWrap/>
          </w:tcPr>
          <w:p w14:paraId="3017D20C" w14:textId="77777777" w:rsidR="00D65CB4" w:rsidRPr="00BC4EE7" w:rsidRDefault="00D65CB4">
            <w:pPr>
              <w:spacing w:after="0" w:line="240" w:lineRule="auto"/>
              <w:jc w:val="center"/>
              <w:rPr>
                <w:rFonts w:ascii="Times New Roman" w:hAnsi="Times New Roman" w:cs="Times New Roman"/>
                <w:b/>
                <w:noProof/>
                <w:sz w:val="18"/>
              </w:rPr>
            </w:pPr>
          </w:p>
        </w:tc>
        <w:tc>
          <w:tcPr>
            <w:tcW w:w="992" w:type="dxa"/>
            <w:tcBorders>
              <w:top w:val="nil"/>
            </w:tcBorders>
            <w:shd w:val="clear" w:color="auto" w:fill="C6D9F1" w:themeFill="text2" w:themeFillTint="33"/>
            <w:noWrap/>
          </w:tcPr>
          <w:p w14:paraId="1CE1D9F2" w14:textId="77777777" w:rsidR="00D65CB4" w:rsidRPr="00BC4EE7" w:rsidRDefault="00D65CB4">
            <w:pPr>
              <w:spacing w:after="0" w:line="240" w:lineRule="auto"/>
              <w:jc w:val="center"/>
              <w:rPr>
                <w:rFonts w:ascii="Times New Roman" w:hAnsi="Times New Roman" w:cs="Times New Roman"/>
                <w:b/>
                <w:noProof/>
                <w:sz w:val="18"/>
              </w:rPr>
            </w:pPr>
          </w:p>
        </w:tc>
        <w:tc>
          <w:tcPr>
            <w:tcW w:w="1731" w:type="dxa"/>
            <w:tcBorders>
              <w:top w:val="nil"/>
            </w:tcBorders>
            <w:shd w:val="clear" w:color="auto" w:fill="C6D9F1" w:themeFill="text2" w:themeFillTint="33"/>
            <w:noWrap/>
          </w:tcPr>
          <w:p w14:paraId="1F72EC9C" w14:textId="77777777" w:rsidR="00D65CB4" w:rsidRPr="00BC4EE7" w:rsidRDefault="00D65CB4">
            <w:pPr>
              <w:spacing w:after="0" w:line="240" w:lineRule="auto"/>
              <w:rPr>
                <w:rFonts w:ascii="Times New Roman" w:hAnsi="Times New Roman" w:cs="Times New Roman"/>
                <w:b/>
                <w:noProof/>
                <w:sz w:val="18"/>
              </w:rPr>
            </w:pPr>
          </w:p>
        </w:tc>
        <w:tc>
          <w:tcPr>
            <w:tcW w:w="1114" w:type="dxa"/>
            <w:tcBorders>
              <w:top w:val="nil"/>
            </w:tcBorders>
            <w:shd w:val="clear" w:color="auto" w:fill="C6D9F1" w:themeFill="text2" w:themeFillTint="33"/>
            <w:noWrap/>
          </w:tcPr>
          <w:p w14:paraId="16EBF265" w14:textId="77777777" w:rsidR="00D65CB4" w:rsidRPr="00BC4EE7" w:rsidRDefault="00D65CB4">
            <w:pPr>
              <w:spacing w:after="0" w:line="240" w:lineRule="auto"/>
              <w:jc w:val="center"/>
              <w:rPr>
                <w:rFonts w:ascii="Times New Roman" w:hAnsi="Times New Roman" w:cs="Times New Roman"/>
                <w:b/>
                <w:noProof/>
                <w:sz w:val="18"/>
              </w:rPr>
            </w:pPr>
          </w:p>
        </w:tc>
        <w:tc>
          <w:tcPr>
            <w:tcW w:w="697" w:type="dxa"/>
            <w:shd w:val="clear" w:color="auto" w:fill="C6D9F1" w:themeFill="text2" w:themeFillTint="33"/>
            <w:noWrap/>
          </w:tcPr>
          <w:p w14:paraId="74BEB85F"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Egység</w:t>
            </w:r>
          </w:p>
        </w:tc>
        <w:tc>
          <w:tcPr>
            <w:tcW w:w="975" w:type="dxa"/>
            <w:shd w:val="clear" w:color="auto" w:fill="C6D9F1" w:themeFill="text2" w:themeFillTint="33"/>
            <w:noWrap/>
          </w:tcPr>
          <w:p w14:paraId="53B410BE" w14:textId="4178FC3B" w:rsidR="00D65CB4" w:rsidRPr="00BC4EE7" w:rsidRDefault="00572307">
            <w:pPr>
              <w:pStyle w:val="P68B1DB1-Normal8"/>
              <w:spacing w:after="0" w:line="240" w:lineRule="auto"/>
              <w:jc w:val="center"/>
              <w:rPr>
                <w:rFonts w:cs="Times New Roman"/>
                <w:noProof/>
              </w:rPr>
            </w:pPr>
            <w:r w:rsidRPr="00BC4EE7">
              <w:rPr>
                <w:rFonts w:cs="Times New Roman"/>
                <w:noProof/>
              </w:rPr>
              <w:t>Kiindulási</w:t>
            </w:r>
          </w:p>
        </w:tc>
        <w:tc>
          <w:tcPr>
            <w:tcW w:w="697" w:type="dxa"/>
            <w:shd w:val="clear" w:color="auto" w:fill="C6D9F1" w:themeFill="text2" w:themeFillTint="33"/>
            <w:noWrap/>
          </w:tcPr>
          <w:p w14:paraId="3DF32928"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Cél</w:t>
            </w:r>
          </w:p>
        </w:tc>
        <w:tc>
          <w:tcPr>
            <w:tcW w:w="558" w:type="dxa"/>
            <w:shd w:val="clear" w:color="auto" w:fill="C6D9F1" w:themeFill="text2" w:themeFillTint="33"/>
            <w:noWrap/>
          </w:tcPr>
          <w:p w14:paraId="347EBF18"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Q</w:t>
            </w:r>
          </w:p>
        </w:tc>
        <w:tc>
          <w:tcPr>
            <w:tcW w:w="558" w:type="dxa"/>
            <w:shd w:val="clear" w:color="auto" w:fill="C6D9F1" w:themeFill="text2" w:themeFillTint="33"/>
            <w:noWrap/>
          </w:tcPr>
          <w:p w14:paraId="7D75D435"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Éve</w:t>
            </w:r>
          </w:p>
        </w:tc>
        <w:tc>
          <w:tcPr>
            <w:tcW w:w="6536" w:type="dxa"/>
            <w:tcBorders>
              <w:top w:val="nil"/>
            </w:tcBorders>
            <w:shd w:val="clear" w:color="auto" w:fill="C6D9F1" w:themeFill="text2" w:themeFillTint="33"/>
            <w:noWrap/>
          </w:tcPr>
          <w:p w14:paraId="2C5AE2F3" w14:textId="77777777" w:rsidR="00D65CB4" w:rsidRPr="00BC4EE7" w:rsidRDefault="00D65CB4">
            <w:pPr>
              <w:spacing w:after="0" w:line="240" w:lineRule="auto"/>
              <w:rPr>
                <w:rFonts w:ascii="Times New Roman" w:hAnsi="Times New Roman" w:cs="Times New Roman"/>
                <w:b/>
                <w:noProof/>
                <w:sz w:val="18"/>
              </w:rPr>
            </w:pPr>
          </w:p>
        </w:tc>
      </w:tr>
      <w:tr w:rsidR="00D65CB4" w:rsidRPr="00BC4EE7" w14:paraId="5ECF8F23" w14:textId="77777777" w:rsidTr="00481CF8">
        <w:trPr>
          <w:trHeight w:val="309"/>
        </w:trPr>
        <w:tc>
          <w:tcPr>
            <w:tcW w:w="696" w:type="dxa"/>
            <w:shd w:val="clear" w:color="auto" w:fill="C6EFCE"/>
            <w:noWrap/>
          </w:tcPr>
          <w:p w14:paraId="55D17BB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189</w:t>
            </w:r>
          </w:p>
        </w:tc>
        <w:tc>
          <w:tcPr>
            <w:tcW w:w="897" w:type="dxa"/>
            <w:shd w:val="clear" w:color="auto" w:fill="C6EFCE"/>
            <w:noWrap/>
          </w:tcPr>
          <w:p w14:paraId="60850CCD"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C13.R1</w:t>
            </w:r>
          </w:p>
        </w:tc>
        <w:tc>
          <w:tcPr>
            <w:tcW w:w="992" w:type="dxa"/>
            <w:shd w:val="clear" w:color="auto" w:fill="C6EFCE"/>
            <w:noWrap/>
          </w:tcPr>
          <w:p w14:paraId="6B48FA1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1731" w:type="dxa"/>
            <w:shd w:val="clear" w:color="auto" w:fill="C6EFCE"/>
            <w:noWrap/>
          </w:tcPr>
          <w:p w14:paraId="69AE906E"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Az ügyvédi és ügyvédi hivatás gyakorlásáról szóló 34/2006. sz. törvény módosításáról szóló törvény hatálybalépése  </w:t>
            </w:r>
          </w:p>
        </w:tc>
        <w:tc>
          <w:tcPr>
            <w:tcW w:w="1114" w:type="dxa"/>
            <w:shd w:val="clear" w:color="auto" w:fill="C6EFCE"/>
            <w:noWrap/>
          </w:tcPr>
          <w:p w14:paraId="68E7AA98"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 xml:space="preserve">A jogszabály hatálybalépésére vonatkozó rendelkezés a jogszabályban </w:t>
            </w:r>
          </w:p>
        </w:tc>
        <w:tc>
          <w:tcPr>
            <w:tcW w:w="697" w:type="dxa"/>
            <w:shd w:val="clear" w:color="auto" w:fill="C6EFCE"/>
            <w:noWrap/>
          </w:tcPr>
          <w:p w14:paraId="1A8872D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75" w:type="dxa"/>
            <w:shd w:val="clear" w:color="auto" w:fill="C6EFCE"/>
            <w:noWrap/>
          </w:tcPr>
          <w:p w14:paraId="7FAB8CD4"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697" w:type="dxa"/>
            <w:shd w:val="clear" w:color="auto" w:fill="C6EFCE"/>
            <w:noWrap/>
          </w:tcPr>
          <w:p w14:paraId="7346AD94"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558" w:type="dxa"/>
            <w:shd w:val="clear" w:color="auto" w:fill="C6EFCE"/>
            <w:noWrap/>
          </w:tcPr>
          <w:p w14:paraId="797DFDA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58" w:type="dxa"/>
            <w:shd w:val="clear" w:color="auto" w:fill="C6EFCE"/>
            <w:noWrap/>
          </w:tcPr>
          <w:p w14:paraId="7179B9E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2021</w:t>
            </w:r>
          </w:p>
        </w:tc>
        <w:tc>
          <w:tcPr>
            <w:tcW w:w="6536" w:type="dxa"/>
            <w:shd w:val="clear" w:color="auto" w:fill="C6EFCE"/>
            <w:noWrap/>
          </w:tcPr>
          <w:p w14:paraId="65DCB318" w14:textId="77777777" w:rsidR="00D65CB4" w:rsidRPr="00BC4EE7" w:rsidRDefault="00572307">
            <w:pPr>
              <w:spacing w:after="0"/>
              <w:rPr>
                <w:rFonts w:ascii="Times New Roman" w:eastAsia="Times New Roman" w:hAnsi="Times New Roman" w:cs="Times New Roman"/>
                <w:noProof/>
                <w:sz w:val="18"/>
              </w:rPr>
            </w:pPr>
            <w:r w:rsidRPr="00BC4EE7">
              <w:rPr>
                <w:rFonts w:ascii="Times New Roman" w:hAnsi="Times New Roman" w:cs="Times New Roman"/>
                <w:noProof/>
                <w:sz w:val="18"/>
              </w:rPr>
              <w:t xml:space="preserve">Az ügyvédi és ügyvédi hivatás gyakorlásáról szóló 34/2006. sz. törvény módosításáról szóló </w:t>
            </w:r>
            <w:r w:rsidRPr="00BC4EE7">
              <w:rPr>
                <w:rFonts w:ascii="Times New Roman" w:hAnsi="Times New Roman" w:cs="Times New Roman"/>
                <w:i/>
                <w:noProof/>
                <w:sz w:val="18"/>
              </w:rPr>
              <w:t>törvény</w:t>
            </w:r>
            <w:r w:rsidRPr="00BC4EE7">
              <w:rPr>
                <w:rFonts w:ascii="Times New Roman" w:hAnsi="Times New Roman" w:cs="Times New Roman"/>
                <w:noProof/>
                <w:sz w:val="18"/>
              </w:rPr>
              <w:t xml:space="preserve"> hatálybalépése:</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A minimális díjak jelenlegi rendszerének reformja maximális díjak rendszerévé és a költségbecslésnek a tanácsadásban részt vevő ügyfél részére történő benyújtására vonatkozó új kötelezettséggé.</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 Az ügyvédi és a pártfogói szakma multidiszciplináris tevékenységeinek </w:t>
            </w:r>
            <w:r w:rsidRPr="00BC4EE7">
              <w:rPr>
                <w:rFonts w:ascii="Times New Roman" w:hAnsi="Times New Roman" w:cs="Times New Roman"/>
                <w:i/>
                <w:noProof/>
                <w:sz w:val="18"/>
              </w:rPr>
              <w:t>engedélyezése</w:t>
            </w:r>
            <w:r w:rsidRPr="00BC4EE7">
              <w:rPr>
                <w:rFonts w:ascii="Times New Roman" w:hAnsi="Times New Roman" w:cs="Times New Roman"/>
                <w:noProof/>
                <w:sz w:val="18"/>
              </w:rPr>
              <w:t xml:space="preserve"> ugyanazon jogi személyen belül</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xml:space="preserve">– Az ügyvédi és a procuradoresi szakmához való egységes </w:t>
            </w:r>
            <w:r w:rsidRPr="00BC4EE7">
              <w:rPr>
                <w:rFonts w:ascii="Times New Roman" w:hAnsi="Times New Roman" w:cs="Times New Roman"/>
                <w:i/>
                <w:noProof/>
                <w:sz w:val="18"/>
              </w:rPr>
              <w:t>hozzáférés</w:t>
            </w:r>
            <w:r w:rsidRPr="00BC4EE7">
              <w:rPr>
                <w:rFonts w:ascii="Times New Roman" w:hAnsi="Times New Roman" w:cs="Times New Roman"/>
                <w:noProof/>
                <w:sz w:val="18"/>
              </w:rPr>
              <w:t>.</w:t>
            </w:r>
          </w:p>
        </w:tc>
      </w:tr>
      <w:tr w:rsidR="00D65CB4" w:rsidRPr="00BC4EE7" w14:paraId="765E1C0D" w14:textId="77777777" w:rsidTr="00481CF8">
        <w:trPr>
          <w:trHeight w:val="309"/>
        </w:trPr>
        <w:tc>
          <w:tcPr>
            <w:tcW w:w="696" w:type="dxa"/>
            <w:shd w:val="clear" w:color="auto" w:fill="C6EFCE"/>
            <w:noWrap/>
          </w:tcPr>
          <w:p w14:paraId="5BB30F6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190</w:t>
            </w:r>
          </w:p>
        </w:tc>
        <w:tc>
          <w:tcPr>
            <w:tcW w:w="897" w:type="dxa"/>
            <w:shd w:val="clear" w:color="auto" w:fill="C6EFCE"/>
            <w:noWrap/>
          </w:tcPr>
          <w:p w14:paraId="7F61B1A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C13.R1</w:t>
            </w:r>
          </w:p>
        </w:tc>
        <w:tc>
          <w:tcPr>
            <w:tcW w:w="992" w:type="dxa"/>
            <w:shd w:val="clear" w:color="auto" w:fill="C6EFCE"/>
            <w:noWrap/>
          </w:tcPr>
          <w:p w14:paraId="61E98DC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1731" w:type="dxa"/>
            <w:shd w:val="clear" w:color="auto" w:fill="C6EFCE"/>
            <w:noWrap/>
          </w:tcPr>
          <w:p w14:paraId="57F15FB7"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fizetésképtelenségi törvény reformjáról szóló törvény hatálybalépése</w:t>
            </w:r>
          </w:p>
        </w:tc>
        <w:tc>
          <w:tcPr>
            <w:tcW w:w="1114" w:type="dxa"/>
            <w:shd w:val="clear" w:color="auto" w:fill="C6EFCE"/>
            <w:noWrap/>
          </w:tcPr>
          <w:p w14:paraId="61F1C77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A jogszabály hatálybalépésére vonatkozó rendelkezés a jogszabályban </w:t>
            </w:r>
          </w:p>
        </w:tc>
        <w:tc>
          <w:tcPr>
            <w:tcW w:w="697" w:type="dxa"/>
            <w:shd w:val="clear" w:color="auto" w:fill="C6EFCE"/>
            <w:noWrap/>
          </w:tcPr>
          <w:p w14:paraId="137D43B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75" w:type="dxa"/>
            <w:shd w:val="clear" w:color="auto" w:fill="C6EFCE"/>
            <w:noWrap/>
          </w:tcPr>
          <w:p w14:paraId="479AD0FD"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697" w:type="dxa"/>
            <w:shd w:val="clear" w:color="auto" w:fill="C6EFCE"/>
            <w:noWrap/>
          </w:tcPr>
          <w:p w14:paraId="19506523"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558" w:type="dxa"/>
            <w:shd w:val="clear" w:color="auto" w:fill="C6EFCE"/>
            <w:noWrap/>
          </w:tcPr>
          <w:p w14:paraId="3C44A06B"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Q2</w:t>
            </w:r>
          </w:p>
        </w:tc>
        <w:tc>
          <w:tcPr>
            <w:tcW w:w="558" w:type="dxa"/>
            <w:shd w:val="clear" w:color="auto" w:fill="C6EFCE"/>
            <w:noWrap/>
          </w:tcPr>
          <w:p w14:paraId="2FCB054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2022</w:t>
            </w:r>
          </w:p>
        </w:tc>
        <w:tc>
          <w:tcPr>
            <w:tcW w:w="6536" w:type="dxa"/>
            <w:shd w:val="clear" w:color="auto" w:fill="C6EFCE"/>
            <w:noWrap/>
          </w:tcPr>
          <w:p w14:paraId="1A958D65" w14:textId="77777777" w:rsidR="00D65CB4" w:rsidRPr="00BC4EE7" w:rsidRDefault="00572307">
            <w:pPr>
              <w:spacing w:after="0" w:line="240" w:lineRule="auto"/>
              <w:rPr>
                <w:rFonts w:ascii="Times New Roman" w:eastAsia="Times New Roman" w:hAnsi="Times New Roman" w:cs="Times New Roman"/>
                <w:noProof/>
                <w:sz w:val="18"/>
              </w:rPr>
            </w:pPr>
            <w:r w:rsidRPr="00BC4EE7">
              <w:rPr>
                <w:rFonts w:ascii="Times New Roman" w:hAnsi="Times New Roman" w:cs="Times New Roman"/>
                <w:noProof/>
                <w:sz w:val="18"/>
              </w:rPr>
              <w:t xml:space="preserve">A „fizetésképtelenségi törvény” reformjának hatálybalépése. </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 fizetésképtelenségi törvénynek az irányelv követelményein túlmutató reformja:</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a természetes személyek számára hatékonyabb második esélyt biztosító eljárást kell létrehozni, amely lehetővé teszi az adósságrendezést a fizetésképtelen fél vagyonának előzetes felszámolása nélkül,</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a mikro-kkv-kra vonatkozó különleges eljárás létrehozása, amely csökkenti az időtartamot és a költségeket, és amelyet teljes mértékben elektronikus úton fognak feldolgozni.</w:t>
            </w:r>
          </w:p>
        </w:tc>
      </w:tr>
      <w:tr w:rsidR="00D65CB4" w:rsidRPr="00BC4EE7" w14:paraId="0E7B4115" w14:textId="77777777" w:rsidTr="00481CF8">
        <w:trPr>
          <w:trHeight w:val="309"/>
        </w:trPr>
        <w:tc>
          <w:tcPr>
            <w:tcW w:w="696" w:type="dxa"/>
            <w:shd w:val="clear" w:color="auto" w:fill="C6EFCE"/>
            <w:noWrap/>
          </w:tcPr>
          <w:p w14:paraId="1367200D"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191</w:t>
            </w:r>
          </w:p>
        </w:tc>
        <w:tc>
          <w:tcPr>
            <w:tcW w:w="897" w:type="dxa"/>
            <w:shd w:val="clear" w:color="auto" w:fill="C6EFCE"/>
            <w:noWrap/>
          </w:tcPr>
          <w:p w14:paraId="764559F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C13.R1</w:t>
            </w:r>
          </w:p>
        </w:tc>
        <w:tc>
          <w:tcPr>
            <w:tcW w:w="992" w:type="dxa"/>
            <w:shd w:val="clear" w:color="auto" w:fill="C6EFCE"/>
            <w:noWrap/>
          </w:tcPr>
          <w:p w14:paraId="5D99C20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1731" w:type="dxa"/>
            <w:shd w:val="clear" w:color="auto" w:fill="C6EFCE"/>
            <w:noWrap/>
          </w:tcPr>
          <w:p w14:paraId="6EB68533"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vállalkozás-létrehozásról és -növekedésről szóló törvény hatálybalépése</w:t>
            </w:r>
          </w:p>
        </w:tc>
        <w:tc>
          <w:tcPr>
            <w:tcW w:w="1114" w:type="dxa"/>
            <w:shd w:val="clear" w:color="auto" w:fill="C6EFCE"/>
            <w:noWrap/>
          </w:tcPr>
          <w:p w14:paraId="6B20E7D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A jogszabály hatálybalépésére vonatkozó rendelkezés a jogszabályban </w:t>
            </w:r>
          </w:p>
        </w:tc>
        <w:tc>
          <w:tcPr>
            <w:tcW w:w="697" w:type="dxa"/>
            <w:shd w:val="clear" w:color="auto" w:fill="C6EFCE"/>
            <w:noWrap/>
          </w:tcPr>
          <w:p w14:paraId="686C10A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75" w:type="dxa"/>
            <w:shd w:val="clear" w:color="auto" w:fill="C6EFCE"/>
            <w:noWrap/>
          </w:tcPr>
          <w:p w14:paraId="14C8C5BF"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697" w:type="dxa"/>
            <w:shd w:val="clear" w:color="auto" w:fill="C6EFCE"/>
            <w:noWrap/>
          </w:tcPr>
          <w:p w14:paraId="7556DE64"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558" w:type="dxa"/>
            <w:shd w:val="clear" w:color="auto" w:fill="C6EFCE"/>
            <w:noWrap/>
          </w:tcPr>
          <w:p w14:paraId="209E906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58" w:type="dxa"/>
            <w:shd w:val="clear" w:color="auto" w:fill="C6EFCE"/>
            <w:noWrap/>
          </w:tcPr>
          <w:p w14:paraId="7E166C7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2022</w:t>
            </w:r>
          </w:p>
        </w:tc>
        <w:tc>
          <w:tcPr>
            <w:tcW w:w="6536" w:type="dxa"/>
            <w:shd w:val="clear" w:color="auto" w:fill="C6EFCE"/>
            <w:noWrap/>
          </w:tcPr>
          <w:p w14:paraId="3D4B57FC"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 vállalkozások alapításáról és növekedéséről szóló új törvény hatálybalépése a vállalkozásalapítási eljárások egyszerűsítése és a vállalkozások növekedését szolgáló diverzifikált finanszírozási források előmozdítása érdekében. A vállalkozás-létrehozásról és -növekedésről szóló törvény olyan intézkedéseket is tartalmaz, amelyek elősegítik a korai fizetési kultúra kialakulását, nevezetesen a kkv-k és az önfoglalkoztatók likviditásának biztosítását a késedelmes fizetések elkerülése révén. A korai fizetési kultúra előmozdítása érdekében végrehajtandó intézkedések közé tartoznak a fizetési határidők nyilvánosságára és átláthatóságára vonatkozó iránymutatások, a bevált üzleti gyakorlatok és a jobb végrehajtást szolgáló mechanizmusok, például peren kívüli vitarendezési rendszer. A vállalkozások létesítéséről és növekedéséről szóló törvény a piaci egységről szóló törvény módosításait is tartalmazza a végrehajtás megkönnyítése és a piaci akadályok által érintett piaci szereplők rendelkezésére álló mechanizmusok megerősítése érdekében. A szabályozás javításáról és az üzleti környezetről szóló új ágazati konferenciát kell létrehozni a jó szabályozás elveinek valamennyi közigazgatási szerv általi helyes alkalmazásának megkönnyítése és a különböző közigazgatások optimális koordinációjának biztosítása érdekében. </w:t>
            </w:r>
          </w:p>
        </w:tc>
      </w:tr>
      <w:tr w:rsidR="00D65CB4" w:rsidRPr="00BC4EE7" w14:paraId="248732C2" w14:textId="77777777" w:rsidTr="00481CF8">
        <w:trPr>
          <w:trHeight w:val="309"/>
        </w:trPr>
        <w:tc>
          <w:tcPr>
            <w:tcW w:w="696" w:type="dxa"/>
            <w:shd w:val="clear" w:color="auto" w:fill="C6EFCE"/>
            <w:noWrap/>
          </w:tcPr>
          <w:p w14:paraId="297C70A3" w14:textId="4BCC95D8" w:rsidR="00D65CB4" w:rsidRPr="00BC4EE7" w:rsidRDefault="00572307">
            <w:pPr>
              <w:pStyle w:val="P68B1DB1-Normal12"/>
              <w:spacing w:after="0" w:line="240" w:lineRule="auto"/>
              <w:jc w:val="center"/>
              <w:rPr>
                <w:rFonts w:cs="Times New Roman"/>
                <w:noProof/>
              </w:rPr>
            </w:pPr>
            <w:r w:rsidRPr="00BC4EE7">
              <w:rPr>
                <w:rFonts w:cs="Times New Roman"/>
                <w:noProof/>
              </w:rPr>
              <w:t>449</w:t>
            </w:r>
          </w:p>
        </w:tc>
        <w:tc>
          <w:tcPr>
            <w:tcW w:w="897" w:type="dxa"/>
            <w:shd w:val="clear" w:color="auto" w:fill="C6EFCE"/>
            <w:noWrap/>
          </w:tcPr>
          <w:p w14:paraId="25F9E4EC"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C13.R1</w:t>
            </w:r>
          </w:p>
        </w:tc>
        <w:tc>
          <w:tcPr>
            <w:tcW w:w="992" w:type="dxa"/>
            <w:shd w:val="clear" w:color="auto" w:fill="C6EFCE"/>
            <w:noWrap/>
          </w:tcPr>
          <w:p w14:paraId="7ED0050D"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M </w:t>
            </w:r>
          </w:p>
        </w:tc>
        <w:tc>
          <w:tcPr>
            <w:tcW w:w="1731" w:type="dxa"/>
            <w:shd w:val="clear" w:color="auto" w:fill="C6EFCE"/>
            <w:noWrap/>
          </w:tcPr>
          <w:p w14:paraId="0D5EC354" w14:textId="77777777" w:rsidR="00D65CB4" w:rsidRPr="00BC4EE7" w:rsidRDefault="00572307">
            <w:pPr>
              <w:pStyle w:val="P68B1DB1-Normal12"/>
              <w:spacing w:after="0" w:line="240" w:lineRule="auto"/>
              <w:rPr>
                <w:rFonts w:cs="Times New Roman"/>
                <w:noProof/>
              </w:rPr>
            </w:pPr>
            <w:r w:rsidRPr="00BC4EE7">
              <w:rPr>
                <w:rFonts w:cs="Times New Roman"/>
                <w:noProof/>
              </w:rPr>
              <w:t>A verseny védelméről szóló törvény és rendeletei módosításainak hatálybalépése</w:t>
            </w:r>
          </w:p>
        </w:tc>
        <w:tc>
          <w:tcPr>
            <w:tcW w:w="1114" w:type="dxa"/>
            <w:shd w:val="clear" w:color="auto" w:fill="C6EFCE"/>
            <w:noWrap/>
          </w:tcPr>
          <w:p w14:paraId="07782DE2"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A jogszabály- és rendeletmódosítások hatálybalépését jelző rendelkezés</w:t>
            </w:r>
          </w:p>
        </w:tc>
        <w:tc>
          <w:tcPr>
            <w:tcW w:w="697" w:type="dxa"/>
            <w:shd w:val="clear" w:color="auto" w:fill="C6EFCE"/>
            <w:noWrap/>
          </w:tcPr>
          <w:p w14:paraId="2884EBB4"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 xml:space="preserve"> </w:t>
            </w:r>
          </w:p>
        </w:tc>
        <w:tc>
          <w:tcPr>
            <w:tcW w:w="975" w:type="dxa"/>
            <w:shd w:val="clear" w:color="auto" w:fill="C6EFCE"/>
            <w:noWrap/>
          </w:tcPr>
          <w:p w14:paraId="0E531F80"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 xml:space="preserve"> </w:t>
            </w:r>
          </w:p>
        </w:tc>
        <w:tc>
          <w:tcPr>
            <w:tcW w:w="697" w:type="dxa"/>
            <w:shd w:val="clear" w:color="auto" w:fill="C6EFCE"/>
            <w:noWrap/>
          </w:tcPr>
          <w:p w14:paraId="25EC3370"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 xml:space="preserve"> </w:t>
            </w:r>
          </w:p>
        </w:tc>
        <w:tc>
          <w:tcPr>
            <w:tcW w:w="558" w:type="dxa"/>
            <w:shd w:val="clear" w:color="auto" w:fill="C6EFCE"/>
            <w:noWrap/>
          </w:tcPr>
          <w:p w14:paraId="717E2388"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558" w:type="dxa"/>
            <w:shd w:val="clear" w:color="auto" w:fill="C6EFCE"/>
            <w:noWrap/>
          </w:tcPr>
          <w:p w14:paraId="0F25FC10"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2025</w:t>
            </w:r>
          </w:p>
        </w:tc>
        <w:tc>
          <w:tcPr>
            <w:tcW w:w="6536" w:type="dxa"/>
            <w:shd w:val="clear" w:color="auto" w:fill="C6EFCE"/>
            <w:noWrap/>
          </w:tcPr>
          <w:p w14:paraId="3F43BBC4"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verseny védelméről szóló törvény és annak rendeletei módosításainak hatálybalépése.</w:t>
            </w:r>
          </w:p>
        </w:tc>
      </w:tr>
      <w:tr w:rsidR="00D65CB4" w:rsidRPr="00BC4EE7" w14:paraId="7DB6EB05" w14:textId="77777777" w:rsidTr="00481CF8">
        <w:trPr>
          <w:trHeight w:val="309"/>
        </w:trPr>
        <w:tc>
          <w:tcPr>
            <w:tcW w:w="696" w:type="dxa"/>
            <w:shd w:val="clear" w:color="auto" w:fill="C6EFCE"/>
            <w:noWrap/>
          </w:tcPr>
          <w:p w14:paraId="2D973C8D" w14:textId="73945A9B" w:rsidR="00D65CB4" w:rsidRPr="00BC4EE7" w:rsidRDefault="00572307">
            <w:pPr>
              <w:pStyle w:val="P68B1DB1-Normal12"/>
              <w:spacing w:after="0" w:line="240" w:lineRule="auto"/>
              <w:jc w:val="center"/>
              <w:rPr>
                <w:rFonts w:cs="Times New Roman"/>
                <w:noProof/>
              </w:rPr>
            </w:pPr>
            <w:r w:rsidRPr="00BC4EE7">
              <w:rPr>
                <w:rFonts w:cs="Times New Roman"/>
                <w:noProof/>
              </w:rPr>
              <w:t>450</w:t>
            </w:r>
          </w:p>
        </w:tc>
        <w:tc>
          <w:tcPr>
            <w:tcW w:w="897" w:type="dxa"/>
            <w:shd w:val="clear" w:color="auto" w:fill="C6EFCE"/>
            <w:noWrap/>
          </w:tcPr>
          <w:p w14:paraId="1DFAC27E" w14:textId="1D64EE03" w:rsidR="00D65CB4" w:rsidRPr="00BC4EE7" w:rsidRDefault="00572307">
            <w:pPr>
              <w:pStyle w:val="P68B1DB1-Normal12"/>
              <w:spacing w:after="0" w:line="240" w:lineRule="auto"/>
              <w:jc w:val="center"/>
              <w:rPr>
                <w:rFonts w:cs="Times New Roman"/>
                <w:noProof/>
              </w:rPr>
            </w:pPr>
            <w:r w:rsidRPr="00BC4EE7">
              <w:rPr>
                <w:rFonts w:cs="Times New Roman"/>
                <w:noProof/>
              </w:rPr>
              <w:t>C13.R2</w:t>
            </w:r>
          </w:p>
        </w:tc>
        <w:tc>
          <w:tcPr>
            <w:tcW w:w="992" w:type="dxa"/>
            <w:shd w:val="clear" w:color="auto" w:fill="C6EFCE"/>
            <w:noWrap/>
          </w:tcPr>
          <w:p w14:paraId="38042A60" w14:textId="440BACC0" w:rsidR="00D65CB4" w:rsidRPr="00BC4EE7" w:rsidRDefault="00572307">
            <w:pPr>
              <w:pStyle w:val="P68B1DB1-Normal12"/>
              <w:spacing w:after="0" w:line="240" w:lineRule="auto"/>
              <w:jc w:val="center"/>
              <w:rPr>
                <w:rFonts w:cs="Times New Roman"/>
                <w:noProof/>
              </w:rPr>
            </w:pPr>
            <w:r w:rsidRPr="00BC4EE7">
              <w:rPr>
                <w:rFonts w:cs="Times New Roman"/>
                <w:noProof/>
              </w:rPr>
              <w:t>M</w:t>
            </w:r>
          </w:p>
        </w:tc>
        <w:tc>
          <w:tcPr>
            <w:tcW w:w="1731" w:type="dxa"/>
            <w:shd w:val="clear" w:color="auto" w:fill="C6EFCE"/>
            <w:noWrap/>
          </w:tcPr>
          <w:p w14:paraId="12DA6D1C" w14:textId="0EEF1C6B" w:rsidR="00D65CB4" w:rsidRPr="00BC4EE7" w:rsidRDefault="00572307">
            <w:pPr>
              <w:pStyle w:val="P68B1DB1-Normal12"/>
              <w:spacing w:after="0" w:line="240" w:lineRule="auto"/>
              <w:rPr>
                <w:rFonts w:cs="Times New Roman"/>
                <w:noProof/>
              </w:rPr>
            </w:pPr>
            <w:r w:rsidRPr="00BC4EE7">
              <w:rPr>
                <w:rFonts w:cs="Times New Roman"/>
                <w:noProof/>
              </w:rPr>
              <w:t>A Spanyolországban tartózkodó külföldiek jogairól és szabadságairól, valamint társadalmi beilleszkedéséről szóló 4/2000. sz. sarkalatos törvény módosításáról szóló, július 26-i 629/2022. sz. királyi rendelet hatálybalépése</w:t>
            </w:r>
          </w:p>
        </w:tc>
        <w:tc>
          <w:tcPr>
            <w:tcW w:w="1114" w:type="dxa"/>
            <w:shd w:val="clear" w:color="auto" w:fill="C6EFCE"/>
            <w:noWrap/>
          </w:tcPr>
          <w:p w14:paraId="6098828B" w14:textId="485D5F35" w:rsidR="00D65CB4" w:rsidRPr="00BC4EE7" w:rsidRDefault="00572307">
            <w:pPr>
              <w:pStyle w:val="P68B1DB1-Normal12"/>
              <w:spacing w:after="0" w:line="240" w:lineRule="auto"/>
              <w:jc w:val="center"/>
              <w:rPr>
                <w:rFonts w:cs="Times New Roman"/>
                <w:noProof/>
              </w:rPr>
            </w:pPr>
            <w:r w:rsidRPr="00BC4EE7">
              <w:rPr>
                <w:rFonts w:cs="Times New Roman"/>
                <w:noProof/>
              </w:rPr>
              <w:t>A királyi rendeletnek a vonatkozó rendelkezések hatálybalépését feltüntető rendelkezése</w:t>
            </w:r>
          </w:p>
        </w:tc>
        <w:tc>
          <w:tcPr>
            <w:tcW w:w="697" w:type="dxa"/>
            <w:shd w:val="clear" w:color="auto" w:fill="C6EFCE"/>
            <w:noWrap/>
          </w:tcPr>
          <w:p w14:paraId="55D4F140" w14:textId="77777777" w:rsidR="00D65CB4" w:rsidRPr="00BC4EE7" w:rsidRDefault="00D65CB4">
            <w:pPr>
              <w:spacing w:after="0" w:line="240" w:lineRule="auto"/>
              <w:jc w:val="center"/>
              <w:rPr>
                <w:rFonts w:ascii="Times New Roman" w:hAnsi="Times New Roman" w:cs="Times New Roman"/>
                <w:noProof/>
                <w:sz w:val="18"/>
              </w:rPr>
            </w:pPr>
          </w:p>
        </w:tc>
        <w:tc>
          <w:tcPr>
            <w:tcW w:w="975" w:type="dxa"/>
            <w:shd w:val="clear" w:color="auto" w:fill="C6EFCE"/>
            <w:noWrap/>
          </w:tcPr>
          <w:p w14:paraId="65380D86" w14:textId="77777777" w:rsidR="00D65CB4" w:rsidRPr="00BC4EE7" w:rsidRDefault="00D65CB4">
            <w:pPr>
              <w:spacing w:after="0" w:line="240" w:lineRule="auto"/>
              <w:jc w:val="right"/>
              <w:rPr>
                <w:rFonts w:ascii="Times New Roman" w:hAnsi="Times New Roman" w:cs="Times New Roman"/>
                <w:noProof/>
                <w:sz w:val="18"/>
              </w:rPr>
            </w:pPr>
          </w:p>
        </w:tc>
        <w:tc>
          <w:tcPr>
            <w:tcW w:w="697" w:type="dxa"/>
            <w:shd w:val="clear" w:color="auto" w:fill="C6EFCE"/>
            <w:noWrap/>
          </w:tcPr>
          <w:p w14:paraId="326BAF63" w14:textId="77777777" w:rsidR="00D65CB4" w:rsidRPr="00BC4EE7" w:rsidRDefault="00D65CB4">
            <w:pPr>
              <w:spacing w:after="0" w:line="240" w:lineRule="auto"/>
              <w:jc w:val="right"/>
              <w:rPr>
                <w:rFonts w:ascii="Times New Roman" w:hAnsi="Times New Roman" w:cs="Times New Roman"/>
                <w:noProof/>
                <w:sz w:val="18"/>
              </w:rPr>
            </w:pPr>
          </w:p>
        </w:tc>
        <w:tc>
          <w:tcPr>
            <w:tcW w:w="558" w:type="dxa"/>
            <w:shd w:val="clear" w:color="auto" w:fill="C6EFCE"/>
            <w:noWrap/>
          </w:tcPr>
          <w:p w14:paraId="68343D68" w14:textId="411A585C" w:rsidR="00D65CB4" w:rsidRPr="00BC4EE7" w:rsidRDefault="00572307">
            <w:pPr>
              <w:pStyle w:val="P68B1DB1-Normal12"/>
              <w:spacing w:after="0" w:line="240" w:lineRule="auto"/>
              <w:jc w:val="center"/>
              <w:rPr>
                <w:rFonts w:cs="Times New Roman"/>
                <w:noProof/>
              </w:rPr>
            </w:pPr>
            <w:r w:rsidRPr="00BC4EE7">
              <w:rPr>
                <w:rFonts w:cs="Times New Roman"/>
                <w:noProof/>
              </w:rPr>
              <w:t>Q3</w:t>
            </w:r>
          </w:p>
        </w:tc>
        <w:tc>
          <w:tcPr>
            <w:tcW w:w="558" w:type="dxa"/>
            <w:shd w:val="clear" w:color="auto" w:fill="C6EFCE"/>
            <w:noWrap/>
          </w:tcPr>
          <w:p w14:paraId="3724B3D2" w14:textId="2ABC8EAD" w:rsidR="00D65CB4" w:rsidRPr="00BC4EE7" w:rsidRDefault="00572307">
            <w:pPr>
              <w:pStyle w:val="P68B1DB1-Normal12"/>
              <w:spacing w:after="0" w:line="240" w:lineRule="auto"/>
              <w:jc w:val="center"/>
              <w:rPr>
                <w:rFonts w:cs="Times New Roman"/>
                <w:noProof/>
              </w:rPr>
            </w:pPr>
            <w:r w:rsidRPr="00BC4EE7">
              <w:rPr>
                <w:rFonts w:cs="Times New Roman"/>
                <w:noProof/>
              </w:rPr>
              <w:t>2022</w:t>
            </w:r>
          </w:p>
        </w:tc>
        <w:tc>
          <w:tcPr>
            <w:tcW w:w="6536" w:type="dxa"/>
            <w:shd w:val="clear" w:color="auto" w:fill="C6EFCE"/>
            <w:noWrap/>
          </w:tcPr>
          <w:p w14:paraId="16134E7E" w14:textId="1EBA40BE" w:rsidR="00D65CB4" w:rsidRPr="00BC4EE7" w:rsidRDefault="00572307">
            <w:pPr>
              <w:pStyle w:val="P68B1DB1-Normal12"/>
              <w:spacing w:after="0" w:line="240" w:lineRule="auto"/>
              <w:rPr>
                <w:rFonts w:cs="Times New Roman"/>
                <w:noProof/>
              </w:rPr>
            </w:pPr>
            <w:r w:rsidRPr="00BC4EE7">
              <w:rPr>
                <w:rFonts w:cs="Times New Roman"/>
                <w:noProof/>
              </w:rPr>
              <w:t>A Spanyolországban tartózkodó külföldiek jogairól és szabadságairól, valamint társadalmi beilleszkedéséről szóló 4/2000. sz. sarkalatos törvénynek az intézkedés leírásával összhangban történő módosításáról szóló, július 26-i 629/2022. sz. királyi rendelet vonatkozó rendelkezéseinek hatálybalépése.</w:t>
            </w:r>
          </w:p>
        </w:tc>
      </w:tr>
      <w:tr w:rsidR="00D65CB4" w:rsidRPr="00BC4EE7" w14:paraId="7668D217" w14:textId="77777777" w:rsidTr="00481CF8">
        <w:trPr>
          <w:trHeight w:val="309"/>
        </w:trPr>
        <w:tc>
          <w:tcPr>
            <w:tcW w:w="696" w:type="dxa"/>
            <w:shd w:val="clear" w:color="auto" w:fill="C6EFCE"/>
            <w:noWrap/>
          </w:tcPr>
          <w:p w14:paraId="71B30D2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192</w:t>
            </w:r>
          </w:p>
        </w:tc>
        <w:tc>
          <w:tcPr>
            <w:tcW w:w="897" w:type="dxa"/>
            <w:shd w:val="clear" w:color="auto" w:fill="C6EFCE"/>
            <w:noWrap/>
          </w:tcPr>
          <w:p w14:paraId="7D0D42D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C13.R2</w:t>
            </w:r>
          </w:p>
        </w:tc>
        <w:tc>
          <w:tcPr>
            <w:tcW w:w="992" w:type="dxa"/>
            <w:shd w:val="clear" w:color="auto" w:fill="C6EFCE"/>
            <w:noWrap/>
          </w:tcPr>
          <w:p w14:paraId="00CB68D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1731" w:type="dxa"/>
            <w:shd w:val="clear" w:color="auto" w:fill="C6EFCE"/>
            <w:noWrap/>
          </w:tcPr>
          <w:p w14:paraId="1680BA86"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Az induló vállalkozásokról szóló törvény hatálybalépése</w:t>
            </w:r>
          </w:p>
        </w:tc>
        <w:tc>
          <w:tcPr>
            <w:tcW w:w="1114" w:type="dxa"/>
            <w:shd w:val="clear" w:color="auto" w:fill="C6EFCE"/>
            <w:noWrap/>
          </w:tcPr>
          <w:p w14:paraId="63805AA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A jogszabály hatálybalépésére vonatkozó rendelkezés a jogszabályban </w:t>
            </w:r>
          </w:p>
        </w:tc>
        <w:tc>
          <w:tcPr>
            <w:tcW w:w="697" w:type="dxa"/>
            <w:shd w:val="clear" w:color="auto" w:fill="C6EFCE"/>
            <w:noWrap/>
          </w:tcPr>
          <w:p w14:paraId="4E23ACC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75" w:type="dxa"/>
            <w:shd w:val="clear" w:color="auto" w:fill="C6EFCE"/>
            <w:noWrap/>
          </w:tcPr>
          <w:p w14:paraId="49A8FFB3"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697" w:type="dxa"/>
            <w:shd w:val="clear" w:color="auto" w:fill="C6EFCE"/>
            <w:noWrap/>
          </w:tcPr>
          <w:p w14:paraId="73665DF3"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558" w:type="dxa"/>
            <w:shd w:val="clear" w:color="auto" w:fill="C6EFCE"/>
            <w:noWrap/>
          </w:tcPr>
          <w:p w14:paraId="392F310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58" w:type="dxa"/>
            <w:shd w:val="clear" w:color="auto" w:fill="C6EFCE"/>
            <w:noWrap/>
          </w:tcPr>
          <w:p w14:paraId="6277EBC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2022</w:t>
            </w:r>
          </w:p>
        </w:tc>
        <w:tc>
          <w:tcPr>
            <w:tcW w:w="6536" w:type="dxa"/>
            <w:shd w:val="clear" w:color="auto" w:fill="C6EFCE"/>
            <w:noWrap/>
          </w:tcPr>
          <w:p w14:paraId="2D9CE0CD"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Az induló vállalkozásokról szóló törvény hatálybalépése, amely kedvező keretet teremt a rendkívül innovatív induló vállalkozások létrehozásához és növekedéséhez. Az induló innovatív vállalkozásokról szóló törvény adó-hozzájárulási reformokat vezet be olyan ösztönzők formájában, amelyek ösztönzik és megkönnyítik az induló innovatív vállalkozások fejlődését, valamint a külföldi vállalkozók és befektetők vonzását, összhangban a költségvetési konszolidáció célkitűzéseivel. Az induló innovatív vállalkozásokról szóló törvénynek olyan mechanizmusokat is el kell fogadnia, amelyek megkönnyítik végrehajtását és a digitális vállalkozói ökoszisztémához kapcsolódó intézkedésekkel való kapcsolatát.</w:t>
            </w:r>
          </w:p>
        </w:tc>
      </w:tr>
      <w:tr w:rsidR="00D65CB4" w:rsidRPr="00BC4EE7" w14:paraId="1E6EB94D" w14:textId="77777777" w:rsidTr="00481CF8">
        <w:trPr>
          <w:trHeight w:val="309"/>
        </w:trPr>
        <w:tc>
          <w:tcPr>
            <w:tcW w:w="696" w:type="dxa"/>
            <w:shd w:val="clear" w:color="auto" w:fill="C6EFCE"/>
            <w:noWrap/>
          </w:tcPr>
          <w:p w14:paraId="318F0EB5" w14:textId="613F4F07" w:rsidR="00D65CB4" w:rsidRPr="00BC4EE7" w:rsidRDefault="00572307">
            <w:pPr>
              <w:pStyle w:val="P68B1DB1-Normal12"/>
              <w:spacing w:after="0" w:line="240" w:lineRule="auto"/>
              <w:jc w:val="center"/>
              <w:rPr>
                <w:rFonts w:cs="Times New Roman"/>
                <w:noProof/>
              </w:rPr>
            </w:pPr>
            <w:r w:rsidRPr="00BC4EE7">
              <w:rPr>
                <w:rFonts w:cs="Times New Roman"/>
                <w:noProof/>
              </w:rPr>
              <w:t>451</w:t>
            </w:r>
          </w:p>
        </w:tc>
        <w:tc>
          <w:tcPr>
            <w:tcW w:w="897" w:type="dxa"/>
            <w:shd w:val="clear" w:color="auto" w:fill="C6EFCE"/>
            <w:noWrap/>
          </w:tcPr>
          <w:p w14:paraId="5833FDD5"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C13.R2</w:t>
            </w:r>
          </w:p>
        </w:tc>
        <w:tc>
          <w:tcPr>
            <w:tcW w:w="992" w:type="dxa"/>
            <w:shd w:val="clear" w:color="auto" w:fill="C6EFCE"/>
            <w:noWrap/>
          </w:tcPr>
          <w:p w14:paraId="5D9DCA8A"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M</w:t>
            </w:r>
          </w:p>
        </w:tc>
        <w:tc>
          <w:tcPr>
            <w:tcW w:w="1731" w:type="dxa"/>
            <w:shd w:val="clear" w:color="auto" w:fill="C6EFCE"/>
            <w:noWrap/>
          </w:tcPr>
          <w:p w14:paraId="096FFB22" w14:textId="77777777" w:rsidR="00D65CB4" w:rsidRPr="00BC4EE7" w:rsidRDefault="00572307">
            <w:pPr>
              <w:pStyle w:val="P68B1DB1-Normal12"/>
              <w:spacing w:after="0" w:line="240" w:lineRule="auto"/>
              <w:rPr>
                <w:rFonts w:cs="Times New Roman"/>
                <w:noProof/>
              </w:rPr>
            </w:pPr>
            <w:r w:rsidRPr="00BC4EE7">
              <w:rPr>
                <w:rFonts w:cs="Times New Roman"/>
                <w:noProof/>
              </w:rPr>
              <w:t>A vállalkozók támogatásáról és nemzetközivé válásáról szóló, szeptember 27-i 14/2013. sz. törvény módosításának hatálybalépése</w:t>
            </w:r>
          </w:p>
        </w:tc>
        <w:tc>
          <w:tcPr>
            <w:tcW w:w="1114" w:type="dxa"/>
            <w:shd w:val="clear" w:color="auto" w:fill="C6EFCE"/>
            <w:noWrap/>
          </w:tcPr>
          <w:p w14:paraId="28020984" w14:textId="56A043DE" w:rsidR="00D65CB4" w:rsidRPr="00BC4EE7" w:rsidRDefault="00572307">
            <w:pPr>
              <w:pStyle w:val="P68B1DB1-Normal12"/>
              <w:spacing w:after="0" w:line="240" w:lineRule="auto"/>
              <w:jc w:val="center"/>
              <w:rPr>
                <w:rFonts w:cs="Times New Roman"/>
                <w:noProof/>
              </w:rPr>
            </w:pPr>
            <w:r w:rsidRPr="00BC4EE7">
              <w:rPr>
                <w:rFonts w:cs="Times New Roman"/>
                <w:noProof/>
              </w:rPr>
              <w:t>A törvénymódosításban a vonatkozó rendelkezések hatálybalépését feltüntető rendelkezés</w:t>
            </w:r>
          </w:p>
        </w:tc>
        <w:tc>
          <w:tcPr>
            <w:tcW w:w="697" w:type="dxa"/>
            <w:shd w:val="clear" w:color="auto" w:fill="C6EFCE"/>
            <w:noWrap/>
          </w:tcPr>
          <w:p w14:paraId="7133CF56" w14:textId="77777777" w:rsidR="00D65CB4" w:rsidRPr="00BC4EE7" w:rsidRDefault="00D65CB4">
            <w:pPr>
              <w:spacing w:after="0" w:line="240" w:lineRule="auto"/>
              <w:jc w:val="center"/>
              <w:rPr>
                <w:rFonts w:ascii="Times New Roman" w:hAnsi="Times New Roman" w:cs="Times New Roman"/>
                <w:noProof/>
                <w:sz w:val="18"/>
              </w:rPr>
            </w:pPr>
          </w:p>
        </w:tc>
        <w:tc>
          <w:tcPr>
            <w:tcW w:w="975" w:type="dxa"/>
            <w:shd w:val="clear" w:color="auto" w:fill="C6EFCE"/>
            <w:noWrap/>
          </w:tcPr>
          <w:p w14:paraId="6BA613E5" w14:textId="77777777" w:rsidR="00D65CB4" w:rsidRPr="00BC4EE7" w:rsidRDefault="00D65CB4">
            <w:pPr>
              <w:spacing w:after="0" w:line="240" w:lineRule="auto"/>
              <w:jc w:val="right"/>
              <w:rPr>
                <w:rFonts w:ascii="Times New Roman" w:hAnsi="Times New Roman" w:cs="Times New Roman"/>
                <w:noProof/>
                <w:sz w:val="18"/>
              </w:rPr>
            </w:pPr>
          </w:p>
        </w:tc>
        <w:tc>
          <w:tcPr>
            <w:tcW w:w="697" w:type="dxa"/>
            <w:shd w:val="clear" w:color="auto" w:fill="C6EFCE"/>
            <w:noWrap/>
          </w:tcPr>
          <w:p w14:paraId="5D56298E" w14:textId="77777777" w:rsidR="00D65CB4" w:rsidRPr="00BC4EE7" w:rsidRDefault="00D65CB4">
            <w:pPr>
              <w:spacing w:after="0" w:line="240" w:lineRule="auto"/>
              <w:jc w:val="right"/>
              <w:rPr>
                <w:rFonts w:ascii="Times New Roman" w:hAnsi="Times New Roman" w:cs="Times New Roman"/>
                <w:noProof/>
                <w:sz w:val="18"/>
              </w:rPr>
            </w:pPr>
          </w:p>
        </w:tc>
        <w:tc>
          <w:tcPr>
            <w:tcW w:w="558" w:type="dxa"/>
            <w:shd w:val="clear" w:color="auto" w:fill="C6EFCE"/>
            <w:noWrap/>
          </w:tcPr>
          <w:p w14:paraId="4D85260B"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558" w:type="dxa"/>
            <w:shd w:val="clear" w:color="auto" w:fill="C6EFCE"/>
            <w:noWrap/>
          </w:tcPr>
          <w:p w14:paraId="08115EB3"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2023</w:t>
            </w:r>
          </w:p>
        </w:tc>
        <w:tc>
          <w:tcPr>
            <w:tcW w:w="6536" w:type="dxa"/>
            <w:shd w:val="clear" w:color="auto" w:fill="C6EFCE"/>
            <w:noWrap/>
          </w:tcPr>
          <w:p w14:paraId="1D6A9F51" w14:textId="77777777" w:rsidR="00D65CB4" w:rsidRPr="00BC4EE7" w:rsidRDefault="00572307">
            <w:pPr>
              <w:pStyle w:val="P68B1DB1-Normal12"/>
              <w:spacing w:after="0" w:line="240" w:lineRule="auto"/>
              <w:rPr>
                <w:rFonts w:cs="Times New Roman"/>
                <w:noProof/>
              </w:rPr>
            </w:pPr>
            <w:r w:rsidRPr="00BC4EE7">
              <w:rPr>
                <w:rFonts w:cs="Times New Roman"/>
                <w:noProof/>
              </w:rPr>
              <w:t>A vállalkozók támogatásáról és nemzetközivé válásáról szóló, szeptember 27-i 14/2013. sz. törvény módosítása vonatkozó rendelkezéseinek hatálybalépése az intézkedés leírásával összhangban.</w:t>
            </w:r>
          </w:p>
        </w:tc>
      </w:tr>
      <w:tr w:rsidR="00D65CB4" w:rsidRPr="00BC4EE7" w14:paraId="407FE735" w14:textId="77777777" w:rsidTr="00481CF8">
        <w:trPr>
          <w:trHeight w:val="309"/>
        </w:trPr>
        <w:tc>
          <w:tcPr>
            <w:tcW w:w="696" w:type="dxa"/>
            <w:shd w:val="clear" w:color="auto" w:fill="C6EFCE"/>
            <w:noWrap/>
          </w:tcPr>
          <w:p w14:paraId="18C76E68" w14:textId="6ABC1D27" w:rsidR="00D65CB4" w:rsidRPr="00BC4EE7" w:rsidRDefault="00572307">
            <w:pPr>
              <w:pStyle w:val="P68B1DB1-Normal12"/>
              <w:spacing w:line="240" w:lineRule="auto"/>
              <w:jc w:val="center"/>
              <w:rPr>
                <w:rFonts w:cs="Times New Roman"/>
                <w:noProof/>
              </w:rPr>
            </w:pPr>
            <w:r w:rsidRPr="00BC4EE7">
              <w:rPr>
                <w:rFonts w:cs="Times New Roman"/>
                <w:noProof/>
              </w:rPr>
              <w:t>452</w:t>
            </w:r>
          </w:p>
        </w:tc>
        <w:tc>
          <w:tcPr>
            <w:tcW w:w="897" w:type="dxa"/>
            <w:shd w:val="clear" w:color="auto" w:fill="C6EFCE"/>
            <w:noWrap/>
          </w:tcPr>
          <w:p w14:paraId="35E33E6F" w14:textId="77777777" w:rsidR="00D65CB4" w:rsidRPr="00BC4EE7" w:rsidRDefault="00572307">
            <w:pPr>
              <w:pStyle w:val="P68B1DB1-Normal12"/>
              <w:spacing w:line="240" w:lineRule="auto"/>
              <w:jc w:val="center"/>
              <w:rPr>
                <w:rFonts w:cs="Times New Roman"/>
                <w:noProof/>
              </w:rPr>
            </w:pPr>
            <w:r w:rsidRPr="00BC4EE7">
              <w:rPr>
                <w:rFonts w:cs="Times New Roman"/>
                <w:noProof/>
              </w:rPr>
              <w:t>C13.R3</w:t>
            </w:r>
          </w:p>
        </w:tc>
        <w:tc>
          <w:tcPr>
            <w:tcW w:w="992" w:type="dxa"/>
            <w:shd w:val="clear" w:color="auto" w:fill="C6EFCE"/>
            <w:noWrap/>
          </w:tcPr>
          <w:p w14:paraId="69DEFA12"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M</w:t>
            </w:r>
          </w:p>
        </w:tc>
        <w:tc>
          <w:tcPr>
            <w:tcW w:w="1731" w:type="dxa"/>
            <w:shd w:val="clear" w:color="auto" w:fill="C6EFCE"/>
            <w:noWrap/>
          </w:tcPr>
          <w:p w14:paraId="2A2C64E6" w14:textId="77777777" w:rsidR="00D65CB4" w:rsidRPr="00BC4EE7" w:rsidRDefault="00572307">
            <w:pPr>
              <w:pStyle w:val="P68B1DB1-Normal12"/>
              <w:spacing w:after="0" w:line="240" w:lineRule="auto"/>
              <w:rPr>
                <w:rFonts w:cs="Times New Roman"/>
                <w:noProof/>
              </w:rPr>
            </w:pPr>
            <w:r w:rsidRPr="00BC4EE7">
              <w:rPr>
                <w:rFonts w:cs="Times New Roman"/>
                <w:noProof/>
              </w:rPr>
              <w:t>A kkv-k finanszírozáshoz való hozzáférésének javítását célzó intézkedések a 2023. március 17-i 6/2023. sz. törvény módosításai révén.</w:t>
            </w:r>
          </w:p>
        </w:tc>
        <w:tc>
          <w:tcPr>
            <w:tcW w:w="1114" w:type="dxa"/>
            <w:shd w:val="clear" w:color="auto" w:fill="C6EFCE"/>
            <w:noWrap/>
          </w:tcPr>
          <w:p w14:paraId="042795AA"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A törvény hatálybalépését feltüntető törvényi rendelkezés</w:t>
            </w:r>
          </w:p>
        </w:tc>
        <w:tc>
          <w:tcPr>
            <w:tcW w:w="697" w:type="dxa"/>
            <w:shd w:val="clear" w:color="auto" w:fill="C6EFCE"/>
            <w:noWrap/>
          </w:tcPr>
          <w:p w14:paraId="7DA54085" w14:textId="77777777" w:rsidR="00D65CB4" w:rsidRPr="00BC4EE7" w:rsidRDefault="00D65CB4">
            <w:pPr>
              <w:spacing w:line="240" w:lineRule="auto"/>
              <w:jc w:val="center"/>
              <w:rPr>
                <w:rFonts w:ascii="Times New Roman" w:hAnsi="Times New Roman" w:cs="Times New Roman"/>
                <w:noProof/>
                <w:sz w:val="18"/>
              </w:rPr>
            </w:pPr>
          </w:p>
        </w:tc>
        <w:tc>
          <w:tcPr>
            <w:tcW w:w="975" w:type="dxa"/>
            <w:shd w:val="clear" w:color="auto" w:fill="C6EFCE"/>
            <w:noWrap/>
          </w:tcPr>
          <w:p w14:paraId="47A91D23" w14:textId="77777777" w:rsidR="00D65CB4" w:rsidRPr="00BC4EE7" w:rsidRDefault="00D65CB4">
            <w:pPr>
              <w:spacing w:line="240" w:lineRule="auto"/>
              <w:jc w:val="right"/>
              <w:rPr>
                <w:rFonts w:ascii="Times New Roman" w:hAnsi="Times New Roman" w:cs="Times New Roman"/>
                <w:noProof/>
                <w:sz w:val="18"/>
              </w:rPr>
            </w:pPr>
          </w:p>
        </w:tc>
        <w:tc>
          <w:tcPr>
            <w:tcW w:w="697" w:type="dxa"/>
            <w:shd w:val="clear" w:color="auto" w:fill="C6EFCE"/>
            <w:noWrap/>
          </w:tcPr>
          <w:p w14:paraId="3DCF9411" w14:textId="77777777" w:rsidR="00D65CB4" w:rsidRPr="00BC4EE7" w:rsidRDefault="00D65CB4">
            <w:pPr>
              <w:spacing w:line="240" w:lineRule="auto"/>
              <w:jc w:val="right"/>
              <w:rPr>
                <w:rFonts w:ascii="Times New Roman" w:hAnsi="Times New Roman" w:cs="Times New Roman"/>
                <w:noProof/>
                <w:sz w:val="18"/>
              </w:rPr>
            </w:pPr>
          </w:p>
        </w:tc>
        <w:tc>
          <w:tcPr>
            <w:tcW w:w="558" w:type="dxa"/>
            <w:shd w:val="clear" w:color="auto" w:fill="C6EFCE"/>
            <w:noWrap/>
          </w:tcPr>
          <w:p w14:paraId="5F702D89" w14:textId="77777777" w:rsidR="00D65CB4" w:rsidRPr="00BC4EE7" w:rsidRDefault="00572307">
            <w:pPr>
              <w:pStyle w:val="P68B1DB1-Normal12"/>
              <w:spacing w:line="240" w:lineRule="auto"/>
              <w:jc w:val="center"/>
              <w:rPr>
                <w:rFonts w:cs="Times New Roman"/>
                <w:noProof/>
              </w:rPr>
            </w:pPr>
            <w:r w:rsidRPr="00BC4EE7">
              <w:rPr>
                <w:rFonts w:cs="Times New Roman"/>
                <w:noProof/>
              </w:rPr>
              <w:t>Q2</w:t>
            </w:r>
          </w:p>
        </w:tc>
        <w:tc>
          <w:tcPr>
            <w:tcW w:w="558" w:type="dxa"/>
            <w:shd w:val="clear" w:color="auto" w:fill="C6EFCE"/>
            <w:noWrap/>
          </w:tcPr>
          <w:p w14:paraId="6D8FC70B" w14:textId="77777777" w:rsidR="00D65CB4" w:rsidRPr="00BC4EE7" w:rsidRDefault="00572307">
            <w:pPr>
              <w:pStyle w:val="P68B1DB1-Normal12"/>
              <w:spacing w:line="240" w:lineRule="auto"/>
              <w:jc w:val="center"/>
              <w:rPr>
                <w:rFonts w:cs="Times New Roman"/>
                <w:noProof/>
              </w:rPr>
            </w:pPr>
            <w:r w:rsidRPr="00BC4EE7">
              <w:rPr>
                <w:rFonts w:cs="Times New Roman"/>
                <w:noProof/>
              </w:rPr>
              <w:t>2024</w:t>
            </w:r>
          </w:p>
        </w:tc>
        <w:tc>
          <w:tcPr>
            <w:tcW w:w="6536" w:type="dxa"/>
            <w:shd w:val="clear" w:color="auto" w:fill="C6EFCE"/>
            <w:noWrap/>
          </w:tcPr>
          <w:p w14:paraId="3FD3EEE0" w14:textId="77777777" w:rsidR="00D65CB4" w:rsidRPr="00BC4EE7" w:rsidRDefault="00572307">
            <w:pPr>
              <w:pStyle w:val="P68B1DB1-Normal12"/>
              <w:spacing w:line="240" w:lineRule="auto"/>
              <w:rPr>
                <w:rFonts w:cs="Times New Roman"/>
                <w:noProof/>
              </w:rPr>
            </w:pPr>
            <w:r w:rsidRPr="00BC4EE7">
              <w:rPr>
                <w:rFonts w:cs="Times New Roman"/>
                <w:noProof/>
              </w:rPr>
              <w:t>Az értékpapír-piacokról és befektetési szolgáltatásokról szóló törvény hatálybalépése. Egyszerűsíti a rögzített kamatozású értékpapírok szabályozott piacra történő bevezetésének folyamatát, kiterjeszti a BME Growth-hez való hozzáférést, kiterjeszti a kötelező nyilvános vételi ajánlatokat a szabályozott piacokon kereskedett értékpapírokon túl az MTF-eken kereskedett értékpapírokra, és csökkenti a pénzügyi piacokra való belépés akadályait az értékpapírok elszámolásának, elszámolásának és nyilvántartásba vételének nyomon követésére szolgáló információs rendszer (az úgynevezett kereskedés utáni interfész) megszüntetésével.</w:t>
            </w:r>
          </w:p>
        </w:tc>
      </w:tr>
      <w:tr w:rsidR="00D65CB4" w:rsidRPr="00BC4EE7" w14:paraId="17D6ADC8" w14:textId="77777777" w:rsidTr="00481CF8">
        <w:trPr>
          <w:trHeight w:val="309"/>
        </w:trPr>
        <w:tc>
          <w:tcPr>
            <w:tcW w:w="696" w:type="dxa"/>
            <w:shd w:val="clear" w:color="auto" w:fill="C6EFCE"/>
            <w:noWrap/>
          </w:tcPr>
          <w:p w14:paraId="05D5C24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193</w:t>
            </w:r>
          </w:p>
        </w:tc>
        <w:tc>
          <w:tcPr>
            <w:tcW w:w="897" w:type="dxa"/>
            <w:shd w:val="clear" w:color="auto" w:fill="C6EFCE"/>
            <w:noWrap/>
          </w:tcPr>
          <w:p w14:paraId="748C134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C13.I1.</w:t>
            </w:r>
          </w:p>
        </w:tc>
        <w:tc>
          <w:tcPr>
            <w:tcW w:w="992" w:type="dxa"/>
            <w:shd w:val="clear" w:color="auto" w:fill="C6EFCE"/>
            <w:noWrap/>
          </w:tcPr>
          <w:p w14:paraId="3CCDA9E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1731" w:type="dxa"/>
            <w:shd w:val="clear" w:color="auto" w:fill="C6EFCE"/>
            <w:noWrap/>
          </w:tcPr>
          <w:p w14:paraId="38FB9B1F"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vállalkozói ökoszisztéma fellendítését célzó intézkedések előnyeit élvező vállalkozók vagy kkv-k</w:t>
            </w:r>
          </w:p>
        </w:tc>
        <w:tc>
          <w:tcPr>
            <w:tcW w:w="1114" w:type="dxa"/>
            <w:shd w:val="clear" w:color="auto" w:fill="C6EFCE"/>
            <w:noWrap/>
          </w:tcPr>
          <w:p w14:paraId="277AC17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697" w:type="dxa"/>
            <w:shd w:val="clear" w:color="auto" w:fill="C6EFCE"/>
            <w:noWrap/>
          </w:tcPr>
          <w:p w14:paraId="2B5BC2F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Szám</w:t>
            </w:r>
          </w:p>
        </w:tc>
        <w:tc>
          <w:tcPr>
            <w:tcW w:w="975" w:type="dxa"/>
            <w:shd w:val="clear" w:color="auto" w:fill="C6EFCE"/>
            <w:noWrap/>
          </w:tcPr>
          <w:p w14:paraId="7A53A9C3"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0</w:t>
            </w:r>
          </w:p>
        </w:tc>
        <w:tc>
          <w:tcPr>
            <w:tcW w:w="697" w:type="dxa"/>
            <w:shd w:val="clear" w:color="auto" w:fill="C6EFCE"/>
            <w:noWrap/>
          </w:tcPr>
          <w:p w14:paraId="76A49FD6"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6 900</w:t>
            </w:r>
          </w:p>
        </w:tc>
        <w:tc>
          <w:tcPr>
            <w:tcW w:w="558" w:type="dxa"/>
            <w:shd w:val="clear" w:color="auto" w:fill="C6EFCE"/>
            <w:noWrap/>
          </w:tcPr>
          <w:p w14:paraId="2494DAA4"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58" w:type="dxa"/>
            <w:shd w:val="clear" w:color="auto" w:fill="C6EFCE"/>
            <w:noWrap/>
          </w:tcPr>
          <w:p w14:paraId="7D948FD4" w14:textId="5D588B4A"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w:t>
            </w:r>
            <w:r w:rsidRPr="00BC4EE7">
              <w:rPr>
                <w:rFonts w:cs="Times New Roman"/>
                <w:noProof/>
                <w:shd w:val="clear" w:color="auto" w:fill="E6E6E6"/>
              </w:rPr>
              <w:t>4</w:t>
            </w:r>
          </w:p>
        </w:tc>
        <w:tc>
          <w:tcPr>
            <w:tcW w:w="6536" w:type="dxa"/>
            <w:shd w:val="clear" w:color="auto" w:fill="C6EFCE"/>
            <w:noWrap/>
          </w:tcPr>
          <w:p w14:paraId="475EB871" w14:textId="09B85465" w:rsidR="00D65CB4" w:rsidRPr="00BC4EE7" w:rsidRDefault="00572307">
            <w:pPr>
              <w:pStyle w:val="P68B1DB1-Normal12"/>
              <w:spacing w:after="0" w:line="240" w:lineRule="auto"/>
              <w:rPr>
                <w:rFonts w:eastAsia="Times New Roman" w:cs="Times New Roman"/>
                <w:noProof/>
              </w:rPr>
            </w:pPr>
            <w:r w:rsidRPr="00BC4EE7">
              <w:rPr>
                <w:rFonts w:cs="Times New Roman"/>
                <w:noProof/>
              </w:rPr>
              <w:t>Legalább 6900 vállalkozó vagy kkv hajtott végre a vállalkozói ökoszisztéma fellendítését célzó programot a 2030-ig tartó időszakra vonatkozó kkv-politikai stratégiai keret, a spanyol vállalkozási stratégia és a Spanyolország 2025-ig tartó időszakra vonatkozó digitális menetrendje keretében, beleértve legalább 2000 női vállalkozót/kkv-t, akiket nők irányítottak vagy vettek részt. Konkrétan a vállalkozói készségek program keretében 6100 vállalkozót (ebből 1200 nő) és 800 női vállalkozót kell támogatni a női tehetségtanulási programon keresztül, a jelentős károkozás elkerülését célzó technikai iránymutatással (2021/C58/01) összhangban kizárási lista alkalmazásával, valamint a vonatkozó uniós és nemzeti környezetvédelmi jogszabályoknak való megfelelés követelményével.</w:t>
            </w:r>
          </w:p>
        </w:tc>
      </w:tr>
      <w:tr w:rsidR="00D65CB4" w:rsidRPr="00BC4EE7" w14:paraId="3CA897A7" w14:textId="77777777" w:rsidTr="00481CF8">
        <w:trPr>
          <w:trHeight w:val="309"/>
        </w:trPr>
        <w:tc>
          <w:tcPr>
            <w:tcW w:w="696" w:type="dxa"/>
            <w:shd w:val="clear" w:color="auto" w:fill="C6EFCE"/>
            <w:noWrap/>
          </w:tcPr>
          <w:p w14:paraId="21D5864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194</w:t>
            </w:r>
          </w:p>
        </w:tc>
        <w:tc>
          <w:tcPr>
            <w:tcW w:w="897" w:type="dxa"/>
            <w:shd w:val="clear" w:color="auto" w:fill="C6EFCE"/>
            <w:noWrap/>
          </w:tcPr>
          <w:p w14:paraId="178C591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C13.I1.</w:t>
            </w:r>
          </w:p>
        </w:tc>
        <w:tc>
          <w:tcPr>
            <w:tcW w:w="992" w:type="dxa"/>
            <w:shd w:val="clear" w:color="auto" w:fill="C6EFCE"/>
            <w:noWrap/>
          </w:tcPr>
          <w:p w14:paraId="7E4262ED"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1731" w:type="dxa"/>
            <w:shd w:val="clear" w:color="auto" w:fill="C6EFCE"/>
            <w:noWrap/>
          </w:tcPr>
          <w:p w14:paraId="53DA184E"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vállalkozói ökoszisztéma fellendítését célzó intézkedések előnyeit élvező felhasználók</w:t>
            </w:r>
          </w:p>
        </w:tc>
        <w:tc>
          <w:tcPr>
            <w:tcW w:w="1114" w:type="dxa"/>
            <w:shd w:val="clear" w:color="auto" w:fill="C6EFCE"/>
            <w:noWrap/>
          </w:tcPr>
          <w:p w14:paraId="70E34C1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697" w:type="dxa"/>
            <w:shd w:val="clear" w:color="auto" w:fill="C6EFCE"/>
            <w:noWrap/>
          </w:tcPr>
          <w:p w14:paraId="5AE9F8F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Szám</w:t>
            </w:r>
          </w:p>
        </w:tc>
        <w:tc>
          <w:tcPr>
            <w:tcW w:w="975" w:type="dxa"/>
            <w:shd w:val="clear" w:color="auto" w:fill="C6EFCE"/>
            <w:noWrap/>
          </w:tcPr>
          <w:p w14:paraId="5D0054EC"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0</w:t>
            </w:r>
          </w:p>
        </w:tc>
        <w:tc>
          <w:tcPr>
            <w:tcW w:w="697" w:type="dxa"/>
            <w:shd w:val="clear" w:color="auto" w:fill="C6EFCE"/>
            <w:noWrap/>
          </w:tcPr>
          <w:p w14:paraId="70C6C8FC"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12 000</w:t>
            </w:r>
          </w:p>
        </w:tc>
        <w:tc>
          <w:tcPr>
            <w:tcW w:w="558" w:type="dxa"/>
            <w:shd w:val="clear" w:color="auto" w:fill="C6EFCE"/>
            <w:noWrap/>
          </w:tcPr>
          <w:p w14:paraId="151950E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58" w:type="dxa"/>
            <w:shd w:val="clear" w:color="auto" w:fill="C6EFCE"/>
            <w:noWrap/>
          </w:tcPr>
          <w:p w14:paraId="074264CD"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2023</w:t>
            </w:r>
          </w:p>
        </w:tc>
        <w:tc>
          <w:tcPr>
            <w:tcW w:w="6536" w:type="dxa"/>
            <w:shd w:val="clear" w:color="auto" w:fill="C6EFCE"/>
            <w:noWrap/>
          </w:tcPr>
          <w:p w14:paraId="1921B1A4" w14:textId="0A0A590F" w:rsidR="00D65CB4" w:rsidRPr="00BC4EE7" w:rsidRDefault="00572307">
            <w:pPr>
              <w:pStyle w:val="P68B1DB1-Normal7"/>
              <w:spacing w:after="0" w:line="240" w:lineRule="auto"/>
              <w:rPr>
                <w:rFonts w:eastAsia="Times New Roman" w:cs="Times New Roman"/>
                <w:noProof/>
                <w:sz w:val="18"/>
              </w:rPr>
            </w:pPr>
            <w:r w:rsidRPr="00BC4EE7">
              <w:rPr>
                <w:rFonts w:cs="Times New Roman"/>
                <w:noProof/>
                <w:sz w:val="18"/>
              </w:rPr>
              <w:t>Legalább 12000 felhasználó élvezi a vállalkozói ökoszisztéma fellendítését célzó intézkedések előnyeit a 2030-ig tartó időszakra vonatkozó kkv-politikai stratégiai keret, a spanyol vállalkozási stratégia és a 2025-ig tartó időszakra vonatkozó spanyol digitális menetrend égisze alatt; valamint a jelentős károkozás elkerülését célzó technikai iránymutatásnak (2021/C58/01) megfelelően kizárási lista alkalmazásával, valamint a vonatkozó uniós és nemzeti környezetvédelmi jogszabályoknak való megfelelés követelményével.</w:t>
            </w:r>
          </w:p>
        </w:tc>
      </w:tr>
      <w:tr w:rsidR="00D65CB4" w:rsidRPr="00BC4EE7" w14:paraId="00F9D5E0" w14:textId="77777777" w:rsidTr="00481CF8">
        <w:trPr>
          <w:trHeight w:val="309"/>
        </w:trPr>
        <w:tc>
          <w:tcPr>
            <w:tcW w:w="696" w:type="dxa"/>
            <w:shd w:val="clear" w:color="auto" w:fill="C6EFCE"/>
            <w:noWrap/>
          </w:tcPr>
          <w:p w14:paraId="2ACEA88D"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195</w:t>
            </w:r>
          </w:p>
        </w:tc>
        <w:tc>
          <w:tcPr>
            <w:tcW w:w="897" w:type="dxa"/>
            <w:shd w:val="clear" w:color="auto" w:fill="C6EFCE"/>
            <w:noWrap/>
          </w:tcPr>
          <w:p w14:paraId="5524FC9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C13.I1.</w:t>
            </w:r>
          </w:p>
        </w:tc>
        <w:tc>
          <w:tcPr>
            <w:tcW w:w="992" w:type="dxa"/>
            <w:shd w:val="clear" w:color="auto" w:fill="C6EFCE"/>
            <w:noWrap/>
          </w:tcPr>
          <w:p w14:paraId="06FC199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1731" w:type="dxa"/>
            <w:shd w:val="clear" w:color="auto" w:fill="C6EFCE"/>
            <w:noWrap/>
          </w:tcPr>
          <w:p w14:paraId="106F31D8"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Egyéb tevékenységek terjesztése, kommunikáció és finanszírozás</w:t>
            </w:r>
          </w:p>
        </w:tc>
        <w:tc>
          <w:tcPr>
            <w:tcW w:w="1114" w:type="dxa"/>
            <w:shd w:val="clear" w:color="auto" w:fill="C6EFCE"/>
            <w:noWrap/>
          </w:tcPr>
          <w:p w14:paraId="14D7D97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697" w:type="dxa"/>
            <w:shd w:val="clear" w:color="auto" w:fill="C6EFCE"/>
            <w:noWrap/>
          </w:tcPr>
          <w:p w14:paraId="37BEE50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Szám</w:t>
            </w:r>
          </w:p>
        </w:tc>
        <w:tc>
          <w:tcPr>
            <w:tcW w:w="975" w:type="dxa"/>
            <w:shd w:val="clear" w:color="auto" w:fill="C6EFCE"/>
            <w:noWrap/>
          </w:tcPr>
          <w:p w14:paraId="316510DD"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0</w:t>
            </w:r>
          </w:p>
        </w:tc>
        <w:tc>
          <w:tcPr>
            <w:tcW w:w="697" w:type="dxa"/>
            <w:shd w:val="clear" w:color="auto" w:fill="C6EFCE"/>
            <w:noWrap/>
          </w:tcPr>
          <w:p w14:paraId="0D44C787"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480</w:t>
            </w:r>
          </w:p>
        </w:tc>
        <w:tc>
          <w:tcPr>
            <w:tcW w:w="558" w:type="dxa"/>
            <w:shd w:val="clear" w:color="auto" w:fill="C6EFCE"/>
            <w:noWrap/>
          </w:tcPr>
          <w:p w14:paraId="22A7465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58" w:type="dxa"/>
            <w:shd w:val="clear" w:color="auto" w:fill="C6EFCE"/>
            <w:noWrap/>
          </w:tcPr>
          <w:p w14:paraId="0641FEE1" w14:textId="4A074EF8"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w:t>
            </w:r>
            <w:r w:rsidRPr="00BC4EE7">
              <w:rPr>
                <w:rFonts w:cs="Times New Roman"/>
                <w:noProof/>
                <w:shd w:val="clear" w:color="auto" w:fill="E6E6E6"/>
              </w:rPr>
              <w:t>4</w:t>
            </w:r>
          </w:p>
        </w:tc>
        <w:tc>
          <w:tcPr>
            <w:tcW w:w="6536" w:type="dxa"/>
            <w:shd w:val="clear" w:color="auto" w:fill="C6EFCE"/>
            <w:noWrap/>
          </w:tcPr>
          <w:p w14:paraId="2CDBA29B" w14:textId="77777777" w:rsidR="00D65CB4" w:rsidRPr="00BC4EE7" w:rsidRDefault="00572307">
            <w:pPr>
              <w:spacing w:after="0" w:line="240" w:lineRule="auto"/>
              <w:rPr>
                <w:rFonts w:ascii="Times New Roman" w:eastAsia="Times New Roman" w:hAnsi="Times New Roman" w:cs="Times New Roman"/>
                <w:noProof/>
                <w:sz w:val="18"/>
              </w:rPr>
            </w:pPr>
            <w:r w:rsidRPr="00BC4EE7">
              <w:rPr>
                <w:rFonts w:ascii="Times New Roman" w:hAnsi="Times New Roman" w:cs="Times New Roman"/>
                <w:noProof/>
                <w:sz w:val="18"/>
              </w:rPr>
              <w:t>Legalább 480 fellépés valósult meg olyan terjesztési és kommunikációs kampányok céljából, amelyek célja, hogy innovatív vállalatokra és a tehetséges női tehetségek vonzására irányuló programokra összpontosító nemzetközi rendezvényeket hozzanak létre, fejlesszenek ki vagy vonzzanak Spanyolországba. Ennek magában kell foglalnia legalább 20, a „lobogóprogram” keretében a vállalkozói szellemről szóló rendezvényt; és legalább 260 kommunikációs tevékenység (200 médiamegjelenés és 60 rendezvény) a „Brand Spain Entrepreneurship Nation” (Brand Spain Entrepreneurship Nation) keretében.</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 vállalkozói szellemet és a kkv-kat támogató program finanszírozása a nők vállalkozói készségét támogató programon keresztül. Ez magában foglalja legalább 200 női vállalkozó támogatását az Empresa Nacional de Innovación, S.A. által a jelentős károkozás elkerülését célzó technikai iránymutatással (2021/C58/01) összhangban az ezen intézkedés keretében támogatott ügyletek tekintetében a fenntarthatósági vizsgálat alkalmazása, a kizárási lista használata, valamint a vonatkozó uniós és nemzeti környezetvédelmi jogszabályoknak való megfelelés követelménye révén.</w:t>
            </w:r>
          </w:p>
        </w:tc>
      </w:tr>
      <w:tr w:rsidR="00D65CB4" w:rsidRPr="00BC4EE7" w14:paraId="7C8C54B0" w14:textId="77777777" w:rsidTr="00481CF8">
        <w:trPr>
          <w:trHeight w:val="309"/>
        </w:trPr>
        <w:tc>
          <w:tcPr>
            <w:tcW w:w="696" w:type="dxa"/>
            <w:shd w:val="clear" w:color="auto" w:fill="C6EFCE"/>
            <w:noWrap/>
          </w:tcPr>
          <w:p w14:paraId="0B8EA36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196</w:t>
            </w:r>
          </w:p>
        </w:tc>
        <w:tc>
          <w:tcPr>
            <w:tcW w:w="897" w:type="dxa"/>
            <w:shd w:val="clear" w:color="auto" w:fill="C6EFCE"/>
            <w:noWrap/>
          </w:tcPr>
          <w:p w14:paraId="7A1E922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C13.I2.</w:t>
            </w:r>
          </w:p>
        </w:tc>
        <w:tc>
          <w:tcPr>
            <w:tcW w:w="992" w:type="dxa"/>
            <w:shd w:val="clear" w:color="auto" w:fill="C6EFCE"/>
            <w:noWrap/>
          </w:tcPr>
          <w:p w14:paraId="01D91C2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1731" w:type="dxa"/>
            <w:shd w:val="clear" w:color="auto" w:fill="C6EFCE"/>
            <w:noWrap/>
          </w:tcPr>
          <w:p w14:paraId="0119AE5B"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CERSA-garancia</w:t>
            </w:r>
          </w:p>
        </w:tc>
        <w:tc>
          <w:tcPr>
            <w:tcW w:w="1114" w:type="dxa"/>
            <w:shd w:val="clear" w:color="auto" w:fill="C6EFCE"/>
            <w:noWrap/>
          </w:tcPr>
          <w:p w14:paraId="514296A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697" w:type="dxa"/>
            <w:shd w:val="clear" w:color="auto" w:fill="C6EFCE"/>
            <w:noWrap/>
          </w:tcPr>
          <w:p w14:paraId="029A5AF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Millió EUR </w:t>
            </w:r>
          </w:p>
        </w:tc>
        <w:tc>
          <w:tcPr>
            <w:tcW w:w="975" w:type="dxa"/>
            <w:shd w:val="clear" w:color="auto" w:fill="C6EFCE"/>
            <w:noWrap/>
          </w:tcPr>
          <w:p w14:paraId="76A11F81"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0</w:t>
            </w:r>
          </w:p>
        </w:tc>
        <w:tc>
          <w:tcPr>
            <w:tcW w:w="697" w:type="dxa"/>
            <w:shd w:val="clear" w:color="auto" w:fill="C6EFCE"/>
            <w:noWrap/>
          </w:tcPr>
          <w:p w14:paraId="1E428D48"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1 000</w:t>
            </w:r>
          </w:p>
        </w:tc>
        <w:tc>
          <w:tcPr>
            <w:tcW w:w="558" w:type="dxa"/>
            <w:shd w:val="clear" w:color="auto" w:fill="C6EFCE"/>
            <w:noWrap/>
          </w:tcPr>
          <w:p w14:paraId="7A32BF7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58" w:type="dxa"/>
            <w:shd w:val="clear" w:color="auto" w:fill="C6EFCE"/>
            <w:noWrap/>
          </w:tcPr>
          <w:p w14:paraId="07E86744"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2023</w:t>
            </w:r>
          </w:p>
        </w:tc>
        <w:tc>
          <w:tcPr>
            <w:tcW w:w="6536" w:type="dxa"/>
            <w:shd w:val="clear" w:color="auto" w:fill="C6EFCE"/>
            <w:noWrap/>
          </w:tcPr>
          <w:p w14:paraId="79CE5B2A"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CERSA-garancia: A CERSA által nyújtott legalább 1 000 000 000 EUR összegű garancia, amely lehetővé teszi a kkv-k számára, hogy garanciákat kapjanak a hosszú távú befektetésekhez és a működő tőkéhez. A kiválasztási kritériumoknak biztosítaniuk kell, hogy az ezen intézkedés keretében támogatott ügyletek megfeleljenek a jelentős károkozás elkerülését célzó technikai iránymutatásnak (2021/C58/01) a fenntarthatósági vizsgálat alkalmazása, a kizárási lista használata, valamint a vonatkozó uniós és nemzeti környezetvédelmi jogszabályoknak való megfelelés követelménye révén. </w:t>
            </w:r>
          </w:p>
        </w:tc>
      </w:tr>
      <w:tr w:rsidR="00D65CB4" w:rsidRPr="00BC4EE7" w14:paraId="321DC7FB" w14:textId="77777777" w:rsidTr="00481CF8">
        <w:trPr>
          <w:trHeight w:val="309"/>
        </w:trPr>
        <w:tc>
          <w:tcPr>
            <w:tcW w:w="696" w:type="dxa"/>
            <w:shd w:val="clear" w:color="auto" w:fill="C6EFCE"/>
            <w:noWrap/>
          </w:tcPr>
          <w:p w14:paraId="2E99DCA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197</w:t>
            </w:r>
          </w:p>
        </w:tc>
        <w:tc>
          <w:tcPr>
            <w:tcW w:w="897" w:type="dxa"/>
            <w:shd w:val="clear" w:color="auto" w:fill="C6EFCE"/>
            <w:noWrap/>
          </w:tcPr>
          <w:p w14:paraId="5FB297C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C13.I2.</w:t>
            </w:r>
          </w:p>
        </w:tc>
        <w:tc>
          <w:tcPr>
            <w:tcW w:w="992" w:type="dxa"/>
            <w:shd w:val="clear" w:color="auto" w:fill="C6EFCE"/>
            <w:noWrap/>
          </w:tcPr>
          <w:p w14:paraId="6174C3F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1731" w:type="dxa"/>
            <w:shd w:val="clear" w:color="auto" w:fill="C6EFCE"/>
            <w:noWrap/>
          </w:tcPr>
          <w:p w14:paraId="578DE5EB"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„Kkv-k növekedéséhez szükséges készségek” program által támogatott kkv-k</w:t>
            </w:r>
          </w:p>
        </w:tc>
        <w:tc>
          <w:tcPr>
            <w:tcW w:w="1114" w:type="dxa"/>
            <w:shd w:val="clear" w:color="auto" w:fill="C6EFCE"/>
            <w:noWrap/>
          </w:tcPr>
          <w:p w14:paraId="79BA3B6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697" w:type="dxa"/>
            <w:shd w:val="clear" w:color="auto" w:fill="C6EFCE"/>
            <w:noWrap/>
          </w:tcPr>
          <w:p w14:paraId="78854F0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Szám</w:t>
            </w:r>
          </w:p>
        </w:tc>
        <w:tc>
          <w:tcPr>
            <w:tcW w:w="975" w:type="dxa"/>
            <w:shd w:val="clear" w:color="auto" w:fill="C6EFCE"/>
            <w:noWrap/>
          </w:tcPr>
          <w:p w14:paraId="2D36C34C"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0</w:t>
            </w:r>
          </w:p>
        </w:tc>
        <w:tc>
          <w:tcPr>
            <w:tcW w:w="697" w:type="dxa"/>
            <w:shd w:val="clear" w:color="auto" w:fill="C6EFCE"/>
            <w:noWrap/>
          </w:tcPr>
          <w:p w14:paraId="28EF1427"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11 000</w:t>
            </w:r>
          </w:p>
        </w:tc>
        <w:tc>
          <w:tcPr>
            <w:tcW w:w="558" w:type="dxa"/>
            <w:shd w:val="clear" w:color="auto" w:fill="C6EFCE"/>
            <w:noWrap/>
          </w:tcPr>
          <w:p w14:paraId="76E4D1F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58" w:type="dxa"/>
            <w:shd w:val="clear" w:color="auto" w:fill="C6EFCE"/>
            <w:noWrap/>
          </w:tcPr>
          <w:p w14:paraId="4357DA9B" w14:textId="156D549E"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2024</w:t>
            </w:r>
          </w:p>
        </w:tc>
        <w:tc>
          <w:tcPr>
            <w:tcW w:w="6536" w:type="dxa"/>
            <w:shd w:val="clear" w:color="auto" w:fill="C6EFCE"/>
            <w:noWrap/>
          </w:tcPr>
          <w:p w14:paraId="1C6A391D" w14:textId="12DF3E4B" w:rsidR="00D65CB4" w:rsidRPr="00BC4EE7" w:rsidRDefault="00572307">
            <w:pPr>
              <w:pStyle w:val="P68B1DB1-Normal12"/>
              <w:spacing w:after="0" w:line="240" w:lineRule="auto"/>
              <w:rPr>
                <w:rFonts w:eastAsia="Times New Roman" w:cs="Times New Roman"/>
                <w:noProof/>
              </w:rPr>
            </w:pPr>
            <w:r w:rsidRPr="00BC4EE7">
              <w:rPr>
                <w:rFonts w:cs="Times New Roman"/>
                <w:noProof/>
              </w:rPr>
              <w:t>Legalább 11000 olyan kkv, amely teljesítette a „Kkészségek a kkv-k növekedéséhez” programot. A kiválasztási kritériumok a kizárási lista, valamint a vonatkozó uniós és nemzeti környezetvédelmi jogszabályoknak való megfelelés követelménye révén biztosítják a jelentős károkozás elkerülését célzó technikai iránymutatásnak (2021/C58/01) való megfelelést.</w:t>
            </w:r>
          </w:p>
        </w:tc>
      </w:tr>
      <w:tr w:rsidR="00D65CB4" w:rsidRPr="00BC4EE7" w14:paraId="410A7318" w14:textId="77777777" w:rsidTr="00481CF8">
        <w:trPr>
          <w:trHeight w:val="309"/>
        </w:trPr>
        <w:tc>
          <w:tcPr>
            <w:tcW w:w="696" w:type="dxa"/>
            <w:shd w:val="clear" w:color="auto" w:fill="C6EFCE"/>
            <w:noWrap/>
          </w:tcPr>
          <w:p w14:paraId="3B8DB5B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198</w:t>
            </w:r>
          </w:p>
        </w:tc>
        <w:tc>
          <w:tcPr>
            <w:tcW w:w="897" w:type="dxa"/>
            <w:shd w:val="clear" w:color="auto" w:fill="C6EFCE"/>
            <w:noWrap/>
          </w:tcPr>
          <w:p w14:paraId="4681C71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C13.I2.</w:t>
            </w:r>
          </w:p>
        </w:tc>
        <w:tc>
          <w:tcPr>
            <w:tcW w:w="992" w:type="dxa"/>
            <w:shd w:val="clear" w:color="auto" w:fill="C6EFCE"/>
            <w:noWrap/>
          </w:tcPr>
          <w:p w14:paraId="7BBE7B8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1731" w:type="dxa"/>
            <w:shd w:val="clear" w:color="auto" w:fill="C6EFCE"/>
            <w:noWrap/>
          </w:tcPr>
          <w:p w14:paraId="55955476"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Az ipari vállalkozástámogatási program által támogatott vállalkozók és kkv-k</w:t>
            </w:r>
          </w:p>
        </w:tc>
        <w:tc>
          <w:tcPr>
            <w:tcW w:w="1114" w:type="dxa"/>
            <w:shd w:val="clear" w:color="auto" w:fill="C6EFCE"/>
            <w:noWrap/>
          </w:tcPr>
          <w:p w14:paraId="5CD62714"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697" w:type="dxa"/>
            <w:shd w:val="clear" w:color="auto" w:fill="C6EFCE"/>
            <w:noWrap/>
          </w:tcPr>
          <w:p w14:paraId="1EA61FE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Szám</w:t>
            </w:r>
          </w:p>
        </w:tc>
        <w:tc>
          <w:tcPr>
            <w:tcW w:w="975" w:type="dxa"/>
            <w:shd w:val="clear" w:color="auto" w:fill="C6EFCE"/>
            <w:noWrap/>
          </w:tcPr>
          <w:p w14:paraId="6622C180"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0</w:t>
            </w:r>
          </w:p>
        </w:tc>
        <w:tc>
          <w:tcPr>
            <w:tcW w:w="697" w:type="dxa"/>
            <w:shd w:val="clear" w:color="auto" w:fill="C6EFCE"/>
            <w:noWrap/>
          </w:tcPr>
          <w:p w14:paraId="5E662A82"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1 500</w:t>
            </w:r>
          </w:p>
        </w:tc>
        <w:tc>
          <w:tcPr>
            <w:tcW w:w="558" w:type="dxa"/>
            <w:shd w:val="clear" w:color="auto" w:fill="C6EFCE"/>
            <w:noWrap/>
          </w:tcPr>
          <w:p w14:paraId="1079A35B"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58" w:type="dxa"/>
            <w:shd w:val="clear" w:color="auto" w:fill="C6EFCE"/>
            <w:noWrap/>
          </w:tcPr>
          <w:p w14:paraId="257CA3A4"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2023</w:t>
            </w:r>
          </w:p>
        </w:tc>
        <w:tc>
          <w:tcPr>
            <w:tcW w:w="6536" w:type="dxa"/>
            <w:shd w:val="clear" w:color="auto" w:fill="C6EFCE"/>
            <w:noWrap/>
          </w:tcPr>
          <w:p w14:paraId="399E8C4A" w14:textId="66690E79" w:rsidR="00D65CB4" w:rsidRPr="00BC4EE7" w:rsidRDefault="00572307">
            <w:pPr>
              <w:spacing w:after="0" w:line="240" w:lineRule="auto"/>
              <w:rPr>
                <w:rFonts w:ascii="Times New Roman" w:hAnsi="Times New Roman" w:cs="Times New Roman"/>
                <w:noProof/>
                <w:sz w:val="18"/>
              </w:rPr>
            </w:pPr>
            <w:r w:rsidRPr="00BC4EE7">
              <w:rPr>
                <w:rFonts w:ascii="Times New Roman" w:hAnsi="Times New Roman" w:cs="Times New Roman"/>
                <w:noProof/>
                <w:sz w:val="18"/>
              </w:rPr>
              <w:t>A vállalkozók és a kkv-k hosszú távú finanszírozást kapnak az ipari vállalkozástámogatási program keretében megvalósuló ipari beruházási projektekhez. Finanszírozást kell biztosítani ipari vállalkozások létrehozásához vagy meglévő létesítmények bővítéséhez.</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2021. január 1. és 2023. december 31. között legalább 1500 művelet részesült finanszírozásban. A kiválasztási kritériumok a kizárási lista, valamint a vonatkozó uniós és nemzeti környezetvédelmi jogszabályoknak való megfelelés követelménye révén biztosítják a jelentős károkozás elkerülését célzó technikai iránymutatásnak (2021/C58/01) való megfelelést.</w:t>
            </w:r>
          </w:p>
          <w:p w14:paraId="1278D830"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(Alapforgatókönyv: 2021. január 1.)</w:t>
            </w:r>
          </w:p>
        </w:tc>
      </w:tr>
      <w:tr w:rsidR="00D65CB4" w:rsidRPr="00BC4EE7" w14:paraId="10D7EEA5" w14:textId="77777777" w:rsidTr="00481CF8">
        <w:trPr>
          <w:trHeight w:val="309"/>
        </w:trPr>
        <w:tc>
          <w:tcPr>
            <w:tcW w:w="696" w:type="dxa"/>
            <w:shd w:val="clear" w:color="auto" w:fill="C6EFCE"/>
            <w:noWrap/>
          </w:tcPr>
          <w:p w14:paraId="48EE286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199</w:t>
            </w:r>
          </w:p>
        </w:tc>
        <w:tc>
          <w:tcPr>
            <w:tcW w:w="897" w:type="dxa"/>
            <w:shd w:val="clear" w:color="auto" w:fill="C6EFCE"/>
            <w:noWrap/>
          </w:tcPr>
          <w:p w14:paraId="7390B23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C13.I3</w:t>
            </w:r>
          </w:p>
        </w:tc>
        <w:tc>
          <w:tcPr>
            <w:tcW w:w="992" w:type="dxa"/>
            <w:shd w:val="clear" w:color="auto" w:fill="C6EFCE"/>
            <w:noWrap/>
          </w:tcPr>
          <w:p w14:paraId="1112983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1731" w:type="dxa"/>
            <w:shd w:val="clear" w:color="auto" w:fill="C6EFCE"/>
            <w:noWrap/>
          </w:tcPr>
          <w:p w14:paraId="116554F6"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kkv-k digitalizációjára vonatkozó terv (2021–2025)</w:t>
            </w:r>
          </w:p>
        </w:tc>
        <w:tc>
          <w:tcPr>
            <w:tcW w:w="1114" w:type="dxa"/>
            <w:shd w:val="clear" w:color="auto" w:fill="C6EFCE"/>
            <w:noWrap/>
          </w:tcPr>
          <w:p w14:paraId="77792DF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Közzététel</w:t>
            </w:r>
          </w:p>
        </w:tc>
        <w:tc>
          <w:tcPr>
            <w:tcW w:w="697" w:type="dxa"/>
            <w:shd w:val="clear" w:color="auto" w:fill="C6EFCE"/>
            <w:noWrap/>
          </w:tcPr>
          <w:p w14:paraId="7EE468D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75" w:type="dxa"/>
            <w:shd w:val="clear" w:color="auto" w:fill="C6EFCE"/>
            <w:noWrap/>
          </w:tcPr>
          <w:p w14:paraId="1B95F3EB"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697" w:type="dxa"/>
            <w:shd w:val="clear" w:color="auto" w:fill="C6EFCE"/>
            <w:noWrap/>
          </w:tcPr>
          <w:p w14:paraId="62BB37B0"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558" w:type="dxa"/>
            <w:shd w:val="clear" w:color="auto" w:fill="C6EFCE"/>
            <w:noWrap/>
          </w:tcPr>
          <w:p w14:paraId="4354596B"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Q1</w:t>
            </w:r>
          </w:p>
        </w:tc>
        <w:tc>
          <w:tcPr>
            <w:tcW w:w="558" w:type="dxa"/>
            <w:shd w:val="clear" w:color="auto" w:fill="C6EFCE"/>
            <w:noWrap/>
          </w:tcPr>
          <w:p w14:paraId="15F728B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2021</w:t>
            </w:r>
          </w:p>
        </w:tc>
        <w:tc>
          <w:tcPr>
            <w:tcW w:w="6536" w:type="dxa"/>
            <w:shd w:val="clear" w:color="auto" w:fill="C6EFCE"/>
            <w:noWrap/>
          </w:tcPr>
          <w:p w14:paraId="45E22CA7"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Miniszterek Tanácsa jóváhagyta a kkv-k digitalizációjára vonatkozó, a 2021–2025-ös időszakra szóló tervet, amely egy sor eszközt biztosít a már rendelkezésre álló digitális eszközök mikro- és autonóm vállalkozásokba való beépítésére, a kisvállalkozások digitalizálásának fellendítésére és a technológiai innováció előmozdítására</w:t>
            </w:r>
          </w:p>
        </w:tc>
      </w:tr>
      <w:tr w:rsidR="00D65CB4" w:rsidRPr="00BC4EE7" w14:paraId="3D1C9641" w14:textId="77777777" w:rsidTr="00481CF8">
        <w:trPr>
          <w:trHeight w:val="309"/>
        </w:trPr>
        <w:tc>
          <w:tcPr>
            <w:tcW w:w="696" w:type="dxa"/>
            <w:shd w:val="clear" w:color="auto" w:fill="C6EFCE"/>
            <w:noWrap/>
          </w:tcPr>
          <w:p w14:paraId="46EAD99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200</w:t>
            </w:r>
          </w:p>
        </w:tc>
        <w:tc>
          <w:tcPr>
            <w:tcW w:w="897" w:type="dxa"/>
            <w:shd w:val="clear" w:color="auto" w:fill="C6EFCE"/>
            <w:noWrap/>
          </w:tcPr>
          <w:p w14:paraId="3AAAC27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C13.I3</w:t>
            </w:r>
          </w:p>
        </w:tc>
        <w:tc>
          <w:tcPr>
            <w:tcW w:w="992" w:type="dxa"/>
            <w:shd w:val="clear" w:color="auto" w:fill="C6EFCE"/>
            <w:noWrap/>
          </w:tcPr>
          <w:p w14:paraId="43F3EB3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1731" w:type="dxa"/>
            <w:shd w:val="clear" w:color="auto" w:fill="C6EFCE"/>
            <w:noWrap/>
          </w:tcPr>
          <w:p w14:paraId="7F933A20"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digitális eszköztár program számára elkülönített költségvetés</w:t>
            </w:r>
          </w:p>
        </w:tc>
        <w:tc>
          <w:tcPr>
            <w:tcW w:w="1114" w:type="dxa"/>
            <w:shd w:val="clear" w:color="auto" w:fill="C6EFCE"/>
            <w:noWrap/>
          </w:tcPr>
          <w:p w14:paraId="4E29D0B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697" w:type="dxa"/>
            <w:shd w:val="clear" w:color="auto" w:fill="C6EFCE"/>
            <w:noWrap/>
          </w:tcPr>
          <w:p w14:paraId="3538D65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75" w:type="dxa"/>
            <w:shd w:val="clear" w:color="auto" w:fill="C6EFCE"/>
            <w:noWrap/>
          </w:tcPr>
          <w:p w14:paraId="6082D976"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0</w:t>
            </w:r>
          </w:p>
        </w:tc>
        <w:tc>
          <w:tcPr>
            <w:tcW w:w="697" w:type="dxa"/>
            <w:shd w:val="clear" w:color="auto" w:fill="C6EFCE"/>
            <w:noWrap/>
          </w:tcPr>
          <w:p w14:paraId="16DD5D42"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30</w:t>
            </w:r>
          </w:p>
        </w:tc>
        <w:tc>
          <w:tcPr>
            <w:tcW w:w="558" w:type="dxa"/>
            <w:shd w:val="clear" w:color="auto" w:fill="C6EFCE"/>
            <w:noWrap/>
          </w:tcPr>
          <w:p w14:paraId="454F7B34"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58" w:type="dxa"/>
            <w:shd w:val="clear" w:color="auto" w:fill="C6EFCE"/>
            <w:noWrap/>
          </w:tcPr>
          <w:p w14:paraId="153645A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2022</w:t>
            </w:r>
          </w:p>
        </w:tc>
        <w:tc>
          <w:tcPr>
            <w:tcW w:w="6536" w:type="dxa"/>
            <w:shd w:val="clear" w:color="auto" w:fill="C6EFCE"/>
            <w:noWrap/>
          </w:tcPr>
          <w:p w14:paraId="5E1A96EB" w14:textId="4237756A" w:rsidR="00D65CB4" w:rsidRPr="00BC4EE7" w:rsidRDefault="00572307">
            <w:pPr>
              <w:pStyle w:val="P68B1DB1-Normal12"/>
              <w:spacing w:after="0" w:line="240" w:lineRule="auto"/>
              <w:rPr>
                <w:rFonts w:eastAsia="Times New Roman" w:cs="Times New Roman"/>
                <w:noProof/>
              </w:rPr>
            </w:pPr>
            <w:r w:rsidRPr="00BC4EE7">
              <w:rPr>
                <w:rFonts w:cs="Times New Roman"/>
                <w:noProof/>
              </w:rPr>
              <w:t>A költségvetés legalább 30%-át a jelentős károkozás elkerülését célzó technikai iránymutatásnak (2021/C58/01) megfelelően a kkv-k, a mikrovállalkozások és az önfoglalkoztatók digitalizálását célzó intézkedésekre fordították a „jelentős károkozás elkerülését célzó” technikai iránymutatásnak (2021/C58/01) megfelelően, kizárási lista, valamint a vonatkozó uniós és nemzeti környezetvédelmi jogszabályoknak való megfelelés követelménye révén.</w:t>
            </w:r>
          </w:p>
        </w:tc>
      </w:tr>
      <w:tr w:rsidR="00D65CB4" w:rsidRPr="00BC4EE7" w14:paraId="004A4664" w14:textId="77777777" w:rsidTr="00481CF8">
        <w:trPr>
          <w:trHeight w:val="309"/>
        </w:trPr>
        <w:tc>
          <w:tcPr>
            <w:tcW w:w="696" w:type="dxa"/>
            <w:shd w:val="clear" w:color="auto" w:fill="C6EFCE"/>
            <w:noWrap/>
          </w:tcPr>
          <w:p w14:paraId="0CBD1023" w14:textId="16ECD16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201</w:t>
            </w:r>
          </w:p>
        </w:tc>
        <w:tc>
          <w:tcPr>
            <w:tcW w:w="897" w:type="dxa"/>
            <w:shd w:val="clear" w:color="auto" w:fill="C6EFCE"/>
            <w:noWrap/>
          </w:tcPr>
          <w:p w14:paraId="4C20BDF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C13.I3</w:t>
            </w:r>
          </w:p>
        </w:tc>
        <w:tc>
          <w:tcPr>
            <w:tcW w:w="992" w:type="dxa"/>
            <w:shd w:val="clear" w:color="auto" w:fill="C6EFCE"/>
            <w:noWrap/>
          </w:tcPr>
          <w:p w14:paraId="1F25AAB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1731" w:type="dxa"/>
            <w:shd w:val="clear" w:color="auto" w:fill="C6EFCE"/>
            <w:noWrap/>
          </w:tcPr>
          <w:p w14:paraId="03130879"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változtatási program megbízottjai számára lekötött költségvetés</w:t>
            </w:r>
          </w:p>
        </w:tc>
        <w:tc>
          <w:tcPr>
            <w:tcW w:w="1114" w:type="dxa"/>
            <w:shd w:val="clear" w:color="auto" w:fill="C6EFCE"/>
            <w:noWrap/>
          </w:tcPr>
          <w:p w14:paraId="0C38C33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697" w:type="dxa"/>
            <w:shd w:val="clear" w:color="auto" w:fill="C6EFCE"/>
            <w:noWrap/>
          </w:tcPr>
          <w:p w14:paraId="78A5730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75" w:type="dxa"/>
            <w:shd w:val="clear" w:color="auto" w:fill="C6EFCE"/>
            <w:noWrap/>
          </w:tcPr>
          <w:p w14:paraId="7E3B2C99"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0</w:t>
            </w:r>
          </w:p>
        </w:tc>
        <w:tc>
          <w:tcPr>
            <w:tcW w:w="697" w:type="dxa"/>
            <w:shd w:val="clear" w:color="auto" w:fill="C6EFCE"/>
            <w:noWrap/>
          </w:tcPr>
          <w:p w14:paraId="3F2AE2BE"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30</w:t>
            </w:r>
          </w:p>
        </w:tc>
        <w:tc>
          <w:tcPr>
            <w:tcW w:w="558" w:type="dxa"/>
            <w:shd w:val="clear" w:color="auto" w:fill="C6EFCE"/>
            <w:noWrap/>
          </w:tcPr>
          <w:p w14:paraId="6B4961E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58" w:type="dxa"/>
            <w:shd w:val="clear" w:color="auto" w:fill="C6EFCE"/>
            <w:noWrap/>
          </w:tcPr>
          <w:p w14:paraId="793E7ED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2022</w:t>
            </w:r>
          </w:p>
        </w:tc>
        <w:tc>
          <w:tcPr>
            <w:tcW w:w="6536" w:type="dxa"/>
            <w:shd w:val="clear" w:color="auto" w:fill="C6EFCE"/>
            <w:noWrap/>
          </w:tcPr>
          <w:p w14:paraId="6D94CB5B"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költségvetés legalább 30%-át lekötötték a kkv-kra a „Változtatások forrásai” programban. A feladatmeghatározással ellátott pályázati felhívásoknak olyan támogathatósági kritériumokat kell tartalmazniuk, amelyek egy kizárási lista, valamint a vonatkozó uniós és nemzeti környezetvédelmi jogszabályoknak való megfelelés követelménye révén biztosítják, hogy a kiválasztott projektek megfeleljenek a jelentős károkozás elkerülését célzó technikai iránymutatásnak (2021/C58/01).</w:t>
            </w:r>
          </w:p>
        </w:tc>
      </w:tr>
      <w:tr w:rsidR="00D65CB4" w:rsidRPr="00BC4EE7" w14:paraId="0845524F" w14:textId="77777777" w:rsidTr="00481CF8">
        <w:trPr>
          <w:trHeight w:val="309"/>
        </w:trPr>
        <w:tc>
          <w:tcPr>
            <w:tcW w:w="696" w:type="dxa"/>
            <w:shd w:val="clear" w:color="auto" w:fill="C6EFCE"/>
            <w:noWrap/>
          </w:tcPr>
          <w:p w14:paraId="3C7B263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w:t>
            </w:r>
          </w:p>
        </w:tc>
        <w:tc>
          <w:tcPr>
            <w:tcW w:w="897" w:type="dxa"/>
            <w:shd w:val="clear" w:color="auto" w:fill="C6EFCE"/>
            <w:noWrap/>
          </w:tcPr>
          <w:p w14:paraId="5B752B0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C13.I3</w:t>
            </w:r>
          </w:p>
        </w:tc>
        <w:tc>
          <w:tcPr>
            <w:tcW w:w="992" w:type="dxa"/>
            <w:shd w:val="clear" w:color="auto" w:fill="C6EFCE"/>
            <w:noWrap/>
          </w:tcPr>
          <w:p w14:paraId="39006BC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1731" w:type="dxa"/>
            <w:shd w:val="clear" w:color="auto" w:fill="C6EFCE"/>
            <w:noWrap/>
          </w:tcPr>
          <w:p w14:paraId="6032BE80"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Az innovatív üzleti klasztertámogatási programra lekötött költségvetés</w:t>
            </w:r>
          </w:p>
        </w:tc>
        <w:tc>
          <w:tcPr>
            <w:tcW w:w="1114" w:type="dxa"/>
            <w:shd w:val="clear" w:color="auto" w:fill="C6EFCE"/>
            <w:noWrap/>
          </w:tcPr>
          <w:p w14:paraId="15C32A3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697" w:type="dxa"/>
            <w:shd w:val="clear" w:color="auto" w:fill="C6EFCE"/>
            <w:noWrap/>
          </w:tcPr>
          <w:p w14:paraId="7B37412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75" w:type="dxa"/>
            <w:shd w:val="clear" w:color="auto" w:fill="C6EFCE"/>
            <w:noWrap/>
          </w:tcPr>
          <w:p w14:paraId="11CBE983"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0</w:t>
            </w:r>
          </w:p>
        </w:tc>
        <w:tc>
          <w:tcPr>
            <w:tcW w:w="697" w:type="dxa"/>
            <w:shd w:val="clear" w:color="auto" w:fill="C6EFCE"/>
            <w:noWrap/>
          </w:tcPr>
          <w:p w14:paraId="56CA06CD"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30</w:t>
            </w:r>
          </w:p>
        </w:tc>
        <w:tc>
          <w:tcPr>
            <w:tcW w:w="558" w:type="dxa"/>
            <w:shd w:val="clear" w:color="auto" w:fill="C6EFCE"/>
            <w:noWrap/>
          </w:tcPr>
          <w:p w14:paraId="1F73D9DD"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58" w:type="dxa"/>
            <w:shd w:val="clear" w:color="auto" w:fill="C6EFCE"/>
            <w:noWrap/>
          </w:tcPr>
          <w:p w14:paraId="3A79C2A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2022</w:t>
            </w:r>
          </w:p>
        </w:tc>
        <w:tc>
          <w:tcPr>
            <w:tcW w:w="6536" w:type="dxa"/>
            <w:shd w:val="clear" w:color="auto" w:fill="C6EFCE"/>
            <w:noWrap/>
          </w:tcPr>
          <w:p w14:paraId="6C2CA866" w14:textId="68A311C6" w:rsidR="00D65CB4" w:rsidRPr="00BC4EE7" w:rsidRDefault="00572307">
            <w:pPr>
              <w:pStyle w:val="P68B1DB1-Normal12"/>
              <w:spacing w:after="0" w:line="240" w:lineRule="auto"/>
              <w:rPr>
                <w:rFonts w:eastAsia="Times New Roman" w:cs="Times New Roman"/>
                <w:noProof/>
              </w:rPr>
            </w:pPr>
            <w:r w:rsidRPr="00BC4EE7">
              <w:rPr>
                <w:rFonts w:cs="Times New Roman"/>
                <w:noProof/>
              </w:rPr>
              <w:t>A költségvetés legalább 30%-át lekötötték az „Innovatív üzleti klasztertámogató program” keretében. A szerződési feltételekre vonatkozó megrendeléseknek (ordenes</w:t>
            </w:r>
            <w:r w:rsidRPr="00BC4EE7">
              <w:rPr>
                <w:rFonts w:cs="Times New Roman"/>
                <w:i/>
                <w:noProof/>
              </w:rPr>
              <w:t xml:space="preserve">de base) </w:t>
            </w:r>
            <w:r w:rsidRPr="00BC4EE7">
              <w:rPr>
                <w:rFonts w:cs="Times New Roman"/>
                <w:noProof/>
              </w:rPr>
              <w:t>és a pályázati felhívásoknak olyan támogathatósági kritériumokat kell tartalmazniuk, amelyek egy kizárási lista, valamint a vonatkozó uniós és nemzeti környezetvédelmi jogszabályoknak való megfelelés követelménye révén biztosítják, hogy a kiválasztott projektek megfeleljenek a jelentős károkozás elkerülését célzó technikai iránymutatásnak (2021/C58/01).</w:t>
            </w:r>
          </w:p>
        </w:tc>
      </w:tr>
      <w:tr w:rsidR="00D65CB4" w:rsidRPr="00BC4EE7" w14:paraId="645E62E2" w14:textId="77777777" w:rsidTr="00481CF8">
        <w:trPr>
          <w:trHeight w:val="309"/>
        </w:trPr>
        <w:tc>
          <w:tcPr>
            <w:tcW w:w="696" w:type="dxa"/>
            <w:shd w:val="clear" w:color="auto" w:fill="C6EFCE"/>
            <w:noWrap/>
          </w:tcPr>
          <w:p w14:paraId="667360E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203</w:t>
            </w:r>
          </w:p>
        </w:tc>
        <w:tc>
          <w:tcPr>
            <w:tcW w:w="897" w:type="dxa"/>
            <w:shd w:val="clear" w:color="auto" w:fill="C6EFCE"/>
            <w:noWrap/>
          </w:tcPr>
          <w:p w14:paraId="7359BE0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C13.I3</w:t>
            </w:r>
          </w:p>
        </w:tc>
        <w:tc>
          <w:tcPr>
            <w:tcW w:w="992" w:type="dxa"/>
            <w:shd w:val="clear" w:color="auto" w:fill="C6EFCE"/>
            <w:noWrap/>
          </w:tcPr>
          <w:p w14:paraId="54DC2E9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1731" w:type="dxa"/>
            <w:shd w:val="clear" w:color="auto" w:fill="C6EFCE"/>
            <w:noWrap/>
          </w:tcPr>
          <w:p w14:paraId="1DF54B07"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digitális innovációs központok program számára lekötött költségvetés</w:t>
            </w:r>
          </w:p>
        </w:tc>
        <w:tc>
          <w:tcPr>
            <w:tcW w:w="1114" w:type="dxa"/>
            <w:shd w:val="clear" w:color="auto" w:fill="C6EFCE"/>
            <w:noWrap/>
          </w:tcPr>
          <w:p w14:paraId="664C070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697" w:type="dxa"/>
            <w:shd w:val="clear" w:color="auto" w:fill="C6EFCE"/>
            <w:noWrap/>
          </w:tcPr>
          <w:p w14:paraId="0DB6C6A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75" w:type="dxa"/>
            <w:shd w:val="clear" w:color="auto" w:fill="C6EFCE"/>
            <w:noWrap/>
          </w:tcPr>
          <w:p w14:paraId="37EFBB1A"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0</w:t>
            </w:r>
          </w:p>
        </w:tc>
        <w:tc>
          <w:tcPr>
            <w:tcW w:w="697" w:type="dxa"/>
            <w:shd w:val="clear" w:color="auto" w:fill="C6EFCE"/>
            <w:noWrap/>
          </w:tcPr>
          <w:p w14:paraId="02E9A466"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30</w:t>
            </w:r>
          </w:p>
        </w:tc>
        <w:tc>
          <w:tcPr>
            <w:tcW w:w="558" w:type="dxa"/>
            <w:shd w:val="clear" w:color="auto" w:fill="C6EFCE"/>
            <w:noWrap/>
          </w:tcPr>
          <w:p w14:paraId="5854894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58" w:type="dxa"/>
            <w:shd w:val="clear" w:color="auto" w:fill="C6EFCE"/>
            <w:noWrap/>
          </w:tcPr>
          <w:p w14:paraId="3E22AFA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2022</w:t>
            </w:r>
          </w:p>
        </w:tc>
        <w:tc>
          <w:tcPr>
            <w:tcW w:w="6536" w:type="dxa"/>
            <w:shd w:val="clear" w:color="auto" w:fill="C6EFCE"/>
            <w:noWrap/>
          </w:tcPr>
          <w:p w14:paraId="53B86743" w14:textId="49FDC309" w:rsidR="00D65CB4" w:rsidRPr="00BC4EE7" w:rsidRDefault="00572307">
            <w:pPr>
              <w:pStyle w:val="P68B1DB1-Normal12"/>
              <w:spacing w:after="0" w:line="240" w:lineRule="auto"/>
              <w:rPr>
                <w:rFonts w:eastAsia="Times New Roman" w:cs="Times New Roman"/>
                <w:noProof/>
              </w:rPr>
            </w:pPr>
            <w:r w:rsidRPr="00BC4EE7">
              <w:rPr>
                <w:rFonts w:cs="Times New Roman"/>
                <w:noProof/>
              </w:rPr>
              <w:t>A költségvetés legalább 30%-át lekötötték a „Digitális innovációs központok program” keretében. A szerződési feltételekre vonatkozó megrendeléseknek (ordenes</w:t>
            </w:r>
            <w:r w:rsidRPr="00BC4EE7">
              <w:rPr>
                <w:rFonts w:cs="Times New Roman"/>
                <w:i/>
                <w:noProof/>
              </w:rPr>
              <w:t xml:space="preserve">de base) </w:t>
            </w:r>
            <w:r w:rsidRPr="00BC4EE7">
              <w:rPr>
                <w:rFonts w:cs="Times New Roman"/>
                <w:noProof/>
              </w:rPr>
              <w:t>és a pályázati felhívásoknak olyan támogathatósági kritériumokat kell tartalmazniuk, amelyek egy kizárási lista, valamint a vonatkozó uniós és nemzeti környezetvédelmi jogszabályoknak való megfelelés követelménye révén biztosítják, hogy a kiválasztott projektek megfeleljenek a jelentős károkozás elkerülését célzó technikai iránymutatásnak (2021/C58/01).</w:t>
            </w:r>
          </w:p>
        </w:tc>
      </w:tr>
      <w:tr w:rsidR="00D65CB4" w:rsidRPr="00BC4EE7" w14:paraId="302AD6EC" w14:textId="77777777" w:rsidTr="00481CF8">
        <w:trPr>
          <w:trHeight w:val="309"/>
        </w:trPr>
        <w:tc>
          <w:tcPr>
            <w:tcW w:w="696" w:type="dxa"/>
            <w:shd w:val="clear" w:color="auto" w:fill="C6EFCE"/>
            <w:noWrap/>
          </w:tcPr>
          <w:p w14:paraId="1404676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204</w:t>
            </w:r>
          </w:p>
        </w:tc>
        <w:tc>
          <w:tcPr>
            <w:tcW w:w="897" w:type="dxa"/>
            <w:shd w:val="clear" w:color="auto" w:fill="C6EFCE"/>
            <w:noWrap/>
          </w:tcPr>
          <w:p w14:paraId="07FE773D"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C13.I3</w:t>
            </w:r>
          </w:p>
        </w:tc>
        <w:tc>
          <w:tcPr>
            <w:tcW w:w="992" w:type="dxa"/>
            <w:shd w:val="clear" w:color="auto" w:fill="C6EFCE"/>
            <w:noWrap/>
          </w:tcPr>
          <w:p w14:paraId="48311CD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1731" w:type="dxa"/>
            <w:shd w:val="clear" w:color="auto" w:fill="C6EFCE"/>
            <w:noWrap/>
          </w:tcPr>
          <w:p w14:paraId="1F2BB74D"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digitális eszköztár program által támogatott kkv-k</w:t>
            </w:r>
          </w:p>
        </w:tc>
        <w:tc>
          <w:tcPr>
            <w:tcW w:w="1114" w:type="dxa"/>
            <w:shd w:val="clear" w:color="auto" w:fill="C6EFCE"/>
            <w:noWrap/>
          </w:tcPr>
          <w:p w14:paraId="6B23C6FB"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697" w:type="dxa"/>
            <w:shd w:val="clear" w:color="auto" w:fill="C6EFCE"/>
            <w:noWrap/>
          </w:tcPr>
          <w:p w14:paraId="56958C5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Szám</w:t>
            </w:r>
          </w:p>
        </w:tc>
        <w:tc>
          <w:tcPr>
            <w:tcW w:w="975" w:type="dxa"/>
            <w:shd w:val="clear" w:color="auto" w:fill="C6EFCE"/>
            <w:noWrap/>
          </w:tcPr>
          <w:p w14:paraId="423684F5"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0</w:t>
            </w:r>
          </w:p>
        </w:tc>
        <w:tc>
          <w:tcPr>
            <w:tcW w:w="697" w:type="dxa"/>
            <w:shd w:val="clear" w:color="auto" w:fill="C6EFCE"/>
            <w:noWrap/>
          </w:tcPr>
          <w:p w14:paraId="4097752F" w14:textId="3CB92CE9"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shd w:val="clear" w:color="auto" w:fill="E6E6E6"/>
              </w:rPr>
              <w:t>5</w:t>
            </w:r>
            <w:r w:rsidRPr="00BC4EE7">
              <w:rPr>
                <w:rFonts w:cs="Times New Roman"/>
                <w:noProof/>
              </w:rPr>
              <w:t>00 000</w:t>
            </w:r>
          </w:p>
        </w:tc>
        <w:tc>
          <w:tcPr>
            <w:tcW w:w="558" w:type="dxa"/>
            <w:shd w:val="clear" w:color="auto" w:fill="C6EFCE"/>
            <w:noWrap/>
          </w:tcPr>
          <w:p w14:paraId="0D775F2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58" w:type="dxa"/>
            <w:shd w:val="clear" w:color="auto" w:fill="C6EFCE"/>
            <w:noWrap/>
          </w:tcPr>
          <w:p w14:paraId="378ADF52" w14:textId="26FCB59F"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w:t>
            </w:r>
            <w:r w:rsidRPr="00BC4EE7">
              <w:rPr>
                <w:rFonts w:cs="Times New Roman"/>
                <w:noProof/>
                <w:shd w:val="clear" w:color="auto" w:fill="E6E6E6"/>
              </w:rPr>
              <w:t>4</w:t>
            </w:r>
          </w:p>
        </w:tc>
        <w:tc>
          <w:tcPr>
            <w:tcW w:w="6536" w:type="dxa"/>
            <w:shd w:val="clear" w:color="auto" w:fill="C6EFCE"/>
            <w:noWrap/>
          </w:tcPr>
          <w:p w14:paraId="65A61970" w14:textId="3E46A2CF" w:rsidR="00D65CB4" w:rsidRPr="00BC4EE7" w:rsidRDefault="00572307">
            <w:pPr>
              <w:pStyle w:val="P68B1DB1-Normal12"/>
              <w:spacing w:after="0" w:line="240" w:lineRule="auto"/>
              <w:rPr>
                <w:rFonts w:eastAsia="Times New Roman" w:cs="Times New Roman"/>
                <w:noProof/>
              </w:rPr>
            </w:pPr>
            <w:r w:rsidRPr="00BC4EE7">
              <w:rPr>
                <w:rFonts w:cs="Times New Roman"/>
                <w:noProof/>
              </w:rPr>
              <w:t>Legalább 500000 kkv, mikrovállalkozás és önfoglalkoztató részesült támogatásban a „Digitális eszköztár” programból, összhangban a jelentős károkozás elkerülését célzó technikai iránymutatással (2021/C58/01) a kizárási lista, valamint a vonatkozó uniós és nemzeti környezetvédelmi jogszabályoknak való megfelelés követelménye révén.</w:t>
            </w:r>
          </w:p>
        </w:tc>
      </w:tr>
      <w:tr w:rsidR="00D65CB4" w:rsidRPr="00BC4EE7" w14:paraId="6E883AD5" w14:textId="77777777" w:rsidTr="00481CF8">
        <w:trPr>
          <w:trHeight w:val="309"/>
        </w:trPr>
        <w:tc>
          <w:tcPr>
            <w:tcW w:w="696" w:type="dxa"/>
            <w:shd w:val="clear" w:color="auto" w:fill="C6EFCE"/>
            <w:noWrap/>
          </w:tcPr>
          <w:p w14:paraId="7683F18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205</w:t>
            </w:r>
          </w:p>
        </w:tc>
        <w:tc>
          <w:tcPr>
            <w:tcW w:w="897" w:type="dxa"/>
            <w:shd w:val="clear" w:color="auto" w:fill="C6EFCE"/>
            <w:noWrap/>
          </w:tcPr>
          <w:p w14:paraId="3ED5A10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C13.I3</w:t>
            </w:r>
          </w:p>
        </w:tc>
        <w:tc>
          <w:tcPr>
            <w:tcW w:w="992" w:type="dxa"/>
            <w:shd w:val="clear" w:color="auto" w:fill="C6EFCE"/>
            <w:noWrap/>
          </w:tcPr>
          <w:p w14:paraId="24908E3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1731" w:type="dxa"/>
            <w:shd w:val="clear" w:color="auto" w:fill="C6EFCE"/>
            <w:noWrap/>
          </w:tcPr>
          <w:p w14:paraId="58ABF485"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változtatási programban részt vevő alkalmazottak költségvetésének végrehajtása</w:t>
            </w:r>
          </w:p>
        </w:tc>
        <w:tc>
          <w:tcPr>
            <w:tcW w:w="1114" w:type="dxa"/>
            <w:shd w:val="clear" w:color="auto" w:fill="C6EFCE"/>
            <w:noWrap/>
          </w:tcPr>
          <w:p w14:paraId="57D082C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697" w:type="dxa"/>
            <w:shd w:val="clear" w:color="auto" w:fill="C6EFCE"/>
            <w:noWrap/>
          </w:tcPr>
          <w:p w14:paraId="7536252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75" w:type="dxa"/>
            <w:shd w:val="clear" w:color="auto" w:fill="C6EFCE"/>
            <w:noWrap/>
          </w:tcPr>
          <w:p w14:paraId="393BEB43"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30</w:t>
            </w:r>
          </w:p>
        </w:tc>
        <w:tc>
          <w:tcPr>
            <w:tcW w:w="697" w:type="dxa"/>
            <w:shd w:val="clear" w:color="auto" w:fill="C6EFCE"/>
            <w:noWrap/>
          </w:tcPr>
          <w:p w14:paraId="4ABD35B1"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100</w:t>
            </w:r>
          </w:p>
        </w:tc>
        <w:tc>
          <w:tcPr>
            <w:tcW w:w="558" w:type="dxa"/>
            <w:shd w:val="clear" w:color="auto" w:fill="C6EFCE"/>
            <w:noWrap/>
          </w:tcPr>
          <w:p w14:paraId="57C1A4A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58" w:type="dxa"/>
            <w:shd w:val="clear" w:color="auto" w:fill="C6EFCE"/>
            <w:noWrap/>
          </w:tcPr>
          <w:p w14:paraId="3AD6CDA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2023</w:t>
            </w:r>
          </w:p>
        </w:tc>
        <w:tc>
          <w:tcPr>
            <w:tcW w:w="6536" w:type="dxa"/>
            <w:shd w:val="clear" w:color="auto" w:fill="C6EFCE"/>
            <w:noWrap/>
          </w:tcPr>
          <w:p w14:paraId="5D9D1700" w14:textId="1F054017" w:rsidR="00D65CB4" w:rsidRPr="00BC4EE7" w:rsidRDefault="00572307">
            <w:pPr>
              <w:pStyle w:val="P68B1DB1-Normal12"/>
              <w:spacing w:after="0" w:line="240" w:lineRule="auto"/>
              <w:rPr>
                <w:rFonts w:eastAsia="Times New Roman" w:cs="Times New Roman"/>
                <w:noProof/>
              </w:rPr>
            </w:pPr>
            <w:r w:rsidRPr="00BC4EE7">
              <w:rPr>
                <w:rFonts w:cs="Times New Roman"/>
                <w:noProof/>
              </w:rPr>
              <w:t>A költségvetés 100%-a 300 000 000 EUR, amelyet a kkv-kra különítettek el a „Változtatások forrásai” programban. Ez a program legalább 15000 kis- és középvállalkozás (10–249 alkalmazott) támogatását célozza digitális átalakulási folyamataikban. A kiválasztási kritériumok a kizárási lista, valamint a vonatkozó uniós és nemzeti környezetvédelmi jogszabályoknak való megfelelés követelménye révén biztosítják a jelentős károkozás elkerülését célzó technikai iránymutatásnak (2021/C58/01) való megfelelést. (alapforgatókönyv: 2022. december 31.)</w:t>
            </w:r>
          </w:p>
        </w:tc>
      </w:tr>
      <w:tr w:rsidR="00D65CB4" w:rsidRPr="00BC4EE7" w14:paraId="30FF7304" w14:textId="77777777" w:rsidTr="00481CF8">
        <w:trPr>
          <w:trHeight w:val="309"/>
        </w:trPr>
        <w:tc>
          <w:tcPr>
            <w:tcW w:w="696" w:type="dxa"/>
            <w:shd w:val="clear" w:color="auto" w:fill="C6EFCE"/>
            <w:noWrap/>
          </w:tcPr>
          <w:p w14:paraId="7B45E36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206</w:t>
            </w:r>
          </w:p>
        </w:tc>
        <w:tc>
          <w:tcPr>
            <w:tcW w:w="897" w:type="dxa"/>
            <w:shd w:val="clear" w:color="auto" w:fill="C6EFCE"/>
            <w:noWrap/>
          </w:tcPr>
          <w:p w14:paraId="4332DC1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C13.I3</w:t>
            </w:r>
          </w:p>
        </w:tc>
        <w:tc>
          <w:tcPr>
            <w:tcW w:w="992" w:type="dxa"/>
            <w:shd w:val="clear" w:color="auto" w:fill="C6EFCE"/>
            <w:noWrap/>
          </w:tcPr>
          <w:p w14:paraId="11320BD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1731" w:type="dxa"/>
            <w:shd w:val="clear" w:color="auto" w:fill="C6EFCE"/>
            <w:noWrap/>
          </w:tcPr>
          <w:p w14:paraId="47FCF466"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Az innovatív üzleti klasztertámogatási program költségvetésének végrehajtása </w:t>
            </w:r>
          </w:p>
        </w:tc>
        <w:tc>
          <w:tcPr>
            <w:tcW w:w="1114" w:type="dxa"/>
            <w:shd w:val="clear" w:color="auto" w:fill="C6EFCE"/>
            <w:noWrap/>
          </w:tcPr>
          <w:p w14:paraId="4E38B6D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697" w:type="dxa"/>
            <w:shd w:val="clear" w:color="auto" w:fill="C6EFCE"/>
            <w:noWrap/>
          </w:tcPr>
          <w:p w14:paraId="70CBEC8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75" w:type="dxa"/>
            <w:shd w:val="clear" w:color="auto" w:fill="C6EFCE"/>
            <w:noWrap/>
          </w:tcPr>
          <w:p w14:paraId="5A3E4312"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30</w:t>
            </w:r>
          </w:p>
        </w:tc>
        <w:tc>
          <w:tcPr>
            <w:tcW w:w="697" w:type="dxa"/>
            <w:shd w:val="clear" w:color="auto" w:fill="C6EFCE"/>
            <w:noWrap/>
          </w:tcPr>
          <w:p w14:paraId="219FFAC2"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100</w:t>
            </w:r>
          </w:p>
        </w:tc>
        <w:tc>
          <w:tcPr>
            <w:tcW w:w="558" w:type="dxa"/>
            <w:shd w:val="clear" w:color="auto" w:fill="C6EFCE"/>
            <w:noWrap/>
          </w:tcPr>
          <w:p w14:paraId="1163A99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58" w:type="dxa"/>
            <w:shd w:val="clear" w:color="auto" w:fill="C6EFCE"/>
            <w:noWrap/>
          </w:tcPr>
          <w:p w14:paraId="376CBEE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2023</w:t>
            </w:r>
          </w:p>
        </w:tc>
        <w:tc>
          <w:tcPr>
            <w:tcW w:w="6536" w:type="dxa"/>
            <w:shd w:val="clear" w:color="auto" w:fill="C6EFCE"/>
            <w:noWrap/>
          </w:tcPr>
          <w:p w14:paraId="61E533C2" w14:textId="53D2C8BB" w:rsidR="00D65CB4" w:rsidRPr="00BC4EE7" w:rsidRDefault="00572307">
            <w:pPr>
              <w:pStyle w:val="P68B1DB1-Normal12"/>
              <w:spacing w:after="0" w:line="240" w:lineRule="auto"/>
              <w:rPr>
                <w:rFonts w:eastAsia="Times New Roman" w:cs="Times New Roman"/>
                <w:noProof/>
              </w:rPr>
            </w:pPr>
            <w:r w:rsidRPr="00BC4EE7">
              <w:rPr>
                <w:rFonts w:cs="Times New Roman"/>
                <w:noProof/>
              </w:rPr>
              <w:t>A költségvetés 100%-a 115 000 000 EUR, amelyet az „Innovatív üzleti klasztertámogató program” keretében kötöttek le. Ezen intézkedés célja a különböző gazdasági ágazatok értékláncának digitalizálására irányuló projektek támogatása, amelyeket az Ipari és Idegenforgalmi Minisztérium kkv-kat támogató politikája keretében az innovatív üzleti klaszterek és az azokhoz kapcsolódó szervezetek hajtanak végre. A szerződési feltételekre vonatkozó megrendeléseknek (ordenes</w:t>
            </w:r>
            <w:r w:rsidRPr="00BC4EE7">
              <w:rPr>
                <w:rFonts w:cs="Times New Roman"/>
                <w:i/>
                <w:noProof/>
              </w:rPr>
              <w:t xml:space="preserve">de base) </w:t>
            </w:r>
            <w:r w:rsidRPr="00BC4EE7">
              <w:rPr>
                <w:rFonts w:cs="Times New Roman"/>
                <w:noProof/>
              </w:rPr>
              <w:t>és a pályázati felhívásoknak olyan támogathatósági kritériumokat</w:t>
            </w:r>
            <w:r w:rsidRPr="00BC4EE7">
              <w:rPr>
                <w:rFonts w:cs="Times New Roman"/>
                <w:i/>
                <w:noProof/>
              </w:rPr>
              <w:t xml:space="preserve"> </w:t>
            </w:r>
            <w:r w:rsidRPr="00BC4EE7">
              <w:rPr>
                <w:rFonts w:cs="Times New Roman"/>
                <w:noProof/>
              </w:rPr>
              <w:t>kell tartalmazniuk, amelyek egy kizárási lista, valamint a vonatkozó uniós és nemzeti környezetvédelmi jogszabályoknak való megfelelés követelménye révén biztosítják, hogy a kiválasztott projektek megfeleljenek a jelentős károkozás elkerülését célzó technikai iránymutatásnak (2021/C58/01). (alapforgatókönyv: 2022. december 31.)</w:t>
            </w:r>
          </w:p>
        </w:tc>
      </w:tr>
      <w:tr w:rsidR="00D65CB4" w:rsidRPr="00BC4EE7" w14:paraId="5F723A55" w14:textId="77777777" w:rsidTr="00481CF8">
        <w:trPr>
          <w:trHeight w:val="309"/>
        </w:trPr>
        <w:tc>
          <w:tcPr>
            <w:tcW w:w="696" w:type="dxa"/>
            <w:shd w:val="clear" w:color="auto" w:fill="C6EFCE"/>
            <w:noWrap/>
          </w:tcPr>
          <w:p w14:paraId="52EC3C9D"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207</w:t>
            </w:r>
          </w:p>
        </w:tc>
        <w:tc>
          <w:tcPr>
            <w:tcW w:w="897" w:type="dxa"/>
            <w:shd w:val="clear" w:color="auto" w:fill="C6EFCE"/>
            <w:noWrap/>
          </w:tcPr>
          <w:p w14:paraId="4BDE3CE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C13.I3</w:t>
            </w:r>
          </w:p>
        </w:tc>
        <w:tc>
          <w:tcPr>
            <w:tcW w:w="992" w:type="dxa"/>
            <w:shd w:val="clear" w:color="auto" w:fill="C6EFCE"/>
            <w:noWrap/>
          </w:tcPr>
          <w:p w14:paraId="27D3835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1731" w:type="dxa"/>
            <w:shd w:val="clear" w:color="auto" w:fill="C6EFCE"/>
            <w:noWrap/>
          </w:tcPr>
          <w:p w14:paraId="7863AD59"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digitális innovációs központok program költségvetésének végrehajtása</w:t>
            </w:r>
          </w:p>
        </w:tc>
        <w:tc>
          <w:tcPr>
            <w:tcW w:w="1114" w:type="dxa"/>
            <w:shd w:val="clear" w:color="auto" w:fill="C6EFCE"/>
            <w:noWrap/>
          </w:tcPr>
          <w:p w14:paraId="22FE275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697" w:type="dxa"/>
            <w:shd w:val="clear" w:color="auto" w:fill="C6EFCE"/>
            <w:noWrap/>
          </w:tcPr>
          <w:p w14:paraId="0B391AB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975" w:type="dxa"/>
            <w:shd w:val="clear" w:color="auto" w:fill="C6EFCE"/>
            <w:noWrap/>
          </w:tcPr>
          <w:p w14:paraId="28C1AE1A"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30</w:t>
            </w:r>
          </w:p>
        </w:tc>
        <w:tc>
          <w:tcPr>
            <w:tcW w:w="697" w:type="dxa"/>
            <w:shd w:val="clear" w:color="auto" w:fill="C6EFCE"/>
            <w:noWrap/>
          </w:tcPr>
          <w:p w14:paraId="2940DEF5" w14:textId="2C1BBAFF"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75</w:t>
            </w:r>
          </w:p>
        </w:tc>
        <w:tc>
          <w:tcPr>
            <w:tcW w:w="558" w:type="dxa"/>
            <w:shd w:val="clear" w:color="auto" w:fill="C6EFCE"/>
            <w:noWrap/>
          </w:tcPr>
          <w:p w14:paraId="38B629BB"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58" w:type="dxa"/>
            <w:shd w:val="clear" w:color="auto" w:fill="C6EFCE"/>
            <w:noWrap/>
          </w:tcPr>
          <w:p w14:paraId="3F6BC4C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2023</w:t>
            </w:r>
          </w:p>
        </w:tc>
        <w:tc>
          <w:tcPr>
            <w:tcW w:w="6536" w:type="dxa"/>
            <w:shd w:val="clear" w:color="auto" w:fill="C6EFCE"/>
            <w:noWrap/>
          </w:tcPr>
          <w:p w14:paraId="2468B19B" w14:textId="4E8656B4" w:rsidR="00D65CB4" w:rsidRPr="00BC4EE7" w:rsidRDefault="00572307">
            <w:pPr>
              <w:pStyle w:val="P68B1DB1-Normal12"/>
              <w:spacing w:after="0" w:line="240" w:lineRule="auto"/>
              <w:rPr>
                <w:rFonts w:eastAsia="Times New Roman" w:cs="Times New Roman"/>
                <w:noProof/>
              </w:rPr>
            </w:pPr>
            <w:r w:rsidRPr="00BC4EE7">
              <w:rPr>
                <w:rFonts w:cs="Times New Roman"/>
                <w:noProof/>
              </w:rPr>
              <w:t>A „Digitális innovációs központok program” keretében a költségvetés 75%-át lekötötték: 37 590 000 EUR. Ez a program a vállalkozások versenyképességének növelését segíti azáltal, hogy a digitális technológiák intenzív használata révén javítja üzleti és termelési folyamataikat. A szerződési feltételekre vonatkozó megrendeléseknek (ordenes</w:t>
            </w:r>
            <w:r w:rsidRPr="00BC4EE7">
              <w:rPr>
                <w:rFonts w:cs="Times New Roman"/>
                <w:i/>
                <w:noProof/>
              </w:rPr>
              <w:t xml:space="preserve">de base) </w:t>
            </w:r>
            <w:r w:rsidRPr="00BC4EE7">
              <w:rPr>
                <w:rFonts w:cs="Times New Roman"/>
                <w:noProof/>
              </w:rPr>
              <w:t>és a pályázati felhívásoknak olyan támogathatósági kritériumokat</w:t>
            </w:r>
            <w:r w:rsidRPr="00BC4EE7">
              <w:rPr>
                <w:rFonts w:cs="Times New Roman"/>
                <w:i/>
                <w:noProof/>
              </w:rPr>
              <w:t xml:space="preserve"> </w:t>
            </w:r>
            <w:r w:rsidRPr="00BC4EE7">
              <w:rPr>
                <w:rFonts w:cs="Times New Roman"/>
                <w:noProof/>
              </w:rPr>
              <w:t>kell tartalmazniuk, amelyek egy kizárási lista, valamint a vonatkozó uniós és nemzeti környezetvédelmi jogszabályoknak való megfelelés követelménye révén biztosítják, hogy a kiválasztott projektek megfeleljenek a jelentős károkozás elkerülését célzó technikai iránymutatásnak (2021/C58/01). (alapforgatókönyv: 2022. december 31.)</w:t>
            </w:r>
          </w:p>
        </w:tc>
      </w:tr>
      <w:tr w:rsidR="00D65CB4" w:rsidRPr="00BC4EE7" w14:paraId="365AC1AB" w14:textId="77777777" w:rsidTr="00481CF8">
        <w:trPr>
          <w:trHeight w:val="309"/>
        </w:trPr>
        <w:tc>
          <w:tcPr>
            <w:tcW w:w="696" w:type="dxa"/>
            <w:shd w:val="clear" w:color="auto" w:fill="C6EFCE"/>
            <w:noWrap/>
          </w:tcPr>
          <w:p w14:paraId="3C34C37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208</w:t>
            </w:r>
          </w:p>
        </w:tc>
        <w:tc>
          <w:tcPr>
            <w:tcW w:w="897" w:type="dxa"/>
            <w:shd w:val="clear" w:color="auto" w:fill="C6EFCE"/>
            <w:noWrap/>
          </w:tcPr>
          <w:p w14:paraId="4F3B9E5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C13.I3</w:t>
            </w:r>
          </w:p>
        </w:tc>
        <w:tc>
          <w:tcPr>
            <w:tcW w:w="992" w:type="dxa"/>
            <w:shd w:val="clear" w:color="auto" w:fill="C6EFCE"/>
            <w:noWrap/>
          </w:tcPr>
          <w:p w14:paraId="3D36884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1731" w:type="dxa"/>
            <w:shd w:val="clear" w:color="auto" w:fill="C6EFCE"/>
            <w:noWrap/>
          </w:tcPr>
          <w:p w14:paraId="70181F94"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digitális eszköztár program befejezése</w:t>
            </w:r>
          </w:p>
        </w:tc>
        <w:tc>
          <w:tcPr>
            <w:tcW w:w="1114" w:type="dxa"/>
            <w:shd w:val="clear" w:color="auto" w:fill="C6EFCE"/>
            <w:noWrap/>
          </w:tcPr>
          <w:p w14:paraId="68806BA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697" w:type="dxa"/>
            <w:shd w:val="clear" w:color="auto" w:fill="C6EFCE"/>
            <w:noWrap/>
          </w:tcPr>
          <w:p w14:paraId="21AE94F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Szám</w:t>
            </w:r>
          </w:p>
        </w:tc>
        <w:tc>
          <w:tcPr>
            <w:tcW w:w="975" w:type="dxa"/>
            <w:shd w:val="clear" w:color="auto" w:fill="C6EFCE"/>
            <w:noWrap/>
          </w:tcPr>
          <w:p w14:paraId="4194F95B" w14:textId="52855B6D" w:rsidR="00D65CB4" w:rsidRPr="00BC4EE7" w:rsidRDefault="00572307">
            <w:pPr>
              <w:pStyle w:val="P68B1DB1-Normal12"/>
              <w:rPr>
                <w:rFonts w:cs="Times New Roman"/>
                <w:noProof/>
              </w:rPr>
            </w:pPr>
            <w:r w:rsidRPr="00BC4EE7">
              <w:rPr>
                <w:rFonts w:cs="Times New Roman"/>
                <w:noProof/>
              </w:rPr>
              <w:t>500 000</w:t>
            </w:r>
          </w:p>
        </w:tc>
        <w:tc>
          <w:tcPr>
            <w:tcW w:w="697" w:type="dxa"/>
            <w:shd w:val="clear" w:color="auto" w:fill="C6EFCE"/>
            <w:noWrap/>
          </w:tcPr>
          <w:p w14:paraId="0B2EF20D" w14:textId="6111525E" w:rsidR="00D65CB4" w:rsidRPr="00BC4EE7" w:rsidRDefault="00572307">
            <w:pPr>
              <w:pStyle w:val="P68B1DB1-Normal12"/>
              <w:rPr>
                <w:rFonts w:cs="Times New Roman"/>
                <w:noProof/>
              </w:rPr>
            </w:pPr>
            <w:r w:rsidRPr="00BC4EE7">
              <w:rPr>
                <w:rFonts w:cs="Times New Roman"/>
                <w:noProof/>
              </w:rPr>
              <w:t>676 000</w:t>
            </w:r>
          </w:p>
        </w:tc>
        <w:tc>
          <w:tcPr>
            <w:tcW w:w="558" w:type="dxa"/>
            <w:shd w:val="clear" w:color="auto" w:fill="C6EFCE"/>
            <w:noWrap/>
          </w:tcPr>
          <w:p w14:paraId="230895F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58" w:type="dxa"/>
            <w:shd w:val="clear" w:color="auto" w:fill="C6EFCE"/>
            <w:noWrap/>
          </w:tcPr>
          <w:p w14:paraId="1B6E1C3E" w14:textId="7091BDF5"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w:t>
            </w:r>
            <w:r w:rsidRPr="00BC4EE7">
              <w:rPr>
                <w:rFonts w:cs="Times New Roman"/>
                <w:noProof/>
                <w:shd w:val="clear" w:color="auto" w:fill="E6E6E6"/>
              </w:rPr>
              <w:t>5</w:t>
            </w:r>
          </w:p>
        </w:tc>
        <w:tc>
          <w:tcPr>
            <w:tcW w:w="6536" w:type="dxa"/>
            <w:shd w:val="clear" w:color="auto" w:fill="C6EFCE"/>
            <w:noWrap/>
          </w:tcPr>
          <w:p w14:paraId="6A3E457F" w14:textId="633BA13C" w:rsidR="00D65CB4" w:rsidRPr="00BC4EE7" w:rsidRDefault="00572307">
            <w:pPr>
              <w:pStyle w:val="P68B1DB1-Normal12"/>
              <w:spacing w:after="120" w:line="240" w:lineRule="auto"/>
              <w:rPr>
                <w:rFonts w:cs="Times New Roman"/>
                <w:noProof/>
              </w:rPr>
            </w:pPr>
            <w:r w:rsidRPr="00BC4EE7">
              <w:rPr>
                <w:rFonts w:cs="Times New Roman"/>
                <w:noProof/>
              </w:rPr>
              <w:t>Legalább 676000 kkv, mikrovállalkozás és önfoglalkoztató részesült támogatásban a „Digitális eszköztár” programból, összhangban a jelentős károkozás elkerülését célzó technikai iránymutatással (2021/C58/01) a kizárási lista, valamint a vonatkozó uniós és nemzeti környezetvédelmi jogszabályoknak való megfelelés követelménye révén. A program olyan támogatások biztosításán alapul, amelyek támogatják a digitális technológia integrációját az e-kereskedelem hatékony bevezetése, a közigazgatással és az ügyfelekkel való kapcsolatok digitalizálása, a digitális belső folyamatok fejlesztése, valamint az e-számlázás és a digitális marketing bevezetése érdekében; különösen szolgáltatásorientált megoldások előmozdítása. A program részben támogatja az olyan alapvető digitális megoldásokból álló csomagok elfogadásának költségeit, mint az internetes jelenlét, az e-értékesítés, a felhőalapú iroda, a digitális munka, a digitalizáció alapvető folyamatai, az ügyfélkezelés, a digitális marketing és a kiberbiztonság. (alapforgatókönyv: 2023. december 31.)</w:t>
            </w:r>
          </w:p>
          <w:p w14:paraId="71FD0435" w14:textId="32549D43" w:rsidR="00D65CB4" w:rsidRPr="00BC4EE7" w:rsidRDefault="00572307">
            <w:pPr>
              <w:pStyle w:val="P68B1DB1-Normal12"/>
              <w:spacing w:after="120" w:line="240" w:lineRule="auto"/>
              <w:rPr>
                <w:rFonts w:cs="Times New Roman"/>
                <w:noProof/>
              </w:rPr>
            </w:pPr>
            <w:r w:rsidRPr="00BC4EE7">
              <w:rPr>
                <w:rFonts w:cs="Times New Roman"/>
                <w:noProof/>
              </w:rPr>
              <w:t>A legalább 676000 kkv-ra, mikrovállalkozásra és önálló vállalkozóra vonatkozó végső célkitűzésből:</w:t>
            </w:r>
          </w:p>
          <w:p w14:paraId="129754C0" w14:textId="5B8D5EAA" w:rsidR="00D65CB4" w:rsidRPr="00BC4EE7" w:rsidRDefault="00572307">
            <w:pPr>
              <w:pStyle w:val="P68B1DB1-ListParagraph13"/>
              <w:numPr>
                <w:ilvl w:val="0"/>
                <w:numId w:val="630"/>
              </w:numPr>
              <w:spacing w:after="120" w:line="240" w:lineRule="auto"/>
              <w:rPr>
                <w:rFonts w:cs="Times New Roman"/>
                <w:noProof/>
              </w:rPr>
            </w:pPr>
            <w:r w:rsidRPr="00BC4EE7">
              <w:rPr>
                <w:rFonts w:cs="Times New Roman"/>
                <w:noProof/>
              </w:rPr>
              <w:t>Legalább 629000, kevesebb mint 50 alkalmazottat foglalkoztató kkv-t, mikrovállalkozást és önálló vállalkozót legalább 2 000 EUR, de legfeljebb 12 000 EUR összegű utalványsal kell támogatni.</w:t>
            </w:r>
          </w:p>
          <w:p w14:paraId="208F591F" w14:textId="798904E1" w:rsidR="00D65CB4" w:rsidRPr="00BC4EE7" w:rsidRDefault="00572307">
            <w:pPr>
              <w:pStyle w:val="P68B1DB1-ListParagraph13"/>
              <w:numPr>
                <w:ilvl w:val="0"/>
                <w:numId w:val="630"/>
              </w:numPr>
              <w:spacing w:after="120" w:line="240" w:lineRule="auto"/>
              <w:rPr>
                <w:rFonts w:cs="Times New Roman"/>
                <w:noProof/>
              </w:rPr>
            </w:pPr>
            <w:r w:rsidRPr="00BC4EE7">
              <w:rPr>
                <w:rFonts w:cs="Times New Roman"/>
                <w:noProof/>
              </w:rPr>
              <w:t>Legalább 12100, legalább 50, de 250-nál kevesebb munkavállalót foglalkoztató kkv-t legalább 25 000 EUR és 29 000 EUR közötti értékű utalványsal kell támogatni.</w:t>
            </w:r>
          </w:p>
        </w:tc>
      </w:tr>
      <w:tr w:rsidR="00D65CB4" w:rsidRPr="00BC4EE7" w14:paraId="7BE0ECEC" w14:textId="77777777" w:rsidTr="00481CF8">
        <w:trPr>
          <w:trHeight w:val="309"/>
        </w:trPr>
        <w:tc>
          <w:tcPr>
            <w:tcW w:w="696" w:type="dxa"/>
            <w:shd w:val="clear" w:color="auto" w:fill="C6EFCE"/>
            <w:noWrap/>
          </w:tcPr>
          <w:p w14:paraId="52C49AEE" w14:textId="4B75AD00"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209</w:t>
            </w:r>
          </w:p>
        </w:tc>
        <w:tc>
          <w:tcPr>
            <w:tcW w:w="897" w:type="dxa"/>
            <w:shd w:val="clear" w:color="auto" w:fill="C6EFCE"/>
            <w:noWrap/>
          </w:tcPr>
          <w:p w14:paraId="5B78862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C13.I3</w:t>
            </w:r>
          </w:p>
        </w:tc>
        <w:tc>
          <w:tcPr>
            <w:tcW w:w="992" w:type="dxa"/>
            <w:shd w:val="clear" w:color="auto" w:fill="C6EFCE"/>
            <w:noWrap/>
          </w:tcPr>
          <w:p w14:paraId="39C09E3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1731" w:type="dxa"/>
            <w:shd w:val="clear" w:color="auto" w:fill="C6EFCE"/>
            <w:noWrap/>
          </w:tcPr>
          <w:p w14:paraId="2D82F927"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digitális technológiák fokozott használatát célzó intézkedéseket végrehajtó kkv-k (a digitális eszköztár kivételével)</w:t>
            </w:r>
          </w:p>
        </w:tc>
        <w:tc>
          <w:tcPr>
            <w:tcW w:w="1114" w:type="dxa"/>
            <w:shd w:val="clear" w:color="auto" w:fill="C6EFCE"/>
            <w:noWrap/>
          </w:tcPr>
          <w:p w14:paraId="149D1E1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697" w:type="dxa"/>
            <w:shd w:val="clear" w:color="auto" w:fill="C6EFCE"/>
            <w:noWrap/>
          </w:tcPr>
          <w:p w14:paraId="6A9838C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Szám</w:t>
            </w:r>
          </w:p>
        </w:tc>
        <w:tc>
          <w:tcPr>
            <w:tcW w:w="975" w:type="dxa"/>
            <w:shd w:val="clear" w:color="auto" w:fill="C6EFCE"/>
            <w:noWrap/>
          </w:tcPr>
          <w:p w14:paraId="6CC76E74"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0</w:t>
            </w:r>
          </w:p>
        </w:tc>
        <w:tc>
          <w:tcPr>
            <w:tcW w:w="697" w:type="dxa"/>
            <w:shd w:val="clear" w:color="auto" w:fill="C6EFCE"/>
            <w:noWrap/>
          </w:tcPr>
          <w:p w14:paraId="39E54683" w14:textId="497986BA"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169 747</w:t>
            </w:r>
          </w:p>
        </w:tc>
        <w:tc>
          <w:tcPr>
            <w:tcW w:w="558" w:type="dxa"/>
            <w:shd w:val="clear" w:color="auto" w:fill="C6EFCE"/>
            <w:noWrap/>
          </w:tcPr>
          <w:p w14:paraId="2BCED87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58" w:type="dxa"/>
            <w:shd w:val="clear" w:color="auto" w:fill="C6EFCE"/>
            <w:noWrap/>
          </w:tcPr>
          <w:p w14:paraId="39544FD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2025</w:t>
            </w:r>
          </w:p>
        </w:tc>
        <w:tc>
          <w:tcPr>
            <w:tcW w:w="6536" w:type="dxa"/>
            <w:shd w:val="clear" w:color="auto" w:fill="C6EFCE"/>
            <w:noWrap/>
          </w:tcPr>
          <w:p w14:paraId="113A9D3D" w14:textId="2F02DB2A" w:rsidR="00D65CB4" w:rsidRPr="00BC4EE7" w:rsidRDefault="00572307">
            <w:pPr>
              <w:pStyle w:val="P68B1DB1-Text126"/>
              <w:spacing w:before="0"/>
              <w:ind w:left="0"/>
              <w:jc w:val="left"/>
              <w:rPr>
                <w:rFonts w:cs="Times New Roman"/>
                <w:noProof/>
              </w:rPr>
            </w:pPr>
            <w:r w:rsidRPr="00BC4EE7">
              <w:rPr>
                <w:rFonts w:cs="Times New Roman"/>
                <w:noProof/>
              </w:rPr>
              <w:t xml:space="preserve">Legalább 169747 olyan kkv, amelyek a digitális technológiák fokozott használatát célzó intézkedéseket hajtottak végre, és amelyeket a következő programok támogatnak: „A változás program szereplői”, „kkv 2.0 akcelerátorok”; „Innovatív üzleti klasztertámogató program”. </w:t>
            </w:r>
          </w:p>
          <w:p w14:paraId="4C090F03" w14:textId="7A302607" w:rsidR="00D65CB4" w:rsidRPr="00BC4EE7" w:rsidRDefault="00572307">
            <w:pPr>
              <w:pStyle w:val="Text1"/>
              <w:spacing w:before="0"/>
              <w:ind w:left="0"/>
              <w:jc w:val="left"/>
              <w:rPr>
                <w:rFonts w:ascii="Times New Roman" w:hAnsi="Times New Roman" w:cs="Times New Roman"/>
                <w:noProof/>
                <w:sz w:val="18"/>
              </w:rPr>
            </w:pPr>
            <w:r w:rsidRPr="00BC4EE7">
              <w:rPr>
                <w:rFonts w:ascii="Times New Roman" w:hAnsi="Times New Roman" w:cs="Times New Roman"/>
                <w:noProof/>
                <w:sz w:val="18"/>
              </w:rPr>
              <w:t>„A változás szereplői” program: ez a program legalább 15000 kis- és középvállalkozást (tíz-249 alkalmazottat) támogat digitális átalakulási folyamataikban.</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2. „kkv 2.0 akcelerátorok” program: ez a beruházás keretébe tartozó intézkedés, amelynek ki kell bővítenie a kkv-k digitalizációját támogató infrastruktúrát tanácsadási szolgáltatásokkal és képzési szolgáltatásokkal.</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„Innovatív üzleti klasztertámogatás” program: ez a program az Ipari és Idegenforgalmi Minisztérium kkv-kat támogató politikájának részeként az innovatív üzleti klaszterek és a hozzájuk kapcsolódó szervezetek által végrehajtott, a különböző gazdasági ágazatok értékláncának digitalizálására irányuló projekteket támogat.</w:t>
            </w:r>
          </w:p>
          <w:p w14:paraId="6B503BAB" w14:textId="4E2B89BC" w:rsidR="00D65CB4" w:rsidRPr="00BC4EE7" w:rsidRDefault="00572307">
            <w:pPr>
              <w:pStyle w:val="P68B1DB1-Text126"/>
              <w:spacing w:before="0"/>
              <w:ind w:left="0"/>
              <w:jc w:val="left"/>
              <w:rPr>
                <w:rFonts w:cs="Times New Roman"/>
                <w:noProof/>
              </w:rPr>
            </w:pPr>
            <w:r w:rsidRPr="00BC4EE7">
              <w:rPr>
                <w:rFonts w:cs="Times New Roman"/>
                <w:noProof/>
              </w:rPr>
              <w:t>A digitális innovációs központok támogatási programja által finanszírozott, legalább 37 590 000 EUR összegű odaítélési határozatoknak megfelelő intézkedések és/vagy munkacsomagok lezárása. A Digitális Európa program által finanszírozott munkacsomagokat nem kell figyelembe venni. A digitális innovációs központok támogatási programja segíti a vállalkozásokat abban, hogy versenyképesebbé váljanak azáltal, hogy a digitális technológiák intenzív használata révén javítják üzleti és termelési folyamataikat.</w:t>
            </w:r>
          </w:p>
          <w:p w14:paraId="72888EF3" w14:textId="4C535BA1" w:rsidR="00D65CB4" w:rsidRPr="00BC4EE7" w:rsidRDefault="00572307">
            <w:pPr>
              <w:pStyle w:val="Text1"/>
              <w:spacing w:before="0"/>
              <w:ind w:left="0"/>
              <w:jc w:val="left"/>
              <w:rPr>
                <w:rFonts w:ascii="Times New Roman" w:hAnsi="Times New Roman" w:cs="Times New Roman"/>
                <w:noProof/>
                <w:sz w:val="18"/>
              </w:rPr>
            </w:pPr>
            <w:r w:rsidRPr="00BC4EE7">
              <w:rPr>
                <w:rFonts w:ascii="Times New Roman" w:hAnsi="Times New Roman" w:cs="Times New Roman"/>
                <w:noProof/>
                <w:sz w:val="18"/>
              </w:rPr>
              <w:t xml:space="preserve">A korábbi programok és a digitális innovációs központok támogatási programja pályázati felhívásainak olyan támogathatósági kritériumokat kell tartalmazniuk, amelyek egy kizárási lista, valamint a vonatkozó uniós és nemzeti környezetvédelmi jogszabályoknak való megfelelés követelménye révén biztosítják, hogy a kiválasztott projektek megfeleljenek a jelentős károkozás elkerülését célzó technikai iránymutatásnak (2021/C58/01). </w:t>
            </w:r>
            <w:r w:rsidRPr="00BC4EE7">
              <w:rPr>
                <w:rFonts w:ascii="Times New Roman" w:hAnsi="Times New Roman" w:cs="Times New Roman"/>
                <w:noProof/>
              </w:rPr>
              <w:t xml:space="preserve"> </w:t>
            </w:r>
            <w:r w:rsidRPr="00BC4EE7">
              <w:rPr>
                <w:rFonts w:ascii="Times New Roman" w:hAnsi="Times New Roman" w:cs="Times New Roman"/>
                <w:noProof/>
              </w:rPr>
              <w:br/>
            </w:r>
          </w:p>
        </w:tc>
      </w:tr>
      <w:tr w:rsidR="00D65CB4" w:rsidRPr="00BC4EE7" w14:paraId="7B45DF80" w14:textId="77777777" w:rsidTr="00481CF8">
        <w:trPr>
          <w:trHeight w:val="309"/>
        </w:trPr>
        <w:tc>
          <w:tcPr>
            <w:tcW w:w="696" w:type="dxa"/>
            <w:shd w:val="clear" w:color="auto" w:fill="C6EFCE"/>
            <w:noWrap/>
          </w:tcPr>
          <w:p w14:paraId="7EEE024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210</w:t>
            </w:r>
          </w:p>
        </w:tc>
        <w:tc>
          <w:tcPr>
            <w:tcW w:w="897" w:type="dxa"/>
            <w:shd w:val="clear" w:color="auto" w:fill="C6EFCE"/>
            <w:noWrap/>
          </w:tcPr>
          <w:p w14:paraId="0BD986C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C13.I4</w:t>
            </w:r>
          </w:p>
        </w:tc>
        <w:tc>
          <w:tcPr>
            <w:tcW w:w="992" w:type="dxa"/>
            <w:shd w:val="clear" w:color="auto" w:fill="C6EFCE"/>
            <w:noWrap/>
          </w:tcPr>
          <w:p w14:paraId="331544C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1731" w:type="dxa"/>
            <w:shd w:val="clear" w:color="auto" w:fill="C6EFCE"/>
            <w:noWrap/>
          </w:tcPr>
          <w:p w14:paraId="51FD86F9"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technológiai alapból támogatásban részesült kkv-k és vállalkozói szövetségek</w:t>
            </w:r>
          </w:p>
        </w:tc>
        <w:tc>
          <w:tcPr>
            <w:tcW w:w="1114" w:type="dxa"/>
            <w:shd w:val="clear" w:color="auto" w:fill="C6EFCE"/>
            <w:noWrap/>
          </w:tcPr>
          <w:p w14:paraId="062FED2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697" w:type="dxa"/>
            <w:shd w:val="clear" w:color="auto" w:fill="C6EFCE"/>
            <w:noWrap/>
          </w:tcPr>
          <w:p w14:paraId="77A8C95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Szám</w:t>
            </w:r>
          </w:p>
        </w:tc>
        <w:tc>
          <w:tcPr>
            <w:tcW w:w="975" w:type="dxa"/>
            <w:shd w:val="clear" w:color="auto" w:fill="C6EFCE"/>
            <w:noWrap/>
          </w:tcPr>
          <w:p w14:paraId="21407A27"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0</w:t>
            </w:r>
          </w:p>
        </w:tc>
        <w:tc>
          <w:tcPr>
            <w:tcW w:w="697" w:type="dxa"/>
            <w:shd w:val="clear" w:color="auto" w:fill="C6EFCE"/>
            <w:noWrap/>
          </w:tcPr>
          <w:p w14:paraId="419AED87"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200</w:t>
            </w:r>
          </w:p>
        </w:tc>
        <w:tc>
          <w:tcPr>
            <w:tcW w:w="558" w:type="dxa"/>
            <w:shd w:val="clear" w:color="auto" w:fill="C6EFCE"/>
            <w:noWrap/>
          </w:tcPr>
          <w:p w14:paraId="6F97393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58" w:type="dxa"/>
            <w:shd w:val="clear" w:color="auto" w:fill="C6EFCE"/>
            <w:noWrap/>
          </w:tcPr>
          <w:p w14:paraId="177A153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2023</w:t>
            </w:r>
          </w:p>
        </w:tc>
        <w:tc>
          <w:tcPr>
            <w:tcW w:w="6536" w:type="dxa"/>
            <w:shd w:val="clear" w:color="auto" w:fill="C6EFCE"/>
            <w:noWrap/>
          </w:tcPr>
          <w:p w14:paraId="418DE2E2" w14:textId="38AA0029" w:rsidR="00D65CB4" w:rsidRPr="00BC4EE7" w:rsidRDefault="00572307">
            <w:pPr>
              <w:spacing w:after="0" w:line="240" w:lineRule="auto"/>
              <w:rPr>
                <w:rFonts w:ascii="Times New Roman" w:hAnsi="Times New Roman" w:cs="Times New Roman"/>
                <w:noProof/>
                <w:sz w:val="18"/>
              </w:rPr>
            </w:pPr>
            <w:r w:rsidRPr="00BC4EE7">
              <w:rPr>
                <w:rFonts w:ascii="Times New Roman" w:hAnsi="Times New Roman" w:cs="Times New Roman"/>
                <w:noProof/>
                <w:sz w:val="18"/>
              </w:rPr>
              <w:t xml:space="preserve">A jelentős károkozás elkerülését célzó technikai iránymutatásnak (2021/C58/01) megfelelően a technológiai alapból vissza nem térítendő támogatásban részesült legalább 200 kkv vagy vállalkozói szövetség a kizárási lista, valamint a vonatkozó uniós és nemzeti környezetvédelmi jogszabályoknak való megfelelés követelménye révén. </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 kiskereskedelmi ágazatban megvalósuló projektek, amelyek célja olyan új technológiák beépítése, amelyek lehetővé teszik a helyi kereskedelem számára, hogy reagáljon az új fogyasztási szokásokra, a „Technológiai Alap” keretében (200 projekt). Az alap keretében támogatható projektek közé tartoznak a következők:</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 Az online kereskedelmi és kommunikációs stratégia, az üzleti modellek vagy a vásárlási élmény javítását célzó új technológiákra irányuló projektek.</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b. A fizikai vásárlási tapasztalatnak az új fogyasztói igényekhez és szokásokhoz, valamint az új irányítási modellekhez való hozzáigazítására irányuló új technológiákra irányuló projektek.</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C. Az „utolsó kilométer” logisztika hatékonyságának és fenntarthatóságának javítását célzó technológiai megoldásokra irányuló projektek.</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D. Az energia- és erőforrás-hatékonyság javítását célzó technológiai megoldások megvalósítására irányuló projektek. </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 beruházást egy digitális platform (plataforma</w:t>
            </w:r>
            <w:r w:rsidRPr="00BC4EE7">
              <w:rPr>
                <w:rFonts w:ascii="Times New Roman" w:hAnsi="Times New Roman" w:cs="Times New Roman"/>
                <w:i/>
                <w:noProof/>
                <w:sz w:val="18"/>
              </w:rPr>
              <w:t>Comercio Conectado) létrehozásával kell kiegészíteni az ágazat digitalizációjának előmozdítása érdekében</w:t>
            </w:r>
            <w:r w:rsidRPr="00BC4EE7">
              <w:rPr>
                <w:rFonts w:ascii="Times New Roman" w:hAnsi="Times New Roman" w:cs="Times New Roman"/>
                <w:noProof/>
                <w:sz w:val="18"/>
              </w:rPr>
              <w:t xml:space="preserve">. </w:t>
            </w:r>
          </w:p>
        </w:tc>
      </w:tr>
      <w:tr w:rsidR="00D65CB4" w:rsidRPr="00BC4EE7" w14:paraId="008B24B2" w14:textId="77777777" w:rsidTr="00481CF8">
        <w:trPr>
          <w:trHeight w:val="309"/>
        </w:trPr>
        <w:tc>
          <w:tcPr>
            <w:tcW w:w="696" w:type="dxa"/>
            <w:shd w:val="clear" w:color="auto" w:fill="C6EFCE"/>
            <w:noWrap/>
          </w:tcPr>
          <w:p w14:paraId="429C24D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211</w:t>
            </w:r>
          </w:p>
        </w:tc>
        <w:tc>
          <w:tcPr>
            <w:tcW w:w="897" w:type="dxa"/>
            <w:shd w:val="clear" w:color="auto" w:fill="C6EFCE"/>
            <w:noWrap/>
          </w:tcPr>
          <w:p w14:paraId="7B3D2E6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C13.I4</w:t>
            </w:r>
          </w:p>
        </w:tc>
        <w:tc>
          <w:tcPr>
            <w:tcW w:w="992" w:type="dxa"/>
            <w:shd w:val="clear" w:color="auto" w:fill="C6EFCE"/>
            <w:noWrap/>
          </w:tcPr>
          <w:p w14:paraId="752931E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1731" w:type="dxa"/>
            <w:shd w:val="clear" w:color="auto" w:fill="C6EFCE"/>
            <w:noWrap/>
          </w:tcPr>
          <w:p w14:paraId="486B5B48"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Korszerűsítési intézkedések az önkormányzati piacokon vagy kereskedelmi területeken</w:t>
            </w:r>
          </w:p>
        </w:tc>
        <w:tc>
          <w:tcPr>
            <w:tcW w:w="1114" w:type="dxa"/>
            <w:shd w:val="clear" w:color="auto" w:fill="C6EFCE"/>
            <w:noWrap/>
          </w:tcPr>
          <w:p w14:paraId="5999AB34"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697" w:type="dxa"/>
            <w:shd w:val="clear" w:color="auto" w:fill="C6EFCE"/>
            <w:noWrap/>
          </w:tcPr>
          <w:p w14:paraId="7749BFC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Szám</w:t>
            </w:r>
          </w:p>
        </w:tc>
        <w:tc>
          <w:tcPr>
            <w:tcW w:w="975" w:type="dxa"/>
            <w:shd w:val="clear" w:color="auto" w:fill="C6EFCE"/>
            <w:noWrap/>
          </w:tcPr>
          <w:p w14:paraId="634E5575"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0</w:t>
            </w:r>
          </w:p>
        </w:tc>
        <w:tc>
          <w:tcPr>
            <w:tcW w:w="697" w:type="dxa"/>
            <w:shd w:val="clear" w:color="auto" w:fill="C6EFCE"/>
            <w:noWrap/>
          </w:tcPr>
          <w:p w14:paraId="4F315D91"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30</w:t>
            </w:r>
          </w:p>
        </w:tc>
        <w:tc>
          <w:tcPr>
            <w:tcW w:w="558" w:type="dxa"/>
            <w:shd w:val="clear" w:color="auto" w:fill="C6EFCE"/>
            <w:noWrap/>
          </w:tcPr>
          <w:p w14:paraId="33DF6B6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58" w:type="dxa"/>
            <w:shd w:val="clear" w:color="auto" w:fill="C6EFCE"/>
            <w:noWrap/>
          </w:tcPr>
          <w:p w14:paraId="1D272AB4"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2024</w:t>
            </w:r>
          </w:p>
        </w:tc>
        <w:tc>
          <w:tcPr>
            <w:tcW w:w="6536" w:type="dxa"/>
            <w:shd w:val="clear" w:color="auto" w:fill="C6EFCE"/>
            <w:noWrap/>
          </w:tcPr>
          <w:p w14:paraId="029DF34B" w14:textId="77777777" w:rsidR="00D65CB4" w:rsidRPr="00BC4EE7" w:rsidRDefault="00572307">
            <w:pPr>
              <w:spacing w:after="0" w:line="240" w:lineRule="auto"/>
              <w:rPr>
                <w:rFonts w:ascii="Times New Roman" w:hAnsi="Times New Roman" w:cs="Times New Roman"/>
                <w:noProof/>
                <w:sz w:val="18"/>
              </w:rPr>
            </w:pPr>
            <w:r w:rsidRPr="00BC4EE7">
              <w:rPr>
                <w:rFonts w:ascii="Times New Roman" w:hAnsi="Times New Roman" w:cs="Times New Roman"/>
                <w:noProof/>
                <w:sz w:val="18"/>
              </w:rPr>
              <w:t>Legalább 30 korszerűsítési intézkedés végrehajtása önkormányzati piacokon vagy kereskedelmi területeken a jelentős károkozás elkerülését célzó technikai iránymutatásnak (2021/C58/01) megfelelően kizárási lista, valamint a vonatkozó uniós és nemzeti környezetvédelmi jogszabályoknak való megfelelés követelménye révén.</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A helyi hatóságok által a „Fenntartható piacok” program keretében az önkormányzati piacok, a kereskedelmi területek, a nem név szerinti értékesítési piacok és a rövid értékesítési csatornák korszerűsítésére benyújtott projektek (30 projekt). A program keretében támogatható projektek közé tartoznak a következők: </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 nagy adathalmazokon vagy más technológiákon alapuló ügyfélmegfigyelő eszközök bevezetésére irányuló projektek.</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 b. A piacok digitális átalakulására irányuló projektek, amelyek javítják az omni-csatornás piacteret és a vásárlási élményt.</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 C. Az utcai kereskedelem és a rövid értékesítési csatornák digitális átalakítását célzó projektek.</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 d. A létesítmények, hozzáférhetőségük, felszerelésük és az önkormányzati piacok, kereskedelmi területek és nem azonos piacok által elfoglalt területek, valamint a szomszédos területek megfelelőségének javítását célzó munkálatok és felújítási projektek.</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 e. Az alapanyagok kereskedelmi célú felhasználásának csökkentésére és környezetbarát alternatívák helyettesítésére irányuló projektek.</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 F. Intelligens kézbesítési pontok telepítése.</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 g. Az önkormányzati piacok, a kereskedelmi területek és a nem helyhez kötött értékesítési piacok energiahatékonyságának javítását célzó projektek.</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 H. A hulladék újrafeldolgozását vagy újrafelhasználását előmozdító intézkedések.</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 I. Az önkormányzati piacok, kereskedelmi területek és nem név szerinti értékesítési piacok technológiai készségeinek tudatosítása és képzése.</w:t>
            </w:r>
          </w:p>
        </w:tc>
      </w:tr>
      <w:tr w:rsidR="00D65CB4" w:rsidRPr="00BC4EE7" w14:paraId="039FAF56" w14:textId="77777777" w:rsidTr="00481CF8">
        <w:trPr>
          <w:trHeight w:val="309"/>
        </w:trPr>
        <w:tc>
          <w:tcPr>
            <w:tcW w:w="696" w:type="dxa"/>
            <w:shd w:val="clear" w:color="auto" w:fill="C6EFCE"/>
            <w:noWrap/>
          </w:tcPr>
          <w:p w14:paraId="750B66B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212</w:t>
            </w:r>
          </w:p>
        </w:tc>
        <w:tc>
          <w:tcPr>
            <w:tcW w:w="897" w:type="dxa"/>
            <w:shd w:val="clear" w:color="auto" w:fill="C6EFCE"/>
            <w:noWrap/>
          </w:tcPr>
          <w:p w14:paraId="5170E8E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C13.I4</w:t>
            </w:r>
          </w:p>
        </w:tc>
        <w:tc>
          <w:tcPr>
            <w:tcW w:w="992" w:type="dxa"/>
            <w:shd w:val="clear" w:color="auto" w:fill="C6EFCE"/>
            <w:noWrap/>
          </w:tcPr>
          <w:p w14:paraId="73A3859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1731" w:type="dxa"/>
            <w:shd w:val="clear" w:color="auto" w:fill="C6EFCE"/>
            <w:noWrap/>
          </w:tcPr>
          <w:p w14:paraId="6349AB81"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kistelepülések piaci infrastruktúrájának korszerűsítése</w:t>
            </w:r>
          </w:p>
        </w:tc>
        <w:tc>
          <w:tcPr>
            <w:tcW w:w="1114" w:type="dxa"/>
            <w:shd w:val="clear" w:color="auto" w:fill="C6EFCE"/>
            <w:noWrap/>
          </w:tcPr>
          <w:p w14:paraId="1C455B3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697" w:type="dxa"/>
            <w:shd w:val="clear" w:color="auto" w:fill="C6EFCE"/>
            <w:noWrap/>
          </w:tcPr>
          <w:p w14:paraId="2BC82CC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Szám</w:t>
            </w:r>
          </w:p>
        </w:tc>
        <w:tc>
          <w:tcPr>
            <w:tcW w:w="975" w:type="dxa"/>
            <w:shd w:val="clear" w:color="auto" w:fill="C6EFCE"/>
            <w:noWrap/>
          </w:tcPr>
          <w:p w14:paraId="396AE786"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0</w:t>
            </w:r>
          </w:p>
        </w:tc>
        <w:tc>
          <w:tcPr>
            <w:tcW w:w="697" w:type="dxa"/>
            <w:shd w:val="clear" w:color="auto" w:fill="C6EFCE"/>
            <w:noWrap/>
          </w:tcPr>
          <w:p w14:paraId="5540C49D"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100</w:t>
            </w:r>
          </w:p>
        </w:tc>
        <w:tc>
          <w:tcPr>
            <w:tcW w:w="558" w:type="dxa"/>
            <w:shd w:val="clear" w:color="auto" w:fill="C6EFCE"/>
            <w:noWrap/>
          </w:tcPr>
          <w:p w14:paraId="30C3991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58" w:type="dxa"/>
            <w:shd w:val="clear" w:color="auto" w:fill="C6EFCE"/>
            <w:noWrap/>
          </w:tcPr>
          <w:p w14:paraId="5AD41FC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2024</w:t>
            </w:r>
          </w:p>
        </w:tc>
        <w:tc>
          <w:tcPr>
            <w:tcW w:w="6536" w:type="dxa"/>
            <w:shd w:val="clear" w:color="auto" w:fill="C6EFCE"/>
            <w:noWrap/>
          </w:tcPr>
          <w:p w14:paraId="16D4FAA1" w14:textId="4F896182" w:rsidR="00D65CB4" w:rsidRPr="00BC4EE7" w:rsidRDefault="00572307">
            <w:pPr>
              <w:spacing w:after="0" w:line="240" w:lineRule="auto"/>
              <w:rPr>
                <w:rFonts w:ascii="Times New Roman" w:eastAsia="Times New Roman" w:hAnsi="Times New Roman" w:cs="Times New Roman"/>
                <w:noProof/>
                <w:sz w:val="18"/>
              </w:rPr>
            </w:pPr>
            <w:r w:rsidRPr="00BC4EE7">
              <w:rPr>
                <w:rFonts w:ascii="Times New Roman" w:hAnsi="Times New Roman" w:cs="Times New Roman"/>
                <w:noProof/>
                <w:sz w:val="18"/>
              </w:rPr>
              <w:t>A jelentős károkozás elkerülését célzó technikai iránymutatással (2021/C58/01) összhangban egy kizárási lista, valamint a vonatkozó uniós és nemzeti környezetvédelmi jogszabályoknak való megfelelés követelménye révén legalább 100 befejezett piaci infrastruktúra-korszerűsítési intézkedést hagytak jóvá és kezdeményeztek kis településeken.</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A program keretében támogatható projektek közé tartoznak a következők: </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 a nagy adathalmazokon vagy más technológiákon alapuló ügyfélmegfigyelő eszközök bevezetésére irányuló projektek.</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 b. A piacok digitális átalakulására irányuló projektek, amelyek javítják az omni-csatornás piacteret és a vásárlási élményt.</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 C. Az utcai kereskedelem és a rövid értékesítési csatornák digitális átalakítását célzó projektek.</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 d. A létesítmények, hozzáférhetőségük, felszerelésük és az önkormányzati piacok, kereskedelmi területek és nem azonos piacok által elfoglalt területek, valamint a szomszédos területek megfelelőségének javítását célzó munkálatok és felújítási projektek.</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 e. Az alapanyagok kereskedelmi célú felhasználásának csökkentésére és környezetbarát alternatívák helyettesítésére irányuló projektek.</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 F. Intelligens kézbesítési pontok telepítése.</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 g. Az önkormányzati piacok, a kereskedelmi területek és a nem helyhez kötött értékesítési piacok energiahatékonyságának javítását célzó projektek.</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 H. A hulladék újrafeldolgozását vagy újrafelhasználását előmozdító intézkedések.</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 I. Az önkormányzati piacok, kereskedelmi területek és nem név szerinti értékesítési piacok technológiai készségeinek tudatosítása és képzése.</w:t>
            </w:r>
          </w:p>
        </w:tc>
      </w:tr>
      <w:tr w:rsidR="00D65CB4" w:rsidRPr="00BC4EE7" w14:paraId="61292C9B" w14:textId="77777777" w:rsidTr="00481CF8">
        <w:trPr>
          <w:trHeight w:val="309"/>
        </w:trPr>
        <w:tc>
          <w:tcPr>
            <w:tcW w:w="696" w:type="dxa"/>
            <w:shd w:val="clear" w:color="auto" w:fill="C6EFCE"/>
            <w:noWrap/>
          </w:tcPr>
          <w:p w14:paraId="2016163D"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213</w:t>
            </w:r>
          </w:p>
        </w:tc>
        <w:tc>
          <w:tcPr>
            <w:tcW w:w="897" w:type="dxa"/>
            <w:shd w:val="clear" w:color="auto" w:fill="C6EFCE"/>
            <w:noWrap/>
          </w:tcPr>
          <w:p w14:paraId="0A5FEB2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C13.I5</w:t>
            </w:r>
          </w:p>
        </w:tc>
        <w:tc>
          <w:tcPr>
            <w:tcW w:w="992" w:type="dxa"/>
            <w:shd w:val="clear" w:color="auto" w:fill="C6EFCE"/>
            <w:noWrap/>
          </w:tcPr>
          <w:p w14:paraId="1CCC9AC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1731" w:type="dxa"/>
            <w:shd w:val="clear" w:color="auto" w:fill="C6EFCE"/>
            <w:noWrap/>
          </w:tcPr>
          <w:p w14:paraId="705A5779"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nemzetközivé válásukat támogató projektekben részt vevő vállalatok</w:t>
            </w:r>
          </w:p>
        </w:tc>
        <w:tc>
          <w:tcPr>
            <w:tcW w:w="1114" w:type="dxa"/>
            <w:shd w:val="clear" w:color="auto" w:fill="C6EFCE"/>
            <w:noWrap/>
          </w:tcPr>
          <w:p w14:paraId="54DAA9F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697" w:type="dxa"/>
            <w:shd w:val="clear" w:color="auto" w:fill="C6EFCE"/>
            <w:noWrap/>
          </w:tcPr>
          <w:p w14:paraId="63B7C0B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Szám</w:t>
            </w:r>
          </w:p>
        </w:tc>
        <w:tc>
          <w:tcPr>
            <w:tcW w:w="975" w:type="dxa"/>
            <w:shd w:val="clear" w:color="auto" w:fill="C6EFCE"/>
            <w:noWrap/>
          </w:tcPr>
          <w:p w14:paraId="1B6A52EE"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0</w:t>
            </w:r>
          </w:p>
        </w:tc>
        <w:tc>
          <w:tcPr>
            <w:tcW w:w="697" w:type="dxa"/>
            <w:shd w:val="clear" w:color="auto" w:fill="C6EFCE"/>
            <w:noWrap/>
          </w:tcPr>
          <w:p w14:paraId="58FC2B62"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3 000</w:t>
            </w:r>
          </w:p>
        </w:tc>
        <w:tc>
          <w:tcPr>
            <w:tcW w:w="558" w:type="dxa"/>
            <w:shd w:val="clear" w:color="auto" w:fill="C6EFCE"/>
            <w:noWrap/>
          </w:tcPr>
          <w:p w14:paraId="5D192DE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58" w:type="dxa"/>
            <w:shd w:val="clear" w:color="auto" w:fill="C6EFCE"/>
            <w:noWrap/>
          </w:tcPr>
          <w:p w14:paraId="2A031F4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2024</w:t>
            </w:r>
          </w:p>
        </w:tc>
        <w:tc>
          <w:tcPr>
            <w:tcW w:w="6536" w:type="dxa"/>
            <w:shd w:val="clear" w:color="auto" w:fill="C6EFCE"/>
            <w:noWrap/>
          </w:tcPr>
          <w:p w14:paraId="54D3EC9D" w14:textId="77777777" w:rsidR="00D65CB4" w:rsidRPr="00BC4EE7" w:rsidRDefault="00572307">
            <w:pPr>
              <w:spacing w:after="0" w:line="240" w:lineRule="auto"/>
              <w:rPr>
                <w:rFonts w:ascii="Times New Roman" w:eastAsia="Times New Roman" w:hAnsi="Times New Roman" w:cs="Times New Roman"/>
                <w:noProof/>
                <w:sz w:val="18"/>
              </w:rPr>
            </w:pPr>
            <w:r w:rsidRPr="00BC4EE7">
              <w:rPr>
                <w:rFonts w:ascii="Times New Roman" w:hAnsi="Times New Roman" w:cs="Times New Roman"/>
                <w:noProof/>
                <w:sz w:val="18"/>
              </w:rPr>
              <w:t xml:space="preserve">Legalább 3000 olyan vállalat, köztük legalább 2500 kkv, amelyek a 2021–2022-es és a 2023–2024-es nemzetköziesítési cselekvési tervek keretében részt vettek és hajtottak végre a nemzetközivé válásukat támogató projektekben. Az exportszövetségek, a kereskedelmi kamarák és a közigazgatási szolgáltatások digitalizálását támogató horizontális intézkedéseknek valamennyi exportőr javát kell szolgálniuk, és elő kell mozdítaniuk az új vállalatok nemzetközivé válását, összhangban a jelentős károkozás elkerülését célzó technikai iránymutatással (2021/C58/01) a kizárási lista, valamint a vonatkozó uniós és nemzeti környezetvédelmi jogszabályoknak való megfelelés követelménye révén. </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 beruházás keretébe tartozó tevékenységeket a projektek/területek alábbi listájáról kell kiválasztani:</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1. A megvalósíthatósággal, a megvalósíthatósággal, az előzetes megvalósíthatósággal, valamint az ágazati és intézményi korszerűsítéssel kapcsolatos tanulmányok finanszírozási sora.</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2. Az INNOVA Invest program a K+F-be történő külföldi befektetések támogatására.</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3. A VIVES program pénzügyi támogatást nyújt az exporttevékenységekben részt vevő vállalatoknál dolgozó gyakornokok felvételéhez.</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4. Nemzetköziesítési mentorálási és képzési program.</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5. Az exportszövetségek, a spanyol kereskedelmi kamarák és szövetségeik kommunikációs rendszereinek, telematikai szolgáltatásainak és digitalizálásának megerősítésére irányuló program.</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6. Az exportalap bővítési programja, amely személyre szabott tanácsadást nyújt a vállalkozások és különösen a kkv-k nemzetközivé válásához.</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7. A spanyol gyorsan növekvő vállalkozások ökoszisztémájának megerősítésére irányuló program.</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8. Piacnyitáshoz és -konszolidációhoz nyújtott támogatás a harmadik országok hatóságainak vizsgálataival és vizsgálataival, valamint a piacvédelmi jogi és tanácsadási kiadásokkal kapcsolatos kiadások támogatása révén.</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9. A COFIDES (egy állami tulajdonú pénzügyi intézmény, amely közép- és hosszú távú finanszírozást nyújt a vállalkozások nemzetközivé válását célzó beruházási projektjeinek támogatására) pénzügyi ösztönző programja a hatásbefektetések előmozdítására. </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10. A kormányzati szolgáltatások digitalizációjának fellendítése a nemzetközivé válás támogatása érdekében.</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11. Az ICEX (a spanyol vállalkozások nemzetközivé válását előmozdító nemzeti közvállalkozás) digitalizálása és virtuális campus létrehozása.</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A kiválasztási kritériumoknak biztosítaniuk kell, hogy az ezen intézkedés keretében támogatott ügyletek megfeleljenek a jelentős károkozás elkerülését célzó technikai iránymutatásnak (2021/C58/01) a fenntarthatósági vizsgálat alkalmazása, a kizárási lista használata, valamint a vonatkozó uniós és nemzeti környezetvédelmi jogszabályoknak való megfelelés követelménye révén. </w:t>
            </w:r>
          </w:p>
        </w:tc>
      </w:tr>
    </w:tbl>
    <w:p w14:paraId="7BCAD372" w14:textId="0DB4DF44" w:rsidR="00D65CB4" w:rsidRPr="00BC4EE7" w:rsidRDefault="00D65CB4">
      <w:pPr>
        <w:spacing w:before="120" w:after="120" w:line="240" w:lineRule="auto"/>
        <w:ind w:left="709"/>
        <w:jc w:val="both"/>
        <w:rPr>
          <w:rFonts w:ascii="Times New Roman" w:hAnsi="Times New Roman" w:cs="Times New Roman"/>
          <w:b/>
          <w:noProof/>
          <w:sz w:val="24"/>
          <w:u w:val="single"/>
        </w:rPr>
        <w:sectPr w:rsidR="00D65CB4" w:rsidRPr="00BC4EE7" w:rsidSect="009F15CE">
          <w:headerReference w:type="even" r:id="rId279"/>
          <w:headerReference w:type="default" r:id="rId280"/>
          <w:footerReference w:type="even" r:id="rId281"/>
          <w:footerReference w:type="default" r:id="rId282"/>
          <w:headerReference w:type="first" r:id="rId283"/>
          <w:footerReference w:type="first" r:id="rId284"/>
          <w:pgSz w:w="16839" w:h="11907" w:orient="landscape"/>
          <w:pgMar w:top="1134" w:right="1134" w:bottom="1134" w:left="1134" w:header="567" w:footer="567" w:gutter="0"/>
          <w:cols w:space="720"/>
          <w:docGrid w:linePitch="360"/>
        </w:sectPr>
      </w:pPr>
    </w:p>
    <w:p w14:paraId="511E2D18" w14:textId="77777777" w:rsidR="00D65CB4" w:rsidRPr="00BC4EE7" w:rsidRDefault="00D65CB4">
      <w:pPr>
        <w:ind w:firstLine="720"/>
        <w:rPr>
          <w:rFonts w:ascii="Times New Roman" w:hAnsi="Times New Roman" w:cs="Times New Roman"/>
          <w:b/>
          <w:noProof/>
          <w:sz w:val="24"/>
          <w:u w:val="single"/>
        </w:rPr>
        <w:sectPr w:rsidR="00D65CB4" w:rsidRPr="00BC4EE7" w:rsidSect="009F15CE">
          <w:headerReference w:type="even" r:id="rId285"/>
          <w:headerReference w:type="default" r:id="rId286"/>
          <w:footerReference w:type="even" r:id="rId287"/>
          <w:footerReference w:type="default" r:id="rId288"/>
          <w:headerReference w:type="first" r:id="rId289"/>
          <w:footerReference w:type="first" r:id="rId290"/>
          <w:pgSz w:w="11907" w:h="16839"/>
          <w:pgMar w:top="1134" w:right="1134" w:bottom="1134" w:left="1134" w:header="567" w:footer="567" w:gutter="0"/>
          <w:cols w:space="720"/>
          <w:docGrid w:linePitch="360"/>
        </w:sectPr>
      </w:pPr>
    </w:p>
    <w:p w14:paraId="7973AD0F" w14:textId="20CFE205" w:rsidR="00D65CB4" w:rsidRPr="00BC4EE7" w:rsidRDefault="00572307">
      <w:pPr>
        <w:pStyle w:val="P68B1DB1-Normal15"/>
        <w:ind w:firstLine="720"/>
        <w:rPr>
          <w:rFonts w:cs="Times New Roman"/>
          <w:noProof/>
        </w:rPr>
      </w:pPr>
      <w:r w:rsidRPr="00BC4EE7">
        <w:rPr>
          <w:rFonts w:cs="Times New Roman"/>
          <w:noProof/>
        </w:rPr>
        <w:t>M.3. A hiteltámogatással kapcsolatos reformok és beruházások ismertetése</w:t>
      </w:r>
    </w:p>
    <w:p w14:paraId="07B27A8F" w14:textId="723F2FBA" w:rsidR="00D65CB4" w:rsidRPr="00BC4EE7" w:rsidRDefault="00572307">
      <w:pPr>
        <w:pStyle w:val="P68B1DB1-Normal5"/>
        <w:rPr>
          <w:rFonts w:cs="Times New Roman"/>
          <w:noProof/>
        </w:rPr>
      </w:pPr>
      <w:r w:rsidRPr="00BC4EE7">
        <w:rPr>
          <w:rFonts w:cs="Times New Roman"/>
          <w:noProof/>
        </w:rPr>
        <w:t>Beruházás (C13.I6</w:t>
      </w:r>
      <w:bookmarkStart w:id="30" w:name="_Hlk141289238"/>
      <w:r w:rsidRPr="00BC4EE7">
        <w:rPr>
          <w:rFonts w:cs="Times New Roman"/>
          <w:noProof/>
        </w:rPr>
        <w:t>)</w:t>
      </w:r>
      <w:bookmarkEnd w:id="30"/>
      <w:r w:rsidRPr="00BC4EE7">
        <w:rPr>
          <w:rFonts w:cs="Times New Roman"/>
          <w:noProof/>
        </w:rPr>
        <w:t>– ICO zöld vonal, vállalkozások és vállalkozók vonala</w:t>
      </w:r>
    </w:p>
    <w:p w14:paraId="651485A1" w14:textId="5AF5E694" w:rsidR="00D65CB4" w:rsidRPr="00BC4EE7" w:rsidRDefault="00572307">
      <w:pPr>
        <w:pStyle w:val="P68B1DB1-Normal4"/>
        <w:spacing w:line="240" w:lineRule="auto"/>
        <w:jc w:val="both"/>
        <w:rPr>
          <w:rFonts w:cs="Times New Roman"/>
          <w:noProof/>
        </w:rPr>
      </w:pPr>
      <w:r w:rsidRPr="00BC4EE7">
        <w:rPr>
          <w:rFonts w:cs="Times New Roman"/>
          <w:noProof/>
        </w:rPr>
        <w:t>Ez az intézkedés két pénzügyi sorba történő befektetésből áll: az ICO zöld vonala, valamint az ICO-Vállalkozók és Vállalkozók vonala.</w:t>
      </w:r>
    </w:p>
    <w:p w14:paraId="5F576ED7" w14:textId="7E236BB9" w:rsidR="00D65CB4" w:rsidRPr="00BC4EE7" w:rsidRDefault="00572307">
      <w:pPr>
        <w:pStyle w:val="P68B1DB1-Normal17"/>
        <w:rPr>
          <w:rFonts w:cs="Times New Roman"/>
          <w:noProof/>
        </w:rPr>
      </w:pPr>
      <w:r w:rsidRPr="00BC4EE7">
        <w:rPr>
          <w:rFonts w:cs="Times New Roman"/>
          <w:noProof/>
        </w:rPr>
        <w:t>ICO zöld vonal</w:t>
      </w:r>
    </w:p>
    <w:p w14:paraId="4825AEBB" w14:textId="1F539370" w:rsidR="00D65CB4" w:rsidRPr="00BC4EE7" w:rsidRDefault="00572307">
      <w:pPr>
        <w:pStyle w:val="P68B1DB1-Normal4"/>
        <w:spacing w:line="240" w:lineRule="auto"/>
        <w:jc w:val="both"/>
        <w:rPr>
          <w:rFonts w:cs="Times New Roman"/>
          <w:noProof/>
        </w:rPr>
      </w:pPr>
      <w:bookmarkStart w:id="31" w:name="_Hlk145872780"/>
      <w:r w:rsidRPr="00BC4EE7">
        <w:rPr>
          <w:rFonts w:cs="Times New Roman"/>
          <w:noProof/>
        </w:rPr>
        <w:t>Ezen intézkedés ezen eleme az eszközbe, a zöld ICO-vonalba történő közberuházásokból áll, amelyek célja a magánberuházások ösztönzése és a finanszírozáshoz való hozzáférés javítása Spanyolország zöld ágazataiban, valamint a tőkepiacok fejlesztése ezen a területen, különösen hét különböző területen: fenntartható közlekedés, beleértve a vasúti közlekedést is; energiahatékonyság; megújuló energia, beleértve az energiatárolást és a villamosenergia-hálózatot; az energetikai átálláshoz kapcsolódó ipari dekarbonizáció és alacsony szén-dioxid-kibocsátású ipari értékláncok; v. vízgazdálkodás; körforgásos gazdaság; az éghajlatváltozáshoz való alkalmazkodás</w:t>
      </w:r>
      <w:bookmarkStart w:id="32" w:name="_Hlk145872817"/>
      <w:r w:rsidRPr="00BC4EE7">
        <w:rPr>
          <w:rFonts w:cs="Times New Roman"/>
          <w:noProof/>
        </w:rPr>
        <w:t xml:space="preserve">. </w:t>
      </w:r>
      <w:bookmarkEnd w:id="31"/>
      <w:bookmarkEnd w:id="32"/>
      <w:r w:rsidRPr="00BC4EE7">
        <w:rPr>
          <w:rFonts w:cs="Times New Roman"/>
          <w:noProof/>
        </w:rPr>
        <w:t>Az eszköz úgy működik, hogy közvetlenül vagy közvetítőkön keresztül közvetlen finanszírozást, vállalatikötvény-vásárlásokat, valamint sajáttőke- és kvázisajáttőke-befektetéseket nyújt a magánszektornak és a háztartásoknak, valamint a hasonló tevékenységeket folytató közszektorbeli szervezeteknek. A Helyreállítási és Rezilienciaépítési Eszköz beruházásai alapján az eszköz célja kezdetben legalább 22 000 000 000 EUR összegű finanszírozás biztosítása.</w:t>
      </w:r>
    </w:p>
    <w:p w14:paraId="6F778440" w14:textId="15C6A539" w:rsidR="00D65CB4" w:rsidRPr="00BC4EE7" w:rsidRDefault="00572307">
      <w:pPr>
        <w:pStyle w:val="P68B1DB1-Normal4"/>
        <w:spacing w:line="240" w:lineRule="auto"/>
        <w:jc w:val="both"/>
        <w:rPr>
          <w:rFonts w:cs="Times New Roman"/>
          <w:noProof/>
        </w:rPr>
      </w:pPr>
      <w:r w:rsidRPr="00BC4EE7">
        <w:rPr>
          <w:rFonts w:cs="Times New Roman"/>
          <w:noProof/>
        </w:rPr>
        <w:t>Az eszközt végrehajtó partnerként az Instituto de Crédito Oficial (ICO) és az Axis (az ICO kockázati/magántőke-kezelője) kezeli. A beruházási keret a következő terméksorokat foglalja magában:</w:t>
      </w:r>
    </w:p>
    <w:p w14:paraId="335641C8" w14:textId="2307009F" w:rsidR="00D65CB4" w:rsidRPr="00BC4EE7" w:rsidRDefault="00572307">
      <w:pPr>
        <w:pStyle w:val="P68B1DB1-ListParagraph6"/>
        <w:numPr>
          <w:ilvl w:val="0"/>
          <w:numId w:val="754"/>
        </w:numPr>
        <w:spacing w:line="240" w:lineRule="auto"/>
        <w:jc w:val="both"/>
        <w:rPr>
          <w:rFonts w:cs="Times New Roman"/>
          <w:noProof/>
        </w:rPr>
      </w:pPr>
      <w:r w:rsidRPr="00BC4EE7">
        <w:rPr>
          <w:rFonts w:cs="Times New Roman"/>
          <w:noProof/>
        </w:rPr>
        <w:t xml:space="preserve">Közvetítési vonal: a közvetítői vonal az ICO által a kereskedelmi bankoknak nyújtott hitelekből áll, amelyek a végső kedvezményezetteknek zöld projektek finanszírozásához nyújtanak hiteleket. A végső kedvezményezettek magánvállalkozások (például kkv-k, kis méretű közepes piaci tőkeértékű vállalatok, nagyvállalatok vagy vállalkozók) és háztartások. </w:t>
      </w:r>
    </w:p>
    <w:p w14:paraId="50365F2E" w14:textId="2E0A6386" w:rsidR="00D65CB4" w:rsidRPr="00BC4EE7" w:rsidRDefault="00572307">
      <w:pPr>
        <w:pStyle w:val="P68B1DB1-ListParagraph6"/>
        <w:numPr>
          <w:ilvl w:val="0"/>
          <w:numId w:val="754"/>
        </w:numPr>
        <w:spacing w:line="240" w:lineRule="auto"/>
        <w:jc w:val="both"/>
        <w:rPr>
          <w:rFonts w:cs="Times New Roman"/>
          <w:noProof/>
        </w:rPr>
      </w:pPr>
      <w:r w:rsidRPr="00BC4EE7">
        <w:rPr>
          <w:rFonts w:cs="Times New Roman"/>
          <w:noProof/>
        </w:rPr>
        <w:t xml:space="preserve">ICO közvetlen finanszírozás: ez a sor közvetlen kölcsönöket nyújt magánvállalkozásoknak (például közepes piaci tőkeértékű vállalatoknak) és állami vállalatoknak zöld projektek finanszírozásához. A hiteleket közvetlenül az ICO nyújtja, és minden egyes projektet harmadik fél magánbefektető(k) társfinanszíroz. Az ICO által biztosított források a beruházáshoz nyújtott támogatás teljes összegének legfeljebb 70%-át tehetik ki. A beruházási támogatás teljes összegének legalább 30%-át magánbefektetők fedezik. </w:t>
      </w:r>
    </w:p>
    <w:p w14:paraId="50EE436C" w14:textId="5F98DC61" w:rsidR="00D65CB4" w:rsidRPr="00BC4EE7" w:rsidRDefault="00572307">
      <w:pPr>
        <w:pStyle w:val="P68B1DB1-ListParagraph6"/>
        <w:numPr>
          <w:ilvl w:val="0"/>
          <w:numId w:val="754"/>
        </w:numPr>
        <w:spacing w:line="240" w:lineRule="auto"/>
        <w:jc w:val="both"/>
        <w:rPr>
          <w:rFonts w:cs="Times New Roman"/>
          <w:noProof/>
        </w:rPr>
      </w:pPr>
      <w:r w:rsidRPr="00BC4EE7">
        <w:rPr>
          <w:rFonts w:cs="Times New Roman"/>
          <w:noProof/>
        </w:rPr>
        <w:t xml:space="preserve">Vállalatikötvény-vásárlások: e sor értelmében az ICO spanyol társaságok által kibocsátott, előresorolt közép- és hosszú lejáratú, rögzített kamatozású értékpapírokat vásárol a szervezett másodlagos piacokon (például az alternatív rögzített kamatozású piacon (MARF) vagy a Pénzügyi Eszközök Közvetítőinek Szövetsége (AIAF)). A biztosítékoknak az értékpapírt kibocsátó vállalat konkrét zöld befektetési projektjéhez kell kapcsolódniuk. </w:t>
      </w:r>
    </w:p>
    <w:p w14:paraId="00BD4451" w14:textId="1372F4F0" w:rsidR="00D65CB4" w:rsidRPr="00BC4EE7" w:rsidRDefault="00572307">
      <w:pPr>
        <w:pStyle w:val="P68B1DB1-ListParagraph6"/>
        <w:numPr>
          <w:ilvl w:val="0"/>
          <w:numId w:val="754"/>
        </w:numPr>
        <w:spacing w:line="240" w:lineRule="auto"/>
        <w:jc w:val="both"/>
        <w:rPr>
          <w:rFonts w:cs="Times New Roman"/>
          <w:noProof/>
        </w:rPr>
      </w:pPr>
      <w:r w:rsidRPr="00BC4EE7">
        <w:rPr>
          <w:rFonts w:cs="Times New Roman"/>
          <w:noProof/>
        </w:rPr>
        <w:t>Sajáttőke- és kvázisajáttőke-befektetések: ez a sor a tengelyen (az ICO kockázatitőke-kezelője/magántőke-kezelője) keresztül történő közvetlen tőkebefektetésekből és/vagy tőkealapokba vagy más olyan befektetési egységekbe történő transzferből áll, amelyeket zöld projekteket végrehajtó vállalatokban tőkebefektetési műveleteket végző magán pénzügyi közvetítők kezelnek. A zöld vonal maximális részesedése nem haladhatja meg a befektetésieszköz-alapok 49%-át. A vonal tőkebefektetései nem eredményezhetik azt, hogy a végső kedvezményezettben a köztulajdonban lévő saját tőke részesedése meghaladja a teljes saját tőke 49%-át.</w:t>
      </w:r>
    </w:p>
    <w:p w14:paraId="10EE6958" w14:textId="7CE6A57A" w:rsidR="00D65CB4" w:rsidRPr="00BC4EE7" w:rsidRDefault="00572307">
      <w:pPr>
        <w:pStyle w:val="P68B1DB1-Normal4"/>
        <w:spacing w:line="240" w:lineRule="auto"/>
        <w:jc w:val="both"/>
        <w:rPr>
          <w:rFonts w:cs="Times New Roman"/>
          <w:noProof/>
        </w:rPr>
      </w:pPr>
      <w:r w:rsidRPr="00BC4EE7">
        <w:rPr>
          <w:rFonts w:cs="Times New Roman"/>
          <w:noProof/>
        </w:rPr>
        <w:t>Az eszközbe történő beruházás végrehajtása érdekében Spanyolország és az ICO végrehajtási megállapodást ír alá, amely a következő tartalmat tartalmazza:</w:t>
      </w:r>
    </w:p>
    <w:p w14:paraId="1D74E591" w14:textId="604C7896" w:rsidR="00D65CB4" w:rsidRPr="00BC4EE7" w:rsidRDefault="00572307">
      <w:pPr>
        <w:pStyle w:val="P68B1DB1-LegalNumPar27"/>
        <w:numPr>
          <w:ilvl w:val="0"/>
          <w:numId w:val="740"/>
        </w:numPr>
        <w:jc w:val="both"/>
        <w:rPr>
          <w:rFonts w:eastAsia="Times New Roman" w:cs="Times New Roman"/>
          <w:noProof/>
        </w:rPr>
      </w:pPr>
      <w:r w:rsidRPr="00BC4EE7">
        <w:rPr>
          <w:rFonts w:cs="Times New Roman"/>
          <w:noProof/>
        </w:rPr>
        <w:t xml:space="preserve">Az eszköz döntéshozatali folyamatának leírása: Az eszköz végleges beruházási döntését beruházási bizottság vagy más, azzal egyenértékű irányító testület hozza meg, és a spanyol kormánytól független tagok szavazatainak többségével hagyja jóvá. A közvetített beruházások esetében a végső beruházási döntést közvetítők hozzák meg. </w:t>
      </w:r>
    </w:p>
    <w:p w14:paraId="2897BDA6" w14:textId="77777777" w:rsidR="00D65CB4" w:rsidRPr="00BC4EE7" w:rsidRDefault="00572307">
      <w:pPr>
        <w:pStyle w:val="P68B1DB1-LegalNumPar27"/>
        <w:numPr>
          <w:ilvl w:val="0"/>
          <w:numId w:val="740"/>
        </w:numPr>
        <w:jc w:val="both"/>
        <w:rPr>
          <w:rFonts w:cs="Times New Roman"/>
          <w:noProof/>
        </w:rPr>
      </w:pPr>
      <w:r w:rsidRPr="00BC4EE7">
        <w:rPr>
          <w:rFonts w:cs="Times New Roman"/>
          <w:noProof/>
        </w:rPr>
        <w:t>A kapcsolódó beruházási politika fő követelményei,</w:t>
      </w:r>
      <w:r w:rsidRPr="00BC4EE7">
        <w:rPr>
          <w:rFonts w:cs="Times New Roman"/>
          <w:b/>
          <w:noProof/>
        </w:rPr>
        <w:t xml:space="preserve"> </w:t>
      </w:r>
      <w:r w:rsidRPr="00BC4EE7">
        <w:rPr>
          <w:rFonts w:cs="Times New Roman"/>
          <w:noProof/>
        </w:rPr>
        <w:t>amelyek a következőket foglalják magukban:</w:t>
      </w:r>
    </w:p>
    <w:p w14:paraId="60535834" w14:textId="77777777" w:rsidR="00D65CB4" w:rsidRPr="00BC4EE7" w:rsidRDefault="00572307">
      <w:pPr>
        <w:pStyle w:val="P68B1DB1-LegalNumPar228"/>
        <w:numPr>
          <w:ilvl w:val="1"/>
          <w:numId w:val="741"/>
        </w:numPr>
        <w:jc w:val="both"/>
        <w:rPr>
          <w:rFonts w:cs="Times New Roman"/>
          <w:noProof/>
        </w:rPr>
      </w:pPr>
      <w:r w:rsidRPr="00BC4EE7">
        <w:rPr>
          <w:rFonts w:cs="Times New Roman"/>
          <w:noProof/>
        </w:rPr>
        <w:t xml:space="preserve">A pénzügyi termék(ek) és a támogatható végső kedvezményezettek leírása az intézkedés leírásával összhangban.   </w:t>
      </w:r>
    </w:p>
    <w:p w14:paraId="786BA6FE" w14:textId="77777777" w:rsidR="00D65CB4" w:rsidRPr="00BC4EE7" w:rsidRDefault="00572307">
      <w:pPr>
        <w:pStyle w:val="P68B1DB1-LegalNumPar228"/>
        <w:numPr>
          <w:ilvl w:val="1"/>
          <w:numId w:val="741"/>
        </w:numPr>
        <w:jc w:val="both"/>
        <w:rPr>
          <w:rFonts w:cs="Times New Roman"/>
          <w:noProof/>
        </w:rPr>
      </w:pPr>
      <w:r w:rsidRPr="00BC4EE7">
        <w:rPr>
          <w:rFonts w:cs="Times New Roman"/>
          <w:noProof/>
        </w:rPr>
        <w:t>Az a követelmény, hogy minden támogatott beruházás gazdaságilag életképes legyen</w:t>
      </w:r>
      <w:r w:rsidRPr="00BC4EE7">
        <w:rPr>
          <w:rFonts w:cs="Times New Roman"/>
          <w:b/>
          <w:noProof/>
        </w:rPr>
        <w:t>.</w:t>
      </w:r>
    </w:p>
    <w:p w14:paraId="54F251E3" w14:textId="77777777" w:rsidR="00D65CB4" w:rsidRPr="00BC4EE7" w:rsidRDefault="00572307">
      <w:pPr>
        <w:pStyle w:val="P68B1DB1-LegalNumPar228"/>
        <w:numPr>
          <w:ilvl w:val="1"/>
          <w:numId w:val="741"/>
        </w:numPr>
        <w:jc w:val="both"/>
        <w:rPr>
          <w:rFonts w:cs="Times New Roman"/>
          <w:noProof/>
        </w:rPr>
      </w:pPr>
      <w:r w:rsidRPr="00BC4EE7">
        <w:rPr>
          <w:rFonts w:cs="Times New Roman"/>
          <w:noProof/>
        </w:rPr>
        <w:t>A fennálló hitelek refinanszírozásának tilalma.</w:t>
      </w:r>
    </w:p>
    <w:p w14:paraId="09A6066A" w14:textId="722FCB9B" w:rsidR="00D65CB4" w:rsidRPr="00BC4EE7" w:rsidRDefault="00572307">
      <w:pPr>
        <w:pStyle w:val="P68B1DB1-LegalNumPar228"/>
        <w:numPr>
          <w:ilvl w:val="1"/>
          <w:numId w:val="741"/>
        </w:numPr>
        <w:jc w:val="both"/>
        <w:rPr>
          <w:rFonts w:cs="Times New Roman"/>
          <w:noProof/>
        </w:rPr>
      </w:pPr>
      <w:r w:rsidRPr="00BC4EE7">
        <w:rPr>
          <w:rFonts w:cs="Times New Roman"/>
          <w:noProof/>
        </w:rPr>
        <w:t xml:space="preserve">A jelentős károkozás elkerülését célzó elvnek való megfelelés követelménye a DNSH technikai iránymutatásban (2021/C58/01), különösen: </w:t>
      </w:r>
    </w:p>
    <w:p w14:paraId="4150B5D3" w14:textId="52680E44" w:rsidR="00D65CB4" w:rsidRPr="00BC4EE7" w:rsidRDefault="00572307">
      <w:pPr>
        <w:pStyle w:val="ListParagraph"/>
        <w:numPr>
          <w:ilvl w:val="0"/>
          <w:numId w:val="742"/>
        </w:numPr>
        <w:spacing w:line="240" w:lineRule="auto"/>
        <w:jc w:val="both"/>
        <w:rPr>
          <w:rFonts w:ascii="Times New Roman" w:hAnsi="Times New Roman" w:cs="Times New Roman"/>
          <w:noProof/>
          <w:sz w:val="24"/>
        </w:rPr>
      </w:pPr>
      <w:r w:rsidRPr="00BC4EE7">
        <w:rPr>
          <w:rFonts w:ascii="Times New Roman" w:hAnsi="Times New Roman" w:cs="Times New Roman"/>
          <w:noProof/>
          <w:sz w:val="24"/>
        </w:rPr>
        <w:t>Hitelek, projektkötvények vagy ezekkel egyenértékű eszközök esetében: a befektetési politika kizárja a támogathatóság köréből a következő tevékenységek és eszközök listáját: i. a fosszilis tüzelőanyagokhoz kapcsolódó tevékenységek és eszközök, beleértve a downstream felhasználást is, ii. az uniós kibocsátáskereskedelmi rendszer</w:t>
      </w:r>
      <w:r w:rsidRPr="00BC4EE7">
        <w:rPr>
          <w:rStyle w:val="FootnoteReference"/>
          <w:rFonts w:ascii="Times New Roman" w:hAnsi="Times New Roman" w:cs="Times New Roman"/>
          <w:noProof/>
          <w:sz w:val="24"/>
        </w:rPr>
        <w:footnoteReference w:id="98"/>
      </w:r>
      <w:r w:rsidRPr="00BC4EE7">
        <w:rPr>
          <w:rFonts w:ascii="Times New Roman" w:hAnsi="Times New Roman" w:cs="Times New Roman"/>
          <w:noProof/>
          <w:sz w:val="24"/>
        </w:rPr>
        <w:t>(ETS) keretébe tartozó tevékenységek és eszközök, amelyek elérik a vonatkozó referenciaértékeket meg nem haladó, előre jelzett üvegházhatásúgáz-kibocsátást, iii. a hulladéklerakókhoz, égetőművekhez és mechanikai-biológiai hulladékkezelő létesítményekhez kapcsolódó</w:t>
      </w:r>
      <w:r w:rsidRPr="00BC4EE7">
        <w:rPr>
          <w:rStyle w:val="FootnoteReference"/>
          <w:rFonts w:ascii="Times New Roman" w:hAnsi="Times New Roman" w:cs="Times New Roman"/>
          <w:noProof/>
          <w:sz w:val="24"/>
        </w:rPr>
        <w:footnoteReference w:id="99"/>
      </w:r>
      <w:r w:rsidRPr="00BC4EE7">
        <w:rPr>
          <w:rFonts w:ascii="Times New Roman" w:hAnsi="Times New Roman" w:cs="Times New Roman"/>
          <w:noProof/>
          <w:sz w:val="24"/>
        </w:rPr>
        <w:t>tevékenységek</w:t>
      </w:r>
      <w:r w:rsidRPr="00BC4EE7">
        <w:rPr>
          <w:rStyle w:val="FootnoteReference"/>
          <w:rFonts w:ascii="Times New Roman" w:hAnsi="Times New Roman" w:cs="Times New Roman"/>
          <w:noProof/>
          <w:sz w:val="24"/>
        </w:rPr>
        <w:footnoteReference w:id="100"/>
      </w:r>
      <w:r w:rsidRPr="00BC4EE7">
        <w:rPr>
          <w:rFonts w:ascii="Times New Roman" w:hAnsi="Times New Roman" w:cs="Times New Roman"/>
          <w:noProof/>
          <w:sz w:val="24"/>
        </w:rPr>
        <w:t xml:space="preserve"> és eszközök</w:t>
      </w:r>
      <w:r w:rsidRPr="00BC4EE7">
        <w:rPr>
          <w:rStyle w:val="FootnoteReference"/>
          <w:rFonts w:ascii="Times New Roman" w:hAnsi="Times New Roman" w:cs="Times New Roman"/>
          <w:noProof/>
          <w:sz w:val="24"/>
        </w:rPr>
        <w:footnoteReference w:id="101"/>
      </w:r>
      <w:r w:rsidRPr="00BC4EE7">
        <w:rPr>
          <w:rFonts w:ascii="Times New Roman" w:hAnsi="Times New Roman" w:cs="Times New Roman"/>
          <w:noProof/>
          <w:sz w:val="24"/>
        </w:rPr>
        <w:t>.</w:t>
      </w:r>
    </w:p>
    <w:p w14:paraId="33782BF6" w14:textId="280FA2AB" w:rsidR="00D65CB4" w:rsidRPr="00BC4EE7" w:rsidRDefault="00572307">
      <w:pPr>
        <w:pStyle w:val="ListParagraph"/>
        <w:numPr>
          <w:ilvl w:val="0"/>
          <w:numId w:val="742"/>
        </w:numPr>
        <w:jc w:val="both"/>
        <w:rPr>
          <w:rFonts w:ascii="Times New Roman" w:hAnsi="Times New Roman" w:cs="Times New Roman"/>
          <w:noProof/>
          <w:sz w:val="24"/>
        </w:rPr>
      </w:pPr>
      <w:r w:rsidRPr="00BC4EE7">
        <w:rPr>
          <w:rFonts w:ascii="Times New Roman" w:hAnsi="Times New Roman" w:cs="Times New Roman"/>
          <w:noProof/>
          <w:sz w:val="24"/>
        </w:rPr>
        <w:t>Saját tőke, kvázi-sajáttőke, vállalati kötvények vagy ezekkel egyenértékű eszközök esetében: a befektetési politikának elő kell írnia a vállalatok számára, hogy a 2013/34/EU irányelv 19a. cikke (2) bekezdése a) pontjának iii. alpontjában foglalt fogalommeghatározással összhangban zöld átállási terveket fogadjanak el,</w:t>
      </w:r>
      <w:r w:rsidRPr="00BC4EE7">
        <w:rPr>
          <w:rStyle w:val="FootnoteReference"/>
          <w:rFonts w:ascii="Times New Roman" w:hAnsi="Times New Roman" w:cs="Times New Roman"/>
          <w:noProof/>
          <w:sz w:val="24"/>
        </w:rPr>
        <w:footnoteReference w:id="102"/>
      </w:r>
      <w:r w:rsidRPr="00BC4EE7">
        <w:rPr>
          <w:rFonts w:ascii="Times New Roman" w:hAnsi="Times New Roman" w:cs="Times New Roman"/>
          <w:noProof/>
          <w:sz w:val="24"/>
        </w:rPr>
        <w:t xml:space="preserve"> ha az előző pénzügyi év közvetlen bevételeinek több mint 50%-a a tevékenységek és eszközök alábbi listájából származik: i. a fosszilis tüzelőanyagokhoz kapcsolódó tevékenységek és eszközök, beleértve a downstream felhasználást is, ii. az uniós kibocsátáskereskedelmi rendszer</w:t>
      </w:r>
      <w:r w:rsidRPr="00BC4EE7">
        <w:rPr>
          <w:rStyle w:val="FootnoteReference"/>
          <w:rFonts w:ascii="Times New Roman" w:hAnsi="Times New Roman" w:cs="Times New Roman"/>
          <w:noProof/>
          <w:sz w:val="24"/>
        </w:rPr>
        <w:footnoteReference w:id="103"/>
      </w:r>
      <w:r w:rsidRPr="00BC4EE7">
        <w:rPr>
          <w:rFonts w:ascii="Times New Roman" w:hAnsi="Times New Roman" w:cs="Times New Roman"/>
          <w:noProof/>
          <w:sz w:val="24"/>
        </w:rPr>
        <w:t>(ETS) keretébe tartozó tevékenységek és eszközök, amelyek elérik a vonatkozó referenciaértékeket meg nem haladó, előre jelzett üvegházhatásúgáz-kibocsátást, iii. a hulladéklerakókhoz, égetőművekhez és mechanikai-biológiai hulladékkezelő létesítményekhez kapcsolódó</w:t>
      </w:r>
      <w:r w:rsidRPr="00BC4EE7">
        <w:rPr>
          <w:rStyle w:val="FootnoteReference"/>
          <w:rFonts w:ascii="Times New Roman" w:hAnsi="Times New Roman" w:cs="Times New Roman"/>
          <w:noProof/>
          <w:sz w:val="24"/>
        </w:rPr>
        <w:footnoteReference w:id="104"/>
      </w:r>
      <w:r w:rsidRPr="00BC4EE7">
        <w:rPr>
          <w:rFonts w:ascii="Times New Roman" w:hAnsi="Times New Roman" w:cs="Times New Roman"/>
          <w:noProof/>
          <w:sz w:val="24"/>
        </w:rPr>
        <w:t>tevékenységek</w:t>
      </w:r>
      <w:r w:rsidRPr="00BC4EE7">
        <w:rPr>
          <w:rStyle w:val="FootnoteReference"/>
          <w:rFonts w:ascii="Times New Roman" w:hAnsi="Times New Roman" w:cs="Times New Roman"/>
          <w:noProof/>
          <w:sz w:val="24"/>
        </w:rPr>
        <w:footnoteReference w:id="105"/>
      </w:r>
      <w:r w:rsidRPr="00BC4EE7">
        <w:rPr>
          <w:rFonts w:ascii="Times New Roman" w:hAnsi="Times New Roman" w:cs="Times New Roman"/>
          <w:noProof/>
          <w:sz w:val="24"/>
        </w:rPr>
        <w:t xml:space="preserve"> és eszközök</w:t>
      </w:r>
      <w:r w:rsidRPr="00BC4EE7">
        <w:rPr>
          <w:rStyle w:val="FootnoteReference"/>
          <w:rFonts w:ascii="Times New Roman" w:hAnsi="Times New Roman" w:cs="Times New Roman"/>
          <w:noProof/>
          <w:sz w:val="24"/>
        </w:rPr>
        <w:footnoteReference w:id="106"/>
      </w:r>
      <w:r w:rsidRPr="00BC4EE7">
        <w:rPr>
          <w:rFonts w:ascii="Times New Roman" w:hAnsi="Times New Roman" w:cs="Times New Roman"/>
          <w:noProof/>
          <w:sz w:val="24"/>
        </w:rPr>
        <w:t xml:space="preserve">.  </w:t>
      </w:r>
    </w:p>
    <w:p w14:paraId="243B4054" w14:textId="77777777" w:rsidR="00D65CB4" w:rsidRPr="00BC4EE7" w:rsidRDefault="00572307">
      <w:pPr>
        <w:pStyle w:val="P68B1DB1-ListParagraph6"/>
        <w:numPr>
          <w:ilvl w:val="0"/>
          <w:numId w:val="742"/>
        </w:numPr>
        <w:jc w:val="both"/>
        <w:rPr>
          <w:rFonts w:cs="Times New Roman"/>
          <w:noProof/>
        </w:rPr>
      </w:pPr>
      <w:r w:rsidRPr="00BC4EE7">
        <w:rPr>
          <w:rFonts w:cs="Times New Roman"/>
          <w:noProof/>
        </w:rPr>
        <w:t>A beruházási politikának továbbá meg kell követelnie az eszköz végső kedvezményezettjeinek a vonatkozó uniós és nemzeti környezetvédelmi jogszabályoknak való megfelelését.</w:t>
      </w:r>
    </w:p>
    <w:p w14:paraId="101FA6B1" w14:textId="77777777" w:rsidR="00D65CB4" w:rsidRPr="00BC4EE7" w:rsidRDefault="00572307">
      <w:pPr>
        <w:pStyle w:val="P68B1DB1-ListParagraph6"/>
        <w:numPr>
          <w:ilvl w:val="1"/>
          <w:numId w:val="741"/>
        </w:numPr>
        <w:spacing w:line="240" w:lineRule="auto"/>
        <w:jc w:val="both"/>
        <w:rPr>
          <w:rFonts w:cs="Times New Roman"/>
          <w:noProof/>
        </w:rPr>
      </w:pPr>
      <w:r w:rsidRPr="00BC4EE7">
        <w:rPr>
          <w:rFonts w:cs="Times New Roman"/>
          <w:noProof/>
        </w:rPr>
        <w:t>Az a követelmény, hogy az eszköz végső kedvezményezettjei nem részesülhetnek támogatásban más uniós eszközökből ugyanazon költségek fedezésére.</w:t>
      </w:r>
    </w:p>
    <w:p w14:paraId="294A956A" w14:textId="5298560B" w:rsidR="00D65CB4" w:rsidRPr="00BC4EE7" w:rsidRDefault="00572307">
      <w:pPr>
        <w:pStyle w:val="P68B1DB1-LegalNumPar27"/>
        <w:numPr>
          <w:ilvl w:val="0"/>
          <w:numId w:val="740"/>
        </w:numPr>
        <w:jc w:val="both"/>
        <w:rPr>
          <w:rFonts w:cs="Times New Roman"/>
          <w:noProof/>
        </w:rPr>
      </w:pPr>
      <w:r w:rsidRPr="00BC4EE7">
        <w:rPr>
          <w:rFonts w:cs="Times New Roman"/>
          <w:noProof/>
        </w:rPr>
        <w:t>A végrehajtási megállapodás hatálya alá tartozó összeg, a végrehajtó partner díjstruktúrája, valamint az eszköz beruházási politikájának megfelelően a visszafolyó bevételek újbóli befektetésére vonatkozó követelmény, kivéve, ha azokat a Helyreállítási és Rezilienciaépítési Eszköz hiteltörlesztéseinek fedezésére használják fel.</w:t>
      </w:r>
    </w:p>
    <w:p w14:paraId="2D52D76E" w14:textId="77777777" w:rsidR="00D65CB4" w:rsidRPr="00BC4EE7" w:rsidRDefault="00572307">
      <w:pPr>
        <w:pStyle w:val="P68B1DB1-ListParagraph6"/>
        <w:numPr>
          <w:ilvl w:val="0"/>
          <w:numId w:val="740"/>
        </w:numPr>
        <w:spacing w:line="240" w:lineRule="auto"/>
        <w:jc w:val="both"/>
        <w:rPr>
          <w:rFonts w:cs="Times New Roman"/>
          <w:noProof/>
        </w:rPr>
      </w:pPr>
      <w:r w:rsidRPr="00BC4EE7">
        <w:rPr>
          <w:rFonts w:cs="Times New Roman"/>
          <w:noProof/>
        </w:rPr>
        <w:t>Nyomonkövetési, ellenőrzési és kontrollkövetelmények, beleértve a következőket:</w:t>
      </w:r>
    </w:p>
    <w:p w14:paraId="5E1F5B38" w14:textId="7191556F" w:rsidR="00D65CB4" w:rsidRPr="00BC4EE7" w:rsidRDefault="00572307">
      <w:pPr>
        <w:pStyle w:val="P68B1DB1-ListParagraph6"/>
        <w:numPr>
          <w:ilvl w:val="1"/>
          <w:numId w:val="743"/>
        </w:numPr>
        <w:spacing w:line="240" w:lineRule="auto"/>
        <w:jc w:val="both"/>
        <w:rPr>
          <w:rFonts w:cs="Times New Roman"/>
          <w:noProof/>
        </w:rPr>
      </w:pPr>
      <w:r w:rsidRPr="00BC4EE7">
        <w:rPr>
          <w:rFonts w:cs="Times New Roman"/>
          <w:noProof/>
        </w:rPr>
        <w:t>A végrehajtó partner által a mozgósított beruházásról való jelentéstételhez használt monitoringrendszer leírása.</w:t>
      </w:r>
    </w:p>
    <w:p w14:paraId="73FB5F63" w14:textId="6828617C" w:rsidR="00D65CB4" w:rsidRPr="00BC4EE7" w:rsidRDefault="00572307">
      <w:pPr>
        <w:pStyle w:val="P68B1DB1-ListParagraph6"/>
        <w:numPr>
          <w:ilvl w:val="1"/>
          <w:numId w:val="743"/>
        </w:numPr>
        <w:spacing w:line="240" w:lineRule="auto"/>
        <w:jc w:val="both"/>
        <w:rPr>
          <w:rFonts w:cs="Times New Roman"/>
          <w:noProof/>
        </w:rPr>
      </w:pPr>
      <w:r w:rsidRPr="00BC4EE7">
        <w:rPr>
          <w:rFonts w:cs="Times New Roman"/>
          <w:noProof/>
        </w:rPr>
        <w:t>A végrehajtó partner azon eljárásainak leírása, amelyek biztosítják a csalás, a korrupció és az összeférhetetlenség megelőzését, felderítését és korrekcióját.</w:t>
      </w:r>
    </w:p>
    <w:p w14:paraId="0D875653" w14:textId="7390CB07" w:rsidR="00D65CB4" w:rsidRPr="00BC4EE7" w:rsidRDefault="00572307">
      <w:pPr>
        <w:pStyle w:val="P68B1DB1-ListParagraph6"/>
        <w:numPr>
          <w:ilvl w:val="1"/>
          <w:numId w:val="743"/>
        </w:numPr>
        <w:spacing w:line="240" w:lineRule="auto"/>
        <w:jc w:val="both"/>
        <w:rPr>
          <w:rFonts w:cs="Times New Roman"/>
          <w:noProof/>
        </w:rPr>
      </w:pPr>
      <w:r w:rsidRPr="00BC4EE7">
        <w:rPr>
          <w:rFonts w:cs="Times New Roman"/>
          <w:noProof/>
        </w:rPr>
        <w:t>Az egyes műveletek támogathatóságának a végrehajtási megállapodásban meghatározott követelményekkel összhangban történő ellenőrzésére vonatkozó kötelezettség, beleértve a pozitív nyilatkozatok listájának és/vagy a 10 000 000 EUR alatti műveletekre vonatkozó önbevallásnak a használatát, mielőtt kötelezettséget vállalnának egy művelet finanszírozására.</w:t>
      </w:r>
    </w:p>
    <w:p w14:paraId="1C075D49" w14:textId="0E3B02E8" w:rsidR="00D65CB4" w:rsidRPr="00BC4EE7" w:rsidRDefault="00572307">
      <w:pPr>
        <w:pStyle w:val="P68B1DB1-ListParagraph6"/>
        <w:numPr>
          <w:ilvl w:val="1"/>
          <w:numId w:val="743"/>
        </w:numPr>
        <w:spacing w:line="240" w:lineRule="auto"/>
        <w:jc w:val="both"/>
        <w:rPr>
          <w:rFonts w:cs="Times New Roman"/>
          <w:noProof/>
        </w:rPr>
      </w:pPr>
      <w:r w:rsidRPr="00BC4EE7">
        <w:rPr>
          <w:rFonts w:cs="Times New Roman"/>
          <w:noProof/>
        </w:rPr>
        <w:t>A kockázatalapú utólagos ellenőrzések elvégzésére vonatkozó kötelezettség az ICO ellenőrzési tervével összhangban. Ezeknek az ellenőrzéseknek meg kell győződniük i. arról, hogy az ellenőrzési rendszerek hatékonyak-e, beleértve a csalás, a korrupció és az összeférhetetlenség felderítését; a DNSH-elvnek, az állami támogatásokra vonatkozó szabályoknak és az éghajlat-politikai célkitűzésekre vonatkozó követelményeknek való megfelelés; és iii. betartották azt a követelményt, amely szerint a közvetítőnek ellenőriznie kell, hogy a végső kedvezményezett felelősségteljes nyilatkozatot nyújt-e be annak ellenőrzése érdekében, hogy ugyanazt a költséget egy másik uniós eszköz fedezi-e. Az ellenőrzéseknek azt is meg kell vizsgálniuk, hogy az ügyletek jogszerűek-e, és hogy az alkalmazandó végrehajtási megállapodás és finanszírozási megállapodások feltételei teljesülnek-e, többek között a 10 000 000 EUR-t el nem érő műveletekre vonatkozó pozitív nyilatkozatok és/vagy önbevallások használatával, mielőtt kötelezettséget vállalnának egy művelet finanszírozására.</w:t>
      </w:r>
    </w:p>
    <w:p w14:paraId="619276A9" w14:textId="3B972D0B" w:rsidR="00D65CB4" w:rsidRPr="00BC4EE7" w:rsidRDefault="00572307">
      <w:pPr>
        <w:pStyle w:val="ListParagraph"/>
        <w:numPr>
          <w:ilvl w:val="0"/>
          <w:numId w:val="740"/>
        </w:numPr>
        <w:spacing w:line="240" w:lineRule="auto"/>
        <w:jc w:val="both"/>
        <w:rPr>
          <w:rFonts w:ascii="Times New Roman" w:hAnsi="Times New Roman" w:cs="Times New Roman"/>
          <w:noProof/>
          <w:sz w:val="24"/>
        </w:rPr>
      </w:pPr>
      <w:r w:rsidRPr="00BC4EE7">
        <w:rPr>
          <w:rFonts w:ascii="Times New Roman" w:hAnsi="Times New Roman" w:cs="Times New Roman"/>
          <w:noProof/>
          <w:sz w:val="24"/>
        </w:rPr>
        <w:t>A végrehajtó partner által végrehajtott éghajlat-politikai beruházásokra vonatkozó követelmények: a Helyreállítási és Rezilienciaépítési Eszközbe történő beruházásból legalább 17 800 000 000 EUR-nak a Helyreállítási és Rezilienciaépítési Eszközről szóló rendelet VI. mellékletével összhangban hozzá kell járulnia az éghajlat-politikai célkitűzésekhez.</w:t>
      </w:r>
      <w:r w:rsidRPr="00BC4EE7">
        <w:rPr>
          <w:rStyle w:val="FootnoteReference"/>
          <w:rFonts w:ascii="Times New Roman" w:hAnsi="Times New Roman" w:cs="Times New Roman"/>
          <w:noProof/>
          <w:sz w:val="24"/>
        </w:rPr>
        <w:footnoteReference w:id="107"/>
      </w:r>
    </w:p>
    <w:p w14:paraId="4ADF13A0" w14:textId="452AEB42" w:rsidR="00D65CB4" w:rsidRPr="00BC4EE7" w:rsidRDefault="00572307">
      <w:pPr>
        <w:pStyle w:val="P68B1DB1-ListParagraph6"/>
        <w:numPr>
          <w:ilvl w:val="0"/>
          <w:numId w:val="740"/>
        </w:numPr>
        <w:rPr>
          <w:rFonts w:cs="Times New Roman"/>
          <w:noProof/>
        </w:rPr>
      </w:pPr>
      <w:r w:rsidRPr="00BC4EE7">
        <w:rPr>
          <w:rFonts w:cs="Times New Roman"/>
          <w:noProof/>
        </w:rPr>
        <w:t xml:space="preserve">A pénzügyi közvetítők kiválasztására vonatkozó követelmények: Az ICO nyílt, átlátható és megkülönböztetésmentes módon választja ki a pénzügyi közvetítőket. A pénzügyi közvetítőket érintő összeférhetetlenség hiányára vonatkozó ellenőrzéseket előzetesen el kell végezni az informatikai rendszeren, például a Minerván keresztül valamennyi érintett pénzügyi szereplő esetében. </w:t>
      </w:r>
    </w:p>
    <w:p w14:paraId="6B00BFFB" w14:textId="77777777" w:rsidR="00D65CB4" w:rsidRPr="00BC4EE7" w:rsidRDefault="00572307">
      <w:pPr>
        <w:pStyle w:val="P68B1DB1-ListParagraph6"/>
        <w:numPr>
          <w:ilvl w:val="0"/>
          <w:numId w:val="740"/>
        </w:numPr>
        <w:spacing w:line="240" w:lineRule="auto"/>
        <w:jc w:val="both"/>
        <w:rPr>
          <w:rFonts w:cs="Times New Roman"/>
          <w:noProof/>
        </w:rPr>
      </w:pPr>
      <w:r w:rsidRPr="00BC4EE7">
        <w:rPr>
          <w:rFonts w:cs="Times New Roman"/>
          <w:noProof/>
        </w:rPr>
        <w:t xml:space="preserve">Finanszírozási megállapodások aláírására vonatkozó kötelezettség: Az ICO finanszírozási megállapodásokat ír alá a pénzügyi közvetítőkkel a végrehajtási megállapodás mellékleteként benyújtandó kulcsfontosságú követelményekkel összhangban. A finanszírozási megállapodás fő követelményeinek magukban kell foglalniuk mindazokat a követelményeket, amelyek alapján az eszköz működik, beleértve a következőket: </w:t>
      </w:r>
    </w:p>
    <w:p w14:paraId="16D1FEBE" w14:textId="77777777" w:rsidR="00D65CB4" w:rsidRPr="00BC4EE7" w:rsidRDefault="00572307">
      <w:pPr>
        <w:pStyle w:val="P68B1DB1-Normal4"/>
        <w:numPr>
          <w:ilvl w:val="0"/>
          <w:numId w:val="744"/>
        </w:numPr>
        <w:spacing w:after="160" w:line="240" w:lineRule="auto"/>
        <w:jc w:val="both"/>
        <w:rPr>
          <w:rFonts w:cs="Times New Roman"/>
          <w:noProof/>
        </w:rPr>
      </w:pPr>
      <w:r w:rsidRPr="00BC4EE7">
        <w:rPr>
          <w:rFonts w:cs="Times New Roman"/>
          <w:noProof/>
        </w:rPr>
        <w:t xml:space="preserve">A pénzügyi közvetítő azon kötelezettsége, hogy döntéseit </w:t>
      </w:r>
      <w:r w:rsidRPr="00BC4EE7">
        <w:rPr>
          <w:rFonts w:cs="Times New Roman"/>
          <w:i/>
          <w:noProof/>
        </w:rPr>
        <w:t>értelemszerűen</w:t>
      </w:r>
      <w:r w:rsidRPr="00BC4EE7">
        <w:rPr>
          <w:rFonts w:cs="Times New Roman"/>
          <w:noProof/>
        </w:rPr>
        <w:t xml:space="preserve"> a fent meghatározott döntéshozatali és beruházási politikai követelményeknek megfelelően hozza meg, beleértve a DNSH-elv tiszteletben tartásával kapcsolatos követelményeket is.</w:t>
      </w:r>
    </w:p>
    <w:p w14:paraId="3CEEEB74" w14:textId="0F25D43E" w:rsidR="00D65CB4" w:rsidRPr="00BC4EE7" w:rsidRDefault="00572307">
      <w:pPr>
        <w:pStyle w:val="P68B1DB1-Normal4"/>
        <w:numPr>
          <w:ilvl w:val="0"/>
          <w:numId w:val="744"/>
        </w:numPr>
        <w:spacing w:after="160" w:line="240" w:lineRule="auto"/>
        <w:jc w:val="both"/>
        <w:rPr>
          <w:rFonts w:cs="Times New Roman"/>
          <w:noProof/>
        </w:rPr>
      </w:pPr>
      <w:r w:rsidRPr="00BC4EE7">
        <w:rPr>
          <w:rFonts w:cs="Times New Roman"/>
          <w:noProof/>
        </w:rPr>
        <w:t xml:space="preserve">A pénzügyi közvetítő által létrehozandó nyomonkövetési, ellenőrzési és kontrollkeret leírása, amelyre </w:t>
      </w:r>
      <w:r w:rsidRPr="00BC4EE7">
        <w:rPr>
          <w:rFonts w:cs="Times New Roman"/>
          <w:i/>
          <w:noProof/>
        </w:rPr>
        <w:t>értelemszerűen</w:t>
      </w:r>
      <w:r w:rsidRPr="00BC4EE7">
        <w:rPr>
          <w:rFonts w:cs="Times New Roman"/>
          <w:noProof/>
        </w:rPr>
        <w:t xml:space="preserve"> a fent meghatározott valamennyi nyomonkövetési, ellenőrzési és kontrollkövetelmény vonatkozik. </w:t>
      </w:r>
    </w:p>
    <w:p w14:paraId="28406941" w14:textId="77777777" w:rsidR="00D65CB4" w:rsidRPr="00BC4EE7" w:rsidRDefault="00572307">
      <w:pPr>
        <w:pStyle w:val="P68B1DB1-Normal4"/>
        <w:spacing w:line="240" w:lineRule="auto"/>
        <w:rPr>
          <w:rFonts w:eastAsia="Times New Roman" w:cs="Times New Roman"/>
          <w:noProof/>
        </w:rPr>
      </w:pPr>
      <w:r w:rsidRPr="00BC4EE7">
        <w:rPr>
          <w:rFonts w:cs="Times New Roman"/>
          <w:noProof/>
        </w:rPr>
        <w:t>Az intézkedés végrehajtását 2026. augusztus 31-ig be kell fejezni.</w:t>
      </w:r>
    </w:p>
    <w:p w14:paraId="4A12B21D" w14:textId="7C864473" w:rsidR="00D65CB4" w:rsidRPr="00BC4EE7" w:rsidRDefault="00572307">
      <w:pPr>
        <w:pStyle w:val="P68B1DB1-Normal17"/>
        <w:rPr>
          <w:rFonts w:cs="Times New Roman"/>
          <w:noProof/>
        </w:rPr>
      </w:pPr>
      <w:r w:rsidRPr="00BC4EE7">
        <w:rPr>
          <w:rFonts w:cs="Times New Roman"/>
          <w:noProof/>
        </w:rPr>
        <w:t>ICO Enterprises and Entrepreneurs Line (Vállalkozási és vállalkozói vonal)</w:t>
      </w:r>
    </w:p>
    <w:p w14:paraId="301F8344" w14:textId="78C41B9F" w:rsidR="00D65CB4" w:rsidRPr="00BC4EE7" w:rsidRDefault="00572307">
      <w:pPr>
        <w:pStyle w:val="P68B1DB1-LegalNumPar228"/>
        <w:numPr>
          <w:ilvl w:val="1"/>
          <w:numId w:val="0"/>
        </w:numPr>
        <w:spacing w:line="240" w:lineRule="auto"/>
        <w:jc w:val="both"/>
        <w:rPr>
          <w:rFonts w:cs="Times New Roman"/>
          <w:noProof/>
        </w:rPr>
      </w:pPr>
      <w:bookmarkStart w:id="33" w:name="_Hlk145873324"/>
      <w:r w:rsidRPr="00BC4EE7">
        <w:rPr>
          <w:rFonts w:cs="Times New Roman"/>
          <w:noProof/>
        </w:rPr>
        <w:t xml:space="preserve">Az intézkedés ezen eleme az eszközbe, a Vállalatok és Vállalkozók ICO Line-ba történő közberuházásokból áll annak érdekében, hogy ösztönözze a magánberuházásokat és javítsa a finanszírozáshoz való hozzáférést a vállalkozás gazdasági tevékenységéhez kapcsolódó ágazatokban, és hogy ezeken a területeken fejlessze a tőkepiacokat, a PERTE Új Nyelvgazdaság (NEL) részeként az állami és magánegyetemek digitalizációjával kapcsolatos projektek, valamint az </w:t>
      </w:r>
      <w:bookmarkEnd w:id="33"/>
      <w:r w:rsidRPr="00BC4EE7">
        <w:rPr>
          <w:rFonts w:cs="Times New Roman"/>
          <w:noProof/>
        </w:rPr>
        <w:t xml:space="preserve">idegenforgalmi ágazatban működő vállalatok fenntarthatósággal, digitalizációval, emberi erőforrásokra és berendezésekre vonatkozó továbbképzési programokkal, valamint versenyképességének és ellenálló képességének megerősítésével kapcsolatos projektjei. [A zöld vonal a működőtőke-szükségletek fedezésére is szolgál, amelyek lehetővé teszik a vállalatok számára a fent említett célkitűzések teljesítését]. Az eszköz úgy működik, hogy közvetlenül vagy közvetítőkön keresztül közvetlen finanszírozást, vállalatikötvény-vásárlásokat, valamint sajáttőke- és kvázisajáttőke-befektetéseket nyújt a magánszektornak, valamint a hasonló tevékenységeket folytató közszektorbeli szervezeteknek. A Helyreállítási és Rezilienciaépítési Eszköz beruházásai alapján az eszköz kezdetben legalább 815 000 000 EUR összegű finanszírozást kíván biztosítani. </w:t>
      </w:r>
    </w:p>
    <w:p w14:paraId="43FB884B" w14:textId="3EE89197" w:rsidR="00D65CB4" w:rsidRPr="00BC4EE7" w:rsidRDefault="00572307">
      <w:pPr>
        <w:pStyle w:val="P68B1DB1-Normal4"/>
        <w:spacing w:line="240" w:lineRule="auto"/>
        <w:jc w:val="both"/>
        <w:rPr>
          <w:rFonts w:cs="Times New Roman"/>
          <w:noProof/>
        </w:rPr>
      </w:pPr>
      <w:r w:rsidRPr="00BC4EE7">
        <w:rPr>
          <w:rFonts w:cs="Times New Roman"/>
          <w:noProof/>
        </w:rPr>
        <w:t>Az eszközt végrehajtó partnerként az Instituto de Crédito Oficial (ICO) és az Axis (az ICO kockázati/magántőke-kezelője) kezeli. A beruházási keret a következő terméksorokat foglalja magában:</w:t>
      </w:r>
    </w:p>
    <w:p w14:paraId="683E4DE2" w14:textId="77777777" w:rsidR="00D65CB4" w:rsidRPr="00BC4EE7" w:rsidRDefault="00572307">
      <w:pPr>
        <w:pStyle w:val="P68B1DB1-ListParagraph6"/>
        <w:numPr>
          <w:ilvl w:val="0"/>
          <w:numId w:val="352"/>
        </w:numPr>
        <w:jc w:val="both"/>
        <w:rPr>
          <w:rFonts w:eastAsia="Times New Roman" w:cs="Times New Roman"/>
          <w:noProof/>
        </w:rPr>
      </w:pPr>
      <w:r w:rsidRPr="00BC4EE7">
        <w:rPr>
          <w:rFonts w:cs="Times New Roman"/>
          <w:noProof/>
        </w:rPr>
        <w:t xml:space="preserve">Közvetítési vonal: a közvetítői vonal az ICO által kereskedelmi bankoknak nyújtott kölcsönökből áll, amelyek viszont hiteleket ítélnek oda a végső kedvezményezetteknek a gazdasági tevékenységükkel kapcsolatos projektek finanszírozására; digitalizáció és mesterséges intelligencia az egyetemek számára; valamint az emberi erőforrásokra és felszerelésekre vonatkozó fenntarthatósági, digitalizációs, átképzési és továbbképzési programok, valamint az idegenforgalmi ágazat versenyképességét és rezilienciáját erősítő projektek. A végső kedvezményezettek magánvállalkozások (például önfoglalkoztatók, kkv-k, kis méretű, közepes piaci tőkeértékű vállalatok, nagyvállalatok vagy vállalkozók) és hasonló tevékenységeket folytató állami szervezetek. </w:t>
      </w:r>
    </w:p>
    <w:p w14:paraId="393EBC7B" w14:textId="77777777" w:rsidR="00D65CB4" w:rsidRPr="00BC4EE7" w:rsidRDefault="00572307">
      <w:pPr>
        <w:pStyle w:val="P68B1DB1-ListParagraph6"/>
        <w:numPr>
          <w:ilvl w:val="0"/>
          <w:numId w:val="352"/>
        </w:numPr>
        <w:jc w:val="both"/>
        <w:rPr>
          <w:rFonts w:eastAsia="Times New Roman" w:cs="Times New Roman"/>
          <w:noProof/>
        </w:rPr>
      </w:pPr>
      <w:r w:rsidRPr="00BC4EE7">
        <w:rPr>
          <w:rFonts w:cs="Times New Roman"/>
          <w:noProof/>
        </w:rPr>
        <w:t xml:space="preserve">ICO közvetlen finanszírozás: ez a sor közvetlen kölcsönöket nyújt magánvállalkozásoknak (például közepes piaci tőkeértékű vállalatoknak és nagyvállalatoknak) és állami vállalatoknak gazdasági tevékenységükkel kapcsolatos projektek finanszírozásához. A hiteleket közvetlenül az ICO nyújtja, és minden egyes projektet harmadik fél magánbefektető(k) társfinanszíroz. Az ICO által biztosított források a beruházáshoz nyújtott támogatás teljes összegének legfeljebb 70%-át tehetik ki. A beruházási támogatás teljes összegének legalább 30%-át magánbefektetők fedezik. </w:t>
      </w:r>
    </w:p>
    <w:p w14:paraId="36D18B4F" w14:textId="77777777" w:rsidR="00D65CB4" w:rsidRPr="00BC4EE7" w:rsidRDefault="00572307">
      <w:pPr>
        <w:pStyle w:val="P68B1DB1-ListParagraph6"/>
        <w:numPr>
          <w:ilvl w:val="0"/>
          <w:numId w:val="352"/>
        </w:numPr>
        <w:jc w:val="both"/>
        <w:rPr>
          <w:rFonts w:eastAsia="Times New Roman" w:cs="Times New Roman"/>
          <w:noProof/>
        </w:rPr>
      </w:pPr>
      <w:r w:rsidRPr="00BC4EE7">
        <w:rPr>
          <w:rFonts w:cs="Times New Roman"/>
          <w:noProof/>
        </w:rPr>
        <w:t xml:space="preserve">Vállalatikötvény-vásárlások: e sor értelmében az ICO spanyol társaságok által kibocsátott, előresorolt közép- és hosszú lejáratú, rögzített kamatozású értékpapírokat vásárol a szervezett másodlagos piacokon (például az alternatív rögzített kamatozású piacon (MARF) vagy a Pénzügyi Eszközök Közvetítőinek Szövetsége (AIAF)). Az értékpapírokat az értékpapírt kibocsátó társaság konkrét befektetési projektjéhez kell kötni. </w:t>
      </w:r>
    </w:p>
    <w:p w14:paraId="1FDA1A43" w14:textId="3E6AFF88" w:rsidR="00D65CB4" w:rsidRPr="00BC4EE7" w:rsidRDefault="00572307">
      <w:pPr>
        <w:pStyle w:val="P68B1DB1-ListParagraph6"/>
        <w:numPr>
          <w:ilvl w:val="0"/>
          <w:numId w:val="352"/>
        </w:numPr>
        <w:jc w:val="both"/>
        <w:rPr>
          <w:rFonts w:eastAsia="Times New Roman" w:cs="Times New Roman"/>
          <w:noProof/>
        </w:rPr>
      </w:pPr>
      <w:r w:rsidRPr="00BC4EE7">
        <w:rPr>
          <w:rFonts w:cs="Times New Roman"/>
          <w:noProof/>
        </w:rPr>
        <w:t>Sajáttőke- és kvázisajáttőke-befektetések: ez a sor a tengelyen keresztül történő közvetlen tőkebefektetések (az ICO kockázatitőke-kezelője/magántőke-kezelője) és/vagy a tőke olyan tőkealapokba vagy egyéb befektetési egységekbe történő transzferéből áll, amelyeket olyan magán pénzügyi közvetítők kezelnek, amelyek vállalatokban (induló vállalkozások, kkv-k, közepes piaci tőkeértékű vállalatok és nagyvállalatok) hajtanak végre tőkebefektetési műveleteket. A zöld vonal maximális részesedése nem haladhatja meg a befektetésieszköz-alapok 49%-át. A vonal tőkebefektetései nem eredményezhetik azt, hogy a végső kedvezményezettben a köztulajdonban lévő saját tőke részesedése meghaladja a teljes saját tőke 49%-át.</w:t>
      </w:r>
    </w:p>
    <w:p w14:paraId="55E4C3C3" w14:textId="21F94008" w:rsidR="00D65CB4" w:rsidRPr="00BC4EE7" w:rsidRDefault="00572307">
      <w:pPr>
        <w:pStyle w:val="P68B1DB1-Normal4"/>
        <w:spacing w:line="240" w:lineRule="auto"/>
        <w:jc w:val="both"/>
        <w:rPr>
          <w:rFonts w:cs="Times New Roman"/>
          <w:noProof/>
        </w:rPr>
      </w:pPr>
      <w:r w:rsidRPr="00BC4EE7">
        <w:rPr>
          <w:rFonts w:cs="Times New Roman"/>
          <w:noProof/>
        </w:rPr>
        <w:t>Az eszközbe történő beruházás végrehajtása érdekében Spanyolország és az ICO végrehajtási megállapodást ír alá, amely a következő tartalmat tartalmazza:</w:t>
      </w:r>
    </w:p>
    <w:p w14:paraId="53A5EF28" w14:textId="725F3D04" w:rsidR="00D65CB4" w:rsidRPr="00BC4EE7" w:rsidRDefault="00572307">
      <w:pPr>
        <w:pStyle w:val="P68B1DB1-LegalNumPar27"/>
        <w:numPr>
          <w:ilvl w:val="0"/>
          <w:numId w:val="773"/>
        </w:numPr>
        <w:jc w:val="both"/>
        <w:rPr>
          <w:rFonts w:eastAsia="Times New Roman" w:cs="Times New Roman"/>
          <w:noProof/>
        </w:rPr>
      </w:pPr>
      <w:bookmarkStart w:id="34" w:name="_Hlk145601400"/>
      <w:r w:rsidRPr="00BC4EE7">
        <w:rPr>
          <w:rFonts w:cs="Times New Roman"/>
          <w:noProof/>
        </w:rPr>
        <w:t>Az eszköz döntéshozatali folyamatának leírása: Az eszköz végleges beruházási döntését beruházási bizottság vagy más, azzal egyenértékű irányító testület hozza meg, és a kormánytól független tagok szavazatainak többségével hagyja jóvá. A közvetített beruházások esetében a végső beruházási döntést közvetítők hozzák meg.</w:t>
      </w:r>
    </w:p>
    <w:bookmarkEnd w:id="34"/>
    <w:p w14:paraId="1FD4C11A" w14:textId="77777777" w:rsidR="00D65CB4" w:rsidRPr="00BC4EE7" w:rsidRDefault="00572307">
      <w:pPr>
        <w:pStyle w:val="P68B1DB1-LegalNumPar27"/>
        <w:numPr>
          <w:ilvl w:val="0"/>
          <w:numId w:val="773"/>
        </w:numPr>
        <w:jc w:val="both"/>
        <w:rPr>
          <w:rFonts w:cs="Times New Roman"/>
          <w:noProof/>
        </w:rPr>
      </w:pPr>
      <w:r w:rsidRPr="00BC4EE7">
        <w:rPr>
          <w:rFonts w:cs="Times New Roman"/>
          <w:noProof/>
        </w:rPr>
        <w:t>A kapcsolódó beruházási politika fő követelményei,</w:t>
      </w:r>
      <w:r w:rsidRPr="00BC4EE7">
        <w:rPr>
          <w:rFonts w:cs="Times New Roman"/>
          <w:b/>
          <w:noProof/>
        </w:rPr>
        <w:t xml:space="preserve"> </w:t>
      </w:r>
      <w:r w:rsidRPr="00BC4EE7">
        <w:rPr>
          <w:rFonts w:cs="Times New Roman"/>
          <w:noProof/>
        </w:rPr>
        <w:t>amelyek a következőket foglalják magukban:</w:t>
      </w:r>
    </w:p>
    <w:p w14:paraId="4000C7AE" w14:textId="245DDE76" w:rsidR="00D65CB4" w:rsidRPr="00BC4EE7" w:rsidRDefault="00572307">
      <w:pPr>
        <w:pStyle w:val="P68B1DB1-LegalNumPar228"/>
        <w:numPr>
          <w:ilvl w:val="0"/>
          <w:numId w:val="774"/>
        </w:numPr>
        <w:jc w:val="both"/>
        <w:rPr>
          <w:rFonts w:cs="Times New Roman"/>
          <w:noProof/>
        </w:rPr>
      </w:pPr>
      <w:r w:rsidRPr="00BC4EE7">
        <w:rPr>
          <w:rFonts w:cs="Times New Roman"/>
          <w:noProof/>
        </w:rPr>
        <w:t xml:space="preserve">A pénzügyi termék(ek) és a támogatható végső kedvezményezettek leírása az intézkedés leírásával összhangban.   </w:t>
      </w:r>
    </w:p>
    <w:p w14:paraId="651DD390" w14:textId="77777777" w:rsidR="00D65CB4" w:rsidRPr="00BC4EE7" w:rsidRDefault="00572307">
      <w:pPr>
        <w:pStyle w:val="P68B1DB1-LegalNumPar228"/>
        <w:numPr>
          <w:ilvl w:val="0"/>
          <w:numId w:val="774"/>
        </w:numPr>
        <w:jc w:val="both"/>
        <w:rPr>
          <w:rFonts w:cs="Times New Roman"/>
          <w:noProof/>
        </w:rPr>
      </w:pPr>
      <w:r w:rsidRPr="00BC4EE7">
        <w:rPr>
          <w:rFonts w:cs="Times New Roman"/>
          <w:noProof/>
        </w:rPr>
        <w:t>Az a követelmény, hogy minden támogatott beruházás gazdaságilag életképes legyen</w:t>
      </w:r>
      <w:r w:rsidRPr="00BC4EE7">
        <w:rPr>
          <w:rFonts w:cs="Times New Roman"/>
          <w:b/>
          <w:noProof/>
        </w:rPr>
        <w:t>.</w:t>
      </w:r>
    </w:p>
    <w:p w14:paraId="0AF6A743" w14:textId="77777777" w:rsidR="00D65CB4" w:rsidRPr="00BC4EE7" w:rsidRDefault="00572307">
      <w:pPr>
        <w:pStyle w:val="P68B1DB1-LegalNumPar228"/>
        <w:numPr>
          <w:ilvl w:val="0"/>
          <w:numId w:val="774"/>
        </w:numPr>
        <w:jc w:val="both"/>
        <w:rPr>
          <w:rFonts w:cs="Times New Roman"/>
          <w:noProof/>
        </w:rPr>
      </w:pPr>
      <w:r w:rsidRPr="00BC4EE7">
        <w:rPr>
          <w:rFonts w:cs="Times New Roman"/>
          <w:noProof/>
        </w:rPr>
        <w:t>A fennálló hitelek refinanszírozásának tilalma.</w:t>
      </w:r>
    </w:p>
    <w:p w14:paraId="444A2BA1" w14:textId="3CF710F2" w:rsidR="00D65CB4" w:rsidRPr="00BC4EE7" w:rsidRDefault="00572307">
      <w:pPr>
        <w:pStyle w:val="P68B1DB1-LegalNumPar228"/>
        <w:numPr>
          <w:ilvl w:val="0"/>
          <w:numId w:val="774"/>
        </w:numPr>
        <w:jc w:val="both"/>
        <w:rPr>
          <w:rFonts w:cs="Times New Roman"/>
          <w:noProof/>
        </w:rPr>
      </w:pPr>
      <w:r w:rsidRPr="00BC4EE7">
        <w:rPr>
          <w:rFonts w:cs="Times New Roman"/>
          <w:noProof/>
        </w:rPr>
        <w:t xml:space="preserve">A jelentős károkozás elkerülését célzó elvnek való megfelelés követelménye a DNSH technikai iránymutatásban (2021/C58/01), különösen: </w:t>
      </w:r>
    </w:p>
    <w:p w14:paraId="6C78A40A" w14:textId="1A390A71" w:rsidR="00D65CB4" w:rsidRPr="00BC4EE7" w:rsidRDefault="00572307">
      <w:pPr>
        <w:pStyle w:val="ListParagraph"/>
        <w:numPr>
          <w:ilvl w:val="0"/>
          <w:numId w:val="775"/>
        </w:numPr>
        <w:spacing w:line="240" w:lineRule="auto"/>
        <w:jc w:val="both"/>
        <w:rPr>
          <w:rFonts w:ascii="Times New Roman" w:hAnsi="Times New Roman" w:cs="Times New Roman"/>
          <w:noProof/>
          <w:sz w:val="24"/>
        </w:rPr>
      </w:pPr>
      <w:r w:rsidRPr="00BC4EE7">
        <w:rPr>
          <w:rFonts w:ascii="Times New Roman" w:hAnsi="Times New Roman" w:cs="Times New Roman"/>
          <w:noProof/>
          <w:sz w:val="24"/>
        </w:rPr>
        <w:t>Hitelek, projektkötvények vagy ezekkel egyenértékű eszközök esetében: a befektetési politika kizárja a támogathatóság köréből a következő tevékenységek és eszközök listáját: i. a fosszilis tüzelőanyagokhoz kapcsolódó tevékenységek és eszközök, beleértve a downstream felhasználást is, ii. az uniós kibocsátáskereskedelmi rendszer</w:t>
      </w:r>
      <w:r w:rsidRPr="00BC4EE7">
        <w:rPr>
          <w:rStyle w:val="FootnoteReference"/>
          <w:rFonts w:ascii="Times New Roman" w:hAnsi="Times New Roman" w:cs="Times New Roman"/>
          <w:noProof/>
          <w:sz w:val="24"/>
        </w:rPr>
        <w:footnoteReference w:id="108"/>
      </w:r>
      <w:r w:rsidRPr="00BC4EE7">
        <w:rPr>
          <w:rFonts w:ascii="Times New Roman" w:hAnsi="Times New Roman" w:cs="Times New Roman"/>
          <w:noProof/>
          <w:sz w:val="24"/>
        </w:rPr>
        <w:t>(ETS) keretébe tartozó tevékenységek és eszközök, amelyek elérik a vonatkozó referenciaértékeket meg nem haladó, előre jelzett üvegházhatásúgáz-kibocsátást, iii. a hulladéklerakókhoz, égetőművekhez és mechanikai-biológiai hulladékkezelő létesítményekhez kapcsolódó</w:t>
      </w:r>
      <w:r w:rsidRPr="00BC4EE7">
        <w:rPr>
          <w:rStyle w:val="FootnoteReference"/>
          <w:rFonts w:ascii="Times New Roman" w:hAnsi="Times New Roman" w:cs="Times New Roman"/>
          <w:noProof/>
          <w:sz w:val="24"/>
        </w:rPr>
        <w:footnoteReference w:id="109"/>
      </w:r>
      <w:r w:rsidRPr="00BC4EE7">
        <w:rPr>
          <w:rFonts w:ascii="Times New Roman" w:hAnsi="Times New Roman" w:cs="Times New Roman"/>
          <w:noProof/>
          <w:sz w:val="24"/>
        </w:rPr>
        <w:t>tevékenységek</w:t>
      </w:r>
      <w:r w:rsidRPr="00BC4EE7">
        <w:rPr>
          <w:rStyle w:val="FootnoteReference"/>
          <w:rFonts w:ascii="Times New Roman" w:hAnsi="Times New Roman" w:cs="Times New Roman"/>
          <w:noProof/>
          <w:sz w:val="24"/>
        </w:rPr>
        <w:footnoteReference w:id="110"/>
      </w:r>
      <w:r w:rsidRPr="00BC4EE7">
        <w:rPr>
          <w:rFonts w:ascii="Times New Roman" w:hAnsi="Times New Roman" w:cs="Times New Roman"/>
          <w:noProof/>
          <w:sz w:val="24"/>
        </w:rPr>
        <w:t xml:space="preserve"> és eszközök</w:t>
      </w:r>
      <w:r w:rsidRPr="00BC4EE7">
        <w:rPr>
          <w:rStyle w:val="FootnoteReference"/>
          <w:rFonts w:ascii="Times New Roman" w:hAnsi="Times New Roman" w:cs="Times New Roman"/>
          <w:noProof/>
          <w:sz w:val="24"/>
        </w:rPr>
        <w:footnoteReference w:id="111"/>
      </w:r>
      <w:r w:rsidRPr="00BC4EE7">
        <w:rPr>
          <w:rFonts w:ascii="Times New Roman" w:hAnsi="Times New Roman" w:cs="Times New Roman"/>
          <w:noProof/>
          <w:sz w:val="24"/>
        </w:rPr>
        <w:t xml:space="preserve">. </w:t>
      </w:r>
    </w:p>
    <w:p w14:paraId="210FD2C8" w14:textId="049D1AE6" w:rsidR="00D65CB4" w:rsidRPr="00BC4EE7" w:rsidRDefault="00572307">
      <w:pPr>
        <w:pStyle w:val="ListParagraph"/>
        <w:numPr>
          <w:ilvl w:val="0"/>
          <w:numId w:val="775"/>
        </w:numPr>
        <w:jc w:val="both"/>
        <w:rPr>
          <w:rFonts w:ascii="Times New Roman" w:hAnsi="Times New Roman" w:cs="Times New Roman"/>
          <w:noProof/>
          <w:sz w:val="24"/>
        </w:rPr>
      </w:pPr>
      <w:r w:rsidRPr="00BC4EE7">
        <w:rPr>
          <w:rFonts w:ascii="Times New Roman" w:hAnsi="Times New Roman" w:cs="Times New Roman"/>
          <w:noProof/>
          <w:sz w:val="24"/>
        </w:rPr>
        <w:t>Saját tőke, kvázi-sajáttőke, vállalati kötvények vagy ezekkel egyenértékű eszközök esetében: a befektetési politikának elő kell írnia a vállalatok számára, hogy a 2013/34/EU irányelv 19a. cikke (2) bekezdése a) pontjának iii. alpontjában foglalt fogalommeghatározással összhangban zöld átállási terveket fogadjanak el,</w:t>
      </w:r>
      <w:r w:rsidRPr="00BC4EE7">
        <w:rPr>
          <w:rStyle w:val="FootnoteReference"/>
          <w:rFonts w:ascii="Times New Roman" w:hAnsi="Times New Roman" w:cs="Times New Roman"/>
          <w:noProof/>
          <w:sz w:val="24"/>
        </w:rPr>
        <w:footnoteReference w:id="112"/>
      </w:r>
      <w:r w:rsidRPr="00BC4EE7">
        <w:rPr>
          <w:rFonts w:ascii="Times New Roman" w:hAnsi="Times New Roman" w:cs="Times New Roman"/>
          <w:noProof/>
          <w:sz w:val="24"/>
        </w:rPr>
        <w:t xml:space="preserve"> ha az előző pénzügyi év közvetlen bevételeinek több mint 50%-a a tevékenységek és eszközök alábbi listájából származik: i. a fosszilis tüzelőanyagokhoz kapcsolódó tevékenységek és eszközök, beleértve a downstream felhasználást is, ii. az uniós kibocsátáskereskedelmi rendszer</w:t>
      </w:r>
      <w:r w:rsidRPr="00BC4EE7">
        <w:rPr>
          <w:rStyle w:val="FootnoteReference"/>
          <w:rFonts w:ascii="Times New Roman" w:hAnsi="Times New Roman" w:cs="Times New Roman"/>
          <w:noProof/>
          <w:sz w:val="24"/>
        </w:rPr>
        <w:footnoteReference w:id="113"/>
      </w:r>
      <w:r w:rsidRPr="00BC4EE7">
        <w:rPr>
          <w:rFonts w:ascii="Times New Roman" w:hAnsi="Times New Roman" w:cs="Times New Roman"/>
          <w:noProof/>
          <w:sz w:val="24"/>
        </w:rPr>
        <w:t>(ETS) keretébe tartozó tevékenységek és eszközök, amelyek elérik a vonatkozó referenciaértékeket meg nem haladó, előre jelzett üvegházhatásúgáz-kibocsátást, iii. a hulladéklerakókhoz, égetőművekhez és mechanikai-biológiai hulladékkezelő létesítményekhez kapcsolódó</w:t>
      </w:r>
      <w:r w:rsidRPr="00BC4EE7">
        <w:rPr>
          <w:rStyle w:val="FootnoteReference"/>
          <w:rFonts w:ascii="Times New Roman" w:hAnsi="Times New Roman" w:cs="Times New Roman"/>
          <w:noProof/>
          <w:sz w:val="24"/>
        </w:rPr>
        <w:footnoteReference w:id="114"/>
      </w:r>
      <w:r w:rsidRPr="00BC4EE7">
        <w:rPr>
          <w:rFonts w:ascii="Times New Roman" w:hAnsi="Times New Roman" w:cs="Times New Roman"/>
          <w:noProof/>
          <w:sz w:val="24"/>
        </w:rPr>
        <w:t>tevékenységek</w:t>
      </w:r>
      <w:r w:rsidRPr="00BC4EE7">
        <w:rPr>
          <w:rStyle w:val="FootnoteReference"/>
          <w:rFonts w:ascii="Times New Roman" w:hAnsi="Times New Roman" w:cs="Times New Roman"/>
          <w:noProof/>
          <w:sz w:val="24"/>
        </w:rPr>
        <w:footnoteReference w:id="115"/>
      </w:r>
      <w:r w:rsidRPr="00BC4EE7">
        <w:rPr>
          <w:rFonts w:ascii="Times New Roman" w:hAnsi="Times New Roman" w:cs="Times New Roman"/>
          <w:noProof/>
          <w:sz w:val="24"/>
        </w:rPr>
        <w:t xml:space="preserve"> és eszközök</w:t>
      </w:r>
      <w:r w:rsidRPr="00BC4EE7">
        <w:rPr>
          <w:rStyle w:val="FootnoteReference"/>
          <w:rFonts w:ascii="Times New Roman" w:hAnsi="Times New Roman" w:cs="Times New Roman"/>
          <w:noProof/>
          <w:sz w:val="24"/>
        </w:rPr>
        <w:footnoteReference w:id="116"/>
      </w:r>
      <w:r w:rsidRPr="00BC4EE7">
        <w:rPr>
          <w:rFonts w:ascii="Times New Roman" w:hAnsi="Times New Roman" w:cs="Times New Roman"/>
          <w:noProof/>
          <w:sz w:val="24"/>
        </w:rPr>
        <w:t xml:space="preserve">.  </w:t>
      </w:r>
    </w:p>
    <w:p w14:paraId="173B651D" w14:textId="77777777" w:rsidR="00D65CB4" w:rsidRPr="00BC4EE7" w:rsidRDefault="00572307">
      <w:pPr>
        <w:pStyle w:val="P68B1DB1-ListParagraph6"/>
        <w:numPr>
          <w:ilvl w:val="0"/>
          <w:numId w:val="775"/>
        </w:numPr>
        <w:jc w:val="both"/>
        <w:rPr>
          <w:rFonts w:cs="Times New Roman"/>
          <w:noProof/>
        </w:rPr>
      </w:pPr>
      <w:r w:rsidRPr="00BC4EE7">
        <w:rPr>
          <w:rFonts w:cs="Times New Roman"/>
          <w:noProof/>
        </w:rPr>
        <w:t>A beruházási politikának továbbá meg kell követelnie az eszköz végső kedvezményezettjeinek a vonatkozó uniós és nemzeti környezetvédelmi jogszabályoknak való megfelelését.</w:t>
      </w:r>
    </w:p>
    <w:p w14:paraId="2A73A449" w14:textId="009DF5DE" w:rsidR="00D65CB4" w:rsidRPr="00BC4EE7" w:rsidRDefault="00572307">
      <w:pPr>
        <w:pStyle w:val="P68B1DB1-ListParagraph6"/>
        <w:numPr>
          <w:ilvl w:val="0"/>
          <w:numId w:val="774"/>
        </w:numPr>
        <w:spacing w:line="240" w:lineRule="auto"/>
        <w:jc w:val="both"/>
        <w:rPr>
          <w:rFonts w:cs="Times New Roman"/>
          <w:noProof/>
        </w:rPr>
      </w:pPr>
      <w:r w:rsidRPr="00BC4EE7">
        <w:rPr>
          <w:rFonts w:cs="Times New Roman"/>
          <w:noProof/>
        </w:rPr>
        <w:t>Az a követelmény, hogy az eszköz végső kedvezményezettjei nem részesülhetnek támogatásban más uniós eszközökből ugyanazon költségek fedezésére.</w:t>
      </w:r>
    </w:p>
    <w:p w14:paraId="73052689" w14:textId="7E01235C" w:rsidR="00D65CB4" w:rsidRPr="00BC4EE7" w:rsidRDefault="00572307">
      <w:pPr>
        <w:pStyle w:val="P68B1DB1-LegalNumPar27"/>
        <w:numPr>
          <w:ilvl w:val="0"/>
          <w:numId w:val="773"/>
        </w:numPr>
        <w:jc w:val="both"/>
        <w:rPr>
          <w:rFonts w:cs="Times New Roman"/>
          <w:noProof/>
        </w:rPr>
      </w:pPr>
      <w:r w:rsidRPr="00BC4EE7">
        <w:rPr>
          <w:rFonts w:cs="Times New Roman"/>
          <w:noProof/>
        </w:rPr>
        <w:t>A végrehajtási megállapodás hatálya alá tartozó összeg, a végrehajtó partner díjstruktúrája, valamint az eszköz beruházási politikájának megfelelően a visszafolyó bevételek újbóli befektetésére vonatkozó követelmény, kivéve, ha azokat a Helyreállítási és Rezilienciaépítési Eszköz hiteltörlesztéseinek fedezésére használják fel.</w:t>
      </w:r>
    </w:p>
    <w:p w14:paraId="1C13B238" w14:textId="77777777" w:rsidR="00D65CB4" w:rsidRPr="00BC4EE7" w:rsidRDefault="00572307">
      <w:pPr>
        <w:pStyle w:val="P68B1DB1-ListParagraph6"/>
        <w:numPr>
          <w:ilvl w:val="0"/>
          <w:numId w:val="773"/>
        </w:numPr>
        <w:spacing w:line="240" w:lineRule="auto"/>
        <w:jc w:val="both"/>
        <w:rPr>
          <w:rFonts w:cs="Times New Roman"/>
          <w:noProof/>
        </w:rPr>
      </w:pPr>
      <w:r w:rsidRPr="00BC4EE7">
        <w:rPr>
          <w:rFonts w:cs="Times New Roman"/>
          <w:noProof/>
        </w:rPr>
        <w:t>Nyomonkövetési, ellenőrzési és kontrollkövetelmények, beleértve a következőket:</w:t>
      </w:r>
    </w:p>
    <w:p w14:paraId="3AA8D0CE" w14:textId="0CB66D85" w:rsidR="00D65CB4" w:rsidRPr="00BC4EE7" w:rsidRDefault="00572307">
      <w:pPr>
        <w:pStyle w:val="P68B1DB1-ListParagraph6"/>
        <w:numPr>
          <w:ilvl w:val="0"/>
          <w:numId w:val="776"/>
        </w:numPr>
        <w:spacing w:line="240" w:lineRule="auto"/>
        <w:jc w:val="both"/>
        <w:rPr>
          <w:rFonts w:cs="Times New Roman"/>
          <w:noProof/>
        </w:rPr>
      </w:pPr>
      <w:r w:rsidRPr="00BC4EE7">
        <w:rPr>
          <w:rFonts w:cs="Times New Roman"/>
          <w:noProof/>
        </w:rPr>
        <w:t>A végrehajtó partner által a mozgósított beruházásról való jelentéstételhez használt monitoringrendszer leírása.</w:t>
      </w:r>
    </w:p>
    <w:p w14:paraId="795F4D18" w14:textId="4D944CC6" w:rsidR="00D65CB4" w:rsidRPr="00BC4EE7" w:rsidRDefault="00572307">
      <w:pPr>
        <w:pStyle w:val="P68B1DB1-ListParagraph6"/>
        <w:numPr>
          <w:ilvl w:val="0"/>
          <w:numId w:val="776"/>
        </w:numPr>
        <w:spacing w:line="240" w:lineRule="auto"/>
        <w:jc w:val="both"/>
        <w:rPr>
          <w:rFonts w:cs="Times New Roman"/>
          <w:noProof/>
        </w:rPr>
      </w:pPr>
      <w:r w:rsidRPr="00BC4EE7">
        <w:rPr>
          <w:rFonts w:cs="Times New Roman"/>
          <w:noProof/>
        </w:rPr>
        <w:t xml:space="preserve">A végrehajtó partner azon eljárásainak leírása, amelyek biztosítják a csalás, a korrupció és az összeférhetetlenség megelőzését, felderítését és korrekcióját. </w:t>
      </w:r>
    </w:p>
    <w:p w14:paraId="581D7EE3" w14:textId="4D523061" w:rsidR="00D65CB4" w:rsidRPr="00BC4EE7" w:rsidRDefault="00572307">
      <w:pPr>
        <w:pStyle w:val="P68B1DB1-ListParagraph6"/>
        <w:numPr>
          <w:ilvl w:val="0"/>
          <w:numId w:val="776"/>
        </w:numPr>
        <w:spacing w:line="240" w:lineRule="auto"/>
        <w:jc w:val="both"/>
        <w:rPr>
          <w:rFonts w:cs="Times New Roman"/>
          <w:noProof/>
        </w:rPr>
      </w:pPr>
      <w:bookmarkStart w:id="35" w:name="_Hlk145681811"/>
      <w:r w:rsidRPr="00BC4EE7">
        <w:rPr>
          <w:rFonts w:cs="Times New Roman"/>
          <w:noProof/>
        </w:rPr>
        <w:t>Az egyes műveletek támogathatóságának a végrehajtási megállapodásban meghatározott követelményekkel összhangban történő ellenőrzésére vonatkozó kötelezettség, többek között a 10 000 000 EUR-t el nem érő műveletekre vonatkozó saját nyilatkozat alkalmazásával, mielőtt kötelezettséget vállalnának egy művelet finanszírozására.</w:t>
      </w:r>
    </w:p>
    <w:bookmarkEnd w:id="35"/>
    <w:p w14:paraId="7E99BD54" w14:textId="4CB77C30" w:rsidR="00D65CB4" w:rsidRPr="00BC4EE7" w:rsidRDefault="00572307">
      <w:pPr>
        <w:pStyle w:val="ListParagraph"/>
        <w:numPr>
          <w:ilvl w:val="0"/>
          <w:numId w:val="776"/>
        </w:numPr>
        <w:spacing w:line="240" w:lineRule="auto"/>
        <w:jc w:val="both"/>
        <w:rPr>
          <w:rFonts w:ascii="Times New Roman" w:hAnsi="Times New Roman" w:cs="Times New Roman"/>
          <w:noProof/>
          <w:sz w:val="24"/>
        </w:rPr>
      </w:pPr>
      <w:r w:rsidRPr="00BC4EE7">
        <w:rPr>
          <w:rFonts w:ascii="Times New Roman" w:hAnsi="Times New Roman" w:cs="Times New Roman"/>
          <w:noProof/>
          <w:sz w:val="24"/>
        </w:rPr>
        <w:t>A kockázatalapú utólagos ellenőrzések elvégzésére vonatkozó kötelezettség az ICO ellenőrzési tervével összhangban. Ezeknek az ellenőrzéseknek meg kell győződniük i. arról, hogy az ellenőrzési rendszerek hatékonyak-e, beleértve a csalás, a korrupció és az összeférhetetlenség felderítését; a DNSH-elvnek, az állami támogatásokra vonatkozó szabályoknak és a digitális célkövetelményeknek való megfelelés; és iii. betartották azt a követelményt, amely szerint a közvetítőnek ellenőriznie kell, hogy a végső kedvezményezett felelősségteljes nyilatkozatot nyújt-e be annak ellenőrzése érdekében, hogy ugyanazt a költséget egy másik uniós eszköz fedezi-e.  Az ellenőrzéseknek azt is meg kell vizsgálniuk, hogy az ügyletek jogszerűek-e, és hogy az alkalmazandó végrehajtási megállapodás és finanszírozási megállapodások feltételei teljesülnek-e,</w:t>
      </w:r>
      <w:r w:rsidRPr="00BC4EE7">
        <w:rPr>
          <w:rFonts w:ascii="Times New Roman" w:hAnsi="Times New Roman" w:cs="Times New Roman"/>
          <w:noProof/>
        </w:rPr>
        <w:t xml:space="preserve"> többek között a 10 000 000 EUR-t el nem érő műveletekre vonatkozó önbevallások révén, mielőtt kötelezettséget vállalnának egy művelet finanszírozására. </w:t>
      </w:r>
    </w:p>
    <w:p w14:paraId="46EDF36E" w14:textId="7F08766F" w:rsidR="00D65CB4" w:rsidRPr="00BC4EE7" w:rsidRDefault="00572307">
      <w:pPr>
        <w:pStyle w:val="ListParagraph"/>
        <w:numPr>
          <w:ilvl w:val="0"/>
          <w:numId w:val="773"/>
        </w:numPr>
        <w:spacing w:line="240" w:lineRule="auto"/>
        <w:jc w:val="both"/>
        <w:rPr>
          <w:rFonts w:ascii="Times New Roman" w:hAnsi="Times New Roman" w:cs="Times New Roman"/>
          <w:noProof/>
          <w:sz w:val="24"/>
        </w:rPr>
      </w:pPr>
      <w:r w:rsidRPr="00BC4EE7">
        <w:rPr>
          <w:rFonts w:ascii="Times New Roman" w:hAnsi="Times New Roman" w:cs="Times New Roman"/>
          <w:noProof/>
          <w:sz w:val="24"/>
        </w:rPr>
        <w:t>A végrehajtó partner által végrehajtott digitális beruházásokra vonatkozó követelmények: a Helyreállítási és Rezilienciaépítési Eszközbe történő beruházásból legalább 150 000 000 EUR-nak a Helyreállítási és Rezilienciaépítési Eszközről szóló rendelet VII. mellékletével összhangban hozzá kell járulnia a digitális célkitűzésekhez.</w:t>
      </w:r>
      <w:r w:rsidRPr="00BC4EE7">
        <w:rPr>
          <w:rStyle w:val="FootnoteReference"/>
          <w:rFonts w:ascii="Times New Roman" w:hAnsi="Times New Roman" w:cs="Times New Roman"/>
          <w:noProof/>
          <w:sz w:val="24"/>
        </w:rPr>
        <w:footnoteReference w:id="117"/>
      </w:r>
    </w:p>
    <w:p w14:paraId="73ED57F1" w14:textId="62856346" w:rsidR="00D65CB4" w:rsidRPr="00BC4EE7" w:rsidRDefault="00572307">
      <w:pPr>
        <w:pStyle w:val="P68B1DB1-ListParagraph6"/>
        <w:numPr>
          <w:ilvl w:val="0"/>
          <w:numId w:val="773"/>
        </w:numPr>
        <w:jc w:val="both"/>
        <w:rPr>
          <w:rFonts w:cs="Times New Roman"/>
          <w:noProof/>
        </w:rPr>
      </w:pPr>
      <w:r w:rsidRPr="00BC4EE7">
        <w:rPr>
          <w:rFonts w:cs="Times New Roman"/>
          <w:noProof/>
        </w:rPr>
        <w:t xml:space="preserve">A pénzügyi közvetítők kiválasztására vonatkozó követelmények: Az ICO nyílt, átlátható és megkülönböztetésmentes módon választja ki a pénzügyi közvetítőket. A pénzügyi közvetítőket érintő összeférhetetlenség hiányára vonatkozó ellenőrzéseket előzetesen el kell végezni az informatikai rendszeren, például a Minerván keresztül valamennyi érintett pénzügyi szereplő esetében. </w:t>
      </w:r>
    </w:p>
    <w:p w14:paraId="28D7ED99" w14:textId="30EF4715" w:rsidR="00D65CB4" w:rsidRPr="00BC4EE7" w:rsidRDefault="00572307">
      <w:pPr>
        <w:pStyle w:val="P68B1DB1-ListParagraph6"/>
        <w:numPr>
          <w:ilvl w:val="0"/>
          <w:numId w:val="773"/>
        </w:numPr>
        <w:spacing w:line="240" w:lineRule="auto"/>
        <w:jc w:val="both"/>
        <w:rPr>
          <w:rFonts w:cs="Times New Roman"/>
          <w:noProof/>
        </w:rPr>
      </w:pPr>
      <w:r w:rsidRPr="00BC4EE7">
        <w:rPr>
          <w:rFonts w:cs="Times New Roman"/>
          <w:noProof/>
        </w:rPr>
        <w:t xml:space="preserve">Finanszírozási megállapodások aláírására vonatkozó kötelezettség: Az ICO finanszírozási megállapodásokat ír alá a pénzügyi közvetítőkkel a végrehajtási megállapodás mellékleteként benyújtandó kulcsfontosságú követelményekkel összhangban. A finanszírozási megállapodás fő követelményeinek magukban kell foglalniuk mindazokat a követelményeket, amelyek alapján az eszköz működik, beleértve a következőket: </w:t>
      </w:r>
    </w:p>
    <w:p w14:paraId="7EC2D567" w14:textId="77777777" w:rsidR="00D65CB4" w:rsidRPr="00BC4EE7" w:rsidRDefault="00572307">
      <w:pPr>
        <w:pStyle w:val="P68B1DB1-Normal4"/>
        <w:numPr>
          <w:ilvl w:val="0"/>
          <w:numId w:val="791"/>
        </w:numPr>
        <w:spacing w:after="160" w:line="240" w:lineRule="auto"/>
        <w:jc w:val="both"/>
        <w:rPr>
          <w:rFonts w:cs="Times New Roman"/>
          <w:noProof/>
        </w:rPr>
      </w:pPr>
      <w:r w:rsidRPr="00BC4EE7">
        <w:rPr>
          <w:rFonts w:cs="Times New Roman"/>
          <w:noProof/>
        </w:rPr>
        <w:t xml:space="preserve">A pénzügyi közvetítő azon kötelezettsége, hogy döntéseit </w:t>
      </w:r>
      <w:r w:rsidRPr="00BC4EE7">
        <w:rPr>
          <w:rFonts w:cs="Times New Roman"/>
          <w:i/>
          <w:noProof/>
        </w:rPr>
        <w:t>értelemszerűen</w:t>
      </w:r>
      <w:r w:rsidRPr="00BC4EE7">
        <w:rPr>
          <w:rFonts w:cs="Times New Roman"/>
          <w:noProof/>
        </w:rPr>
        <w:t xml:space="preserve"> a fent meghatározott döntéshozatali és beruházási politikai követelményeknek megfelelően hozza meg, beleértve a DNSH-elv tiszteletben tartásával kapcsolatos követelményeket is.</w:t>
      </w:r>
    </w:p>
    <w:p w14:paraId="1381D3EC" w14:textId="77777777" w:rsidR="00D65CB4" w:rsidRPr="00BC4EE7" w:rsidRDefault="00572307">
      <w:pPr>
        <w:pStyle w:val="P68B1DB1-Normal4"/>
        <w:numPr>
          <w:ilvl w:val="0"/>
          <w:numId w:val="791"/>
        </w:numPr>
        <w:spacing w:after="160" w:line="240" w:lineRule="auto"/>
        <w:jc w:val="both"/>
        <w:rPr>
          <w:rFonts w:cs="Times New Roman"/>
          <w:noProof/>
        </w:rPr>
      </w:pPr>
      <w:r w:rsidRPr="00BC4EE7">
        <w:rPr>
          <w:rFonts w:cs="Times New Roman"/>
          <w:noProof/>
        </w:rPr>
        <w:t xml:space="preserve">A pénzügyi közvetítő által létrehozandó nyomonkövetési, ellenőrzési és kontrollkeret leírása, amelyre </w:t>
      </w:r>
      <w:r w:rsidRPr="00BC4EE7">
        <w:rPr>
          <w:rFonts w:cs="Times New Roman"/>
          <w:i/>
          <w:noProof/>
        </w:rPr>
        <w:t>értelemszerűen</w:t>
      </w:r>
      <w:r w:rsidRPr="00BC4EE7">
        <w:rPr>
          <w:rFonts w:cs="Times New Roman"/>
          <w:noProof/>
        </w:rPr>
        <w:t xml:space="preserve"> a fent meghatározott valamennyi nyomonkövetési, ellenőrzési és kontrollkövetelmény vonatkozik. </w:t>
      </w:r>
    </w:p>
    <w:p w14:paraId="3EFDD5CC" w14:textId="77777777" w:rsidR="00D65CB4" w:rsidRPr="00BC4EE7" w:rsidRDefault="00572307">
      <w:pPr>
        <w:pStyle w:val="P68B1DB1-Normal4"/>
        <w:spacing w:before="120" w:after="120" w:line="240" w:lineRule="auto"/>
        <w:jc w:val="both"/>
        <w:rPr>
          <w:rFonts w:eastAsia="Times New Roman" w:cs="Times New Roman"/>
          <w:noProof/>
        </w:rPr>
      </w:pPr>
      <w:r w:rsidRPr="00BC4EE7">
        <w:rPr>
          <w:rFonts w:cs="Times New Roman"/>
          <w:noProof/>
        </w:rPr>
        <w:t>Az intézkedés végrehajtását 2026. augusztus 31-ig be kell fejezni.</w:t>
      </w:r>
    </w:p>
    <w:p w14:paraId="2AFFB725" w14:textId="77777777" w:rsidR="00D65CB4" w:rsidRPr="00BC4EE7" w:rsidRDefault="00572307">
      <w:pPr>
        <w:pStyle w:val="P68B1DB1-Normal5"/>
        <w:rPr>
          <w:rFonts w:cs="Times New Roman"/>
          <w:noProof/>
        </w:rPr>
      </w:pPr>
      <w:r w:rsidRPr="00BC4EE7">
        <w:rPr>
          <w:rFonts w:cs="Times New Roman"/>
          <w:noProof/>
        </w:rPr>
        <w:t>Beruházás (C13.I7) – ICO Next Tech Fund</w:t>
      </w:r>
    </w:p>
    <w:p w14:paraId="358C72D6" w14:textId="323E53E4" w:rsidR="00D65CB4" w:rsidRPr="00BC4EE7" w:rsidRDefault="00572307">
      <w:pPr>
        <w:pStyle w:val="P68B1DB1-LegalNumPar228"/>
        <w:numPr>
          <w:ilvl w:val="1"/>
          <w:numId w:val="0"/>
        </w:numPr>
        <w:spacing w:line="240" w:lineRule="auto"/>
        <w:jc w:val="both"/>
        <w:rPr>
          <w:rFonts w:cs="Times New Roman"/>
          <w:noProof/>
        </w:rPr>
      </w:pPr>
      <w:bookmarkStart w:id="36" w:name="_Hlk140650645"/>
      <w:r w:rsidRPr="00BC4EE7">
        <w:rPr>
          <w:rFonts w:cs="Times New Roman"/>
          <w:noProof/>
        </w:rPr>
        <w:t xml:space="preserve">Ez az intézkedés </w:t>
      </w:r>
      <w:bookmarkEnd w:id="36"/>
      <w:r w:rsidRPr="00BC4EE7">
        <w:rPr>
          <w:rFonts w:cs="Times New Roman"/>
          <w:noProof/>
        </w:rPr>
        <w:t xml:space="preserve">egy eszközbe, az ICO Next Tech alapjába történő állami beruházásból áll, amelynek célja a magánberuházások ösztönzése és a finanszírozáshoz való hozzáférés javítása Spanyolország digitális átálláshoz kapcsolódó stratégiai ágazataiban, valamint a tőkepiacok fejlesztése ezen a területen. A hitelezési eszköz úgy működik, hogy más alapokkal közösen, közvetlenül vagy közvetítőkön keresztül pénzügyi ösztönzőket nyújt a magánszektornak és a hasonló tevékenységeket folytató közszektorbeli szervezeteknek. A Helyreállítási és Rezilienciaépítési Eszköz beruházásai alapján az eszköz célja kezdetben legalább 4 000 000 000 EUR összegű finanszírozás biztosítása. </w:t>
      </w:r>
    </w:p>
    <w:p w14:paraId="69A5E882" w14:textId="754DE619" w:rsidR="00D65CB4" w:rsidRPr="00BC4EE7" w:rsidRDefault="00572307">
      <w:pPr>
        <w:pStyle w:val="P68B1DB1-LegalNumPar228"/>
        <w:numPr>
          <w:ilvl w:val="1"/>
          <w:numId w:val="0"/>
        </w:numPr>
        <w:spacing w:line="240" w:lineRule="auto"/>
        <w:jc w:val="both"/>
        <w:rPr>
          <w:rFonts w:cs="Times New Roman"/>
          <w:noProof/>
        </w:rPr>
      </w:pPr>
      <w:r w:rsidRPr="00BC4EE7">
        <w:rPr>
          <w:rFonts w:cs="Times New Roman"/>
          <w:noProof/>
        </w:rPr>
        <w:t>Az eszközt végrehajtó partnerként a tengely (az ICO kockázati/magántőke-kezelője) irányítja. A beruházási keret a következő terméksorokat foglalja magában:</w:t>
      </w:r>
    </w:p>
    <w:p w14:paraId="15D3E958" w14:textId="3C30DF7B" w:rsidR="00D65CB4" w:rsidRPr="00BC4EE7" w:rsidRDefault="00572307">
      <w:pPr>
        <w:pStyle w:val="P68B1DB1-ListParagraph6"/>
        <w:numPr>
          <w:ilvl w:val="0"/>
          <w:numId w:val="352"/>
        </w:numPr>
        <w:jc w:val="both"/>
        <w:rPr>
          <w:rFonts w:eastAsia="Times New Roman" w:cs="Times New Roman"/>
          <w:noProof/>
        </w:rPr>
      </w:pPr>
      <w:r w:rsidRPr="00BC4EE7">
        <w:rPr>
          <w:rFonts w:cs="Times New Roman"/>
          <w:noProof/>
        </w:rPr>
        <w:t>Közvetlen vezeték: ez a sor közvetlen sajáttőke- vagy kvázisajáttőke-befektetések nyújtását foglalja magában az AXIS, az ICO kockázatitőke-kezelője/magántőke-kezelője révén a Spanyolországban bejegyzett, új technológiai projektek végrehajtására kötelezettséget vállaló vállalkozások számára, függetlenül azok méretétől és tőketulajdonától. Az Alap tőkebefektetései nem eredményezhetik azt, hogy a végső kedvezményezett állami tulajdonú tőkéje meghaladja a teljes saját tőke 49%-át.</w:t>
      </w:r>
    </w:p>
    <w:p w14:paraId="7DAB95B4" w14:textId="0342F73A" w:rsidR="00D65CB4" w:rsidRPr="00BC4EE7" w:rsidRDefault="00572307">
      <w:pPr>
        <w:pStyle w:val="P68B1DB1-ListParagraph6"/>
        <w:numPr>
          <w:ilvl w:val="0"/>
          <w:numId w:val="352"/>
        </w:numPr>
        <w:jc w:val="both"/>
        <w:rPr>
          <w:rFonts w:eastAsia="Times New Roman" w:cs="Times New Roman"/>
          <w:noProof/>
        </w:rPr>
      </w:pPr>
      <w:r w:rsidRPr="00BC4EE7">
        <w:rPr>
          <w:rFonts w:cs="Times New Roman"/>
          <w:noProof/>
        </w:rPr>
        <w:t>Közvetett vonal: ez a sor a pénzeszközöknek az alap által megcélzott technológiai területeken tőkebefektetési műveleteket végző magán pénzügyi közvetítők – többek között kockázatitőke-alapok – által kezelt meglévő befektetési eszközökre történő átruházásából áll. Az Alap maximális részesedése nem haladhatja meg a befektetésieszköz-alap 49%-át.</w:t>
      </w:r>
    </w:p>
    <w:p w14:paraId="3A9B1832" w14:textId="0262FC3D" w:rsidR="00D65CB4" w:rsidRPr="00BC4EE7" w:rsidRDefault="00572307">
      <w:pPr>
        <w:pStyle w:val="P68B1DB1-ListParagraph6"/>
        <w:numPr>
          <w:ilvl w:val="0"/>
          <w:numId w:val="352"/>
        </w:numPr>
        <w:jc w:val="both"/>
        <w:rPr>
          <w:rFonts w:cs="Times New Roman"/>
          <w:noProof/>
        </w:rPr>
      </w:pPr>
      <w:r w:rsidRPr="00BC4EE7">
        <w:rPr>
          <w:rFonts w:cs="Times New Roman"/>
          <w:noProof/>
        </w:rPr>
        <w:t xml:space="preserve">Európai Tech-bajnokság Kezdeményezés (ETCI): ez a költségvetési sor a Spanyolország által az Európai Beruházási Alap (EBA) által kezelt alapok alapja, az ETCI részére történő, legfeljebb 1 milliárd EUR összegű pénzátutalásból áll, amely a késői növekedési tőkét az ígéretes európai innovátorokhoz irányítja.  </w:t>
      </w:r>
    </w:p>
    <w:p w14:paraId="2B91A638" w14:textId="77777777" w:rsidR="00D65CB4" w:rsidRPr="00BC4EE7" w:rsidRDefault="00572307">
      <w:pPr>
        <w:pStyle w:val="P68B1DB1-Normal4"/>
        <w:spacing w:line="240" w:lineRule="auto"/>
        <w:jc w:val="both"/>
        <w:rPr>
          <w:rFonts w:cs="Times New Roman"/>
          <w:noProof/>
        </w:rPr>
      </w:pPr>
      <w:r w:rsidRPr="00BC4EE7">
        <w:rPr>
          <w:rFonts w:cs="Times New Roman"/>
          <w:noProof/>
        </w:rPr>
        <w:t>Az eszközbe történő beruházás végrehajtása érdekében Spanyolország és a tengely végrehajtási megállapodást ír alá, amely a következő tartalmat tartalmazza:</w:t>
      </w:r>
    </w:p>
    <w:p w14:paraId="16740221" w14:textId="728E4441" w:rsidR="00D65CB4" w:rsidRPr="00BC4EE7" w:rsidRDefault="00572307">
      <w:pPr>
        <w:pStyle w:val="P68B1DB1-ListParagraph6"/>
        <w:numPr>
          <w:ilvl w:val="0"/>
          <w:numId w:val="766"/>
        </w:numPr>
        <w:jc w:val="both"/>
        <w:rPr>
          <w:rFonts w:cs="Times New Roman"/>
          <w:noProof/>
        </w:rPr>
      </w:pPr>
      <w:r w:rsidRPr="00BC4EE7">
        <w:rPr>
          <w:rFonts w:cs="Times New Roman"/>
          <w:noProof/>
        </w:rPr>
        <w:t>Az eszköz döntéshozatali folyamatának leírása: Az eszköz végleges beruházási döntését beruházási bizottság vagy más, azzal egyenértékű irányító testület hozza meg, és a spanyol kormánytól független tagok szavazatainak többségével hagyja jóvá. A közvetített beruházások esetében a végső beruházási döntést közvetítők hozzák meg.</w:t>
      </w:r>
    </w:p>
    <w:p w14:paraId="0E765F69" w14:textId="77777777" w:rsidR="00D65CB4" w:rsidRPr="00BC4EE7" w:rsidRDefault="00572307">
      <w:pPr>
        <w:pStyle w:val="P68B1DB1-LegalNumPar27"/>
        <w:numPr>
          <w:ilvl w:val="0"/>
          <w:numId w:val="766"/>
        </w:numPr>
        <w:jc w:val="both"/>
        <w:rPr>
          <w:rFonts w:cs="Times New Roman"/>
          <w:noProof/>
        </w:rPr>
      </w:pPr>
      <w:r w:rsidRPr="00BC4EE7">
        <w:rPr>
          <w:rFonts w:cs="Times New Roman"/>
          <w:noProof/>
        </w:rPr>
        <w:t>A kapcsolódó beruházási politika fő követelményei,</w:t>
      </w:r>
      <w:r w:rsidRPr="00BC4EE7">
        <w:rPr>
          <w:rFonts w:cs="Times New Roman"/>
          <w:b/>
          <w:noProof/>
        </w:rPr>
        <w:t xml:space="preserve"> </w:t>
      </w:r>
      <w:r w:rsidRPr="00BC4EE7">
        <w:rPr>
          <w:rFonts w:cs="Times New Roman"/>
          <w:noProof/>
        </w:rPr>
        <w:t>amelyek a következőket foglalják magukban:</w:t>
      </w:r>
    </w:p>
    <w:p w14:paraId="54A323D4" w14:textId="77777777" w:rsidR="00D65CB4" w:rsidRPr="00BC4EE7" w:rsidRDefault="00572307">
      <w:pPr>
        <w:pStyle w:val="P68B1DB1-LegalNumPar27"/>
        <w:numPr>
          <w:ilvl w:val="1"/>
          <w:numId w:val="780"/>
        </w:numPr>
        <w:jc w:val="both"/>
        <w:rPr>
          <w:rFonts w:cs="Times New Roman"/>
          <w:noProof/>
        </w:rPr>
      </w:pPr>
      <w:r w:rsidRPr="00BC4EE7">
        <w:rPr>
          <w:rFonts w:cs="Times New Roman"/>
          <w:noProof/>
        </w:rPr>
        <w:t xml:space="preserve">A pénzügyi termék(ek) és a támogatható végső kedvezményezettek leírása az intézkedés leírásával összhangban.   </w:t>
      </w:r>
    </w:p>
    <w:p w14:paraId="11A25243" w14:textId="77777777" w:rsidR="00D65CB4" w:rsidRPr="00BC4EE7" w:rsidRDefault="00572307">
      <w:pPr>
        <w:pStyle w:val="P68B1DB1-LegalNumPar27"/>
        <w:numPr>
          <w:ilvl w:val="1"/>
          <w:numId w:val="780"/>
        </w:numPr>
        <w:jc w:val="both"/>
        <w:rPr>
          <w:rFonts w:cs="Times New Roman"/>
          <w:noProof/>
        </w:rPr>
      </w:pPr>
      <w:r w:rsidRPr="00BC4EE7">
        <w:rPr>
          <w:rFonts w:cs="Times New Roman"/>
          <w:noProof/>
        </w:rPr>
        <w:t>Az a követelmény, hogy minden támogatott beruházás gazdaságilag életképes legyen.</w:t>
      </w:r>
    </w:p>
    <w:p w14:paraId="1B3A8A71" w14:textId="77777777" w:rsidR="00D65CB4" w:rsidRPr="00BC4EE7" w:rsidRDefault="00572307">
      <w:pPr>
        <w:pStyle w:val="P68B1DB1-LegalNumPar27"/>
        <w:numPr>
          <w:ilvl w:val="1"/>
          <w:numId w:val="780"/>
        </w:numPr>
        <w:jc w:val="both"/>
        <w:rPr>
          <w:rFonts w:cs="Times New Roman"/>
          <w:noProof/>
        </w:rPr>
      </w:pPr>
      <w:r w:rsidRPr="00BC4EE7">
        <w:rPr>
          <w:rFonts w:cs="Times New Roman"/>
          <w:noProof/>
        </w:rPr>
        <w:t>A fennálló hitelek refinanszírozásának tilalma.</w:t>
      </w:r>
    </w:p>
    <w:p w14:paraId="5B86B0AC" w14:textId="784E47DB" w:rsidR="00D65CB4" w:rsidRPr="00BC4EE7" w:rsidRDefault="00572307">
      <w:pPr>
        <w:pStyle w:val="P68B1DB1-LegalNumPar27"/>
        <w:numPr>
          <w:ilvl w:val="1"/>
          <w:numId w:val="780"/>
        </w:numPr>
        <w:jc w:val="both"/>
        <w:rPr>
          <w:rFonts w:eastAsia="Times New Roman" w:cs="Times New Roman"/>
          <w:noProof/>
        </w:rPr>
      </w:pPr>
      <w:r w:rsidRPr="00BC4EE7">
        <w:rPr>
          <w:rFonts w:cs="Times New Roman"/>
          <w:noProof/>
        </w:rPr>
        <w:t xml:space="preserve">A jelentős károkozás elkerülését célzó elvnek való megfelelés követelménye a DNSH technikai iránymutatásban (2021/C58/01), különösen: </w:t>
      </w:r>
    </w:p>
    <w:p w14:paraId="5934AFCB" w14:textId="33C9A332" w:rsidR="00D65CB4" w:rsidRPr="00BC4EE7" w:rsidRDefault="00572307">
      <w:pPr>
        <w:pStyle w:val="LegalNumPar3"/>
        <w:numPr>
          <w:ilvl w:val="2"/>
          <w:numId w:val="766"/>
        </w:numPr>
        <w:spacing w:line="240" w:lineRule="auto"/>
        <w:jc w:val="both"/>
        <w:rPr>
          <w:rStyle w:val="normaltextrun"/>
          <w:rFonts w:ascii="Times New Roman" w:eastAsiaTheme="minorEastAsia" w:hAnsi="Times New Roman" w:cs="Times New Roman"/>
          <w:noProof/>
          <w:sz w:val="24"/>
        </w:rPr>
      </w:pPr>
      <w:bookmarkStart w:id="37" w:name="_Hlk145663647"/>
      <w:r w:rsidRPr="00BC4EE7">
        <w:rPr>
          <w:rFonts w:ascii="Times New Roman" w:hAnsi="Times New Roman" w:cs="Times New Roman"/>
          <w:noProof/>
          <w:sz w:val="24"/>
        </w:rPr>
        <w:t>Saját tőke, kvázi-sajáttőke, vállalati kötvények vagy ezekkel egyenértékű eszközök</w:t>
      </w:r>
      <w:r w:rsidRPr="00BC4EE7">
        <w:rPr>
          <w:rStyle w:val="normaltextrun"/>
          <w:rFonts w:ascii="Times New Roman" w:hAnsi="Times New Roman" w:cs="Times New Roman"/>
          <w:noProof/>
          <w:sz w:val="24"/>
        </w:rPr>
        <w:t>esetében: a befektetési politikának elő kell írnia a vállalatok számára, hogy a 2013/34/EU irányelv 19a. cikke (2) bekezdése a) pontjának iii. alpontjában foglalt fogalommeghatározással összhangban zöld átállási terveket fogadjanak el,</w:t>
      </w:r>
      <w:r w:rsidRPr="00BC4EE7">
        <w:rPr>
          <w:rStyle w:val="FootnoteReference"/>
          <w:rFonts w:ascii="Times New Roman" w:eastAsiaTheme="minorEastAsia" w:hAnsi="Times New Roman" w:cs="Times New Roman"/>
          <w:noProof/>
          <w:sz w:val="24"/>
        </w:rPr>
        <w:footnoteReference w:id="118"/>
      </w:r>
      <w:r w:rsidRPr="00BC4EE7">
        <w:rPr>
          <w:rFonts w:ascii="Times New Roman" w:hAnsi="Times New Roman" w:cs="Times New Roman"/>
          <w:noProof/>
          <w:sz w:val="24"/>
        </w:rPr>
        <w:t xml:space="preserve"> ha az előző pénzügyi év közvetlen bevételeinek több mint 50%-a a tevékenységek és eszközök alábbi listájából származik: i. a fosszilis tüzelőanyagokhoz kapcsolódó tevékenységek és eszközök, beleértve a downstream felhasználást is, ii. az uniós kibocsátáskereskedelmi rendszer</w:t>
      </w:r>
      <w:r w:rsidRPr="00BC4EE7">
        <w:rPr>
          <w:rStyle w:val="FootnoteReference"/>
          <w:rFonts w:ascii="Times New Roman" w:eastAsiaTheme="minorEastAsia" w:hAnsi="Times New Roman" w:cs="Times New Roman"/>
          <w:noProof/>
          <w:sz w:val="24"/>
        </w:rPr>
        <w:footnoteReference w:id="119"/>
      </w:r>
      <w:r w:rsidRPr="00BC4EE7">
        <w:rPr>
          <w:rFonts w:ascii="Times New Roman" w:hAnsi="Times New Roman" w:cs="Times New Roman"/>
          <w:noProof/>
          <w:sz w:val="24"/>
        </w:rPr>
        <w:t xml:space="preserve">(ETS) keretébe tartozó tevékenységek és eszközök, amelyek elérik a vonatkozó referenciaértékeket meg nem haladó, előre jelzett üvegházhatásúgáz-kibocsátást, iii. </w:t>
      </w:r>
      <w:r w:rsidR="00BC4EE7">
        <w:rPr>
          <w:rFonts w:ascii="Times New Roman" w:hAnsi="Times New Roman" w:cs="Times New Roman"/>
          <w:noProof/>
          <w:sz w:val="24"/>
        </w:rPr>
        <w:t xml:space="preserve">a </w:t>
      </w:r>
      <w:r w:rsidRPr="00BC4EE7">
        <w:rPr>
          <w:rStyle w:val="normaltextrun"/>
          <w:rFonts w:ascii="Times New Roman" w:hAnsi="Times New Roman" w:cs="Times New Roman"/>
          <w:noProof/>
          <w:sz w:val="24"/>
        </w:rPr>
        <w:t>hulladéklerakókhoz, égetőművekhez és mechanikai-biológiai hulladékkezelő létesítményekhez kapcsolódó</w:t>
      </w:r>
      <w:r w:rsidRPr="00BC4EE7">
        <w:rPr>
          <w:rStyle w:val="FootnoteReference"/>
          <w:rFonts w:ascii="Times New Roman" w:eastAsiaTheme="minorEastAsia" w:hAnsi="Times New Roman" w:cs="Times New Roman"/>
          <w:noProof/>
          <w:sz w:val="24"/>
        </w:rPr>
        <w:footnoteReference w:id="120"/>
      </w:r>
      <w:r w:rsidR="00BC4EE7">
        <w:rPr>
          <w:rStyle w:val="normaltextrun"/>
          <w:rFonts w:ascii="Times New Roman" w:hAnsi="Times New Roman" w:cs="Times New Roman"/>
          <w:noProof/>
          <w:sz w:val="24"/>
        </w:rPr>
        <w:t xml:space="preserve"> </w:t>
      </w:r>
      <w:r w:rsidRPr="00BC4EE7">
        <w:rPr>
          <w:rStyle w:val="normaltextrun"/>
          <w:rFonts w:ascii="Times New Roman" w:hAnsi="Times New Roman" w:cs="Times New Roman"/>
          <w:noProof/>
          <w:sz w:val="24"/>
        </w:rPr>
        <w:t>tevékenységek</w:t>
      </w:r>
      <w:r w:rsidRPr="00BC4EE7">
        <w:rPr>
          <w:rStyle w:val="FootnoteReference"/>
          <w:rFonts w:ascii="Times New Roman" w:eastAsiaTheme="minorEastAsia" w:hAnsi="Times New Roman" w:cs="Times New Roman"/>
          <w:noProof/>
          <w:sz w:val="24"/>
        </w:rPr>
        <w:footnoteReference w:id="121"/>
      </w:r>
      <w:r w:rsidRPr="00BC4EE7">
        <w:rPr>
          <w:rStyle w:val="normaltextrun"/>
          <w:rFonts w:ascii="Times New Roman" w:hAnsi="Times New Roman" w:cs="Times New Roman"/>
          <w:noProof/>
          <w:sz w:val="24"/>
        </w:rPr>
        <w:t xml:space="preserve"> és eszközök</w:t>
      </w:r>
      <w:r w:rsidRPr="00BC4EE7">
        <w:rPr>
          <w:rStyle w:val="FootnoteReference"/>
          <w:rFonts w:ascii="Times New Roman" w:eastAsiaTheme="minorEastAsia" w:hAnsi="Times New Roman" w:cs="Times New Roman"/>
          <w:noProof/>
          <w:sz w:val="24"/>
        </w:rPr>
        <w:footnoteReference w:id="122"/>
      </w:r>
      <w:r w:rsidRPr="00BC4EE7">
        <w:rPr>
          <w:rStyle w:val="normaltextrun"/>
          <w:rFonts w:ascii="Times New Roman" w:hAnsi="Times New Roman" w:cs="Times New Roman"/>
          <w:noProof/>
          <w:sz w:val="24"/>
        </w:rPr>
        <w:t>.</w:t>
      </w:r>
      <w:r w:rsidRPr="00BC4EE7">
        <w:rPr>
          <w:rStyle w:val="FootnoteReference"/>
          <w:rFonts w:ascii="Times New Roman" w:hAnsi="Times New Roman" w:cs="Times New Roman"/>
          <w:noProof/>
          <w:sz w:val="24"/>
        </w:rPr>
        <w:t xml:space="preserve"> </w:t>
      </w:r>
      <w:r w:rsidRPr="00BC4EE7">
        <w:rPr>
          <w:rFonts w:ascii="Times New Roman" w:hAnsi="Times New Roman" w:cs="Times New Roman"/>
          <w:noProof/>
          <w:sz w:val="24"/>
        </w:rPr>
        <w:t xml:space="preserve"> </w:t>
      </w:r>
    </w:p>
    <w:bookmarkEnd w:id="37"/>
    <w:p w14:paraId="5BF6741F" w14:textId="77777777" w:rsidR="00D65CB4" w:rsidRPr="00BC4EE7" w:rsidRDefault="00572307">
      <w:pPr>
        <w:pStyle w:val="P68B1DB1-LegalNumPar316"/>
        <w:numPr>
          <w:ilvl w:val="2"/>
          <w:numId w:val="766"/>
        </w:numPr>
        <w:spacing w:line="240" w:lineRule="auto"/>
        <w:rPr>
          <w:rFonts w:cs="Times New Roman"/>
          <w:noProof/>
        </w:rPr>
      </w:pPr>
      <w:r w:rsidRPr="00BC4EE7">
        <w:rPr>
          <w:rFonts w:cs="Times New Roman"/>
          <w:noProof/>
        </w:rPr>
        <w:t>A beruházási politikának továbbá meg kell követelnie az eszköz végső kedvezményezettjeinek a vonatkozó uniós és nemzeti környezetvédelmi jogszabályoknak való</w:t>
      </w:r>
      <w:r w:rsidRPr="00BC4EE7">
        <w:rPr>
          <w:rFonts w:cs="Times New Roman"/>
          <w:b/>
          <w:noProof/>
        </w:rPr>
        <w:t xml:space="preserve"> </w:t>
      </w:r>
      <w:r w:rsidRPr="00BC4EE7">
        <w:rPr>
          <w:rFonts w:cs="Times New Roman"/>
          <w:noProof/>
        </w:rPr>
        <w:t>megfelelését.</w:t>
      </w:r>
    </w:p>
    <w:p w14:paraId="54798F0F" w14:textId="77777777" w:rsidR="00D65CB4" w:rsidRPr="00BC4EE7" w:rsidRDefault="00572307">
      <w:pPr>
        <w:pStyle w:val="P68B1DB1-LegalNumPar27"/>
        <w:numPr>
          <w:ilvl w:val="1"/>
          <w:numId w:val="780"/>
        </w:numPr>
        <w:spacing w:line="240" w:lineRule="auto"/>
        <w:jc w:val="both"/>
        <w:rPr>
          <w:rFonts w:cs="Times New Roman"/>
          <w:noProof/>
        </w:rPr>
      </w:pPr>
      <w:r w:rsidRPr="00BC4EE7">
        <w:rPr>
          <w:rFonts w:cs="Times New Roman"/>
          <w:noProof/>
        </w:rPr>
        <w:t>Az a követelmény, hogy az eszköz végső kedvezményezettjei nem részesülhetnek támogatásban más uniós eszközökből ugyanazon költségek fedezésére.</w:t>
      </w:r>
    </w:p>
    <w:p w14:paraId="184D6B7B" w14:textId="1BC2B2B2" w:rsidR="00D65CB4" w:rsidRPr="00BC4EE7" w:rsidRDefault="00572307">
      <w:pPr>
        <w:pStyle w:val="P68B1DB1-LegalNumPar27"/>
        <w:numPr>
          <w:ilvl w:val="0"/>
          <w:numId w:val="766"/>
        </w:numPr>
        <w:spacing w:line="240" w:lineRule="auto"/>
        <w:jc w:val="both"/>
        <w:rPr>
          <w:rFonts w:cs="Times New Roman"/>
          <w:noProof/>
        </w:rPr>
      </w:pPr>
      <w:r w:rsidRPr="00BC4EE7">
        <w:rPr>
          <w:rFonts w:cs="Times New Roman"/>
          <w:noProof/>
        </w:rPr>
        <w:t>A végrehajtási megállapodás hatálya alá tartozó összeg, a végrehajtó partner díjstruktúrája, valamint az eszköz beruházási politikájának megfelelően a visszafolyó bevételek újbóli befektetésére vonatkozó követelmény, kivéve, ha azokat a Helyreállítási és Rezilienciaépítési Eszköz hiteltörlesztéseinek fedezésére használják fel.</w:t>
      </w:r>
    </w:p>
    <w:p w14:paraId="50AE8E30" w14:textId="216C3656" w:rsidR="00D65CB4" w:rsidRPr="00BC4EE7" w:rsidRDefault="00572307">
      <w:pPr>
        <w:pStyle w:val="P68B1DB1-ListParagraph6"/>
        <w:numPr>
          <w:ilvl w:val="0"/>
          <w:numId w:val="766"/>
        </w:numPr>
        <w:spacing w:line="240" w:lineRule="auto"/>
        <w:jc w:val="both"/>
        <w:rPr>
          <w:rFonts w:cs="Times New Roman"/>
          <w:noProof/>
        </w:rPr>
      </w:pPr>
      <w:r w:rsidRPr="00BC4EE7">
        <w:rPr>
          <w:rFonts w:cs="Times New Roman"/>
          <w:noProof/>
        </w:rPr>
        <w:t xml:space="preserve">Nyomonkövetési, ellenőrzési és kontrollkövetelmények, beleértve a következőket: </w:t>
      </w:r>
    </w:p>
    <w:p w14:paraId="0DE7F897" w14:textId="290BEAA4" w:rsidR="00D65CB4" w:rsidRPr="00BC4EE7" w:rsidRDefault="00572307">
      <w:pPr>
        <w:pStyle w:val="P68B1DB1-ListParagraph6"/>
        <w:numPr>
          <w:ilvl w:val="1"/>
          <w:numId w:val="781"/>
        </w:numPr>
        <w:spacing w:line="240" w:lineRule="auto"/>
        <w:jc w:val="both"/>
        <w:rPr>
          <w:rFonts w:cs="Times New Roman"/>
          <w:noProof/>
        </w:rPr>
      </w:pPr>
      <w:r w:rsidRPr="00BC4EE7">
        <w:rPr>
          <w:rFonts w:cs="Times New Roman"/>
          <w:noProof/>
        </w:rPr>
        <w:t>A végrehajtó partner által a mozgósított beruházásról való jelentéstételhez használt monitoringrendszer leírása.</w:t>
      </w:r>
    </w:p>
    <w:p w14:paraId="70CB4626" w14:textId="7D7CBBA0" w:rsidR="00D65CB4" w:rsidRPr="00BC4EE7" w:rsidRDefault="00572307">
      <w:pPr>
        <w:pStyle w:val="P68B1DB1-Normal4"/>
        <w:numPr>
          <w:ilvl w:val="1"/>
          <w:numId w:val="781"/>
        </w:numPr>
        <w:spacing w:after="160" w:line="240" w:lineRule="auto"/>
        <w:jc w:val="both"/>
        <w:rPr>
          <w:rFonts w:cs="Times New Roman"/>
          <w:noProof/>
        </w:rPr>
      </w:pPr>
      <w:r w:rsidRPr="00BC4EE7">
        <w:rPr>
          <w:rFonts w:cs="Times New Roman"/>
          <w:noProof/>
        </w:rPr>
        <w:t xml:space="preserve">A végrehajtó partner azon eljárásainak leírása, amelyek biztosítják a csalás, a korrupció és az összeférhetetlenség megelőzését, felderítését és korrekcióját. </w:t>
      </w:r>
    </w:p>
    <w:p w14:paraId="414F081B" w14:textId="3CF341EB" w:rsidR="00D65CB4" w:rsidRPr="00BC4EE7" w:rsidRDefault="00572307">
      <w:pPr>
        <w:pStyle w:val="P68B1DB1-Normal4"/>
        <w:numPr>
          <w:ilvl w:val="1"/>
          <w:numId w:val="781"/>
        </w:numPr>
        <w:spacing w:after="160" w:line="240" w:lineRule="auto"/>
        <w:jc w:val="both"/>
        <w:rPr>
          <w:rFonts w:cs="Times New Roman"/>
          <w:noProof/>
        </w:rPr>
      </w:pPr>
      <w:r w:rsidRPr="00BC4EE7">
        <w:rPr>
          <w:rFonts w:cs="Times New Roman"/>
          <w:noProof/>
        </w:rPr>
        <w:t>Az egyes műveletek támogathatóságának a végrehajtási megállapodásban meghatározott követelményekkel összhangban történő ellenőrzésére vonatkozó kötelezettség, többek között a 10 000 000 EUR alatti műveletekre vonatkozó önbevallás alkalmazásával, mielőtt kötelezettséget vállalnak egy művelet finanszírozására, mielőtt kötelezettséget vállalnának egy művelet finanszírozására.</w:t>
      </w:r>
    </w:p>
    <w:p w14:paraId="19D89E60" w14:textId="2F4BC095" w:rsidR="00D65CB4" w:rsidRPr="00BC4EE7" w:rsidRDefault="00572307">
      <w:pPr>
        <w:pStyle w:val="P68B1DB1-Normal4"/>
        <w:numPr>
          <w:ilvl w:val="1"/>
          <w:numId w:val="781"/>
        </w:numPr>
        <w:spacing w:line="240" w:lineRule="auto"/>
        <w:jc w:val="both"/>
        <w:rPr>
          <w:rFonts w:cs="Times New Roman"/>
          <w:noProof/>
        </w:rPr>
      </w:pPr>
      <w:r w:rsidRPr="00BC4EE7">
        <w:rPr>
          <w:rFonts w:cs="Times New Roman"/>
          <w:noProof/>
        </w:rPr>
        <w:t>A kockázatalapú utólagos ellenőrzések elvégzésére vonatkozó kötelezettség az ICO ellenőrzési tervével összhangban. Ezeknek az ellenőrzéseknek meg kell győződniük i. arról, hogy az ellenőrzési rendszerek hatékonyak-e, beleértve a csalás, a korrupció és az összeférhetetlenség felderítését; a DNSH-elvnek, az állami támogatásokra vonatkozó szabályoknak és az éghajlat-politikai célkitűzésekre vonatkozó követelményeknek való megfelelés; és iii. betartották azt a követelményt, amely szerint a közvetítőnek ellenőriznie kell, hogy a végső kedvezményezett felelősségteljes nyilatkozatot nyújt-e be annak ellenőrzése érdekében, hogy ugyanazt a költséget egy másik uniós eszköz fedezi-e. Az ellenőrzéseknek azt is meg kell vizsgálniuk, hogy az ügyletek jogszerűek-e, és hogy az alkalmazandó végrehajtási megállapodás és finanszírozási megállapodások feltételei teljesülnek-e, többek között a 10 000 000 EUR-t el nem érő műveletekre vonatkozó önbevallások révén, mielőtt kötelezettséget vállalnának egy művelet finanszírozására.</w:t>
      </w:r>
    </w:p>
    <w:p w14:paraId="27C1B162" w14:textId="0827D70B" w:rsidR="00D65CB4" w:rsidRPr="00BC4EE7" w:rsidRDefault="00572307">
      <w:pPr>
        <w:numPr>
          <w:ilvl w:val="0"/>
          <w:numId w:val="766"/>
        </w:numPr>
        <w:spacing w:after="160" w:line="240" w:lineRule="auto"/>
        <w:jc w:val="both"/>
        <w:rPr>
          <w:rFonts w:ascii="Times New Roman" w:hAnsi="Times New Roman" w:cs="Times New Roman"/>
          <w:noProof/>
          <w:sz w:val="24"/>
        </w:rPr>
      </w:pPr>
      <w:r w:rsidRPr="00BC4EE7">
        <w:rPr>
          <w:rFonts w:ascii="Times New Roman" w:hAnsi="Times New Roman" w:cs="Times New Roman"/>
          <w:noProof/>
          <w:sz w:val="24"/>
        </w:rPr>
        <w:t>A végrehajtó partner által végrehajtott digitális beruházásokra vonatkozó követelmények: a Helyreállítási és Rezilienciaépítési Eszközbe történő beruházásból legalább 4 000 000 000 EUR-nak a Helyreállítási és Rezilienciaépítési Eszközről szóló rendelet VII. mellékletével összhangban hozzá kell járulnia a digitális átállással kapcsolatos célkitűzésekhez.</w:t>
      </w:r>
      <w:r w:rsidRPr="00BC4EE7">
        <w:rPr>
          <w:rStyle w:val="FootnoteReference"/>
          <w:rFonts w:ascii="Times New Roman" w:hAnsi="Times New Roman" w:cs="Times New Roman"/>
          <w:noProof/>
          <w:sz w:val="24"/>
        </w:rPr>
        <w:footnoteReference w:id="123"/>
      </w:r>
      <w:r w:rsidRPr="00BC4EE7">
        <w:rPr>
          <w:rFonts w:ascii="Times New Roman" w:hAnsi="Times New Roman" w:cs="Times New Roman"/>
          <w:noProof/>
          <w:sz w:val="24"/>
        </w:rPr>
        <w:t xml:space="preserve"> </w:t>
      </w:r>
    </w:p>
    <w:p w14:paraId="347335BE" w14:textId="7DF526FE" w:rsidR="00D65CB4" w:rsidRPr="00BC4EE7" w:rsidRDefault="00572307">
      <w:pPr>
        <w:pStyle w:val="P68B1DB1-ListParagraph6"/>
        <w:numPr>
          <w:ilvl w:val="0"/>
          <w:numId w:val="766"/>
        </w:numPr>
        <w:jc w:val="both"/>
        <w:rPr>
          <w:rFonts w:cs="Times New Roman"/>
          <w:noProof/>
        </w:rPr>
      </w:pPr>
      <w:r w:rsidRPr="00BC4EE7">
        <w:rPr>
          <w:rFonts w:cs="Times New Roman"/>
          <w:noProof/>
        </w:rPr>
        <w:t xml:space="preserve">A pénzügyi közvetítők kiválasztására vonatkozó követelmények: Az ICO nyílt, átlátható és megkülönböztetésmentes módon választja ki a pénzügyi közvetítőket. A pénzügyi közvetítőket érintő összeférhetetlenség hiányára vonatkozó ellenőrzéseket előzetesen el kell végezni az informatikai rendszeren, például a Minerván keresztül valamennyi érintett pénzügyi szereplő esetében. </w:t>
      </w:r>
    </w:p>
    <w:p w14:paraId="6AC5F13F" w14:textId="1599992A" w:rsidR="00D65CB4" w:rsidRPr="00BC4EE7" w:rsidRDefault="00572307">
      <w:pPr>
        <w:pStyle w:val="P68B1DB1-Normal4"/>
        <w:numPr>
          <w:ilvl w:val="0"/>
          <w:numId w:val="766"/>
        </w:numPr>
        <w:spacing w:after="160" w:line="240" w:lineRule="auto"/>
        <w:jc w:val="both"/>
        <w:rPr>
          <w:rFonts w:cs="Times New Roman"/>
          <w:noProof/>
        </w:rPr>
      </w:pPr>
      <w:r w:rsidRPr="00BC4EE7">
        <w:rPr>
          <w:rFonts w:cs="Times New Roman"/>
          <w:noProof/>
        </w:rPr>
        <w:t xml:space="preserve">Finanszírozási megállapodások aláírására vonatkozó kötelezettség: A tengely finanszírozási megállapodásokat ír alá a pénzügyi közvetítőkkel a végrehajtási megállapodás mellékleteként benyújtandó kulcsfontosságú követelményeknek megfelelően. A finanszírozási megállapodás fő követelményeinek magukban kell foglalniuk mindazokat a követelményeket, amelyek alapján az eszköz működik, beleértve a következőket: </w:t>
      </w:r>
    </w:p>
    <w:p w14:paraId="46C4FBEB" w14:textId="409595C2" w:rsidR="00D65CB4" w:rsidRPr="00BC4EE7" w:rsidRDefault="00572307">
      <w:pPr>
        <w:pStyle w:val="P68B1DB1-Normal4"/>
        <w:numPr>
          <w:ilvl w:val="1"/>
          <w:numId w:val="766"/>
        </w:numPr>
        <w:spacing w:after="160" w:line="240" w:lineRule="auto"/>
        <w:jc w:val="both"/>
        <w:rPr>
          <w:rFonts w:cs="Times New Roman"/>
          <w:noProof/>
        </w:rPr>
      </w:pPr>
      <w:r w:rsidRPr="00BC4EE7">
        <w:rPr>
          <w:rFonts w:cs="Times New Roman"/>
          <w:noProof/>
        </w:rPr>
        <w:t>A pénzügyi közvetítő azon kötelezettsége, hogy döntéseit értelemszerűen a fent meghatározott döntéshozatali és beruházási politikai követelményeknek megfelelően hozza meg, beleértve a DNSH-elv tiszteletben tartásával kapcsolatos követelményeket is.</w:t>
      </w:r>
    </w:p>
    <w:p w14:paraId="5E4BC8D8" w14:textId="63FFD13C" w:rsidR="00D65CB4" w:rsidRPr="00BC4EE7" w:rsidRDefault="00572307">
      <w:pPr>
        <w:pStyle w:val="P68B1DB1-Normal4"/>
        <w:numPr>
          <w:ilvl w:val="1"/>
          <w:numId w:val="766"/>
        </w:numPr>
        <w:spacing w:after="160" w:line="240" w:lineRule="auto"/>
        <w:jc w:val="both"/>
        <w:rPr>
          <w:rFonts w:eastAsia="Times New Roman" w:cs="Times New Roman"/>
          <w:noProof/>
        </w:rPr>
      </w:pPr>
      <w:r w:rsidRPr="00BC4EE7">
        <w:rPr>
          <w:rFonts w:cs="Times New Roman"/>
          <w:noProof/>
        </w:rPr>
        <w:t xml:space="preserve">A pénzügyi közvetítő által létrehozandó nyomonkövetési, ellenőrzési és kontrollkeret leírása, amelyre értelemszerűen a fent meghatározott valamennyi nyomonkövetési, ellenőrzési és kontrollkövetelmény vonatkozik. </w:t>
      </w:r>
    </w:p>
    <w:p w14:paraId="1C64E7F4" w14:textId="77777777" w:rsidR="00D65CB4" w:rsidRPr="00BC4EE7" w:rsidRDefault="00572307">
      <w:pPr>
        <w:pStyle w:val="P68B1DB1-Normal4"/>
        <w:jc w:val="both"/>
        <w:rPr>
          <w:rFonts w:eastAsia="Times New Roman" w:cs="Times New Roman"/>
          <w:noProof/>
        </w:rPr>
      </w:pPr>
      <w:r w:rsidRPr="00BC4EE7">
        <w:rPr>
          <w:rFonts w:cs="Times New Roman"/>
          <w:noProof/>
        </w:rPr>
        <w:t>Az intézkedés végrehajtását 2026. augusztus 31-ig be kell fejezni.</w:t>
      </w:r>
    </w:p>
    <w:p w14:paraId="66233B2E" w14:textId="0466CC2F" w:rsidR="00D65CB4" w:rsidRPr="00BC4EE7" w:rsidRDefault="00572307">
      <w:pPr>
        <w:pStyle w:val="P68B1DB1-Normal5"/>
        <w:tabs>
          <w:tab w:val="left" w:pos="7280"/>
        </w:tabs>
        <w:rPr>
          <w:rFonts w:cs="Times New Roman"/>
          <w:noProof/>
        </w:rPr>
      </w:pPr>
      <w:r w:rsidRPr="00BC4EE7">
        <w:rPr>
          <w:rFonts w:cs="Times New Roman"/>
          <w:noProof/>
        </w:rPr>
        <w:t xml:space="preserve">Beruházás </w:t>
      </w:r>
      <w:bookmarkStart w:id="38" w:name="_Hlk141289356"/>
      <w:r w:rsidRPr="00BC4EE7">
        <w:rPr>
          <w:rFonts w:cs="Times New Roman"/>
          <w:noProof/>
        </w:rPr>
        <w:t>(C13.I8) – társbefektetési alap (FOCO)</w:t>
      </w:r>
      <w:bookmarkEnd w:id="38"/>
    </w:p>
    <w:p w14:paraId="70A22EBF" w14:textId="152CC236" w:rsidR="00D65CB4" w:rsidRPr="00BC4EE7" w:rsidRDefault="00572307">
      <w:pPr>
        <w:spacing w:line="240" w:lineRule="auto"/>
        <w:jc w:val="both"/>
        <w:rPr>
          <w:rStyle w:val="normaltextrun"/>
          <w:rFonts w:ascii="Times New Roman" w:eastAsia="Times New Roman" w:hAnsi="Times New Roman" w:cs="Times New Roman"/>
          <w:noProof/>
          <w:sz w:val="24"/>
          <w:shd w:val="clear" w:color="auto" w:fill="FFFFFF"/>
        </w:rPr>
      </w:pPr>
      <w:bookmarkStart w:id="39" w:name="_Hlk140753831"/>
      <w:r w:rsidRPr="00BC4EE7">
        <w:rPr>
          <w:rStyle w:val="normaltextrun"/>
          <w:rFonts w:ascii="Times New Roman" w:hAnsi="Times New Roman" w:cs="Times New Roman"/>
          <w:noProof/>
          <w:sz w:val="24"/>
          <w:shd w:val="clear" w:color="auto" w:fill="FFFFFF"/>
        </w:rPr>
        <w:t>Ez az intézkedés egy eszközbe, a társbefektetési alapba történő közberuházásból áll, amelynek célja a magánberuházások ösztönzése és a finanszírozáshoz való hozzáférés javítása Spanyolország stratégiai ágazataiban, különösen a zöld és digitális átálláshoz és a PERTE-hez kapcsolódó ágazatokban, valamint a tőkepiacok fejlesztése ezeken a területeken. Az eszköz úgy működik, hogy kölcsönöket, sajáttőke- és kvázisajáttőke-befektetéseket nyújt harmadik fél külföldi és multilaterális intézményi befektetőkkel közösen, közvetlenül vagy közvetítőkön keresztül a magánszektornak. A Helyreállítási és Rezilienciaépítési Eszköz beruházásai alapján az eszköz célja kezdetben legalább 2 000 000 000 EUR összegű finanszírozás biztosítása.</w:t>
      </w:r>
    </w:p>
    <w:p w14:paraId="18E849D4" w14:textId="339B9B0A" w:rsidR="00D65CB4" w:rsidRPr="00BC4EE7" w:rsidRDefault="00572307">
      <w:pPr>
        <w:spacing w:line="240" w:lineRule="auto"/>
        <w:jc w:val="both"/>
        <w:rPr>
          <w:rStyle w:val="normaltextrun"/>
          <w:rFonts w:ascii="Times New Roman" w:eastAsia="Times New Roman" w:hAnsi="Times New Roman" w:cs="Times New Roman"/>
          <w:noProof/>
          <w:sz w:val="24"/>
          <w:shd w:val="clear" w:color="auto" w:fill="FFFFFF"/>
        </w:rPr>
      </w:pPr>
      <w:r w:rsidRPr="00BC4EE7">
        <w:rPr>
          <w:rStyle w:val="normaltextrun"/>
          <w:rFonts w:ascii="Times New Roman" w:hAnsi="Times New Roman" w:cs="Times New Roman"/>
          <w:noProof/>
          <w:sz w:val="24"/>
          <w:shd w:val="clear" w:color="auto" w:fill="FFFFFF"/>
        </w:rPr>
        <w:t xml:space="preserve">Az eszközt végrehajtó partnerként a Compañía Española de Financiación del Desarrollo (COFIDES) kezeli. A beruházási keret a következő terméksorokat foglalja magában: </w:t>
      </w:r>
    </w:p>
    <w:bookmarkEnd w:id="39"/>
    <w:p w14:paraId="2F08DC91" w14:textId="1D0A116A" w:rsidR="00D65CB4" w:rsidRPr="00BC4EE7" w:rsidRDefault="00572307">
      <w:pPr>
        <w:pStyle w:val="P68B1DB1-ListParagraph6"/>
        <w:numPr>
          <w:ilvl w:val="0"/>
          <w:numId w:val="614"/>
        </w:numPr>
        <w:jc w:val="both"/>
        <w:rPr>
          <w:rFonts w:cs="Times New Roman"/>
          <w:noProof/>
        </w:rPr>
      </w:pPr>
      <w:r w:rsidRPr="00BC4EE7">
        <w:rPr>
          <w:rFonts w:cs="Times New Roman"/>
          <w:noProof/>
        </w:rPr>
        <w:t>Közvetlen vezeték: Az eszköz közvetlenül társberuházást végez harmadik fél külföldi intézményi befektetőkkel olyan vállalatokba, amelyek kötelezettséget vállaltak arra, hogy új projekteket hajtanak végre Spanyolország stratégiai gazdasági ágazataiban, beleértve a zöld és digitális átálláshoz, valamint a PERTE-hez kapcsolódó projekteket is. A Keretnek képesnek kell lennie arra, hogy hitel-, sajáttőke- és kvázisajáttőke-eszközök felhasználásával fektessenek be. Az Alap tőkebefektetései nem eredményezhetik azt, hogy a végső kedvezményezettben a köztulajdonban lévő tőke aránya meghaladja a teljes saját tőke 49%-át.</w:t>
      </w:r>
    </w:p>
    <w:p w14:paraId="18F00A58" w14:textId="5694BED6" w:rsidR="00D65CB4" w:rsidRPr="00BC4EE7" w:rsidRDefault="00572307">
      <w:pPr>
        <w:pStyle w:val="P68B1DB1-ListParagraph6"/>
        <w:numPr>
          <w:ilvl w:val="0"/>
          <w:numId w:val="614"/>
        </w:numPr>
        <w:jc w:val="both"/>
        <w:rPr>
          <w:rFonts w:cs="Times New Roman"/>
          <w:noProof/>
        </w:rPr>
      </w:pPr>
      <w:r w:rsidRPr="00BC4EE7">
        <w:rPr>
          <w:rFonts w:cs="Times New Roman"/>
          <w:noProof/>
        </w:rPr>
        <w:t xml:space="preserve">Közvetett vonal: Az eszköz olyan meglévő alapokba fektet be, amelyek az eszköz által megcélzott ágazatokba fektetnek be, és képesnek kell lennie arra, hogy testre szabott finanszírozási eszközöket hozzon létre ugyanazon ágazatok számára. A Békekeret maximális részesedése nem haladhatja meg bármely alap vagy egyéb befektetési eszköz 49%-át, és nem eredményezheti azt, hogy az alapban vagy befektetési eszközben az állami tulajdonban lévő tőke részesedése meghaladja a teljes saját tőke 49%-át. </w:t>
      </w:r>
    </w:p>
    <w:p w14:paraId="4BC9837F" w14:textId="2369EFA3" w:rsidR="00D65CB4" w:rsidRPr="00BC4EE7" w:rsidRDefault="00572307">
      <w:pPr>
        <w:spacing w:line="240" w:lineRule="auto"/>
        <w:jc w:val="both"/>
        <w:rPr>
          <w:rStyle w:val="normaltextrun"/>
          <w:rFonts w:ascii="Times New Roman" w:eastAsia="Times New Roman" w:hAnsi="Times New Roman" w:cs="Times New Roman"/>
          <w:noProof/>
          <w:sz w:val="24"/>
          <w:shd w:val="clear" w:color="auto" w:fill="FFFFFF"/>
        </w:rPr>
      </w:pPr>
      <w:bookmarkStart w:id="40" w:name="_Hlk140753801"/>
      <w:r w:rsidRPr="00BC4EE7">
        <w:rPr>
          <w:rStyle w:val="normaltextrun"/>
          <w:rFonts w:ascii="Times New Roman" w:hAnsi="Times New Roman" w:cs="Times New Roman"/>
          <w:noProof/>
          <w:sz w:val="24"/>
          <w:shd w:val="clear" w:color="auto" w:fill="FFFFFF"/>
        </w:rPr>
        <w:t>A harmadik fél befektetők általi társbefektetésnek legalább egyenértékűnek kell lennie a Keret hozzájárulásával, és egyenlő feltételek mellett kell befektetnie. A harmadik fél társberuházók közé tartozhatnak többek között a következők:</w:t>
      </w:r>
    </w:p>
    <w:p w14:paraId="357ABC3A" w14:textId="1E36AF4D" w:rsidR="00D65CB4" w:rsidRPr="00BC4EE7" w:rsidRDefault="00572307">
      <w:pPr>
        <w:pStyle w:val="P68B1DB1-ListParagraph6"/>
        <w:numPr>
          <w:ilvl w:val="0"/>
          <w:numId w:val="614"/>
        </w:numPr>
        <w:jc w:val="both"/>
        <w:rPr>
          <w:rFonts w:cs="Times New Roman"/>
          <w:noProof/>
        </w:rPr>
      </w:pPr>
      <w:r w:rsidRPr="00BC4EE7">
        <w:rPr>
          <w:rFonts w:cs="Times New Roman"/>
          <w:noProof/>
        </w:rPr>
        <w:t xml:space="preserve">Külföldi közintézmények, például állami nyugdíjalapok, állami és állam alatti alapok, magántőkepiacokba befektető multilaterális intézmények (például az Európai Beruházási Alap). </w:t>
      </w:r>
    </w:p>
    <w:p w14:paraId="7F753F2C" w14:textId="295DC384" w:rsidR="00D65CB4" w:rsidRPr="00BC4EE7" w:rsidRDefault="00572307">
      <w:pPr>
        <w:pStyle w:val="P68B1DB1-ListParagraph6"/>
        <w:numPr>
          <w:ilvl w:val="0"/>
          <w:numId w:val="614"/>
        </w:numPr>
        <w:jc w:val="both"/>
        <w:rPr>
          <w:rFonts w:cs="Times New Roman"/>
          <w:noProof/>
        </w:rPr>
      </w:pPr>
      <w:r w:rsidRPr="00BC4EE7">
        <w:rPr>
          <w:rFonts w:cs="Times New Roman"/>
          <w:noProof/>
        </w:rPr>
        <w:t xml:space="preserve">Külföldi hosszú távú intézményi magánbefektetők, például befektetési alapok, nyugdíjalapok vagy biztosítótársaságok. </w:t>
      </w:r>
    </w:p>
    <w:p w14:paraId="7B0C2C5C" w14:textId="0D226C0F" w:rsidR="00D65CB4" w:rsidRPr="00BC4EE7" w:rsidRDefault="00572307">
      <w:pPr>
        <w:pStyle w:val="P68B1DB1-ListParagraph6"/>
        <w:numPr>
          <w:ilvl w:val="0"/>
          <w:numId w:val="614"/>
        </w:numPr>
        <w:jc w:val="both"/>
        <w:rPr>
          <w:rFonts w:cs="Times New Roman"/>
          <w:noProof/>
        </w:rPr>
      </w:pPr>
      <w:r w:rsidRPr="00BC4EE7">
        <w:rPr>
          <w:rFonts w:cs="Times New Roman"/>
          <w:noProof/>
        </w:rPr>
        <w:t>Belföldi magánbefektetési eszközök és szervezetek, feltéve, hogy külföldi magánbefektetőktől származó pénzügyi forrásokat mozgósítanak.</w:t>
      </w:r>
    </w:p>
    <w:p w14:paraId="1D0EBDC2" w14:textId="6D957821" w:rsidR="00D65CB4" w:rsidRPr="00BC4EE7" w:rsidRDefault="00572307">
      <w:pPr>
        <w:pStyle w:val="P68B1DB1-ListParagraph6"/>
        <w:numPr>
          <w:ilvl w:val="0"/>
          <w:numId w:val="614"/>
        </w:numPr>
        <w:jc w:val="both"/>
        <w:rPr>
          <w:rFonts w:cs="Times New Roman"/>
          <w:noProof/>
        </w:rPr>
      </w:pPr>
      <w:r w:rsidRPr="00BC4EE7">
        <w:rPr>
          <w:rFonts w:cs="Times New Roman"/>
          <w:noProof/>
        </w:rPr>
        <w:t>Külföldi tőketársaságok, amelyek vállalati számadatokban vesznek részt Spanyolországban olyan beruházási projektek és termelési tevékenységek végrehajtása céljából, amelyek az alapból támogathatók.</w:t>
      </w:r>
    </w:p>
    <w:p w14:paraId="59928A86" w14:textId="1BBF7AFF" w:rsidR="00D65CB4" w:rsidRPr="00BC4EE7" w:rsidRDefault="00572307">
      <w:pPr>
        <w:pStyle w:val="P68B1DB1-Normal4"/>
        <w:spacing w:line="240" w:lineRule="auto"/>
        <w:jc w:val="both"/>
        <w:rPr>
          <w:rFonts w:eastAsia="Times New Roman" w:cs="Times New Roman"/>
          <w:noProof/>
        </w:rPr>
      </w:pPr>
      <w:bookmarkStart w:id="41" w:name="_Hlk145620018"/>
      <w:r w:rsidRPr="00BC4EE7">
        <w:rPr>
          <w:rFonts w:cs="Times New Roman"/>
          <w:noProof/>
        </w:rPr>
        <w:t xml:space="preserve">Az eszközbe történő beruházás végrehajtása érdekében Spanyolország rendeletet és bármely kapcsolódó dokumentumot hagy jóvá az eszköz létrehozásáról és irányításáról, amely a következő tartalmat tartalmazza: </w:t>
      </w:r>
    </w:p>
    <w:bookmarkEnd w:id="41"/>
    <w:p w14:paraId="51770341" w14:textId="02C8A9BD" w:rsidR="00D65CB4" w:rsidRPr="00BC4EE7" w:rsidRDefault="00572307">
      <w:pPr>
        <w:pStyle w:val="P68B1DB1-ListParagraph6"/>
        <w:numPr>
          <w:ilvl w:val="0"/>
          <w:numId w:val="745"/>
        </w:numPr>
        <w:spacing w:line="240" w:lineRule="auto"/>
        <w:contextualSpacing w:val="0"/>
        <w:jc w:val="both"/>
        <w:rPr>
          <w:rFonts w:eastAsia="Times New Roman" w:cs="Times New Roman"/>
          <w:noProof/>
        </w:rPr>
      </w:pPr>
      <w:r w:rsidRPr="00BC4EE7">
        <w:rPr>
          <w:rFonts w:cs="Times New Roman"/>
          <w:noProof/>
        </w:rPr>
        <w:t>Az eszköz döntéshozatali folyamatának leírása:  Az eszköz kezdeti beruházási döntését beruházási bizottság vagy más, azzal egyenértékű irányító testület hozza meg, és a spanyol kormánytól független tagok szavazatainak többségével hagyja jóvá. Az eszköz végleges beruházási döntése a beruházási bizottság vagy azzal egyenértékű irányító testület által javasolt beruházási döntés (módosítás nélküli) jóváhagyására, vagy a döntéssel kapcsolatos vétójog gyakorlására korlátozódik. A közvetített beruházások esetében a végső beruházási döntést a közvetítők hozzák meg.</w:t>
      </w:r>
    </w:p>
    <w:p w14:paraId="5DC4A5C2" w14:textId="77777777" w:rsidR="00D65CB4" w:rsidRPr="00BC4EE7" w:rsidRDefault="00572307">
      <w:pPr>
        <w:pStyle w:val="P68B1DB1-ListParagraph6"/>
        <w:numPr>
          <w:ilvl w:val="0"/>
          <w:numId w:val="745"/>
        </w:numPr>
        <w:spacing w:line="240" w:lineRule="auto"/>
        <w:jc w:val="both"/>
        <w:rPr>
          <w:rFonts w:eastAsia="Times New Roman" w:cs="Times New Roman"/>
          <w:noProof/>
        </w:rPr>
      </w:pPr>
      <w:r w:rsidRPr="00BC4EE7">
        <w:rPr>
          <w:rFonts w:cs="Times New Roman"/>
          <w:noProof/>
        </w:rPr>
        <w:t>A kapcsolódó beruházási politika fő követelményei, amelyek a következőket foglalják magukban:</w:t>
      </w:r>
    </w:p>
    <w:p w14:paraId="5C17F8D0" w14:textId="6C581C56" w:rsidR="00D65CB4" w:rsidRPr="00BC4EE7" w:rsidRDefault="00572307">
      <w:pPr>
        <w:pStyle w:val="ListParagraph"/>
        <w:numPr>
          <w:ilvl w:val="1"/>
          <w:numId w:val="745"/>
        </w:numPr>
        <w:spacing w:line="240" w:lineRule="auto"/>
        <w:jc w:val="both"/>
        <w:rPr>
          <w:rFonts w:ascii="Times New Roman" w:eastAsia="Times New Roman" w:hAnsi="Times New Roman" w:cs="Times New Roman"/>
          <w:noProof/>
          <w:sz w:val="24"/>
        </w:rPr>
      </w:pPr>
      <w:r w:rsidRPr="00BC4EE7">
        <w:rPr>
          <w:rFonts w:ascii="Times New Roman" w:hAnsi="Times New Roman" w:cs="Times New Roman"/>
          <w:noProof/>
          <w:sz w:val="24"/>
        </w:rPr>
        <w:t>A pénzügyi termékek és a támogatható végső kedvezményezettek leírása az intézkedés leírásával összhangban. Stratégiai beruházások, azaz az Európai Védelmi Alap éves munkaprogramjában meghatározott védelmi technológiákba és termékekbe történő beruházások; űrberuházás atomórákba, stratégiai hordozórakétákba; és űripari termékek;  valamint a kizárólag kiberbiztonsági eszközök és megoldások fejlesztésére és bevezetésére összpontosító beruházások, beleértve azokat az eseteket is, amikor ezek a digitális hálózatok és adatinfrastruktúra kiépítésének vagy korszerűsítésének részét képezik; a végső kedvezményezettek nem állhatnak harmadik ország vagy harmadik országbeli szervezet ellenőrzése alatt, és ügyvezető ügyvezetésüknek az Unióban kell lennie, kivéve a 10 000 000 EUR alatti beruházásokat. Ha a végső kedvezményezett stratégiai beruházásban vesz részt az 5G konnektivitás területén, az 5G kiberbiztonsági eszköztár szerinti intézkedéseket és kockázatcsökkentési terveket a beszállítóira is</w:t>
      </w:r>
      <w:r w:rsidRPr="00BC4EE7">
        <w:rPr>
          <w:rStyle w:val="FootnoteReference"/>
          <w:rFonts w:ascii="Times New Roman" w:eastAsia="Times New Roman" w:hAnsi="Times New Roman" w:cs="Times New Roman"/>
          <w:noProof/>
          <w:sz w:val="24"/>
        </w:rPr>
        <w:footnoteReference w:id="124"/>
      </w:r>
      <w:r w:rsidRPr="00BC4EE7">
        <w:rPr>
          <w:rFonts w:ascii="Times New Roman" w:hAnsi="Times New Roman" w:cs="Times New Roman"/>
          <w:noProof/>
          <w:sz w:val="24"/>
        </w:rPr>
        <w:t xml:space="preserve"> alkalmazni kell. E beszállítók közé tartoznak a távközlési berendezések gyártóinak értékesítési partnerei és az egyéb harmadik fél beszállítók, így például a felhőalapú infrastruktúrák szolgáltatói, a bérelt szolgáltatást nyújtók (managed service providers), a rendszerintegrátorok, a biztonsággal és karbantartással foglalkozó vállalkozók és az átviteli berendezések gyártói. Amennyiben a végső kedvezményezett védelmi stratégiai beruházásban vesz részt, ez a korlátozás a beszállítóira és alvállalkozóira is vonatkozik. A harmadik ország vagy harmadik országbeli szervezet általi ellenőrzés hiányára vonatkozó, a fenti három bekezdésben meghatározott korlátozások nem alkalmazandók egy adott finanszírozási és beruházási műveletre, amennyiben a végső kedvezményezett bizonyítani tudja, hogy olyan jogalany, amelyre vonatkozóan a székhelye szerinti tagállam az Európai Védelmi Alapról (a továbbiakban: EDF) szóló rendelet vonatkozó rendelkezéseiben meghatározott, a támogatható szervezetekre vonatkozó elvekkel összhangban garanciát hagyott jóvá,</w:t>
      </w:r>
      <w:r w:rsidRPr="00BC4EE7">
        <w:rPr>
          <w:rStyle w:val="FootnoteReference"/>
          <w:rFonts w:ascii="Times New Roman" w:eastAsia="Times New Roman" w:hAnsi="Times New Roman" w:cs="Times New Roman"/>
          <w:noProof/>
          <w:sz w:val="24"/>
        </w:rPr>
        <w:footnoteReference w:id="125"/>
      </w:r>
      <w:r w:rsidRPr="00BC4EE7">
        <w:rPr>
          <w:rFonts w:ascii="Times New Roman" w:hAnsi="Times New Roman" w:cs="Times New Roman"/>
          <w:noProof/>
          <w:sz w:val="24"/>
        </w:rPr>
        <w:t xml:space="preserve"> vagy a Bizottság által a támogatható szervezetekre vonatkozóan az űrrendelet vonatkozó rendelkezéseiben meghatározott elvekkel összhangban adott felmentést</w:t>
      </w:r>
      <w:r w:rsidRPr="00BC4EE7">
        <w:rPr>
          <w:rStyle w:val="FootnoteReference"/>
          <w:rFonts w:ascii="Times New Roman" w:eastAsia="Times New Roman" w:hAnsi="Times New Roman" w:cs="Times New Roman"/>
          <w:noProof/>
          <w:sz w:val="24"/>
        </w:rPr>
        <w:footnoteReference w:id="126"/>
      </w:r>
      <w:r w:rsidRPr="00BC4EE7">
        <w:rPr>
          <w:rFonts w:ascii="Times New Roman" w:hAnsi="Times New Roman" w:cs="Times New Roman"/>
          <w:noProof/>
          <w:sz w:val="24"/>
        </w:rPr>
        <w:t xml:space="preserve">. A végrehajtó partnernek értesítenie kell a kormányt a korlátozások alól engedélyezett bármely eltérésről.   </w:t>
      </w:r>
    </w:p>
    <w:p w14:paraId="1EB12EA3" w14:textId="77777777" w:rsidR="00D65CB4" w:rsidRPr="00BC4EE7" w:rsidRDefault="00572307">
      <w:pPr>
        <w:pStyle w:val="P68B1DB1-ListParagraph6"/>
        <w:numPr>
          <w:ilvl w:val="1"/>
          <w:numId w:val="745"/>
        </w:numPr>
        <w:spacing w:line="240" w:lineRule="auto"/>
        <w:jc w:val="both"/>
        <w:rPr>
          <w:rFonts w:eastAsia="Times New Roman" w:cs="Times New Roman"/>
          <w:noProof/>
        </w:rPr>
      </w:pPr>
      <w:r w:rsidRPr="00BC4EE7">
        <w:rPr>
          <w:rFonts w:cs="Times New Roman"/>
          <w:noProof/>
        </w:rPr>
        <w:t>Az a követelmény, hogy minden támogatott beruházás gazdaságilag életképes legyen.</w:t>
      </w:r>
    </w:p>
    <w:p w14:paraId="0E56EC59" w14:textId="77777777" w:rsidR="00D65CB4" w:rsidRPr="00BC4EE7" w:rsidRDefault="00572307">
      <w:pPr>
        <w:pStyle w:val="P68B1DB1-ListParagraph6"/>
        <w:numPr>
          <w:ilvl w:val="1"/>
          <w:numId w:val="745"/>
        </w:numPr>
        <w:spacing w:line="240" w:lineRule="auto"/>
        <w:jc w:val="both"/>
        <w:rPr>
          <w:rFonts w:eastAsia="Times New Roman" w:cs="Times New Roman"/>
          <w:noProof/>
        </w:rPr>
      </w:pPr>
      <w:r w:rsidRPr="00BC4EE7">
        <w:rPr>
          <w:rFonts w:cs="Times New Roman"/>
          <w:noProof/>
        </w:rPr>
        <w:t xml:space="preserve">A fennálló hitelek refinanszírozásának tilalma.  </w:t>
      </w:r>
    </w:p>
    <w:p w14:paraId="37B5D099" w14:textId="77777777" w:rsidR="00D65CB4" w:rsidRPr="00BC4EE7" w:rsidRDefault="00572307">
      <w:pPr>
        <w:pStyle w:val="P68B1DB1-ListParagraph6"/>
        <w:numPr>
          <w:ilvl w:val="1"/>
          <w:numId w:val="745"/>
        </w:numPr>
        <w:spacing w:line="240" w:lineRule="auto"/>
        <w:jc w:val="both"/>
        <w:rPr>
          <w:rFonts w:eastAsia="Times New Roman" w:cs="Times New Roman"/>
          <w:noProof/>
        </w:rPr>
      </w:pPr>
      <w:r w:rsidRPr="00BC4EE7">
        <w:rPr>
          <w:rFonts w:cs="Times New Roman"/>
          <w:noProof/>
        </w:rPr>
        <w:t xml:space="preserve">A jelentős károkozás elkerülését célzó elvnek való megfelelés követelménye a DNSH technikai iránymutatásban (2021/C58/01), különösen: </w:t>
      </w:r>
    </w:p>
    <w:p w14:paraId="6CF4F264" w14:textId="6D012AC6" w:rsidR="00D65CB4" w:rsidRPr="00BC4EE7" w:rsidRDefault="00572307">
      <w:pPr>
        <w:pStyle w:val="ListParagraph"/>
        <w:numPr>
          <w:ilvl w:val="2"/>
          <w:numId w:val="745"/>
        </w:numPr>
        <w:jc w:val="both"/>
        <w:rPr>
          <w:rFonts w:ascii="Times New Roman" w:eastAsia="Times New Roman" w:hAnsi="Times New Roman" w:cs="Times New Roman"/>
          <w:noProof/>
          <w:sz w:val="24"/>
        </w:rPr>
      </w:pPr>
      <w:r w:rsidRPr="00BC4EE7">
        <w:rPr>
          <w:rFonts w:ascii="Times New Roman" w:hAnsi="Times New Roman" w:cs="Times New Roman"/>
          <w:noProof/>
          <w:sz w:val="24"/>
        </w:rPr>
        <w:t>Hitelek, projektkötvények vagy ezekkel egyenértékű eszközök esetében: a befektetési politika kizárja a támogathatóság köréből a következő tevékenységek és eszközök listáját: i. a fosszilis tüzelőanyagokhoz kapcsolódó tevékenységek és eszközök, beleértve a downstream felhasználást is, ii. az uniós kibocsátáskereskedelmi rendszer</w:t>
      </w:r>
      <w:r w:rsidRPr="00BC4EE7">
        <w:rPr>
          <w:rStyle w:val="FootnoteReference"/>
          <w:rFonts w:ascii="Times New Roman" w:eastAsia="Times New Roman" w:hAnsi="Times New Roman" w:cs="Times New Roman"/>
          <w:noProof/>
          <w:sz w:val="24"/>
        </w:rPr>
        <w:footnoteReference w:id="127"/>
      </w:r>
      <w:r w:rsidRPr="00BC4EE7">
        <w:rPr>
          <w:rFonts w:ascii="Times New Roman" w:hAnsi="Times New Roman" w:cs="Times New Roman"/>
          <w:noProof/>
          <w:sz w:val="24"/>
        </w:rPr>
        <w:t>(ETS) keretébe tartozó tevékenységek és eszközök, amelyek elérik a vonatkozó referenciaértékeket meg nem haladó, előre jelzett üvegházhatásúgáz-kibocsátást, iii. a hulladéklerakókhoz, égetőművekhez és mechanikai-biológiai hulladékkezelő létesítményekhez kapcsolódó</w:t>
      </w:r>
      <w:r w:rsidRPr="00BC4EE7">
        <w:rPr>
          <w:rStyle w:val="FootnoteReference"/>
          <w:rFonts w:ascii="Times New Roman" w:eastAsia="Times New Roman" w:hAnsi="Times New Roman" w:cs="Times New Roman"/>
          <w:noProof/>
          <w:sz w:val="24"/>
        </w:rPr>
        <w:footnoteReference w:id="128"/>
      </w:r>
      <w:r w:rsidRPr="00BC4EE7">
        <w:rPr>
          <w:rFonts w:ascii="Times New Roman" w:hAnsi="Times New Roman" w:cs="Times New Roman"/>
          <w:noProof/>
          <w:sz w:val="24"/>
        </w:rPr>
        <w:t xml:space="preserve"> tevékenységek</w:t>
      </w:r>
      <w:r w:rsidRPr="00BC4EE7">
        <w:rPr>
          <w:rStyle w:val="FootnoteReference"/>
          <w:rFonts w:ascii="Times New Roman" w:hAnsi="Times New Roman" w:cs="Times New Roman"/>
          <w:noProof/>
          <w:sz w:val="24"/>
        </w:rPr>
        <w:footnoteReference w:id="129"/>
      </w:r>
      <w:r w:rsidRPr="00BC4EE7">
        <w:rPr>
          <w:rFonts w:ascii="Times New Roman" w:hAnsi="Times New Roman" w:cs="Times New Roman"/>
          <w:noProof/>
          <w:sz w:val="24"/>
        </w:rPr>
        <w:t xml:space="preserve"> és eszközök</w:t>
      </w:r>
      <w:r w:rsidRPr="00BC4EE7">
        <w:rPr>
          <w:rStyle w:val="FootnoteReference"/>
          <w:rFonts w:ascii="Times New Roman" w:hAnsi="Times New Roman" w:cs="Times New Roman"/>
          <w:noProof/>
          <w:sz w:val="24"/>
        </w:rPr>
        <w:footnoteReference w:id="130"/>
      </w:r>
      <w:r w:rsidRPr="00BC4EE7">
        <w:rPr>
          <w:rFonts w:ascii="Times New Roman" w:hAnsi="Times New Roman" w:cs="Times New Roman"/>
          <w:noProof/>
          <w:sz w:val="24"/>
        </w:rPr>
        <w:t>.  Saját tőke, kvázi-sajáttőke, vállalati kötvények vagy ezekkel egyenértékű eszközök esetében:  a beruházási politikának ki kell zárnia azokat a vállalatokat, amelyek jelentős hangsúlyt</w:t>
      </w:r>
      <w:r w:rsidRPr="00BC4EE7">
        <w:rPr>
          <w:rStyle w:val="FootnoteReference"/>
          <w:rFonts w:ascii="Times New Roman" w:eastAsia="Times New Roman" w:hAnsi="Times New Roman" w:cs="Times New Roman"/>
          <w:noProof/>
          <w:sz w:val="24"/>
        </w:rPr>
        <w:footnoteReference w:id="131"/>
      </w:r>
      <w:r w:rsidRPr="00BC4EE7">
        <w:rPr>
          <w:rFonts w:ascii="Times New Roman" w:hAnsi="Times New Roman" w:cs="Times New Roman"/>
          <w:noProof/>
          <w:sz w:val="24"/>
        </w:rPr>
        <w:t xml:space="preserve"> fektetnek a következő ágazatokra: fosszilis tüzelőanyagokon alapuló energiatermelés és kapcsolódó tevékenységek</w:t>
      </w:r>
      <w:r w:rsidRPr="00BC4EE7">
        <w:rPr>
          <w:rStyle w:val="FootnoteReference"/>
          <w:rFonts w:ascii="Times New Roman" w:eastAsia="Times New Roman" w:hAnsi="Times New Roman" w:cs="Times New Roman"/>
          <w:noProof/>
          <w:sz w:val="24"/>
        </w:rPr>
        <w:footnoteReference w:id="132"/>
      </w:r>
      <w:r w:rsidRPr="00BC4EE7">
        <w:rPr>
          <w:rFonts w:ascii="Times New Roman" w:hAnsi="Times New Roman" w:cs="Times New Roman"/>
          <w:noProof/>
          <w:sz w:val="24"/>
        </w:rPr>
        <w:t>; ii. energiaigényes és/vagy magas szén-dioxid-kibocsátású iparágak</w:t>
      </w:r>
      <w:r w:rsidRPr="00BC4EE7">
        <w:rPr>
          <w:rStyle w:val="FootnoteReference"/>
          <w:rFonts w:ascii="Times New Roman" w:eastAsia="Times New Roman" w:hAnsi="Times New Roman" w:cs="Times New Roman"/>
          <w:noProof/>
          <w:sz w:val="24"/>
        </w:rPr>
        <w:footnoteReference w:id="133"/>
      </w:r>
      <w:r w:rsidRPr="00BC4EE7">
        <w:rPr>
          <w:rFonts w:ascii="Times New Roman" w:hAnsi="Times New Roman" w:cs="Times New Roman"/>
          <w:noProof/>
          <w:sz w:val="24"/>
        </w:rPr>
        <w:t>; szennyező járművek gyártása, bérlése vagy értékesítése</w:t>
      </w:r>
      <w:r w:rsidRPr="00BC4EE7">
        <w:rPr>
          <w:rStyle w:val="FootnoteReference"/>
          <w:rFonts w:ascii="Times New Roman" w:eastAsia="Times New Roman" w:hAnsi="Times New Roman" w:cs="Times New Roman"/>
          <w:noProof/>
          <w:sz w:val="24"/>
        </w:rPr>
        <w:footnoteReference w:id="134"/>
      </w:r>
      <w:r w:rsidRPr="00BC4EE7">
        <w:rPr>
          <w:rFonts w:ascii="Times New Roman" w:hAnsi="Times New Roman" w:cs="Times New Roman"/>
          <w:noProof/>
          <w:sz w:val="24"/>
        </w:rPr>
        <w:t>; IV. hulladékgyűjtés, hulladékkezelés és -ártalmatlanítás</w:t>
      </w:r>
      <w:r w:rsidRPr="00BC4EE7">
        <w:rPr>
          <w:rStyle w:val="FootnoteReference"/>
          <w:rFonts w:ascii="Times New Roman" w:eastAsia="Times New Roman" w:hAnsi="Times New Roman" w:cs="Times New Roman"/>
          <w:noProof/>
          <w:sz w:val="24"/>
        </w:rPr>
        <w:footnoteReference w:id="135"/>
      </w:r>
      <w:r w:rsidRPr="00BC4EE7">
        <w:rPr>
          <w:rFonts w:ascii="Times New Roman" w:hAnsi="Times New Roman" w:cs="Times New Roman"/>
          <w:noProof/>
          <w:sz w:val="24"/>
        </w:rPr>
        <w:t>, v. nukleáris üzemanyag feldolgozása, atomenergia előállítása.</w:t>
      </w:r>
    </w:p>
    <w:p w14:paraId="07CDEDD8" w14:textId="77777777" w:rsidR="00D65CB4" w:rsidRPr="00BC4EE7" w:rsidRDefault="00572307">
      <w:pPr>
        <w:pStyle w:val="P68B1DB1-ListParagraph6"/>
        <w:numPr>
          <w:ilvl w:val="2"/>
          <w:numId w:val="745"/>
        </w:numPr>
        <w:jc w:val="both"/>
        <w:rPr>
          <w:rFonts w:eastAsia="Times New Roman" w:cs="Times New Roman"/>
          <w:noProof/>
        </w:rPr>
      </w:pPr>
      <w:r w:rsidRPr="00BC4EE7">
        <w:rPr>
          <w:rFonts w:cs="Times New Roman"/>
          <w:noProof/>
        </w:rPr>
        <w:t>A beruházási politikának továbbá meg kell követelnie az eszköz végső kedvezményezettjeinek a vonatkozó uniós és nemzeti környezetvédelmi jogszabályoknak való megfelelését.</w:t>
      </w:r>
    </w:p>
    <w:p w14:paraId="022A3AD5" w14:textId="77777777" w:rsidR="00D65CB4" w:rsidRPr="00BC4EE7" w:rsidRDefault="00572307">
      <w:pPr>
        <w:pStyle w:val="P68B1DB1-ListParagraph6"/>
        <w:numPr>
          <w:ilvl w:val="1"/>
          <w:numId w:val="745"/>
        </w:numPr>
        <w:jc w:val="both"/>
        <w:rPr>
          <w:rFonts w:eastAsia="Times New Roman" w:cs="Times New Roman"/>
          <w:noProof/>
        </w:rPr>
      </w:pPr>
      <w:r w:rsidRPr="00BC4EE7">
        <w:rPr>
          <w:rFonts w:cs="Times New Roman"/>
          <w:noProof/>
        </w:rPr>
        <w:t>Az a követelmény, hogy az eszköz végső kedvezményezettjei nem részesülhetnek támogatásban más uniós eszközökből ugyanazon költségek fedezésére.</w:t>
      </w:r>
    </w:p>
    <w:p w14:paraId="291FBC2C" w14:textId="54BBCD14" w:rsidR="00D65CB4" w:rsidRPr="00BC4EE7" w:rsidRDefault="00572307">
      <w:pPr>
        <w:pStyle w:val="P68B1DB1-ListParagraph6"/>
        <w:numPr>
          <w:ilvl w:val="0"/>
          <w:numId w:val="745"/>
        </w:numPr>
        <w:jc w:val="both"/>
        <w:rPr>
          <w:rFonts w:eastAsia="Times New Roman" w:cs="Times New Roman"/>
          <w:noProof/>
        </w:rPr>
      </w:pPr>
      <w:r w:rsidRPr="00BC4EE7">
        <w:rPr>
          <w:rFonts w:cs="Times New Roman"/>
          <w:noProof/>
        </w:rPr>
        <w:t>Az eszközt létrehozó rendeletek és kapcsolódó dokumentumok hatálya alá tartozó összeg, a végrehajtó partner díjstruktúrája, valamint az eszköz beruházási politikájának megfelelően a visszafolyó bevételek újbóli befektetésének követelménye, kivéve, ha azokat a Helyreállítási és Rezilienciaépítési Eszköz hiteltörlesztéseinek fedezésére használják fel.</w:t>
      </w:r>
    </w:p>
    <w:p w14:paraId="41829FB4" w14:textId="77777777" w:rsidR="00D65CB4" w:rsidRPr="00BC4EE7" w:rsidRDefault="00572307">
      <w:pPr>
        <w:pStyle w:val="P68B1DB1-ListParagraph6"/>
        <w:numPr>
          <w:ilvl w:val="0"/>
          <w:numId w:val="745"/>
        </w:numPr>
        <w:jc w:val="both"/>
        <w:rPr>
          <w:rFonts w:eastAsia="Times New Roman" w:cs="Times New Roman"/>
          <w:noProof/>
        </w:rPr>
      </w:pPr>
      <w:r w:rsidRPr="00BC4EE7">
        <w:rPr>
          <w:rFonts w:cs="Times New Roman"/>
          <w:noProof/>
        </w:rPr>
        <w:t>Nyomonkövetési, ellenőrzési és kontrollkövetelmények, beleértve a következőket:</w:t>
      </w:r>
    </w:p>
    <w:p w14:paraId="4B35A451" w14:textId="77777777" w:rsidR="00D65CB4" w:rsidRPr="00BC4EE7" w:rsidRDefault="00572307">
      <w:pPr>
        <w:pStyle w:val="P68B1DB1-ListParagraph6"/>
        <w:numPr>
          <w:ilvl w:val="1"/>
          <w:numId w:val="745"/>
        </w:numPr>
        <w:jc w:val="both"/>
        <w:rPr>
          <w:rFonts w:eastAsia="Times New Roman" w:cs="Times New Roman"/>
          <w:noProof/>
        </w:rPr>
      </w:pPr>
      <w:r w:rsidRPr="00BC4EE7">
        <w:rPr>
          <w:rFonts w:cs="Times New Roman"/>
          <w:noProof/>
        </w:rPr>
        <w:t>A végrehajtó partner által a mozgósított beruházásról való jelentéstételhez használt monitoringrendszer leírása.</w:t>
      </w:r>
    </w:p>
    <w:p w14:paraId="63ED8ECA" w14:textId="77777777" w:rsidR="00D65CB4" w:rsidRPr="00BC4EE7" w:rsidRDefault="00572307">
      <w:pPr>
        <w:pStyle w:val="P68B1DB1-ListParagraph6"/>
        <w:numPr>
          <w:ilvl w:val="1"/>
          <w:numId w:val="745"/>
        </w:numPr>
        <w:jc w:val="both"/>
        <w:rPr>
          <w:rFonts w:eastAsia="Times New Roman" w:cs="Times New Roman"/>
          <w:noProof/>
        </w:rPr>
      </w:pPr>
      <w:r w:rsidRPr="00BC4EE7">
        <w:rPr>
          <w:rFonts w:cs="Times New Roman"/>
          <w:noProof/>
        </w:rPr>
        <w:t xml:space="preserve">A végrehajtó partner azon eljárásainak leírása, amelyek biztosítják a csalás, a korrupció és az összeférhetetlenség megelőzését, felderítését és korrekcióját. </w:t>
      </w:r>
    </w:p>
    <w:p w14:paraId="2B8BD3A5" w14:textId="507378C4" w:rsidR="00D65CB4" w:rsidRPr="00BC4EE7" w:rsidRDefault="00572307">
      <w:pPr>
        <w:pStyle w:val="P68B1DB1-ListParagraph6"/>
        <w:numPr>
          <w:ilvl w:val="1"/>
          <w:numId w:val="745"/>
        </w:numPr>
        <w:jc w:val="both"/>
        <w:rPr>
          <w:rFonts w:eastAsia="Times New Roman" w:cs="Times New Roman"/>
          <w:noProof/>
        </w:rPr>
      </w:pPr>
      <w:r w:rsidRPr="00BC4EE7">
        <w:rPr>
          <w:rFonts w:cs="Times New Roman"/>
          <w:noProof/>
        </w:rPr>
        <w:t>Az egyes műveletek támogathatóságának ellenőrzésére vonatkozó kötelezettség a Békekeretet létrehozó rendeletekben meghatározott követelményekkel összhangban, mielőtt kötelezettséget vállalnának egy művelet finanszírozására.</w:t>
      </w:r>
    </w:p>
    <w:p w14:paraId="2E4328E0" w14:textId="5D1F4667" w:rsidR="00D65CB4" w:rsidRPr="00BC4EE7" w:rsidRDefault="00572307">
      <w:pPr>
        <w:pStyle w:val="P68B1DB1-ListParagraph6"/>
        <w:numPr>
          <w:ilvl w:val="1"/>
          <w:numId w:val="745"/>
        </w:numPr>
        <w:jc w:val="both"/>
        <w:rPr>
          <w:rFonts w:eastAsia="Times New Roman" w:cs="Times New Roman"/>
          <w:noProof/>
        </w:rPr>
      </w:pPr>
      <w:r w:rsidRPr="00BC4EE7">
        <w:rPr>
          <w:rFonts w:cs="Times New Roman"/>
          <w:noProof/>
        </w:rPr>
        <w:t xml:space="preserve">A COFIDES ellenőrzési tervével összhangban kockázatalapú utólagos ellenőrzések elvégzésére vonatkozó kötelezettség. Ezeknek az ellenőrzéseknek meg kell győződniük i. arról, hogy az ellenőrzési rendszerek hatékonyak-e, beleértve a csalás, a korrupció és az összeférhetetlenség felderítését; a DNSH-elvnek, az állami támogatásokra vonatkozó szabályoknak, valamint az éghajlat-politikai és digitális célkitűzésekre vonatkozó követelményeknek való megfelelés; és iii. betartották azt a követelményt, amely szerint a közvetítőnek ellenőriznie kell, hogy a végső kedvezményezett felelősségteljes nyilatkozatot nyújt-e be annak ellenőrzése érdekében, hogy ugyanazt a költséget egy másik uniós eszköz fedezi-e. Az ellenőrzéseknek azt is meg kell vizsgálniuk, hogy az ügyletek jogszerűek-e, és hogy betartják-e az alkalmazandó rendeletben, valamint az eszközt és a finanszírozási megállapodásokat létrehozó kapcsolódó dokumentumokban foglalt feltételeket. </w:t>
      </w:r>
    </w:p>
    <w:p w14:paraId="6183DB3C" w14:textId="1785D899" w:rsidR="00D65CB4" w:rsidRPr="00BC4EE7" w:rsidRDefault="00572307">
      <w:pPr>
        <w:pStyle w:val="P68B1DB1-ListParagraph6"/>
        <w:numPr>
          <w:ilvl w:val="0"/>
          <w:numId w:val="745"/>
        </w:numPr>
        <w:jc w:val="both"/>
        <w:rPr>
          <w:rFonts w:eastAsia="Times New Roman" w:cs="Times New Roman"/>
          <w:noProof/>
        </w:rPr>
      </w:pPr>
      <w:r w:rsidRPr="00BC4EE7">
        <w:rPr>
          <w:rFonts w:cs="Times New Roman"/>
          <w:noProof/>
        </w:rPr>
        <w:t xml:space="preserve">A pénzügyi közvetítők kiválasztására vonatkozó követelmények: A COFIDES nyílt, átlátható és megkülönböztetésmentes módon választja ki a pénzügyi közvetítőket. A pénzügyi közvetítőket érintő összeférhetetlenség hiányára vonatkozó ellenőrzéseket előzetesen el kell végezni az informatikai rendszeren, például a Minerván keresztül valamennyi érintett pénzügyi szereplő esetében.  </w:t>
      </w:r>
    </w:p>
    <w:p w14:paraId="1A7E800A" w14:textId="373DEF41" w:rsidR="00D65CB4" w:rsidRPr="00BC4EE7" w:rsidRDefault="00572307">
      <w:pPr>
        <w:pStyle w:val="P68B1DB1-ListParagraph6"/>
        <w:numPr>
          <w:ilvl w:val="0"/>
          <w:numId w:val="745"/>
        </w:numPr>
        <w:jc w:val="both"/>
        <w:rPr>
          <w:rFonts w:eastAsia="Times New Roman" w:cs="Times New Roman"/>
          <w:noProof/>
        </w:rPr>
      </w:pPr>
      <w:r w:rsidRPr="00BC4EE7">
        <w:rPr>
          <w:rFonts w:cs="Times New Roman"/>
          <w:noProof/>
        </w:rPr>
        <w:t xml:space="preserve">Finanszírozási megállapodások aláírására vonatkozó kötelezettség: A COFIDES finanszírozási megállapodásokat ír alá a pénzügyi közvetítőkkel az eszközt létrehozó kapcsolódó dokumentumok részeként benyújtandó kulcsfontosságú követelményekkel összhangban. A finanszírozási megállapodás fő követelményeinek magukban kell foglalniuk mindazokat a követelményeket, amelyek alapján az eszköz működik, beleértve a következőket:  </w:t>
      </w:r>
    </w:p>
    <w:p w14:paraId="7FAEF67A" w14:textId="211B2007" w:rsidR="00D65CB4" w:rsidRPr="00BC4EE7" w:rsidRDefault="00572307">
      <w:pPr>
        <w:pStyle w:val="P68B1DB1-ListParagraph6"/>
        <w:numPr>
          <w:ilvl w:val="1"/>
          <w:numId w:val="745"/>
        </w:numPr>
        <w:jc w:val="both"/>
        <w:rPr>
          <w:rFonts w:cs="Times New Roman"/>
          <w:noProof/>
        </w:rPr>
      </w:pPr>
      <w:r w:rsidRPr="00BC4EE7">
        <w:rPr>
          <w:rFonts w:cs="Times New Roman"/>
          <w:noProof/>
        </w:rPr>
        <w:t xml:space="preserve">A </w:t>
      </w:r>
      <w:bookmarkStart w:id="42" w:name="_Hlk139304194"/>
      <w:r w:rsidRPr="00BC4EE7">
        <w:rPr>
          <w:rFonts w:cs="Times New Roman"/>
          <w:noProof/>
        </w:rPr>
        <w:t xml:space="preserve">pénzügyi közvetítő azon kötelezettsége, hogy döntéseit </w:t>
      </w:r>
      <w:r w:rsidRPr="00BC4EE7">
        <w:rPr>
          <w:rFonts w:cs="Times New Roman"/>
          <w:i/>
          <w:noProof/>
        </w:rPr>
        <w:t>értelemszerűen</w:t>
      </w:r>
      <w:r w:rsidRPr="00BC4EE7">
        <w:rPr>
          <w:rFonts w:cs="Times New Roman"/>
          <w:noProof/>
        </w:rPr>
        <w:t xml:space="preserve"> a fent meghatározott döntéshozatali és beruházási politikai követelményeknek megfelelően hozza meg, beleértve a DNSH-elv tiszteletben tartásával kapcsolatos követelményeket is. </w:t>
      </w:r>
    </w:p>
    <w:p w14:paraId="7632968F" w14:textId="28A85F92" w:rsidR="00D65CB4" w:rsidRPr="00BC4EE7" w:rsidRDefault="00572307">
      <w:pPr>
        <w:pStyle w:val="P68B1DB1-ListParagraph6"/>
        <w:numPr>
          <w:ilvl w:val="1"/>
          <w:numId w:val="745"/>
        </w:numPr>
        <w:jc w:val="both"/>
        <w:rPr>
          <w:rFonts w:cs="Times New Roman"/>
          <w:noProof/>
        </w:rPr>
      </w:pPr>
      <w:r w:rsidRPr="00BC4EE7">
        <w:rPr>
          <w:rFonts w:cs="Times New Roman"/>
          <w:noProof/>
        </w:rPr>
        <w:t xml:space="preserve">A pénzügyi közvetítő által létrehozandó nyomonkövetési, ellenőrzési és kontrollkeret leírása, amelyre </w:t>
      </w:r>
      <w:r w:rsidRPr="00BC4EE7">
        <w:rPr>
          <w:rFonts w:cs="Times New Roman"/>
          <w:i/>
          <w:noProof/>
        </w:rPr>
        <w:t>értelemszerűen</w:t>
      </w:r>
      <w:r w:rsidRPr="00BC4EE7">
        <w:rPr>
          <w:rFonts w:cs="Times New Roman"/>
          <w:noProof/>
        </w:rPr>
        <w:t xml:space="preserve"> a fent meghatározott valamennyi nyomonkövetési, ellenőrzési és kontrollkövetelmény vonatkozik.  </w:t>
      </w:r>
    </w:p>
    <w:bookmarkEnd w:id="40"/>
    <w:p w14:paraId="0DC6F00D" w14:textId="77777777" w:rsidR="00D65CB4" w:rsidRPr="00BC4EE7" w:rsidRDefault="00572307">
      <w:pPr>
        <w:pStyle w:val="P68B1DB1-Normal4"/>
        <w:spacing w:line="240" w:lineRule="auto"/>
        <w:jc w:val="both"/>
        <w:rPr>
          <w:rFonts w:eastAsia="Times New Roman" w:cs="Times New Roman"/>
          <w:noProof/>
        </w:rPr>
      </w:pPr>
      <w:r w:rsidRPr="00BC4EE7">
        <w:rPr>
          <w:rFonts w:cs="Times New Roman"/>
          <w:noProof/>
        </w:rPr>
        <w:t>Az intézkedés végrehajtását 2026. augusztus 31-ig be kell fejezni.</w:t>
      </w:r>
    </w:p>
    <w:bookmarkEnd w:id="42"/>
    <w:p w14:paraId="23F3DF31" w14:textId="790E6F5B" w:rsidR="00D65CB4" w:rsidRPr="00BC4EE7" w:rsidRDefault="00572307">
      <w:pPr>
        <w:pStyle w:val="P68B1DB1-Normal5"/>
        <w:spacing w:line="240" w:lineRule="auto"/>
        <w:jc w:val="both"/>
        <w:rPr>
          <w:rFonts w:cs="Times New Roman"/>
          <w:noProof/>
        </w:rPr>
      </w:pPr>
      <w:r w:rsidRPr="00BC4EE7">
        <w:rPr>
          <w:rFonts w:cs="Times New Roman"/>
          <w:noProof/>
        </w:rPr>
        <w:t>Beruházás (C13.I9) – A Stratégiai Vállalkozások Fizetőképesség-támogatási Alapja (FASEE)</w:t>
      </w:r>
    </w:p>
    <w:p w14:paraId="5DC624AE" w14:textId="0DEAAB55" w:rsidR="00D65CB4" w:rsidRPr="00BC4EE7" w:rsidRDefault="00572307">
      <w:pPr>
        <w:pStyle w:val="P68B1DB1-Normal4"/>
        <w:spacing w:line="240" w:lineRule="auto"/>
        <w:jc w:val="both"/>
        <w:rPr>
          <w:rFonts w:cs="Times New Roman"/>
          <w:noProof/>
        </w:rPr>
      </w:pPr>
      <w:r w:rsidRPr="00BC4EE7">
        <w:rPr>
          <w:rFonts w:cs="Times New Roman"/>
          <w:noProof/>
        </w:rPr>
        <w:t xml:space="preserve">Ez a beruházás egy Stratégiai Vállalkozások Fizetőképesség-támogatási Alapjából áll, amely ideiglenes fizetőképességi támogatást nyújt a Covid19-világjárvány által érintett gazdaságilag stratégiai ágazatokban működő életképes és stratégiai vállalatoknak. Ez a beruházás csak azokra a műveletekre terjedhet ki, amelyek megfelelnek a DNSH-elvnek, az állami támogatási szabályoknak, az összeférhetetlenség és a kettős finanszírozás hiányának. Független ellenőr utólagos ellenőrzést végez e követelmények teljesítésének, valamint a Helyreállítási és Rezilienciaépítési Eszközről szóló rendelet 22. cikkében meghatározott adatgyűjtésnek az ellenőrzése céljából. </w:t>
      </w:r>
    </w:p>
    <w:p w14:paraId="3D70B6E5" w14:textId="5FFDBA70" w:rsidR="00D65CB4" w:rsidRPr="00BC4EE7" w:rsidRDefault="00572307">
      <w:pPr>
        <w:pStyle w:val="P68B1DB1-Normal4"/>
        <w:spacing w:line="240" w:lineRule="auto"/>
        <w:jc w:val="both"/>
        <w:rPr>
          <w:rFonts w:eastAsia="Times New Roman" w:cs="Times New Roman"/>
          <w:noProof/>
        </w:rPr>
      </w:pPr>
      <w:r w:rsidRPr="00BC4EE7">
        <w:rPr>
          <w:rFonts w:cs="Times New Roman"/>
          <w:noProof/>
        </w:rPr>
        <w:t>Az Alap műveleteihez kapcsolódó visszaáramlásokat hasonló módon kell újra befektetni mindaddig, amíg azokat a Helyreállítási és Rezilienciaépítési Eszköz hiteltörlesztéseinek fedezésére nem használják fel.</w:t>
      </w:r>
    </w:p>
    <w:p w14:paraId="3FD64375" w14:textId="3F0A0ED4" w:rsidR="00D65CB4" w:rsidRPr="00BC4EE7" w:rsidRDefault="00572307">
      <w:pPr>
        <w:pStyle w:val="P68B1DB1-Normal4"/>
        <w:spacing w:line="240" w:lineRule="auto"/>
        <w:jc w:val="both"/>
        <w:rPr>
          <w:rFonts w:eastAsia="Times New Roman" w:cs="Times New Roman"/>
          <w:noProof/>
        </w:rPr>
      </w:pPr>
      <w:r w:rsidRPr="00BC4EE7">
        <w:rPr>
          <w:rFonts w:cs="Times New Roman"/>
          <w:noProof/>
        </w:rPr>
        <w:t>Az intézkedés végrehajtását 2024. június 30-ig be kell fejezni.</w:t>
      </w:r>
    </w:p>
    <w:p w14:paraId="0516DAEF" w14:textId="13F6AB23" w:rsidR="00D65CB4" w:rsidRPr="00BC4EE7" w:rsidRDefault="00572307">
      <w:pPr>
        <w:pStyle w:val="P68B1DB1-Normal5"/>
        <w:spacing w:line="240" w:lineRule="auto"/>
        <w:jc w:val="both"/>
        <w:rPr>
          <w:rFonts w:cs="Times New Roman"/>
          <w:noProof/>
        </w:rPr>
      </w:pPr>
      <w:r w:rsidRPr="00BC4EE7">
        <w:rPr>
          <w:rFonts w:cs="Times New Roman"/>
          <w:noProof/>
        </w:rPr>
        <w:t>Beruházás (C13.I10) – A Covid19 üzleti feltőkésítési alapja (FONREC)</w:t>
      </w:r>
    </w:p>
    <w:p w14:paraId="58D9A79D" w14:textId="629A39B2" w:rsidR="00D65CB4" w:rsidRPr="00BC4EE7" w:rsidRDefault="00572307">
      <w:pPr>
        <w:pStyle w:val="P68B1DB1-Normal4"/>
        <w:spacing w:line="240" w:lineRule="auto"/>
        <w:jc w:val="both"/>
        <w:rPr>
          <w:rFonts w:eastAsia="Times New Roman" w:cs="Times New Roman"/>
          <w:noProof/>
        </w:rPr>
      </w:pPr>
      <w:r w:rsidRPr="00BC4EE7">
        <w:rPr>
          <w:rFonts w:cs="Times New Roman"/>
          <w:noProof/>
        </w:rPr>
        <w:t xml:space="preserve">Ez a beruházás a Covid19-világjárvánnyal kapcsolatos vállalati feltőkésítési alapból áll, amelynek célja, hogy ideiglenes fizetőképességi támogatást nyújtson a Covid19-világjárvány által érintett életképes középvállalkozásoknak (10 millió EUR és 400 millió EUR közötti árbevétel). Ez a beruházás csak azokra a műveletekre terjedhet ki, amelyek megfelelnek a DNSH-elvnek, az állami támogatási szabályoknak, az összeférhetetlenség és a kettős finanszírozás hiányának. Független ellenőr utólagos ellenőrzést végez e követelmények teljesítésének, valamint a Helyreállítási és Rezilienciaépítési Eszközről szóló rendelet 22. cikkében meghatározott adatgyűjtésnek az ellenőrzése céljából. </w:t>
      </w:r>
    </w:p>
    <w:p w14:paraId="028BA1F7" w14:textId="23E64E01" w:rsidR="00D65CB4" w:rsidRPr="00BC4EE7" w:rsidRDefault="00572307">
      <w:pPr>
        <w:pStyle w:val="P68B1DB1-Normal4"/>
        <w:spacing w:line="240" w:lineRule="auto"/>
        <w:jc w:val="both"/>
        <w:rPr>
          <w:rFonts w:eastAsia="Times New Roman" w:cs="Times New Roman"/>
          <w:noProof/>
        </w:rPr>
      </w:pPr>
      <w:r w:rsidRPr="00BC4EE7">
        <w:rPr>
          <w:rFonts w:cs="Times New Roman"/>
          <w:noProof/>
        </w:rPr>
        <w:t>Az Alap műveleteihez kapcsolódó visszaáramlásokat hasonló módon kell újra befektetni mindaddig, amíg azokat a Helyreállítási és Rezilienciaépítési Eszköz hiteltörlesztéseinek fedezésére nem használják fel.</w:t>
      </w:r>
    </w:p>
    <w:p w14:paraId="00630E32" w14:textId="3A62C748" w:rsidR="00D65CB4" w:rsidRPr="00BC4EE7" w:rsidRDefault="00572307">
      <w:pPr>
        <w:pStyle w:val="P68B1DB1-Normal4"/>
        <w:spacing w:line="240" w:lineRule="auto"/>
        <w:jc w:val="both"/>
        <w:rPr>
          <w:rFonts w:eastAsia="Times New Roman" w:cs="Times New Roman"/>
          <w:noProof/>
        </w:rPr>
      </w:pPr>
      <w:r w:rsidRPr="00BC4EE7">
        <w:rPr>
          <w:rFonts w:cs="Times New Roman"/>
          <w:noProof/>
        </w:rPr>
        <w:t>Az intézkedés végrehajtását 2025. június 30-ig be kell fejezni.</w:t>
      </w:r>
    </w:p>
    <w:p w14:paraId="6AE575C2" w14:textId="77777777" w:rsidR="00D65CB4" w:rsidRPr="00BC4EE7" w:rsidRDefault="00572307">
      <w:pPr>
        <w:pStyle w:val="P68B1DB1-Normal5"/>
        <w:spacing w:line="240" w:lineRule="auto"/>
        <w:jc w:val="both"/>
        <w:rPr>
          <w:rFonts w:cs="Times New Roman"/>
          <w:noProof/>
        </w:rPr>
      </w:pPr>
      <w:r w:rsidRPr="00BC4EE7">
        <w:rPr>
          <w:rFonts w:cs="Times New Roman"/>
          <w:noProof/>
        </w:rPr>
        <w:t>Beruházás (C13.I11) – A SGR-CERSA garanciaeszköz</w:t>
      </w:r>
    </w:p>
    <w:p w14:paraId="7FE38B5C" w14:textId="6E240A57" w:rsidR="00D65CB4" w:rsidRPr="00BC4EE7" w:rsidRDefault="00572307">
      <w:pPr>
        <w:pStyle w:val="P68B1DB1-Normal4"/>
        <w:spacing w:line="240" w:lineRule="auto"/>
        <w:jc w:val="both"/>
        <w:rPr>
          <w:rFonts w:cs="Times New Roman"/>
          <w:noProof/>
        </w:rPr>
      </w:pPr>
      <w:r w:rsidRPr="00BC4EE7">
        <w:rPr>
          <w:rFonts w:cs="Times New Roman"/>
          <w:noProof/>
        </w:rPr>
        <w:t>E beruházás célja a C13.I2. intézkedés kiegészítése. A Compañia Española de Reafianzamiento SME S.A. (CERSA) megerősítése révén pénzügyi, kereskedelmi és technikai garanciák formájában nyújtott támogatás révén javítja a kkv-k és a közepes piaci tőkeértékű vállalatok finanszírozáshoz való hozzáférését. E cselekvési irányvonal részeként a CERSA a viszontgarancia-fedezet révén hosszú távú támogatást nyújt a regionális kölcsönös garanciaegyesületeknek, fedezve az általuk viselt kockázatot. A CERSA-nak elő kell mozdítania a kkv-k és a közepes piaci tőkeértékű vállalatok versenyképességét és rezilienciáját, többek között három új, célzott költségvetési sor révén, amelyek lehetővé teszik a hosszú távú finanszírozási és működőtőke-műveletekhez való hozzáférést e beruházás keretében a következő területeken: digitalizáció; fenntarthatóság; növekedés és helyreállítás (a reziliencia megerősítése, főként a Covid19-világjárvány által érintett, jelentős átalakítási és növekedési tervek végrehajtására kész kkv-k esetében). A CERSA és az SGR-ek keretében nyújtott garanciákat a digitális innovációs központoknak és más kezdeményezéseknek elő kell mozdítaniuk, hogy tájékoztassák a vállalkozásokat a rendelkezésre álló digitalizációs támogatásról.</w:t>
      </w:r>
    </w:p>
    <w:p w14:paraId="214C2E76" w14:textId="2A00B354" w:rsidR="00D65CB4" w:rsidRPr="00BC4EE7" w:rsidRDefault="00572307">
      <w:pPr>
        <w:pStyle w:val="P68B1DB1-Normal4"/>
        <w:spacing w:line="240" w:lineRule="auto"/>
        <w:jc w:val="both"/>
        <w:rPr>
          <w:rFonts w:cs="Times New Roman"/>
          <w:noProof/>
        </w:rPr>
      </w:pPr>
      <w:r w:rsidRPr="00BC4EE7">
        <w:rPr>
          <w:rFonts w:cs="Times New Roman"/>
          <w:noProof/>
        </w:rPr>
        <w:t>A Helyreállítási és Rezilienciaépítési Eszköz 630 000 000 EUR összegű beruházása alapján a CERSA kezdetben legalább 2 100 000 000 EUR összegű finanszírozást kíván biztosítani.</w:t>
      </w:r>
    </w:p>
    <w:p w14:paraId="58BE6325" w14:textId="77777777" w:rsidR="00D65CB4" w:rsidRPr="00BC4EE7" w:rsidRDefault="00572307">
      <w:pPr>
        <w:pStyle w:val="P68B1DB1-Normal4"/>
        <w:spacing w:line="240" w:lineRule="auto"/>
        <w:jc w:val="both"/>
        <w:rPr>
          <w:rFonts w:eastAsia="Times New Roman" w:cs="Times New Roman"/>
          <w:noProof/>
        </w:rPr>
      </w:pPr>
      <w:r w:rsidRPr="00BC4EE7">
        <w:rPr>
          <w:rFonts w:cs="Times New Roman"/>
          <w:noProof/>
        </w:rPr>
        <w:t>Az intézkedés végrehajtását 2026. augusztus 31-ig be kell fejezni.</w:t>
      </w:r>
    </w:p>
    <w:p w14:paraId="57663A3D" w14:textId="77777777" w:rsidR="00D65CB4" w:rsidRPr="00BC4EE7" w:rsidRDefault="00572307">
      <w:pPr>
        <w:pStyle w:val="P68B1DB1-Normal5"/>
        <w:spacing w:line="240" w:lineRule="auto"/>
        <w:rPr>
          <w:rFonts w:cs="Times New Roman"/>
          <w:noProof/>
        </w:rPr>
      </w:pPr>
      <w:r w:rsidRPr="00BC4EE7">
        <w:rPr>
          <w:rFonts w:cs="Times New Roman"/>
          <w:noProof/>
        </w:rPr>
        <w:t>Beruházás (C13.I12</w:t>
      </w:r>
      <w:bookmarkStart w:id="43" w:name="_Hlk141289377"/>
      <w:r w:rsidRPr="00BC4EE7">
        <w:rPr>
          <w:rFonts w:cs="Times New Roman"/>
          <w:noProof/>
        </w:rPr>
        <w:t>) – ENISA vállalkozási és kkv-alap</w:t>
      </w:r>
      <w:bookmarkEnd w:id="43"/>
    </w:p>
    <w:p w14:paraId="1ACF6A29" w14:textId="76ABBE32" w:rsidR="00D65CB4" w:rsidRPr="00BC4EE7" w:rsidRDefault="00572307">
      <w:pPr>
        <w:pStyle w:val="P68B1DB1-Normal4"/>
        <w:jc w:val="both"/>
        <w:rPr>
          <w:rFonts w:cs="Times New Roman"/>
          <w:noProof/>
        </w:rPr>
      </w:pPr>
      <w:r w:rsidRPr="00BC4EE7">
        <w:rPr>
          <w:rFonts w:cs="Times New Roman"/>
          <w:noProof/>
        </w:rPr>
        <w:t>Ez az intézkedés egy eszközbe, az ENISA vállalkozási és kkv-alapjába történő állami beruházásból áll annak érdekében, hogy ösztönözze a magánberuházásokat, és javítsa a kis- és középvállalkozások (kkv-k) finanszírozáshoz való hozzáférését, hogy a PERTE Új Nyelvgazdaság (NEL) részeként életképes és innovatív projektekbe és a nyelvtechnológiával kapcsolatos projektekbe fektessenek be. Az eszköz úgy működik, hogy közvetlenül a magánszektornak, valamint a hasonló tevékenységeket folytató közszektorbeli szervezeteknek nyújt részvételi kölcsönöket. A Helyreállítási és Rezilienciaépítési Eszköz beruházásai alapján az eszköz célja kezdetben legalább 303 000 000 EUR összegű finanszírozás biztosítása.</w:t>
      </w:r>
    </w:p>
    <w:p w14:paraId="439990B7" w14:textId="77777777" w:rsidR="00D65CB4" w:rsidRPr="00BC4EE7" w:rsidRDefault="00572307">
      <w:pPr>
        <w:pStyle w:val="P68B1DB1-LegalNumPar228"/>
        <w:numPr>
          <w:ilvl w:val="1"/>
          <w:numId w:val="0"/>
        </w:numPr>
        <w:spacing w:line="240" w:lineRule="auto"/>
        <w:jc w:val="both"/>
        <w:rPr>
          <w:rFonts w:cs="Times New Roman"/>
          <w:noProof/>
        </w:rPr>
      </w:pPr>
      <w:r w:rsidRPr="00BC4EE7">
        <w:rPr>
          <w:rFonts w:cs="Times New Roman"/>
          <w:noProof/>
        </w:rPr>
        <w:t xml:space="preserve">Az eszközt végrehajtó partnerként az állami innovációs vállalat (Empresa Nacional de Innovación, SA – ENISA) kezeli. </w:t>
      </w:r>
    </w:p>
    <w:p w14:paraId="75519CE9" w14:textId="1DC569E6" w:rsidR="00D65CB4" w:rsidRPr="00BC4EE7" w:rsidRDefault="00572307">
      <w:pPr>
        <w:pStyle w:val="P68B1DB1-LegalNumPar228"/>
        <w:numPr>
          <w:ilvl w:val="1"/>
          <w:numId w:val="0"/>
        </w:numPr>
        <w:spacing w:line="240" w:lineRule="auto"/>
        <w:jc w:val="both"/>
        <w:rPr>
          <w:rFonts w:cs="Times New Roman"/>
          <w:noProof/>
        </w:rPr>
      </w:pPr>
      <w:r w:rsidRPr="00BC4EE7">
        <w:rPr>
          <w:rFonts w:cs="Times New Roman"/>
          <w:noProof/>
        </w:rPr>
        <w:t>Az eszközbe történő beruházás végrehajtása érdekében Spanyolország és az ENISA végrehajtási megállapodást ír alá, amely a következő tartalmat tartalmazza:</w:t>
      </w:r>
    </w:p>
    <w:p w14:paraId="1B9FEF74" w14:textId="650190A0" w:rsidR="00D65CB4" w:rsidRPr="00BC4EE7" w:rsidRDefault="00572307">
      <w:pPr>
        <w:pStyle w:val="P68B1DB1-LegalNumPar27"/>
        <w:numPr>
          <w:ilvl w:val="0"/>
          <w:numId w:val="777"/>
        </w:numPr>
        <w:jc w:val="both"/>
        <w:rPr>
          <w:rFonts w:eastAsia="Times New Roman" w:cs="Times New Roman"/>
          <w:noProof/>
        </w:rPr>
      </w:pPr>
      <w:r w:rsidRPr="00BC4EE7">
        <w:rPr>
          <w:rFonts w:cs="Times New Roman"/>
          <w:noProof/>
        </w:rPr>
        <w:t>Az eszköz döntéshozatali folyamatának leírása: Az eszköz kezdeti beruházási döntését beruházási bizottság hozza meg, és a spanyol kormánytól független tagok szavazatainak többségével hagyja jóvá. Az ENISA esetében a beruházási bizottságot az ENISA személyzetének (a kormánytól független) tagjai integrálják. Az eszköz végleges beruházási döntése a beruházási bizottság vagy azzal egyenértékű irányító testület által javasolt beruházási döntés (módosítás nélküli) jóváhagyására, vagy a döntéssel kapcsolatos vétójog gyakorlására korlátozódik. </w:t>
      </w:r>
    </w:p>
    <w:p w14:paraId="1A8676AB" w14:textId="77777777" w:rsidR="00D65CB4" w:rsidRPr="00BC4EE7" w:rsidRDefault="00572307">
      <w:pPr>
        <w:pStyle w:val="P68B1DB1-LegalNumPar27"/>
        <w:numPr>
          <w:ilvl w:val="0"/>
          <w:numId w:val="777"/>
        </w:numPr>
        <w:jc w:val="both"/>
        <w:rPr>
          <w:rFonts w:cs="Times New Roman"/>
          <w:noProof/>
        </w:rPr>
      </w:pPr>
      <w:r w:rsidRPr="00BC4EE7">
        <w:rPr>
          <w:rFonts w:cs="Times New Roman"/>
          <w:noProof/>
        </w:rPr>
        <w:t>A kapcsolódó beruházási politika fő követelményei,</w:t>
      </w:r>
      <w:r w:rsidRPr="00BC4EE7">
        <w:rPr>
          <w:rFonts w:cs="Times New Roman"/>
          <w:b/>
          <w:noProof/>
        </w:rPr>
        <w:t xml:space="preserve"> </w:t>
      </w:r>
      <w:r w:rsidRPr="00BC4EE7">
        <w:rPr>
          <w:rFonts w:cs="Times New Roman"/>
          <w:noProof/>
        </w:rPr>
        <w:t>amelyek a következőket foglalják magukban:</w:t>
      </w:r>
    </w:p>
    <w:p w14:paraId="53167A26" w14:textId="77777777" w:rsidR="00D65CB4" w:rsidRPr="00BC4EE7" w:rsidRDefault="00572307">
      <w:pPr>
        <w:pStyle w:val="P68B1DB1-LegalNumPar228"/>
        <w:numPr>
          <w:ilvl w:val="1"/>
          <w:numId w:val="777"/>
        </w:numPr>
        <w:rPr>
          <w:rFonts w:cs="Times New Roman"/>
          <w:noProof/>
        </w:rPr>
      </w:pPr>
      <w:r w:rsidRPr="00BC4EE7">
        <w:rPr>
          <w:rFonts w:cs="Times New Roman"/>
          <w:noProof/>
        </w:rPr>
        <w:t xml:space="preserve">A pénzügyi termék és a támogatható végső kedvezményezettek leírása az intézkedés leírásával összhangban.   </w:t>
      </w:r>
    </w:p>
    <w:p w14:paraId="2058F386" w14:textId="77777777" w:rsidR="00D65CB4" w:rsidRPr="00BC4EE7" w:rsidRDefault="00572307">
      <w:pPr>
        <w:pStyle w:val="P68B1DB1-LegalNumPar228"/>
        <w:numPr>
          <w:ilvl w:val="1"/>
          <w:numId w:val="777"/>
        </w:numPr>
        <w:rPr>
          <w:rFonts w:cs="Times New Roman"/>
          <w:noProof/>
        </w:rPr>
      </w:pPr>
      <w:r w:rsidRPr="00BC4EE7">
        <w:rPr>
          <w:rFonts w:cs="Times New Roman"/>
          <w:noProof/>
        </w:rPr>
        <w:t>Az a követelmény, hogy minden támogatott beruházás gazdaságilag életképes legyen</w:t>
      </w:r>
      <w:r w:rsidRPr="00BC4EE7">
        <w:rPr>
          <w:rFonts w:cs="Times New Roman"/>
          <w:b/>
          <w:noProof/>
        </w:rPr>
        <w:t>.</w:t>
      </w:r>
    </w:p>
    <w:p w14:paraId="0F832EDA" w14:textId="77777777" w:rsidR="00D65CB4" w:rsidRPr="00BC4EE7" w:rsidRDefault="00572307">
      <w:pPr>
        <w:pStyle w:val="P68B1DB1-LegalNumPar228"/>
        <w:numPr>
          <w:ilvl w:val="1"/>
          <w:numId w:val="777"/>
        </w:numPr>
        <w:rPr>
          <w:rFonts w:cs="Times New Roman"/>
          <w:noProof/>
        </w:rPr>
      </w:pPr>
      <w:r w:rsidRPr="00BC4EE7">
        <w:rPr>
          <w:rFonts w:cs="Times New Roman"/>
          <w:noProof/>
        </w:rPr>
        <w:t>A fennálló hitelek refinanszírozásának tilalma.</w:t>
      </w:r>
    </w:p>
    <w:p w14:paraId="36A92C80" w14:textId="77777777" w:rsidR="00D65CB4" w:rsidRPr="00BC4EE7" w:rsidRDefault="00572307">
      <w:pPr>
        <w:pStyle w:val="P68B1DB1-LegalNumPar228"/>
        <w:numPr>
          <w:ilvl w:val="1"/>
          <w:numId w:val="777"/>
        </w:numPr>
        <w:rPr>
          <w:rFonts w:cs="Times New Roman"/>
          <w:noProof/>
        </w:rPr>
      </w:pPr>
      <w:r w:rsidRPr="00BC4EE7">
        <w:rPr>
          <w:rFonts w:cs="Times New Roman"/>
          <w:noProof/>
        </w:rPr>
        <w:t xml:space="preserve">A jelentős károkozás elkerülését célzó elvnek való megfelelés követelménye a DNSH technikai iránymutatásban (2021/C58/01), különösen: </w:t>
      </w:r>
    </w:p>
    <w:p w14:paraId="7796D9D1" w14:textId="08163042" w:rsidR="00D65CB4" w:rsidRPr="00BC4EE7" w:rsidRDefault="00572307">
      <w:pPr>
        <w:pStyle w:val="LegalNumPar2"/>
        <w:numPr>
          <w:ilvl w:val="2"/>
          <w:numId w:val="777"/>
        </w:numPr>
        <w:spacing w:line="240" w:lineRule="auto"/>
        <w:jc w:val="both"/>
        <w:rPr>
          <w:rFonts w:ascii="Times New Roman" w:hAnsi="Times New Roman" w:cs="Times New Roman"/>
          <w:noProof/>
          <w:sz w:val="24"/>
        </w:rPr>
      </w:pPr>
      <w:r w:rsidRPr="00BC4EE7">
        <w:rPr>
          <w:rFonts w:ascii="Times New Roman" w:hAnsi="Times New Roman" w:cs="Times New Roman"/>
          <w:noProof/>
          <w:sz w:val="24"/>
        </w:rPr>
        <w:t>a befektetési politika kizárja a támogathatóság köréből a következő tevékenységek és eszközök listáját: i. a fosszilis tüzelőanyagokhoz kapcsolódó tevékenységek és eszközök, beleértve a downstream felhasználást is, ii. az uniós kibocsátáskereskedelmi rendszer</w:t>
      </w:r>
      <w:r w:rsidRPr="00BC4EE7">
        <w:rPr>
          <w:rStyle w:val="FootnoteReference"/>
          <w:rFonts w:ascii="Times New Roman" w:hAnsi="Times New Roman" w:cs="Times New Roman"/>
          <w:noProof/>
          <w:sz w:val="24"/>
        </w:rPr>
        <w:footnoteReference w:id="136"/>
      </w:r>
      <w:r w:rsidRPr="00BC4EE7">
        <w:rPr>
          <w:rFonts w:ascii="Times New Roman" w:hAnsi="Times New Roman" w:cs="Times New Roman"/>
          <w:noProof/>
          <w:sz w:val="24"/>
        </w:rPr>
        <w:t>(ETS) keretébe tartozó tevékenységek és eszközök, amelyek elérik a vonatkozó referenciaértékeket meg nem haladó, előre jelzett üvegházhatásúgáz-kibocsátást, iii. a hulladéklerakásokkal, hulladékégetőkkel és mechanikai-biológiai hulladékkezelő létesítményekkel kapcsolatos</w:t>
      </w:r>
      <w:r w:rsidRPr="00BC4EE7">
        <w:rPr>
          <w:rStyle w:val="FootnoteReference"/>
          <w:rFonts w:ascii="Times New Roman" w:hAnsi="Times New Roman" w:cs="Times New Roman"/>
          <w:noProof/>
          <w:sz w:val="24"/>
        </w:rPr>
        <w:footnoteReference w:id="137"/>
      </w:r>
      <w:r w:rsidRPr="00BC4EE7">
        <w:rPr>
          <w:rFonts w:ascii="Times New Roman" w:hAnsi="Times New Roman" w:cs="Times New Roman"/>
          <w:noProof/>
          <w:sz w:val="24"/>
        </w:rPr>
        <w:t xml:space="preserve">tevékenységek és eszközök. </w:t>
      </w:r>
    </w:p>
    <w:p w14:paraId="712F106C" w14:textId="5645F731" w:rsidR="00D65CB4" w:rsidRPr="00BC4EE7" w:rsidRDefault="00572307">
      <w:pPr>
        <w:pStyle w:val="P68B1DB1-LegalNumPar228"/>
        <w:numPr>
          <w:ilvl w:val="2"/>
          <w:numId w:val="777"/>
        </w:numPr>
        <w:spacing w:line="240" w:lineRule="auto"/>
        <w:jc w:val="both"/>
        <w:rPr>
          <w:rFonts w:cs="Times New Roman"/>
          <w:noProof/>
        </w:rPr>
      </w:pPr>
      <w:r w:rsidRPr="00BC4EE7">
        <w:rPr>
          <w:rFonts w:cs="Times New Roman"/>
          <w:noProof/>
        </w:rPr>
        <w:t>a beruházási politika megköveteli, hogy az eszköz végső kedvezményezettjei megfeleljenek a vonatkozó uniós és nemzeti környezetvédelmi jogszabályoknak.</w:t>
      </w:r>
    </w:p>
    <w:p w14:paraId="51AB1F5E" w14:textId="77777777" w:rsidR="00D65CB4" w:rsidRPr="00BC4EE7" w:rsidRDefault="00572307">
      <w:pPr>
        <w:pStyle w:val="P68B1DB1-ListParagraph6"/>
        <w:numPr>
          <w:ilvl w:val="1"/>
          <w:numId w:val="777"/>
        </w:numPr>
        <w:rPr>
          <w:rFonts w:cs="Times New Roman"/>
          <w:noProof/>
        </w:rPr>
      </w:pPr>
      <w:r w:rsidRPr="00BC4EE7">
        <w:rPr>
          <w:rFonts w:cs="Times New Roman"/>
          <w:noProof/>
        </w:rPr>
        <w:t>Az a követelmény, hogy az eszköz végső kedvezményezettjei nem részesülhetnek támogatásban más uniós eszközökből ugyanazon költségek fedezésére.</w:t>
      </w:r>
    </w:p>
    <w:p w14:paraId="0B9EDD04" w14:textId="202D48AE" w:rsidR="00D65CB4" w:rsidRPr="00BC4EE7" w:rsidRDefault="00572307">
      <w:pPr>
        <w:pStyle w:val="P68B1DB1-LegalNumPar27"/>
        <w:numPr>
          <w:ilvl w:val="0"/>
          <w:numId w:val="777"/>
        </w:numPr>
        <w:jc w:val="both"/>
        <w:rPr>
          <w:rFonts w:cs="Times New Roman"/>
          <w:noProof/>
        </w:rPr>
      </w:pPr>
      <w:r w:rsidRPr="00BC4EE7">
        <w:rPr>
          <w:rFonts w:cs="Times New Roman"/>
          <w:noProof/>
        </w:rPr>
        <w:t>A végrehajtási megállapodás hatálya alá tartozó összeg, a végrehajtó partner díjstruktúrája, valamint az eszköz beruházási politikájának megfelelően a visszafolyó bevételek újbóli befektetésére vonatkozó követelmény, kivéve, ha azokat a Helyreállítási és Rezilienciaépítési Eszköz hiteltörlesztéseinek fedezésére használják fel.</w:t>
      </w:r>
    </w:p>
    <w:p w14:paraId="241C198C" w14:textId="77777777" w:rsidR="00D65CB4" w:rsidRPr="00BC4EE7" w:rsidRDefault="00572307">
      <w:pPr>
        <w:pStyle w:val="P68B1DB1-LegalNumPar27"/>
        <w:numPr>
          <w:ilvl w:val="0"/>
          <w:numId w:val="777"/>
        </w:numPr>
        <w:jc w:val="both"/>
        <w:rPr>
          <w:rFonts w:cs="Times New Roman"/>
          <w:noProof/>
        </w:rPr>
      </w:pPr>
      <w:r w:rsidRPr="00BC4EE7">
        <w:rPr>
          <w:rFonts w:cs="Times New Roman"/>
          <w:noProof/>
        </w:rPr>
        <w:t>Nyomonkövetési, ellenőrzési és kontrollkövetelmények, beleértve a következőket:</w:t>
      </w:r>
    </w:p>
    <w:p w14:paraId="7B5D7055" w14:textId="77777777" w:rsidR="00D65CB4" w:rsidRPr="00BC4EE7" w:rsidRDefault="00572307">
      <w:pPr>
        <w:pStyle w:val="P68B1DB1-Normal4"/>
        <w:numPr>
          <w:ilvl w:val="1"/>
          <w:numId w:val="777"/>
        </w:numPr>
        <w:spacing w:after="160" w:line="240" w:lineRule="auto"/>
        <w:jc w:val="both"/>
        <w:rPr>
          <w:rFonts w:cs="Times New Roman"/>
          <w:noProof/>
        </w:rPr>
      </w:pPr>
      <w:bookmarkStart w:id="44" w:name="_Hlk139218377"/>
      <w:r w:rsidRPr="00BC4EE7">
        <w:rPr>
          <w:rFonts w:cs="Times New Roman"/>
          <w:noProof/>
        </w:rPr>
        <w:t>A végrehajtó partner által a mozgósított beruházásról való jelentéstételhez használt monitoringrendszer leírása.</w:t>
      </w:r>
    </w:p>
    <w:p w14:paraId="4AAB5BEC" w14:textId="77777777" w:rsidR="00D65CB4" w:rsidRPr="00BC4EE7" w:rsidRDefault="00572307">
      <w:pPr>
        <w:pStyle w:val="P68B1DB1-Normal4"/>
        <w:numPr>
          <w:ilvl w:val="1"/>
          <w:numId w:val="777"/>
        </w:numPr>
        <w:spacing w:after="160" w:line="259" w:lineRule="auto"/>
        <w:jc w:val="both"/>
        <w:rPr>
          <w:rFonts w:cs="Times New Roman"/>
          <w:noProof/>
        </w:rPr>
      </w:pPr>
      <w:r w:rsidRPr="00BC4EE7">
        <w:rPr>
          <w:rFonts w:cs="Times New Roman"/>
          <w:noProof/>
        </w:rPr>
        <w:t xml:space="preserve">A végrehajtó partner azon eljárásainak leírása, amelyek biztosítják a csalás, a korrupció és az összeférhetetlenség megelőzését, felderítését és korrekcióját. </w:t>
      </w:r>
    </w:p>
    <w:p w14:paraId="2AF24E11" w14:textId="77777777" w:rsidR="00D65CB4" w:rsidRPr="00BC4EE7" w:rsidRDefault="00572307">
      <w:pPr>
        <w:pStyle w:val="P68B1DB1-Normal4"/>
        <w:numPr>
          <w:ilvl w:val="1"/>
          <w:numId w:val="777"/>
        </w:numPr>
        <w:spacing w:after="160" w:line="259" w:lineRule="auto"/>
        <w:jc w:val="both"/>
        <w:rPr>
          <w:rFonts w:cs="Times New Roman"/>
          <w:noProof/>
        </w:rPr>
      </w:pPr>
      <w:r w:rsidRPr="00BC4EE7">
        <w:rPr>
          <w:rFonts w:cs="Times New Roman"/>
          <w:noProof/>
        </w:rPr>
        <w:t>Az egyes műveletek támogathatóságának a végrehajtási megállapodásban meghatározott követelményekkel összhangban történő, az egyes műveletek finanszírozására való kötelezettségvállalást megelőző ellenőrzésére vonatkozó kötelezettség.</w:t>
      </w:r>
    </w:p>
    <w:p w14:paraId="2CA9BA25" w14:textId="044A04DF" w:rsidR="00D65CB4" w:rsidRPr="00BC4EE7" w:rsidRDefault="00572307">
      <w:pPr>
        <w:pStyle w:val="P68B1DB1-Normal4"/>
        <w:numPr>
          <w:ilvl w:val="1"/>
          <w:numId w:val="777"/>
        </w:numPr>
        <w:spacing w:after="160" w:line="240" w:lineRule="auto"/>
        <w:jc w:val="both"/>
        <w:rPr>
          <w:rFonts w:cs="Times New Roman"/>
          <w:noProof/>
        </w:rPr>
      </w:pPr>
      <w:bookmarkStart w:id="45" w:name="_Hlk145675948"/>
      <w:bookmarkEnd w:id="44"/>
      <w:r w:rsidRPr="00BC4EE7">
        <w:rPr>
          <w:rFonts w:cs="Times New Roman"/>
          <w:noProof/>
        </w:rPr>
        <w:t>A kockázatalapú utólagos ellenőrzések elvégzésére vonatkozó kötelezettség</w:t>
      </w:r>
      <w:bookmarkEnd w:id="45"/>
      <w:r w:rsidRPr="00BC4EE7">
        <w:rPr>
          <w:rFonts w:cs="Times New Roman"/>
          <w:noProof/>
        </w:rPr>
        <w:t xml:space="preserve"> az ENISA ellenőrzési tervével összhangban. Ezeknek az ellenőrzéseknek meg kell győződniük i. arról, hogy az ellenőrzési rendszerek hatékonyak-e, beleértve a csalás, a korrupció és az összeférhetetlenség felderítését; a DNSH-elvnek, az állami támogatásokra vonatkozó szabályoknak és a digitális célkövetelményeknek való megfelelés; és iii. betartották azt a követelményt, amely szerint a közvetítőnek ellenőriznie kell, hogy a végső kedvezményezett felelősségteljes nyilatkozatot nyújt-e be annak ellenőrzése érdekében, hogy ugyanazt a költséget egy másik uniós eszköz fedezi-e. Az ellenőrzések azt is vizsgálják, hogy az ügyletek jogszerűek-e, valamint hogy az alkalmazandó végrehajtási megállapodásban és finanszírozási megállapodásokban foglalt feltételeket betartják-e. </w:t>
      </w:r>
    </w:p>
    <w:p w14:paraId="7D1D5A8A" w14:textId="36DDAC75" w:rsidR="00D65CB4" w:rsidRPr="00BC4EE7" w:rsidRDefault="00572307">
      <w:pPr>
        <w:numPr>
          <w:ilvl w:val="0"/>
          <w:numId w:val="777"/>
        </w:numPr>
        <w:spacing w:after="160" w:line="240" w:lineRule="auto"/>
        <w:jc w:val="both"/>
        <w:rPr>
          <w:rFonts w:ascii="Times New Roman" w:hAnsi="Times New Roman" w:cs="Times New Roman"/>
          <w:noProof/>
          <w:sz w:val="24"/>
        </w:rPr>
      </w:pPr>
      <w:r w:rsidRPr="00BC4EE7">
        <w:rPr>
          <w:rFonts w:ascii="Times New Roman" w:hAnsi="Times New Roman" w:cs="Times New Roman"/>
          <w:noProof/>
          <w:sz w:val="24"/>
        </w:rPr>
        <w:t>A végrehajtó partner által végrehajtott digitális beruházásokra vonatkozó követelmények: a Helyreállítási és Rezilienciaépítési Eszközbe történő beruházásból legalább 20 000 000 EUR-nak a Helyreállítási és Rezilienciaépítési Eszközről szóló rendelet VII. mellékletével összhangban hozzá kell járulnia a digitális célkitűzésekhez.</w:t>
      </w:r>
    </w:p>
    <w:p w14:paraId="22285CFF" w14:textId="77777777" w:rsidR="00D65CB4" w:rsidRPr="00BC4EE7" w:rsidRDefault="00572307">
      <w:pPr>
        <w:pStyle w:val="P68B1DB1-Normal4"/>
        <w:rPr>
          <w:rFonts w:cs="Times New Roman"/>
          <w:noProof/>
        </w:rPr>
      </w:pPr>
      <w:r w:rsidRPr="00BC4EE7">
        <w:rPr>
          <w:rFonts w:cs="Times New Roman"/>
          <w:noProof/>
        </w:rPr>
        <w:t>Az intézkedés végrehajtását 2026. augusztus 31-ig be kell fejezni.</w:t>
      </w:r>
    </w:p>
    <w:p w14:paraId="01845BA9" w14:textId="77777777" w:rsidR="00D65CB4" w:rsidRPr="00BC4EE7" w:rsidRDefault="00572307">
      <w:pPr>
        <w:pStyle w:val="P68B1DB1-Normal5"/>
        <w:rPr>
          <w:rFonts w:cs="Times New Roman"/>
          <w:noProof/>
        </w:rPr>
      </w:pPr>
      <w:bookmarkStart w:id="46" w:name="_Hlk141697321"/>
      <w:r w:rsidRPr="00BC4EE7">
        <w:rPr>
          <w:rFonts w:cs="Times New Roman"/>
          <w:noProof/>
        </w:rPr>
        <w:t>Beruházás (C13.I13.) – Regionális Rezilienciaépítési Alap (FRA)</w:t>
      </w:r>
    </w:p>
    <w:p w14:paraId="1757DEF3" w14:textId="77777777" w:rsidR="00D65CB4" w:rsidRPr="00BC4EE7" w:rsidRDefault="00572307">
      <w:pPr>
        <w:pStyle w:val="P68B1DB1-Normal4"/>
        <w:spacing w:before="160" w:after="0" w:line="240" w:lineRule="auto"/>
        <w:jc w:val="both"/>
        <w:rPr>
          <w:rFonts w:eastAsia="@MS Mincho" w:cs="Times New Roman"/>
          <w:noProof/>
        </w:rPr>
      </w:pPr>
      <w:bookmarkStart w:id="47" w:name="_Hlk138428161"/>
      <w:r w:rsidRPr="00BC4EE7">
        <w:rPr>
          <w:rFonts w:cs="Times New Roman"/>
          <w:noProof/>
        </w:rPr>
        <w:t xml:space="preserve">Ez az intézkedés az InvestEU tagállami komponensébe és egy eszközbe, a Regionális Rezilienciaépítési Eszközbe történő közberuházásokból áll annak érdekében, hogy ösztönözze a magánberuházásokat és javítsa a finanszírozáshoz való hozzáférést a spanyol autonóm közösségekben a következő kiemelt területeken: szociális és megfizethető lakhatás és városrehabilitáció; fenntartható közlekedés; az ipar és a kkv-k versenyképessége; kutatás, fejlesztés és innováció; fenntartható turizmus; ápolási-gondozási gazdaság; víz- és hulladékgazdálkodás; és energetikai átállás; valamint a tőkepiacok fejlesztése ezeken a területeken. </w:t>
      </w:r>
    </w:p>
    <w:p w14:paraId="4DBD1EA3" w14:textId="62FBFDEC" w:rsidR="00D65CB4" w:rsidRPr="00BC4EE7" w:rsidRDefault="00572307">
      <w:pPr>
        <w:pStyle w:val="P68B1DB1-Normal4"/>
        <w:spacing w:before="160" w:after="0" w:line="240" w:lineRule="auto"/>
        <w:jc w:val="both"/>
        <w:rPr>
          <w:rFonts w:cs="Times New Roman"/>
          <w:noProof/>
        </w:rPr>
      </w:pPr>
      <w:r w:rsidRPr="00BC4EE7">
        <w:rPr>
          <w:rFonts w:cs="Times New Roman"/>
          <w:noProof/>
        </w:rPr>
        <w:t>Az eszköz úgy működik, hogy közvetlenül vagy közvetítőkön keresztül finanszírozást nyújt a magánszektornak, a hasonló tevékenységeket folytató közszektorbeli szervezeteknek, valamint a közigazgatási szerveknek, például a regionális és helyi önkormányzatoknak. A Helyreállítási és Rezilienciaépítési Eszköz beruházásai alapján az eszköz célja legalább 19 500 000 000 EUR összegű finanszírozás biztosítása. További 500 000 000 EUR-val járul hozzá az InvestEU tagállami komponenséhez.</w:t>
      </w:r>
    </w:p>
    <w:p w14:paraId="62C4CD55" w14:textId="13EEB42C" w:rsidR="00D65CB4" w:rsidRPr="00BC4EE7" w:rsidRDefault="00572307">
      <w:pPr>
        <w:pStyle w:val="P68B1DB1-Normal4"/>
        <w:spacing w:before="160" w:after="0" w:line="240" w:lineRule="auto"/>
        <w:jc w:val="both"/>
        <w:rPr>
          <w:rFonts w:cs="Times New Roman"/>
          <w:noProof/>
        </w:rPr>
      </w:pPr>
      <w:r w:rsidRPr="00BC4EE7">
        <w:rPr>
          <w:rFonts w:cs="Times New Roman"/>
          <w:noProof/>
        </w:rPr>
        <w:t>Az eszközt végrehajtó partnerként az EBB csoport kezeli. A beruházási keret a következő terméksorokat foglalja magában:</w:t>
      </w:r>
    </w:p>
    <w:p w14:paraId="2BA9E56C" w14:textId="4A743B87" w:rsidR="00D65CB4" w:rsidRPr="00BC4EE7" w:rsidRDefault="00572307">
      <w:pPr>
        <w:pStyle w:val="P68B1DB1-ListParagraph6"/>
        <w:numPr>
          <w:ilvl w:val="0"/>
          <w:numId w:val="483"/>
        </w:numPr>
        <w:spacing w:before="160" w:after="0"/>
        <w:ind w:left="714" w:hanging="357"/>
        <w:jc w:val="both"/>
        <w:rPr>
          <w:rFonts w:cs="Times New Roman"/>
          <w:noProof/>
        </w:rPr>
      </w:pPr>
      <w:r w:rsidRPr="00BC4EE7">
        <w:rPr>
          <w:rFonts w:cs="Times New Roman"/>
          <w:noProof/>
        </w:rPr>
        <w:t>Közvetlen nyilvános vonal (3 500 000 000 EUR): Közvetlen társfinanszírozási hiteleszköz állami szervek, például regionális és helyi önkormányzatok projektjeinek finanszírozására.</w:t>
      </w:r>
    </w:p>
    <w:p w14:paraId="2FD334C1" w14:textId="5D6913B9" w:rsidR="00D65CB4" w:rsidRPr="00BC4EE7" w:rsidRDefault="00572307">
      <w:pPr>
        <w:pStyle w:val="P68B1DB1-ListParagraph6"/>
        <w:numPr>
          <w:ilvl w:val="0"/>
          <w:numId w:val="483"/>
        </w:numPr>
        <w:spacing w:before="160" w:after="0"/>
        <w:ind w:left="714" w:hanging="357"/>
        <w:jc w:val="both"/>
        <w:rPr>
          <w:rFonts w:cs="Times New Roman"/>
          <w:noProof/>
        </w:rPr>
      </w:pPr>
      <w:r w:rsidRPr="00BC4EE7">
        <w:rPr>
          <w:rFonts w:cs="Times New Roman"/>
          <w:noProof/>
        </w:rPr>
        <w:t>Egyéb tételek (16 000 000 000 EUR): Magánszervezeteket vagy hasonló tevékenységeket folytató állami szervezeteket megcélzó vonalak, különösen:</w:t>
      </w:r>
    </w:p>
    <w:p w14:paraId="549BA5C1" w14:textId="4782C26B" w:rsidR="00D65CB4" w:rsidRPr="00BC4EE7" w:rsidRDefault="00572307">
      <w:pPr>
        <w:pStyle w:val="P68B1DB1-ListParagraph6"/>
        <w:numPr>
          <w:ilvl w:val="1"/>
          <w:numId w:val="483"/>
        </w:numPr>
        <w:spacing w:before="160" w:after="0"/>
        <w:ind w:left="1434" w:hanging="357"/>
        <w:jc w:val="both"/>
        <w:rPr>
          <w:rFonts w:cs="Times New Roman"/>
          <w:noProof/>
        </w:rPr>
      </w:pPr>
      <w:r w:rsidRPr="00BC4EE7">
        <w:rPr>
          <w:rFonts w:cs="Times New Roman"/>
          <w:noProof/>
        </w:rPr>
        <w:t>Közvetlen társfinanszírozási eszköz projektek hitelek, eszközvásárlás vagy projektfinanszírozásban való részvétel révén történő finanszírozására.</w:t>
      </w:r>
    </w:p>
    <w:p w14:paraId="7232CE8D" w14:textId="053F98AB" w:rsidR="00D65CB4" w:rsidRPr="00BC4EE7" w:rsidRDefault="00572307">
      <w:pPr>
        <w:pStyle w:val="P68B1DB1-ListParagraph6"/>
        <w:numPr>
          <w:ilvl w:val="1"/>
          <w:numId w:val="483"/>
        </w:numPr>
        <w:spacing w:before="160" w:after="0"/>
        <w:ind w:left="1434" w:hanging="357"/>
        <w:jc w:val="both"/>
        <w:rPr>
          <w:rFonts w:cs="Times New Roman"/>
          <w:noProof/>
        </w:rPr>
      </w:pPr>
      <w:r w:rsidRPr="00BC4EE7">
        <w:rPr>
          <w:rFonts w:cs="Times New Roman"/>
          <w:noProof/>
        </w:rPr>
        <w:t>Kkv-knak, közepes piaci tőkeértékű vállalatoknak és magánszemélyeknek nyújtott közvetített finanszírozás, többek között tőkebefektetések, kvázisajáttőke-befektetések, garanciák és meglévő hitelportfóliók eszközfedezetű értékpapírosítása, előresorolt magánhitelek, valamint új elfogadható hitelportfóliót létrehozó pénzügyi szervezetek által kibocsátott zöldkötvények vásárlása révén.</w:t>
      </w:r>
    </w:p>
    <w:p w14:paraId="7D5D4DF7" w14:textId="2B516A66" w:rsidR="00D65CB4" w:rsidRPr="00BC4EE7" w:rsidRDefault="00572307">
      <w:pPr>
        <w:pStyle w:val="P68B1DB1-Normal4"/>
        <w:spacing w:before="160" w:after="0" w:line="240" w:lineRule="auto"/>
        <w:jc w:val="both"/>
        <w:rPr>
          <w:rFonts w:cs="Times New Roman"/>
          <w:noProof/>
        </w:rPr>
      </w:pPr>
      <w:r w:rsidRPr="00BC4EE7">
        <w:rPr>
          <w:rFonts w:cs="Times New Roman"/>
          <w:noProof/>
        </w:rPr>
        <w:t>Az eszközbe történő beruházás végrehajtása érdekében Spanyolország és az EBB csoport végrehajtási megállapodást ír alá, amely a következő tartalmat tartalmazza:</w:t>
      </w:r>
    </w:p>
    <w:p w14:paraId="3C6F4765" w14:textId="78492C8F" w:rsidR="00D65CB4" w:rsidRPr="00BC4EE7" w:rsidRDefault="00572307">
      <w:pPr>
        <w:pStyle w:val="P68B1DB1-ListParagraph6"/>
        <w:numPr>
          <w:ilvl w:val="0"/>
          <w:numId w:val="755"/>
        </w:numPr>
        <w:spacing w:before="160" w:after="0" w:line="240" w:lineRule="auto"/>
        <w:jc w:val="both"/>
        <w:rPr>
          <w:rFonts w:cs="Times New Roman"/>
          <w:noProof/>
        </w:rPr>
      </w:pPr>
      <w:r w:rsidRPr="00BC4EE7">
        <w:rPr>
          <w:rFonts w:cs="Times New Roman"/>
          <w:noProof/>
        </w:rPr>
        <w:t>Az eszköz kezdeti beruházási döntését az EBB csoport a spanyol kormánytól függetlenül hozza meg. Az eszköz végleges beruházási döntése a beruházási bizottság vagy azzal egyenértékű irányító testület által javasolt beruházási döntés (módosítás nélküli) jóváhagyására, vagy a döntéssel kapcsolatos vétójog gyakorlására korlátozódik.   A közvetített beruházások esetében a végső beruházási döntést a közvetítők hozzák meg.</w:t>
      </w:r>
    </w:p>
    <w:p w14:paraId="6068387E" w14:textId="77777777" w:rsidR="00D65CB4" w:rsidRPr="00BC4EE7" w:rsidRDefault="00572307">
      <w:pPr>
        <w:pStyle w:val="P68B1DB1-ListParagraph6"/>
        <w:numPr>
          <w:ilvl w:val="0"/>
          <w:numId w:val="755"/>
        </w:numPr>
        <w:spacing w:line="240" w:lineRule="auto"/>
        <w:jc w:val="both"/>
        <w:rPr>
          <w:rFonts w:eastAsia="Times New Roman" w:cs="Times New Roman"/>
          <w:noProof/>
        </w:rPr>
      </w:pPr>
      <w:r w:rsidRPr="00BC4EE7">
        <w:rPr>
          <w:rFonts w:cs="Times New Roman"/>
          <w:noProof/>
        </w:rPr>
        <w:t>A kapcsolódó beruházási politika fő követelményei, amelyek a következőket foglalják magukban:</w:t>
      </w:r>
    </w:p>
    <w:p w14:paraId="194C34BC" w14:textId="77777777" w:rsidR="00D65CB4" w:rsidRPr="00BC4EE7" w:rsidRDefault="00572307">
      <w:pPr>
        <w:pStyle w:val="P68B1DB1-ListParagraph6"/>
        <w:numPr>
          <w:ilvl w:val="1"/>
          <w:numId w:val="755"/>
        </w:numPr>
        <w:spacing w:line="240" w:lineRule="auto"/>
        <w:jc w:val="both"/>
        <w:rPr>
          <w:rFonts w:eastAsia="Times New Roman" w:cs="Times New Roman"/>
          <w:noProof/>
        </w:rPr>
      </w:pPr>
      <w:r w:rsidRPr="00BC4EE7">
        <w:rPr>
          <w:rFonts w:cs="Times New Roman"/>
          <w:noProof/>
        </w:rPr>
        <w:t xml:space="preserve">A pénzügyi termékek és a támogatható végső kedvezményezettek leírása az intézkedés leírásával összhangban.     </w:t>
      </w:r>
    </w:p>
    <w:p w14:paraId="1B8FC68C" w14:textId="77777777" w:rsidR="00D65CB4" w:rsidRPr="00BC4EE7" w:rsidRDefault="00572307">
      <w:pPr>
        <w:pStyle w:val="P68B1DB1-ListParagraph6"/>
        <w:numPr>
          <w:ilvl w:val="1"/>
          <w:numId w:val="755"/>
        </w:numPr>
        <w:spacing w:line="240" w:lineRule="auto"/>
        <w:jc w:val="both"/>
        <w:rPr>
          <w:rFonts w:eastAsia="Times New Roman" w:cs="Times New Roman"/>
          <w:noProof/>
        </w:rPr>
      </w:pPr>
      <w:r w:rsidRPr="00BC4EE7">
        <w:rPr>
          <w:rFonts w:cs="Times New Roman"/>
          <w:noProof/>
        </w:rPr>
        <w:t>Az a követelmény, hogy minden támogatott beruházás gazdaságilag életképes legyen.</w:t>
      </w:r>
    </w:p>
    <w:p w14:paraId="75C0AFD0" w14:textId="77777777" w:rsidR="00D65CB4" w:rsidRPr="00BC4EE7" w:rsidRDefault="00572307">
      <w:pPr>
        <w:pStyle w:val="P68B1DB1-ListParagraph6"/>
        <w:numPr>
          <w:ilvl w:val="1"/>
          <w:numId w:val="755"/>
        </w:numPr>
        <w:spacing w:line="240" w:lineRule="auto"/>
        <w:jc w:val="both"/>
        <w:rPr>
          <w:rFonts w:eastAsia="Times New Roman" w:cs="Times New Roman"/>
          <w:noProof/>
        </w:rPr>
      </w:pPr>
      <w:r w:rsidRPr="00BC4EE7">
        <w:rPr>
          <w:rFonts w:cs="Times New Roman"/>
          <w:noProof/>
        </w:rPr>
        <w:t xml:space="preserve">A fennálló hitelek refinanszírozásának tilalma.  </w:t>
      </w:r>
    </w:p>
    <w:p w14:paraId="7C25BF49" w14:textId="77777777" w:rsidR="00D65CB4" w:rsidRPr="00BC4EE7" w:rsidRDefault="00572307">
      <w:pPr>
        <w:pStyle w:val="P68B1DB1-ListParagraph6"/>
        <w:numPr>
          <w:ilvl w:val="1"/>
          <w:numId w:val="755"/>
        </w:numPr>
        <w:spacing w:line="240" w:lineRule="auto"/>
        <w:jc w:val="both"/>
        <w:rPr>
          <w:rFonts w:eastAsia="Times New Roman" w:cs="Times New Roman"/>
          <w:noProof/>
        </w:rPr>
      </w:pPr>
      <w:r w:rsidRPr="00BC4EE7">
        <w:rPr>
          <w:rFonts w:cs="Times New Roman"/>
          <w:noProof/>
        </w:rPr>
        <w:t xml:space="preserve">A jelentős károkozás elkerülését célzó elvnek való megfelelés követelménye a DNSH technikai iránymutatásban (2021/C58/01), különösen: </w:t>
      </w:r>
    </w:p>
    <w:p w14:paraId="4F28561E" w14:textId="7A1D43C1" w:rsidR="00D65CB4" w:rsidRPr="00BC4EE7" w:rsidRDefault="00572307">
      <w:pPr>
        <w:pStyle w:val="ListParagraph"/>
        <w:numPr>
          <w:ilvl w:val="2"/>
          <w:numId w:val="755"/>
        </w:numPr>
        <w:jc w:val="both"/>
        <w:rPr>
          <w:rFonts w:ascii="Times New Roman" w:eastAsia="Times New Roman" w:hAnsi="Times New Roman" w:cs="Times New Roman"/>
          <w:noProof/>
          <w:sz w:val="24"/>
        </w:rPr>
      </w:pPr>
      <w:r w:rsidRPr="00BC4EE7">
        <w:rPr>
          <w:rFonts w:ascii="Times New Roman" w:hAnsi="Times New Roman" w:cs="Times New Roman"/>
          <w:noProof/>
          <w:sz w:val="24"/>
        </w:rPr>
        <w:t>Hitelek, projektkötvények vagy ezekkel egyenértékű eszközök esetében: a befektetési politika kizárja a támogathatóság köréből a következő tevékenységek és eszközök listáját: i. a fosszilis tüzelőanyagokhoz kapcsolódó tevékenységek és eszközök, beleértve a downstream felhasználást is, ii. az uniós kibocsátáskereskedelmi rendszer</w:t>
      </w:r>
      <w:r w:rsidRPr="00BC4EE7">
        <w:rPr>
          <w:rStyle w:val="FootnoteReference"/>
          <w:rFonts w:ascii="Times New Roman" w:eastAsia="Times New Roman" w:hAnsi="Times New Roman" w:cs="Times New Roman"/>
          <w:noProof/>
          <w:sz w:val="24"/>
        </w:rPr>
        <w:footnoteReference w:id="138"/>
      </w:r>
      <w:r w:rsidRPr="00BC4EE7">
        <w:rPr>
          <w:rFonts w:ascii="Times New Roman" w:hAnsi="Times New Roman" w:cs="Times New Roman"/>
          <w:noProof/>
          <w:sz w:val="24"/>
        </w:rPr>
        <w:t>(ETS) keretébe tartozó tevékenységek és eszközök, amelyek elérik a vonatkozó referenciaértékeket meg nem haladó, előre jelzett üvegházhatásúgáz-kibocsátást, iii. a hulladéklerakókhoz, égetőművekhez és mechanikai-biológiai hulladékkezelő létesítményekhez kapcsolódó</w:t>
      </w:r>
      <w:r w:rsidRPr="00BC4EE7">
        <w:rPr>
          <w:rStyle w:val="FootnoteReference"/>
          <w:rFonts w:ascii="Times New Roman" w:eastAsia="Times New Roman" w:hAnsi="Times New Roman" w:cs="Times New Roman"/>
          <w:noProof/>
          <w:sz w:val="24"/>
        </w:rPr>
        <w:footnoteReference w:id="139"/>
      </w:r>
      <w:r w:rsidR="00BC4EE7">
        <w:rPr>
          <w:rFonts w:ascii="Times New Roman" w:hAnsi="Times New Roman" w:cs="Times New Roman"/>
          <w:noProof/>
          <w:sz w:val="24"/>
        </w:rPr>
        <w:t xml:space="preserve"> </w:t>
      </w:r>
      <w:r w:rsidRPr="00BC4EE7">
        <w:rPr>
          <w:rFonts w:ascii="Times New Roman" w:hAnsi="Times New Roman" w:cs="Times New Roman"/>
          <w:noProof/>
          <w:sz w:val="24"/>
        </w:rPr>
        <w:t>tevékenységek</w:t>
      </w:r>
      <w:r w:rsidRPr="00BC4EE7">
        <w:rPr>
          <w:rStyle w:val="FootnoteReference"/>
          <w:rFonts w:ascii="Times New Roman" w:hAnsi="Times New Roman" w:cs="Times New Roman"/>
          <w:noProof/>
          <w:sz w:val="24"/>
        </w:rPr>
        <w:footnoteReference w:id="140"/>
      </w:r>
      <w:r w:rsidRPr="00BC4EE7">
        <w:rPr>
          <w:rFonts w:ascii="Times New Roman" w:hAnsi="Times New Roman" w:cs="Times New Roman"/>
          <w:noProof/>
          <w:sz w:val="24"/>
        </w:rPr>
        <w:t xml:space="preserve"> és eszközök</w:t>
      </w:r>
      <w:r w:rsidRPr="00BC4EE7">
        <w:rPr>
          <w:rStyle w:val="FootnoteReference"/>
          <w:rFonts w:ascii="Times New Roman" w:hAnsi="Times New Roman" w:cs="Times New Roman"/>
          <w:noProof/>
          <w:sz w:val="24"/>
        </w:rPr>
        <w:footnoteReference w:id="141"/>
      </w:r>
      <w:r w:rsidRPr="00BC4EE7">
        <w:rPr>
          <w:rFonts w:ascii="Times New Roman" w:hAnsi="Times New Roman" w:cs="Times New Roman"/>
          <w:noProof/>
          <w:sz w:val="24"/>
        </w:rPr>
        <w:t xml:space="preserve">.  </w:t>
      </w:r>
    </w:p>
    <w:p w14:paraId="16C8C54F" w14:textId="4FBD4A82" w:rsidR="00D65CB4" w:rsidRPr="00BC4EE7" w:rsidRDefault="00572307">
      <w:pPr>
        <w:pStyle w:val="ListParagraph"/>
        <w:numPr>
          <w:ilvl w:val="2"/>
          <w:numId w:val="755"/>
        </w:numPr>
        <w:jc w:val="both"/>
        <w:rPr>
          <w:rFonts w:ascii="Times New Roman" w:eastAsia="Times New Roman" w:hAnsi="Times New Roman" w:cs="Times New Roman"/>
          <w:noProof/>
          <w:sz w:val="24"/>
        </w:rPr>
      </w:pPr>
      <w:r w:rsidRPr="00BC4EE7">
        <w:rPr>
          <w:rFonts w:ascii="Times New Roman" w:hAnsi="Times New Roman" w:cs="Times New Roman"/>
          <w:noProof/>
          <w:sz w:val="24"/>
        </w:rPr>
        <w:t>Saját tőke, kvázi-sajáttőke, vállalati kötvények vagy ezekkel egyenértékű eszközök esetében: a befektetési politikának elő kell írnia a vállalatok számára, hogy a 2013/34/EU irányelv 19a. cikke (2) bekezdése a) pontjának iii. alpontjában foglalt fogalommeghatározással összhangban zöld átállási terveket fogadjanak el,</w:t>
      </w:r>
      <w:r w:rsidRPr="00BC4EE7">
        <w:rPr>
          <w:rStyle w:val="FootnoteReference"/>
          <w:rFonts w:ascii="Times New Roman" w:eastAsia="Times New Roman" w:hAnsi="Times New Roman" w:cs="Times New Roman"/>
          <w:noProof/>
          <w:sz w:val="24"/>
        </w:rPr>
        <w:footnoteReference w:id="142"/>
      </w:r>
      <w:r w:rsidRPr="00BC4EE7">
        <w:rPr>
          <w:rFonts w:ascii="Times New Roman" w:hAnsi="Times New Roman" w:cs="Times New Roman"/>
          <w:noProof/>
          <w:sz w:val="24"/>
        </w:rPr>
        <w:t xml:space="preserve"> ha az előző pénzügyi év közvetlen bevételeinek több mint 50%-a a tevékenységek és eszközök alábbi listájából származik: i. a fosszilis tüzelőanyagokhoz kapcsolódó tevékenységek és eszközök, beleértve a downstream felhasználást is, ii. az uniós kibocsátáskereskedelmi rendszer</w:t>
      </w:r>
      <w:r w:rsidRPr="00BC4EE7">
        <w:rPr>
          <w:rStyle w:val="FootnoteReference"/>
          <w:rFonts w:ascii="Times New Roman" w:eastAsia="Times New Roman" w:hAnsi="Times New Roman" w:cs="Times New Roman"/>
          <w:noProof/>
          <w:sz w:val="24"/>
        </w:rPr>
        <w:footnoteReference w:id="143"/>
      </w:r>
      <w:r w:rsidRPr="00BC4EE7">
        <w:rPr>
          <w:rFonts w:ascii="Times New Roman" w:hAnsi="Times New Roman" w:cs="Times New Roman"/>
          <w:noProof/>
          <w:sz w:val="24"/>
        </w:rPr>
        <w:t>(ETS) keretébe tartozó tevékenységek és eszközök, amelyek elérik a vonatkozó referenciaértékeket meg nem haladó, előre jelzett üvegházhatásúgáz-kibocsátást, iii. a hulladéklerakókhoz, égetőművekhez és mechanikai-biológiai hulladékkezelő létesítményekhez kapcsolódó</w:t>
      </w:r>
      <w:r w:rsidRPr="00BC4EE7">
        <w:rPr>
          <w:rStyle w:val="FootnoteReference"/>
          <w:rFonts w:ascii="Times New Roman" w:eastAsia="Times New Roman" w:hAnsi="Times New Roman" w:cs="Times New Roman"/>
          <w:noProof/>
          <w:sz w:val="24"/>
        </w:rPr>
        <w:footnoteReference w:id="144"/>
      </w:r>
      <w:r w:rsidR="00BC4EE7">
        <w:rPr>
          <w:rFonts w:ascii="Times New Roman" w:hAnsi="Times New Roman" w:cs="Times New Roman"/>
          <w:noProof/>
          <w:sz w:val="24"/>
        </w:rPr>
        <w:t xml:space="preserve"> </w:t>
      </w:r>
      <w:r w:rsidRPr="00BC4EE7">
        <w:rPr>
          <w:rFonts w:ascii="Times New Roman" w:hAnsi="Times New Roman" w:cs="Times New Roman"/>
          <w:noProof/>
          <w:sz w:val="24"/>
        </w:rPr>
        <w:t>tevékenységek</w:t>
      </w:r>
      <w:r w:rsidRPr="00BC4EE7">
        <w:rPr>
          <w:rStyle w:val="FootnoteReference"/>
          <w:rFonts w:ascii="Times New Roman" w:eastAsia="Times New Roman" w:hAnsi="Times New Roman" w:cs="Times New Roman"/>
          <w:noProof/>
          <w:sz w:val="24"/>
        </w:rPr>
        <w:footnoteReference w:id="145"/>
      </w:r>
      <w:r w:rsidRPr="00BC4EE7">
        <w:rPr>
          <w:rFonts w:ascii="Times New Roman" w:hAnsi="Times New Roman" w:cs="Times New Roman"/>
          <w:noProof/>
          <w:sz w:val="24"/>
        </w:rPr>
        <w:t xml:space="preserve"> és eszközök</w:t>
      </w:r>
      <w:r w:rsidRPr="00BC4EE7">
        <w:rPr>
          <w:rStyle w:val="FootnoteReference"/>
          <w:rFonts w:ascii="Times New Roman" w:eastAsia="Times New Roman" w:hAnsi="Times New Roman" w:cs="Times New Roman"/>
          <w:noProof/>
          <w:sz w:val="24"/>
        </w:rPr>
        <w:footnoteReference w:id="146"/>
      </w:r>
      <w:r w:rsidRPr="00BC4EE7">
        <w:rPr>
          <w:rFonts w:ascii="Times New Roman" w:hAnsi="Times New Roman" w:cs="Times New Roman"/>
          <w:noProof/>
          <w:sz w:val="24"/>
        </w:rPr>
        <w:t xml:space="preserve">. </w:t>
      </w:r>
    </w:p>
    <w:p w14:paraId="1F24FA81" w14:textId="77777777" w:rsidR="00D65CB4" w:rsidRPr="00BC4EE7" w:rsidRDefault="00572307">
      <w:pPr>
        <w:pStyle w:val="P68B1DB1-ListParagraph6"/>
        <w:numPr>
          <w:ilvl w:val="2"/>
          <w:numId w:val="755"/>
        </w:numPr>
        <w:rPr>
          <w:rFonts w:eastAsia="Times New Roman" w:cs="Times New Roman"/>
          <w:noProof/>
        </w:rPr>
      </w:pPr>
      <w:r w:rsidRPr="00BC4EE7">
        <w:rPr>
          <w:rFonts w:cs="Times New Roman"/>
          <w:noProof/>
        </w:rPr>
        <w:t>A beruházási politikának továbbá meg kell követelnie az eszköz végső kedvezményezettjeinek a vonatkozó uniós és nemzeti környezetvédelmi jogszabályoknak való megfelelését.</w:t>
      </w:r>
    </w:p>
    <w:p w14:paraId="68AAD697" w14:textId="77777777" w:rsidR="00D65CB4" w:rsidRPr="00BC4EE7" w:rsidRDefault="00572307">
      <w:pPr>
        <w:pStyle w:val="P68B1DB1-ListParagraph6"/>
        <w:numPr>
          <w:ilvl w:val="1"/>
          <w:numId w:val="755"/>
        </w:numPr>
        <w:rPr>
          <w:rFonts w:eastAsia="Times New Roman" w:cs="Times New Roman"/>
          <w:noProof/>
        </w:rPr>
      </w:pPr>
      <w:r w:rsidRPr="00BC4EE7">
        <w:rPr>
          <w:rFonts w:cs="Times New Roman"/>
          <w:noProof/>
        </w:rPr>
        <w:t>Az a követelmény, hogy az eszköz végső kedvezményezettjei nem részesülhetnek támogatásban más uniós eszközökből ugyanazon költségek fedezésére.</w:t>
      </w:r>
    </w:p>
    <w:p w14:paraId="7CF753BD" w14:textId="4346533E" w:rsidR="00D65CB4" w:rsidRPr="00BC4EE7" w:rsidRDefault="00572307">
      <w:pPr>
        <w:pStyle w:val="P68B1DB1-ListParagraph6"/>
        <w:numPr>
          <w:ilvl w:val="0"/>
          <w:numId w:val="755"/>
        </w:numPr>
        <w:jc w:val="both"/>
        <w:rPr>
          <w:rFonts w:eastAsia="Times New Roman" w:cs="Times New Roman"/>
          <w:noProof/>
        </w:rPr>
      </w:pPr>
      <w:r w:rsidRPr="00BC4EE7">
        <w:rPr>
          <w:rFonts w:cs="Times New Roman"/>
          <w:noProof/>
        </w:rPr>
        <w:t>A végrehajtási megállapodás hatálya alá tartozó összeg, a végrehajtó partner díjstruktúrája, valamint az eszköz beruházási politikájának megfelelően a visszafolyó bevételek újbóli befektetésére vonatkozó követelmény, kivéve, ha azokat a Helyreállítási és Rezilienciaépítési Eszköz hiteltörlesztéseinek fedezésére használják fel.</w:t>
      </w:r>
    </w:p>
    <w:p w14:paraId="375487A6" w14:textId="77777777" w:rsidR="00D65CB4" w:rsidRPr="00BC4EE7" w:rsidRDefault="00572307">
      <w:pPr>
        <w:pStyle w:val="P68B1DB1-ListParagraph6"/>
        <w:numPr>
          <w:ilvl w:val="0"/>
          <w:numId w:val="755"/>
        </w:numPr>
        <w:jc w:val="both"/>
        <w:rPr>
          <w:rFonts w:eastAsia="Times New Roman" w:cs="Times New Roman"/>
          <w:noProof/>
        </w:rPr>
      </w:pPr>
      <w:r w:rsidRPr="00BC4EE7">
        <w:rPr>
          <w:rFonts w:cs="Times New Roman"/>
          <w:noProof/>
        </w:rPr>
        <w:t>Nyomonkövetési, ellenőrzési és kontrollkövetelmények, beleértve a következőket:</w:t>
      </w:r>
    </w:p>
    <w:p w14:paraId="044F541F" w14:textId="77777777" w:rsidR="00D65CB4" w:rsidRPr="00BC4EE7" w:rsidRDefault="00572307">
      <w:pPr>
        <w:pStyle w:val="P68B1DB1-ListParagraph6"/>
        <w:numPr>
          <w:ilvl w:val="1"/>
          <w:numId w:val="755"/>
        </w:numPr>
        <w:jc w:val="both"/>
        <w:rPr>
          <w:rFonts w:eastAsia="Times New Roman" w:cs="Times New Roman"/>
          <w:noProof/>
        </w:rPr>
      </w:pPr>
      <w:r w:rsidRPr="00BC4EE7">
        <w:rPr>
          <w:rFonts w:cs="Times New Roman"/>
          <w:noProof/>
        </w:rPr>
        <w:t>Az egyes műveletek támogathatóságának ellenőrzésére vonatkozó kötelezettség a Békekeretet létrehozó rendeletekben meghatározott követelményekkel összhangban, mielőtt kötelezettséget vállalnának egy művelet finanszírozására.</w:t>
      </w:r>
    </w:p>
    <w:p w14:paraId="725AD338" w14:textId="6F276A3B" w:rsidR="00D65CB4" w:rsidRPr="00BC4EE7" w:rsidRDefault="00572307">
      <w:pPr>
        <w:pStyle w:val="P68B1DB1-ListParagraph6"/>
        <w:numPr>
          <w:ilvl w:val="1"/>
          <w:numId w:val="755"/>
        </w:numPr>
        <w:jc w:val="both"/>
        <w:rPr>
          <w:rFonts w:eastAsia="Times New Roman" w:cs="Times New Roman"/>
          <w:noProof/>
        </w:rPr>
      </w:pPr>
      <w:r w:rsidRPr="00BC4EE7">
        <w:rPr>
          <w:rFonts w:cs="Times New Roman"/>
          <w:noProof/>
        </w:rPr>
        <w:t xml:space="preserve">A kockázatalapú utólagos ellenőrzéseknek az EBB csoport ellenőrzési tervével összhangban történő elvégzésére vonatkozó kötelezettség. Ezeknek az ellenőrzéseknek meg kell győződniük i. arról, hogy az ellenőrzési rendszerek hatékonyak-e, beleértve a csalás, a korrupció és az összeférhetetlenség felderítését; a DNSH-elvnek, az állami támogatásokra vonatkozó szabályoknak, valamint az éghajlat-politikai és digitális célkitűzésekre vonatkozó követelményeknek való megfelelés; és iii. betartották azt a követelményt, amely szerint a közvetítőnek ellenőriznie kell, hogy a végső kedvezményezett felelősségteljes nyilatkozatot nyújt-e be annak ellenőrzése érdekében, hogy ugyanazt a költséget egy másik uniós eszköz fedezi-e.  Az ellenőrzések azt is vizsgálják, hogy az ügyletek jogszerűek-e, valamint hogy az alkalmazandó végrehajtási megállapodásban és finanszírozási megállapodásokban foglalt feltételeket betartják-e. </w:t>
      </w:r>
    </w:p>
    <w:p w14:paraId="618D5455" w14:textId="76DF3653" w:rsidR="00D65CB4" w:rsidRPr="00BC4EE7" w:rsidRDefault="00572307">
      <w:pPr>
        <w:pStyle w:val="P68B1DB1-ListParagraph6"/>
        <w:numPr>
          <w:ilvl w:val="1"/>
          <w:numId w:val="755"/>
        </w:numPr>
        <w:jc w:val="both"/>
        <w:rPr>
          <w:rFonts w:eastAsia="Times New Roman" w:cs="Times New Roman"/>
          <w:noProof/>
        </w:rPr>
      </w:pPr>
      <w:r w:rsidRPr="00BC4EE7">
        <w:rPr>
          <w:rFonts w:cs="Times New Roman"/>
          <w:noProof/>
        </w:rPr>
        <w:t>Az EBB csoport azon kötelezettsége, hogy a központi kormányzat általános ellenőre (IGAE) rendelkezésére bocsássa a külső könyvvizsgálói által készített éves ellenőrzési jelentést.</w:t>
      </w:r>
    </w:p>
    <w:p w14:paraId="557E207F" w14:textId="5CFAD5F2" w:rsidR="00D65CB4" w:rsidRPr="00BC4EE7" w:rsidRDefault="00572307">
      <w:pPr>
        <w:pStyle w:val="ListParagraph"/>
        <w:numPr>
          <w:ilvl w:val="0"/>
          <w:numId w:val="755"/>
        </w:numPr>
        <w:jc w:val="both"/>
        <w:rPr>
          <w:rFonts w:ascii="Times New Roman" w:eastAsia="Times New Roman" w:hAnsi="Times New Roman" w:cs="Times New Roman"/>
          <w:noProof/>
          <w:sz w:val="24"/>
        </w:rPr>
      </w:pPr>
      <w:r w:rsidRPr="00BC4EE7">
        <w:rPr>
          <w:rFonts w:ascii="Times New Roman" w:hAnsi="Times New Roman" w:cs="Times New Roman"/>
          <w:noProof/>
          <w:sz w:val="24"/>
        </w:rPr>
        <w:t>A végrehajtó partner által végrehajtott éghajlat-politikai beruházásokra vonatkozó követelmények: a Helyreállítási és Rezilienciaépítési Eszközbe történő beruházásból legalább 9 750 000 000 EUR-nak a Helyreállítási és Rezilienciaépítési Eszközről szóló rendelet VI. mellékletével összhangban hozzá kell járulnia az éghajlatváltozással kapcsolatos célkitűzésekhez.</w:t>
      </w:r>
      <w:r w:rsidRPr="00BC4EE7">
        <w:rPr>
          <w:rStyle w:val="FootnoteReference"/>
          <w:rFonts w:ascii="Times New Roman" w:hAnsi="Times New Roman" w:cs="Times New Roman"/>
          <w:noProof/>
          <w:sz w:val="24"/>
        </w:rPr>
        <w:footnoteReference w:id="147"/>
      </w:r>
    </w:p>
    <w:p w14:paraId="216600C2" w14:textId="1EE967AA" w:rsidR="00D65CB4" w:rsidRPr="00BC4EE7" w:rsidRDefault="00572307">
      <w:pPr>
        <w:pStyle w:val="P68B1DB1-ListParagraph6"/>
        <w:numPr>
          <w:ilvl w:val="0"/>
          <w:numId w:val="755"/>
        </w:numPr>
        <w:jc w:val="both"/>
        <w:rPr>
          <w:rFonts w:eastAsia="Times New Roman" w:cs="Times New Roman"/>
          <w:noProof/>
        </w:rPr>
      </w:pPr>
      <w:r w:rsidRPr="00BC4EE7">
        <w:rPr>
          <w:rFonts w:cs="Times New Roman"/>
          <w:noProof/>
        </w:rPr>
        <w:t xml:space="preserve">A pénzügyi közvetítők kiválasztására vonatkozó követelmények: Az EBB csoport nyílt, átlátható és megkülönböztetésmentes módon választja ki a pénzügyi közvetítőket. Minden érintett pénzügyi szereplő esetében előzetesen ellenőrizni kell, hogy a pénzügyi közvetítők esetében nem áll fenn összeférhetetlenség.  </w:t>
      </w:r>
    </w:p>
    <w:p w14:paraId="6137DE3A" w14:textId="15766C8D" w:rsidR="00D65CB4" w:rsidRPr="00BC4EE7" w:rsidRDefault="00572307">
      <w:pPr>
        <w:pStyle w:val="P68B1DB1-ListParagraph6"/>
        <w:numPr>
          <w:ilvl w:val="0"/>
          <w:numId w:val="755"/>
        </w:numPr>
        <w:jc w:val="both"/>
        <w:rPr>
          <w:rFonts w:eastAsia="Times New Roman" w:cs="Times New Roman"/>
          <w:noProof/>
        </w:rPr>
      </w:pPr>
      <w:r w:rsidRPr="00BC4EE7">
        <w:rPr>
          <w:rFonts w:cs="Times New Roman"/>
          <w:noProof/>
        </w:rPr>
        <w:t xml:space="preserve">Finanszírozási megállapodások aláírására vonatkozó kötelezettség: Az EBB csoport finanszírozási megállapodásokat ír alá a pénzügyi közvetítőkkel a végrehajtási megállapodás mellékleteként benyújtandó kulcsfontosságú követelményekkel összhangban. A finanszírozási megállapodás fő követelményeinek magukban kell foglalniuk mindazokat a követelményeket, amelyek alapján az eszköz működik, beleértve a következőket:  </w:t>
      </w:r>
    </w:p>
    <w:p w14:paraId="5DEE2206" w14:textId="77777777" w:rsidR="00D65CB4" w:rsidRPr="00BC4EE7" w:rsidRDefault="00572307">
      <w:pPr>
        <w:pStyle w:val="P68B1DB1-ListParagraph6"/>
        <w:numPr>
          <w:ilvl w:val="1"/>
          <w:numId w:val="755"/>
        </w:numPr>
        <w:rPr>
          <w:rFonts w:cs="Times New Roman"/>
          <w:noProof/>
        </w:rPr>
      </w:pPr>
      <w:r w:rsidRPr="00BC4EE7">
        <w:rPr>
          <w:rFonts w:cs="Times New Roman"/>
          <w:noProof/>
        </w:rPr>
        <w:t xml:space="preserve">A pénzügyi közvetítő azon kötelezettsége, hogy döntéseit </w:t>
      </w:r>
      <w:r w:rsidRPr="00BC4EE7">
        <w:rPr>
          <w:rFonts w:cs="Times New Roman"/>
          <w:i/>
          <w:noProof/>
        </w:rPr>
        <w:t>értelemszerűen</w:t>
      </w:r>
      <w:r w:rsidRPr="00BC4EE7">
        <w:rPr>
          <w:rFonts w:cs="Times New Roman"/>
          <w:noProof/>
        </w:rPr>
        <w:t xml:space="preserve"> a fent meghatározott döntéshozatali és beruházási politikai követelményeknek megfelelően hozza meg, beleértve a DNSH-elv tiszteletben tartásával kapcsolatos követelményeket is. </w:t>
      </w:r>
    </w:p>
    <w:p w14:paraId="139C3B11" w14:textId="77777777" w:rsidR="00D65CB4" w:rsidRPr="00BC4EE7" w:rsidRDefault="00572307">
      <w:pPr>
        <w:pStyle w:val="P68B1DB1-ListParagraph6"/>
        <w:numPr>
          <w:ilvl w:val="1"/>
          <w:numId w:val="755"/>
        </w:numPr>
        <w:rPr>
          <w:rFonts w:cs="Times New Roman"/>
          <w:noProof/>
        </w:rPr>
      </w:pPr>
      <w:r w:rsidRPr="00BC4EE7">
        <w:rPr>
          <w:rFonts w:cs="Times New Roman"/>
          <w:noProof/>
        </w:rPr>
        <w:t xml:space="preserve">A pénzügyi közvetítő által létrehozandó nyomonkövetési, ellenőrzési és kontrollkeret leírása, amelyre </w:t>
      </w:r>
      <w:r w:rsidRPr="00BC4EE7">
        <w:rPr>
          <w:rFonts w:cs="Times New Roman"/>
          <w:i/>
          <w:noProof/>
        </w:rPr>
        <w:t>értelemszerűen</w:t>
      </w:r>
      <w:r w:rsidRPr="00BC4EE7">
        <w:rPr>
          <w:rFonts w:cs="Times New Roman"/>
          <w:noProof/>
        </w:rPr>
        <w:t xml:space="preserve"> a fent meghatározott valamennyi nyomonkövetési, ellenőrzési és kontrollkövetelmény vonatkozik.  </w:t>
      </w:r>
    </w:p>
    <w:p w14:paraId="1FF0C1AA" w14:textId="373609A2" w:rsidR="00D65CB4" w:rsidRPr="00BC4EE7" w:rsidRDefault="00572307">
      <w:pPr>
        <w:pStyle w:val="P68B1DB1-Normal4"/>
        <w:spacing w:before="160" w:after="0" w:line="240" w:lineRule="auto"/>
        <w:jc w:val="both"/>
        <w:rPr>
          <w:rFonts w:eastAsia="Times New Roman" w:cs="Times New Roman"/>
          <w:noProof/>
        </w:rPr>
      </w:pPr>
      <w:r w:rsidRPr="00BC4EE7">
        <w:rPr>
          <w:rFonts w:cs="Times New Roman"/>
          <w:noProof/>
        </w:rPr>
        <w:t>Az InvestEU tagállami komponenséhez való hozzájárulást (500 000 000 EUR)</w:t>
      </w:r>
      <w:r w:rsidRPr="00BC4EE7">
        <w:rPr>
          <w:rFonts w:cs="Times New Roman"/>
          <w:b/>
          <w:noProof/>
        </w:rPr>
        <w:t xml:space="preserve"> </w:t>
      </w:r>
      <w:r w:rsidRPr="00BC4EE7">
        <w:rPr>
          <w:rFonts w:cs="Times New Roman"/>
          <w:noProof/>
        </w:rPr>
        <w:t>kkv-k, közepes piaci tőkeértékű vállalatok és magánszemélyek finanszírozására kell felhasználni, többek között kötvények, hitelek, lízing, alárendelt kölcsönök, faktoring, bankgaranciák vagy kereskedelemfinanszírozás révén.</w:t>
      </w:r>
    </w:p>
    <w:p w14:paraId="7242546C" w14:textId="160DC2FB" w:rsidR="00D65CB4" w:rsidRPr="00BC4EE7" w:rsidRDefault="00572307">
      <w:pPr>
        <w:pStyle w:val="P68B1DB1-Normal4"/>
        <w:spacing w:before="160" w:after="0" w:line="240" w:lineRule="auto"/>
        <w:jc w:val="both"/>
        <w:rPr>
          <w:rFonts w:eastAsia="Times New Roman" w:cs="Times New Roman"/>
          <w:noProof/>
        </w:rPr>
      </w:pPr>
      <w:r w:rsidRPr="00BC4EE7">
        <w:rPr>
          <w:rFonts w:cs="Times New Roman"/>
          <w:noProof/>
        </w:rPr>
        <w:t>Hatályba lép a Bizottság és a végrehajtó partner közötti, az InvestEU program létrehozásáról és az (EU) 2015/1017 rendelet módosításáról szóló, 2021. március 24-i (EU) 2021/523 európai parlamenti és tanácsi rendelet vonatkozó rendelkezéseivel összhangban kiválasztott garanciamegállapodás. Spanyolország az EBA-t javasolta végrehajtó partnernek ezen intézkedés végrehajtása céljából.</w:t>
      </w:r>
    </w:p>
    <w:p w14:paraId="75AD9FE1" w14:textId="37B3A716" w:rsidR="00D65CB4" w:rsidRPr="00BC4EE7" w:rsidRDefault="00572307">
      <w:pPr>
        <w:pStyle w:val="P68B1DB1-Normal4"/>
        <w:spacing w:before="160" w:after="0" w:line="240" w:lineRule="auto"/>
        <w:jc w:val="both"/>
        <w:rPr>
          <w:rFonts w:eastAsia="Times New Roman" w:cs="Times New Roman"/>
          <w:noProof/>
        </w:rPr>
      </w:pPr>
      <w:r w:rsidRPr="00BC4EE7">
        <w:rPr>
          <w:rFonts w:cs="Times New Roman"/>
          <w:noProof/>
        </w:rPr>
        <w:t xml:space="preserve">Spanyolország hozzájárulási megállapodást ír alá az Európai Bizottsággal, amely a következőket tartalmazza: </w:t>
      </w:r>
    </w:p>
    <w:p w14:paraId="20DB6344" w14:textId="77777777" w:rsidR="00D65CB4" w:rsidRPr="00BC4EE7" w:rsidRDefault="00572307">
      <w:pPr>
        <w:pStyle w:val="P68B1DB1-ListParagraph6"/>
        <w:numPr>
          <w:ilvl w:val="0"/>
          <w:numId w:val="719"/>
        </w:numPr>
        <w:spacing w:before="160" w:after="0" w:line="240" w:lineRule="auto"/>
        <w:jc w:val="both"/>
        <w:rPr>
          <w:rFonts w:eastAsia="Times New Roman" w:cs="Times New Roman"/>
          <w:noProof/>
        </w:rPr>
      </w:pPr>
      <w:r w:rsidRPr="00BC4EE7">
        <w:rPr>
          <w:rFonts w:cs="Times New Roman"/>
          <w:noProof/>
        </w:rPr>
        <w:t xml:space="preserve">A javasolt végrehajtó partner. </w:t>
      </w:r>
    </w:p>
    <w:p w14:paraId="13495C88" w14:textId="22C269EB" w:rsidR="00D65CB4" w:rsidRPr="00BC4EE7" w:rsidRDefault="00572307">
      <w:pPr>
        <w:pStyle w:val="ListParagraph"/>
        <w:numPr>
          <w:ilvl w:val="0"/>
          <w:numId w:val="719"/>
        </w:numPr>
        <w:spacing w:before="160" w:after="0" w:line="240" w:lineRule="auto"/>
        <w:jc w:val="both"/>
        <w:rPr>
          <w:rFonts w:ascii="Times New Roman" w:eastAsia="Times New Roman" w:hAnsi="Times New Roman" w:cs="Times New Roman"/>
          <w:noProof/>
          <w:sz w:val="24"/>
        </w:rPr>
      </w:pPr>
      <w:r w:rsidRPr="00BC4EE7">
        <w:rPr>
          <w:rFonts w:ascii="Times New Roman" w:hAnsi="Times New Roman" w:cs="Times New Roman"/>
          <w:noProof/>
          <w:sz w:val="24"/>
        </w:rPr>
        <w:t>A DNSH technikai iránymutatásnak való megfelelés követelménye (2021/C58/01). Szükség esetén a garanciamegállapodás kizárja a tevékenységek és eszközök alábbi listáját az elszámolhatóság köréből: a fosszilis tüzelőanyagokhoz kapcsolódó tevékenységek és eszközök, beleértve a downstream felhasználást is</w:t>
      </w:r>
      <w:r w:rsidRPr="00BC4EE7">
        <w:rPr>
          <w:rStyle w:val="FootnoteReference"/>
          <w:rFonts w:ascii="Times New Roman" w:eastAsia="Times New Roman" w:hAnsi="Times New Roman" w:cs="Times New Roman"/>
          <w:noProof/>
          <w:sz w:val="24"/>
        </w:rPr>
        <w:footnoteReference w:id="148"/>
      </w:r>
      <w:r w:rsidRPr="00BC4EE7">
        <w:rPr>
          <w:rFonts w:ascii="Times New Roman" w:hAnsi="Times New Roman" w:cs="Times New Roman"/>
          <w:noProof/>
          <w:sz w:val="24"/>
        </w:rPr>
        <w:t>; ii. az uniós kibocsátáskereskedelmi rendszer (ETS) keretében végzett olyan tevékenységek és eszközök, amelyek elérik a vonatkozó referenciaértékeket meg nem haladó, előre jelzett üvegházhatásúgáz-kibocsátást</w:t>
      </w:r>
      <w:r w:rsidRPr="00BC4EE7">
        <w:rPr>
          <w:rStyle w:val="FootnoteReference"/>
          <w:rFonts w:ascii="Times New Roman" w:eastAsia="Times New Roman" w:hAnsi="Times New Roman" w:cs="Times New Roman"/>
          <w:noProof/>
          <w:sz w:val="24"/>
        </w:rPr>
        <w:footnoteReference w:id="149"/>
      </w:r>
      <w:r w:rsidRPr="00BC4EE7">
        <w:rPr>
          <w:rFonts w:ascii="Times New Roman" w:hAnsi="Times New Roman" w:cs="Times New Roman"/>
          <w:noProof/>
          <w:sz w:val="24"/>
        </w:rPr>
        <w:t>; hulladéklerakókkal, hulladékégetőkkel és mechanikai-biológiai hulladékkezelő létesítményekkel kapcsolatos tevékenységek</w:t>
      </w:r>
      <w:r w:rsidRPr="00BC4EE7">
        <w:rPr>
          <w:rStyle w:val="FootnoteReference"/>
          <w:rFonts w:ascii="Times New Roman" w:eastAsia="Times New Roman" w:hAnsi="Times New Roman" w:cs="Times New Roman"/>
          <w:noProof/>
          <w:sz w:val="24"/>
        </w:rPr>
        <w:footnoteReference w:id="150"/>
      </w:r>
      <w:r w:rsidRPr="00BC4EE7">
        <w:rPr>
          <w:rFonts w:ascii="Times New Roman" w:hAnsi="Times New Roman" w:cs="Times New Roman"/>
          <w:noProof/>
          <w:sz w:val="24"/>
        </w:rPr>
        <w:t xml:space="preserve"> és eszközök</w:t>
      </w:r>
      <w:r w:rsidRPr="00BC4EE7">
        <w:rPr>
          <w:rStyle w:val="FootnoteReference"/>
          <w:rFonts w:ascii="Times New Roman" w:eastAsia="Times New Roman" w:hAnsi="Times New Roman" w:cs="Times New Roman"/>
          <w:noProof/>
          <w:sz w:val="24"/>
        </w:rPr>
        <w:footnoteReference w:id="151"/>
      </w:r>
      <w:r w:rsidRPr="00BC4EE7">
        <w:rPr>
          <w:rFonts w:ascii="Times New Roman" w:hAnsi="Times New Roman" w:cs="Times New Roman"/>
          <w:noProof/>
          <w:sz w:val="24"/>
        </w:rPr>
        <w:t>.</w:t>
      </w:r>
    </w:p>
    <w:p w14:paraId="600CE2FF" w14:textId="0CCDA3A4" w:rsidR="00D65CB4" w:rsidRPr="00BC4EE7" w:rsidRDefault="00572307">
      <w:pPr>
        <w:pStyle w:val="P68B1DB1-Normal4"/>
        <w:rPr>
          <w:rFonts w:eastAsia="Times New Roman" w:cs="Times New Roman"/>
          <w:noProof/>
        </w:rPr>
      </w:pPr>
      <w:r w:rsidRPr="00BC4EE7">
        <w:rPr>
          <w:rFonts w:cs="Times New Roman"/>
          <w:noProof/>
        </w:rPr>
        <w:t>Az intézkedés végrehajtását 2026. augusztus 31-ig be kell fejezni.</w:t>
      </w:r>
    </w:p>
    <w:bookmarkEnd w:id="46"/>
    <w:bookmarkEnd w:id="47"/>
    <w:p w14:paraId="63516851" w14:textId="5495836A" w:rsidR="00D65CB4" w:rsidRPr="00BC4EE7" w:rsidRDefault="00572307">
      <w:pPr>
        <w:pStyle w:val="paragraph"/>
        <w:spacing w:before="0" w:beforeAutospacing="0" w:after="0" w:afterAutospacing="0"/>
        <w:ind w:left="720"/>
        <w:jc w:val="both"/>
        <w:textAlignment w:val="baseline"/>
        <w:rPr>
          <w:rFonts w:ascii="Times New Roman" w:hAnsi="Times New Roman" w:cs="Times New Roman"/>
          <w:b/>
          <w:noProof/>
          <w:u w:val="single"/>
        </w:rPr>
      </w:pPr>
      <w:r w:rsidRPr="00BC4EE7">
        <w:rPr>
          <w:rFonts w:ascii="Times New Roman" w:hAnsi="Times New Roman" w:cs="Times New Roman"/>
          <w:b/>
          <w:noProof/>
          <w:u w:val="single"/>
        </w:rPr>
        <w:t xml:space="preserve">M.4. </w:t>
      </w:r>
      <w:r w:rsidRPr="00BC4EE7">
        <w:rPr>
          <w:rFonts w:ascii="Times New Roman" w:hAnsi="Times New Roman" w:cs="Times New Roman"/>
          <w:noProof/>
        </w:rPr>
        <w:t xml:space="preserve"> </w:t>
      </w:r>
      <w:r w:rsidRPr="00BC4EE7">
        <w:rPr>
          <w:rFonts w:ascii="Times New Roman" w:hAnsi="Times New Roman" w:cs="Times New Roman"/>
          <w:b/>
          <w:noProof/>
          <w:u w:val="single"/>
        </w:rPr>
        <w:t>A hiteltámogatás nyomon követésére és végrehajtására vonatkozó mérföldkövek, célok, mutatók és ütemterv</w:t>
      </w:r>
    </w:p>
    <w:p w14:paraId="06DF55F9" w14:textId="3E7724DF" w:rsidR="00D65CB4" w:rsidRPr="00BC4EE7" w:rsidRDefault="00D65CB4">
      <w:pPr>
        <w:pStyle w:val="paragraph"/>
        <w:spacing w:before="0" w:beforeAutospacing="0" w:after="0" w:afterAutospacing="0"/>
        <w:jc w:val="both"/>
        <w:textAlignment w:val="baseline"/>
        <w:rPr>
          <w:rFonts w:ascii="Times New Roman" w:hAnsi="Times New Roman" w:cs="Times New Roman"/>
          <w:b/>
          <w:noProof/>
          <w:u w:val="single"/>
        </w:rPr>
      </w:pPr>
    </w:p>
    <w:p w14:paraId="7BCE618A" w14:textId="59223A2F" w:rsidR="00D65CB4" w:rsidRPr="00BC4EE7" w:rsidRDefault="00572307">
      <w:pPr>
        <w:pStyle w:val="P68B1DB1-paragraph24"/>
        <w:spacing w:before="0" w:beforeAutospacing="0" w:after="0" w:afterAutospacing="0"/>
        <w:jc w:val="both"/>
        <w:textAlignment w:val="baseline"/>
        <w:rPr>
          <w:rFonts w:cs="Times New Roman"/>
          <w:b/>
          <w:noProof/>
          <w:u w:val="single"/>
        </w:rPr>
      </w:pPr>
      <w:r w:rsidRPr="00BC4EE7">
        <w:rPr>
          <w:rFonts w:cs="Times New Roman"/>
          <w:i/>
          <w:noProof/>
        </w:rPr>
        <w:t>Táblázat alább.</w:t>
      </w:r>
      <w:r w:rsidRPr="00BC4EE7">
        <w:rPr>
          <w:rFonts w:cs="Times New Roman"/>
          <w:noProof/>
        </w:rPr>
        <w:t xml:space="preserve"> </w:t>
      </w:r>
      <w:r w:rsidRPr="00BC4EE7">
        <w:rPr>
          <w:rFonts w:cs="Times New Roman"/>
          <w:i/>
          <w:noProof/>
        </w:rPr>
        <w:t>Az összes mutató esetében az alapforgatókönyv időpontja 2020. február 1., kivéve, ha az intézkedés leírása ettől eltérően rendelkezik.</w:t>
      </w:r>
    </w:p>
    <w:p w14:paraId="1DAFA8BA" w14:textId="77777777" w:rsidR="00D65CB4" w:rsidRPr="00BC4EE7" w:rsidRDefault="00D65CB4">
      <w:pPr>
        <w:rPr>
          <w:rFonts w:ascii="Times New Roman" w:hAnsi="Times New Roman" w:cs="Times New Roman"/>
          <w:noProof/>
          <w:sz w:val="24"/>
        </w:rPr>
        <w:sectPr w:rsidR="00D65CB4" w:rsidRPr="00BC4EE7" w:rsidSect="0035528A">
          <w:headerReference w:type="even" r:id="rId291"/>
          <w:headerReference w:type="default" r:id="rId292"/>
          <w:footerReference w:type="even" r:id="rId293"/>
          <w:footerReference w:type="default" r:id="rId294"/>
          <w:headerReference w:type="first" r:id="rId295"/>
          <w:footerReference w:type="first" r:id="rId296"/>
          <w:pgSz w:w="11907" w:h="16839"/>
          <w:pgMar w:top="1134" w:right="1134" w:bottom="1134" w:left="1134" w:header="567" w:footer="567" w:gutter="0"/>
          <w:cols w:space="720"/>
          <w:docGrid w:linePitch="360"/>
        </w:sectPr>
      </w:pPr>
    </w:p>
    <w:tbl>
      <w:tblPr>
        <w:tblW w:w="14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29"/>
        <w:gridCol w:w="833"/>
        <w:gridCol w:w="835"/>
        <w:gridCol w:w="2224"/>
        <w:gridCol w:w="1112"/>
        <w:gridCol w:w="696"/>
        <w:gridCol w:w="973"/>
        <w:gridCol w:w="696"/>
        <w:gridCol w:w="696"/>
        <w:gridCol w:w="696"/>
        <w:gridCol w:w="4861"/>
      </w:tblGrid>
      <w:tr w:rsidR="00D65CB4" w:rsidRPr="00BC4EE7" w14:paraId="009AA642" w14:textId="77777777">
        <w:trPr>
          <w:trHeight w:val="300"/>
          <w:tblHeader/>
        </w:trPr>
        <w:tc>
          <w:tcPr>
            <w:tcW w:w="846" w:type="dxa"/>
            <w:vMerge w:val="restart"/>
            <w:shd w:val="clear" w:color="auto" w:fill="C6D9F1" w:themeFill="text2" w:themeFillTint="33"/>
            <w:vAlign w:val="center"/>
            <w:hideMark/>
          </w:tcPr>
          <w:p w14:paraId="228A799E"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b/>
                <w:noProof/>
              </w:rPr>
              <w:t>Szám</w:t>
            </w:r>
            <w:r w:rsidRPr="00BC4EE7">
              <w:rPr>
                <w:rFonts w:cs="Times New Roman"/>
                <w:noProof/>
              </w:rPr>
              <w:t xml:space="preserve"> </w:t>
            </w:r>
          </w:p>
          <w:p w14:paraId="54770E32" w14:textId="35686B28"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 xml:space="preserve"> </w:t>
            </w:r>
          </w:p>
        </w:tc>
        <w:tc>
          <w:tcPr>
            <w:tcW w:w="850" w:type="dxa"/>
            <w:vMerge w:val="restart"/>
            <w:shd w:val="clear" w:color="auto" w:fill="C6D9F1" w:themeFill="text2" w:themeFillTint="33"/>
            <w:vAlign w:val="center"/>
            <w:hideMark/>
          </w:tcPr>
          <w:p w14:paraId="16242CC3"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b/>
                <w:noProof/>
              </w:rPr>
              <w:t>Intézkedés</w:t>
            </w:r>
            <w:r w:rsidRPr="00BC4EE7">
              <w:rPr>
                <w:rFonts w:cs="Times New Roman"/>
                <w:noProof/>
              </w:rPr>
              <w:t xml:space="preserve"> </w:t>
            </w:r>
          </w:p>
          <w:p w14:paraId="76686C5A" w14:textId="04D5F8CE"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 xml:space="preserve"> </w:t>
            </w:r>
          </w:p>
        </w:tc>
        <w:tc>
          <w:tcPr>
            <w:tcW w:w="851" w:type="dxa"/>
            <w:vMerge w:val="restart"/>
            <w:shd w:val="clear" w:color="auto" w:fill="C6D9F1" w:themeFill="text2" w:themeFillTint="33"/>
            <w:vAlign w:val="center"/>
            <w:hideMark/>
          </w:tcPr>
          <w:p w14:paraId="4C2BB3AE" w14:textId="77777777" w:rsidR="00D65CB4" w:rsidRPr="00BC4EE7" w:rsidRDefault="00572307">
            <w:pPr>
              <w:spacing w:after="0" w:line="240" w:lineRule="auto"/>
              <w:textAlignment w:val="baseline"/>
              <w:rPr>
                <w:rFonts w:ascii="Times New Roman" w:eastAsia="Times New Roman" w:hAnsi="Times New Roman" w:cs="Times New Roman"/>
                <w:noProof/>
                <w:sz w:val="18"/>
              </w:rPr>
            </w:pPr>
            <w:r w:rsidRPr="00BC4EE7">
              <w:rPr>
                <w:rFonts w:ascii="Times New Roman" w:hAnsi="Times New Roman" w:cs="Times New Roman"/>
                <w:b/>
                <w:noProof/>
                <w:sz w:val="18"/>
              </w:rPr>
              <w:t>Mérföldkő</w:t>
            </w:r>
            <w:r w:rsidRPr="00BC4EE7">
              <w:rPr>
                <w:rFonts w:ascii="Times New Roman" w:hAnsi="Times New Roman" w:cs="Times New Roman"/>
                <w:noProof/>
                <w:sz w:val="18"/>
              </w:rPr>
              <w:t xml:space="preserve"> </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b/>
                <w:noProof/>
                <w:sz w:val="18"/>
              </w:rPr>
              <w:t>/Cél</w:t>
            </w:r>
            <w:r w:rsidRPr="00BC4EE7">
              <w:rPr>
                <w:rFonts w:ascii="Times New Roman" w:hAnsi="Times New Roman" w:cs="Times New Roman"/>
                <w:noProof/>
                <w:sz w:val="18"/>
              </w:rPr>
              <w:t xml:space="preserve"> </w:t>
            </w:r>
          </w:p>
          <w:p w14:paraId="1F11B0E2" w14:textId="43990835"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 xml:space="preserve"> </w:t>
            </w:r>
          </w:p>
        </w:tc>
        <w:tc>
          <w:tcPr>
            <w:tcW w:w="2268" w:type="dxa"/>
            <w:vMerge w:val="restart"/>
            <w:shd w:val="clear" w:color="auto" w:fill="C6D9F1" w:themeFill="text2" w:themeFillTint="33"/>
            <w:vAlign w:val="center"/>
            <w:hideMark/>
          </w:tcPr>
          <w:p w14:paraId="67F7FFCD"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b/>
                <w:noProof/>
              </w:rPr>
              <w:t>Név</w:t>
            </w:r>
            <w:r w:rsidRPr="00BC4EE7">
              <w:rPr>
                <w:rFonts w:cs="Times New Roman"/>
                <w:noProof/>
              </w:rPr>
              <w:t xml:space="preserve"> </w:t>
            </w:r>
          </w:p>
          <w:p w14:paraId="04BB8F11" w14:textId="301D47E5"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 xml:space="preserve"> </w:t>
            </w:r>
          </w:p>
        </w:tc>
        <w:tc>
          <w:tcPr>
            <w:tcW w:w="1134" w:type="dxa"/>
            <w:vMerge w:val="restart"/>
            <w:shd w:val="clear" w:color="auto" w:fill="C6D9F1" w:themeFill="text2" w:themeFillTint="33"/>
            <w:vAlign w:val="center"/>
            <w:hideMark/>
          </w:tcPr>
          <w:p w14:paraId="1FD58E81"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b/>
                <w:noProof/>
              </w:rPr>
              <w:t>A mérföldkövek minőségi mutatója</w:t>
            </w:r>
            <w:r w:rsidRPr="00BC4EE7">
              <w:rPr>
                <w:rFonts w:cs="Times New Roman"/>
                <w:noProof/>
              </w:rPr>
              <w:t xml:space="preserve"> </w:t>
            </w:r>
          </w:p>
          <w:p w14:paraId="2A6C4529" w14:textId="5EC89C64"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 xml:space="preserve"> </w:t>
            </w:r>
          </w:p>
        </w:tc>
        <w:tc>
          <w:tcPr>
            <w:tcW w:w="2126" w:type="dxa"/>
            <w:gridSpan w:val="3"/>
            <w:shd w:val="clear" w:color="auto" w:fill="C6D9F1" w:themeFill="text2" w:themeFillTint="33"/>
            <w:vAlign w:val="center"/>
            <w:hideMark/>
          </w:tcPr>
          <w:p w14:paraId="16A60266"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b/>
                <w:noProof/>
              </w:rPr>
              <w:t>A célérték mennyiségi mutatója</w:t>
            </w:r>
            <w:r w:rsidRPr="00BC4EE7">
              <w:rPr>
                <w:rFonts w:cs="Times New Roman"/>
                <w:noProof/>
              </w:rPr>
              <w:t xml:space="preserve"> </w:t>
            </w:r>
          </w:p>
        </w:tc>
        <w:tc>
          <w:tcPr>
            <w:tcW w:w="1418" w:type="dxa"/>
            <w:gridSpan w:val="2"/>
            <w:shd w:val="clear" w:color="auto" w:fill="C6D9F1" w:themeFill="text2" w:themeFillTint="33"/>
            <w:vAlign w:val="center"/>
            <w:hideMark/>
          </w:tcPr>
          <w:p w14:paraId="79B6C7FC"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b/>
                <w:noProof/>
              </w:rPr>
              <w:t>Idő</w:t>
            </w:r>
            <w:r w:rsidRPr="00BC4EE7">
              <w:rPr>
                <w:rFonts w:cs="Times New Roman"/>
                <w:noProof/>
              </w:rPr>
              <w:t xml:space="preserve"> </w:t>
            </w:r>
          </w:p>
        </w:tc>
        <w:tc>
          <w:tcPr>
            <w:tcW w:w="4958" w:type="dxa"/>
            <w:vMerge w:val="restart"/>
            <w:shd w:val="clear" w:color="auto" w:fill="C6D9F1" w:themeFill="text2" w:themeFillTint="33"/>
            <w:vAlign w:val="center"/>
            <w:hideMark/>
          </w:tcPr>
          <w:p w14:paraId="76717449"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b/>
                <w:noProof/>
              </w:rPr>
              <w:t>Az egyes mérföldkövek és célértékek leírása</w:t>
            </w:r>
            <w:r w:rsidRPr="00BC4EE7">
              <w:rPr>
                <w:rFonts w:cs="Times New Roman"/>
                <w:noProof/>
              </w:rPr>
              <w:t xml:space="preserve"> </w:t>
            </w:r>
          </w:p>
          <w:p w14:paraId="742312F1" w14:textId="79871565"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 xml:space="preserve"> </w:t>
            </w:r>
          </w:p>
        </w:tc>
      </w:tr>
      <w:tr w:rsidR="00D65CB4" w:rsidRPr="00BC4EE7" w14:paraId="65A4F62D" w14:textId="77777777">
        <w:trPr>
          <w:trHeight w:val="495"/>
          <w:tblHeader/>
        </w:trPr>
        <w:tc>
          <w:tcPr>
            <w:tcW w:w="846" w:type="dxa"/>
            <w:vMerge/>
            <w:shd w:val="clear" w:color="auto" w:fill="C6D9F1" w:themeFill="text2" w:themeFillTint="33"/>
            <w:hideMark/>
          </w:tcPr>
          <w:p w14:paraId="47E8EB72" w14:textId="3890B55D" w:rsidR="00D65CB4" w:rsidRPr="00BC4EE7" w:rsidRDefault="00D65CB4">
            <w:pPr>
              <w:spacing w:after="0" w:line="240" w:lineRule="auto"/>
              <w:jc w:val="center"/>
              <w:textAlignment w:val="baseline"/>
              <w:rPr>
                <w:rFonts w:ascii="Times New Roman" w:eastAsia="Times New Roman" w:hAnsi="Times New Roman" w:cs="Times New Roman"/>
                <w:noProof/>
                <w:sz w:val="18"/>
              </w:rPr>
            </w:pPr>
          </w:p>
        </w:tc>
        <w:tc>
          <w:tcPr>
            <w:tcW w:w="850" w:type="dxa"/>
            <w:vMerge/>
            <w:shd w:val="clear" w:color="auto" w:fill="C6D9F1" w:themeFill="text2" w:themeFillTint="33"/>
            <w:hideMark/>
          </w:tcPr>
          <w:p w14:paraId="4D9D5A78" w14:textId="6C04FB28" w:rsidR="00D65CB4" w:rsidRPr="00BC4EE7" w:rsidRDefault="00D65CB4">
            <w:pPr>
              <w:spacing w:after="0" w:line="240" w:lineRule="auto"/>
              <w:jc w:val="center"/>
              <w:textAlignment w:val="baseline"/>
              <w:rPr>
                <w:rFonts w:ascii="Times New Roman" w:eastAsia="Times New Roman" w:hAnsi="Times New Roman" w:cs="Times New Roman"/>
                <w:noProof/>
                <w:sz w:val="18"/>
              </w:rPr>
            </w:pPr>
          </w:p>
        </w:tc>
        <w:tc>
          <w:tcPr>
            <w:tcW w:w="851" w:type="dxa"/>
            <w:vMerge/>
            <w:shd w:val="clear" w:color="auto" w:fill="C6D9F1" w:themeFill="text2" w:themeFillTint="33"/>
            <w:hideMark/>
          </w:tcPr>
          <w:p w14:paraId="28A47BAC" w14:textId="3B79D6A1" w:rsidR="00D65CB4" w:rsidRPr="00BC4EE7" w:rsidRDefault="00D65CB4">
            <w:pPr>
              <w:spacing w:after="0" w:line="240" w:lineRule="auto"/>
              <w:jc w:val="center"/>
              <w:textAlignment w:val="baseline"/>
              <w:rPr>
                <w:rFonts w:ascii="Times New Roman" w:eastAsia="Times New Roman" w:hAnsi="Times New Roman" w:cs="Times New Roman"/>
                <w:noProof/>
                <w:sz w:val="18"/>
              </w:rPr>
            </w:pPr>
          </w:p>
        </w:tc>
        <w:tc>
          <w:tcPr>
            <w:tcW w:w="2268" w:type="dxa"/>
            <w:vMerge/>
            <w:shd w:val="clear" w:color="auto" w:fill="C6D9F1" w:themeFill="text2" w:themeFillTint="33"/>
            <w:hideMark/>
          </w:tcPr>
          <w:p w14:paraId="4929334D" w14:textId="7F2FCDD2" w:rsidR="00D65CB4" w:rsidRPr="00BC4EE7" w:rsidRDefault="00D65CB4">
            <w:pPr>
              <w:spacing w:after="0" w:line="240" w:lineRule="auto"/>
              <w:textAlignment w:val="baseline"/>
              <w:rPr>
                <w:rFonts w:ascii="Times New Roman" w:eastAsia="Times New Roman" w:hAnsi="Times New Roman" w:cs="Times New Roman"/>
                <w:noProof/>
                <w:sz w:val="18"/>
              </w:rPr>
            </w:pPr>
          </w:p>
        </w:tc>
        <w:tc>
          <w:tcPr>
            <w:tcW w:w="1134" w:type="dxa"/>
            <w:vMerge/>
            <w:shd w:val="clear" w:color="auto" w:fill="C6D9F1" w:themeFill="text2" w:themeFillTint="33"/>
            <w:hideMark/>
          </w:tcPr>
          <w:p w14:paraId="4CA1E531" w14:textId="522CE838" w:rsidR="00D65CB4" w:rsidRPr="00BC4EE7" w:rsidRDefault="00D65CB4">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D9F1" w:themeFill="text2" w:themeFillTint="33"/>
            <w:vAlign w:val="center"/>
            <w:hideMark/>
          </w:tcPr>
          <w:p w14:paraId="79E268EE"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b/>
                <w:noProof/>
              </w:rPr>
              <w:t>Egység</w:t>
            </w:r>
            <w:r w:rsidRPr="00BC4EE7">
              <w:rPr>
                <w:rFonts w:cs="Times New Roman"/>
                <w:noProof/>
              </w:rPr>
              <w:t xml:space="preserve"> </w:t>
            </w:r>
          </w:p>
        </w:tc>
        <w:tc>
          <w:tcPr>
            <w:tcW w:w="992" w:type="dxa"/>
            <w:shd w:val="clear" w:color="auto" w:fill="C6D9F1" w:themeFill="text2" w:themeFillTint="33"/>
            <w:vAlign w:val="center"/>
            <w:hideMark/>
          </w:tcPr>
          <w:p w14:paraId="7DE07462" w14:textId="380052B9"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b/>
                <w:noProof/>
              </w:rPr>
              <w:t>Kiindulási</w:t>
            </w:r>
            <w:r w:rsidRPr="00BC4EE7">
              <w:rPr>
                <w:rFonts w:cs="Times New Roman"/>
                <w:noProof/>
              </w:rPr>
              <w:t xml:space="preserve"> </w:t>
            </w:r>
          </w:p>
        </w:tc>
        <w:tc>
          <w:tcPr>
            <w:tcW w:w="709" w:type="dxa"/>
            <w:shd w:val="clear" w:color="auto" w:fill="C6D9F1" w:themeFill="text2" w:themeFillTint="33"/>
            <w:vAlign w:val="center"/>
            <w:hideMark/>
          </w:tcPr>
          <w:p w14:paraId="26DDD29B"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b/>
                <w:noProof/>
              </w:rPr>
              <w:t>Cél</w:t>
            </w:r>
            <w:r w:rsidRPr="00BC4EE7">
              <w:rPr>
                <w:rFonts w:cs="Times New Roman"/>
                <w:noProof/>
              </w:rPr>
              <w:t xml:space="preserve"> </w:t>
            </w:r>
          </w:p>
        </w:tc>
        <w:tc>
          <w:tcPr>
            <w:tcW w:w="709" w:type="dxa"/>
            <w:shd w:val="clear" w:color="auto" w:fill="C6D9F1" w:themeFill="text2" w:themeFillTint="33"/>
            <w:vAlign w:val="center"/>
            <w:hideMark/>
          </w:tcPr>
          <w:p w14:paraId="26E559A7"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b/>
                <w:noProof/>
              </w:rPr>
              <w:t>Q</w:t>
            </w:r>
            <w:r w:rsidRPr="00BC4EE7">
              <w:rPr>
                <w:rFonts w:cs="Times New Roman"/>
                <w:noProof/>
              </w:rPr>
              <w:t xml:space="preserve"> </w:t>
            </w:r>
          </w:p>
        </w:tc>
        <w:tc>
          <w:tcPr>
            <w:tcW w:w="709" w:type="dxa"/>
            <w:shd w:val="clear" w:color="auto" w:fill="C6D9F1" w:themeFill="text2" w:themeFillTint="33"/>
            <w:vAlign w:val="center"/>
            <w:hideMark/>
          </w:tcPr>
          <w:p w14:paraId="47AD313C"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b/>
                <w:noProof/>
              </w:rPr>
              <w:t>Éve</w:t>
            </w:r>
            <w:r w:rsidRPr="00BC4EE7">
              <w:rPr>
                <w:rFonts w:cs="Times New Roman"/>
                <w:noProof/>
              </w:rPr>
              <w:t xml:space="preserve"> </w:t>
            </w:r>
          </w:p>
        </w:tc>
        <w:tc>
          <w:tcPr>
            <w:tcW w:w="4958" w:type="dxa"/>
            <w:vMerge/>
            <w:shd w:val="clear" w:color="auto" w:fill="C6D9F1" w:themeFill="text2" w:themeFillTint="33"/>
            <w:hideMark/>
          </w:tcPr>
          <w:p w14:paraId="5A46B545" w14:textId="0E052537" w:rsidR="00D65CB4" w:rsidRPr="00BC4EE7" w:rsidRDefault="00D65CB4">
            <w:pPr>
              <w:spacing w:after="0" w:line="240" w:lineRule="auto"/>
              <w:textAlignment w:val="baseline"/>
              <w:rPr>
                <w:rFonts w:ascii="Times New Roman" w:eastAsia="Times New Roman" w:hAnsi="Times New Roman" w:cs="Times New Roman"/>
                <w:noProof/>
                <w:sz w:val="18"/>
              </w:rPr>
            </w:pPr>
          </w:p>
        </w:tc>
      </w:tr>
      <w:tr w:rsidR="00D65CB4" w:rsidRPr="00BC4EE7" w14:paraId="38DD0C1A" w14:textId="77777777">
        <w:trPr>
          <w:trHeight w:val="300"/>
        </w:trPr>
        <w:tc>
          <w:tcPr>
            <w:tcW w:w="846" w:type="dxa"/>
            <w:shd w:val="clear" w:color="auto" w:fill="C6EFCE"/>
            <w:hideMark/>
          </w:tcPr>
          <w:p w14:paraId="0484FB96" w14:textId="43DAF472"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 xml:space="preserve">L25 </w:t>
            </w:r>
          </w:p>
        </w:tc>
        <w:tc>
          <w:tcPr>
            <w:tcW w:w="850" w:type="dxa"/>
            <w:shd w:val="clear" w:color="auto" w:fill="C6EFCE"/>
            <w:hideMark/>
          </w:tcPr>
          <w:p w14:paraId="7CB457CB"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C13.I6</w:t>
            </w:r>
          </w:p>
        </w:tc>
        <w:tc>
          <w:tcPr>
            <w:tcW w:w="851" w:type="dxa"/>
            <w:shd w:val="clear" w:color="auto" w:fill="C6EFCE"/>
            <w:hideMark/>
          </w:tcPr>
          <w:p w14:paraId="2D9910B1"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M </w:t>
            </w:r>
          </w:p>
        </w:tc>
        <w:tc>
          <w:tcPr>
            <w:tcW w:w="2268" w:type="dxa"/>
            <w:shd w:val="clear" w:color="auto" w:fill="C6EFCE"/>
            <w:hideMark/>
          </w:tcPr>
          <w:p w14:paraId="64221936" w14:textId="34F95960"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Végrehajtási megállapodás ICO-val az ICO zöld vonaláról</w:t>
            </w:r>
          </w:p>
        </w:tc>
        <w:tc>
          <w:tcPr>
            <w:tcW w:w="1134" w:type="dxa"/>
            <w:shd w:val="clear" w:color="auto" w:fill="C6EFCE"/>
            <w:hideMark/>
          </w:tcPr>
          <w:p w14:paraId="0B2E0E54" w14:textId="3DD972FE"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A végrehajtási megállapodás hatálybalépése </w:t>
            </w:r>
          </w:p>
        </w:tc>
        <w:tc>
          <w:tcPr>
            <w:tcW w:w="709" w:type="dxa"/>
            <w:shd w:val="clear" w:color="auto" w:fill="C6EFCE"/>
            <w:hideMark/>
          </w:tcPr>
          <w:p w14:paraId="00E85A9A"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 xml:space="preserve"> </w:t>
            </w:r>
          </w:p>
        </w:tc>
        <w:tc>
          <w:tcPr>
            <w:tcW w:w="992" w:type="dxa"/>
            <w:shd w:val="clear" w:color="auto" w:fill="C6EFCE"/>
            <w:hideMark/>
          </w:tcPr>
          <w:p w14:paraId="6CE86E41" w14:textId="77777777" w:rsidR="00D65CB4" w:rsidRPr="00BC4EE7" w:rsidRDefault="00572307">
            <w:pPr>
              <w:pStyle w:val="P68B1DB1-Normal12"/>
              <w:spacing w:after="0" w:line="240" w:lineRule="auto"/>
              <w:jc w:val="right"/>
              <w:textAlignment w:val="baseline"/>
              <w:rPr>
                <w:rFonts w:eastAsia="Times New Roman" w:cs="Times New Roman"/>
                <w:noProof/>
              </w:rPr>
            </w:pPr>
            <w:r w:rsidRPr="00BC4EE7">
              <w:rPr>
                <w:rFonts w:cs="Times New Roman"/>
                <w:noProof/>
              </w:rPr>
              <w:t xml:space="preserve"> </w:t>
            </w:r>
          </w:p>
        </w:tc>
        <w:tc>
          <w:tcPr>
            <w:tcW w:w="709" w:type="dxa"/>
            <w:shd w:val="clear" w:color="auto" w:fill="C6EFCE"/>
            <w:hideMark/>
          </w:tcPr>
          <w:p w14:paraId="2BDAA92E" w14:textId="77777777" w:rsidR="00D65CB4" w:rsidRPr="00BC4EE7" w:rsidRDefault="00572307">
            <w:pPr>
              <w:pStyle w:val="P68B1DB1-Normal12"/>
              <w:spacing w:after="0" w:line="240" w:lineRule="auto"/>
              <w:jc w:val="right"/>
              <w:textAlignment w:val="baseline"/>
              <w:rPr>
                <w:rFonts w:eastAsia="Times New Roman" w:cs="Times New Roman"/>
                <w:noProof/>
              </w:rPr>
            </w:pPr>
            <w:r w:rsidRPr="00BC4EE7">
              <w:rPr>
                <w:rFonts w:cs="Times New Roman"/>
                <w:noProof/>
              </w:rPr>
              <w:t xml:space="preserve"> </w:t>
            </w:r>
          </w:p>
        </w:tc>
        <w:tc>
          <w:tcPr>
            <w:tcW w:w="709" w:type="dxa"/>
            <w:shd w:val="clear" w:color="auto" w:fill="C6EFCE"/>
            <w:hideMark/>
          </w:tcPr>
          <w:p w14:paraId="7E990893"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Q4 </w:t>
            </w:r>
          </w:p>
        </w:tc>
        <w:tc>
          <w:tcPr>
            <w:tcW w:w="709" w:type="dxa"/>
            <w:shd w:val="clear" w:color="auto" w:fill="C6EFCE"/>
            <w:hideMark/>
          </w:tcPr>
          <w:p w14:paraId="4FEAD874"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2023 </w:t>
            </w:r>
          </w:p>
        </w:tc>
        <w:tc>
          <w:tcPr>
            <w:tcW w:w="4958" w:type="dxa"/>
            <w:shd w:val="clear" w:color="auto" w:fill="C6EFCE"/>
            <w:hideMark/>
          </w:tcPr>
          <w:p w14:paraId="7F7EA717" w14:textId="799CAC09"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A végrehajtási megállapodás hatálybalépése.</w:t>
            </w:r>
          </w:p>
        </w:tc>
      </w:tr>
      <w:tr w:rsidR="00D65CB4" w:rsidRPr="00BC4EE7" w14:paraId="58AE24B1" w14:textId="77777777">
        <w:trPr>
          <w:trHeight w:val="300"/>
        </w:trPr>
        <w:tc>
          <w:tcPr>
            <w:tcW w:w="846" w:type="dxa"/>
            <w:shd w:val="clear" w:color="auto" w:fill="C6EFCE"/>
          </w:tcPr>
          <w:p w14:paraId="3E5F2996" w14:textId="7B963C64"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L25a</w:t>
            </w:r>
          </w:p>
        </w:tc>
        <w:tc>
          <w:tcPr>
            <w:tcW w:w="850" w:type="dxa"/>
            <w:shd w:val="clear" w:color="auto" w:fill="C6EFCE"/>
          </w:tcPr>
          <w:p w14:paraId="63CB3941" w14:textId="08A2DD43"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C13.I6</w:t>
            </w:r>
          </w:p>
        </w:tc>
        <w:tc>
          <w:tcPr>
            <w:tcW w:w="851" w:type="dxa"/>
            <w:shd w:val="clear" w:color="auto" w:fill="C6EFCE"/>
          </w:tcPr>
          <w:p w14:paraId="066063AF" w14:textId="6B0F0504"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T</w:t>
            </w:r>
          </w:p>
        </w:tc>
        <w:tc>
          <w:tcPr>
            <w:tcW w:w="2268" w:type="dxa"/>
            <w:shd w:val="clear" w:color="auto" w:fill="C6EFCE"/>
          </w:tcPr>
          <w:p w14:paraId="3ADCE7B9" w14:textId="2F5A5236"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ICO zöld vonal – A végső kedvezményezettekkel (beleértve a tőkealapokat is) aláírt jogi megállapodások (I)</w:t>
            </w:r>
          </w:p>
        </w:tc>
        <w:tc>
          <w:tcPr>
            <w:tcW w:w="1134" w:type="dxa"/>
            <w:shd w:val="clear" w:color="auto" w:fill="C6EFCE"/>
          </w:tcPr>
          <w:p w14:paraId="47B2720F" w14:textId="77777777" w:rsidR="00D65CB4" w:rsidRPr="00BC4EE7" w:rsidRDefault="00D65CB4">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23CE78BA" w14:textId="50FE46BF"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w:t>
            </w:r>
          </w:p>
        </w:tc>
        <w:tc>
          <w:tcPr>
            <w:tcW w:w="992" w:type="dxa"/>
            <w:shd w:val="clear" w:color="auto" w:fill="C6EFCE"/>
          </w:tcPr>
          <w:p w14:paraId="42FA31CA" w14:textId="45ECE08F" w:rsidR="00D65CB4" w:rsidRPr="00BC4EE7" w:rsidRDefault="00572307">
            <w:pPr>
              <w:pStyle w:val="P68B1DB1-Normal12"/>
              <w:spacing w:after="0" w:line="240" w:lineRule="auto"/>
              <w:jc w:val="right"/>
              <w:textAlignment w:val="baseline"/>
              <w:rPr>
                <w:rFonts w:eastAsia="Times New Roman" w:cs="Times New Roman"/>
                <w:noProof/>
              </w:rPr>
            </w:pPr>
            <w:r w:rsidRPr="00BC4EE7">
              <w:rPr>
                <w:rFonts w:cs="Times New Roman"/>
                <w:noProof/>
              </w:rPr>
              <w:t>0%</w:t>
            </w:r>
          </w:p>
        </w:tc>
        <w:tc>
          <w:tcPr>
            <w:tcW w:w="709" w:type="dxa"/>
            <w:shd w:val="clear" w:color="auto" w:fill="C6EFCE"/>
          </w:tcPr>
          <w:p w14:paraId="2B6F9941" w14:textId="77777777" w:rsidR="00D65CB4" w:rsidRPr="00BC4EE7" w:rsidRDefault="00572307">
            <w:pPr>
              <w:pStyle w:val="P68B1DB1-Normal12"/>
              <w:spacing w:after="0" w:line="240" w:lineRule="auto"/>
              <w:jc w:val="right"/>
              <w:textAlignment w:val="baseline"/>
              <w:rPr>
                <w:rFonts w:eastAsia="Times New Roman" w:cs="Times New Roman"/>
                <w:noProof/>
              </w:rPr>
            </w:pPr>
            <w:r w:rsidRPr="00BC4EE7">
              <w:rPr>
                <w:rFonts w:cs="Times New Roman"/>
                <w:noProof/>
              </w:rPr>
              <w:t xml:space="preserve">15% </w:t>
            </w:r>
          </w:p>
          <w:p w14:paraId="1354F165" w14:textId="77777777" w:rsidR="00D65CB4" w:rsidRPr="00BC4EE7" w:rsidRDefault="00D65CB4">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3CBD6F75" w14:textId="37109EAF"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Q4</w:t>
            </w:r>
          </w:p>
        </w:tc>
        <w:tc>
          <w:tcPr>
            <w:tcW w:w="709" w:type="dxa"/>
            <w:shd w:val="clear" w:color="auto" w:fill="C6EFCE"/>
          </w:tcPr>
          <w:p w14:paraId="4A69A515" w14:textId="13A47AD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2024</w:t>
            </w:r>
          </w:p>
        </w:tc>
        <w:tc>
          <w:tcPr>
            <w:tcW w:w="4958" w:type="dxa"/>
            <w:shd w:val="clear" w:color="auto" w:fill="C6EFCE"/>
          </w:tcPr>
          <w:p w14:paraId="51EEFEB4" w14:textId="2E1A8B49"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 xml:space="preserve">Az ICO/Axis és az ICO által kiválasztott közvetítők jogi finanszírozási megállapodásokat kötnek a végső kedvezményezettekkel (beleértve a tőkealapokat is) a Helyreállítási és Rezilienciaépítési Eszközbe történő beruházás legalább 15%-ának felhasználásához szükséges összegről (figyelembe véve az irányítási díjakat). A finanszírozás legalább 2,5%-a tőkealapokkal aláírt finanszírozási megállapodásoknak, legalább 50%-ának pedig a végső kedvezményezettekkel aláírt finanszírozási megállapodásoknak kell megfelelnie minden egyéb befektetési termék tekintetében (beleértve a végrehajtó partner közvetlen tőkebefektetéseit is). Az ICO-nak a Helyreállítási és Rezilienciaépítési Eszközről szóló rendelet VI. mellékletében foglalt módszertan alkalmazásával jelentést kell készítenie, amelyben részletezi e finanszírozásnak az éghajlat-politikai célkitűzésekhez való hozzájárulását. </w:t>
            </w:r>
          </w:p>
        </w:tc>
      </w:tr>
      <w:tr w:rsidR="00D65CB4" w:rsidRPr="00BC4EE7" w14:paraId="3DE10BF1" w14:textId="77777777">
        <w:trPr>
          <w:trHeight w:val="300"/>
        </w:trPr>
        <w:tc>
          <w:tcPr>
            <w:tcW w:w="846" w:type="dxa"/>
            <w:shd w:val="clear" w:color="auto" w:fill="C6EFCE"/>
          </w:tcPr>
          <w:p w14:paraId="132606E8" w14:textId="3028137B"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L26</w:t>
            </w:r>
          </w:p>
        </w:tc>
        <w:tc>
          <w:tcPr>
            <w:tcW w:w="850" w:type="dxa"/>
            <w:shd w:val="clear" w:color="auto" w:fill="C6EFCE"/>
          </w:tcPr>
          <w:p w14:paraId="34E3B45E"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C13.I6</w:t>
            </w:r>
          </w:p>
        </w:tc>
        <w:tc>
          <w:tcPr>
            <w:tcW w:w="851" w:type="dxa"/>
            <w:shd w:val="clear" w:color="auto" w:fill="C6EFCE"/>
          </w:tcPr>
          <w:p w14:paraId="1E8B5BEF"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T</w:t>
            </w:r>
          </w:p>
        </w:tc>
        <w:tc>
          <w:tcPr>
            <w:tcW w:w="2268" w:type="dxa"/>
            <w:shd w:val="clear" w:color="auto" w:fill="C6EFCE"/>
          </w:tcPr>
          <w:p w14:paraId="635294DF" w14:textId="280946B9"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ICO zöld vonal – A végső kedvezményezettekkel (beleértve a tőkealapokat is) aláírt jogi megállapodások (II.)</w:t>
            </w:r>
          </w:p>
        </w:tc>
        <w:tc>
          <w:tcPr>
            <w:tcW w:w="1134" w:type="dxa"/>
            <w:shd w:val="clear" w:color="auto" w:fill="C6EFCE"/>
          </w:tcPr>
          <w:p w14:paraId="72261FED" w14:textId="6022DB30" w:rsidR="00D65CB4" w:rsidRPr="00BC4EE7" w:rsidRDefault="00D65CB4">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1397D884" w14:textId="256A234F"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w:t>
            </w:r>
          </w:p>
        </w:tc>
        <w:tc>
          <w:tcPr>
            <w:tcW w:w="992" w:type="dxa"/>
            <w:shd w:val="clear" w:color="auto" w:fill="C6EFCE"/>
          </w:tcPr>
          <w:p w14:paraId="4359F60D" w14:textId="0C8D1C03"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15%</w:t>
            </w:r>
          </w:p>
        </w:tc>
        <w:tc>
          <w:tcPr>
            <w:tcW w:w="709" w:type="dxa"/>
            <w:shd w:val="clear" w:color="auto" w:fill="C6EFCE"/>
          </w:tcPr>
          <w:p w14:paraId="6D41301B" w14:textId="6D99ABAC" w:rsidR="00D65CB4" w:rsidRPr="00BC4EE7" w:rsidRDefault="00572307">
            <w:pPr>
              <w:pStyle w:val="P68B1DB1-Normal12"/>
              <w:spacing w:after="0" w:line="240" w:lineRule="auto"/>
              <w:jc w:val="right"/>
              <w:textAlignment w:val="baseline"/>
              <w:rPr>
                <w:rFonts w:eastAsia="Times New Roman" w:cs="Times New Roman"/>
                <w:noProof/>
              </w:rPr>
            </w:pPr>
            <w:r w:rsidRPr="00BC4EE7">
              <w:rPr>
                <w:rFonts w:cs="Times New Roman"/>
                <w:noProof/>
              </w:rPr>
              <w:t xml:space="preserve">50% </w:t>
            </w:r>
          </w:p>
          <w:p w14:paraId="78DF5E69" w14:textId="1C4D9A76" w:rsidR="00D65CB4" w:rsidRPr="00BC4EE7" w:rsidRDefault="00D65CB4">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2C35E3D9"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Q2</w:t>
            </w:r>
          </w:p>
        </w:tc>
        <w:tc>
          <w:tcPr>
            <w:tcW w:w="709" w:type="dxa"/>
            <w:shd w:val="clear" w:color="auto" w:fill="C6EFCE"/>
          </w:tcPr>
          <w:p w14:paraId="2A72BF7E"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2025</w:t>
            </w:r>
          </w:p>
        </w:tc>
        <w:tc>
          <w:tcPr>
            <w:tcW w:w="4958" w:type="dxa"/>
            <w:shd w:val="clear" w:color="auto" w:fill="C6EFCE"/>
          </w:tcPr>
          <w:p w14:paraId="37A7DD49" w14:textId="4A3390E4" w:rsidR="00D65CB4" w:rsidRPr="00BC4EE7" w:rsidRDefault="00572307">
            <w:pPr>
              <w:pStyle w:val="P68B1DB1-Normal12"/>
              <w:spacing w:after="0" w:line="240" w:lineRule="auto"/>
              <w:textAlignment w:val="baseline"/>
              <w:rPr>
                <w:rFonts w:eastAsia="Times New Roman" w:cs="Times New Roman"/>
                <w:b/>
                <w:noProof/>
              </w:rPr>
            </w:pPr>
            <w:r w:rsidRPr="00BC4EE7">
              <w:rPr>
                <w:rFonts w:cs="Times New Roman"/>
                <w:noProof/>
              </w:rPr>
              <w:t xml:space="preserve">Az ICO/Axis és az ICO által kiválasztott közvetítők jogi finanszírozási megállapodásokat kötnek a végső kedvezményezettekkel (beleértve a tőkealapokat is) a Helyreállítási és Rezilienciaépítési Eszközbe történő beruházás legalább 50%-ának felhasználásához szükséges összegről (figyelembe véve az irányítási díjakat). A finanszírozás legalább 2,5%-a tőkealapokkal aláírt finanszírozási megállapodásoknak, legalább 50%-ának pedig a végső kedvezményezettekkel aláírt finanszírozási megállapodásoknak kell megfelelnie minden egyéb befektetési termék tekintetében (beleértve a végrehajtó partner közvetlen tőkebefektetéseit is). Az ICO-nak a Helyreállítási és Rezilienciaépítési Eszközről szóló rendelet VI. mellékletében foglalt módszertan alkalmazásával jelentést kell készítenie, amelyben részletezi e finanszírozásnak az éghajlat-politikai célkitűzésekhez való hozzájárulását. </w:t>
            </w:r>
          </w:p>
        </w:tc>
      </w:tr>
      <w:tr w:rsidR="00D65CB4" w:rsidRPr="00BC4EE7" w14:paraId="0DFCD043" w14:textId="77777777">
        <w:trPr>
          <w:trHeight w:val="300"/>
        </w:trPr>
        <w:tc>
          <w:tcPr>
            <w:tcW w:w="846" w:type="dxa"/>
            <w:shd w:val="clear" w:color="auto" w:fill="C6EFCE"/>
          </w:tcPr>
          <w:p w14:paraId="7D93EEE5" w14:textId="34DF8E06"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L27</w:t>
            </w:r>
          </w:p>
        </w:tc>
        <w:tc>
          <w:tcPr>
            <w:tcW w:w="850" w:type="dxa"/>
            <w:shd w:val="clear" w:color="auto" w:fill="C6EFCE"/>
          </w:tcPr>
          <w:p w14:paraId="2F40B8EF"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C13.I6</w:t>
            </w:r>
          </w:p>
        </w:tc>
        <w:tc>
          <w:tcPr>
            <w:tcW w:w="851" w:type="dxa"/>
            <w:shd w:val="clear" w:color="auto" w:fill="C6EFCE"/>
          </w:tcPr>
          <w:p w14:paraId="61037879"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T</w:t>
            </w:r>
          </w:p>
        </w:tc>
        <w:tc>
          <w:tcPr>
            <w:tcW w:w="2268" w:type="dxa"/>
            <w:shd w:val="clear" w:color="auto" w:fill="C6EFCE"/>
          </w:tcPr>
          <w:p w14:paraId="5D319704" w14:textId="619F48DE"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ICO zöld vonal – A végső kedvezményezettekkel (beleértve a tőkealapokat is) aláírt jogi megállapodások (III)</w:t>
            </w:r>
          </w:p>
        </w:tc>
        <w:tc>
          <w:tcPr>
            <w:tcW w:w="1134" w:type="dxa"/>
            <w:shd w:val="clear" w:color="auto" w:fill="C6EFCE"/>
          </w:tcPr>
          <w:p w14:paraId="527B6538" w14:textId="24D80566" w:rsidR="00D65CB4" w:rsidRPr="00BC4EE7" w:rsidRDefault="00D65CB4">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5291F74D" w14:textId="06576BD1"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w:t>
            </w:r>
          </w:p>
        </w:tc>
        <w:tc>
          <w:tcPr>
            <w:tcW w:w="992" w:type="dxa"/>
            <w:shd w:val="clear" w:color="auto" w:fill="C6EFCE"/>
          </w:tcPr>
          <w:p w14:paraId="44C9391D" w14:textId="796F0FE5" w:rsidR="00D65CB4" w:rsidRPr="00BC4EE7" w:rsidRDefault="00572307">
            <w:pPr>
              <w:pStyle w:val="P68B1DB1-Normal12"/>
              <w:spacing w:after="0" w:line="240" w:lineRule="auto"/>
              <w:jc w:val="right"/>
              <w:textAlignment w:val="baseline"/>
              <w:rPr>
                <w:rFonts w:eastAsia="Times New Roman" w:cs="Times New Roman"/>
                <w:noProof/>
              </w:rPr>
            </w:pPr>
            <w:r w:rsidRPr="00BC4EE7">
              <w:rPr>
                <w:rFonts w:cs="Times New Roman"/>
                <w:noProof/>
              </w:rPr>
              <w:t xml:space="preserve">50% </w:t>
            </w:r>
          </w:p>
        </w:tc>
        <w:tc>
          <w:tcPr>
            <w:tcW w:w="709" w:type="dxa"/>
            <w:shd w:val="clear" w:color="auto" w:fill="C6EFCE"/>
          </w:tcPr>
          <w:p w14:paraId="76A0D5D7" w14:textId="1F3298FB" w:rsidR="00D65CB4" w:rsidRPr="00BC4EE7" w:rsidRDefault="00572307">
            <w:pPr>
              <w:pStyle w:val="P68B1DB1-Normal12"/>
              <w:spacing w:after="0" w:line="240" w:lineRule="auto"/>
              <w:jc w:val="right"/>
              <w:textAlignment w:val="baseline"/>
              <w:rPr>
                <w:rFonts w:eastAsia="Times New Roman" w:cs="Times New Roman"/>
                <w:noProof/>
              </w:rPr>
            </w:pPr>
            <w:r w:rsidRPr="00BC4EE7">
              <w:rPr>
                <w:rFonts w:cs="Times New Roman"/>
                <w:noProof/>
              </w:rPr>
              <w:t xml:space="preserve">75% </w:t>
            </w:r>
          </w:p>
          <w:p w14:paraId="13387DD0" w14:textId="77777777" w:rsidR="00D65CB4" w:rsidRPr="00BC4EE7" w:rsidRDefault="00D65CB4">
            <w:pPr>
              <w:rPr>
                <w:rFonts w:ascii="Times New Roman" w:eastAsia="Times New Roman" w:hAnsi="Times New Roman" w:cs="Times New Roman"/>
                <w:noProof/>
                <w:sz w:val="18"/>
              </w:rPr>
            </w:pPr>
          </w:p>
        </w:tc>
        <w:tc>
          <w:tcPr>
            <w:tcW w:w="709" w:type="dxa"/>
            <w:shd w:val="clear" w:color="auto" w:fill="C6EFCE"/>
          </w:tcPr>
          <w:p w14:paraId="793F4CD5" w14:textId="62CFE6A6"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Q4</w:t>
            </w:r>
          </w:p>
        </w:tc>
        <w:tc>
          <w:tcPr>
            <w:tcW w:w="709" w:type="dxa"/>
            <w:shd w:val="clear" w:color="auto" w:fill="C6EFCE"/>
          </w:tcPr>
          <w:p w14:paraId="0C737108"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2025</w:t>
            </w:r>
          </w:p>
        </w:tc>
        <w:tc>
          <w:tcPr>
            <w:tcW w:w="4958" w:type="dxa"/>
            <w:shd w:val="clear" w:color="auto" w:fill="C6EFCE"/>
          </w:tcPr>
          <w:p w14:paraId="50094083" w14:textId="52824E20" w:rsidR="00D65CB4" w:rsidRPr="00BC4EE7" w:rsidRDefault="00572307">
            <w:pPr>
              <w:pStyle w:val="P68B1DB1-paragraph29"/>
              <w:spacing w:before="0" w:beforeAutospacing="0" w:after="0" w:afterAutospacing="0"/>
              <w:textAlignment w:val="baseline"/>
              <w:rPr>
                <w:rFonts w:cs="Times New Roman"/>
                <w:noProof/>
              </w:rPr>
            </w:pPr>
            <w:r w:rsidRPr="00BC4EE7">
              <w:rPr>
                <w:rFonts w:cs="Times New Roman"/>
                <w:noProof/>
              </w:rPr>
              <w:t xml:space="preserve">Az ICO/Axis és az ICO által kiválasztott közvetítők jogi finanszírozási megállapodásokat kötnek a végső kedvezményezettekkel (beleértve a tőkealapokat is) a Helyreállítási és Rezilienciaépítési Eszközbe történő beruházás legalább 75%-ának felhasználásához szükséges összegről (figyelembe véve az irányítási díjakat). A finanszírozás legalább 7,5%-ának tőkealapokkal aláírt finanszírozási megállapodásoknak, legalább 50%-ának pedig a végső kedvezményezettekkel aláírt finanszírozási megállapodásoknak kell megfelelnie minden egyéb befektetési termék tekintetében (beleértve a végrehajtó partner közvetlen tőkebefektetéseit is). Az ICO-nak a Helyreállítási és Rezilienciaépítési Eszközről szóló rendelet VI. mellékletében foglalt módszertan alkalmazásával jelentést kell készítenie, amelyben részletezi e finanszírozásnak az éghajlat-politikai célkitűzésekhez való hozzájárulását. </w:t>
            </w:r>
          </w:p>
        </w:tc>
      </w:tr>
      <w:tr w:rsidR="00D65CB4" w:rsidRPr="00BC4EE7" w14:paraId="430E365D" w14:textId="77777777">
        <w:trPr>
          <w:trHeight w:val="300"/>
        </w:trPr>
        <w:tc>
          <w:tcPr>
            <w:tcW w:w="846" w:type="dxa"/>
            <w:shd w:val="clear" w:color="auto" w:fill="C6EFCE"/>
          </w:tcPr>
          <w:p w14:paraId="36CE58AE" w14:textId="12159273"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L28</w:t>
            </w:r>
          </w:p>
        </w:tc>
        <w:tc>
          <w:tcPr>
            <w:tcW w:w="850" w:type="dxa"/>
            <w:shd w:val="clear" w:color="auto" w:fill="C6EFCE"/>
          </w:tcPr>
          <w:p w14:paraId="252CE9D9"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C13.I6</w:t>
            </w:r>
          </w:p>
        </w:tc>
        <w:tc>
          <w:tcPr>
            <w:tcW w:w="851" w:type="dxa"/>
            <w:shd w:val="clear" w:color="auto" w:fill="C6EFCE"/>
          </w:tcPr>
          <w:p w14:paraId="4713ED1E"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T</w:t>
            </w:r>
          </w:p>
        </w:tc>
        <w:tc>
          <w:tcPr>
            <w:tcW w:w="2268" w:type="dxa"/>
            <w:shd w:val="clear" w:color="auto" w:fill="C6EFCE"/>
          </w:tcPr>
          <w:p w14:paraId="627C7615" w14:textId="6BFC11B7"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ICO zöld vonal – A végső kedvezményezettekkel (beleértve a tőkealapokat is) aláírt jogi megállapodások (IV.)</w:t>
            </w:r>
          </w:p>
        </w:tc>
        <w:tc>
          <w:tcPr>
            <w:tcW w:w="1134" w:type="dxa"/>
            <w:shd w:val="clear" w:color="auto" w:fill="C6EFCE"/>
          </w:tcPr>
          <w:p w14:paraId="5BCAE9D4" w14:textId="5F241F01" w:rsidR="00D65CB4" w:rsidRPr="00BC4EE7" w:rsidRDefault="00D65CB4">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5588480D" w14:textId="1C2801A5"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w:t>
            </w:r>
          </w:p>
        </w:tc>
        <w:tc>
          <w:tcPr>
            <w:tcW w:w="992" w:type="dxa"/>
            <w:shd w:val="clear" w:color="auto" w:fill="C6EFCE"/>
          </w:tcPr>
          <w:p w14:paraId="68410066" w14:textId="6362BB91" w:rsidR="00D65CB4" w:rsidRPr="00BC4EE7" w:rsidRDefault="00572307">
            <w:pPr>
              <w:pStyle w:val="P68B1DB1-Normal12"/>
              <w:spacing w:after="0" w:line="240" w:lineRule="auto"/>
              <w:jc w:val="right"/>
              <w:textAlignment w:val="baseline"/>
              <w:rPr>
                <w:rFonts w:eastAsia="Times New Roman" w:cs="Times New Roman"/>
                <w:noProof/>
              </w:rPr>
            </w:pPr>
            <w:r w:rsidRPr="00BC4EE7">
              <w:rPr>
                <w:rFonts w:cs="Times New Roman"/>
                <w:noProof/>
              </w:rPr>
              <w:t xml:space="preserve">75% </w:t>
            </w:r>
          </w:p>
        </w:tc>
        <w:tc>
          <w:tcPr>
            <w:tcW w:w="709" w:type="dxa"/>
            <w:shd w:val="clear" w:color="auto" w:fill="C6EFCE"/>
          </w:tcPr>
          <w:p w14:paraId="20B9358E" w14:textId="46F5D92C" w:rsidR="00D65CB4" w:rsidRPr="00BC4EE7" w:rsidRDefault="00572307">
            <w:pPr>
              <w:pStyle w:val="P68B1DB1-Normal12"/>
              <w:spacing w:after="0" w:line="240" w:lineRule="auto"/>
              <w:jc w:val="right"/>
              <w:textAlignment w:val="baseline"/>
              <w:rPr>
                <w:rFonts w:eastAsia="Times New Roman" w:cs="Times New Roman"/>
                <w:noProof/>
              </w:rPr>
            </w:pPr>
            <w:r w:rsidRPr="00BC4EE7">
              <w:rPr>
                <w:rFonts w:cs="Times New Roman"/>
                <w:noProof/>
              </w:rPr>
              <w:t xml:space="preserve">100%-OS  </w:t>
            </w:r>
          </w:p>
        </w:tc>
        <w:tc>
          <w:tcPr>
            <w:tcW w:w="709" w:type="dxa"/>
            <w:shd w:val="clear" w:color="auto" w:fill="C6EFCE"/>
          </w:tcPr>
          <w:p w14:paraId="7C483CA8" w14:textId="40408F7E"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Q3</w:t>
            </w:r>
          </w:p>
        </w:tc>
        <w:tc>
          <w:tcPr>
            <w:tcW w:w="709" w:type="dxa"/>
            <w:shd w:val="clear" w:color="auto" w:fill="C6EFCE"/>
          </w:tcPr>
          <w:p w14:paraId="7A4C0272"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2026</w:t>
            </w:r>
          </w:p>
        </w:tc>
        <w:tc>
          <w:tcPr>
            <w:tcW w:w="4958" w:type="dxa"/>
            <w:shd w:val="clear" w:color="auto" w:fill="C6EFCE"/>
          </w:tcPr>
          <w:p w14:paraId="0E1B295B" w14:textId="5174B537" w:rsidR="00D65CB4" w:rsidRPr="00BC4EE7" w:rsidRDefault="00572307">
            <w:pPr>
              <w:pStyle w:val="P68B1DB1-paragraph29"/>
              <w:spacing w:before="0" w:beforeAutospacing="0" w:after="0" w:afterAutospacing="0"/>
              <w:textAlignment w:val="baseline"/>
              <w:rPr>
                <w:rFonts w:cs="Times New Roman"/>
                <w:noProof/>
              </w:rPr>
            </w:pPr>
            <w:r w:rsidRPr="00BC4EE7">
              <w:rPr>
                <w:rFonts w:cs="Times New Roman"/>
                <w:noProof/>
              </w:rPr>
              <w:t xml:space="preserve">Az ICO/Axis és az ICO által kiválasztott közvetítők jogi finanszírozási megállapodásokat kötnek a végső kedvezményezettekkel (beleértve a tőkealapokat is) az RRF-beruházás 100%-ának az eszközbe történő felhasználásához szükséges összegről (figyelembe véve az irányítási díjakat). A finanszírozás legalább 10%-ának tőkealapokkal aláírt finanszírozási megállapodásoknak, legalább 50%-ának pedig a végső kedvezményezettekkel aláírt finanszírozási megállapodásoknak kell megfelelnie minden egyéb befektetési termék tekintetében (beleértve a végrehajtó partner közvetlen tőkebefektetéseit is). E finanszírozás legalább 80,9%-ának a Helyreállítási és Rezilienciaépítési Eszközről szóló rendelet VI. mellékletében foglalt módszertan alkalmazásával éghajlat-politikai célkitűzésekhez kell hozzájárulnia. </w:t>
            </w:r>
          </w:p>
        </w:tc>
      </w:tr>
      <w:tr w:rsidR="00D65CB4" w:rsidRPr="00BC4EE7" w14:paraId="65E01684" w14:textId="77777777">
        <w:trPr>
          <w:trHeight w:val="300"/>
        </w:trPr>
        <w:tc>
          <w:tcPr>
            <w:tcW w:w="846" w:type="dxa"/>
            <w:shd w:val="clear" w:color="auto" w:fill="C6EFCE"/>
          </w:tcPr>
          <w:p w14:paraId="1348715E" w14:textId="3C6DD476"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L29</w:t>
            </w:r>
          </w:p>
        </w:tc>
        <w:tc>
          <w:tcPr>
            <w:tcW w:w="850" w:type="dxa"/>
            <w:shd w:val="clear" w:color="auto" w:fill="C6EFCE"/>
          </w:tcPr>
          <w:p w14:paraId="5D31E5FC"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C13.I6</w:t>
            </w:r>
          </w:p>
        </w:tc>
        <w:tc>
          <w:tcPr>
            <w:tcW w:w="851" w:type="dxa"/>
            <w:shd w:val="clear" w:color="auto" w:fill="C6EFCE"/>
          </w:tcPr>
          <w:p w14:paraId="5E50CF49" w14:textId="7A34ECF2"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T</w:t>
            </w:r>
          </w:p>
        </w:tc>
        <w:tc>
          <w:tcPr>
            <w:tcW w:w="2268" w:type="dxa"/>
            <w:shd w:val="clear" w:color="auto" w:fill="C6EFCE"/>
          </w:tcPr>
          <w:p w14:paraId="5D2CFC15" w14:textId="606E27FF"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ICO zöld vonal – a minisztérium befejezte a beruházást</w:t>
            </w:r>
          </w:p>
        </w:tc>
        <w:tc>
          <w:tcPr>
            <w:tcW w:w="1134" w:type="dxa"/>
            <w:shd w:val="clear" w:color="auto" w:fill="C6EFCE"/>
          </w:tcPr>
          <w:p w14:paraId="21CFA64B" w14:textId="6AD11D01"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Átutalási igazolás</w:t>
            </w:r>
          </w:p>
        </w:tc>
        <w:tc>
          <w:tcPr>
            <w:tcW w:w="709" w:type="dxa"/>
            <w:shd w:val="clear" w:color="auto" w:fill="C6EFCE"/>
          </w:tcPr>
          <w:p w14:paraId="38C0BAF3" w14:textId="5BFB7EFC" w:rsidR="00D65CB4" w:rsidRPr="00BC4EE7" w:rsidRDefault="00D65CB4">
            <w:pPr>
              <w:spacing w:after="0" w:line="240" w:lineRule="auto"/>
              <w:jc w:val="center"/>
              <w:textAlignment w:val="baseline"/>
              <w:rPr>
                <w:rFonts w:ascii="Times New Roman" w:eastAsia="Times New Roman" w:hAnsi="Times New Roman" w:cs="Times New Roman"/>
                <w:noProof/>
                <w:sz w:val="18"/>
              </w:rPr>
            </w:pPr>
          </w:p>
        </w:tc>
        <w:tc>
          <w:tcPr>
            <w:tcW w:w="992" w:type="dxa"/>
            <w:shd w:val="clear" w:color="auto" w:fill="C6EFCE"/>
          </w:tcPr>
          <w:p w14:paraId="54D0DD89" w14:textId="77777777" w:rsidR="00D65CB4" w:rsidRPr="00BC4EE7" w:rsidRDefault="00D65CB4">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6BCFA1C4" w14:textId="3EA6823C" w:rsidR="00D65CB4" w:rsidRPr="00BC4EE7" w:rsidRDefault="00572307">
            <w:pPr>
              <w:pStyle w:val="P68B1DB1-Normal12"/>
              <w:spacing w:after="0" w:line="240" w:lineRule="auto"/>
              <w:jc w:val="right"/>
              <w:textAlignment w:val="baseline"/>
              <w:rPr>
                <w:rFonts w:eastAsia="Times New Roman" w:cs="Times New Roman"/>
                <w:noProof/>
              </w:rPr>
            </w:pPr>
            <w:r w:rsidRPr="00BC4EE7">
              <w:rPr>
                <w:rFonts w:cs="Times New Roman"/>
                <w:noProof/>
              </w:rPr>
              <w:t xml:space="preserve"> </w:t>
            </w:r>
          </w:p>
        </w:tc>
        <w:tc>
          <w:tcPr>
            <w:tcW w:w="709" w:type="dxa"/>
            <w:shd w:val="clear" w:color="auto" w:fill="C6EFCE"/>
          </w:tcPr>
          <w:p w14:paraId="177DC39B" w14:textId="07CDB1EA"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Q3</w:t>
            </w:r>
          </w:p>
        </w:tc>
        <w:tc>
          <w:tcPr>
            <w:tcW w:w="709" w:type="dxa"/>
            <w:shd w:val="clear" w:color="auto" w:fill="C6EFCE"/>
          </w:tcPr>
          <w:p w14:paraId="4EC5DE42"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2026</w:t>
            </w:r>
          </w:p>
        </w:tc>
        <w:tc>
          <w:tcPr>
            <w:tcW w:w="4958" w:type="dxa"/>
            <w:shd w:val="clear" w:color="auto" w:fill="C6EFCE"/>
          </w:tcPr>
          <w:p w14:paraId="17EC78B9" w14:textId="7D014BE2"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 xml:space="preserve">Spanyolország 22 000 000 000 EUR-t utal át az ICO-nak az eszköz céljára. </w:t>
            </w:r>
          </w:p>
        </w:tc>
      </w:tr>
      <w:tr w:rsidR="00D65CB4" w:rsidRPr="00BC4EE7" w14:paraId="5B976FA9" w14:textId="77777777">
        <w:trPr>
          <w:trHeight w:val="300"/>
        </w:trPr>
        <w:tc>
          <w:tcPr>
            <w:tcW w:w="846" w:type="dxa"/>
            <w:shd w:val="clear" w:color="auto" w:fill="C6EFCE"/>
          </w:tcPr>
          <w:p w14:paraId="60CCA077" w14:textId="64714839"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L30</w:t>
            </w:r>
          </w:p>
        </w:tc>
        <w:tc>
          <w:tcPr>
            <w:tcW w:w="850" w:type="dxa"/>
            <w:shd w:val="clear" w:color="auto" w:fill="C6EFCE"/>
          </w:tcPr>
          <w:p w14:paraId="2534DF42"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C13.I6</w:t>
            </w:r>
          </w:p>
        </w:tc>
        <w:tc>
          <w:tcPr>
            <w:tcW w:w="851" w:type="dxa"/>
            <w:shd w:val="clear" w:color="auto" w:fill="C6EFCE"/>
          </w:tcPr>
          <w:p w14:paraId="78659B46"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M</w:t>
            </w:r>
          </w:p>
        </w:tc>
        <w:tc>
          <w:tcPr>
            <w:tcW w:w="2268" w:type="dxa"/>
            <w:shd w:val="clear" w:color="auto" w:fill="C6EFCE"/>
          </w:tcPr>
          <w:p w14:paraId="6D02C463" w14:textId="1C79C256"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 xml:space="preserve">Az ICO-vállalkozásokra és vállalkozókra vonatkozó végrehajtási megállapodás </w:t>
            </w:r>
          </w:p>
        </w:tc>
        <w:tc>
          <w:tcPr>
            <w:tcW w:w="1134" w:type="dxa"/>
            <w:shd w:val="clear" w:color="auto" w:fill="C6EFCE"/>
          </w:tcPr>
          <w:p w14:paraId="1E3502D4" w14:textId="40958563"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A végrehajtási megállapodás hatálybalépése </w:t>
            </w:r>
          </w:p>
        </w:tc>
        <w:tc>
          <w:tcPr>
            <w:tcW w:w="709" w:type="dxa"/>
            <w:shd w:val="clear" w:color="auto" w:fill="C6EFCE"/>
          </w:tcPr>
          <w:p w14:paraId="72BA320A" w14:textId="77777777" w:rsidR="00D65CB4" w:rsidRPr="00BC4EE7" w:rsidRDefault="00D65CB4">
            <w:pPr>
              <w:spacing w:after="0" w:line="240" w:lineRule="auto"/>
              <w:jc w:val="center"/>
              <w:textAlignment w:val="baseline"/>
              <w:rPr>
                <w:rFonts w:ascii="Times New Roman" w:eastAsia="Times New Roman" w:hAnsi="Times New Roman" w:cs="Times New Roman"/>
                <w:noProof/>
                <w:sz w:val="18"/>
              </w:rPr>
            </w:pPr>
          </w:p>
        </w:tc>
        <w:tc>
          <w:tcPr>
            <w:tcW w:w="992" w:type="dxa"/>
            <w:shd w:val="clear" w:color="auto" w:fill="C6EFCE"/>
          </w:tcPr>
          <w:p w14:paraId="6C1E9E38" w14:textId="62944D50" w:rsidR="00D65CB4" w:rsidRPr="00BC4EE7" w:rsidRDefault="00D65CB4">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6DA8BC75" w14:textId="77777777" w:rsidR="00D65CB4" w:rsidRPr="00BC4EE7" w:rsidRDefault="00D65CB4">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7D52C6EA"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 xml:space="preserve">Q4 </w:t>
            </w:r>
          </w:p>
        </w:tc>
        <w:tc>
          <w:tcPr>
            <w:tcW w:w="709" w:type="dxa"/>
            <w:shd w:val="clear" w:color="auto" w:fill="C6EFCE"/>
          </w:tcPr>
          <w:p w14:paraId="6BA60D4B"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2023</w:t>
            </w:r>
          </w:p>
        </w:tc>
        <w:tc>
          <w:tcPr>
            <w:tcW w:w="4958" w:type="dxa"/>
            <w:shd w:val="clear" w:color="auto" w:fill="C6EFCE"/>
          </w:tcPr>
          <w:p w14:paraId="5C58F40D" w14:textId="144A278F" w:rsidR="00D65CB4" w:rsidRPr="00BC4EE7" w:rsidRDefault="00572307">
            <w:pPr>
              <w:pStyle w:val="P68B1DB1-paragraph29"/>
              <w:spacing w:before="0" w:beforeAutospacing="0" w:after="0" w:afterAutospacing="0"/>
              <w:textAlignment w:val="baseline"/>
              <w:rPr>
                <w:rFonts w:cs="Times New Roman"/>
                <w:noProof/>
              </w:rPr>
            </w:pPr>
            <w:r w:rsidRPr="00BC4EE7">
              <w:rPr>
                <w:rFonts w:cs="Times New Roman"/>
                <w:noProof/>
              </w:rPr>
              <w:t>A végrehajtási megállapodás hatálybalépése.</w:t>
            </w:r>
          </w:p>
        </w:tc>
      </w:tr>
      <w:tr w:rsidR="00D65CB4" w:rsidRPr="00BC4EE7" w14:paraId="42C2B01A" w14:textId="77777777">
        <w:trPr>
          <w:trHeight w:val="300"/>
        </w:trPr>
        <w:tc>
          <w:tcPr>
            <w:tcW w:w="846" w:type="dxa"/>
            <w:shd w:val="clear" w:color="auto" w:fill="C6EFCE"/>
          </w:tcPr>
          <w:p w14:paraId="5BA39789" w14:textId="20179638"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L31</w:t>
            </w:r>
          </w:p>
        </w:tc>
        <w:tc>
          <w:tcPr>
            <w:tcW w:w="850" w:type="dxa"/>
            <w:shd w:val="clear" w:color="auto" w:fill="C6EFCE"/>
          </w:tcPr>
          <w:p w14:paraId="2DF94740"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C13.I6</w:t>
            </w:r>
          </w:p>
        </w:tc>
        <w:tc>
          <w:tcPr>
            <w:tcW w:w="851" w:type="dxa"/>
            <w:shd w:val="clear" w:color="auto" w:fill="C6EFCE"/>
          </w:tcPr>
          <w:p w14:paraId="4F2F2BFB"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T</w:t>
            </w:r>
          </w:p>
        </w:tc>
        <w:tc>
          <w:tcPr>
            <w:tcW w:w="2268" w:type="dxa"/>
            <w:shd w:val="clear" w:color="auto" w:fill="C6EFCE"/>
          </w:tcPr>
          <w:p w14:paraId="5FB70BD5" w14:textId="79DD556A"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ICO Vállalkozások és Vállalkozók – A végső kedvezményezettekkel aláírt jogi megállapodások (beleértve a tőkealapokat) (I)</w:t>
            </w:r>
          </w:p>
        </w:tc>
        <w:tc>
          <w:tcPr>
            <w:tcW w:w="1134" w:type="dxa"/>
            <w:shd w:val="clear" w:color="auto" w:fill="C6EFCE"/>
          </w:tcPr>
          <w:p w14:paraId="0C4DC771" w14:textId="2B7CD62E"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 xml:space="preserve"> </w:t>
            </w:r>
          </w:p>
        </w:tc>
        <w:tc>
          <w:tcPr>
            <w:tcW w:w="709" w:type="dxa"/>
            <w:shd w:val="clear" w:color="auto" w:fill="C6EFCE"/>
          </w:tcPr>
          <w:p w14:paraId="1EE90475" w14:textId="35C90CAC"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w:t>
            </w:r>
          </w:p>
        </w:tc>
        <w:tc>
          <w:tcPr>
            <w:tcW w:w="992" w:type="dxa"/>
            <w:shd w:val="clear" w:color="auto" w:fill="C6EFCE"/>
          </w:tcPr>
          <w:p w14:paraId="6C5CBE24" w14:textId="0A385553"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0%</w:t>
            </w:r>
          </w:p>
        </w:tc>
        <w:tc>
          <w:tcPr>
            <w:tcW w:w="709" w:type="dxa"/>
            <w:shd w:val="clear" w:color="auto" w:fill="C6EFCE"/>
          </w:tcPr>
          <w:p w14:paraId="3CF7496A" w14:textId="451036C1" w:rsidR="00D65CB4" w:rsidRPr="00BC4EE7" w:rsidRDefault="00572307">
            <w:pPr>
              <w:pStyle w:val="P68B1DB1-Normal12"/>
              <w:spacing w:after="0" w:line="240" w:lineRule="auto"/>
              <w:jc w:val="right"/>
              <w:textAlignment w:val="baseline"/>
              <w:rPr>
                <w:rFonts w:eastAsia="Times New Roman" w:cs="Times New Roman"/>
                <w:noProof/>
              </w:rPr>
            </w:pPr>
            <w:r w:rsidRPr="00BC4EE7">
              <w:rPr>
                <w:rFonts w:cs="Times New Roman"/>
                <w:noProof/>
              </w:rPr>
              <w:t xml:space="preserve">50% </w:t>
            </w:r>
          </w:p>
        </w:tc>
        <w:tc>
          <w:tcPr>
            <w:tcW w:w="709" w:type="dxa"/>
            <w:shd w:val="clear" w:color="auto" w:fill="C6EFCE"/>
          </w:tcPr>
          <w:p w14:paraId="75C8355B"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Q2</w:t>
            </w:r>
          </w:p>
        </w:tc>
        <w:tc>
          <w:tcPr>
            <w:tcW w:w="709" w:type="dxa"/>
            <w:shd w:val="clear" w:color="auto" w:fill="C6EFCE"/>
          </w:tcPr>
          <w:p w14:paraId="1CB3D9B3"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2025</w:t>
            </w:r>
          </w:p>
        </w:tc>
        <w:tc>
          <w:tcPr>
            <w:tcW w:w="4958" w:type="dxa"/>
            <w:shd w:val="clear" w:color="auto" w:fill="C6EFCE"/>
          </w:tcPr>
          <w:p w14:paraId="0ED2A9A4" w14:textId="58E129A9" w:rsidR="00D65CB4" w:rsidRPr="00BC4EE7" w:rsidRDefault="00572307">
            <w:pPr>
              <w:pStyle w:val="P68B1DB1-paragraph29"/>
              <w:spacing w:before="0" w:beforeAutospacing="0" w:after="0" w:afterAutospacing="0"/>
              <w:textAlignment w:val="baseline"/>
              <w:rPr>
                <w:rStyle w:val="normaltextrun"/>
                <w:rFonts w:eastAsiaTheme="minorHAnsi" w:cs="Times New Roman"/>
                <w:noProof/>
                <w:u w:val="single"/>
              </w:rPr>
            </w:pPr>
            <w:r w:rsidRPr="00BC4EE7">
              <w:rPr>
                <w:rFonts w:cs="Times New Roman"/>
                <w:noProof/>
              </w:rPr>
              <w:t>Az ICO/Axis és az ICO által kiválasztott közvetítők jogi finanszírozási megállapodásokat kötnek a végső kedvezményezettekkel (beleértve a tőkealapokat is) a Helyreállítási és Rezilienciaépítési Eszközbe történő beruházás legalább 50%-ának felhasználásához szükséges összegről (figyelembe véve az irányítási díjakat). A finanszírozás legalább 2,5%-a tőkealapokkal aláírt finanszírozási megállapodásoknak, legalább 50%-ának pedig a végső kedvezményezettekkel aláírt finanszírozási megállapodásoknak kell megfelelnie minden egyéb befektetési termék tekintetében (beleértve a végrehajtó partner közvetlen tőkebefektetéseit is).</w:t>
            </w:r>
          </w:p>
        </w:tc>
      </w:tr>
      <w:tr w:rsidR="00D65CB4" w:rsidRPr="00BC4EE7" w14:paraId="680EF42C" w14:textId="77777777">
        <w:trPr>
          <w:trHeight w:val="300"/>
        </w:trPr>
        <w:tc>
          <w:tcPr>
            <w:tcW w:w="846" w:type="dxa"/>
            <w:shd w:val="clear" w:color="auto" w:fill="C6EFCE"/>
          </w:tcPr>
          <w:p w14:paraId="41EA9FC6" w14:textId="28DEC1A9"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L32</w:t>
            </w:r>
          </w:p>
        </w:tc>
        <w:tc>
          <w:tcPr>
            <w:tcW w:w="850" w:type="dxa"/>
            <w:shd w:val="clear" w:color="auto" w:fill="C6EFCE"/>
          </w:tcPr>
          <w:p w14:paraId="61004FF6"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C13.I6</w:t>
            </w:r>
          </w:p>
        </w:tc>
        <w:tc>
          <w:tcPr>
            <w:tcW w:w="851" w:type="dxa"/>
            <w:shd w:val="clear" w:color="auto" w:fill="C6EFCE"/>
          </w:tcPr>
          <w:p w14:paraId="640872D2"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T</w:t>
            </w:r>
          </w:p>
        </w:tc>
        <w:tc>
          <w:tcPr>
            <w:tcW w:w="2268" w:type="dxa"/>
            <w:shd w:val="clear" w:color="auto" w:fill="C6EFCE"/>
          </w:tcPr>
          <w:p w14:paraId="3329D60E" w14:textId="06EAFF07"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ICO Enterprises and Entrepreneurs Line – A végső kedvezményezettekkel aláírt jogi megállapodások (beleértve a tőkealapokat) (II)</w:t>
            </w:r>
          </w:p>
        </w:tc>
        <w:tc>
          <w:tcPr>
            <w:tcW w:w="1134" w:type="dxa"/>
            <w:shd w:val="clear" w:color="auto" w:fill="C6EFCE"/>
          </w:tcPr>
          <w:p w14:paraId="6705A2E9" w14:textId="1D274F3E" w:rsidR="00D65CB4" w:rsidRPr="00BC4EE7" w:rsidRDefault="00D65CB4">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5E47BDF4" w14:textId="004F984A"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w:t>
            </w:r>
          </w:p>
        </w:tc>
        <w:tc>
          <w:tcPr>
            <w:tcW w:w="992" w:type="dxa"/>
            <w:shd w:val="clear" w:color="auto" w:fill="C6EFCE"/>
          </w:tcPr>
          <w:p w14:paraId="014F1668" w14:textId="6E2E8268" w:rsidR="00D65CB4" w:rsidRPr="00BC4EE7" w:rsidRDefault="00572307">
            <w:pPr>
              <w:pStyle w:val="P68B1DB1-Normal12"/>
              <w:spacing w:after="0" w:line="240" w:lineRule="auto"/>
              <w:jc w:val="right"/>
              <w:textAlignment w:val="baseline"/>
              <w:rPr>
                <w:rFonts w:eastAsia="Times New Roman" w:cs="Times New Roman"/>
                <w:noProof/>
              </w:rPr>
            </w:pPr>
            <w:r w:rsidRPr="00BC4EE7">
              <w:rPr>
                <w:rFonts w:cs="Times New Roman"/>
                <w:noProof/>
              </w:rPr>
              <w:t xml:space="preserve">50% </w:t>
            </w:r>
          </w:p>
        </w:tc>
        <w:tc>
          <w:tcPr>
            <w:tcW w:w="709" w:type="dxa"/>
            <w:shd w:val="clear" w:color="auto" w:fill="C6EFCE"/>
          </w:tcPr>
          <w:p w14:paraId="521B4250" w14:textId="66A66A9F" w:rsidR="00D65CB4" w:rsidRPr="00BC4EE7" w:rsidRDefault="00572307">
            <w:pPr>
              <w:pStyle w:val="P68B1DB1-Normal12"/>
              <w:spacing w:after="0" w:line="240" w:lineRule="auto"/>
              <w:jc w:val="right"/>
              <w:textAlignment w:val="baseline"/>
              <w:rPr>
                <w:rFonts w:eastAsia="Times New Roman" w:cs="Times New Roman"/>
                <w:noProof/>
              </w:rPr>
            </w:pPr>
            <w:r w:rsidRPr="00BC4EE7">
              <w:rPr>
                <w:rFonts w:cs="Times New Roman"/>
                <w:noProof/>
              </w:rPr>
              <w:t xml:space="preserve">75%  </w:t>
            </w:r>
          </w:p>
        </w:tc>
        <w:tc>
          <w:tcPr>
            <w:tcW w:w="709" w:type="dxa"/>
            <w:shd w:val="clear" w:color="auto" w:fill="C6EFCE"/>
          </w:tcPr>
          <w:p w14:paraId="7ACBC92F"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Q4</w:t>
            </w:r>
          </w:p>
        </w:tc>
        <w:tc>
          <w:tcPr>
            <w:tcW w:w="709" w:type="dxa"/>
            <w:shd w:val="clear" w:color="auto" w:fill="C6EFCE"/>
          </w:tcPr>
          <w:p w14:paraId="76F1F85F"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2025</w:t>
            </w:r>
          </w:p>
        </w:tc>
        <w:tc>
          <w:tcPr>
            <w:tcW w:w="4958" w:type="dxa"/>
            <w:shd w:val="clear" w:color="auto" w:fill="C6EFCE"/>
          </w:tcPr>
          <w:p w14:paraId="0E22CC94" w14:textId="3E48EBFB" w:rsidR="00D65CB4" w:rsidRPr="00BC4EE7" w:rsidRDefault="00572307">
            <w:pPr>
              <w:pStyle w:val="P68B1DB1-paragraph29"/>
              <w:spacing w:before="0" w:beforeAutospacing="0" w:after="0" w:afterAutospacing="0"/>
              <w:textAlignment w:val="baseline"/>
              <w:rPr>
                <w:rStyle w:val="normaltextrun"/>
                <w:rFonts w:eastAsiaTheme="minorEastAsia" w:cs="Times New Roman"/>
                <w:noProof/>
              </w:rPr>
            </w:pPr>
            <w:r w:rsidRPr="00BC4EE7">
              <w:rPr>
                <w:rFonts w:cs="Times New Roman"/>
                <w:noProof/>
              </w:rPr>
              <w:t xml:space="preserve">Az ICO/Axis és az ICO által kiválasztott közvetítők jogi finanszírozási megállapodásokat kötnek a végső kedvezményezettekkel (beleértve a tőkealapokat is) a Helyreállítási és Rezilienciaépítési Eszközbe történő beruházás legalább 75%-ának felhasználásához szükséges összegről (figyelembe véve az irányítási díjakat). A finanszírozás legalább 7,5%-ának tőkealapokkal aláírt finanszírozási megállapodásoknak, legalább 50%-ának pedig a végső kedvezményezettekkel aláírt finanszírozási megállapodásoknak kell megfelelnie minden egyéb befektetési termék tekintetében (beleértve a végrehajtó partner közvetlen tőkebefektetéseit is). </w:t>
            </w:r>
          </w:p>
        </w:tc>
      </w:tr>
      <w:tr w:rsidR="00D65CB4" w:rsidRPr="00BC4EE7" w14:paraId="3AA7BE6B" w14:textId="77777777">
        <w:trPr>
          <w:trHeight w:val="300"/>
        </w:trPr>
        <w:tc>
          <w:tcPr>
            <w:tcW w:w="846" w:type="dxa"/>
            <w:shd w:val="clear" w:color="auto" w:fill="C6EFCE"/>
          </w:tcPr>
          <w:p w14:paraId="20BA34D9" w14:textId="74A64304"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L33</w:t>
            </w:r>
          </w:p>
        </w:tc>
        <w:tc>
          <w:tcPr>
            <w:tcW w:w="850" w:type="dxa"/>
            <w:shd w:val="clear" w:color="auto" w:fill="C6EFCE"/>
          </w:tcPr>
          <w:p w14:paraId="228A1BC9"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C13.I6</w:t>
            </w:r>
          </w:p>
        </w:tc>
        <w:tc>
          <w:tcPr>
            <w:tcW w:w="851" w:type="dxa"/>
            <w:shd w:val="clear" w:color="auto" w:fill="C6EFCE"/>
          </w:tcPr>
          <w:p w14:paraId="2758B547"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T</w:t>
            </w:r>
          </w:p>
        </w:tc>
        <w:tc>
          <w:tcPr>
            <w:tcW w:w="2268" w:type="dxa"/>
            <w:shd w:val="clear" w:color="auto" w:fill="C6EFCE"/>
          </w:tcPr>
          <w:p w14:paraId="112F34AB" w14:textId="00465E87"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ICO Enterprises and Entrepreneurs Line – A végső kedvezményezettekkel aláírt jogi megállapodások (beleértve a tőkealapokat) (III)</w:t>
            </w:r>
          </w:p>
        </w:tc>
        <w:tc>
          <w:tcPr>
            <w:tcW w:w="1134" w:type="dxa"/>
            <w:shd w:val="clear" w:color="auto" w:fill="C6EFCE"/>
          </w:tcPr>
          <w:p w14:paraId="5B044FB9" w14:textId="12E53D49"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 xml:space="preserve"> </w:t>
            </w:r>
          </w:p>
        </w:tc>
        <w:tc>
          <w:tcPr>
            <w:tcW w:w="709" w:type="dxa"/>
            <w:shd w:val="clear" w:color="auto" w:fill="C6EFCE"/>
          </w:tcPr>
          <w:p w14:paraId="4F73509C" w14:textId="35C98BE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w:t>
            </w:r>
          </w:p>
        </w:tc>
        <w:tc>
          <w:tcPr>
            <w:tcW w:w="992" w:type="dxa"/>
            <w:shd w:val="clear" w:color="auto" w:fill="C6EFCE"/>
          </w:tcPr>
          <w:p w14:paraId="15E859CD" w14:textId="40231C8F" w:rsidR="00D65CB4" w:rsidRPr="00BC4EE7" w:rsidRDefault="00572307">
            <w:pPr>
              <w:pStyle w:val="P68B1DB1-Normal12"/>
              <w:spacing w:after="0" w:line="240" w:lineRule="auto"/>
              <w:jc w:val="right"/>
              <w:textAlignment w:val="baseline"/>
              <w:rPr>
                <w:rFonts w:eastAsia="Times New Roman" w:cs="Times New Roman"/>
                <w:noProof/>
              </w:rPr>
            </w:pPr>
            <w:r w:rsidRPr="00BC4EE7">
              <w:rPr>
                <w:rFonts w:cs="Times New Roman"/>
                <w:noProof/>
              </w:rPr>
              <w:t xml:space="preserve">75% </w:t>
            </w:r>
          </w:p>
        </w:tc>
        <w:tc>
          <w:tcPr>
            <w:tcW w:w="709" w:type="dxa"/>
            <w:shd w:val="clear" w:color="auto" w:fill="C6EFCE"/>
          </w:tcPr>
          <w:p w14:paraId="0DC9BAE2" w14:textId="0980F094" w:rsidR="00D65CB4" w:rsidRPr="00BC4EE7" w:rsidRDefault="00572307">
            <w:pPr>
              <w:pStyle w:val="P68B1DB1-Normal12"/>
              <w:spacing w:after="0" w:line="240" w:lineRule="auto"/>
              <w:jc w:val="right"/>
              <w:textAlignment w:val="baseline"/>
              <w:rPr>
                <w:rFonts w:eastAsia="Times New Roman" w:cs="Times New Roman"/>
                <w:noProof/>
              </w:rPr>
            </w:pPr>
            <w:r w:rsidRPr="00BC4EE7">
              <w:rPr>
                <w:rFonts w:cs="Times New Roman"/>
                <w:noProof/>
              </w:rPr>
              <w:t xml:space="preserve">100%-OS </w:t>
            </w:r>
          </w:p>
        </w:tc>
        <w:tc>
          <w:tcPr>
            <w:tcW w:w="709" w:type="dxa"/>
            <w:shd w:val="clear" w:color="auto" w:fill="C6EFCE"/>
          </w:tcPr>
          <w:p w14:paraId="0F13266E" w14:textId="0E91D221"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Q3</w:t>
            </w:r>
          </w:p>
        </w:tc>
        <w:tc>
          <w:tcPr>
            <w:tcW w:w="709" w:type="dxa"/>
            <w:shd w:val="clear" w:color="auto" w:fill="C6EFCE"/>
          </w:tcPr>
          <w:p w14:paraId="6CB5F185"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2026</w:t>
            </w:r>
          </w:p>
        </w:tc>
        <w:tc>
          <w:tcPr>
            <w:tcW w:w="4958" w:type="dxa"/>
            <w:shd w:val="clear" w:color="auto" w:fill="C6EFCE"/>
          </w:tcPr>
          <w:p w14:paraId="55A87545" w14:textId="691A5EE9" w:rsidR="00D65CB4" w:rsidRPr="00BC4EE7" w:rsidRDefault="00572307">
            <w:pPr>
              <w:pStyle w:val="P68B1DB1-paragraph29"/>
              <w:spacing w:before="0" w:beforeAutospacing="0" w:after="0" w:afterAutospacing="0"/>
              <w:textAlignment w:val="baseline"/>
              <w:rPr>
                <w:rStyle w:val="normaltextrun"/>
                <w:rFonts w:eastAsiaTheme="minorEastAsia" w:cs="Times New Roman"/>
                <w:noProof/>
                <w:u w:val="single"/>
              </w:rPr>
            </w:pPr>
            <w:r w:rsidRPr="00BC4EE7">
              <w:rPr>
                <w:rFonts w:cs="Times New Roman"/>
                <w:noProof/>
              </w:rPr>
              <w:t xml:space="preserve">Az ICO/Axis és az ICO által kiválasztott közvetítők jogi finanszírozási megállapodásokat kötnek a végső kedvezményezettekkel (beleértve a tőkealapokat is) az RRF-beruházás 100%-ának az eszközbe történő felhasználásához szükséges összegről (figyelembe véve az irányítási díjakat). A finanszírozás legalább 10%-ának tőkealapokkal aláírt finanszírozási megállapodásoknak, legalább 50%-ának pedig a végső kedvezményezettekkel aláírt finanszírozási megállapodásoknak kell megfelelnie minden egyéb befektetési termék tekintetében (beleértve a végrehajtó partner közvetlen tőkebefektetéseit is). E finanszírozás legalább 1,84%-ának a Helyreállítási és Rezilienciaépítési Eszközről szóló rendelet VII. mellékletében foglalt módszertan alkalmazásával digitális célkitűzésekhez kell hozzájárulnia. </w:t>
            </w:r>
          </w:p>
        </w:tc>
      </w:tr>
      <w:tr w:rsidR="00D65CB4" w:rsidRPr="00BC4EE7" w14:paraId="326480BC" w14:textId="77777777">
        <w:trPr>
          <w:trHeight w:val="300"/>
        </w:trPr>
        <w:tc>
          <w:tcPr>
            <w:tcW w:w="846" w:type="dxa"/>
            <w:shd w:val="clear" w:color="auto" w:fill="C6EFCE"/>
          </w:tcPr>
          <w:p w14:paraId="5040ED5B" w14:textId="08B036AA"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L34</w:t>
            </w:r>
          </w:p>
        </w:tc>
        <w:tc>
          <w:tcPr>
            <w:tcW w:w="850" w:type="dxa"/>
            <w:shd w:val="clear" w:color="auto" w:fill="C6EFCE"/>
          </w:tcPr>
          <w:p w14:paraId="65DE97C5"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C13.I6</w:t>
            </w:r>
          </w:p>
        </w:tc>
        <w:tc>
          <w:tcPr>
            <w:tcW w:w="851" w:type="dxa"/>
            <w:shd w:val="clear" w:color="auto" w:fill="C6EFCE"/>
          </w:tcPr>
          <w:p w14:paraId="277146FF"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M</w:t>
            </w:r>
          </w:p>
        </w:tc>
        <w:tc>
          <w:tcPr>
            <w:tcW w:w="2268" w:type="dxa"/>
            <w:shd w:val="clear" w:color="auto" w:fill="C6EFCE"/>
          </w:tcPr>
          <w:p w14:paraId="3FBD63BA" w14:textId="26A51040"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ICO Enterprises and Entrepreneurs Line – a minisztérium befejezte a beruházást.</w:t>
            </w:r>
          </w:p>
        </w:tc>
        <w:tc>
          <w:tcPr>
            <w:tcW w:w="1134" w:type="dxa"/>
            <w:shd w:val="clear" w:color="auto" w:fill="C6EFCE"/>
          </w:tcPr>
          <w:p w14:paraId="5FA7AE29" w14:textId="4AF971AC"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Átutalási igazolás</w:t>
            </w:r>
          </w:p>
        </w:tc>
        <w:tc>
          <w:tcPr>
            <w:tcW w:w="709" w:type="dxa"/>
            <w:shd w:val="clear" w:color="auto" w:fill="C6EFCE"/>
          </w:tcPr>
          <w:p w14:paraId="3ED141B2" w14:textId="77777777" w:rsidR="00D65CB4" w:rsidRPr="00BC4EE7" w:rsidRDefault="00D65CB4">
            <w:pPr>
              <w:spacing w:after="0" w:line="240" w:lineRule="auto"/>
              <w:jc w:val="center"/>
              <w:textAlignment w:val="baseline"/>
              <w:rPr>
                <w:rFonts w:ascii="Times New Roman" w:eastAsia="Times New Roman" w:hAnsi="Times New Roman" w:cs="Times New Roman"/>
                <w:noProof/>
                <w:sz w:val="18"/>
              </w:rPr>
            </w:pPr>
          </w:p>
        </w:tc>
        <w:tc>
          <w:tcPr>
            <w:tcW w:w="992" w:type="dxa"/>
            <w:shd w:val="clear" w:color="auto" w:fill="C6EFCE"/>
          </w:tcPr>
          <w:p w14:paraId="7CD22B98" w14:textId="77777777" w:rsidR="00D65CB4" w:rsidRPr="00BC4EE7" w:rsidRDefault="00D65CB4">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25DF4F92" w14:textId="77777777" w:rsidR="00D65CB4" w:rsidRPr="00BC4EE7" w:rsidRDefault="00D65CB4">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02FC5681" w14:textId="11ACCF2D"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Q3</w:t>
            </w:r>
          </w:p>
        </w:tc>
        <w:tc>
          <w:tcPr>
            <w:tcW w:w="709" w:type="dxa"/>
            <w:shd w:val="clear" w:color="auto" w:fill="C6EFCE"/>
          </w:tcPr>
          <w:p w14:paraId="258F4AC3"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2026</w:t>
            </w:r>
          </w:p>
        </w:tc>
        <w:tc>
          <w:tcPr>
            <w:tcW w:w="4958" w:type="dxa"/>
            <w:shd w:val="clear" w:color="auto" w:fill="C6EFCE"/>
          </w:tcPr>
          <w:p w14:paraId="0533E1A7" w14:textId="5E8DB829"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Spanyolország 8 150 000 000 EUR-t utal át az ICO-nak az eszköz céljára.</w:t>
            </w:r>
          </w:p>
        </w:tc>
      </w:tr>
      <w:tr w:rsidR="00D65CB4" w:rsidRPr="00BC4EE7" w14:paraId="4FC8E8BF" w14:textId="77777777">
        <w:trPr>
          <w:trHeight w:val="677"/>
        </w:trPr>
        <w:tc>
          <w:tcPr>
            <w:tcW w:w="846" w:type="dxa"/>
            <w:shd w:val="clear" w:color="auto" w:fill="C6EFCE"/>
          </w:tcPr>
          <w:p w14:paraId="54AB878F" w14:textId="43BD63A3"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L35</w:t>
            </w:r>
          </w:p>
        </w:tc>
        <w:tc>
          <w:tcPr>
            <w:tcW w:w="850" w:type="dxa"/>
            <w:shd w:val="clear" w:color="auto" w:fill="C6EFCE"/>
          </w:tcPr>
          <w:p w14:paraId="537C5BE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C13.I7</w:t>
            </w:r>
          </w:p>
        </w:tc>
        <w:tc>
          <w:tcPr>
            <w:tcW w:w="851" w:type="dxa"/>
            <w:shd w:val="clear" w:color="auto" w:fill="C6EFCE"/>
          </w:tcPr>
          <w:p w14:paraId="64DF9146"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M</w:t>
            </w:r>
          </w:p>
        </w:tc>
        <w:tc>
          <w:tcPr>
            <w:tcW w:w="2268" w:type="dxa"/>
            <w:shd w:val="clear" w:color="auto" w:fill="C6EFCE"/>
          </w:tcPr>
          <w:p w14:paraId="6FD52622" w14:textId="256D2B5D"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 xml:space="preserve">Következő Tech-alap – Végrehajtási megállapodás a tengelyrel </w:t>
            </w:r>
          </w:p>
        </w:tc>
        <w:tc>
          <w:tcPr>
            <w:tcW w:w="1134" w:type="dxa"/>
            <w:shd w:val="clear" w:color="auto" w:fill="C6EFCE"/>
          </w:tcPr>
          <w:p w14:paraId="5F24E248"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A módosított végrehajtási megállapodás aláírása</w:t>
            </w:r>
          </w:p>
        </w:tc>
        <w:tc>
          <w:tcPr>
            <w:tcW w:w="709" w:type="dxa"/>
            <w:shd w:val="clear" w:color="auto" w:fill="C6EFCE"/>
          </w:tcPr>
          <w:p w14:paraId="2509CEC8" w14:textId="77777777" w:rsidR="00D65CB4" w:rsidRPr="00BC4EE7" w:rsidRDefault="00D65CB4">
            <w:pPr>
              <w:spacing w:after="0" w:line="240" w:lineRule="auto"/>
              <w:jc w:val="center"/>
              <w:textAlignment w:val="baseline"/>
              <w:rPr>
                <w:rFonts w:ascii="Times New Roman" w:eastAsia="Times New Roman" w:hAnsi="Times New Roman" w:cs="Times New Roman"/>
                <w:noProof/>
                <w:sz w:val="18"/>
              </w:rPr>
            </w:pPr>
          </w:p>
        </w:tc>
        <w:tc>
          <w:tcPr>
            <w:tcW w:w="992" w:type="dxa"/>
            <w:shd w:val="clear" w:color="auto" w:fill="C6EFCE"/>
          </w:tcPr>
          <w:p w14:paraId="044E9458" w14:textId="77777777" w:rsidR="00D65CB4" w:rsidRPr="00BC4EE7" w:rsidRDefault="00D65CB4">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559DA499" w14:textId="77777777" w:rsidR="00D65CB4" w:rsidRPr="00BC4EE7" w:rsidRDefault="00D65CB4">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1BC05701"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Q4</w:t>
            </w:r>
          </w:p>
        </w:tc>
        <w:tc>
          <w:tcPr>
            <w:tcW w:w="709" w:type="dxa"/>
            <w:shd w:val="clear" w:color="auto" w:fill="C6EFCE"/>
          </w:tcPr>
          <w:p w14:paraId="3CD67789"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2023</w:t>
            </w:r>
          </w:p>
        </w:tc>
        <w:tc>
          <w:tcPr>
            <w:tcW w:w="4958" w:type="dxa"/>
            <w:shd w:val="clear" w:color="auto" w:fill="C6EFCE"/>
          </w:tcPr>
          <w:p w14:paraId="0AB4A920" w14:textId="13C39BAB" w:rsidR="00D65CB4" w:rsidRPr="00BC4EE7" w:rsidRDefault="00572307">
            <w:pPr>
              <w:pStyle w:val="paragraph"/>
              <w:spacing w:before="0" w:beforeAutospacing="0" w:after="0" w:afterAutospacing="0"/>
              <w:textAlignment w:val="baseline"/>
              <w:rPr>
                <w:rFonts w:ascii="Times New Roman" w:hAnsi="Times New Roman" w:cs="Times New Roman"/>
                <w:noProof/>
                <w:sz w:val="18"/>
              </w:rPr>
            </w:pPr>
            <w:r w:rsidRPr="00BC4EE7">
              <w:rPr>
                <w:rStyle w:val="normaltextrun"/>
                <w:rFonts w:ascii="Times New Roman" w:hAnsi="Times New Roman" w:cs="Times New Roman"/>
                <w:noProof/>
                <w:sz w:val="18"/>
              </w:rPr>
              <w:t xml:space="preserve">A végrehajtási megállapodás hatálybalépése </w:t>
            </w:r>
          </w:p>
        </w:tc>
      </w:tr>
      <w:tr w:rsidR="00D65CB4" w:rsidRPr="00BC4EE7" w14:paraId="6E488E46" w14:textId="77777777">
        <w:trPr>
          <w:trHeight w:val="300"/>
        </w:trPr>
        <w:tc>
          <w:tcPr>
            <w:tcW w:w="846" w:type="dxa"/>
            <w:shd w:val="clear" w:color="auto" w:fill="C6EFCE"/>
          </w:tcPr>
          <w:p w14:paraId="6995C319" w14:textId="1FBC5C2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L36</w:t>
            </w:r>
          </w:p>
        </w:tc>
        <w:tc>
          <w:tcPr>
            <w:tcW w:w="850" w:type="dxa"/>
            <w:shd w:val="clear" w:color="auto" w:fill="C6EFCE"/>
          </w:tcPr>
          <w:p w14:paraId="316A7C83"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C13.I7</w:t>
            </w:r>
          </w:p>
        </w:tc>
        <w:tc>
          <w:tcPr>
            <w:tcW w:w="851" w:type="dxa"/>
            <w:shd w:val="clear" w:color="auto" w:fill="C6EFCE"/>
          </w:tcPr>
          <w:p w14:paraId="5D376CAE"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T</w:t>
            </w:r>
          </w:p>
        </w:tc>
        <w:tc>
          <w:tcPr>
            <w:tcW w:w="2268" w:type="dxa"/>
            <w:shd w:val="clear" w:color="auto" w:fill="C6EFCE"/>
          </w:tcPr>
          <w:p w14:paraId="325126CE" w14:textId="682554EA"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Következő Tech – A végső kedvezményezettekkel és a tőkealapokkal aláírt jogi megállapodások (I)</w:t>
            </w:r>
          </w:p>
        </w:tc>
        <w:tc>
          <w:tcPr>
            <w:tcW w:w="1134" w:type="dxa"/>
            <w:shd w:val="clear" w:color="auto" w:fill="C6EFCE"/>
          </w:tcPr>
          <w:p w14:paraId="6E4A6D46" w14:textId="216F8E54" w:rsidR="00D65CB4" w:rsidRPr="00BC4EE7" w:rsidRDefault="00D65CB4">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384EF85D" w14:textId="25CCB4B8" w:rsidR="00D65CB4" w:rsidRPr="00BC4EE7" w:rsidRDefault="00572307">
            <w:pPr>
              <w:pStyle w:val="P68B1DB1-Normal12"/>
              <w:spacing w:after="0" w:line="360" w:lineRule="auto"/>
              <w:jc w:val="center"/>
              <w:textAlignment w:val="baseline"/>
              <w:rPr>
                <w:rFonts w:eastAsia="Times New Roman" w:cs="Times New Roman"/>
                <w:noProof/>
              </w:rPr>
            </w:pPr>
            <w:r w:rsidRPr="00BC4EE7">
              <w:rPr>
                <w:rFonts w:cs="Times New Roman"/>
                <w:noProof/>
              </w:rPr>
              <w:t>%</w:t>
            </w:r>
          </w:p>
        </w:tc>
        <w:tc>
          <w:tcPr>
            <w:tcW w:w="992" w:type="dxa"/>
            <w:shd w:val="clear" w:color="auto" w:fill="C6EFCE"/>
          </w:tcPr>
          <w:p w14:paraId="489ACAD9" w14:textId="391305EC" w:rsidR="00D65CB4" w:rsidRPr="00BC4EE7" w:rsidRDefault="00572307">
            <w:pPr>
              <w:pStyle w:val="P68B1DB1-Normal12"/>
              <w:spacing w:after="0" w:line="240" w:lineRule="auto"/>
              <w:jc w:val="right"/>
              <w:textAlignment w:val="baseline"/>
              <w:rPr>
                <w:rFonts w:eastAsia="Times New Roman" w:cs="Times New Roman"/>
                <w:noProof/>
              </w:rPr>
            </w:pPr>
            <w:r w:rsidRPr="00BC4EE7">
              <w:rPr>
                <w:rFonts w:cs="Times New Roman"/>
                <w:noProof/>
              </w:rPr>
              <w:t>0%</w:t>
            </w:r>
          </w:p>
        </w:tc>
        <w:tc>
          <w:tcPr>
            <w:tcW w:w="709" w:type="dxa"/>
            <w:shd w:val="clear" w:color="auto" w:fill="C6EFCE"/>
          </w:tcPr>
          <w:p w14:paraId="7564B01C" w14:textId="6038F89D" w:rsidR="00D65CB4" w:rsidRPr="00BC4EE7" w:rsidRDefault="00572307">
            <w:pPr>
              <w:pStyle w:val="P68B1DB1-Normal12"/>
              <w:spacing w:after="0" w:line="240" w:lineRule="auto"/>
              <w:jc w:val="right"/>
              <w:textAlignment w:val="baseline"/>
              <w:rPr>
                <w:rFonts w:eastAsia="Times New Roman" w:cs="Times New Roman"/>
                <w:noProof/>
              </w:rPr>
            </w:pPr>
            <w:r w:rsidRPr="00BC4EE7">
              <w:rPr>
                <w:rFonts w:cs="Times New Roman"/>
                <w:noProof/>
              </w:rPr>
              <w:t>50%</w:t>
            </w:r>
          </w:p>
        </w:tc>
        <w:tc>
          <w:tcPr>
            <w:tcW w:w="709" w:type="dxa"/>
            <w:shd w:val="clear" w:color="auto" w:fill="C6EFCE"/>
          </w:tcPr>
          <w:p w14:paraId="32C514BD"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Q2</w:t>
            </w:r>
          </w:p>
        </w:tc>
        <w:tc>
          <w:tcPr>
            <w:tcW w:w="709" w:type="dxa"/>
            <w:shd w:val="clear" w:color="auto" w:fill="C6EFCE"/>
          </w:tcPr>
          <w:p w14:paraId="4DB96629"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2025</w:t>
            </w:r>
          </w:p>
        </w:tc>
        <w:tc>
          <w:tcPr>
            <w:tcW w:w="4958" w:type="dxa"/>
            <w:shd w:val="clear" w:color="auto" w:fill="C6EFCE"/>
          </w:tcPr>
          <w:p w14:paraId="2D0D321F" w14:textId="0E04BA48"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 xml:space="preserve">A tengelynek és a tengely által kiválasztott közvetítőknek jogi finanszírozási megállapodást kell kötniük a végső kedvezményezettekkel és a tőkealapokkal a Helyreállítási és Rezilienciaépítési Eszközbe történő beruházás legalább 50%-ának felhasználásához szükséges összegről (figyelembe véve az irányítási díjakat). A tengely a Helyreállítási és Rezilienciaépítési Eszközről szóló rendelet VII. mellékletében foglalt módszertan alkalmazásával jelentést készít, amelyben részletezi e finanszírozás azon részarányát, amely hozzájárul a digitális célkitűzésekhez. </w:t>
            </w:r>
          </w:p>
        </w:tc>
      </w:tr>
      <w:tr w:rsidR="00D65CB4" w:rsidRPr="00BC4EE7" w14:paraId="4597898A" w14:textId="77777777">
        <w:trPr>
          <w:trHeight w:val="300"/>
        </w:trPr>
        <w:tc>
          <w:tcPr>
            <w:tcW w:w="846" w:type="dxa"/>
            <w:shd w:val="clear" w:color="auto" w:fill="C6EFCE"/>
          </w:tcPr>
          <w:p w14:paraId="70870A6A" w14:textId="13F3C568"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L37</w:t>
            </w:r>
          </w:p>
        </w:tc>
        <w:tc>
          <w:tcPr>
            <w:tcW w:w="850" w:type="dxa"/>
            <w:shd w:val="clear" w:color="auto" w:fill="C6EFCE"/>
          </w:tcPr>
          <w:p w14:paraId="07A76F6F"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C13.I7</w:t>
            </w:r>
          </w:p>
          <w:p w14:paraId="3D6AB098" w14:textId="77777777" w:rsidR="00D65CB4" w:rsidRPr="00BC4EE7" w:rsidRDefault="00D65CB4">
            <w:pPr>
              <w:spacing w:after="0" w:line="240" w:lineRule="auto"/>
              <w:jc w:val="center"/>
              <w:textAlignment w:val="baseline"/>
              <w:rPr>
                <w:rFonts w:ascii="Times New Roman" w:eastAsia="Times New Roman" w:hAnsi="Times New Roman" w:cs="Times New Roman"/>
                <w:noProof/>
                <w:sz w:val="18"/>
              </w:rPr>
            </w:pPr>
          </w:p>
        </w:tc>
        <w:tc>
          <w:tcPr>
            <w:tcW w:w="851" w:type="dxa"/>
            <w:shd w:val="clear" w:color="auto" w:fill="C6EFCE"/>
          </w:tcPr>
          <w:p w14:paraId="410584B2"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T</w:t>
            </w:r>
          </w:p>
        </w:tc>
        <w:tc>
          <w:tcPr>
            <w:tcW w:w="2268" w:type="dxa"/>
            <w:shd w:val="clear" w:color="auto" w:fill="C6EFCE"/>
          </w:tcPr>
          <w:p w14:paraId="0BC07377" w14:textId="7B3795CE"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Következő Tech – A végső kedvezményezettekkel és a tőkealapokkal aláírt jogi megállapodások (II.)</w:t>
            </w:r>
          </w:p>
        </w:tc>
        <w:tc>
          <w:tcPr>
            <w:tcW w:w="1134" w:type="dxa"/>
            <w:shd w:val="clear" w:color="auto" w:fill="C6EFCE"/>
          </w:tcPr>
          <w:p w14:paraId="711A44B0" w14:textId="275B0298" w:rsidR="00D65CB4" w:rsidRPr="00BC4EE7" w:rsidRDefault="00D65CB4">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17CA1770" w14:textId="3C7A8A00"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w:t>
            </w:r>
          </w:p>
        </w:tc>
        <w:tc>
          <w:tcPr>
            <w:tcW w:w="992" w:type="dxa"/>
            <w:shd w:val="clear" w:color="auto" w:fill="C6EFCE"/>
          </w:tcPr>
          <w:p w14:paraId="3EF1F523" w14:textId="30DE1D69" w:rsidR="00D65CB4" w:rsidRPr="00BC4EE7" w:rsidRDefault="00572307">
            <w:pPr>
              <w:pStyle w:val="P68B1DB1-Normal12"/>
              <w:spacing w:after="0" w:line="240" w:lineRule="auto"/>
              <w:jc w:val="right"/>
              <w:textAlignment w:val="baseline"/>
              <w:rPr>
                <w:rFonts w:eastAsia="Times New Roman" w:cs="Times New Roman"/>
                <w:noProof/>
              </w:rPr>
            </w:pPr>
            <w:r w:rsidRPr="00BC4EE7">
              <w:rPr>
                <w:rFonts w:cs="Times New Roman"/>
                <w:noProof/>
              </w:rPr>
              <w:t>50%</w:t>
            </w:r>
          </w:p>
        </w:tc>
        <w:tc>
          <w:tcPr>
            <w:tcW w:w="709" w:type="dxa"/>
            <w:shd w:val="clear" w:color="auto" w:fill="C6EFCE"/>
          </w:tcPr>
          <w:p w14:paraId="63560433" w14:textId="7BE776E1" w:rsidR="00D65CB4" w:rsidRPr="00BC4EE7" w:rsidRDefault="00572307">
            <w:pPr>
              <w:pStyle w:val="P68B1DB1-Normal12"/>
              <w:spacing w:after="0" w:line="240" w:lineRule="auto"/>
              <w:jc w:val="right"/>
              <w:textAlignment w:val="baseline"/>
              <w:rPr>
                <w:rFonts w:eastAsia="Times New Roman" w:cs="Times New Roman"/>
                <w:noProof/>
              </w:rPr>
            </w:pPr>
            <w:r w:rsidRPr="00BC4EE7">
              <w:rPr>
                <w:rFonts w:cs="Times New Roman"/>
                <w:noProof/>
              </w:rPr>
              <w:t>75%</w:t>
            </w:r>
          </w:p>
        </w:tc>
        <w:tc>
          <w:tcPr>
            <w:tcW w:w="709" w:type="dxa"/>
            <w:shd w:val="clear" w:color="auto" w:fill="C6EFCE"/>
          </w:tcPr>
          <w:p w14:paraId="75EBF31D"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Q4</w:t>
            </w:r>
          </w:p>
        </w:tc>
        <w:tc>
          <w:tcPr>
            <w:tcW w:w="709" w:type="dxa"/>
            <w:shd w:val="clear" w:color="auto" w:fill="C6EFCE"/>
          </w:tcPr>
          <w:p w14:paraId="77DA9086"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2025</w:t>
            </w:r>
          </w:p>
        </w:tc>
        <w:tc>
          <w:tcPr>
            <w:tcW w:w="4958" w:type="dxa"/>
            <w:shd w:val="clear" w:color="auto" w:fill="C6EFCE"/>
          </w:tcPr>
          <w:p w14:paraId="16E76197" w14:textId="53BF8B2E"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 xml:space="preserve">A tengelynek és a tengely által kiválasztott közvetítőknek jogi finanszírozási megállapodást kell kötniük a végső kedvezményezettekkel és a tőkealapokkal a Helyreállítási és Rezilienciaépítési Eszközbe történő beruházás legalább 75%-ának felhasználásához szükséges összegről (figyelembe véve az irányítási díjakat). A tengely a Helyreállítási és Rezilienciaépítési Eszközről szóló rendelet VII. mellékletében foglalt módszertan alkalmazásával jelentést készít, amelyben részletezi e finanszírozás azon részarányát, amely hozzájárul a digitális célkitűzésekhez. </w:t>
            </w:r>
          </w:p>
        </w:tc>
      </w:tr>
      <w:tr w:rsidR="00D65CB4" w:rsidRPr="00BC4EE7" w14:paraId="277B94BD" w14:textId="77777777">
        <w:trPr>
          <w:trHeight w:val="300"/>
        </w:trPr>
        <w:tc>
          <w:tcPr>
            <w:tcW w:w="846" w:type="dxa"/>
            <w:shd w:val="clear" w:color="auto" w:fill="C6EFCE"/>
          </w:tcPr>
          <w:p w14:paraId="61844900" w14:textId="52F5305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L38</w:t>
            </w:r>
          </w:p>
        </w:tc>
        <w:tc>
          <w:tcPr>
            <w:tcW w:w="850" w:type="dxa"/>
            <w:shd w:val="clear" w:color="auto" w:fill="C6EFCE"/>
          </w:tcPr>
          <w:p w14:paraId="2AF164FC"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C13.I7</w:t>
            </w:r>
          </w:p>
        </w:tc>
        <w:tc>
          <w:tcPr>
            <w:tcW w:w="851" w:type="dxa"/>
            <w:shd w:val="clear" w:color="auto" w:fill="C6EFCE"/>
          </w:tcPr>
          <w:p w14:paraId="09BBE52D"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T</w:t>
            </w:r>
          </w:p>
        </w:tc>
        <w:tc>
          <w:tcPr>
            <w:tcW w:w="2268" w:type="dxa"/>
            <w:shd w:val="clear" w:color="auto" w:fill="C6EFCE"/>
          </w:tcPr>
          <w:p w14:paraId="0853A9B8" w14:textId="1E7B0942"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Következő Tech – A végső kedvezményezettekkel és a tőkealapokkal aláírt jogi megállapodások (II.)</w:t>
            </w:r>
          </w:p>
        </w:tc>
        <w:tc>
          <w:tcPr>
            <w:tcW w:w="1134" w:type="dxa"/>
            <w:shd w:val="clear" w:color="auto" w:fill="C6EFCE"/>
          </w:tcPr>
          <w:p w14:paraId="0CA2BE6E" w14:textId="056C9211" w:rsidR="00D65CB4" w:rsidRPr="00BC4EE7" w:rsidRDefault="00D65CB4">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5A70397B" w14:textId="764B4723"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w:t>
            </w:r>
          </w:p>
        </w:tc>
        <w:tc>
          <w:tcPr>
            <w:tcW w:w="992" w:type="dxa"/>
            <w:shd w:val="clear" w:color="auto" w:fill="C6EFCE"/>
          </w:tcPr>
          <w:p w14:paraId="1E5A1461" w14:textId="61C4BED3" w:rsidR="00D65CB4" w:rsidRPr="00BC4EE7" w:rsidRDefault="00572307">
            <w:pPr>
              <w:pStyle w:val="P68B1DB1-Normal12"/>
              <w:spacing w:after="0" w:line="240" w:lineRule="auto"/>
              <w:jc w:val="right"/>
              <w:textAlignment w:val="baseline"/>
              <w:rPr>
                <w:rFonts w:eastAsia="Times New Roman" w:cs="Times New Roman"/>
                <w:noProof/>
              </w:rPr>
            </w:pPr>
            <w:r w:rsidRPr="00BC4EE7">
              <w:rPr>
                <w:rFonts w:cs="Times New Roman"/>
                <w:noProof/>
              </w:rPr>
              <w:t>75%</w:t>
            </w:r>
          </w:p>
        </w:tc>
        <w:tc>
          <w:tcPr>
            <w:tcW w:w="709" w:type="dxa"/>
            <w:shd w:val="clear" w:color="auto" w:fill="C6EFCE"/>
          </w:tcPr>
          <w:p w14:paraId="00CC87E9" w14:textId="2EB5FF72" w:rsidR="00D65CB4" w:rsidRPr="00BC4EE7" w:rsidRDefault="00572307">
            <w:pPr>
              <w:pStyle w:val="P68B1DB1-Normal12"/>
              <w:spacing w:after="0" w:line="240" w:lineRule="auto"/>
              <w:jc w:val="right"/>
              <w:textAlignment w:val="baseline"/>
              <w:rPr>
                <w:rFonts w:eastAsia="Times New Roman" w:cs="Times New Roman"/>
                <w:noProof/>
              </w:rPr>
            </w:pPr>
            <w:r w:rsidRPr="00BC4EE7">
              <w:rPr>
                <w:rFonts w:cs="Times New Roman"/>
                <w:noProof/>
              </w:rPr>
              <w:t>100%-OS</w:t>
            </w:r>
          </w:p>
        </w:tc>
        <w:tc>
          <w:tcPr>
            <w:tcW w:w="709" w:type="dxa"/>
            <w:shd w:val="clear" w:color="auto" w:fill="C6EFCE"/>
          </w:tcPr>
          <w:p w14:paraId="4186B1BD" w14:textId="2D94B469"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Q3</w:t>
            </w:r>
          </w:p>
        </w:tc>
        <w:tc>
          <w:tcPr>
            <w:tcW w:w="709" w:type="dxa"/>
            <w:shd w:val="clear" w:color="auto" w:fill="C6EFCE"/>
          </w:tcPr>
          <w:p w14:paraId="675D6D0F"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2026</w:t>
            </w:r>
          </w:p>
        </w:tc>
        <w:tc>
          <w:tcPr>
            <w:tcW w:w="4958" w:type="dxa"/>
            <w:shd w:val="clear" w:color="auto" w:fill="C6EFCE"/>
          </w:tcPr>
          <w:p w14:paraId="062DD61C" w14:textId="3597952C"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 xml:space="preserve">A tengelynek és a tengely által kiválasztott közvetítőknek jogi finanszírozási megállapodást kell kötniük a végső kedvezményezettekkel és a tőkealapokkal az RRF-beruházások 100%-ának az eszközbe történő felhasználásához szükséges összegről (figyelembe véve az irányítási díjakat). E finanszírozás 100%-ának a Helyreállítási és Rezilienciaépítési Eszközről szóló rendelet VII. mellékletében foglalt módszertan alkalmazásával digitális célkitűzésekhez kell hozzájárulnia. </w:t>
            </w:r>
          </w:p>
        </w:tc>
      </w:tr>
      <w:tr w:rsidR="00D65CB4" w:rsidRPr="00BC4EE7" w14:paraId="62E7A379" w14:textId="77777777">
        <w:trPr>
          <w:trHeight w:val="300"/>
        </w:trPr>
        <w:tc>
          <w:tcPr>
            <w:tcW w:w="846" w:type="dxa"/>
            <w:shd w:val="clear" w:color="auto" w:fill="C6EFCE"/>
          </w:tcPr>
          <w:p w14:paraId="4B05E2B6" w14:textId="382D6228"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L39</w:t>
            </w:r>
          </w:p>
        </w:tc>
        <w:tc>
          <w:tcPr>
            <w:tcW w:w="850" w:type="dxa"/>
            <w:shd w:val="clear" w:color="auto" w:fill="C6EFCE"/>
          </w:tcPr>
          <w:p w14:paraId="3BD747F8"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C13.I7</w:t>
            </w:r>
          </w:p>
        </w:tc>
        <w:tc>
          <w:tcPr>
            <w:tcW w:w="851" w:type="dxa"/>
            <w:shd w:val="clear" w:color="auto" w:fill="C6EFCE"/>
          </w:tcPr>
          <w:p w14:paraId="4CF0C57E"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M</w:t>
            </w:r>
          </w:p>
        </w:tc>
        <w:tc>
          <w:tcPr>
            <w:tcW w:w="2268" w:type="dxa"/>
            <w:shd w:val="clear" w:color="auto" w:fill="C6EFCE"/>
          </w:tcPr>
          <w:p w14:paraId="4BD548CA" w14:textId="711EE18B"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 xml:space="preserve">Következő Tech – a minisztérium befejezte a beruházásokat. </w:t>
            </w:r>
          </w:p>
        </w:tc>
        <w:tc>
          <w:tcPr>
            <w:tcW w:w="1134" w:type="dxa"/>
            <w:shd w:val="clear" w:color="auto" w:fill="C6EFCE"/>
          </w:tcPr>
          <w:p w14:paraId="50565B4D" w14:textId="01BB337C"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Átutalási igazolás</w:t>
            </w:r>
          </w:p>
        </w:tc>
        <w:tc>
          <w:tcPr>
            <w:tcW w:w="709" w:type="dxa"/>
            <w:shd w:val="clear" w:color="auto" w:fill="C6EFCE"/>
          </w:tcPr>
          <w:p w14:paraId="1BF984B9" w14:textId="7509B215" w:rsidR="00D65CB4" w:rsidRPr="00BC4EE7" w:rsidRDefault="00D65CB4">
            <w:pPr>
              <w:spacing w:after="0" w:line="240" w:lineRule="auto"/>
              <w:jc w:val="center"/>
              <w:textAlignment w:val="baseline"/>
              <w:rPr>
                <w:rFonts w:ascii="Times New Roman" w:eastAsia="Times New Roman" w:hAnsi="Times New Roman" w:cs="Times New Roman"/>
                <w:noProof/>
                <w:sz w:val="18"/>
              </w:rPr>
            </w:pPr>
          </w:p>
        </w:tc>
        <w:tc>
          <w:tcPr>
            <w:tcW w:w="992" w:type="dxa"/>
            <w:shd w:val="clear" w:color="auto" w:fill="C6EFCE"/>
          </w:tcPr>
          <w:p w14:paraId="4E656853" w14:textId="77777777" w:rsidR="00D65CB4" w:rsidRPr="00BC4EE7" w:rsidRDefault="00D65CB4">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23601E0F" w14:textId="1001B4B6" w:rsidR="00D65CB4" w:rsidRPr="00BC4EE7" w:rsidRDefault="00D65CB4">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396DDA20" w14:textId="3CD9E96D"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Q3</w:t>
            </w:r>
          </w:p>
        </w:tc>
        <w:tc>
          <w:tcPr>
            <w:tcW w:w="709" w:type="dxa"/>
            <w:shd w:val="clear" w:color="auto" w:fill="C6EFCE"/>
          </w:tcPr>
          <w:p w14:paraId="4655CBB3"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2026</w:t>
            </w:r>
          </w:p>
        </w:tc>
        <w:tc>
          <w:tcPr>
            <w:tcW w:w="4958" w:type="dxa"/>
            <w:shd w:val="clear" w:color="auto" w:fill="C6EFCE"/>
          </w:tcPr>
          <w:p w14:paraId="64747634" w14:textId="11E345AE"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Spanyolország 4 000 000 000 EUR-t utal át az ICO-nak az eszköz céljára.</w:t>
            </w:r>
          </w:p>
        </w:tc>
      </w:tr>
      <w:tr w:rsidR="00D65CB4" w:rsidRPr="00BC4EE7" w14:paraId="4E31ADCE" w14:textId="77777777">
        <w:trPr>
          <w:trHeight w:val="300"/>
        </w:trPr>
        <w:tc>
          <w:tcPr>
            <w:tcW w:w="846" w:type="dxa"/>
            <w:shd w:val="clear" w:color="auto" w:fill="C6EFCE"/>
          </w:tcPr>
          <w:p w14:paraId="6B773916" w14:textId="2C35DE84"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L40</w:t>
            </w:r>
          </w:p>
        </w:tc>
        <w:tc>
          <w:tcPr>
            <w:tcW w:w="850" w:type="dxa"/>
            <w:shd w:val="clear" w:color="auto" w:fill="C6EFCE"/>
          </w:tcPr>
          <w:p w14:paraId="57D602EB"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C13.I8</w:t>
            </w:r>
          </w:p>
        </w:tc>
        <w:tc>
          <w:tcPr>
            <w:tcW w:w="851" w:type="dxa"/>
            <w:shd w:val="clear" w:color="auto" w:fill="C6EFCE"/>
          </w:tcPr>
          <w:p w14:paraId="483ACA03"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M</w:t>
            </w:r>
          </w:p>
        </w:tc>
        <w:tc>
          <w:tcPr>
            <w:tcW w:w="2268" w:type="dxa"/>
            <w:shd w:val="clear" w:color="auto" w:fill="C6EFCE"/>
          </w:tcPr>
          <w:p w14:paraId="1264AA5D" w14:textId="48BF9705"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Foco – Az alapot létrehozó rendeletek</w:t>
            </w:r>
          </w:p>
        </w:tc>
        <w:tc>
          <w:tcPr>
            <w:tcW w:w="1134" w:type="dxa"/>
            <w:shd w:val="clear" w:color="auto" w:fill="C6EFCE"/>
          </w:tcPr>
          <w:p w14:paraId="3AE85A06" w14:textId="2FE3DBE9"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Az eszközt létrehozó rendeletek hatálybalépése</w:t>
            </w:r>
          </w:p>
        </w:tc>
        <w:tc>
          <w:tcPr>
            <w:tcW w:w="709" w:type="dxa"/>
            <w:shd w:val="clear" w:color="auto" w:fill="C6EFCE"/>
          </w:tcPr>
          <w:p w14:paraId="7ED26068" w14:textId="77777777" w:rsidR="00D65CB4" w:rsidRPr="00BC4EE7" w:rsidRDefault="00D65CB4">
            <w:pPr>
              <w:spacing w:after="0" w:line="240" w:lineRule="auto"/>
              <w:jc w:val="center"/>
              <w:textAlignment w:val="baseline"/>
              <w:rPr>
                <w:rFonts w:ascii="Times New Roman" w:eastAsia="Times New Roman" w:hAnsi="Times New Roman" w:cs="Times New Roman"/>
                <w:noProof/>
                <w:sz w:val="18"/>
              </w:rPr>
            </w:pPr>
          </w:p>
        </w:tc>
        <w:tc>
          <w:tcPr>
            <w:tcW w:w="992" w:type="dxa"/>
            <w:shd w:val="clear" w:color="auto" w:fill="C6EFCE"/>
          </w:tcPr>
          <w:p w14:paraId="67C979E1" w14:textId="77777777" w:rsidR="00D65CB4" w:rsidRPr="00BC4EE7" w:rsidRDefault="00D65CB4">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37558F92" w14:textId="77777777" w:rsidR="00D65CB4" w:rsidRPr="00BC4EE7" w:rsidRDefault="00D65CB4">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68719DEB" w14:textId="2C7E5EF1"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Q1</w:t>
            </w:r>
          </w:p>
        </w:tc>
        <w:tc>
          <w:tcPr>
            <w:tcW w:w="709" w:type="dxa"/>
            <w:shd w:val="clear" w:color="auto" w:fill="C6EFCE"/>
          </w:tcPr>
          <w:p w14:paraId="69C41DF4" w14:textId="070D1F91"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2024</w:t>
            </w:r>
          </w:p>
        </w:tc>
        <w:tc>
          <w:tcPr>
            <w:tcW w:w="4958" w:type="dxa"/>
            <w:shd w:val="clear" w:color="auto" w:fill="C6EFCE"/>
          </w:tcPr>
          <w:p w14:paraId="23BE14D3" w14:textId="6F9411AC"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 xml:space="preserve">Az eszközt létrehozó rendelet és a kapcsolódó dokumentumok hatálybalépése. </w:t>
            </w:r>
          </w:p>
        </w:tc>
      </w:tr>
      <w:tr w:rsidR="00D65CB4" w:rsidRPr="00BC4EE7" w14:paraId="388D8E24" w14:textId="77777777">
        <w:trPr>
          <w:trHeight w:val="300"/>
        </w:trPr>
        <w:tc>
          <w:tcPr>
            <w:tcW w:w="846" w:type="dxa"/>
            <w:shd w:val="clear" w:color="auto" w:fill="C6EFCE"/>
          </w:tcPr>
          <w:p w14:paraId="62E598CB" w14:textId="2303095C"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L41</w:t>
            </w:r>
          </w:p>
        </w:tc>
        <w:tc>
          <w:tcPr>
            <w:tcW w:w="850" w:type="dxa"/>
            <w:shd w:val="clear" w:color="auto" w:fill="C6EFCE"/>
          </w:tcPr>
          <w:p w14:paraId="1D237F3C"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C13.I8</w:t>
            </w:r>
          </w:p>
        </w:tc>
        <w:tc>
          <w:tcPr>
            <w:tcW w:w="851" w:type="dxa"/>
            <w:shd w:val="clear" w:color="auto" w:fill="C6EFCE"/>
          </w:tcPr>
          <w:p w14:paraId="75D4F251"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T</w:t>
            </w:r>
          </w:p>
        </w:tc>
        <w:tc>
          <w:tcPr>
            <w:tcW w:w="2268" w:type="dxa"/>
            <w:shd w:val="clear" w:color="auto" w:fill="C6EFCE"/>
          </w:tcPr>
          <w:p w14:paraId="0560FF3F" w14:textId="791168AA"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Foco – A végső kedvezményezettekkel (beleértve a tőkealapokat is) aláírt jogi megállapodások (I)</w:t>
            </w:r>
          </w:p>
        </w:tc>
        <w:tc>
          <w:tcPr>
            <w:tcW w:w="1134" w:type="dxa"/>
            <w:shd w:val="clear" w:color="auto" w:fill="C6EFCE"/>
          </w:tcPr>
          <w:p w14:paraId="752CC410" w14:textId="1E76E501" w:rsidR="00D65CB4" w:rsidRPr="00BC4EE7" w:rsidRDefault="00D65CB4">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516A9226" w14:textId="104F94C9"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w:t>
            </w:r>
          </w:p>
        </w:tc>
        <w:tc>
          <w:tcPr>
            <w:tcW w:w="992" w:type="dxa"/>
            <w:shd w:val="clear" w:color="auto" w:fill="C6EFCE"/>
          </w:tcPr>
          <w:p w14:paraId="00758ADC"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0</w:t>
            </w:r>
          </w:p>
        </w:tc>
        <w:tc>
          <w:tcPr>
            <w:tcW w:w="709" w:type="dxa"/>
            <w:shd w:val="clear" w:color="auto" w:fill="C6EFCE"/>
          </w:tcPr>
          <w:p w14:paraId="385CBF3D" w14:textId="580B9033" w:rsidR="00D65CB4" w:rsidRPr="00BC4EE7" w:rsidRDefault="00572307">
            <w:pPr>
              <w:pStyle w:val="P68B1DB1-Normal12"/>
              <w:spacing w:after="0" w:line="240" w:lineRule="auto"/>
              <w:jc w:val="right"/>
              <w:textAlignment w:val="baseline"/>
              <w:rPr>
                <w:rFonts w:eastAsia="Times New Roman" w:cs="Times New Roman"/>
                <w:noProof/>
              </w:rPr>
            </w:pPr>
            <w:r w:rsidRPr="00BC4EE7">
              <w:rPr>
                <w:rFonts w:cs="Times New Roman"/>
                <w:noProof/>
              </w:rPr>
              <w:t>50%</w:t>
            </w:r>
          </w:p>
          <w:p w14:paraId="59214C2B" w14:textId="77777777" w:rsidR="00D65CB4" w:rsidRPr="00BC4EE7" w:rsidRDefault="00D65CB4">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6D73FE16"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Q2</w:t>
            </w:r>
          </w:p>
        </w:tc>
        <w:tc>
          <w:tcPr>
            <w:tcW w:w="709" w:type="dxa"/>
            <w:shd w:val="clear" w:color="auto" w:fill="C6EFCE"/>
          </w:tcPr>
          <w:p w14:paraId="15E7847C"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2025</w:t>
            </w:r>
          </w:p>
        </w:tc>
        <w:tc>
          <w:tcPr>
            <w:tcW w:w="4958" w:type="dxa"/>
            <w:shd w:val="clear" w:color="auto" w:fill="C6EFCE"/>
          </w:tcPr>
          <w:p w14:paraId="6DD25180" w14:textId="7177FB58"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Az eszköz és a COFIDES által kiválasztott közvetítők jogi finanszírozási megállapodásokat kötnek a végső kedvezményezettekkel (beleértve a tőkealapokat is) a Helyreállítási és Rezilienciaépítési Eszközbe történő beruházás legalább 50%-ának felhasználásához szükséges összegről (figyelembe véve az irányítási díjakat). A finanszírozás legalább 20%-ának tőkealapokkal aláírt finanszírozási megállapodásoknak, legalább 20%-ának pedig a végső kedvezményezettekkel aláírt finanszírozási megállapodásoknak kell megfelelnie minden egyéb befektetési termék tekintetében (beleértve a Keret közvetlen tőkebefektetéseit is).</w:t>
            </w:r>
          </w:p>
        </w:tc>
      </w:tr>
      <w:tr w:rsidR="00D65CB4" w:rsidRPr="00BC4EE7" w14:paraId="4DE1B9BD" w14:textId="77777777">
        <w:trPr>
          <w:trHeight w:val="300"/>
        </w:trPr>
        <w:tc>
          <w:tcPr>
            <w:tcW w:w="846" w:type="dxa"/>
            <w:shd w:val="clear" w:color="auto" w:fill="C6EFCE"/>
          </w:tcPr>
          <w:p w14:paraId="2992D19F" w14:textId="3844CEEA"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L42</w:t>
            </w:r>
          </w:p>
        </w:tc>
        <w:tc>
          <w:tcPr>
            <w:tcW w:w="850" w:type="dxa"/>
            <w:shd w:val="clear" w:color="auto" w:fill="C6EFCE"/>
          </w:tcPr>
          <w:p w14:paraId="008092BD"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C13.I8</w:t>
            </w:r>
          </w:p>
        </w:tc>
        <w:tc>
          <w:tcPr>
            <w:tcW w:w="851" w:type="dxa"/>
            <w:shd w:val="clear" w:color="auto" w:fill="C6EFCE"/>
          </w:tcPr>
          <w:p w14:paraId="5F8A0532"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T</w:t>
            </w:r>
          </w:p>
        </w:tc>
        <w:tc>
          <w:tcPr>
            <w:tcW w:w="2268" w:type="dxa"/>
            <w:shd w:val="clear" w:color="auto" w:fill="C6EFCE"/>
          </w:tcPr>
          <w:p w14:paraId="4CF63345" w14:textId="2BE93766"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Foco – A végső kedvezményezettekkel (beleértve a tőkealapokat is) aláírt jogi megállapodások (II)</w:t>
            </w:r>
          </w:p>
        </w:tc>
        <w:tc>
          <w:tcPr>
            <w:tcW w:w="1134" w:type="dxa"/>
            <w:shd w:val="clear" w:color="auto" w:fill="C6EFCE"/>
          </w:tcPr>
          <w:p w14:paraId="1C19B6C9" w14:textId="11CE6039" w:rsidR="00D65CB4" w:rsidRPr="00BC4EE7" w:rsidRDefault="00D65CB4">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2185F2E5" w14:textId="354E27A0"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w:t>
            </w:r>
          </w:p>
        </w:tc>
        <w:tc>
          <w:tcPr>
            <w:tcW w:w="992" w:type="dxa"/>
            <w:shd w:val="clear" w:color="auto" w:fill="C6EFCE"/>
          </w:tcPr>
          <w:p w14:paraId="2AC405AC" w14:textId="1252F274"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50%</w:t>
            </w:r>
          </w:p>
        </w:tc>
        <w:tc>
          <w:tcPr>
            <w:tcW w:w="709" w:type="dxa"/>
            <w:shd w:val="clear" w:color="auto" w:fill="C6EFCE"/>
          </w:tcPr>
          <w:p w14:paraId="3D1A6017" w14:textId="0F9BBE4D" w:rsidR="00D65CB4" w:rsidRPr="00BC4EE7" w:rsidRDefault="00572307">
            <w:pPr>
              <w:pStyle w:val="P68B1DB1-Normal12"/>
              <w:spacing w:after="0" w:line="240" w:lineRule="auto"/>
              <w:jc w:val="right"/>
              <w:textAlignment w:val="baseline"/>
              <w:rPr>
                <w:rFonts w:eastAsia="Times New Roman" w:cs="Times New Roman"/>
                <w:noProof/>
              </w:rPr>
            </w:pPr>
            <w:r w:rsidRPr="00BC4EE7">
              <w:rPr>
                <w:rFonts w:cs="Times New Roman"/>
                <w:noProof/>
              </w:rPr>
              <w:t>100%-OS</w:t>
            </w:r>
          </w:p>
        </w:tc>
        <w:tc>
          <w:tcPr>
            <w:tcW w:w="709" w:type="dxa"/>
            <w:shd w:val="clear" w:color="auto" w:fill="C6EFCE"/>
          </w:tcPr>
          <w:p w14:paraId="37E52C92" w14:textId="0EDCC6CE"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Q3</w:t>
            </w:r>
          </w:p>
        </w:tc>
        <w:tc>
          <w:tcPr>
            <w:tcW w:w="709" w:type="dxa"/>
            <w:shd w:val="clear" w:color="auto" w:fill="C6EFCE"/>
          </w:tcPr>
          <w:p w14:paraId="6DEBAB30"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2026</w:t>
            </w:r>
          </w:p>
        </w:tc>
        <w:tc>
          <w:tcPr>
            <w:tcW w:w="4958" w:type="dxa"/>
            <w:shd w:val="clear" w:color="auto" w:fill="C6EFCE"/>
          </w:tcPr>
          <w:p w14:paraId="05133B97" w14:textId="2D09A65B"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Az eszköz és a COFIDES által kiválasztott közvetítők jogi finanszírozási megállapodásokat kötnek a végső kedvezményezettekkel (beleértve a tőkealapokat is) az RRF-beruházás 100%-ának az eszközbe történő felhasználásához szükséges összegről (figyelembe véve az irányítási díjakat). A finanszírozás legalább 20%-ának tőkealapokkal aláírt finanszírozási megállapodásoknak, legalább 20%-ának pedig a végső kedvezményezettekkel aláírt finanszírozási megállapodásoknak kell megfelelnie minden egyéb befektetési termék tekintetében (beleértve a Keret közvetlen tőkebefektetéseit is).</w:t>
            </w:r>
          </w:p>
        </w:tc>
      </w:tr>
      <w:tr w:rsidR="00D65CB4" w:rsidRPr="00BC4EE7" w14:paraId="413858E2" w14:textId="77777777">
        <w:trPr>
          <w:trHeight w:val="300"/>
        </w:trPr>
        <w:tc>
          <w:tcPr>
            <w:tcW w:w="846" w:type="dxa"/>
            <w:shd w:val="clear" w:color="auto" w:fill="C6EFCE"/>
          </w:tcPr>
          <w:p w14:paraId="679F761A" w14:textId="72994404"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L43</w:t>
            </w:r>
          </w:p>
        </w:tc>
        <w:tc>
          <w:tcPr>
            <w:tcW w:w="850" w:type="dxa"/>
            <w:shd w:val="clear" w:color="auto" w:fill="C6EFCE"/>
          </w:tcPr>
          <w:p w14:paraId="6B82B99B"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C13.I8</w:t>
            </w:r>
          </w:p>
        </w:tc>
        <w:tc>
          <w:tcPr>
            <w:tcW w:w="851" w:type="dxa"/>
            <w:shd w:val="clear" w:color="auto" w:fill="C6EFCE"/>
          </w:tcPr>
          <w:p w14:paraId="11175A4F"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T</w:t>
            </w:r>
          </w:p>
        </w:tc>
        <w:tc>
          <w:tcPr>
            <w:tcW w:w="2268" w:type="dxa"/>
            <w:shd w:val="clear" w:color="auto" w:fill="C6EFCE"/>
          </w:tcPr>
          <w:p w14:paraId="47F04ADC" w14:textId="2CFEFE6D"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Foco – a minisztérium befejezte a beruházást.</w:t>
            </w:r>
          </w:p>
        </w:tc>
        <w:tc>
          <w:tcPr>
            <w:tcW w:w="1134" w:type="dxa"/>
            <w:shd w:val="clear" w:color="auto" w:fill="C6EFCE"/>
          </w:tcPr>
          <w:p w14:paraId="6874C2AB" w14:textId="5F59CDA8"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Átutalási igazolás</w:t>
            </w:r>
          </w:p>
        </w:tc>
        <w:tc>
          <w:tcPr>
            <w:tcW w:w="709" w:type="dxa"/>
            <w:shd w:val="clear" w:color="auto" w:fill="C6EFCE"/>
          </w:tcPr>
          <w:p w14:paraId="625D17C6" w14:textId="6FFA06D2" w:rsidR="00D65CB4" w:rsidRPr="00BC4EE7" w:rsidRDefault="00D65CB4">
            <w:pPr>
              <w:spacing w:after="0" w:line="240" w:lineRule="auto"/>
              <w:jc w:val="center"/>
              <w:textAlignment w:val="baseline"/>
              <w:rPr>
                <w:rFonts w:ascii="Times New Roman" w:eastAsia="Times New Roman" w:hAnsi="Times New Roman" w:cs="Times New Roman"/>
                <w:noProof/>
                <w:sz w:val="18"/>
              </w:rPr>
            </w:pPr>
          </w:p>
        </w:tc>
        <w:tc>
          <w:tcPr>
            <w:tcW w:w="992" w:type="dxa"/>
            <w:shd w:val="clear" w:color="auto" w:fill="C6EFCE"/>
          </w:tcPr>
          <w:p w14:paraId="2865F839" w14:textId="77777777" w:rsidR="00D65CB4" w:rsidRPr="00BC4EE7" w:rsidRDefault="00D65CB4">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6AF06EC2" w14:textId="65E4AC7C" w:rsidR="00D65CB4" w:rsidRPr="00BC4EE7" w:rsidRDefault="00D65CB4">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24D5F054" w14:textId="46C375E6"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Q3</w:t>
            </w:r>
          </w:p>
        </w:tc>
        <w:tc>
          <w:tcPr>
            <w:tcW w:w="709" w:type="dxa"/>
            <w:shd w:val="clear" w:color="auto" w:fill="C6EFCE"/>
          </w:tcPr>
          <w:p w14:paraId="3E719710"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2026</w:t>
            </w:r>
          </w:p>
        </w:tc>
        <w:tc>
          <w:tcPr>
            <w:tcW w:w="4958" w:type="dxa"/>
            <w:shd w:val="clear" w:color="auto" w:fill="C6EFCE"/>
          </w:tcPr>
          <w:p w14:paraId="26BD24C5" w14:textId="01188F1C"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Spanyolország 2 000 000 000 EUR-t csoportosít át az eszközbe.</w:t>
            </w:r>
          </w:p>
        </w:tc>
      </w:tr>
      <w:tr w:rsidR="00D65CB4" w:rsidRPr="00BC4EE7" w14:paraId="674A0CA5" w14:textId="77777777">
        <w:trPr>
          <w:trHeight w:val="1829"/>
        </w:trPr>
        <w:tc>
          <w:tcPr>
            <w:tcW w:w="846" w:type="dxa"/>
            <w:shd w:val="clear" w:color="auto" w:fill="C6EFCE"/>
          </w:tcPr>
          <w:p w14:paraId="29B69C3C" w14:textId="35DF434C" w:rsidR="00D65CB4" w:rsidRPr="00BC4EE7" w:rsidRDefault="00572307">
            <w:pPr>
              <w:pStyle w:val="P68B1DB1-Normal12"/>
              <w:spacing w:after="0" w:line="240" w:lineRule="auto"/>
              <w:jc w:val="center"/>
              <w:textAlignment w:val="baseline"/>
              <w:rPr>
                <w:rFonts w:eastAsia="Times New Roman" w:cs="Times New Roman"/>
                <w:noProof/>
              </w:rPr>
            </w:pPr>
            <w:bookmarkStart w:id="48" w:name="_Hlk144798525"/>
            <w:r w:rsidRPr="00BC4EE7">
              <w:rPr>
                <w:rFonts w:cs="Times New Roman"/>
                <w:noProof/>
              </w:rPr>
              <w:t>L44</w:t>
            </w:r>
          </w:p>
        </w:tc>
        <w:tc>
          <w:tcPr>
            <w:tcW w:w="850" w:type="dxa"/>
            <w:shd w:val="clear" w:color="auto" w:fill="C6EFCE"/>
          </w:tcPr>
          <w:p w14:paraId="5D94843C"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C13.I9</w:t>
            </w:r>
          </w:p>
        </w:tc>
        <w:tc>
          <w:tcPr>
            <w:tcW w:w="851" w:type="dxa"/>
            <w:shd w:val="clear" w:color="auto" w:fill="C6EFCE"/>
          </w:tcPr>
          <w:p w14:paraId="25A1D4DB"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T</w:t>
            </w:r>
          </w:p>
        </w:tc>
        <w:tc>
          <w:tcPr>
            <w:tcW w:w="2268" w:type="dxa"/>
            <w:shd w:val="clear" w:color="auto" w:fill="C6EFCE"/>
          </w:tcPr>
          <w:p w14:paraId="4C6F8DFB" w14:textId="77777777"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Szolvenciatámogatási Alap a stratégiai vállalkozások számára</w:t>
            </w:r>
          </w:p>
        </w:tc>
        <w:tc>
          <w:tcPr>
            <w:tcW w:w="1134" w:type="dxa"/>
            <w:shd w:val="clear" w:color="auto" w:fill="C6EFCE"/>
          </w:tcPr>
          <w:p w14:paraId="6EA6A767" w14:textId="77777777" w:rsidR="00D65CB4" w:rsidRPr="00BC4EE7" w:rsidRDefault="00D65CB4">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0A7116BA"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Millió EUR</w:t>
            </w:r>
          </w:p>
        </w:tc>
        <w:tc>
          <w:tcPr>
            <w:tcW w:w="992" w:type="dxa"/>
            <w:shd w:val="clear" w:color="auto" w:fill="C6EFCE"/>
          </w:tcPr>
          <w:p w14:paraId="2F819E3C"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0</w:t>
            </w:r>
          </w:p>
        </w:tc>
        <w:tc>
          <w:tcPr>
            <w:tcW w:w="709" w:type="dxa"/>
            <w:shd w:val="clear" w:color="auto" w:fill="C6EFCE"/>
          </w:tcPr>
          <w:p w14:paraId="1AA03446" w14:textId="77777777" w:rsidR="00D65CB4" w:rsidRPr="00BC4EE7" w:rsidRDefault="00572307">
            <w:pPr>
              <w:pStyle w:val="P68B1DB1-Normal12"/>
              <w:spacing w:after="0" w:line="240" w:lineRule="auto"/>
              <w:jc w:val="right"/>
              <w:textAlignment w:val="baseline"/>
              <w:rPr>
                <w:rFonts w:eastAsia="Times New Roman" w:cs="Times New Roman"/>
                <w:noProof/>
              </w:rPr>
            </w:pPr>
            <w:r w:rsidRPr="00BC4EE7">
              <w:rPr>
                <w:rFonts w:cs="Times New Roman"/>
                <w:noProof/>
              </w:rPr>
              <w:t>563</w:t>
            </w:r>
          </w:p>
        </w:tc>
        <w:tc>
          <w:tcPr>
            <w:tcW w:w="709" w:type="dxa"/>
            <w:shd w:val="clear" w:color="auto" w:fill="C6EFCE"/>
          </w:tcPr>
          <w:p w14:paraId="0F02180E"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Q2</w:t>
            </w:r>
          </w:p>
        </w:tc>
        <w:tc>
          <w:tcPr>
            <w:tcW w:w="709" w:type="dxa"/>
            <w:shd w:val="clear" w:color="auto" w:fill="C6EFCE"/>
          </w:tcPr>
          <w:p w14:paraId="5E619485"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2024</w:t>
            </w:r>
          </w:p>
        </w:tc>
        <w:tc>
          <w:tcPr>
            <w:tcW w:w="4958" w:type="dxa"/>
            <w:shd w:val="clear" w:color="auto" w:fill="C6EFCE"/>
          </w:tcPr>
          <w:p w14:paraId="608B9E70" w14:textId="751A3453" w:rsidR="00D65CB4" w:rsidRPr="00BC4EE7" w:rsidRDefault="00572307">
            <w:pPr>
              <w:pStyle w:val="P68B1DB1-Normal12"/>
              <w:spacing w:line="240" w:lineRule="auto"/>
              <w:rPr>
                <w:rFonts w:eastAsia="Times New Roman" w:cs="Times New Roman"/>
                <w:noProof/>
              </w:rPr>
            </w:pPr>
            <w:r w:rsidRPr="00BC4EE7">
              <w:rPr>
                <w:rFonts w:cs="Times New Roman"/>
                <w:noProof/>
              </w:rPr>
              <w:t xml:space="preserve">A FASEE keretében a Helyreállítási és Rezilienciaépítési Eszköz keretében támogatható műveletekből legalább 563 300 000 EUR-t folyósítottak a végső kedvezményezetteknek. Egy független ellenőr által végzett utólagos ellenőrzésnek meg kell erősítenie legalább a DNSH-nak, az állami támogatási szabályoknak való megfelelést, a csalás, a korrupció, az összeférhetetlenség és a kettős finanszírozás hiányát, valamint a Helyreállítási és Rezilienciaépítési Eszköz 22. cikkében meghatározott adatgyűjtést. Az utólagos ellenőrzés során ellenőrizni kell, hogy a támogatást csak olyan vállalatoknak nyújtották-e, amelyek a támogatás odaítélésének időpontjában életképesek és stratégiaiak voltak a nemzeti vagy regionális termelési szerkezet szempontjából. </w:t>
            </w:r>
          </w:p>
        </w:tc>
      </w:tr>
      <w:tr w:rsidR="00D65CB4" w:rsidRPr="00BC4EE7" w14:paraId="3973BF9B" w14:textId="77777777">
        <w:trPr>
          <w:trHeight w:val="300"/>
        </w:trPr>
        <w:tc>
          <w:tcPr>
            <w:tcW w:w="846" w:type="dxa"/>
            <w:shd w:val="clear" w:color="auto" w:fill="C6EFCE"/>
          </w:tcPr>
          <w:p w14:paraId="1ED40D9B" w14:textId="0F2A4A88"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L45</w:t>
            </w:r>
          </w:p>
        </w:tc>
        <w:tc>
          <w:tcPr>
            <w:tcW w:w="850" w:type="dxa"/>
            <w:shd w:val="clear" w:color="auto" w:fill="C6EFCE"/>
          </w:tcPr>
          <w:p w14:paraId="481AA9DB"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C13.I10</w:t>
            </w:r>
          </w:p>
        </w:tc>
        <w:tc>
          <w:tcPr>
            <w:tcW w:w="851" w:type="dxa"/>
            <w:shd w:val="clear" w:color="auto" w:fill="C6EFCE"/>
          </w:tcPr>
          <w:p w14:paraId="41F31964"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T</w:t>
            </w:r>
          </w:p>
        </w:tc>
        <w:tc>
          <w:tcPr>
            <w:tcW w:w="2268" w:type="dxa"/>
            <w:shd w:val="clear" w:color="auto" w:fill="C6EFCE"/>
          </w:tcPr>
          <w:p w14:paraId="2621DB36" w14:textId="77777777"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FONREC</w:t>
            </w:r>
          </w:p>
        </w:tc>
        <w:tc>
          <w:tcPr>
            <w:tcW w:w="1134" w:type="dxa"/>
            <w:shd w:val="clear" w:color="auto" w:fill="C6EFCE"/>
          </w:tcPr>
          <w:p w14:paraId="7BE35DD6" w14:textId="77777777" w:rsidR="00D65CB4" w:rsidRPr="00BC4EE7" w:rsidRDefault="00D65CB4">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5C93D5EC"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Millió EUR</w:t>
            </w:r>
          </w:p>
        </w:tc>
        <w:tc>
          <w:tcPr>
            <w:tcW w:w="992" w:type="dxa"/>
            <w:shd w:val="clear" w:color="auto" w:fill="C6EFCE"/>
          </w:tcPr>
          <w:p w14:paraId="2E82B041"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0</w:t>
            </w:r>
          </w:p>
        </w:tc>
        <w:tc>
          <w:tcPr>
            <w:tcW w:w="709" w:type="dxa"/>
            <w:shd w:val="clear" w:color="auto" w:fill="C6EFCE"/>
          </w:tcPr>
          <w:p w14:paraId="66B06835" w14:textId="538EC0B6" w:rsidR="00D65CB4" w:rsidRPr="00BC4EE7" w:rsidRDefault="00572307">
            <w:pPr>
              <w:pStyle w:val="P68B1DB1-Normal12"/>
              <w:spacing w:after="0" w:line="240" w:lineRule="auto"/>
              <w:jc w:val="right"/>
              <w:textAlignment w:val="baseline"/>
              <w:rPr>
                <w:rFonts w:eastAsia="Times New Roman" w:cs="Times New Roman"/>
                <w:noProof/>
              </w:rPr>
            </w:pPr>
            <w:r w:rsidRPr="00BC4EE7">
              <w:rPr>
                <w:rFonts w:cs="Times New Roman"/>
                <w:noProof/>
              </w:rPr>
              <w:t>457,01</w:t>
            </w:r>
          </w:p>
        </w:tc>
        <w:tc>
          <w:tcPr>
            <w:tcW w:w="709" w:type="dxa"/>
            <w:shd w:val="clear" w:color="auto" w:fill="C6EFCE"/>
          </w:tcPr>
          <w:p w14:paraId="189A94BE"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Q2</w:t>
            </w:r>
          </w:p>
        </w:tc>
        <w:tc>
          <w:tcPr>
            <w:tcW w:w="709" w:type="dxa"/>
            <w:shd w:val="clear" w:color="auto" w:fill="C6EFCE"/>
          </w:tcPr>
          <w:p w14:paraId="7D490E8B" w14:textId="369B1A9E"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2025</w:t>
            </w:r>
          </w:p>
        </w:tc>
        <w:tc>
          <w:tcPr>
            <w:tcW w:w="4958" w:type="dxa"/>
            <w:shd w:val="clear" w:color="auto" w:fill="C6EFCE"/>
          </w:tcPr>
          <w:p w14:paraId="76BFDC4F" w14:textId="2BBDB0FB"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A FONREC keretében a Helyreállítási és Rezilienciaépítési Eszköz keretében támogatható műveletekből legalább 457 010 000 EUR-t folyósítottak a végső kedvezményezetteknek. Egy független ellenőr által végzett utólagos ellenőrzésnek meg kell erősítenie legalább a DNSH-nak, az állami támogatási szabályoknak való megfelelést, a csalás, a korrupció, az összeférhetetlenség és a kettős finanszírozás hiányát, valamint a Helyreállítási és Rezilienciaépítési Eszköz 22. cikkében meghatározott adatgyűjtést. Az utólagos ellenőrzés során meg kell győződni arról, hogy a támogatást csak az eszköz jogi kerete alapján támogatható vállalatoknak nyújtották-e.</w:t>
            </w:r>
          </w:p>
        </w:tc>
      </w:tr>
      <w:bookmarkEnd w:id="48"/>
      <w:tr w:rsidR="00D65CB4" w:rsidRPr="00BC4EE7" w14:paraId="6C5071F8" w14:textId="77777777">
        <w:trPr>
          <w:trHeight w:val="300"/>
        </w:trPr>
        <w:tc>
          <w:tcPr>
            <w:tcW w:w="846" w:type="dxa"/>
            <w:shd w:val="clear" w:color="auto" w:fill="C6EFCE"/>
          </w:tcPr>
          <w:p w14:paraId="288A6F5B" w14:textId="49A414C5"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L46</w:t>
            </w:r>
          </w:p>
        </w:tc>
        <w:tc>
          <w:tcPr>
            <w:tcW w:w="850" w:type="dxa"/>
            <w:shd w:val="clear" w:color="auto" w:fill="C6EFCE"/>
          </w:tcPr>
          <w:p w14:paraId="61DECBED"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C13.I11</w:t>
            </w:r>
          </w:p>
        </w:tc>
        <w:tc>
          <w:tcPr>
            <w:tcW w:w="851" w:type="dxa"/>
            <w:shd w:val="clear" w:color="auto" w:fill="C6EFCE"/>
          </w:tcPr>
          <w:p w14:paraId="3B422315"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T</w:t>
            </w:r>
          </w:p>
        </w:tc>
        <w:tc>
          <w:tcPr>
            <w:tcW w:w="2268" w:type="dxa"/>
            <w:shd w:val="clear" w:color="auto" w:fill="C6EFCE"/>
          </w:tcPr>
          <w:p w14:paraId="7348AA40" w14:textId="77777777"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CERSA</w:t>
            </w:r>
          </w:p>
        </w:tc>
        <w:tc>
          <w:tcPr>
            <w:tcW w:w="1134" w:type="dxa"/>
            <w:shd w:val="clear" w:color="auto" w:fill="C6EFCE"/>
          </w:tcPr>
          <w:p w14:paraId="45B86058" w14:textId="77777777" w:rsidR="00D65CB4" w:rsidRPr="00BC4EE7" w:rsidRDefault="00D65CB4">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4D54FCFD"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Millió EUR</w:t>
            </w:r>
          </w:p>
        </w:tc>
        <w:tc>
          <w:tcPr>
            <w:tcW w:w="992" w:type="dxa"/>
            <w:shd w:val="clear" w:color="auto" w:fill="C6EFCE"/>
          </w:tcPr>
          <w:p w14:paraId="507A5AC3"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0</w:t>
            </w:r>
          </w:p>
        </w:tc>
        <w:tc>
          <w:tcPr>
            <w:tcW w:w="709" w:type="dxa"/>
            <w:shd w:val="clear" w:color="auto" w:fill="C6EFCE"/>
          </w:tcPr>
          <w:p w14:paraId="00F8D76A" w14:textId="1E69D12F" w:rsidR="00D65CB4" w:rsidRPr="00BC4EE7" w:rsidRDefault="00572307">
            <w:pPr>
              <w:pStyle w:val="P68B1DB1-Normal12"/>
              <w:spacing w:after="0" w:line="240" w:lineRule="auto"/>
              <w:jc w:val="right"/>
              <w:textAlignment w:val="baseline"/>
              <w:rPr>
                <w:rFonts w:eastAsia="Times New Roman" w:cs="Times New Roman"/>
                <w:noProof/>
              </w:rPr>
            </w:pPr>
            <w:r w:rsidRPr="00BC4EE7">
              <w:rPr>
                <w:rFonts w:cs="Times New Roman"/>
                <w:noProof/>
              </w:rPr>
              <w:t>2 100</w:t>
            </w:r>
          </w:p>
        </w:tc>
        <w:tc>
          <w:tcPr>
            <w:tcW w:w="709" w:type="dxa"/>
            <w:shd w:val="clear" w:color="auto" w:fill="C6EFCE"/>
          </w:tcPr>
          <w:p w14:paraId="656CB88D" w14:textId="61A4346F"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Q3</w:t>
            </w:r>
          </w:p>
        </w:tc>
        <w:tc>
          <w:tcPr>
            <w:tcW w:w="709" w:type="dxa"/>
            <w:shd w:val="clear" w:color="auto" w:fill="C6EFCE"/>
          </w:tcPr>
          <w:p w14:paraId="16F0D829"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2026</w:t>
            </w:r>
          </w:p>
        </w:tc>
        <w:tc>
          <w:tcPr>
            <w:tcW w:w="4958" w:type="dxa"/>
            <w:shd w:val="clear" w:color="auto" w:fill="C6EFCE"/>
          </w:tcPr>
          <w:p w14:paraId="3A190137" w14:textId="6C56AE2C" w:rsidR="00D65CB4" w:rsidRPr="00BC4EE7" w:rsidRDefault="00572307">
            <w:pPr>
              <w:pStyle w:val="P68B1DB1-Normal12"/>
              <w:spacing w:after="0" w:line="240" w:lineRule="auto"/>
              <w:rPr>
                <w:rFonts w:eastAsia="Times New Roman" w:cs="Times New Roman"/>
                <w:noProof/>
              </w:rPr>
            </w:pPr>
            <w:r w:rsidRPr="00BC4EE7">
              <w:rPr>
                <w:rFonts w:cs="Times New Roman"/>
                <w:noProof/>
              </w:rPr>
              <w:t>CERSA-garancia: A CERSA által 2023. július 1-jétől nyújtott legalább 2 100 000 000 EUR összegű garancia, amely lehetővé teszi a kkv-k és a közepes piaci tőkeértékű vállalatok számára, hogy garanciákat kapjanak a hosszú távú befektetésekhez és a működő tőkéhez, valamint pénzügyi, kereskedelmi és technikai garanciákhoz. A kiválasztási kritériumoknak biztosítaniuk kell, hogy az ezen intézkedés keretében támogatott ügyletek megfeleljenek a jelentős károkozás elkerülését célzó technikai iránymutatásnak (2021/C58/01) a kizárási lista, valamint a vonatkozó uniós és nemzeti környezetvédelmi jogszabályoknak való megfelelés követelménye révén.</w:t>
            </w:r>
          </w:p>
        </w:tc>
      </w:tr>
      <w:tr w:rsidR="00D65CB4" w:rsidRPr="00BC4EE7" w14:paraId="5214E48A" w14:textId="77777777">
        <w:trPr>
          <w:trHeight w:val="300"/>
        </w:trPr>
        <w:tc>
          <w:tcPr>
            <w:tcW w:w="846" w:type="dxa"/>
            <w:shd w:val="clear" w:color="auto" w:fill="C6EFCE"/>
          </w:tcPr>
          <w:p w14:paraId="653132E0" w14:textId="4FDE57AF"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L47</w:t>
            </w:r>
          </w:p>
        </w:tc>
        <w:tc>
          <w:tcPr>
            <w:tcW w:w="850" w:type="dxa"/>
            <w:shd w:val="clear" w:color="auto" w:fill="C6EFCE"/>
          </w:tcPr>
          <w:p w14:paraId="2B7997EA"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C13.I12</w:t>
            </w:r>
          </w:p>
        </w:tc>
        <w:tc>
          <w:tcPr>
            <w:tcW w:w="851" w:type="dxa"/>
            <w:shd w:val="clear" w:color="auto" w:fill="C6EFCE"/>
          </w:tcPr>
          <w:p w14:paraId="72C5ABFE"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M</w:t>
            </w:r>
          </w:p>
        </w:tc>
        <w:tc>
          <w:tcPr>
            <w:tcW w:w="2268" w:type="dxa"/>
            <w:shd w:val="clear" w:color="auto" w:fill="C6EFCE"/>
          </w:tcPr>
          <w:p w14:paraId="24643420" w14:textId="56F46F61"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ENISA Vállalkozás- és Kkv-alap – Végrehajtási megállapodás</w:t>
            </w:r>
          </w:p>
        </w:tc>
        <w:tc>
          <w:tcPr>
            <w:tcW w:w="1134" w:type="dxa"/>
            <w:shd w:val="clear" w:color="auto" w:fill="C6EFCE"/>
          </w:tcPr>
          <w:p w14:paraId="3330650D" w14:textId="6E61FA20"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A végrehajtási megállapodás hatálybalépése</w:t>
            </w:r>
          </w:p>
        </w:tc>
        <w:tc>
          <w:tcPr>
            <w:tcW w:w="709" w:type="dxa"/>
            <w:shd w:val="clear" w:color="auto" w:fill="C6EFCE"/>
          </w:tcPr>
          <w:p w14:paraId="62A16AC1" w14:textId="77777777" w:rsidR="00D65CB4" w:rsidRPr="00BC4EE7" w:rsidRDefault="00D65CB4">
            <w:pPr>
              <w:spacing w:after="0" w:line="240" w:lineRule="auto"/>
              <w:jc w:val="center"/>
              <w:textAlignment w:val="baseline"/>
              <w:rPr>
                <w:rFonts w:ascii="Times New Roman" w:eastAsia="Times New Roman" w:hAnsi="Times New Roman" w:cs="Times New Roman"/>
                <w:noProof/>
                <w:sz w:val="18"/>
              </w:rPr>
            </w:pPr>
          </w:p>
        </w:tc>
        <w:tc>
          <w:tcPr>
            <w:tcW w:w="992" w:type="dxa"/>
            <w:shd w:val="clear" w:color="auto" w:fill="C6EFCE"/>
          </w:tcPr>
          <w:p w14:paraId="65894F71" w14:textId="77777777" w:rsidR="00D65CB4" w:rsidRPr="00BC4EE7" w:rsidRDefault="00D65CB4">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5FB9A061" w14:textId="77777777" w:rsidR="00D65CB4" w:rsidRPr="00BC4EE7" w:rsidRDefault="00D65CB4">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6F4A8C84" w14:textId="737C7CC8"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Q2</w:t>
            </w:r>
          </w:p>
        </w:tc>
        <w:tc>
          <w:tcPr>
            <w:tcW w:w="709" w:type="dxa"/>
            <w:shd w:val="clear" w:color="auto" w:fill="C6EFCE"/>
          </w:tcPr>
          <w:p w14:paraId="19FD97A5" w14:textId="09CC0B88"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2024</w:t>
            </w:r>
          </w:p>
        </w:tc>
        <w:tc>
          <w:tcPr>
            <w:tcW w:w="4958" w:type="dxa"/>
            <w:shd w:val="clear" w:color="auto" w:fill="C6EFCE"/>
          </w:tcPr>
          <w:p w14:paraId="30AF59CD" w14:textId="73FAF2A6" w:rsidR="00D65CB4" w:rsidRPr="00BC4EE7" w:rsidRDefault="00572307">
            <w:pPr>
              <w:pStyle w:val="P68B1DB1-Normal12"/>
              <w:spacing w:line="240" w:lineRule="auto"/>
              <w:rPr>
                <w:rFonts w:cs="Times New Roman"/>
                <w:noProof/>
              </w:rPr>
            </w:pPr>
            <w:r w:rsidRPr="00BC4EE7">
              <w:rPr>
                <w:rFonts w:cs="Times New Roman"/>
                <w:noProof/>
              </w:rPr>
              <w:t>A végrehajtási megállapodás hatálybalépése.</w:t>
            </w:r>
          </w:p>
        </w:tc>
      </w:tr>
      <w:tr w:rsidR="00D65CB4" w:rsidRPr="00BC4EE7" w14:paraId="3A5852ED" w14:textId="77777777">
        <w:trPr>
          <w:trHeight w:val="300"/>
        </w:trPr>
        <w:tc>
          <w:tcPr>
            <w:tcW w:w="846" w:type="dxa"/>
            <w:shd w:val="clear" w:color="auto" w:fill="C6EFCE"/>
          </w:tcPr>
          <w:p w14:paraId="06905E86" w14:textId="312CD56D"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L48</w:t>
            </w:r>
          </w:p>
        </w:tc>
        <w:tc>
          <w:tcPr>
            <w:tcW w:w="850" w:type="dxa"/>
            <w:shd w:val="clear" w:color="auto" w:fill="C6EFCE"/>
          </w:tcPr>
          <w:p w14:paraId="6B86ECBB"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C13.I12</w:t>
            </w:r>
          </w:p>
        </w:tc>
        <w:tc>
          <w:tcPr>
            <w:tcW w:w="851" w:type="dxa"/>
            <w:shd w:val="clear" w:color="auto" w:fill="C6EFCE"/>
          </w:tcPr>
          <w:p w14:paraId="3234A8A9"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T</w:t>
            </w:r>
          </w:p>
        </w:tc>
        <w:tc>
          <w:tcPr>
            <w:tcW w:w="2268" w:type="dxa"/>
            <w:shd w:val="clear" w:color="auto" w:fill="C6EFCE"/>
          </w:tcPr>
          <w:p w14:paraId="2937366F" w14:textId="1400C1EE"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ENISA Vállalkozás- és Kkv-alap – A végső kedvezményezettekkel aláírt jogi megállapodások</w:t>
            </w:r>
          </w:p>
        </w:tc>
        <w:tc>
          <w:tcPr>
            <w:tcW w:w="1134" w:type="dxa"/>
            <w:shd w:val="clear" w:color="auto" w:fill="C6EFCE"/>
          </w:tcPr>
          <w:p w14:paraId="46300E66" w14:textId="77777777" w:rsidR="00D65CB4" w:rsidRPr="00BC4EE7" w:rsidRDefault="00D65CB4">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3CA5433C" w14:textId="77777777" w:rsidR="00D65CB4" w:rsidRPr="00BC4EE7" w:rsidRDefault="00D65CB4">
            <w:pPr>
              <w:spacing w:after="0" w:line="240" w:lineRule="auto"/>
              <w:jc w:val="center"/>
              <w:textAlignment w:val="baseline"/>
              <w:rPr>
                <w:rFonts w:ascii="Times New Roman" w:eastAsia="Times New Roman" w:hAnsi="Times New Roman" w:cs="Times New Roman"/>
                <w:noProof/>
                <w:sz w:val="18"/>
              </w:rPr>
            </w:pPr>
          </w:p>
        </w:tc>
        <w:tc>
          <w:tcPr>
            <w:tcW w:w="992" w:type="dxa"/>
            <w:shd w:val="clear" w:color="auto" w:fill="C6EFCE"/>
          </w:tcPr>
          <w:p w14:paraId="2B112905"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0</w:t>
            </w:r>
          </w:p>
        </w:tc>
        <w:tc>
          <w:tcPr>
            <w:tcW w:w="709" w:type="dxa"/>
            <w:shd w:val="clear" w:color="auto" w:fill="C6EFCE"/>
          </w:tcPr>
          <w:p w14:paraId="4C5F5E96" w14:textId="77777777" w:rsidR="00D65CB4" w:rsidRPr="00BC4EE7" w:rsidRDefault="00572307">
            <w:pPr>
              <w:pStyle w:val="P68B1DB1-Normal12"/>
              <w:spacing w:after="0" w:line="240" w:lineRule="auto"/>
              <w:jc w:val="right"/>
              <w:textAlignment w:val="baseline"/>
              <w:rPr>
                <w:rFonts w:eastAsia="Times New Roman" w:cs="Times New Roman"/>
                <w:noProof/>
              </w:rPr>
            </w:pPr>
            <w:r w:rsidRPr="00BC4EE7">
              <w:rPr>
                <w:rFonts w:cs="Times New Roman"/>
                <w:noProof/>
              </w:rPr>
              <w:t>50%</w:t>
            </w:r>
          </w:p>
        </w:tc>
        <w:tc>
          <w:tcPr>
            <w:tcW w:w="709" w:type="dxa"/>
            <w:shd w:val="clear" w:color="auto" w:fill="C6EFCE"/>
          </w:tcPr>
          <w:p w14:paraId="01BC7C0F"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Q2</w:t>
            </w:r>
          </w:p>
        </w:tc>
        <w:tc>
          <w:tcPr>
            <w:tcW w:w="709" w:type="dxa"/>
            <w:shd w:val="clear" w:color="auto" w:fill="C6EFCE"/>
          </w:tcPr>
          <w:p w14:paraId="36EFFD94"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2025</w:t>
            </w:r>
          </w:p>
        </w:tc>
        <w:tc>
          <w:tcPr>
            <w:tcW w:w="4958" w:type="dxa"/>
            <w:shd w:val="clear" w:color="auto" w:fill="C6EFCE"/>
          </w:tcPr>
          <w:p w14:paraId="2FDFDE1A" w14:textId="168CD4F7"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Az ENISA-nak jogi finanszírozási megállapodásokat kell kötnie a végső kedvezményezettekkel a Helyreállítási és Rezilienciaépítési Eszközbe történő beruházás legalább 50%-ának felhasználásához szükséges összegről (figyelembe véve az irányítási díjakat).</w:t>
            </w:r>
          </w:p>
        </w:tc>
      </w:tr>
      <w:tr w:rsidR="00D65CB4" w:rsidRPr="00BC4EE7" w14:paraId="5CF5B340" w14:textId="77777777">
        <w:trPr>
          <w:trHeight w:val="300"/>
        </w:trPr>
        <w:tc>
          <w:tcPr>
            <w:tcW w:w="846" w:type="dxa"/>
            <w:shd w:val="clear" w:color="auto" w:fill="C6EFCE"/>
          </w:tcPr>
          <w:p w14:paraId="697232E0" w14:textId="08C37CC3"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L49</w:t>
            </w:r>
          </w:p>
        </w:tc>
        <w:tc>
          <w:tcPr>
            <w:tcW w:w="850" w:type="dxa"/>
            <w:shd w:val="clear" w:color="auto" w:fill="C6EFCE"/>
          </w:tcPr>
          <w:p w14:paraId="5D16A0FA"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C13.I12</w:t>
            </w:r>
          </w:p>
        </w:tc>
        <w:tc>
          <w:tcPr>
            <w:tcW w:w="851" w:type="dxa"/>
            <w:shd w:val="clear" w:color="auto" w:fill="C6EFCE"/>
          </w:tcPr>
          <w:p w14:paraId="482A7C59"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T</w:t>
            </w:r>
          </w:p>
        </w:tc>
        <w:tc>
          <w:tcPr>
            <w:tcW w:w="2268" w:type="dxa"/>
            <w:shd w:val="clear" w:color="auto" w:fill="C6EFCE"/>
          </w:tcPr>
          <w:p w14:paraId="20F140E5" w14:textId="2DF67F0A"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ENISA Vállalkozás- és Kkv-alap – A végső kedvezményezettekkel aláírt jogi megállapodások</w:t>
            </w:r>
          </w:p>
        </w:tc>
        <w:tc>
          <w:tcPr>
            <w:tcW w:w="1134" w:type="dxa"/>
            <w:shd w:val="clear" w:color="auto" w:fill="C6EFCE"/>
          </w:tcPr>
          <w:p w14:paraId="62534D82" w14:textId="77777777" w:rsidR="00D65CB4" w:rsidRPr="00BC4EE7" w:rsidRDefault="00D65CB4">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30D15689" w14:textId="77777777" w:rsidR="00D65CB4" w:rsidRPr="00BC4EE7" w:rsidRDefault="00D65CB4">
            <w:pPr>
              <w:spacing w:after="0" w:line="240" w:lineRule="auto"/>
              <w:jc w:val="center"/>
              <w:textAlignment w:val="baseline"/>
              <w:rPr>
                <w:rFonts w:ascii="Times New Roman" w:eastAsia="Times New Roman" w:hAnsi="Times New Roman" w:cs="Times New Roman"/>
                <w:noProof/>
                <w:sz w:val="18"/>
              </w:rPr>
            </w:pPr>
          </w:p>
        </w:tc>
        <w:tc>
          <w:tcPr>
            <w:tcW w:w="992" w:type="dxa"/>
            <w:shd w:val="clear" w:color="auto" w:fill="C6EFCE"/>
          </w:tcPr>
          <w:p w14:paraId="69F1853B" w14:textId="77777777" w:rsidR="00D65CB4" w:rsidRPr="00BC4EE7" w:rsidRDefault="00572307">
            <w:pPr>
              <w:pStyle w:val="P68B1DB1-Normal12"/>
              <w:spacing w:after="0" w:line="240" w:lineRule="auto"/>
              <w:jc w:val="right"/>
              <w:textAlignment w:val="baseline"/>
              <w:rPr>
                <w:rFonts w:eastAsia="Times New Roman" w:cs="Times New Roman"/>
                <w:noProof/>
              </w:rPr>
            </w:pPr>
            <w:r w:rsidRPr="00BC4EE7">
              <w:rPr>
                <w:rFonts w:cs="Times New Roman"/>
                <w:noProof/>
              </w:rPr>
              <w:t>50%</w:t>
            </w:r>
          </w:p>
        </w:tc>
        <w:tc>
          <w:tcPr>
            <w:tcW w:w="709" w:type="dxa"/>
            <w:shd w:val="clear" w:color="auto" w:fill="C6EFCE"/>
          </w:tcPr>
          <w:p w14:paraId="719122DD" w14:textId="77777777" w:rsidR="00D65CB4" w:rsidRPr="00BC4EE7" w:rsidRDefault="00572307">
            <w:pPr>
              <w:pStyle w:val="P68B1DB1-Normal12"/>
              <w:spacing w:after="0" w:line="240" w:lineRule="auto"/>
              <w:jc w:val="right"/>
              <w:textAlignment w:val="baseline"/>
              <w:rPr>
                <w:rFonts w:eastAsia="Times New Roman" w:cs="Times New Roman"/>
                <w:noProof/>
              </w:rPr>
            </w:pPr>
            <w:r w:rsidRPr="00BC4EE7">
              <w:rPr>
                <w:rFonts w:cs="Times New Roman"/>
                <w:noProof/>
              </w:rPr>
              <w:t>100%-OS</w:t>
            </w:r>
          </w:p>
        </w:tc>
        <w:tc>
          <w:tcPr>
            <w:tcW w:w="709" w:type="dxa"/>
            <w:shd w:val="clear" w:color="auto" w:fill="C6EFCE"/>
          </w:tcPr>
          <w:p w14:paraId="67F370D8" w14:textId="73E31215"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Q3</w:t>
            </w:r>
          </w:p>
        </w:tc>
        <w:tc>
          <w:tcPr>
            <w:tcW w:w="709" w:type="dxa"/>
            <w:shd w:val="clear" w:color="auto" w:fill="C6EFCE"/>
          </w:tcPr>
          <w:p w14:paraId="013CF25A"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2026</w:t>
            </w:r>
          </w:p>
        </w:tc>
        <w:tc>
          <w:tcPr>
            <w:tcW w:w="4958" w:type="dxa"/>
            <w:shd w:val="clear" w:color="auto" w:fill="C6EFCE"/>
          </w:tcPr>
          <w:p w14:paraId="1A2A1F0B" w14:textId="5DC84A80"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Az ENISA-nak jogi finanszírozási megállapodásokat kell kötnie a végső kedvezményezettekkel az RRF-beruházás 100%-ának az eszközbe történő felhasználásához szükséges összegről (figyelembe véve az irányítási díjakat). E finanszírozás legalább 6,6%-ának a Helyreállítási és Rezilienciaépítési Eszközről szóló rendelet VII. mellékletében foglalt módszertan alkalmazásával hozzá kell járulnia a digitális célkitűzésekhez.</w:t>
            </w:r>
          </w:p>
        </w:tc>
      </w:tr>
      <w:tr w:rsidR="00D65CB4" w:rsidRPr="00BC4EE7" w14:paraId="349E1D53" w14:textId="77777777">
        <w:trPr>
          <w:trHeight w:val="300"/>
        </w:trPr>
        <w:tc>
          <w:tcPr>
            <w:tcW w:w="846" w:type="dxa"/>
            <w:shd w:val="clear" w:color="auto" w:fill="C6EFCE"/>
          </w:tcPr>
          <w:p w14:paraId="58EA83D0" w14:textId="3FA7A21E"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L50</w:t>
            </w:r>
          </w:p>
        </w:tc>
        <w:tc>
          <w:tcPr>
            <w:tcW w:w="850" w:type="dxa"/>
            <w:shd w:val="clear" w:color="auto" w:fill="C6EFCE"/>
          </w:tcPr>
          <w:p w14:paraId="37CFB7C0"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C13.I12</w:t>
            </w:r>
          </w:p>
        </w:tc>
        <w:tc>
          <w:tcPr>
            <w:tcW w:w="851" w:type="dxa"/>
            <w:shd w:val="clear" w:color="auto" w:fill="C6EFCE"/>
          </w:tcPr>
          <w:p w14:paraId="36C91DE3"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M</w:t>
            </w:r>
          </w:p>
        </w:tc>
        <w:tc>
          <w:tcPr>
            <w:tcW w:w="2268" w:type="dxa"/>
            <w:shd w:val="clear" w:color="auto" w:fill="C6EFCE"/>
          </w:tcPr>
          <w:p w14:paraId="5C8C5ED6" w14:textId="67DEF979"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 xml:space="preserve">Az ENISA Vállalkozás- és Kkv-alapja – a minisztérium befejezte a beruházásokat. </w:t>
            </w:r>
          </w:p>
        </w:tc>
        <w:tc>
          <w:tcPr>
            <w:tcW w:w="1134" w:type="dxa"/>
            <w:shd w:val="clear" w:color="auto" w:fill="C6EFCE"/>
          </w:tcPr>
          <w:p w14:paraId="101F1BA0" w14:textId="111AE4F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Átutalási igazolás</w:t>
            </w:r>
          </w:p>
        </w:tc>
        <w:tc>
          <w:tcPr>
            <w:tcW w:w="709" w:type="dxa"/>
            <w:shd w:val="clear" w:color="auto" w:fill="C6EFCE"/>
          </w:tcPr>
          <w:p w14:paraId="14738179" w14:textId="1A7183F3" w:rsidR="00D65CB4" w:rsidRPr="00BC4EE7" w:rsidRDefault="00D65CB4">
            <w:pPr>
              <w:spacing w:after="0" w:line="240" w:lineRule="auto"/>
              <w:jc w:val="center"/>
              <w:textAlignment w:val="baseline"/>
              <w:rPr>
                <w:rFonts w:ascii="Times New Roman" w:eastAsia="Times New Roman" w:hAnsi="Times New Roman" w:cs="Times New Roman"/>
                <w:noProof/>
                <w:sz w:val="18"/>
              </w:rPr>
            </w:pPr>
          </w:p>
        </w:tc>
        <w:tc>
          <w:tcPr>
            <w:tcW w:w="992" w:type="dxa"/>
            <w:shd w:val="clear" w:color="auto" w:fill="C6EFCE"/>
          </w:tcPr>
          <w:p w14:paraId="2E3AC936" w14:textId="2F0C0CD1" w:rsidR="00D65CB4" w:rsidRPr="00BC4EE7" w:rsidRDefault="00D65CB4">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2045F6AF" w14:textId="6E7444D0" w:rsidR="00D65CB4" w:rsidRPr="00BC4EE7" w:rsidRDefault="00D65CB4">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371557CA" w14:textId="693999E0"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Q3</w:t>
            </w:r>
          </w:p>
        </w:tc>
        <w:tc>
          <w:tcPr>
            <w:tcW w:w="709" w:type="dxa"/>
            <w:shd w:val="clear" w:color="auto" w:fill="C6EFCE"/>
          </w:tcPr>
          <w:p w14:paraId="48D5AD69"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2026</w:t>
            </w:r>
          </w:p>
        </w:tc>
        <w:tc>
          <w:tcPr>
            <w:tcW w:w="4958" w:type="dxa"/>
            <w:shd w:val="clear" w:color="auto" w:fill="C6EFCE"/>
          </w:tcPr>
          <w:p w14:paraId="486A647E" w14:textId="70158327"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 xml:space="preserve">Spanyolország 303 000 000 EUR-t utal át az ENISA-nak az eszköz céljára. </w:t>
            </w:r>
          </w:p>
        </w:tc>
      </w:tr>
      <w:tr w:rsidR="00D65CB4" w:rsidRPr="00BC4EE7" w14:paraId="2F9F6FDF" w14:textId="77777777">
        <w:trPr>
          <w:trHeight w:val="300"/>
        </w:trPr>
        <w:tc>
          <w:tcPr>
            <w:tcW w:w="846" w:type="dxa"/>
            <w:shd w:val="clear" w:color="auto" w:fill="C6EFCE"/>
          </w:tcPr>
          <w:p w14:paraId="30D7D40B" w14:textId="7A0947B4"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L51</w:t>
            </w:r>
          </w:p>
        </w:tc>
        <w:tc>
          <w:tcPr>
            <w:tcW w:w="850" w:type="dxa"/>
            <w:shd w:val="clear" w:color="auto" w:fill="C6EFCE"/>
          </w:tcPr>
          <w:p w14:paraId="62EE6A22"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C13.I13</w:t>
            </w:r>
          </w:p>
        </w:tc>
        <w:tc>
          <w:tcPr>
            <w:tcW w:w="851" w:type="dxa"/>
            <w:shd w:val="clear" w:color="auto" w:fill="C6EFCE"/>
          </w:tcPr>
          <w:p w14:paraId="6F6A86C5"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M</w:t>
            </w:r>
          </w:p>
        </w:tc>
        <w:tc>
          <w:tcPr>
            <w:tcW w:w="2268" w:type="dxa"/>
            <w:shd w:val="clear" w:color="auto" w:fill="C6EFCE"/>
          </w:tcPr>
          <w:p w14:paraId="64C12D66" w14:textId="77777777"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Regionális Rezilienciaépítési Alap – InvestEU: A spanyol kormány és az Európai Bizottság közötti hozzájárulási megállapodás aláírása</w:t>
            </w:r>
          </w:p>
        </w:tc>
        <w:tc>
          <w:tcPr>
            <w:tcW w:w="1134" w:type="dxa"/>
            <w:shd w:val="clear" w:color="auto" w:fill="C6EFCE"/>
          </w:tcPr>
          <w:p w14:paraId="61F78961"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A hozzájárulási megállapodás aláírása</w:t>
            </w:r>
          </w:p>
        </w:tc>
        <w:tc>
          <w:tcPr>
            <w:tcW w:w="709" w:type="dxa"/>
            <w:shd w:val="clear" w:color="auto" w:fill="C6EFCE"/>
          </w:tcPr>
          <w:p w14:paraId="705E3A95" w14:textId="77777777" w:rsidR="00D65CB4" w:rsidRPr="00BC4EE7" w:rsidRDefault="00D65CB4">
            <w:pPr>
              <w:spacing w:after="0" w:line="240" w:lineRule="auto"/>
              <w:jc w:val="center"/>
              <w:textAlignment w:val="baseline"/>
              <w:rPr>
                <w:rFonts w:ascii="Times New Roman" w:eastAsia="Times New Roman" w:hAnsi="Times New Roman" w:cs="Times New Roman"/>
                <w:noProof/>
                <w:sz w:val="18"/>
              </w:rPr>
            </w:pPr>
          </w:p>
        </w:tc>
        <w:tc>
          <w:tcPr>
            <w:tcW w:w="992" w:type="dxa"/>
            <w:shd w:val="clear" w:color="auto" w:fill="C6EFCE"/>
          </w:tcPr>
          <w:p w14:paraId="69FA58FE" w14:textId="77777777" w:rsidR="00D65CB4" w:rsidRPr="00BC4EE7" w:rsidRDefault="00D65CB4">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4434F3A5" w14:textId="77777777" w:rsidR="00D65CB4" w:rsidRPr="00BC4EE7" w:rsidRDefault="00D65CB4">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3E73E5F2"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Q4</w:t>
            </w:r>
          </w:p>
        </w:tc>
        <w:tc>
          <w:tcPr>
            <w:tcW w:w="709" w:type="dxa"/>
            <w:shd w:val="clear" w:color="auto" w:fill="C6EFCE"/>
          </w:tcPr>
          <w:p w14:paraId="7F49490E"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2024</w:t>
            </w:r>
          </w:p>
        </w:tc>
        <w:tc>
          <w:tcPr>
            <w:tcW w:w="4958" w:type="dxa"/>
            <w:shd w:val="clear" w:color="auto" w:fill="C6EFCE"/>
          </w:tcPr>
          <w:p w14:paraId="39849D9D" w14:textId="3C8A757A"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A Spanyolország kormánya és az Európai Bizottság közötti, 500 000 000 EUR összegű hozzájárulási megállapodás aláírása.</w:t>
            </w:r>
          </w:p>
        </w:tc>
      </w:tr>
      <w:tr w:rsidR="00D65CB4" w:rsidRPr="00BC4EE7" w14:paraId="77C8E513" w14:textId="77777777">
        <w:trPr>
          <w:trHeight w:val="300"/>
        </w:trPr>
        <w:tc>
          <w:tcPr>
            <w:tcW w:w="846" w:type="dxa"/>
            <w:shd w:val="clear" w:color="auto" w:fill="C6EFCE"/>
          </w:tcPr>
          <w:p w14:paraId="12937DB4" w14:textId="2F1CF206"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L52</w:t>
            </w:r>
          </w:p>
        </w:tc>
        <w:tc>
          <w:tcPr>
            <w:tcW w:w="850" w:type="dxa"/>
            <w:shd w:val="clear" w:color="auto" w:fill="C6EFCE"/>
          </w:tcPr>
          <w:p w14:paraId="3F4A2501" w14:textId="6B565761"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C13.I13</w:t>
            </w:r>
          </w:p>
        </w:tc>
        <w:tc>
          <w:tcPr>
            <w:tcW w:w="851" w:type="dxa"/>
            <w:shd w:val="clear" w:color="auto" w:fill="C6EFCE"/>
          </w:tcPr>
          <w:p w14:paraId="1A7A5D33" w14:textId="0DFC98BA"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T</w:t>
            </w:r>
          </w:p>
        </w:tc>
        <w:tc>
          <w:tcPr>
            <w:tcW w:w="2268" w:type="dxa"/>
            <w:shd w:val="clear" w:color="auto" w:fill="C6EFCE"/>
          </w:tcPr>
          <w:p w14:paraId="63562C17" w14:textId="0E3EEB6A"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Regionális Rezilienciaépítési Alap – InvestEU: Az InvestEU beruházási bizottsága által jóváhagyott eszközhöz rendelt legalább 500 millión összegű finanszírozási vagy beruházási műveletek.</w:t>
            </w:r>
          </w:p>
        </w:tc>
        <w:tc>
          <w:tcPr>
            <w:tcW w:w="1134" w:type="dxa"/>
            <w:shd w:val="clear" w:color="auto" w:fill="C6EFCE"/>
          </w:tcPr>
          <w:p w14:paraId="7BE661E4" w14:textId="77777777" w:rsidR="00D65CB4" w:rsidRPr="00BC4EE7" w:rsidRDefault="00D65CB4">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50466B7A" w14:textId="0EC3724E" w:rsidR="00D65CB4" w:rsidRPr="00BC4EE7" w:rsidRDefault="00D65CB4">
            <w:pPr>
              <w:spacing w:after="0" w:line="240" w:lineRule="auto"/>
              <w:jc w:val="center"/>
              <w:textAlignment w:val="baseline"/>
              <w:rPr>
                <w:rFonts w:ascii="Times New Roman" w:eastAsia="Times New Roman" w:hAnsi="Times New Roman" w:cs="Times New Roman"/>
                <w:noProof/>
                <w:sz w:val="18"/>
              </w:rPr>
            </w:pPr>
          </w:p>
        </w:tc>
        <w:tc>
          <w:tcPr>
            <w:tcW w:w="992" w:type="dxa"/>
            <w:shd w:val="clear" w:color="auto" w:fill="C6EFCE"/>
          </w:tcPr>
          <w:p w14:paraId="389606B4" w14:textId="2805ABA1" w:rsidR="00D65CB4" w:rsidRPr="00BC4EE7" w:rsidRDefault="00572307">
            <w:pPr>
              <w:pStyle w:val="P68B1DB1-Normal12"/>
              <w:spacing w:after="0" w:line="240" w:lineRule="auto"/>
              <w:jc w:val="right"/>
              <w:textAlignment w:val="baseline"/>
              <w:rPr>
                <w:rFonts w:eastAsia="Times New Roman" w:cs="Times New Roman"/>
                <w:noProof/>
              </w:rPr>
            </w:pPr>
            <w:r w:rsidRPr="00BC4EE7">
              <w:rPr>
                <w:rFonts w:cs="Times New Roman"/>
                <w:noProof/>
              </w:rPr>
              <w:t>0</w:t>
            </w:r>
          </w:p>
        </w:tc>
        <w:tc>
          <w:tcPr>
            <w:tcW w:w="709" w:type="dxa"/>
            <w:shd w:val="clear" w:color="auto" w:fill="C6EFCE"/>
          </w:tcPr>
          <w:p w14:paraId="6E8C09FE" w14:textId="75923D23" w:rsidR="00D65CB4" w:rsidRPr="00BC4EE7" w:rsidRDefault="00572307">
            <w:pPr>
              <w:pStyle w:val="P68B1DB1-Normal12"/>
              <w:spacing w:after="0" w:line="240" w:lineRule="auto"/>
              <w:jc w:val="right"/>
              <w:textAlignment w:val="baseline"/>
              <w:rPr>
                <w:rFonts w:eastAsia="Times New Roman" w:cs="Times New Roman"/>
                <w:noProof/>
              </w:rPr>
            </w:pPr>
            <w:r w:rsidRPr="00BC4EE7">
              <w:rPr>
                <w:rFonts w:cs="Times New Roman"/>
                <w:noProof/>
              </w:rPr>
              <w:t>100%-OS</w:t>
            </w:r>
          </w:p>
        </w:tc>
        <w:tc>
          <w:tcPr>
            <w:tcW w:w="709" w:type="dxa"/>
            <w:shd w:val="clear" w:color="auto" w:fill="C6EFCE"/>
          </w:tcPr>
          <w:p w14:paraId="0D6856FA" w14:textId="61D1161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Q3</w:t>
            </w:r>
          </w:p>
        </w:tc>
        <w:tc>
          <w:tcPr>
            <w:tcW w:w="709" w:type="dxa"/>
            <w:shd w:val="clear" w:color="auto" w:fill="C6EFCE"/>
          </w:tcPr>
          <w:p w14:paraId="76DD787A"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2026</w:t>
            </w:r>
          </w:p>
        </w:tc>
        <w:tc>
          <w:tcPr>
            <w:tcW w:w="4958" w:type="dxa"/>
            <w:shd w:val="clear" w:color="auto" w:fill="C6EFCE"/>
          </w:tcPr>
          <w:p w14:paraId="2963E159" w14:textId="1ED9FB34"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A Helyreállítási és Rezilienciaépítési Eszközből az eszközhöz rendelt források teljes összegének 100%-át kitevő finanszírozási vagy beruházási műveleteket az InvestEU beruházási bizottságának jóvá kell hagynia.</w:t>
            </w:r>
          </w:p>
        </w:tc>
      </w:tr>
      <w:tr w:rsidR="00D65CB4" w:rsidRPr="00BC4EE7" w14:paraId="3B3C7B6B" w14:textId="77777777">
        <w:trPr>
          <w:trHeight w:val="1085"/>
        </w:trPr>
        <w:tc>
          <w:tcPr>
            <w:tcW w:w="846" w:type="dxa"/>
            <w:shd w:val="clear" w:color="auto" w:fill="C6EFCE"/>
          </w:tcPr>
          <w:p w14:paraId="7109109F" w14:textId="58AD46B8" w:rsidR="00D65CB4" w:rsidRPr="00BC4EE7" w:rsidRDefault="00572307">
            <w:pPr>
              <w:pStyle w:val="P68B1DB1-Normal12"/>
              <w:spacing w:after="0" w:line="240" w:lineRule="auto"/>
              <w:jc w:val="center"/>
              <w:textAlignment w:val="baseline"/>
              <w:rPr>
                <w:rFonts w:eastAsia="Times New Roman" w:cs="Times New Roman"/>
                <w:noProof/>
              </w:rPr>
            </w:pPr>
            <w:bookmarkStart w:id="49" w:name="_Hlk141708313"/>
            <w:r w:rsidRPr="00BC4EE7">
              <w:rPr>
                <w:rFonts w:cs="Times New Roman"/>
                <w:noProof/>
              </w:rPr>
              <w:t>L53</w:t>
            </w:r>
          </w:p>
        </w:tc>
        <w:tc>
          <w:tcPr>
            <w:tcW w:w="850" w:type="dxa"/>
            <w:shd w:val="clear" w:color="auto" w:fill="C6EFCE"/>
          </w:tcPr>
          <w:p w14:paraId="03CF9462"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C13.I13</w:t>
            </w:r>
          </w:p>
        </w:tc>
        <w:tc>
          <w:tcPr>
            <w:tcW w:w="851" w:type="dxa"/>
            <w:shd w:val="clear" w:color="auto" w:fill="C6EFCE"/>
          </w:tcPr>
          <w:p w14:paraId="4D7C2760"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M</w:t>
            </w:r>
          </w:p>
        </w:tc>
        <w:tc>
          <w:tcPr>
            <w:tcW w:w="2268" w:type="dxa"/>
            <w:shd w:val="clear" w:color="auto" w:fill="C6EFCE"/>
          </w:tcPr>
          <w:p w14:paraId="2EFF7B6C" w14:textId="0F4FFA0A"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 xml:space="preserve">Regionális Rezilienciaépítési Alap: Végrehajtási megállapodás </w:t>
            </w:r>
          </w:p>
        </w:tc>
        <w:tc>
          <w:tcPr>
            <w:tcW w:w="1134" w:type="dxa"/>
            <w:shd w:val="clear" w:color="auto" w:fill="C6EFCE"/>
          </w:tcPr>
          <w:p w14:paraId="1A2EA724" w14:textId="0A3815AC"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A végrehajtási megállapodás hatálybalépése</w:t>
            </w:r>
          </w:p>
        </w:tc>
        <w:tc>
          <w:tcPr>
            <w:tcW w:w="709" w:type="dxa"/>
            <w:shd w:val="clear" w:color="auto" w:fill="C6EFCE"/>
          </w:tcPr>
          <w:p w14:paraId="0ACEDFCE"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 xml:space="preserve"> </w:t>
            </w:r>
          </w:p>
        </w:tc>
        <w:tc>
          <w:tcPr>
            <w:tcW w:w="992" w:type="dxa"/>
            <w:shd w:val="clear" w:color="auto" w:fill="C6EFCE"/>
          </w:tcPr>
          <w:p w14:paraId="3D6C9F81" w14:textId="77777777" w:rsidR="00D65CB4" w:rsidRPr="00BC4EE7" w:rsidRDefault="00572307">
            <w:pPr>
              <w:pStyle w:val="P68B1DB1-Normal12"/>
              <w:spacing w:after="0" w:line="240" w:lineRule="auto"/>
              <w:jc w:val="right"/>
              <w:textAlignment w:val="baseline"/>
              <w:rPr>
                <w:rFonts w:eastAsia="Times New Roman" w:cs="Times New Roman"/>
                <w:noProof/>
              </w:rPr>
            </w:pPr>
            <w:r w:rsidRPr="00BC4EE7">
              <w:rPr>
                <w:rFonts w:cs="Times New Roman"/>
                <w:noProof/>
              </w:rPr>
              <w:t xml:space="preserve"> </w:t>
            </w:r>
          </w:p>
        </w:tc>
        <w:tc>
          <w:tcPr>
            <w:tcW w:w="709" w:type="dxa"/>
            <w:shd w:val="clear" w:color="auto" w:fill="C6EFCE"/>
          </w:tcPr>
          <w:p w14:paraId="0B2FDE26" w14:textId="77777777" w:rsidR="00D65CB4" w:rsidRPr="00BC4EE7" w:rsidRDefault="00572307">
            <w:pPr>
              <w:pStyle w:val="P68B1DB1-Normal12"/>
              <w:spacing w:after="0" w:line="240" w:lineRule="auto"/>
              <w:jc w:val="right"/>
              <w:textAlignment w:val="baseline"/>
              <w:rPr>
                <w:rFonts w:eastAsia="Times New Roman" w:cs="Times New Roman"/>
                <w:noProof/>
              </w:rPr>
            </w:pPr>
            <w:r w:rsidRPr="00BC4EE7">
              <w:rPr>
                <w:rFonts w:cs="Times New Roman"/>
                <w:noProof/>
              </w:rPr>
              <w:t xml:space="preserve"> </w:t>
            </w:r>
          </w:p>
        </w:tc>
        <w:tc>
          <w:tcPr>
            <w:tcW w:w="709" w:type="dxa"/>
            <w:shd w:val="clear" w:color="auto" w:fill="C6EFCE"/>
          </w:tcPr>
          <w:p w14:paraId="466A19D1"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Q4</w:t>
            </w:r>
          </w:p>
        </w:tc>
        <w:tc>
          <w:tcPr>
            <w:tcW w:w="709" w:type="dxa"/>
            <w:shd w:val="clear" w:color="auto" w:fill="C6EFCE"/>
          </w:tcPr>
          <w:p w14:paraId="6F6D41BC"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2023</w:t>
            </w:r>
          </w:p>
        </w:tc>
        <w:tc>
          <w:tcPr>
            <w:tcW w:w="4958" w:type="dxa"/>
            <w:shd w:val="clear" w:color="auto" w:fill="C6EFCE"/>
          </w:tcPr>
          <w:p w14:paraId="4D7FCF31" w14:textId="533498A4"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 xml:space="preserve">A végrehajtási megállapodás hatálybalépése </w:t>
            </w:r>
          </w:p>
        </w:tc>
      </w:tr>
      <w:tr w:rsidR="00D65CB4" w:rsidRPr="00BC4EE7" w14:paraId="362638EB" w14:textId="77777777">
        <w:trPr>
          <w:trHeight w:val="300"/>
        </w:trPr>
        <w:tc>
          <w:tcPr>
            <w:tcW w:w="846" w:type="dxa"/>
            <w:shd w:val="clear" w:color="auto" w:fill="C6EFCE"/>
          </w:tcPr>
          <w:p w14:paraId="1A5791F0" w14:textId="4751708F"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L54</w:t>
            </w:r>
          </w:p>
        </w:tc>
        <w:tc>
          <w:tcPr>
            <w:tcW w:w="850" w:type="dxa"/>
            <w:shd w:val="clear" w:color="auto" w:fill="C6EFCE"/>
          </w:tcPr>
          <w:p w14:paraId="2C866467"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C13.I13</w:t>
            </w:r>
          </w:p>
        </w:tc>
        <w:tc>
          <w:tcPr>
            <w:tcW w:w="851" w:type="dxa"/>
            <w:shd w:val="clear" w:color="auto" w:fill="C6EFCE"/>
          </w:tcPr>
          <w:p w14:paraId="3AC69072"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T</w:t>
            </w:r>
          </w:p>
        </w:tc>
        <w:tc>
          <w:tcPr>
            <w:tcW w:w="2268" w:type="dxa"/>
            <w:shd w:val="clear" w:color="auto" w:fill="C6EFCE"/>
          </w:tcPr>
          <w:p w14:paraId="6EA034C3" w14:textId="186093BA"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Regionális Rezilienciaépítési Alap – Egyéb tételek: A végső kedvezményezettekkel aláírt jogi megállapodások (beleértve a tőkealapokat is) (I)</w:t>
            </w:r>
          </w:p>
        </w:tc>
        <w:tc>
          <w:tcPr>
            <w:tcW w:w="1134" w:type="dxa"/>
            <w:shd w:val="clear" w:color="auto" w:fill="C6EFCE"/>
          </w:tcPr>
          <w:p w14:paraId="13150465" w14:textId="0CF651EC" w:rsidR="00D65CB4" w:rsidRPr="00BC4EE7" w:rsidRDefault="00D65CB4">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28564B5E" w14:textId="6DC0F5AF" w:rsidR="00D65CB4" w:rsidRPr="00BC4EE7" w:rsidRDefault="00D65CB4">
            <w:pPr>
              <w:spacing w:after="0" w:line="240" w:lineRule="auto"/>
              <w:jc w:val="center"/>
              <w:textAlignment w:val="baseline"/>
              <w:rPr>
                <w:rFonts w:ascii="Times New Roman" w:eastAsia="Times New Roman" w:hAnsi="Times New Roman" w:cs="Times New Roman"/>
                <w:noProof/>
                <w:sz w:val="18"/>
              </w:rPr>
            </w:pPr>
          </w:p>
        </w:tc>
        <w:tc>
          <w:tcPr>
            <w:tcW w:w="992" w:type="dxa"/>
            <w:shd w:val="clear" w:color="auto" w:fill="C6EFCE"/>
          </w:tcPr>
          <w:p w14:paraId="1196233A" w14:textId="77777777" w:rsidR="00D65CB4" w:rsidRPr="00BC4EE7" w:rsidRDefault="00572307">
            <w:pPr>
              <w:pStyle w:val="P68B1DB1-Normal12"/>
              <w:spacing w:after="0" w:line="240" w:lineRule="auto"/>
              <w:jc w:val="right"/>
              <w:textAlignment w:val="baseline"/>
              <w:rPr>
                <w:rFonts w:eastAsia="Times New Roman" w:cs="Times New Roman"/>
                <w:noProof/>
              </w:rPr>
            </w:pPr>
            <w:r w:rsidRPr="00BC4EE7">
              <w:rPr>
                <w:rFonts w:cs="Times New Roman"/>
                <w:noProof/>
              </w:rPr>
              <w:t>0</w:t>
            </w:r>
          </w:p>
        </w:tc>
        <w:tc>
          <w:tcPr>
            <w:tcW w:w="709" w:type="dxa"/>
            <w:shd w:val="clear" w:color="auto" w:fill="C6EFCE"/>
          </w:tcPr>
          <w:p w14:paraId="47D225E3" w14:textId="2D4969E4" w:rsidR="00D65CB4" w:rsidRPr="00BC4EE7" w:rsidRDefault="00572307">
            <w:pPr>
              <w:pStyle w:val="P68B1DB1-Normal12"/>
              <w:spacing w:after="0" w:line="240" w:lineRule="auto"/>
              <w:jc w:val="right"/>
              <w:textAlignment w:val="baseline"/>
              <w:rPr>
                <w:rFonts w:eastAsia="Times New Roman" w:cs="Times New Roman"/>
                <w:noProof/>
              </w:rPr>
            </w:pPr>
            <w:r w:rsidRPr="00BC4EE7">
              <w:rPr>
                <w:rFonts w:cs="Times New Roman"/>
                <w:noProof/>
              </w:rPr>
              <w:t>15%</w:t>
            </w:r>
          </w:p>
        </w:tc>
        <w:tc>
          <w:tcPr>
            <w:tcW w:w="709" w:type="dxa"/>
            <w:shd w:val="clear" w:color="auto" w:fill="C6EFCE"/>
          </w:tcPr>
          <w:p w14:paraId="640449AF"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Q4</w:t>
            </w:r>
          </w:p>
        </w:tc>
        <w:tc>
          <w:tcPr>
            <w:tcW w:w="709" w:type="dxa"/>
            <w:shd w:val="clear" w:color="auto" w:fill="C6EFCE"/>
          </w:tcPr>
          <w:p w14:paraId="138B9EB6"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2024</w:t>
            </w:r>
          </w:p>
        </w:tc>
        <w:tc>
          <w:tcPr>
            <w:tcW w:w="4958" w:type="dxa"/>
            <w:shd w:val="clear" w:color="auto" w:fill="C6EFCE"/>
          </w:tcPr>
          <w:p w14:paraId="6E546150" w14:textId="0A58251B"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Az EBB csoportnak és az EBB csoport által kiválasztott közvetítőknek jogi finanszírozási megállapodásokat kell kötniük a végső kedvezményezettekkel (beleértve a tőkealapokat is) az RRF-beruházás legalább 15%-ának az egyéb tételekbe történő felhasználásához szükséges összegről (a kezelési díjak figyelembevételével). A finanszírozás legalább 2,5%-ának tőkealapokkal aláírt finanszírozási megállapodásoknak, legalább 60%-ának pedig a végső kedvezményezettekkel aláírt finanszírozási megállapodásoknak kell megfelelnie minden egyéb befektetési termék tekintetében (beleértve a Keret közvetlen tőkebefektetéseit is). Az EBB csoport a Helyreállítási és Rezilienciaépítési Eszközről szóló rendelet VI. mellékletében foglalt módszertan alkalmazásával jelentést készít, amelyben részletezi e finanszírozás azon százalékos arányát, amely hozzájárul az éghajlat-politikai célkitűzésekhez.</w:t>
            </w:r>
          </w:p>
        </w:tc>
      </w:tr>
      <w:tr w:rsidR="00D65CB4" w:rsidRPr="00BC4EE7" w14:paraId="4292062F" w14:textId="77777777">
        <w:trPr>
          <w:trHeight w:val="300"/>
        </w:trPr>
        <w:tc>
          <w:tcPr>
            <w:tcW w:w="846" w:type="dxa"/>
            <w:shd w:val="clear" w:color="auto" w:fill="C6EFCE"/>
          </w:tcPr>
          <w:p w14:paraId="736256C6" w14:textId="6899A111"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L55</w:t>
            </w:r>
          </w:p>
        </w:tc>
        <w:tc>
          <w:tcPr>
            <w:tcW w:w="850" w:type="dxa"/>
            <w:shd w:val="clear" w:color="auto" w:fill="C6EFCE"/>
          </w:tcPr>
          <w:p w14:paraId="1EA7EE1B"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C13.I13</w:t>
            </w:r>
          </w:p>
        </w:tc>
        <w:tc>
          <w:tcPr>
            <w:tcW w:w="851" w:type="dxa"/>
            <w:shd w:val="clear" w:color="auto" w:fill="C6EFCE"/>
          </w:tcPr>
          <w:p w14:paraId="2B66452C"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T</w:t>
            </w:r>
          </w:p>
        </w:tc>
        <w:tc>
          <w:tcPr>
            <w:tcW w:w="2268" w:type="dxa"/>
            <w:shd w:val="clear" w:color="auto" w:fill="C6EFCE"/>
          </w:tcPr>
          <w:p w14:paraId="0D7867C7" w14:textId="6286EFE1"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Regionális Rezilienciaépítési Alap – Egyéb tételek: A végső kedvezményezettekkel aláírt jogi megállapodások (beleértve a tőkealapokat is) (II)</w:t>
            </w:r>
          </w:p>
        </w:tc>
        <w:tc>
          <w:tcPr>
            <w:tcW w:w="1134" w:type="dxa"/>
            <w:shd w:val="clear" w:color="auto" w:fill="C6EFCE"/>
          </w:tcPr>
          <w:p w14:paraId="5F31F902" w14:textId="06DB7B15" w:rsidR="00D65CB4" w:rsidRPr="00BC4EE7" w:rsidRDefault="00D65CB4">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1B2AB904" w14:textId="2D0D8A21" w:rsidR="00D65CB4" w:rsidRPr="00BC4EE7" w:rsidRDefault="00D65CB4">
            <w:pPr>
              <w:spacing w:after="0" w:line="240" w:lineRule="auto"/>
              <w:jc w:val="center"/>
              <w:textAlignment w:val="baseline"/>
              <w:rPr>
                <w:rFonts w:ascii="Times New Roman" w:eastAsia="Times New Roman" w:hAnsi="Times New Roman" w:cs="Times New Roman"/>
                <w:noProof/>
                <w:sz w:val="18"/>
              </w:rPr>
            </w:pPr>
          </w:p>
        </w:tc>
        <w:tc>
          <w:tcPr>
            <w:tcW w:w="992" w:type="dxa"/>
            <w:shd w:val="clear" w:color="auto" w:fill="C6EFCE"/>
          </w:tcPr>
          <w:p w14:paraId="51088886" w14:textId="74701B21" w:rsidR="00D65CB4" w:rsidRPr="00BC4EE7" w:rsidRDefault="00572307">
            <w:pPr>
              <w:pStyle w:val="P68B1DB1-Normal12"/>
              <w:spacing w:after="0" w:line="240" w:lineRule="auto"/>
              <w:jc w:val="right"/>
              <w:textAlignment w:val="baseline"/>
              <w:rPr>
                <w:rFonts w:eastAsia="Times New Roman" w:cs="Times New Roman"/>
                <w:noProof/>
              </w:rPr>
            </w:pPr>
            <w:r w:rsidRPr="00BC4EE7">
              <w:rPr>
                <w:rFonts w:cs="Times New Roman"/>
                <w:noProof/>
              </w:rPr>
              <w:t>15%</w:t>
            </w:r>
          </w:p>
        </w:tc>
        <w:tc>
          <w:tcPr>
            <w:tcW w:w="709" w:type="dxa"/>
            <w:shd w:val="clear" w:color="auto" w:fill="C6EFCE"/>
          </w:tcPr>
          <w:p w14:paraId="4F6A4DC0" w14:textId="37FA3D77" w:rsidR="00D65CB4" w:rsidRPr="00BC4EE7" w:rsidRDefault="00572307">
            <w:pPr>
              <w:pStyle w:val="P68B1DB1-Normal12"/>
              <w:spacing w:after="0" w:line="240" w:lineRule="auto"/>
              <w:jc w:val="right"/>
              <w:textAlignment w:val="baseline"/>
              <w:rPr>
                <w:rFonts w:eastAsia="Times New Roman" w:cs="Times New Roman"/>
                <w:noProof/>
              </w:rPr>
            </w:pPr>
            <w:r w:rsidRPr="00BC4EE7">
              <w:rPr>
                <w:rFonts w:cs="Times New Roman"/>
                <w:noProof/>
              </w:rPr>
              <w:t>50%</w:t>
            </w:r>
          </w:p>
        </w:tc>
        <w:tc>
          <w:tcPr>
            <w:tcW w:w="709" w:type="dxa"/>
            <w:shd w:val="clear" w:color="auto" w:fill="C6EFCE"/>
          </w:tcPr>
          <w:p w14:paraId="3C35AD1F"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Q2</w:t>
            </w:r>
          </w:p>
        </w:tc>
        <w:tc>
          <w:tcPr>
            <w:tcW w:w="709" w:type="dxa"/>
            <w:shd w:val="clear" w:color="auto" w:fill="C6EFCE"/>
          </w:tcPr>
          <w:p w14:paraId="723F4717"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2025</w:t>
            </w:r>
          </w:p>
        </w:tc>
        <w:tc>
          <w:tcPr>
            <w:tcW w:w="4958" w:type="dxa"/>
            <w:shd w:val="clear" w:color="auto" w:fill="C6EFCE"/>
          </w:tcPr>
          <w:p w14:paraId="00972C7A" w14:textId="2F98D166"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Az EBB csoportnak és az EBB csoport által kiválasztott közvetítőknek jogi finanszírozási megállapodásokat kell kötniük a végső kedvezményezettekkel (beleértve a tőkealapokat is) az RRF-beruházás legalább 50%-ának az egyéb tételekbe történő felhasználásához szükséges összegről (a kezelési díjak figyelembevételével). A finanszírozás legalább 2,5%-ának tőkealapokkal aláírt finanszírozási megállapodásoknak, legalább 60%-ának pedig a végső kedvezményezettekkel aláírt finanszírozási megállapodásoknak kell megfelelnie minden egyéb befektetési termék tekintetében (beleértve a Keret közvetlen tőkebefektetéseit is). Az EBB csoport a Helyreállítási és Rezilienciaépítési Eszközről szóló rendelet VI. mellékletében foglalt módszertan alkalmazásával jelentést készít, amelyben részletezi e finanszírozás azon százalékos arányát, amely hozzájárul az éghajlat-politikai célkitűzésekhez.</w:t>
            </w:r>
          </w:p>
        </w:tc>
      </w:tr>
      <w:tr w:rsidR="00D65CB4" w:rsidRPr="00BC4EE7" w14:paraId="791776F7" w14:textId="77777777">
        <w:trPr>
          <w:trHeight w:val="300"/>
        </w:trPr>
        <w:tc>
          <w:tcPr>
            <w:tcW w:w="846" w:type="dxa"/>
            <w:shd w:val="clear" w:color="auto" w:fill="C6EFCE"/>
          </w:tcPr>
          <w:p w14:paraId="770405F3" w14:textId="6E55B292"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L56</w:t>
            </w:r>
          </w:p>
        </w:tc>
        <w:tc>
          <w:tcPr>
            <w:tcW w:w="850" w:type="dxa"/>
            <w:shd w:val="clear" w:color="auto" w:fill="C6EFCE"/>
          </w:tcPr>
          <w:p w14:paraId="70652E84"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C13.I13</w:t>
            </w:r>
          </w:p>
        </w:tc>
        <w:tc>
          <w:tcPr>
            <w:tcW w:w="851" w:type="dxa"/>
            <w:shd w:val="clear" w:color="auto" w:fill="C6EFCE"/>
          </w:tcPr>
          <w:p w14:paraId="74B665E0"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T</w:t>
            </w:r>
          </w:p>
        </w:tc>
        <w:tc>
          <w:tcPr>
            <w:tcW w:w="2268" w:type="dxa"/>
            <w:shd w:val="clear" w:color="auto" w:fill="C6EFCE"/>
          </w:tcPr>
          <w:p w14:paraId="146F402F" w14:textId="36A8DFCD"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Regionális Rezilienciaépítési Alap – Egyéb irányvonalak: A végső kedvezményezettekkel aláírt jogi megállapodások (beleértve a tőkealapokat is) (III)</w:t>
            </w:r>
          </w:p>
        </w:tc>
        <w:tc>
          <w:tcPr>
            <w:tcW w:w="1134" w:type="dxa"/>
            <w:shd w:val="clear" w:color="auto" w:fill="C6EFCE"/>
          </w:tcPr>
          <w:p w14:paraId="0AFDFDA8" w14:textId="172C6FB3" w:rsidR="00D65CB4" w:rsidRPr="00BC4EE7" w:rsidRDefault="00D65CB4">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4CF8BA72" w14:textId="1EC5ED4A" w:rsidR="00D65CB4" w:rsidRPr="00BC4EE7" w:rsidRDefault="00D65CB4">
            <w:pPr>
              <w:spacing w:after="0" w:line="240" w:lineRule="auto"/>
              <w:jc w:val="center"/>
              <w:textAlignment w:val="baseline"/>
              <w:rPr>
                <w:rFonts w:ascii="Times New Roman" w:eastAsia="Times New Roman" w:hAnsi="Times New Roman" w:cs="Times New Roman"/>
                <w:noProof/>
                <w:sz w:val="18"/>
              </w:rPr>
            </w:pPr>
          </w:p>
        </w:tc>
        <w:tc>
          <w:tcPr>
            <w:tcW w:w="992" w:type="dxa"/>
            <w:shd w:val="clear" w:color="auto" w:fill="C6EFCE"/>
          </w:tcPr>
          <w:p w14:paraId="7D158BE4" w14:textId="2A2CE4E5" w:rsidR="00D65CB4" w:rsidRPr="00BC4EE7" w:rsidRDefault="00572307">
            <w:pPr>
              <w:pStyle w:val="P68B1DB1-Normal12"/>
              <w:spacing w:after="0" w:line="240" w:lineRule="auto"/>
              <w:jc w:val="right"/>
              <w:textAlignment w:val="baseline"/>
              <w:rPr>
                <w:rFonts w:eastAsia="Times New Roman" w:cs="Times New Roman"/>
                <w:noProof/>
              </w:rPr>
            </w:pPr>
            <w:r w:rsidRPr="00BC4EE7">
              <w:rPr>
                <w:rFonts w:cs="Times New Roman"/>
                <w:noProof/>
              </w:rPr>
              <w:t>50%</w:t>
            </w:r>
          </w:p>
        </w:tc>
        <w:tc>
          <w:tcPr>
            <w:tcW w:w="709" w:type="dxa"/>
            <w:shd w:val="clear" w:color="auto" w:fill="C6EFCE"/>
          </w:tcPr>
          <w:p w14:paraId="3EA499EC" w14:textId="593576DE" w:rsidR="00D65CB4" w:rsidRPr="00BC4EE7" w:rsidRDefault="00572307">
            <w:pPr>
              <w:pStyle w:val="P68B1DB1-Normal12"/>
              <w:spacing w:after="0" w:line="240" w:lineRule="auto"/>
              <w:jc w:val="right"/>
              <w:textAlignment w:val="baseline"/>
              <w:rPr>
                <w:rFonts w:eastAsia="Times New Roman" w:cs="Times New Roman"/>
                <w:noProof/>
              </w:rPr>
            </w:pPr>
            <w:r w:rsidRPr="00BC4EE7">
              <w:rPr>
                <w:rFonts w:cs="Times New Roman"/>
                <w:noProof/>
              </w:rPr>
              <w:t>75%</w:t>
            </w:r>
          </w:p>
        </w:tc>
        <w:tc>
          <w:tcPr>
            <w:tcW w:w="709" w:type="dxa"/>
            <w:shd w:val="clear" w:color="auto" w:fill="C6EFCE"/>
          </w:tcPr>
          <w:p w14:paraId="4BB1C262"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Q4</w:t>
            </w:r>
          </w:p>
        </w:tc>
        <w:tc>
          <w:tcPr>
            <w:tcW w:w="709" w:type="dxa"/>
            <w:shd w:val="clear" w:color="auto" w:fill="C6EFCE"/>
          </w:tcPr>
          <w:p w14:paraId="7D7B06A9"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2025</w:t>
            </w:r>
          </w:p>
        </w:tc>
        <w:tc>
          <w:tcPr>
            <w:tcW w:w="4958" w:type="dxa"/>
            <w:shd w:val="clear" w:color="auto" w:fill="C6EFCE"/>
          </w:tcPr>
          <w:p w14:paraId="73BB7229" w14:textId="40FBFE87"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Az EBB csoportnak és az EBB csoport által kiválasztott közvetítőknek jogi finanszírozási megállapodásokat kell kötniük a végső kedvezményezettekkel (beleértve a tőkealapokat is) az RRF-beruházás legalább 75%-ának az egyéb tételekbe történő felhasználásához szükséges összegről (a kezelési díjak figyelembevételével). A finanszírozás legalább 2,5%-ának tőkealapokkal aláírt finanszírozási megállapodásoknak, legalább 60%-ának pedig a végső kedvezményezettekkel aláírt finanszírozási megállapodásoknak kell megfelelnie minden egyéb befektetési termék tekintetében (beleértve a Keret közvetlen tőkebefektetéseit is).  Az EBB csoport a Helyreállítási és Rezilienciaépítési Eszközről szóló rendelet VI. mellékletében foglalt módszertan alkalmazásával jelentést készít, amelyben részletezi e finanszírozás azon százalékos arányát, amely hozzájárul az éghajlat-politikai célkitűzésekhez.</w:t>
            </w:r>
          </w:p>
        </w:tc>
      </w:tr>
      <w:tr w:rsidR="00D65CB4" w:rsidRPr="00BC4EE7" w14:paraId="05D9E365" w14:textId="77777777">
        <w:trPr>
          <w:trHeight w:val="300"/>
        </w:trPr>
        <w:tc>
          <w:tcPr>
            <w:tcW w:w="846" w:type="dxa"/>
            <w:shd w:val="clear" w:color="auto" w:fill="C6EFCE"/>
          </w:tcPr>
          <w:p w14:paraId="143BED7A" w14:textId="3590908E"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L57</w:t>
            </w:r>
          </w:p>
        </w:tc>
        <w:tc>
          <w:tcPr>
            <w:tcW w:w="850" w:type="dxa"/>
            <w:shd w:val="clear" w:color="auto" w:fill="C6EFCE"/>
          </w:tcPr>
          <w:p w14:paraId="5A120BA7"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C13.I13</w:t>
            </w:r>
          </w:p>
        </w:tc>
        <w:tc>
          <w:tcPr>
            <w:tcW w:w="851" w:type="dxa"/>
            <w:shd w:val="clear" w:color="auto" w:fill="C6EFCE"/>
          </w:tcPr>
          <w:p w14:paraId="0155F790"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T</w:t>
            </w:r>
          </w:p>
        </w:tc>
        <w:tc>
          <w:tcPr>
            <w:tcW w:w="2268" w:type="dxa"/>
            <w:shd w:val="clear" w:color="auto" w:fill="C6EFCE"/>
          </w:tcPr>
          <w:p w14:paraId="5A070662" w14:textId="184B347B"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Regionális Rezilienciaépítési Alap – Egyéb irányvonalak: A végső kedvezményezettekkel aláírt jogi megállapodások (beleértve a tőkealapokat is) (IV)</w:t>
            </w:r>
          </w:p>
        </w:tc>
        <w:tc>
          <w:tcPr>
            <w:tcW w:w="1134" w:type="dxa"/>
            <w:shd w:val="clear" w:color="auto" w:fill="C6EFCE"/>
          </w:tcPr>
          <w:p w14:paraId="5A8CCAD9" w14:textId="7E8BD2A5" w:rsidR="00D65CB4" w:rsidRPr="00BC4EE7" w:rsidRDefault="00D65CB4">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664EC5B0" w14:textId="551D045F" w:rsidR="00D65CB4" w:rsidRPr="00BC4EE7" w:rsidRDefault="00D65CB4">
            <w:pPr>
              <w:spacing w:after="0" w:line="240" w:lineRule="auto"/>
              <w:jc w:val="center"/>
              <w:textAlignment w:val="baseline"/>
              <w:rPr>
                <w:rFonts w:ascii="Times New Roman" w:eastAsia="Times New Roman" w:hAnsi="Times New Roman" w:cs="Times New Roman"/>
                <w:noProof/>
                <w:sz w:val="18"/>
              </w:rPr>
            </w:pPr>
          </w:p>
        </w:tc>
        <w:tc>
          <w:tcPr>
            <w:tcW w:w="992" w:type="dxa"/>
            <w:shd w:val="clear" w:color="auto" w:fill="C6EFCE"/>
          </w:tcPr>
          <w:p w14:paraId="7702EF7D" w14:textId="553D87CD" w:rsidR="00D65CB4" w:rsidRPr="00BC4EE7" w:rsidRDefault="00572307">
            <w:pPr>
              <w:pStyle w:val="P68B1DB1-Normal12"/>
              <w:spacing w:after="0" w:line="240" w:lineRule="auto"/>
              <w:jc w:val="right"/>
              <w:textAlignment w:val="baseline"/>
              <w:rPr>
                <w:rFonts w:eastAsia="Times New Roman" w:cs="Times New Roman"/>
                <w:noProof/>
              </w:rPr>
            </w:pPr>
            <w:r w:rsidRPr="00BC4EE7">
              <w:rPr>
                <w:rFonts w:cs="Times New Roman"/>
                <w:noProof/>
              </w:rPr>
              <w:t>75%</w:t>
            </w:r>
          </w:p>
        </w:tc>
        <w:tc>
          <w:tcPr>
            <w:tcW w:w="709" w:type="dxa"/>
            <w:shd w:val="clear" w:color="auto" w:fill="C6EFCE"/>
          </w:tcPr>
          <w:p w14:paraId="46AA8698" w14:textId="3B25FE1D" w:rsidR="00D65CB4" w:rsidRPr="00BC4EE7" w:rsidRDefault="00572307">
            <w:pPr>
              <w:pStyle w:val="P68B1DB1-Normal12"/>
              <w:spacing w:after="0" w:line="240" w:lineRule="auto"/>
              <w:jc w:val="right"/>
              <w:textAlignment w:val="baseline"/>
              <w:rPr>
                <w:rFonts w:eastAsia="Times New Roman" w:cs="Times New Roman"/>
                <w:noProof/>
              </w:rPr>
            </w:pPr>
            <w:r w:rsidRPr="00BC4EE7">
              <w:rPr>
                <w:rFonts w:cs="Times New Roman"/>
                <w:noProof/>
              </w:rPr>
              <w:t>100%-OS</w:t>
            </w:r>
          </w:p>
        </w:tc>
        <w:tc>
          <w:tcPr>
            <w:tcW w:w="709" w:type="dxa"/>
            <w:shd w:val="clear" w:color="auto" w:fill="C6EFCE"/>
          </w:tcPr>
          <w:p w14:paraId="16FA5C8C" w14:textId="0BCDAFE3"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Q3</w:t>
            </w:r>
          </w:p>
        </w:tc>
        <w:tc>
          <w:tcPr>
            <w:tcW w:w="709" w:type="dxa"/>
            <w:shd w:val="clear" w:color="auto" w:fill="C6EFCE"/>
          </w:tcPr>
          <w:p w14:paraId="1DBD2CD8"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2026</w:t>
            </w:r>
          </w:p>
        </w:tc>
        <w:tc>
          <w:tcPr>
            <w:tcW w:w="4958" w:type="dxa"/>
            <w:shd w:val="clear" w:color="auto" w:fill="C6EFCE"/>
          </w:tcPr>
          <w:p w14:paraId="7D6E26F8" w14:textId="13BB85B1"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Az EBB csoportnak és az EBB csoport által kiválasztott közvetítőknek jogi finanszírozási megállapodásokat kell kötniük a végső kedvezményezettekkel (beleértve a tőkealapokat is) az RRF-beruházás 100%-ának az egyéb tételekbe történő felhasználásához szükséges összegről (a kezelési díjak figyelembevételével). A finanszírozás legalább 2,5%-ának tőkealapokkal aláírt finanszírozási megállapodásoknak, legalább 60%-ának pedig a végső kedvezményezettekkel aláírt finanszírozási megállapodásoknak kell megfelelnie minden egyéb befektetési termék tekintetében (beleértve a Keret közvetlen tőkebefektetéseit is). Az EBB csoport a Helyreállítási és Rezilienciaépítési Eszközről szóló rendelet VI. mellékletében foglalt módszertan alkalmazásával jelentést készít, amelyben részletezi e finanszírozás azon százalékos arányát, amely hozzájárul az éghajlat-politikai célkitűzésekhez.</w:t>
            </w:r>
          </w:p>
        </w:tc>
      </w:tr>
      <w:tr w:rsidR="00D65CB4" w:rsidRPr="00BC4EE7" w14:paraId="06A35F8D" w14:textId="77777777">
        <w:trPr>
          <w:trHeight w:val="417"/>
        </w:trPr>
        <w:tc>
          <w:tcPr>
            <w:tcW w:w="846" w:type="dxa"/>
            <w:shd w:val="clear" w:color="auto" w:fill="C6EFCE"/>
          </w:tcPr>
          <w:p w14:paraId="12F5515E" w14:textId="01698D9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L58</w:t>
            </w:r>
          </w:p>
        </w:tc>
        <w:tc>
          <w:tcPr>
            <w:tcW w:w="850" w:type="dxa"/>
            <w:shd w:val="clear" w:color="auto" w:fill="C6EFCE"/>
          </w:tcPr>
          <w:p w14:paraId="683F350C"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C13.I13</w:t>
            </w:r>
          </w:p>
        </w:tc>
        <w:tc>
          <w:tcPr>
            <w:tcW w:w="851" w:type="dxa"/>
            <w:shd w:val="clear" w:color="auto" w:fill="C6EFCE"/>
          </w:tcPr>
          <w:p w14:paraId="5BE30C83"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T</w:t>
            </w:r>
          </w:p>
        </w:tc>
        <w:tc>
          <w:tcPr>
            <w:tcW w:w="2268" w:type="dxa"/>
            <w:shd w:val="clear" w:color="auto" w:fill="C6EFCE"/>
          </w:tcPr>
          <w:p w14:paraId="3063E0CC" w14:textId="6EC4301B"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Regionális Rezilienciaépítési Alap – Közvetlen költségvetési irányvonal: A végső kedvezményezettekkel aláírt jogi megállapodások (I)</w:t>
            </w:r>
          </w:p>
        </w:tc>
        <w:tc>
          <w:tcPr>
            <w:tcW w:w="1134" w:type="dxa"/>
            <w:shd w:val="clear" w:color="auto" w:fill="C6EFCE"/>
          </w:tcPr>
          <w:p w14:paraId="02B3B879" w14:textId="391F8EEA" w:rsidR="00D65CB4" w:rsidRPr="00BC4EE7" w:rsidRDefault="00D65CB4">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43B89C93" w14:textId="6D36023C" w:rsidR="00D65CB4" w:rsidRPr="00BC4EE7" w:rsidRDefault="00D65CB4">
            <w:pPr>
              <w:spacing w:after="0" w:line="240" w:lineRule="auto"/>
              <w:jc w:val="center"/>
              <w:textAlignment w:val="baseline"/>
              <w:rPr>
                <w:rFonts w:ascii="Times New Roman" w:eastAsia="Times New Roman" w:hAnsi="Times New Roman" w:cs="Times New Roman"/>
                <w:noProof/>
                <w:sz w:val="18"/>
              </w:rPr>
            </w:pPr>
          </w:p>
        </w:tc>
        <w:tc>
          <w:tcPr>
            <w:tcW w:w="992" w:type="dxa"/>
            <w:shd w:val="clear" w:color="auto" w:fill="C6EFCE"/>
          </w:tcPr>
          <w:p w14:paraId="1C5B8A19" w14:textId="77777777" w:rsidR="00D65CB4" w:rsidRPr="00BC4EE7" w:rsidRDefault="00572307">
            <w:pPr>
              <w:pStyle w:val="P68B1DB1-Normal12"/>
              <w:spacing w:after="0" w:line="240" w:lineRule="auto"/>
              <w:jc w:val="right"/>
              <w:textAlignment w:val="baseline"/>
              <w:rPr>
                <w:rFonts w:eastAsia="Times New Roman" w:cs="Times New Roman"/>
                <w:noProof/>
              </w:rPr>
            </w:pPr>
            <w:r w:rsidRPr="00BC4EE7">
              <w:rPr>
                <w:rFonts w:cs="Times New Roman"/>
                <w:noProof/>
              </w:rPr>
              <w:t>0</w:t>
            </w:r>
          </w:p>
        </w:tc>
        <w:tc>
          <w:tcPr>
            <w:tcW w:w="709" w:type="dxa"/>
            <w:shd w:val="clear" w:color="auto" w:fill="C6EFCE"/>
          </w:tcPr>
          <w:p w14:paraId="7ECDB1A0" w14:textId="53352305" w:rsidR="00D65CB4" w:rsidRPr="00BC4EE7" w:rsidRDefault="00572307">
            <w:pPr>
              <w:pStyle w:val="P68B1DB1-Normal12"/>
              <w:spacing w:after="0" w:line="240" w:lineRule="auto"/>
              <w:jc w:val="right"/>
              <w:textAlignment w:val="baseline"/>
              <w:rPr>
                <w:rFonts w:eastAsia="Times New Roman" w:cs="Times New Roman"/>
                <w:noProof/>
              </w:rPr>
            </w:pPr>
            <w:r w:rsidRPr="00BC4EE7">
              <w:rPr>
                <w:rFonts w:cs="Times New Roman"/>
                <w:noProof/>
              </w:rPr>
              <w:t>50%</w:t>
            </w:r>
          </w:p>
        </w:tc>
        <w:tc>
          <w:tcPr>
            <w:tcW w:w="709" w:type="dxa"/>
            <w:shd w:val="clear" w:color="auto" w:fill="C6EFCE"/>
          </w:tcPr>
          <w:p w14:paraId="34245172"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Q4</w:t>
            </w:r>
          </w:p>
        </w:tc>
        <w:tc>
          <w:tcPr>
            <w:tcW w:w="709" w:type="dxa"/>
            <w:shd w:val="clear" w:color="auto" w:fill="C6EFCE"/>
          </w:tcPr>
          <w:p w14:paraId="705541E0"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2024</w:t>
            </w:r>
          </w:p>
        </w:tc>
        <w:tc>
          <w:tcPr>
            <w:tcW w:w="4958" w:type="dxa"/>
            <w:shd w:val="clear" w:color="auto" w:fill="C6EFCE"/>
          </w:tcPr>
          <w:p w14:paraId="11CD28D0" w14:textId="1D461C85"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Az EBB csoportnak és az EBB csoport által kiválasztott közvetítőknek jogi finanszírozási megállapodásokat kell kötniük a végső kedvezményezettekkel az ahhoz szükséges összegről, hogy a Helyreállítási és Rezilienciaépítési Eszköz beruházásainak legalább 50%-át a közvetlen költségvetési sorra fordítsák (figyelembe véve a kezelési díjakat). Az EBB csoport a Helyreállítási és Rezilienciaépítési Eszközről szóló rendelet VI. mellékletében foglalt módszertan alkalmazásával jelentést készít, amelyben részletezi e finanszírozás azon százalékos arányát, amely hozzájárul az éghajlat-politikai célkitűzésekhez.</w:t>
            </w:r>
          </w:p>
        </w:tc>
      </w:tr>
      <w:tr w:rsidR="00D65CB4" w:rsidRPr="00BC4EE7" w14:paraId="63E8570F" w14:textId="77777777">
        <w:trPr>
          <w:trHeight w:val="417"/>
        </w:trPr>
        <w:tc>
          <w:tcPr>
            <w:tcW w:w="846" w:type="dxa"/>
            <w:shd w:val="clear" w:color="auto" w:fill="C6EFCE"/>
          </w:tcPr>
          <w:p w14:paraId="4495493D" w14:textId="6672C7F9"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L59</w:t>
            </w:r>
          </w:p>
        </w:tc>
        <w:tc>
          <w:tcPr>
            <w:tcW w:w="850" w:type="dxa"/>
            <w:shd w:val="clear" w:color="auto" w:fill="C6EFCE"/>
          </w:tcPr>
          <w:p w14:paraId="2E2778A9"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C13.I13</w:t>
            </w:r>
          </w:p>
        </w:tc>
        <w:tc>
          <w:tcPr>
            <w:tcW w:w="851" w:type="dxa"/>
            <w:shd w:val="clear" w:color="auto" w:fill="C6EFCE"/>
          </w:tcPr>
          <w:p w14:paraId="3B4CBA85"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T</w:t>
            </w:r>
          </w:p>
        </w:tc>
        <w:tc>
          <w:tcPr>
            <w:tcW w:w="2268" w:type="dxa"/>
            <w:shd w:val="clear" w:color="auto" w:fill="C6EFCE"/>
          </w:tcPr>
          <w:p w14:paraId="099C52F7" w14:textId="370CF6B6"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Regionális Rezilienciaépítési Alap – Közvetlen költségvetési irányvonal: A végső kedvezményezettekkel aláírt jogi megállapodások (II.)</w:t>
            </w:r>
          </w:p>
        </w:tc>
        <w:tc>
          <w:tcPr>
            <w:tcW w:w="1134" w:type="dxa"/>
            <w:shd w:val="clear" w:color="auto" w:fill="C6EFCE"/>
          </w:tcPr>
          <w:p w14:paraId="4D278E9E" w14:textId="0BACD6D7" w:rsidR="00D65CB4" w:rsidRPr="00BC4EE7" w:rsidRDefault="00D65CB4">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019728C8" w14:textId="00BA9B33" w:rsidR="00D65CB4" w:rsidRPr="00BC4EE7" w:rsidRDefault="00D65CB4">
            <w:pPr>
              <w:spacing w:after="0" w:line="240" w:lineRule="auto"/>
              <w:jc w:val="center"/>
              <w:textAlignment w:val="baseline"/>
              <w:rPr>
                <w:rFonts w:ascii="Times New Roman" w:eastAsia="Times New Roman" w:hAnsi="Times New Roman" w:cs="Times New Roman"/>
                <w:noProof/>
                <w:sz w:val="18"/>
              </w:rPr>
            </w:pPr>
          </w:p>
        </w:tc>
        <w:tc>
          <w:tcPr>
            <w:tcW w:w="992" w:type="dxa"/>
            <w:shd w:val="clear" w:color="auto" w:fill="C6EFCE"/>
          </w:tcPr>
          <w:p w14:paraId="1F042AEB" w14:textId="04DA191A" w:rsidR="00D65CB4" w:rsidRPr="00BC4EE7" w:rsidRDefault="00572307">
            <w:pPr>
              <w:pStyle w:val="P68B1DB1-Normal12"/>
              <w:spacing w:after="0" w:line="240" w:lineRule="auto"/>
              <w:jc w:val="right"/>
              <w:textAlignment w:val="baseline"/>
              <w:rPr>
                <w:rFonts w:eastAsia="Times New Roman" w:cs="Times New Roman"/>
                <w:noProof/>
              </w:rPr>
            </w:pPr>
            <w:r w:rsidRPr="00BC4EE7">
              <w:rPr>
                <w:rFonts w:cs="Times New Roman"/>
                <w:noProof/>
              </w:rPr>
              <w:t>50%</w:t>
            </w:r>
          </w:p>
        </w:tc>
        <w:tc>
          <w:tcPr>
            <w:tcW w:w="709" w:type="dxa"/>
            <w:shd w:val="clear" w:color="auto" w:fill="C6EFCE"/>
          </w:tcPr>
          <w:p w14:paraId="7DEF3DEE" w14:textId="7267021C" w:rsidR="00D65CB4" w:rsidRPr="00BC4EE7" w:rsidRDefault="00572307">
            <w:pPr>
              <w:pStyle w:val="P68B1DB1-Normal12"/>
              <w:spacing w:after="0" w:line="240" w:lineRule="auto"/>
              <w:jc w:val="right"/>
              <w:textAlignment w:val="baseline"/>
              <w:rPr>
                <w:rFonts w:eastAsia="Times New Roman" w:cs="Times New Roman"/>
                <w:noProof/>
              </w:rPr>
            </w:pPr>
            <w:r w:rsidRPr="00BC4EE7">
              <w:rPr>
                <w:rFonts w:cs="Times New Roman"/>
                <w:noProof/>
              </w:rPr>
              <w:t>100%-OS</w:t>
            </w:r>
          </w:p>
        </w:tc>
        <w:tc>
          <w:tcPr>
            <w:tcW w:w="709" w:type="dxa"/>
            <w:shd w:val="clear" w:color="auto" w:fill="C6EFCE"/>
          </w:tcPr>
          <w:p w14:paraId="5E27C084"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Q2</w:t>
            </w:r>
          </w:p>
        </w:tc>
        <w:tc>
          <w:tcPr>
            <w:tcW w:w="709" w:type="dxa"/>
            <w:shd w:val="clear" w:color="auto" w:fill="C6EFCE"/>
          </w:tcPr>
          <w:p w14:paraId="36118383"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2025</w:t>
            </w:r>
          </w:p>
        </w:tc>
        <w:tc>
          <w:tcPr>
            <w:tcW w:w="4958" w:type="dxa"/>
            <w:shd w:val="clear" w:color="auto" w:fill="C6EFCE"/>
          </w:tcPr>
          <w:p w14:paraId="58EF0038" w14:textId="1238F812"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 xml:space="preserve">Az EBB csoportnak és az EBB csoport által kiválasztott közvetítőknek jogi finanszírozási megállapodásokat kell kötniük a végső kedvezményezettekkel az ahhoz szükséges összegről, hogy a Helyreállítási és Rezilienciaépítési Eszköz beruházásainak 100%-át a közvetlen költségvetési sorra fordítsák (figyelembe véve a kezelési díjakat). </w:t>
            </w:r>
            <w:bookmarkStart w:id="50" w:name="_Hlk145696936"/>
            <w:r w:rsidRPr="00BC4EE7">
              <w:rPr>
                <w:rFonts w:cs="Times New Roman"/>
                <w:noProof/>
              </w:rPr>
              <w:t>Az EBB csoport a Helyreállítási és Rezilienciaépítési Eszközről szóló rendelet VI. mellékletében foglalt módszertan alkalmazásával jelentést készít, amelyben részletezi e finanszírozás azon százalékos arányát, amely hozzájárul az éghajlat-politikai célkitűzésekhez.</w:t>
            </w:r>
            <w:bookmarkEnd w:id="50"/>
          </w:p>
        </w:tc>
      </w:tr>
      <w:tr w:rsidR="00D65CB4" w:rsidRPr="00BC4EE7" w14:paraId="03FB41D9" w14:textId="77777777">
        <w:trPr>
          <w:trHeight w:val="417"/>
        </w:trPr>
        <w:tc>
          <w:tcPr>
            <w:tcW w:w="846" w:type="dxa"/>
            <w:shd w:val="clear" w:color="auto" w:fill="C6EFCE"/>
          </w:tcPr>
          <w:p w14:paraId="01FCDD23" w14:textId="44738A29"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L60</w:t>
            </w:r>
          </w:p>
        </w:tc>
        <w:tc>
          <w:tcPr>
            <w:tcW w:w="850" w:type="dxa"/>
            <w:shd w:val="clear" w:color="auto" w:fill="C6EFCE"/>
          </w:tcPr>
          <w:p w14:paraId="5CBC3798" w14:textId="3C89253C"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C13.I13</w:t>
            </w:r>
          </w:p>
        </w:tc>
        <w:tc>
          <w:tcPr>
            <w:tcW w:w="851" w:type="dxa"/>
            <w:shd w:val="clear" w:color="auto" w:fill="C6EFCE"/>
          </w:tcPr>
          <w:p w14:paraId="3BAD9EAF" w14:textId="74664483"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M</w:t>
            </w:r>
          </w:p>
        </w:tc>
        <w:tc>
          <w:tcPr>
            <w:tcW w:w="2268" w:type="dxa"/>
            <w:shd w:val="clear" w:color="auto" w:fill="C6EFCE"/>
          </w:tcPr>
          <w:p w14:paraId="0EAD6F9A" w14:textId="125F4E01"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Regionális Rezilienciaépítési Alap – éghajlat-politikai hozzájárulás</w:t>
            </w:r>
          </w:p>
        </w:tc>
        <w:tc>
          <w:tcPr>
            <w:tcW w:w="1134" w:type="dxa"/>
            <w:shd w:val="clear" w:color="auto" w:fill="C6EFCE"/>
          </w:tcPr>
          <w:p w14:paraId="2E9F1A1F" w14:textId="77777777" w:rsidR="00D65CB4" w:rsidRPr="00BC4EE7" w:rsidRDefault="00D65CB4">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28B9F36D" w14:textId="77777777" w:rsidR="00D65CB4" w:rsidRPr="00BC4EE7" w:rsidRDefault="00D65CB4">
            <w:pPr>
              <w:spacing w:after="0" w:line="240" w:lineRule="auto"/>
              <w:jc w:val="center"/>
              <w:textAlignment w:val="baseline"/>
              <w:rPr>
                <w:rFonts w:ascii="Times New Roman" w:eastAsia="Times New Roman" w:hAnsi="Times New Roman" w:cs="Times New Roman"/>
                <w:noProof/>
                <w:sz w:val="18"/>
              </w:rPr>
            </w:pPr>
          </w:p>
        </w:tc>
        <w:tc>
          <w:tcPr>
            <w:tcW w:w="992" w:type="dxa"/>
            <w:shd w:val="clear" w:color="auto" w:fill="C6EFCE"/>
          </w:tcPr>
          <w:p w14:paraId="00BC601D" w14:textId="77777777" w:rsidR="00D65CB4" w:rsidRPr="00BC4EE7" w:rsidRDefault="00D65CB4">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55BFDEE6" w14:textId="77777777" w:rsidR="00D65CB4" w:rsidRPr="00BC4EE7" w:rsidRDefault="00D65CB4">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3CD6F765" w14:textId="6CE14458"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Q3</w:t>
            </w:r>
          </w:p>
        </w:tc>
        <w:tc>
          <w:tcPr>
            <w:tcW w:w="709" w:type="dxa"/>
            <w:shd w:val="clear" w:color="auto" w:fill="C6EFCE"/>
          </w:tcPr>
          <w:p w14:paraId="1DDDBAD4" w14:textId="51E2A380"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2026</w:t>
            </w:r>
          </w:p>
        </w:tc>
        <w:tc>
          <w:tcPr>
            <w:tcW w:w="4958" w:type="dxa"/>
            <w:shd w:val="clear" w:color="auto" w:fill="C6EFCE"/>
          </w:tcPr>
          <w:p w14:paraId="5E552863" w14:textId="2E918D87"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A közvetlen közcélú és egyéb vonalak finanszírozásának legalább 50%-ának az RRF-rendelet VI. mellékletében foglalt módszertan alkalmazásával hozzá kell járulnia az éghajlat-politikai célkitűzésekhez.</w:t>
            </w:r>
          </w:p>
        </w:tc>
      </w:tr>
      <w:tr w:rsidR="00D65CB4" w:rsidRPr="00BC4EE7" w14:paraId="21EB8F1D" w14:textId="77777777">
        <w:trPr>
          <w:trHeight w:val="300"/>
        </w:trPr>
        <w:tc>
          <w:tcPr>
            <w:tcW w:w="846" w:type="dxa"/>
            <w:shd w:val="clear" w:color="auto" w:fill="C6EFCE"/>
          </w:tcPr>
          <w:p w14:paraId="72699A00" w14:textId="079AEF25"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L61</w:t>
            </w:r>
          </w:p>
        </w:tc>
        <w:tc>
          <w:tcPr>
            <w:tcW w:w="850" w:type="dxa"/>
            <w:shd w:val="clear" w:color="auto" w:fill="C6EFCE"/>
          </w:tcPr>
          <w:p w14:paraId="5845E936"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C13.I13</w:t>
            </w:r>
          </w:p>
        </w:tc>
        <w:tc>
          <w:tcPr>
            <w:tcW w:w="851" w:type="dxa"/>
            <w:shd w:val="clear" w:color="auto" w:fill="C6EFCE"/>
          </w:tcPr>
          <w:p w14:paraId="0D109629" w14:textId="49F3C68C"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M</w:t>
            </w:r>
          </w:p>
        </w:tc>
        <w:tc>
          <w:tcPr>
            <w:tcW w:w="2268" w:type="dxa"/>
            <w:shd w:val="clear" w:color="auto" w:fill="C6EFCE"/>
          </w:tcPr>
          <w:p w14:paraId="505D58B1" w14:textId="5F4AF18F"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Regionális Rezilienciaépítési Alap – Közvetlen költségvetési irányvonal: A projektek közigazgatási szervek általi lezárása</w:t>
            </w:r>
          </w:p>
        </w:tc>
        <w:tc>
          <w:tcPr>
            <w:tcW w:w="1134" w:type="dxa"/>
            <w:shd w:val="clear" w:color="auto" w:fill="C6EFCE"/>
          </w:tcPr>
          <w:p w14:paraId="2820682D" w14:textId="40F98DA1" w:rsidR="00D65CB4" w:rsidRPr="00BC4EE7" w:rsidRDefault="00D65CB4">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7E495312" w14:textId="2B6037AD" w:rsidR="00D65CB4" w:rsidRPr="00BC4EE7" w:rsidRDefault="00D65CB4">
            <w:pPr>
              <w:spacing w:after="0" w:line="240" w:lineRule="auto"/>
              <w:jc w:val="center"/>
              <w:textAlignment w:val="baseline"/>
              <w:rPr>
                <w:rFonts w:ascii="Times New Roman" w:eastAsia="Times New Roman" w:hAnsi="Times New Roman" w:cs="Times New Roman"/>
                <w:noProof/>
                <w:sz w:val="18"/>
              </w:rPr>
            </w:pPr>
          </w:p>
        </w:tc>
        <w:tc>
          <w:tcPr>
            <w:tcW w:w="992" w:type="dxa"/>
            <w:shd w:val="clear" w:color="auto" w:fill="C6EFCE"/>
          </w:tcPr>
          <w:p w14:paraId="5E04D9BD" w14:textId="77777777" w:rsidR="00D65CB4" w:rsidRPr="00BC4EE7" w:rsidRDefault="00D65CB4">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6729A8EC" w14:textId="40BB2BFC" w:rsidR="00D65CB4" w:rsidRPr="00BC4EE7" w:rsidRDefault="00D65CB4">
            <w:pPr>
              <w:jc w:val="right"/>
              <w:rPr>
                <w:rFonts w:ascii="Times New Roman" w:eastAsia="Times New Roman" w:hAnsi="Times New Roman" w:cs="Times New Roman"/>
                <w:noProof/>
                <w:sz w:val="18"/>
              </w:rPr>
            </w:pPr>
          </w:p>
        </w:tc>
        <w:tc>
          <w:tcPr>
            <w:tcW w:w="709" w:type="dxa"/>
            <w:shd w:val="clear" w:color="auto" w:fill="C6EFCE"/>
          </w:tcPr>
          <w:p w14:paraId="4442565A" w14:textId="1907DC9B"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Q3</w:t>
            </w:r>
          </w:p>
        </w:tc>
        <w:tc>
          <w:tcPr>
            <w:tcW w:w="709" w:type="dxa"/>
            <w:shd w:val="clear" w:color="auto" w:fill="C6EFCE"/>
          </w:tcPr>
          <w:p w14:paraId="3FF794C2"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2026</w:t>
            </w:r>
          </w:p>
        </w:tc>
        <w:tc>
          <w:tcPr>
            <w:tcW w:w="4958" w:type="dxa"/>
            <w:shd w:val="clear" w:color="auto" w:fill="C6EFCE"/>
          </w:tcPr>
          <w:p w14:paraId="1812BD0E" w14:textId="66C1961E"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A projektek közigazgatási szervek általi befejezése legalább 3 150 000 000 EUR értékben (beleértve a kezelési díjakat is) a Közvetlen Közvetlen Közúton.</w:t>
            </w:r>
            <w:r w:rsidRPr="00BC4EE7">
              <w:rPr>
                <w:rFonts w:cs="Times New Roman"/>
                <w:noProof/>
                <w:highlight w:val="yellow"/>
              </w:rPr>
              <w:t xml:space="preserve"> </w:t>
            </w:r>
          </w:p>
        </w:tc>
      </w:tr>
      <w:tr w:rsidR="00D65CB4" w:rsidRPr="00BC4EE7" w14:paraId="16180596" w14:textId="77777777">
        <w:trPr>
          <w:trHeight w:val="300"/>
        </w:trPr>
        <w:tc>
          <w:tcPr>
            <w:tcW w:w="846" w:type="dxa"/>
            <w:shd w:val="clear" w:color="auto" w:fill="C6EFCE"/>
          </w:tcPr>
          <w:p w14:paraId="64DE1AE2" w14:textId="7B5AB5C3"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L62</w:t>
            </w:r>
          </w:p>
        </w:tc>
        <w:tc>
          <w:tcPr>
            <w:tcW w:w="850" w:type="dxa"/>
            <w:shd w:val="clear" w:color="auto" w:fill="C6EFCE"/>
          </w:tcPr>
          <w:p w14:paraId="37BA37A7"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C13.I13</w:t>
            </w:r>
          </w:p>
        </w:tc>
        <w:tc>
          <w:tcPr>
            <w:tcW w:w="851" w:type="dxa"/>
            <w:shd w:val="clear" w:color="auto" w:fill="C6EFCE"/>
          </w:tcPr>
          <w:p w14:paraId="7DF5DC8D"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M</w:t>
            </w:r>
          </w:p>
        </w:tc>
        <w:tc>
          <w:tcPr>
            <w:tcW w:w="2268" w:type="dxa"/>
            <w:shd w:val="clear" w:color="auto" w:fill="C6EFCE"/>
          </w:tcPr>
          <w:p w14:paraId="5C1B1A16" w14:textId="539CE86A"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Regionális Rezilienciaépítési Alap – A gazdasági és digitális átállásért felelős minisztérium befejezte a beruházást</w:t>
            </w:r>
          </w:p>
        </w:tc>
        <w:tc>
          <w:tcPr>
            <w:tcW w:w="1134" w:type="dxa"/>
            <w:shd w:val="clear" w:color="auto" w:fill="C6EFCE"/>
          </w:tcPr>
          <w:p w14:paraId="16C4AA6B"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Igazolás az alapba történő kifizetésről</w:t>
            </w:r>
          </w:p>
        </w:tc>
        <w:tc>
          <w:tcPr>
            <w:tcW w:w="709" w:type="dxa"/>
            <w:shd w:val="clear" w:color="auto" w:fill="C6EFCE"/>
          </w:tcPr>
          <w:p w14:paraId="11CA77FB" w14:textId="56F495F6" w:rsidR="00D65CB4" w:rsidRPr="00BC4EE7" w:rsidRDefault="00D65CB4">
            <w:pPr>
              <w:spacing w:after="0" w:line="240" w:lineRule="auto"/>
              <w:jc w:val="center"/>
              <w:textAlignment w:val="baseline"/>
              <w:rPr>
                <w:rFonts w:ascii="Times New Roman" w:eastAsia="Times New Roman" w:hAnsi="Times New Roman" w:cs="Times New Roman"/>
                <w:noProof/>
                <w:sz w:val="18"/>
              </w:rPr>
            </w:pPr>
          </w:p>
          <w:p w14:paraId="1F699900" w14:textId="77777777" w:rsidR="00D65CB4" w:rsidRPr="00BC4EE7" w:rsidRDefault="00D65CB4">
            <w:pPr>
              <w:spacing w:after="0" w:line="240" w:lineRule="auto"/>
              <w:jc w:val="center"/>
              <w:textAlignment w:val="baseline"/>
              <w:rPr>
                <w:rFonts w:ascii="Times New Roman" w:eastAsia="Times New Roman" w:hAnsi="Times New Roman" w:cs="Times New Roman"/>
                <w:noProof/>
                <w:sz w:val="18"/>
              </w:rPr>
            </w:pPr>
          </w:p>
        </w:tc>
        <w:tc>
          <w:tcPr>
            <w:tcW w:w="992" w:type="dxa"/>
            <w:shd w:val="clear" w:color="auto" w:fill="C6EFCE"/>
          </w:tcPr>
          <w:p w14:paraId="311F4D0C" w14:textId="77777777" w:rsidR="00D65CB4" w:rsidRPr="00BC4EE7" w:rsidRDefault="00D65CB4">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18DB9A1B" w14:textId="0029E818" w:rsidR="00D65CB4" w:rsidRPr="00BC4EE7" w:rsidRDefault="00D65CB4">
            <w:pPr>
              <w:spacing w:after="0" w:line="240" w:lineRule="auto"/>
              <w:jc w:val="right"/>
              <w:textAlignment w:val="baseline"/>
              <w:rPr>
                <w:rFonts w:ascii="Times New Roman" w:eastAsia="Times New Roman" w:hAnsi="Times New Roman" w:cs="Times New Roman"/>
                <w:noProof/>
                <w:sz w:val="18"/>
              </w:rPr>
            </w:pPr>
          </w:p>
          <w:p w14:paraId="3BB3C1FE" w14:textId="77777777" w:rsidR="00D65CB4" w:rsidRPr="00BC4EE7" w:rsidRDefault="00D65CB4">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7A261259" w14:textId="5DA6EADE"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Q3</w:t>
            </w:r>
          </w:p>
        </w:tc>
        <w:tc>
          <w:tcPr>
            <w:tcW w:w="709" w:type="dxa"/>
            <w:shd w:val="clear" w:color="auto" w:fill="C6EFCE"/>
          </w:tcPr>
          <w:p w14:paraId="219AE1CF" w14:textId="77777777" w:rsidR="00D65CB4" w:rsidRPr="00BC4EE7" w:rsidRDefault="00572307">
            <w:pPr>
              <w:pStyle w:val="P68B1DB1-Normal12"/>
              <w:spacing w:after="0" w:line="240" w:lineRule="auto"/>
              <w:jc w:val="center"/>
              <w:textAlignment w:val="baseline"/>
              <w:rPr>
                <w:rFonts w:eastAsia="Times New Roman" w:cs="Times New Roman"/>
                <w:noProof/>
              </w:rPr>
            </w:pPr>
            <w:r w:rsidRPr="00BC4EE7">
              <w:rPr>
                <w:rFonts w:cs="Times New Roman"/>
                <w:noProof/>
              </w:rPr>
              <w:t>2026</w:t>
            </w:r>
          </w:p>
        </w:tc>
        <w:tc>
          <w:tcPr>
            <w:tcW w:w="4958" w:type="dxa"/>
            <w:shd w:val="clear" w:color="auto" w:fill="C6EFCE"/>
          </w:tcPr>
          <w:p w14:paraId="4DD5973E" w14:textId="70BFECC3" w:rsidR="00D65CB4" w:rsidRPr="00BC4EE7" w:rsidRDefault="00572307">
            <w:pPr>
              <w:pStyle w:val="P68B1DB1-Normal12"/>
              <w:spacing w:after="0" w:line="240" w:lineRule="auto"/>
              <w:textAlignment w:val="baseline"/>
              <w:rPr>
                <w:rFonts w:eastAsia="Times New Roman" w:cs="Times New Roman"/>
                <w:noProof/>
              </w:rPr>
            </w:pPr>
            <w:r w:rsidRPr="00BC4EE7">
              <w:rPr>
                <w:rFonts w:cs="Times New Roman"/>
                <w:noProof/>
              </w:rPr>
              <w:t>Spanyolország 19 500 000 000 EUR-t utal át az EBB csoportnak az eszköz céljára.</w:t>
            </w:r>
          </w:p>
        </w:tc>
      </w:tr>
      <w:bookmarkEnd w:id="49"/>
    </w:tbl>
    <w:p w14:paraId="583CE302" w14:textId="77777777" w:rsidR="00D65CB4" w:rsidRPr="00BC4EE7" w:rsidRDefault="00D65CB4">
      <w:pPr>
        <w:ind w:firstLine="720"/>
        <w:rPr>
          <w:rFonts w:ascii="Times New Roman" w:hAnsi="Times New Roman" w:cs="Times New Roman"/>
          <w:noProof/>
        </w:rPr>
        <w:sectPr w:rsidR="00D65CB4" w:rsidRPr="00BC4EE7" w:rsidSect="00B511EF">
          <w:headerReference w:type="even" r:id="rId297"/>
          <w:headerReference w:type="default" r:id="rId298"/>
          <w:footerReference w:type="even" r:id="rId299"/>
          <w:footerReference w:type="default" r:id="rId300"/>
          <w:headerReference w:type="first" r:id="rId301"/>
          <w:footerReference w:type="first" r:id="rId302"/>
          <w:pgSz w:w="16839" w:h="11907" w:orient="landscape"/>
          <w:pgMar w:top="1134" w:right="1134" w:bottom="1134" w:left="1134" w:header="567" w:footer="567" w:gutter="0"/>
          <w:cols w:space="720"/>
          <w:docGrid w:linePitch="360"/>
        </w:sectPr>
      </w:pPr>
    </w:p>
    <w:p w14:paraId="5EA775EA" w14:textId="585ADC6A" w:rsidR="00D65CB4" w:rsidRPr="00BC4EE7" w:rsidRDefault="00572307">
      <w:pPr>
        <w:pStyle w:val="Heading1"/>
        <w:tabs>
          <w:tab w:val="left" w:pos="4410"/>
          <w:tab w:val="center" w:pos="4819"/>
        </w:tabs>
        <w:jc w:val="left"/>
        <w:rPr>
          <w:rFonts w:ascii="Times New Roman" w:hAnsi="Times New Roman" w:cs="Times New Roman"/>
          <w:noProof/>
        </w:rPr>
      </w:pPr>
      <w:r w:rsidRPr="00BC4EE7">
        <w:rPr>
          <w:rFonts w:ascii="Times New Roman" w:hAnsi="Times New Roman" w:cs="Times New Roman"/>
          <w:noProof/>
        </w:rPr>
        <w:tab/>
      </w:r>
      <w:r w:rsidRPr="00BC4EE7">
        <w:rPr>
          <w:rFonts w:ascii="Times New Roman" w:hAnsi="Times New Roman" w:cs="Times New Roman"/>
          <w:noProof/>
        </w:rPr>
        <w:tab/>
      </w:r>
    </w:p>
    <w:p w14:paraId="23DAF294" w14:textId="77777777" w:rsidR="00D65CB4" w:rsidRPr="00BC4EE7" w:rsidRDefault="00D65CB4">
      <w:pPr>
        <w:rPr>
          <w:rFonts w:ascii="Times New Roman" w:hAnsi="Times New Roman" w:cs="Times New Roman"/>
          <w:noProof/>
        </w:rPr>
        <w:sectPr w:rsidR="00D65CB4" w:rsidRPr="00BC4EE7" w:rsidSect="00B511EF">
          <w:headerReference w:type="even" r:id="rId303"/>
          <w:headerReference w:type="default" r:id="rId304"/>
          <w:footerReference w:type="even" r:id="rId305"/>
          <w:footerReference w:type="default" r:id="rId306"/>
          <w:headerReference w:type="first" r:id="rId307"/>
          <w:footerReference w:type="first" r:id="rId308"/>
          <w:pgSz w:w="11907" w:h="16839"/>
          <w:pgMar w:top="1134" w:right="1134" w:bottom="1134" w:left="1134" w:header="567" w:footer="567" w:gutter="0"/>
          <w:cols w:space="720"/>
          <w:docGrid w:linePitch="360"/>
        </w:sectPr>
      </w:pPr>
    </w:p>
    <w:p w14:paraId="49F00853" w14:textId="77777777" w:rsidR="00D65CB4" w:rsidRPr="00BC4EE7" w:rsidRDefault="00572307">
      <w:pPr>
        <w:pStyle w:val="P68B1DB1-Heading12"/>
        <w:rPr>
          <w:rFonts w:cs="Times New Roman"/>
          <w:noProof/>
        </w:rPr>
      </w:pPr>
      <w:r w:rsidRPr="00BC4EE7">
        <w:rPr>
          <w:rFonts w:cs="Times New Roman"/>
          <w:noProof/>
        </w:rPr>
        <w:t>N. 14. KOMPONENS: Turizmus</w:t>
      </w:r>
    </w:p>
    <w:p w14:paraId="187C3B49" w14:textId="77777777" w:rsidR="00D65CB4" w:rsidRPr="00BC4EE7" w:rsidRDefault="00572307">
      <w:pPr>
        <w:pStyle w:val="maintext"/>
        <w:rPr>
          <w:b/>
          <w:smallCaps/>
          <w:noProof/>
          <w:sz w:val="28"/>
        </w:rPr>
      </w:pPr>
      <w:r w:rsidRPr="00BC4EE7">
        <w:rPr>
          <w:noProof/>
        </w:rPr>
        <w:t>A spanyol helyreállítási és rezilienciaépítési terv komponense a következő kihívásokkal foglalkozik:</w:t>
      </w:r>
    </w:p>
    <w:p w14:paraId="70FB1EE8" w14:textId="77777777" w:rsidR="00D65CB4" w:rsidRPr="00BC4EE7" w:rsidRDefault="00572307">
      <w:pPr>
        <w:pStyle w:val="P68B1DB1-ListParagraph6"/>
        <w:numPr>
          <w:ilvl w:val="0"/>
          <w:numId w:val="720"/>
        </w:numPr>
        <w:spacing w:before="120" w:line="240" w:lineRule="auto"/>
        <w:jc w:val="both"/>
        <w:rPr>
          <w:rFonts w:cs="Times New Roman"/>
          <w:noProof/>
        </w:rPr>
      </w:pPr>
      <w:r w:rsidRPr="00BC4EE7">
        <w:rPr>
          <w:rFonts w:cs="Times New Roman"/>
          <w:noProof/>
        </w:rPr>
        <w:t xml:space="preserve">A spanyol idegenforgalmi ágazat a Covid19-világjárvány által kiváltott válság következtében nagyon kényes helyzettel néz szembe, és sürgős fellépésre van szükség fenntarthatóságának és versenyképességének növelése érdekében. </w:t>
      </w:r>
    </w:p>
    <w:p w14:paraId="6CDD9DBE" w14:textId="77777777" w:rsidR="00D65CB4" w:rsidRPr="00BC4EE7" w:rsidRDefault="00572307">
      <w:pPr>
        <w:pStyle w:val="P68B1DB1-ListParagraph6"/>
        <w:numPr>
          <w:ilvl w:val="0"/>
          <w:numId w:val="720"/>
        </w:numPr>
        <w:spacing w:before="120" w:after="120" w:line="240" w:lineRule="auto"/>
        <w:jc w:val="both"/>
        <w:rPr>
          <w:rFonts w:cs="Times New Roman"/>
          <w:noProof/>
        </w:rPr>
      </w:pPr>
      <w:r w:rsidRPr="00BC4EE7">
        <w:rPr>
          <w:rFonts w:cs="Times New Roman"/>
          <w:noProof/>
        </w:rPr>
        <w:t>A Kanári-szigetek és a Baleár-szigetek, amelyek a spanyol idegenforgalmi ágazat mozgatórugói, különleges intézkedéseket igényelnek az externáliák és az üdülési tevékenységtől való nagyfokú függésük mérséklése érdekében.</w:t>
      </w:r>
    </w:p>
    <w:p w14:paraId="0CF97EC8" w14:textId="77777777" w:rsidR="00D65CB4" w:rsidRPr="00BC4EE7" w:rsidRDefault="00572307">
      <w:pPr>
        <w:pStyle w:val="P68B1DB1-ListParagraph6"/>
        <w:numPr>
          <w:ilvl w:val="0"/>
          <w:numId w:val="720"/>
        </w:numPr>
        <w:spacing w:before="120" w:after="120" w:line="240" w:lineRule="auto"/>
        <w:jc w:val="both"/>
        <w:rPr>
          <w:rFonts w:cs="Times New Roman"/>
          <w:noProof/>
        </w:rPr>
      </w:pPr>
      <w:r w:rsidRPr="00BC4EE7">
        <w:rPr>
          <w:rFonts w:cs="Times New Roman"/>
          <w:noProof/>
        </w:rPr>
        <w:t>A Világgazdasági Fórum idegenforgalmi versenyképességi jelentése szerint Spanyolország az információs és kommunikációs technológia terén a 27. helyen áll. Emellett a K+F-be történő köz- és magánberuházások viszonylag alacsonyak. Emellett számos jelentés rámutat arra, hogy az utazási ágazat a legnagyobb potenciállal rendelkezik a mesterséges intelligencia előnyeinek kiaknázására (a mesterséges intelligencia alkalmazása révén a tevékenység hozzáadott értékének 288%-os növekedése).</w:t>
      </w:r>
    </w:p>
    <w:p w14:paraId="5A8182C4"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 komponens célja a spanyolországi idegenforgalmi ágazat átalakítása és korszerűsítése versenyképességének és ellenálló képességének növelése révén.</w:t>
      </w:r>
    </w:p>
    <w:p w14:paraId="35827750"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komponens a következő országspecifikus ajánlásokkal foglalkozik: az innovációba és az energiahatékonyságba történő beruházások előmozdítása, valamint a kutatást és innovációt támogató szakpolitikák eredményességének fokozása (2019. évi 3. országspecifikus ajánlás), a gazdaság fenntartása (2020. évi 1. országspecifikus ajánlás), a foglalkoztatásnak a munkahelyek és a készségfejlesztés megőrzését, valamint a digitális tanuláshoz való hozzáférés javítását célzó intézkedések révén történő támogatása (2. országspecifikus ajánlás, 2020. évi 2. országspecifikus ajánlás), a köz- és magánberuházások előmozdítása, valamint a zöld és digitális átállás előmozdítása (2020. évi 3. országspecifikus ajánlás), valamint a közigazgatás különböző szintjei közötti koordináció javítása (2020. évi 4. országspecifikus ajánlás).</w:t>
      </w:r>
    </w:p>
    <w:p w14:paraId="6928174B" w14:textId="77777777" w:rsidR="00D65CB4" w:rsidRPr="00BC4EE7" w:rsidRDefault="00572307">
      <w:pPr>
        <w:pStyle w:val="P68B1DB1-Normal4"/>
        <w:spacing w:before="120" w:after="120" w:line="240" w:lineRule="auto"/>
        <w:ind w:left="11"/>
        <w:jc w:val="both"/>
        <w:rPr>
          <w:rFonts w:cs="Times New Roman"/>
          <w:noProof/>
        </w:rPr>
      </w:pPr>
      <w:r w:rsidRPr="00BC4EE7">
        <w:rPr>
          <w:rFonts w:cs="Times New Roman"/>
          <w:noProof/>
        </w:rPr>
        <w:t xml:space="preserve">A jelentős károkozás elkerülését célzó elvről szóló technikai iránymutatásnak (2021/C58/01) megfelelően a helyreállítási és rezilienciaépítési tervben meghatározott intézkedések leírását és a helyreállítási és rezilienciaépítési tervben meghatározott enyhítő lépéseket figyelembe véve ebben a komponensben várhatóan egyetlen intézkedés sem sérti jelentős mértékben az (EU) 2020/852 rendelet 17. cikke szerinti környezeti célkitűzéseket.  </w:t>
      </w:r>
    </w:p>
    <w:p w14:paraId="42129347" w14:textId="77777777" w:rsidR="00D65CB4" w:rsidRPr="00BC4EE7" w:rsidRDefault="00572307">
      <w:pPr>
        <w:spacing w:before="120" w:after="120" w:line="240" w:lineRule="auto"/>
        <w:ind w:left="720"/>
        <w:jc w:val="both"/>
        <w:rPr>
          <w:rFonts w:ascii="Times New Roman" w:hAnsi="Times New Roman" w:cs="Times New Roman"/>
          <w:i/>
          <w:noProof/>
          <w:sz w:val="24"/>
        </w:rPr>
      </w:pPr>
      <w:r w:rsidRPr="00BC4EE7">
        <w:rPr>
          <w:rFonts w:ascii="Times New Roman" w:hAnsi="Times New Roman" w:cs="Times New Roman"/>
          <w:b/>
          <w:noProof/>
          <w:sz w:val="24"/>
          <w:u w:val="single"/>
        </w:rPr>
        <w:t xml:space="preserve">N.1.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Vissza nem térítendő pénzügyi támogatás – a reformok és beruházások ismertetése</w:t>
      </w:r>
    </w:p>
    <w:p w14:paraId="5DA8EE5F"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Reform (C14.R1) – Az idegenforgalom versenyképességét szolgáló állami pénzügyi alap (FOCIT) végrehajtásáról szóló királyi rendelet</w:t>
      </w:r>
    </w:p>
    <w:p w14:paraId="34CD9BB6"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reform célja az idegenforgalmi ágazat versenyképességének javítása az innováció előmozdítása, valamint az energiahatékonyság és a körforgásos gazdaság támogatása révén. </w:t>
      </w:r>
    </w:p>
    <w:p w14:paraId="4EDB6FDB"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reform módosítja a Versenyképességi Állami Pénzügyi Alap célkitűzéseit, jellegét, műveleteit és támogatható projektjeit szabályozó hatályos jogi aktusokat.  </w:t>
      </w:r>
    </w:p>
    <w:p w14:paraId="535EFD1F"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módosított jogi aktus lehetővé teszi a Versenyképességi Állami Pénzügyi Alap számára, hogy finanszírozza az idegenforgalmi vállalkozásokat az energiahatékonyság javítása, az erőforrás-felhasználás és a hulladéktermelés szintjének csökkentése, valamint a hulladék újrafelhasználásának és újrafeldolgozásának növelése érdekében. Az energiahatékonyság és a körforgásos gazdaság területén az Alap innovációs projekteket finanszíroz.</w:t>
      </w:r>
    </w:p>
    <w:p w14:paraId="7E2182EC"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finanszírozási eszköz a hiteleket más típusú támogatásokkal kombináló támogatásötvözési rendszereket is alkalmazhat. Az eszközt a nemzeti költségvetésből kell finanszírozni.</w:t>
      </w:r>
    </w:p>
    <w:p w14:paraId="66A890D1"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reformnak a következő konkrét intézkedéseket is magában kell foglalnia: </w:t>
      </w:r>
    </w:p>
    <w:p w14:paraId="6BC89025" w14:textId="77777777" w:rsidR="00D65CB4" w:rsidRPr="00BC4EE7" w:rsidRDefault="00572307">
      <w:pPr>
        <w:pStyle w:val="P68B1DB1-ListParagraph23"/>
        <w:numPr>
          <w:ilvl w:val="0"/>
          <w:numId w:val="723"/>
        </w:numPr>
        <w:spacing w:before="120" w:after="120" w:line="240" w:lineRule="auto"/>
        <w:jc w:val="both"/>
        <w:rPr>
          <w:rFonts w:cs="Times New Roman"/>
          <w:noProof/>
          <w:sz w:val="24"/>
        </w:rPr>
      </w:pPr>
      <w:r w:rsidRPr="00BC4EE7">
        <w:rPr>
          <w:rFonts w:cs="Times New Roman"/>
          <w:noProof/>
          <w:sz w:val="24"/>
        </w:rPr>
        <w:t xml:space="preserve">az idegenforgalmi ágazat előmozdításárairányuló terv, amelyben ismertetik az idegenforgalmi ágazat fellendítését célzó intézkedéseket, és meghatározzák az idegenforgalommal kapcsolatos intézkedések végrehajtásának keretét. </w:t>
      </w:r>
    </w:p>
    <w:p w14:paraId="084EBCB4" w14:textId="77777777" w:rsidR="00D65CB4" w:rsidRPr="00BC4EE7" w:rsidRDefault="00572307">
      <w:pPr>
        <w:pStyle w:val="P68B1DB1-ListParagraph6"/>
        <w:numPr>
          <w:ilvl w:val="0"/>
          <w:numId w:val="723"/>
        </w:numPr>
        <w:spacing w:line="240" w:lineRule="auto"/>
        <w:rPr>
          <w:rFonts w:cs="Times New Roman"/>
          <w:noProof/>
        </w:rPr>
      </w:pPr>
      <w:r w:rsidRPr="00BC4EE7">
        <w:rPr>
          <w:rFonts w:cs="Times New Roman"/>
          <w:noProof/>
        </w:rPr>
        <w:t xml:space="preserve">az idegenforgalmi statisztikák különböző forrásaiból – többek között az INE, a Turespaña, a Bank of Spain, az AENA és </w:t>
      </w:r>
      <w:r w:rsidRPr="00BC4EE7">
        <w:rPr>
          <w:rFonts w:cs="Times New Roman"/>
          <w:i/>
          <w:noProof/>
        </w:rPr>
        <w:t>a</w:t>
      </w:r>
      <w:r w:rsidRPr="00BC4EE7">
        <w:rPr>
          <w:rFonts w:cs="Times New Roman"/>
          <w:noProof/>
        </w:rPr>
        <w:t xml:space="preserve"> RENFE – származó adatokat összegyűjtő honlap elindítása. </w:t>
      </w:r>
    </w:p>
    <w:p w14:paraId="4FA9F02D"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reform végrehajtását 2021. december 31-ig be kell fejezni.</w:t>
      </w:r>
    </w:p>
    <w:p w14:paraId="456FBD52" w14:textId="77777777" w:rsidR="00D65CB4" w:rsidRPr="00BC4EE7" w:rsidRDefault="00572307">
      <w:pPr>
        <w:pStyle w:val="P68B1DB1-Normal5"/>
        <w:keepNext/>
        <w:spacing w:before="120" w:after="120" w:line="240" w:lineRule="auto"/>
        <w:jc w:val="both"/>
        <w:rPr>
          <w:rFonts w:cs="Times New Roman"/>
          <w:noProof/>
        </w:rPr>
      </w:pPr>
      <w:r w:rsidRPr="00BC4EE7">
        <w:rPr>
          <w:rFonts w:cs="Times New Roman"/>
          <w:noProof/>
        </w:rPr>
        <w:t>Beruházás (C14.I1) – Az idegenforgalmi modell átalakítása a fenntarthatóság felé</w:t>
      </w:r>
    </w:p>
    <w:p w14:paraId="6ABEDDDC" w14:textId="77777777" w:rsidR="00D65CB4" w:rsidRPr="00BC4EE7" w:rsidRDefault="00572307">
      <w:pPr>
        <w:pStyle w:val="P68B1DB1-Normal4"/>
        <w:keepNext/>
        <w:spacing w:before="120" w:after="120" w:line="240" w:lineRule="auto"/>
        <w:jc w:val="both"/>
        <w:rPr>
          <w:rFonts w:cs="Times New Roman"/>
          <w:noProof/>
        </w:rPr>
      </w:pPr>
      <w:r w:rsidRPr="00BC4EE7">
        <w:rPr>
          <w:rFonts w:cs="Times New Roman"/>
          <w:noProof/>
        </w:rPr>
        <w:t xml:space="preserve">A beruházás célja a turizmus környezeti, társadalmi-gazdasági és területi fenntarthatóságának megerősítése, és az idegenforgalmi célpontokat, a szociális partnereket és az ágazat magánszereplőit célozza meg. </w:t>
      </w:r>
    </w:p>
    <w:p w14:paraId="3752306B"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beruházás négy alintézkedésből áll: </w:t>
      </w:r>
    </w:p>
    <w:p w14:paraId="67183722" w14:textId="77777777" w:rsidR="00D65CB4" w:rsidRPr="00BC4EE7" w:rsidRDefault="00572307">
      <w:pPr>
        <w:pStyle w:val="P68B1DB1-Normal4"/>
        <w:numPr>
          <w:ilvl w:val="0"/>
          <w:numId w:val="114"/>
        </w:numPr>
        <w:spacing w:before="120" w:after="160" w:line="240" w:lineRule="auto"/>
        <w:ind w:left="360"/>
        <w:contextualSpacing/>
        <w:jc w:val="both"/>
        <w:rPr>
          <w:rFonts w:cs="Times New Roman"/>
          <w:noProof/>
        </w:rPr>
      </w:pPr>
      <w:r w:rsidRPr="00BC4EE7">
        <w:rPr>
          <w:rFonts w:cs="Times New Roman"/>
          <w:noProof/>
        </w:rPr>
        <w:t>A Spanyolország 2030-ig tartó időszakra vonatkozó fenntartható idegenforgalmi stratégiájának előkészítése, amely az ágazat előtt álló kihívások közép- és hosszú távú kezelése érdekében nemzeti idegenforgalmi menetrendet képez, megerősítve a fenntarthatóság három pillérét: társadalmi-gazdasági, környezeti és területi;</w:t>
      </w:r>
    </w:p>
    <w:p w14:paraId="27081162" w14:textId="77777777" w:rsidR="00D65CB4" w:rsidRPr="00BC4EE7" w:rsidRDefault="00572307">
      <w:pPr>
        <w:pStyle w:val="P68B1DB1-Normal4"/>
        <w:numPr>
          <w:ilvl w:val="0"/>
          <w:numId w:val="114"/>
        </w:numPr>
        <w:spacing w:before="120" w:after="160" w:line="240" w:lineRule="auto"/>
        <w:ind w:left="360"/>
        <w:contextualSpacing/>
        <w:jc w:val="both"/>
        <w:rPr>
          <w:rFonts w:cs="Times New Roman"/>
          <w:noProof/>
        </w:rPr>
      </w:pPr>
      <w:r w:rsidRPr="00BC4EE7">
        <w:rPr>
          <w:rFonts w:cs="Times New Roman"/>
          <w:noProof/>
        </w:rPr>
        <w:t>Turisztikai fenntarthatósági tervek a célállomásokon: Ezeket az alintézkedéseket a következő sorrendben kell végrehajtani:</w:t>
      </w:r>
    </w:p>
    <w:p w14:paraId="7B8FA401" w14:textId="77777777" w:rsidR="00D65CB4" w:rsidRPr="00BC4EE7" w:rsidRDefault="00572307">
      <w:pPr>
        <w:pStyle w:val="P68B1DB1-Normal4"/>
        <w:numPr>
          <w:ilvl w:val="0"/>
          <w:numId w:val="116"/>
        </w:numPr>
        <w:spacing w:before="120" w:after="160" w:line="240" w:lineRule="auto"/>
        <w:ind w:left="1069"/>
        <w:contextualSpacing/>
        <w:jc w:val="both"/>
        <w:rPr>
          <w:rFonts w:cs="Times New Roman"/>
          <w:noProof/>
        </w:rPr>
      </w:pPr>
      <w:r w:rsidRPr="00BC4EE7">
        <w:rPr>
          <w:rFonts w:cs="Times New Roman"/>
          <w:noProof/>
        </w:rPr>
        <w:t>A turisztikai fenntarthatósági stratégia elkészítése a rendeltetési helyen, amely alapul szolgál a turisztikai igazgatásnak a turisztikai célpontok átalakítását célzó intézkedései strukturálásához, tervezéséhez, kidolgozásához és értékeléséhez, a fenntartható kritériumok alapján és a 2030-ig tartó időszakra szóló menetrend fenntartható fejlődési céljaival összhangban.</w:t>
      </w:r>
    </w:p>
    <w:p w14:paraId="5093BE89" w14:textId="77777777" w:rsidR="00D65CB4" w:rsidRPr="00BC4EE7" w:rsidRDefault="00572307">
      <w:pPr>
        <w:pStyle w:val="P68B1DB1-Normal4"/>
        <w:numPr>
          <w:ilvl w:val="0"/>
          <w:numId w:val="116"/>
        </w:numPr>
        <w:spacing w:before="120" w:after="160" w:line="240" w:lineRule="auto"/>
        <w:ind w:left="1069"/>
        <w:contextualSpacing/>
        <w:jc w:val="both"/>
        <w:rPr>
          <w:rFonts w:cs="Times New Roman"/>
          <w:noProof/>
        </w:rPr>
      </w:pPr>
      <w:r w:rsidRPr="00BC4EE7">
        <w:rPr>
          <w:rFonts w:cs="Times New Roman"/>
          <w:noProof/>
        </w:rPr>
        <w:t xml:space="preserve">A rendeltetési hely szerinti turizmus fenntarthatósági tervének előkészítése. Ez a program meghatározza az autonóm közösségek és a helyi hatóságok részvételének feltételeit, az alkalmazási kört, a minimális beruházási küszöbértékeket, a pályázatok benyújtásának eljárását, valamint a javaslatok jóváhagyására, végrehajtására és indokolására vonatkozó szabályokat. </w:t>
      </w:r>
    </w:p>
    <w:p w14:paraId="4F01777E" w14:textId="77777777" w:rsidR="00D65CB4" w:rsidRPr="00BC4EE7" w:rsidRDefault="00572307">
      <w:pPr>
        <w:pStyle w:val="P68B1DB1-Normal4"/>
        <w:numPr>
          <w:ilvl w:val="0"/>
          <w:numId w:val="116"/>
        </w:numPr>
        <w:spacing w:before="160" w:after="160" w:line="240" w:lineRule="auto"/>
        <w:ind w:left="1069"/>
        <w:contextualSpacing/>
        <w:jc w:val="both"/>
        <w:rPr>
          <w:rFonts w:cs="Times New Roman"/>
          <w:noProof/>
        </w:rPr>
      </w:pPr>
      <w:r w:rsidRPr="00BC4EE7">
        <w:rPr>
          <w:rFonts w:cs="Times New Roman"/>
          <w:noProof/>
        </w:rPr>
        <w:t>A turisztikai fenntarthatóságra vonatkozó területi tervek előkészítése és végrehajtása a célállomásokon. Ezeket a három illetékes közigazgatási szerv és a turisztikai ökoszisztéma különböző állami és magánszereplői közötti, részvételen alapuló és együttműködésen alapuló folyamat keretében kell kidolgozni. Lehetővé kell tenniük minden terület és úti cél számára, hogy a turizmustervezési hatásköreik gyakorlása során és a spanyol kormány által jóváhagyott turisztikai fenntarthatósági stratégia keretében reagáljanak a turizmus fenntarthatóságával kapcsolatos kihívásokra. Ezek a tervek a következő területeken megvalósuló cselekvésekből állnak:</w:t>
      </w:r>
    </w:p>
    <w:p w14:paraId="065201EE" w14:textId="77777777" w:rsidR="00D65CB4" w:rsidRPr="00BC4EE7" w:rsidRDefault="00572307">
      <w:pPr>
        <w:pStyle w:val="P68B1DB1-ListParagraph6"/>
        <w:numPr>
          <w:ilvl w:val="1"/>
          <w:numId w:val="117"/>
        </w:numPr>
        <w:spacing w:before="160" w:line="240" w:lineRule="auto"/>
        <w:ind w:left="1786" w:hanging="357"/>
        <w:rPr>
          <w:rFonts w:cs="Times New Roman"/>
          <w:noProof/>
        </w:rPr>
      </w:pPr>
      <w:r w:rsidRPr="00BC4EE7">
        <w:rPr>
          <w:rFonts w:cs="Times New Roman"/>
          <w:noProof/>
        </w:rPr>
        <w:t>Zöld átállás, beleértve az e beruházás keretében megvalósuló, a környezet helyreállítására, a védett természeti területeken a közhasználat kezelésére, a turisztikai tanúsítási rendszerek végrehajtására, a körforgásos gazdasággal kapcsolatos intézkedések végrehajtására a közszolgáltatásokban, valamint a kerékpáros/falítható vidéki utak építésére irányuló intézkedéseket.</w:t>
      </w:r>
    </w:p>
    <w:p w14:paraId="1320C32F" w14:textId="77777777" w:rsidR="00D65CB4" w:rsidRPr="00BC4EE7" w:rsidRDefault="00572307">
      <w:pPr>
        <w:pStyle w:val="P68B1DB1-Normal4"/>
        <w:numPr>
          <w:ilvl w:val="1"/>
          <w:numId w:val="117"/>
        </w:numPr>
        <w:spacing w:before="160" w:after="160" w:line="240" w:lineRule="auto"/>
        <w:ind w:left="1789"/>
        <w:contextualSpacing/>
        <w:jc w:val="both"/>
        <w:rPr>
          <w:rFonts w:cs="Times New Roman"/>
          <w:noProof/>
        </w:rPr>
      </w:pPr>
      <w:r w:rsidRPr="00BC4EE7">
        <w:rPr>
          <w:rFonts w:cs="Times New Roman"/>
          <w:noProof/>
        </w:rPr>
        <w:t>Energiahatékonyság, beleértve az épületek, a közcélú infrastruktúra és szolgáltatások szén-dioxid-kibocsátásának csökkentésére, az éghajlatváltozás mérséklésére, a környezetvédelmi technológiák bevezetésére, a szén-dioxid-mentesítésre és a fenntartható mobilitás előmozdítására, illetve a városi környezet javítására irányuló e beruházás keretében hozott intézkedéseket.</w:t>
      </w:r>
    </w:p>
    <w:p w14:paraId="6AEC8CA2" w14:textId="77777777" w:rsidR="00D65CB4" w:rsidRPr="00BC4EE7" w:rsidRDefault="00572307">
      <w:pPr>
        <w:pStyle w:val="P68B1DB1-Normal7"/>
        <w:numPr>
          <w:ilvl w:val="1"/>
          <w:numId w:val="117"/>
        </w:numPr>
        <w:spacing w:before="160" w:after="160" w:line="240" w:lineRule="auto"/>
        <w:ind w:left="1789"/>
        <w:contextualSpacing/>
        <w:jc w:val="both"/>
        <w:rPr>
          <w:rFonts w:cs="Times New Roman"/>
          <w:noProof/>
          <w:sz w:val="24"/>
        </w:rPr>
      </w:pPr>
      <w:r w:rsidRPr="00BC4EE7">
        <w:rPr>
          <w:rFonts w:cs="Times New Roman"/>
          <w:noProof/>
          <w:sz w:val="24"/>
        </w:rPr>
        <w:t>Digitális transzformáció, beleértve az e beruházás keretében a turisztikai célpontokon nyújtott szolgáltatások digitalizálására, az úti cél digitális lábnyomának fejlesztésére, illetve a piaci hírszerzésre és a turisztikai kereslet kezelésére irányuló intézkedéseket</w:t>
      </w:r>
      <w:r w:rsidRPr="00BC4EE7">
        <w:rPr>
          <w:rFonts w:cs="Times New Roman"/>
          <w:noProof/>
          <w:sz w:val="18"/>
        </w:rPr>
        <w:t xml:space="preserve">. </w:t>
      </w:r>
    </w:p>
    <w:p w14:paraId="0FDC034A" w14:textId="77777777" w:rsidR="00D65CB4" w:rsidRPr="00BC4EE7" w:rsidRDefault="00572307">
      <w:pPr>
        <w:pStyle w:val="P68B1DB1-Normal4"/>
        <w:numPr>
          <w:ilvl w:val="1"/>
          <w:numId w:val="117"/>
        </w:numPr>
        <w:spacing w:before="160" w:after="160" w:line="240" w:lineRule="auto"/>
        <w:ind w:left="1789"/>
        <w:contextualSpacing/>
        <w:jc w:val="both"/>
        <w:rPr>
          <w:rFonts w:cs="Times New Roman"/>
          <w:noProof/>
        </w:rPr>
      </w:pPr>
      <w:r w:rsidRPr="00BC4EE7">
        <w:rPr>
          <w:rFonts w:cs="Times New Roman"/>
          <w:noProof/>
        </w:rPr>
        <w:t>A versenyképesség átalakulása, beleértve az e beruházás keretében megvalósuló intézkedéseket, amelyek célja a hozzáférhetőség kiterjesztése a célállomáson keresztül, a helyi tömegközlekedési infrastruktúrák javítása vagy a munkahelyteremtés előmozdítása új turisztikai termékek – például kulturális, természet-, gasztronómiai vagy hagyományos kézművesség és ipar – fejlesztése révén.</w:t>
      </w:r>
    </w:p>
    <w:p w14:paraId="0676D8AC" w14:textId="77777777" w:rsidR="00D65CB4" w:rsidRPr="00BC4EE7" w:rsidRDefault="00572307">
      <w:pPr>
        <w:pStyle w:val="P68B1DB1-Normal4"/>
        <w:numPr>
          <w:ilvl w:val="0"/>
          <w:numId w:val="114"/>
        </w:numPr>
        <w:spacing w:before="160" w:after="160" w:line="240" w:lineRule="auto"/>
        <w:ind w:left="360"/>
        <w:contextualSpacing/>
        <w:jc w:val="both"/>
        <w:rPr>
          <w:rFonts w:cs="Times New Roman"/>
          <w:noProof/>
        </w:rPr>
      </w:pPr>
      <w:r w:rsidRPr="00BC4EE7">
        <w:rPr>
          <w:rFonts w:cs="Times New Roman"/>
          <w:noProof/>
        </w:rPr>
        <w:t>Az idegenforgalmi ágazatra vonatkozó szociális fenntarthatósági terv.</w:t>
      </w:r>
    </w:p>
    <w:p w14:paraId="1862E719" w14:textId="77777777" w:rsidR="00D65CB4" w:rsidRPr="00BC4EE7" w:rsidRDefault="00572307">
      <w:pPr>
        <w:pStyle w:val="P68B1DB1-Normal4"/>
        <w:numPr>
          <w:ilvl w:val="0"/>
          <w:numId w:val="114"/>
        </w:numPr>
        <w:spacing w:before="120" w:after="120" w:line="240" w:lineRule="auto"/>
        <w:ind w:left="360"/>
        <w:contextualSpacing/>
        <w:jc w:val="both"/>
        <w:rPr>
          <w:rFonts w:cs="Times New Roman"/>
          <w:noProof/>
        </w:rPr>
      </w:pPr>
      <w:r w:rsidRPr="00BC4EE7">
        <w:rPr>
          <w:rFonts w:cs="Times New Roman"/>
          <w:noProof/>
        </w:rPr>
        <w:t>A meglévő spanyol turisztikai minőségi rendszer (SICTED) átalakítása a turisztikai célpontok átfogó turizmusfenntarthatósági rendszerévé. Ez magában foglalja új folyamat és iránymutatás kidolgozását, a meglévő informatikai platform korszerűsítését, a turizmus fenntarthatóságát elősegítő új szereplők képzését, valamint a turisztikai lakások spanyolországi piacának elemzésére és nyomon követésére szolgáló adatösszevonási mechanizmus kidolgozását.</w:t>
      </w:r>
    </w:p>
    <w:p w14:paraId="25486ECB"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Az e beruházás keretében végrehajtott intézkedésekre 2021. január 1. és 2026. június 30. között kerül sor, a helyi hatóságoknak történő kifizetésekkel a 2021. január 1. és 2023. december 31. közötti időszakban, a végrehajtás pedig 2026-ig tart. Az e beruházás keretében a turisztikai célpontok fenntarthatóságát előmozdító projekteket 2026. június 30-ig be kell fejezni. </w:t>
      </w:r>
    </w:p>
    <w:p w14:paraId="66CF2AE0" w14:textId="173CF646" w:rsidR="00D65CB4" w:rsidRPr="00BC4EE7" w:rsidRDefault="00572307">
      <w:pPr>
        <w:pStyle w:val="Text1"/>
        <w:ind w:left="0"/>
        <w:rPr>
          <w:rFonts w:ascii="Times New Roman" w:hAnsi="Times New Roman" w:cs="Times New Roman"/>
          <w:noProof/>
          <w:highlight w:val="green"/>
        </w:rPr>
      </w:pPr>
      <w:r w:rsidRPr="00BC4EE7">
        <w:rPr>
          <w:rFonts w:ascii="Times New Roman" w:hAnsi="Times New Roman" w:cs="Times New Roman"/>
          <w:noProof/>
        </w:rPr>
        <w:t>Annak biztosítása érdekében, hogy az intézkedés megfeleljen a jelentős károkozás elkerülését célzó elvről szóló technikai iránymutatásnak (2021/C58/01), a soron következő pályázati felhívásokra vonatkozó feladatmeghatározásban szereplő támogathatósági kritériumok nem tartalmazzák a tevékenységek alábbi listáját: a fosszilis tüzelőanyagokkal kapcsolatos tevékenységek, beleértve a továbbfelhasználást is</w:t>
      </w:r>
      <w:r w:rsidRPr="00BC4EE7">
        <w:rPr>
          <w:rStyle w:val="FootnoteReference"/>
          <w:rFonts w:ascii="Times New Roman" w:hAnsi="Times New Roman" w:cs="Times New Roman"/>
          <w:noProof/>
        </w:rPr>
        <w:footnoteReference w:id="152"/>
      </w:r>
      <w:r w:rsidRPr="00BC4EE7">
        <w:rPr>
          <w:rFonts w:ascii="Times New Roman" w:hAnsi="Times New Roman" w:cs="Times New Roman"/>
          <w:noProof/>
        </w:rPr>
        <w:t>; ii. az uniós kibocsátáskereskedelmi rendszer (ETS) keretében végzett tevékenységek, amelyek elérik a vonatkozó referenciaértékeket meg nem haladó, előre jelzett üvegházhatásúgáz-kibocsátást</w:t>
      </w:r>
      <w:r w:rsidRPr="00BC4EE7">
        <w:rPr>
          <w:rStyle w:val="FootnoteReference"/>
          <w:rFonts w:ascii="Times New Roman" w:hAnsi="Times New Roman" w:cs="Times New Roman"/>
          <w:noProof/>
        </w:rPr>
        <w:footnoteReference w:id="153"/>
      </w:r>
      <w:r w:rsidRPr="00BC4EE7">
        <w:rPr>
          <w:rFonts w:ascii="Times New Roman" w:hAnsi="Times New Roman" w:cs="Times New Roman"/>
          <w:noProof/>
        </w:rPr>
        <w:t>; hulladéklerakókkal, hulladékégetőkkel</w:t>
      </w:r>
      <w:r w:rsidRPr="00BC4EE7">
        <w:rPr>
          <w:rStyle w:val="FootnoteReference"/>
          <w:rFonts w:ascii="Times New Roman" w:hAnsi="Times New Roman" w:cs="Times New Roman"/>
          <w:noProof/>
        </w:rPr>
        <w:footnoteReference w:id="154"/>
      </w:r>
      <w:r w:rsidRPr="00BC4EE7">
        <w:rPr>
          <w:rFonts w:ascii="Times New Roman" w:hAnsi="Times New Roman" w:cs="Times New Roman"/>
          <w:noProof/>
        </w:rPr>
        <w:t xml:space="preserve"> és mechanikai-biológiai hulladékkezelő létesítményekkel kapcsolatos tevékenységek</w:t>
      </w:r>
      <w:r w:rsidRPr="00BC4EE7">
        <w:rPr>
          <w:rStyle w:val="FootnoteReference"/>
          <w:rFonts w:ascii="Times New Roman" w:hAnsi="Times New Roman" w:cs="Times New Roman"/>
          <w:noProof/>
        </w:rPr>
        <w:footnoteReference w:id="155"/>
      </w:r>
      <w:r w:rsidRPr="00BC4EE7">
        <w:rPr>
          <w:rFonts w:ascii="Times New Roman" w:hAnsi="Times New Roman" w:cs="Times New Roman"/>
          <w:noProof/>
        </w:rPr>
        <w:t>; valamint iv. azok a tevékenységek, amelyek esetében a hulladék hosszú távú ártalmatlanítása károsíthatja a környezetet. A feladatmeghatározás előírja továbbá, hogy csak olyan tevékenységek választhatók ki, amelyek megfelelnek a vonatkozó uniós és nemzeti környezetvédelmi jogszabályoknak. A kiválasztási kritériumoknak biztosítaniuk kell továbbá, hogy csak olyan tevékenységek támogathatók, amelyek megfelelnek a vonatkozó uniós és nemzeti környezetvédelmi jogszabályoknak. A kiválasztási kritériumoknak biztosítaniuk kell, hogy a Helyreállítási és Rezilienciaépítési Eszközről szóló rendelet VI. mellékletével összhangban legalább 359 millió EUR 100%-os éghajlati együtthatóval, legalább 519 millió EUR pedig 40%-os éghajlati együtthatóval járuljon hozzá az éghajlatváltozással kapcsolatos célkitűzésekhez. Alternatív megoldásként a kiválasztási kritériumoknak biztosítaniuk kell, hogy legalább 1788.6 millió EUR az (EU) 2021/241 európai parlamenti és tanácsi rendelet VI. mellékletével összhangban legalább 31,7%-os átlagos éghajlati együtthatóval járuljon hozzá az éghajlatváltozással kapcsolatos célkitűzésekhez. Ez az átlagos hozzájárulási arány az (EU) 2021/241 rendelet VI. mellékletében meghatározott beavatkozási területek teljes skálájának felhasználásával érhető el.</w:t>
      </w:r>
    </w:p>
    <w:p w14:paraId="34ACB801"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beruházás végrehajtását 2026. június 30-ig be kell fejezni.</w:t>
      </w:r>
    </w:p>
    <w:p w14:paraId="611BD607" w14:textId="77777777" w:rsidR="00D65CB4" w:rsidRPr="00BC4EE7" w:rsidRDefault="00572307">
      <w:pPr>
        <w:pStyle w:val="P68B1DB1-Normal5"/>
        <w:keepNext/>
        <w:spacing w:before="120" w:after="120" w:line="240" w:lineRule="auto"/>
        <w:jc w:val="both"/>
        <w:rPr>
          <w:rFonts w:cs="Times New Roman"/>
          <w:noProof/>
        </w:rPr>
      </w:pPr>
      <w:r w:rsidRPr="00BC4EE7">
        <w:rPr>
          <w:rFonts w:cs="Times New Roman"/>
          <w:noProof/>
        </w:rPr>
        <w:t>Beruházás (C14.I2) – Digitalizáció és hírszerzési program az úti célok és az idegenforgalmi ágazat számára</w:t>
      </w:r>
    </w:p>
    <w:p w14:paraId="03EEB851" w14:textId="77777777" w:rsidR="00D65CB4" w:rsidRPr="00BC4EE7" w:rsidRDefault="00572307">
      <w:pPr>
        <w:pStyle w:val="P68B1DB1-Normal4"/>
        <w:keepNext/>
        <w:spacing w:before="120" w:after="120" w:line="240" w:lineRule="auto"/>
        <w:jc w:val="both"/>
        <w:rPr>
          <w:rFonts w:cs="Times New Roman"/>
          <w:noProof/>
        </w:rPr>
      </w:pPr>
      <w:r w:rsidRPr="00BC4EE7">
        <w:rPr>
          <w:rFonts w:cs="Times New Roman"/>
          <w:noProof/>
        </w:rPr>
        <w:t xml:space="preserve">Az e beruházás keretében végrehajtott intézkedések célja egy intelligens úticél-platform kialakítása, amely interoperábilis köz- és magánszolgáltatásokat bocsát a turisták rendelkezésére.  Ezt ki kell egészíteni az idegenforgalmi információs rendszer fejlesztésével és a spanyol intelligens úti célok hálózatának fellendítésére irányuló kezdeményezésekkel. Az e beruházás keretében végrehajtott intézkedéseknek támogatniuk kell a mesterséges intelligencián és más alaptechnológiákon alapuló digitális megoldásokat is az idegenforgalmi ágazatban működő vállalkozásokban, valamint finanszírozást kell biztosítaniuk az ipari adatterek fejlesztéséhez és a digitális innováció előmozdításához az idegenforgalmi ágazatban. </w:t>
      </w:r>
    </w:p>
    <w:p w14:paraId="7821B2DF"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Az e beruházás keretében megvalósuló cselekvésekre ajánlati felhívások és közvetlen beruházások útján kerül sor. Legalább 1000 vállalatnak vagy klaszternek kell finanszírozásban részesülnie a mesterséges intelligenciához és más alaptechnológiákhoz kapcsolódó beruházási projektekből, és 2025. június 30-ig létre kell hozni egy intelligens úticél-platformot.</w:t>
      </w:r>
    </w:p>
    <w:p w14:paraId="3FD7FEBC"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beruházás végrehajtását 2025. június 30-ig be kell fejezni.</w:t>
      </w:r>
    </w:p>
    <w:p w14:paraId="5C545786"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(C14.I3) – Turisztikai rezilienciastratégiák a félszigeten kívüli területeken</w:t>
      </w:r>
    </w:p>
    <w:p w14:paraId="2AAE98BB"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beruházás a Baleár-szigeteket, a Kanári-szigeteket, Ceutát és Melillát célozza azzal a céllal, hogy kezelje az idegenforgalmi ágazat előtt álló sajátos kihívásokat ezeken a területeken. Az intézkedések javítják e területek versenyképességét és azon képességét, hogy alkalmazkodjanak a nemzetközi piacokon bekövetkező változásokhoz, és a következőkből állnak:</w:t>
      </w:r>
    </w:p>
    <w:p w14:paraId="07260ABD" w14:textId="77777777" w:rsidR="00D65CB4" w:rsidRPr="00BC4EE7" w:rsidRDefault="00572307">
      <w:pPr>
        <w:pStyle w:val="P68B1DB1-ListParagraph6"/>
        <w:numPr>
          <w:ilvl w:val="0"/>
          <w:numId w:val="721"/>
        </w:numPr>
        <w:spacing w:before="120" w:line="240" w:lineRule="auto"/>
        <w:jc w:val="both"/>
        <w:rPr>
          <w:rFonts w:cs="Times New Roman"/>
          <w:noProof/>
        </w:rPr>
      </w:pPr>
      <w:r w:rsidRPr="00BC4EE7">
        <w:rPr>
          <w:rFonts w:cs="Times New Roman"/>
          <w:noProof/>
        </w:rPr>
        <w:t>állami infrastruktúra, különös tekintettel a nyilvános terek fejlesztésére a turizmus, a környezetgazdálkodás és a hulladékkezelés előmozdítása érdekében, valamint az elavult turisztikai infrastruktúra átminősítésére;</w:t>
      </w:r>
    </w:p>
    <w:p w14:paraId="5976AF1A" w14:textId="77777777" w:rsidR="00D65CB4" w:rsidRPr="00BC4EE7" w:rsidRDefault="00572307">
      <w:pPr>
        <w:pStyle w:val="P68B1DB1-ListParagraph6"/>
        <w:numPr>
          <w:ilvl w:val="0"/>
          <w:numId w:val="721"/>
        </w:numPr>
        <w:spacing w:before="120" w:line="240" w:lineRule="auto"/>
        <w:jc w:val="both"/>
        <w:rPr>
          <w:rFonts w:cs="Times New Roman"/>
          <w:noProof/>
        </w:rPr>
      </w:pPr>
      <w:r w:rsidRPr="00BC4EE7">
        <w:rPr>
          <w:rFonts w:cs="Times New Roman"/>
          <w:noProof/>
        </w:rPr>
        <w:t>a közszolgáltatások megerősítése a turisták különleges befolyása alatt álló területeken: igazgatási, biztonsági és egészségügyi szolgáltatások;</w:t>
      </w:r>
    </w:p>
    <w:p w14:paraId="39286C5C" w14:textId="77777777" w:rsidR="00D65CB4" w:rsidRPr="00BC4EE7" w:rsidRDefault="00572307">
      <w:pPr>
        <w:pStyle w:val="P68B1DB1-ListParagraph6"/>
        <w:numPr>
          <w:ilvl w:val="0"/>
          <w:numId w:val="721"/>
        </w:numPr>
        <w:spacing w:before="120" w:line="240" w:lineRule="auto"/>
        <w:jc w:val="both"/>
        <w:rPr>
          <w:rFonts w:cs="Times New Roman"/>
          <w:noProof/>
        </w:rPr>
      </w:pPr>
      <w:r w:rsidRPr="00BC4EE7">
        <w:rPr>
          <w:rFonts w:cs="Times New Roman"/>
          <w:noProof/>
        </w:rPr>
        <w:t>képzés, különös tekintettel az idegenforgalmi ágazathoz kapcsolódó ifjúsági képzésre;</w:t>
      </w:r>
    </w:p>
    <w:p w14:paraId="5ED1DF2F" w14:textId="77777777" w:rsidR="00D65CB4" w:rsidRPr="00BC4EE7" w:rsidRDefault="00572307">
      <w:pPr>
        <w:pStyle w:val="P68B1DB1-ListParagraph6"/>
        <w:numPr>
          <w:ilvl w:val="0"/>
          <w:numId w:val="721"/>
        </w:numPr>
        <w:spacing w:before="120" w:line="240" w:lineRule="auto"/>
        <w:jc w:val="both"/>
        <w:rPr>
          <w:rFonts w:cs="Times New Roman"/>
          <w:noProof/>
        </w:rPr>
      </w:pPr>
      <w:r w:rsidRPr="00BC4EE7">
        <w:rPr>
          <w:rFonts w:cs="Times New Roman"/>
          <w:noProof/>
        </w:rPr>
        <w:t>alternatív turisztikai termékek kifejlesztése és a turisztikai kínálat korszerűsítése;</w:t>
      </w:r>
    </w:p>
    <w:p w14:paraId="346BFF24" w14:textId="77777777" w:rsidR="00D65CB4" w:rsidRPr="00BC4EE7" w:rsidRDefault="00572307">
      <w:pPr>
        <w:pStyle w:val="P68B1DB1-ListParagraph6"/>
        <w:numPr>
          <w:ilvl w:val="0"/>
          <w:numId w:val="721"/>
        </w:numPr>
        <w:spacing w:before="120" w:line="240" w:lineRule="auto"/>
        <w:jc w:val="both"/>
        <w:rPr>
          <w:rFonts w:cs="Times New Roman"/>
          <w:noProof/>
        </w:rPr>
      </w:pPr>
      <w:r w:rsidRPr="00BC4EE7">
        <w:rPr>
          <w:rFonts w:cs="Times New Roman"/>
          <w:noProof/>
        </w:rPr>
        <w:t>a területekkel való összeköttetést megkönnyítő ösztönzők, valamint a turisztikai vállalatok számára, hogy a főszezonon kívül működjenek;</w:t>
      </w:r>
    </w:p>
    <w:p w14:paraId="2E27E597" w14:textId="77777777" w:rsidR="00D65CB4" w:rsidRPr="00BC4EE7" w:rsidRDefault="00572307">
      <w:pPr>
        <w:pStyle w:val="P68B1DB1-ListParagraph6"/>
        <w:numPr>
          <w:ilvl w:val="0"/>
          <w:numId w:val="721"/>
        </w:numPr>
        <w:spacing w:before="120" w:line="240" w:lineRule="auto"/>
        <w:jc w:val="both"/>
        <w:rPr>
          <w:rFonts w:cs="Times New Roman"/>
          <w:noProof/>
        </w:rPr>
      </w:pPr>
      <w:r w:rsidRPr="00BC4EE7">
        <w:rPr>
          <w:rFonts w:cs="Times New Roman"/>
          <w:noProof/>
        </w:rPr>
        <w:t>a nemzeti és nemzetközi félszigeten kívüli területek mint történelmi kulturális jelentőségű turisztikai célpontok népszerűsítése; és</w:t>
      </w:r>
    </w:p>
    <w:p w14:paraId="4B9F9FB5" w14:textId="77777777" w:rsidR="00D65CB4" w:rsidRPr="00BC4EE7" w:rsidRDefault="00572307">
      <w:pPr>
        <w:pStyle w:val="P68B1DB1-ListParagraph6"/>
        <w:numPr>
          <w:ilvl w:val="0"/>
          <w:numId w:val="721"/>
        </w:numPr>
        <w:spacing w:before="120" w:line="240" w:lineRule="auto"/>
        <w:jc w:val="both"/>
        <w:rPr>
          <w:rFonts w:cs="Times New Roman"/>
          <w:noProof/>
        </w:rPr>
      </w:pPr>
      <w:r w:rsidRPr="00BC4EE7">
        <w:rPr>
          <w:rFonts w:cs="Times New Roman"/>
          <w:noProof/>
        </w:rPr>
        <w:t>szezonálisan kiigazított stratégiai promóciók, különös tekintettel az online marketingstratégiákra, a nyelvi hozzáférhetőségre, a multimédiás eszközök proaktív kapacitására és az intézményi vendégkapcsolat-kezelésre (CRM).</w:t>
      </w:r>
    </w:p>
    <w:p w14:paraId="45BEB207"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2025 júniusáig legalább 400 gazdasági és társadalmi szereplő részesült volna a félszigeten kívüli régiókban végrehajtott beruházások előnyeiből.</w:t>
      </w:r>
    </w:p>
    <w:p w14:paraId="3FC09720"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beruházás végrehajtását 2025. június 30-ig be kell fejezni.</w:t>
      </w:r>
    </w:p>
    <w:p w14:paraId="5A7285A2"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(C14.I4) – Különleges intézkedések a versenyképesség területén</w:t>
      </w:r>
    </w:p>
    <w:p w14:paraId="767D7DFA"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beruházás az idegenforgalmi ágazat versenyképességének javítását célzó intézkedéscsomagot tartalmaz. Az e beruházás keretében támogatandó egyedi intézkedések a következőket foglalják magukban:</w:t>
      </w:r>
    </w:p>
    <w:p w14:paraId="4756CFC3" w14:textId="77777777" w:rsidR="00D65CB4" w:rsidRPr="00BC4EE7" w:rsidRDefault="00572307">
      <w:pPr>
        <w:pStyle w:val="P68B1DB1-ListParagraph6"/>
        <w:numPr>
          <w:ilvl w:val="0"/>
          <w:numId w:val="722"/>
        </w:numPr>
        <w:spacing w:before="120" w:line="240" w:lineRule="auto"/>
        <w:jc w:val="both"/>
        <w:rPr>
          <w:rFonts w:cs="Times New Roman"/>
          <w:noProof/>
        </w:rPr>
      </w:pPr>
      <w:r w:rsidRPr="00BC4EE7">
        <w:rPr>
          <w:rFonts w:cs="Times New Roman"/>
          <w:noProof/>
        </w:rPr>
        <w:t>a turisztikai termékek fejlesztése a fenntartható idegenforgalmi termékfejlesztési stratégiával összhangban, amely többek között a következő indikatív kategóriákra terjed ki: gasztronómiai turizmus, kulturális turizmus, városi turizmus, ökoturizmus, üzleti turizmus, sportturizmus, például kerékpározás, örökségi és vallási turizmus;</w:t>
      </w:r>
    </w:p>
    <w:p w14:paraId="686D5410" w14:textId="77777777" w:rsidR="00D65CB4" w:rsidRPr="00BC4EE7" w:rsidRDefault="00572307">
      <w:pPr>
        <w:pStyle w:val="P68B1DB1-ListParagraph6"/>
        <w:numPr>
          <w:ilvl w:val="0"/>
          <w:numId w:val="722"/>
        </w:numPr>
        <w:spacing w:before="120" w:after="120" w:line="240" w:lineRule="auto"/>
        <w:jc w:val="both"/>
        <w:rPr>
          <w:rFonts w:cs="Times New Roman"/>
          <w:noProof/>
        </w:rPr>
      </w:pPr>
      <w:r w:rsidRPr="00BC4EE7">
        <w:rPr>
          <w:rFonts w:cs="Times New Roman"/>
          <w:noProof/>
        </w:rPr>
        <w:t xml:space="preserve">az idegenforgalmi létesítmények éves hulladék- vagy energiafogyasztásának csökkentését célzó projektek. Az energiafogyasztás csökkentése érdekében a konkrét intézkedések közé tartozik az energiafogyasztás nyomon követésére és optimalizálására szolgáló érzékelők telepítése, az energiagazdálkodási rendszerek (mint például az ISO 500001 tanúsítvánnyal rendelkező rendszerek) használatának előmozdítása, a termikusan hatékony anyagok használata, az energiahatékony technológiák alkalmazása, valamint külső elemek, például árnyalatok vagy kertek használata. A hulladék csökkentésére irányuló konkrét intézkedések közé tartoznak a hulladéknak a forrásnál történő elkülönítésére vonatkozó tervek, valamint a hulladék újrafelhasználását és újrafeldolgozását előmozdító intézkedések. A további intézkedések közé tartoznak a turisztikai létesítményekben dolgozó személyzetnek szóló, energiahatékonysággal és hulladékgazdálkodással kapcsolatos figyelemfelkeltő kampányok és képzések, valamint a helyi készletek előállításának és beszerzésének előmozdítása; </w:t>
      </w:r>
    </w:p>
    <w:p w14:paraId="453EDD0D" w14:textId="77777777" w:rsidR="00D65CB4" w:rsidRPr="00BC4EE7" w:rsidRDefault="00572307">
      <w:pPr>
        <w:pStyle w:val="P68B1DB1-ListParagraph6"/>
        <w:numPr>
          <w:ilvl w:val="0"/>
          <w:numId w:val="722"/>
        </w:numPr>
        <w:spacing w:before="120" w:after="120" w:line="240" w:lineRule="auto"/>
        <w:jc w:val="both"/>
        <w:rPr>
          <w:rFonts w:cs="Times New Roman"/>
          <w:noProof/>
        </w:rPr>
      </w:pPr>
      <w:r w:rsidRPr="00BC4EE7">
        <w:rPr>
          <w:rFonts w:cs="Times New Roman"/>
          <w:noProof/>
        </w:rPr>
        <w:t>a történelmi turisztikai örökség helyszíneinek rehabilitációja és rehabilitációja, beleértve i. a szénlábnyom csökkentését és kompenzálását az üvegházhatást okozó gázok kibocsátásának csökkentésére irányuló cselekvési tervek kidolgozása révén, ii. a helyszínek öko-rehabilitációja, iii. az energiahatékonyság javítása a dízel- vagy üzemanyagkazánok földgázkazánokkal való helyettesítése révén, iv. az éghajlatváltozáshoz való alkalmazkodást célzó intézkedések, v. a szürke vízkezelő rendszerek javítása, vii. a hulladékgazdálkodási rendszerek korszerűsítése, vii. a területek intelligens technológiákkal történő rehabilitációja és használata, viii. az energia- és vízfogyasztás csökkentésére irányuló intézkedések; és</w:t>
      </w:r>
    </w:p>
    <w:p w14:paraId="17B32380" w14:textId="77777777" w:rsidR="00D65CB4" w:rsidRPr="00BC4EE7" w:rsidRDefault="00572307">
      <w:pPr>
        <w:pStyle w:val="P68B1DB1-ListParagraph6"/>
        <w:numPr>
          <w:ilvl w:val="0"/>
          <w:numId w:val="722"/>
        </w:numPr>
        <w:spacing w:before="120" w:after="120" w:line="240" w:lineRule="auto"/>
        <w:jc w:val="both"/>
        <w:rPr>
          <w:rFonts w:cs="Times New Roman"/>
          <w:noProof/>
        </w:rPr>
      </w:pPr>
      <w:r w:rsidRPr="00BC4EE7">
        <w:rPr>
          <w:rFonts w:cs="Times New Roman"/>
          <w:noProof/>
        </w:rPr>
        <w:t xml:space="preserve">a kereskedelmi területek fejlesztése a nagy turisták beáramlásával jellemezhető helyi területeken, beleértve az új technológiákba való beruházás keretében végrehajtott intézkedéseket is; technológiai megoldások bevezetése az energiahatékonyság javítása érdekében; ökohatékony folyamatok, valamint a hulladék újrafeldolgozása és újrafelhasználása; munkaerő képzése;  a külföldi látogatók számára adaptált integrált digitális aláírás; valamint a nyilvános terek átalakítása a hozzáférhetőség és a mobilitás javítása érdekében. </w:t>
      </w:r>
    </w:p>
    <w:p w14:paraId="4E65AEEE" w14:textId="77777777" w:rsidR="00D65CB4" w:rsidRPr="00BC4EE7" w:rsidRDefault="00D65CB4">
      <w:pPr>
        <w:spacing w:before="120" w:after="120" w:line="240" w:lineRule="auto"/>
        <w:ind w:left="360"/>
        <w:contextualSpacing/>
        <w:jc w:val="both"/>
        <w:rPr>
          <w:rFonts w:ascii="Times New Roman" w:hAnsi="Times New Roman" w:cs="Times New Roman"/>
          <w:noProof/>
          <w:sz w:val="24"/>
        </w:rPr>
      </w:pPr>
    </w:p>
    <w:p w14:paraId="2DF4BA9A"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2024. december 31-ig legalább 60 projektet kell befejezni a nagy turisztikai beáramlású helyi területeken található kereskedelmi területeken. A 2025. június 30-ig végrehajtott beruházásoknak a következőket kell eredményezniük: i. legalább 45 új turisztikai terméknek és ii. legalább 3400 turisztikai létesítménynek rendelkeznie kell az éves hulladék- vagy energiafogyasztás csökkentésére irányuló projektekkel. 2026. június 30-ig legalább 50 olyan projektet kell befejezni, amelyek történelmi turisztikai örökségi helyszíneket céloznak meg. </w:t>
      </w:r>
    </w:p>
    <w:p w14:paraId="20A76D21" w14:textId="77777777" w:rsidR="00D65CB4" w:rsidRPr="00BC4EE7" w:rsidRDefault="00572307">
      <w:pPr>
        <w:pStyle w:val="Text1"/>
        <w:ind w:left="0"/>
        <w:rPr>
          <w:rFonts w:ascii="Times New Roman" w:hAnsi="Times New Roman" w:cs="Times New Roman"/>
          <w:noProof/>
        </w:rPr>
      </w:pPr>
      <w:r w:rsidRPr="00BC4EE7">
        <w:rPr>
          <w:rFonts w:ascii="Times New Roman" w:hAnsi="Times New Roman" w:cs="Times New Roman"/>
          <w:noProof/>
        </w:rPr>
        <w:t>Annak biztosítása érdekében, hogy az intézkedés megfeleljen a jelentős károkozás elkerülését célzó elvről szóló technikai iránymutatásnak (2021/C58/01), a soron következő pályázati felhívásokra vonatkozó feladatmeghatározásban szereplő támogathatósági kritériumok nem tartalmazzák a tevékenységek alábbi listáját: a fosszilis tüzelőanyagokkal kapcsolatos tevékenységek, beleértve a továbbfelhasználást is</w:t>
      </w:r>
      <w:r w:rsidRPr="00BC4EE7">
        <w:rPr>
          <w:rStyle w:val="FootnoteReference"/>
          <w:rFonts w:ascii="Times New Roman" w:hAnsi="Times New Roman" w:cs="Times New Roman"/>
          <w:noProof/>
        </w:rPr>
        <w:footnoteReference w:id="156"/>
      </w:r>
      <w:r w:rsidRPr="00BC4EE7">
        <w:rPr>
          <w:rFonts w:ascii="Times New Roman" w:hAnsi="Times New Roman" w:cs="Times New Roman"/>
          <w:noProof/>
        </w:rPr>
        <w:t>; ii. az uniós kibocsátáskereskedelmi rendszer (ETS) keretében végzett tevékenységek, amelyek elérik a vonatkozó referenciaértékeket meg nem haladó, előre jelzett üvegházhatásúgáz-kibocsátást</w:t>
      </w:r>
      <w:r w:rsidRPr="00BC4EE7">
        <w:rPr>
          <w:rStyle w:val="FootnoteReference"/>
          <w:rFonts w:ascii="Times New Roman" w:hAnsi="Times New Roman" w:cs="Times New Roman"/>
          <w:noProof/>
        </w:rPr>
        <w:footnoteReference w:id="157"/>
      </w:r>
      <w:r w:rsidRPr="00BC4EE7">
        <w:rPr>
          <w:rFonts w:ascii="Times New Roman" w:hAnsi="Times New Roman" w:cs="Times New Roman"/>
          <w:noProof/>
        </w:rPr>
        <w:t>; hulladéklerakókkal, hulladékégetőkkel</w:t>
      </w:r>
      <w:r w:rsidRPr="00BC4EE7">
        <w:rPr>
          <w:rStyle w:val="FootnoteReference"/>
          <w:rFonts w:ascii="Times New Roman" w:hAnsi="Times New Roman" w:cs="Times New Roman"/>
          <w:noProof/>
        </w:rPr>
        <w:footnoteReference w:id="158"/>
      </w:r>
      <w:r w:rsidRPr="00BC4EE7">
        <w:rPr>
          <w:rFonts w:ascii="Times New Roman" w:hAnsi="Times New Roman" w:cs="Times New Roman"/>
          <w:noProof/>
        </w:rPr>
        <w:t xml:space="preserve"> és mechanikai-biológiai hulladékkezelő létesítményekkel kapcsolatos tevékenységek</w:t>
      </w:r>
      <w:r w:rsidRPr="00BC4EE7">
        <w:rPr>
          <w:rStyle w:val="FootnoteReference"/>
          <w:rFonts w:ascii="Times New Roman" w:hAnsi="Times New Roman" w:cs="Times New Roman"/>
          <w:noProof/>
        </w:rPr>
        <w:footnoteReference w:id="159"/>
      </w:r>
      <w:r w:rsidRPr="00BC4EE7">
        <w:rPr>
          <w:rFonts w:ascii="Times New Roman" w:hAnsi="Times New Roman" w:cs="Times New Roman"/>
          <w:noProof/>
        </w:rPr>
        <w:t>; valamint iv. azok a tevékenységek, amelyek esetében a hulladék hosszú távú ártalmatlanítása károsíthatja a környezetet. A feladatmeghatározás előírja továbbá, hogy csak olyan tevékenységek választhatók ki, amelyek megfelelnek a vonatkozó uniós és nemzeti környezetvédelmi jogszabályoknak.</w:t>
      </w:r>
    </w:p>
    <w:p w14:paraId="521253E5" w14:textId="77777777" w:rsidR="00D65CB4" w:rsidRPr="00BC4EE7" w:rsidRDefault="00572307">
      <w:pPr>
        <w:pStyle w:val="P68B1DB1-Text118"/>
        <w:ind w:left="0"/>
        <w:rPr>
          <w:rFonts w:eastAsia="Calibri" w:cs="Times New Roman"/>
          <w:noProof/>
        </w:rPr>
      </w:pPr>
      <w:r w:rsidRPr="00BC4EE7">
        <w:rPr>
          <w:rFonts w:cs="Times New Roman"/>
          <w:noProof/>
        </w:rPr>
        <w:t>A beruházás végrehajtását 2026. június 30-ig be kell fejezni.</w:t>
      </w:r>
    </w:p>
    <w:p w14:paraId="242947EB" w14:textId="77777777" w:rsidR="00D65CB4" w:rsidRPr="00BC4EE7" w:rsidRDefault="00D65CB4">
      <w:pPr>
        <w:pStyle w:val="Text1"/>
        <w:ind w:left="0"/>
        <w:rPr>
          <w:rFonts w:ascii="Times New Roman" w:eastAsia="Calibri" w:hAnsi="Times New Roman" w:cs="Times New Roman"/>
          <w:noProof/>
        </w:rPr>
      </w:pPr>
    </w:p>
    <w:p w14:paraId="5EB8C009" w14:textId="77777777" w:rsidR="00D65CB4" w:rsidRPr="00BC4EE7" w:rsidRDefault="00572307">
      <w:pPr>
        <w:keepNext/>
        <w:spacing w:before="120" w:after="120" w:line="240" w:lineRule="auto"/>
        <w:ind w:left="709"/>
        <w:jc w:val="both"/>
        <w:rPr>
          <w:rFonts w:ascii="Times New Roman" w:hAnsi="Times New Roman" w:cs="Times New Roman"/>
          <w:b/>
          <w:noProof/>
          <w:sz w:val="24"/>
          <w:u w:val="single"/>
        </w:rPr>
      </w:pPr>
      <w:r w:rsidRPr="00BC4EE7">
        <w:rPr>
          <w:rFonts w:ascii="Times New Roman" w:hAnsi="Times New Roman" w:cs="Times New Roman"/>
          <w:b/>
          <w:noProof/>
          <w:sz w:val="24"/>
          <w:u w:val="single"/>
        </w:rPr>
        <w:t xml:space="preserve">N.2.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Vissza nem térítendő pénzügyi támogatás – a végrehajtáshoz és a nyomon követéshez kapcsolódó mérföldkövek, célok, mutatók és ütemterv</w:t>
      </w:r>
    </w:p>
    <w:p w14:paraId="70AC05EA" w14:textId="77777777" w:rsidR="00D65CB4" w:rsidRPr="00BC4EE7" w:rsidRDefault="00572307">
      <w:pPr>
        <w:pStyle w:val="P68B1DB1-Normal4"/>
        <w:keepNext/>
        <w:spacing w:before="120" w:after="120" w:line="240" w:lineRule="auto"/>
        <w:jc w:val="both"/>
        <w:rPr>
          <w:rFonts w:cs="Times New Roman"/>
          <w:noProof/>
        </w:rPr>
      </w:pPr>
      <w:r w:rsidRPr="00BC4EE7">
        <w:rPr>
          <w:rFonts w:cs="Times New Roman"/>
          <w:i/>
          <w:noProof/>
        </w:rPr>
        <w:t>Táblázat alább.</w:t>
      </w:r>
      <w:r w:rsidRPr="00BC4EE7">
        <w:rPr>
          <w:rFonts w:cs="Times New Roman"/>
          <w:noProof/>
        </w:rPr>
        <w:t xml:space="preserve"> </w:t>
      </w:r>
      <w:r w:rsidRPr="00BC4EE7">
        <w:rPr>
          <w:rFonts w:cs="Times New Roman"/>
          <w:i/>
          <w:noProof/>
        </w:rPr>
        <w:t>Az összes mutató esetében az alapforgatókönyv időpontja 2020. február 1., kivéve, ha az intézkedés leírása ettől eltérően rendelkezik. A táblázatban szereplő összegek nem tartalmazzák a héát.</w:t>
      </w:r>
    </w:p>
    <w:p w14:paraId="126BCA63" w14:textId="77777777" w:rsidR="00D65CB4" w:rsidRPr="00BC4EE7" w:rsidRDefault="00D65CB4">
      <w:pPr>
        <w:spacing w:before="120" w:after="120" w:line="240" w:lineRule="auto"/>
        <w:jc w:val="both"/>
        <w:rPr>
          <w:rFonts w:ascii="Times New Roman" w:hAnsi="Times New Roman" w:cs="Times New Roman"/>
          <w:b/>
          <w:noProof/>
          <w:sz w:val="24"/>
          <w:u w:val="single"/>
        </w:rPr>
      </w:pPr>
    </w:p>
    <w:p w14:paraId="4C3FEC7D" w14:textId="77777777" w:rsidR="00D65CB4" w:rsidRPr="00BC4EE7" w:rsidRDefault="00D65CB4">
      <w:pPr>
        <w:spacing w:before="120" w:after="120" w:line="240" w:lineRule="auto"/>
        <w:ind w:left="709"/>
        <w:jc w:val="both"/>
        <w:rPr>
          <w:rFonts w:ascii="Times New Roman" w:hAnsi="Times New Roman" w:cs="Times New Roman"/>
          <w:noProof/>
          <w:sz w:val="24"/>
        </w:rPr>
      </w:pPr>
    </w:p>
    <w:p w14:paraId="4B605DE9" w14:textId="77777777" w:rsidR="00D65CB4" w:rsidRPr="00BC4EE7" w:rsidRDefault="00D65CB4">
      <w:pPr>
        <w:spacing w:before="120" w:after="120" w:line="240" w:lineRule="auto"/>
        <w:ind w:left="709"/>
        <w:jc w:val="both"/>
        <w:rPr>
          <w:rFonts w:ascii="Times New Roman" w:hAnsi="Times New Roman" w:cs="Times New Roman"/>
          <w:noProof/>
          <w:sz w:val="24"/>
        </w:rPr>
        <w:sectPr w:rsidR="00D65CB4" w:rsidRPr="00BC4EE7" w:rsidSect="009F15CE">
          <w:headerReference w:type="even" r:id="rId309"/>
          <w:headerReference w:type="default" r:id="rId310"/>
          <w:footerReference w:type="even" r:id="rId311"/>
          <w:footerReference w:type="default" r:id="rId312"/>
          <w:headerReference w:type="first" r:id="rId313"/>
          <w:footerReference w:type="first" r:id="rId314"/>
          <w:type w:val="continuous"/>
          <w:pgSz w:w="11907" w:h="16839"/>
          <w:pgMar w:top="1134" w:right="1134" w:bottom="1134" w:left="1134" w:header="567" w:footer="567" w:gutter="0"/>
          <w:cols w:space="720"/>
          <w:docGrid w:linePitch="360"/>
        </w:sectPr>
      </w:pPr>
    </w:p>
    <w:tbl>
      <w:tblPr>
        <w:tblW w:w="14884"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993"/>
        <w:gridCol w:w="992"/>
        <w:gridCol w:w="1134"/>
        <w:gridCol w:w="1276"/>
        <w:gridCol w:w="850"/>
        <w:gridCol w:w="992"/>
        <w:gridCol w:w="567"/>
        <w:gridCol w:w="426"/>
        <w:gridCol w:w="708"/>
        <w:gridCol w:w="6237"/>
      </w:tblGrid>
      <w:tr w:rsidR="00D65CB4" w:rsidRPr="00BC4EE7" w14:paraId="063DFD46" w14:textId="77777777" w:rsidTr="00BC4EE7">
        <w:trPr>
          <w:trHeight w:val="309"/>
          <w:tblHeader/>
        </w:trPr>
        <w:tc>
          <w:tcPr>
            <w:tcW w:w="709" w:type="dxa"/>
            <w:tcBorders>
              <w:bottom w:val="nil"/>
            </w:tcBorders>
            <w:shd w:val="clear" w:color="auto" w:fill="C6D9F1" w:themeFill="text2" w:themeFillTint="33"/>
            <w:noWrap/>
            <w:vAlign w:val="center"/>
          </w:tcPr>
          <w:p w14:paraId="4AFFA011"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Szám</w:t>
            </w:r>
          </w:p>
        </w:tc>
        <w:tc>
          <w:tcPr>
            <w:tcW w:w="993" w:type="dxa"/>
            <w:tcBorders>
              <w:bottom w:val="nil"/>
            </w:tcBorders>
            <w:shd w:val="clear" w:color="auto" w:fill="C6D9F1" w:themeFill="text2" w:themeFillTint="33"/>
            <w:noWrap/>
            <w:vAlign w:val="center"/>
          </w:tcPr>
          <w:p w14:paraId="4BAC7FA5"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Intézkedés</w:t>
            </w:r>
          </w:p>
        </w:tc>
        <w:tc>
          <w:tcPr>
            <w:tcW w:w="992" w:type="dxa"/>
            <w:tcBorders>
              <w:bottom w:val="nil"/>
            </w:tcBorders>
            <w:shd w:val="clear" w:color="auto" w:fill="C6D9F1" w:themeFill="text2" w:themeFillTint="33"/>
            <w:noWrap/>
            <w:vAlign w:val="center"/>
          </w:tcPr>
          <w:p w14:paraId="33A9C41E" w14:textId="77777777" w:rsidR="00D65CB4" w:rsidRPr="00BC4EE7" w:rsidRDefault="00572307">
            <w:pPr>
              <w:spacing w:after="0" w:line="240" w:lineRule="auto"/>
              <w:jc w:val="center"/>
              <w:rPr>
                <w:rFonts w:ascii="Times New Roman" w:hAnsi="Times New Roman" w:cs="Times New Roman"/>
                <w:b/>
                <w:noProof/>
                <w:sz w:val="18"/>
              </w:rPr>
            </w:pPr>
            <w:r w:rsidRPr="00BC4EE7">
              <w:rPr>
                <w:rFonts w:ascii="Times New Roman" w:hAnsi="Times New Roman" w:cs="Times New Roman"/>
                <w:b/>
                <w:noProof/>
                <w:sz w:val="18"/>
              </w:rPr>
              <w:t>Mérföldkő</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b/>
                <w:noProof/>
                <w:sz w:val="18"/>
              </w:rPr>
              <w:t xml:space="preserve"> /Cél</w:t>
            </w:r>
          </w:p>
        </w:tc>
        <w:tc>
          <w:tcPr>
            <w:tcW w:w="1134" w:type="dxa"/>
            <w:vMerge w:val="restart"/>
            <w:shd w:val="clear" w:color="auto" w:fill="C6D9F1" w:themeFill="text2" w:themeFillTint="33"/>
            <w:noWrap/>
            <w:vAlign w:val="center"/>
          </w:tcPr>
          <w:p w14:paraId="12D59150"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Név</w:t>
            </w:r>
          </w:p>
        </w:tc>
        <w:tc>
          <w:tcPr>
            <w:tcW w:w="1276" w:type="dxa"/>
            <w:vMerge w:val="restart"/>
            <w:shd w:val="clear" w:color="auto" w:fill="C6D9F1" w:themeFill="text2" w:themeFillTint="33"/>
            <w:noWrap/>
            <w:vAlign w:val="center"/>
          </w:tcPr>
          <w:p w14:paraId="26345872"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mérföldkövek minőségi mutatója</w:t>
            </w:r>
          </w:p>
        </w:tc>
        <w:tc>
          <w:tcPr>
            <w:tcW w:w="2409" w:type="dxa"/>
            <w:gridSpan w:val="3"/>
            <w:shd w:val="clear" w:color="auto" w:fill="C6D9F1" w:themeFill="text2" w:themeFillTint="33"/>
            <w:noWrap/>
            <w:vAlign w:val="center"/>
          </w:tcPr>
          <w:p w14:paraId="4131D199"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célérték mennyiségi mutatója</w:t>
            </w:r>
          </w:p>
        </w:tc>
        <w:tc>
          <w:tcPr>
            <w:tcW w:w="1134" w:type="dxa"/>
            <w:gridSpan w:val="2"/>
            <w:shd w:val="clear" w:color="auto" w:fill="C6D9F1" w:themeFill="text2" w:themeFillTint="33"/>
            <w:noWrap/>
            <w:vAlign w:val="center"/>
          </w:tcPr>
          <w:p w14:paraId="2F42BFA9"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Idő</w:t>
            </w:r>
          </w:p>
        </w:tc>
        <w:tc>
          <w:tcPr>
            <w:tcW w:w="6237" w:type="dxa"/>
            <w:vMerge w:val="restart"/>
            <w:shd w:val="clear" w:color="auto" w:fill="C6D9F1" w:themeFill="text2" w:themeFillTint="33"/>
            <w:noWrap/>
            <w:vAlign w:val="center"/>
          </w:tcPr>
          <w:p w14:paraId="2EBF9182"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Az egyes mérföldkövek és célértékek leírása</w:t>
            </w:r>
          </w:p>
        </w:tc>
      </w:tr>
      <w:tr w:rsidR="00D65CB4" w:rsidRPr="00BC4EE7" w14:paraId="4688A0EE" w14:textId="77777777" w:rsidTr="00BC4EE7">
        <w:trPr>
          <w:trHeight w:val="309"/>
          <w:tblHeader/>
        </w:trPr>
        <w:tc>
          <w:tcPr>
            <w:tcW w:w="709" w:type="dxa"/>
            <w:tcBorders>
              <w:top w:val="nil"/>
            </w:tcBorders>
            <w:shd w:val="clear" w:color="auto" w:fill="C6D9F1" w:themeFill="text2" w:themeFillTint="33"/>
            <w:noWrap/>
          </w:tcPr>
          <w:p w14:paraId="132A2021" w14:textId="77777777" w:rsidR="00D65CB4" w:rsidRPr="00BC4EE7" w:rsidRDefault="00D65CB4">
            <w:pPr>
              <w:spacing w:after="0" w:line="240" w:lineRule="auto"/>
              <w:jc w:val="center"/>
              <w:rPr>
                <w:rFonts w:ascii="Times New Roman" w:hAnsi="Times New Roman" w:cs="Times New Roman"/>
                <w:b/>
                <w:noProof/>
                <w:sz w:val="18"/>
              </w:rPr>
            </w:pPr>
          </w:p>
        </w:tc>
        <w:tc>
          <w:tcPr>
            <w:tcW w:w="993" w:type="dxa"/>
            <w:tcBorders>
              <w:top w:val="nil"/>
            </w:tcBorders>
            <w:shd w:val="clear" w:color="auto" w:fill="C6D9F1" w:themeFill="text2" w:themeFillTint="33"/>
            <w:noWrap/>
          </w:tcPr>
          <w:p w14:paraId="521F4038" w14:textId="77777777" w:rsidR="00D65CB4" w:rsidRPr="00BC4EE7" w:rsidRDefault="00D65CB4">
            <w:pPr>
              <w:spacing w:after="0" w:line="240" w:lineRule="auto"/>
              <w:jc w:val="center"/>
              <w:rPr>
                <w:rFonts w:ascii="Times New Roman" w:hAnsi="Times New Roman" w:cs="Times New Roman"/>
                <w:b/>
                <w:noProof/>
                <w:sz w:val="18"/>
              </w:rPr>
            </w:pPr>
          </w:p>
        </w:tc>
        <w:tc>
          <w:tcPr>
            <w:tcW w:w="992" w:type="dxa"/>
            <w:tcBorders>
              <w:top w:val="nil"/>
            </w:tcBorders>
            <w:shd w:val="clear" w:color="auto" w:fill="C6D9F1" w:themeFill="text2" w:themeFillTint="33"/>
            <w:noWrap/>
          </w:tcPr>
          <w:p w14:paraId="13EF80F5" w14:textId="77777777" w:rsidR="00D65CB4" w:rsidRPr="00BC4EE7" w:rsidRDefault="00D65CB4">
            <w:pPr>
              <w:spacing w:after="0" w:line="240" w:lineRule="auto"/>
              <w:jc w:val="center"/>
              <w:rPr>
                <w:rFonts w:ascii="Times New Roman" w:hAnsi="Times New Roman" w:cs="Times New Roman"/>
                <w:b/>
                <w:noProof/>
                <w:sz w:val="18"/>
              </w:rPr>
            </w:pPr>
          </w:p>
        </w:tc>
        <w:tc>
          <w:tcPr>
            <w:tcW w:w="1134" w:type="dxa"/>
            <w:vMerge/>
            <w:noWrap/>
          </w:tcPr>
          <w:p w14:paraId="6632FDF6" w14:textId="77777777" w:rsidR="00D65CB4" w:rsidRPr="00BC4EE7" w:rsidRDefault="00D65CB4">
            <w:pPr>
              <w:spacing w:after="0" w:line="240" w:lineRule="auto"/>
              <w:rPr>
                <w:rFonts w:ascii="Times New Roman" w:hAnsi="Times New Roman" w:cs="Times New Roman"/>
                <w:b/>
                <w:noProof/>
                <w:sz w:val="18"/>
              </w:rPr>
            </w:pPr>
          </w:p>
        </w:tc>
        <w:tc>
          <w:tcPr>
            <w:tcW w:w="1276" w:type="dxa"/>
            <w:vMerge/>
            <w:noWrap/>
          </w:tcPr>
          <w:p w14:paraId="4D45A0BB" w14:textId="77777777" w:rsidR="00D65CB4" w:rsidRPr="00BC4EE7" w:rsidRDefault="00D65CB4">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vAlign w:val="center"/>
          </w:tcPr>
          <w:p w14:paraId="628B78D6"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Egység</w:t>
            </w:r>
          </w:p>
          <w:p w14:paraId="03340206" w14:textId="385CFE10" w:rsidR="00D65CB4" w:rsidRPr="00BC4EE7" w:rsidRDefault="00D65CB4">
            <w:pPr>
              <w:spacing w:after="0" w:line="240" w:lineRule="auto"/>
              <w:jc w:val="center"/>
              <w:rPr>
                <w:rFonts w:ascii="Times New Roman" w:hAnsi="Times New Roman" w:cs="Times New Roman"/>
                <w:b/>
                <w:noProof/>
                <w:sz w:val="18"/>
              </w:rPr>
            </w:pPr>
          </w:p>
        </w:tc>
        <w:tc>
          <w:tcPr>
            <w:tcW w:w="992" w:type="dxa"/>
            <w:shd w:val="clear" w:color="auto" w:fill="C6D9F1" w:themeFill="text2" w:themeFillTint="33"/>
            <w:noWrap/>
            <w:vAlign w:val="center"/>
          </w:tcPr>
          <w:p w14:paraId="00041F81" w14:textId="2FAA9386" w:rsidR="00D65CB4" w:rsidRPr="00BC4EE7" w:rsidRDefault="00572307">
            <w:pPr>
              <w:pStyle w:val="P68B1DB1-Normal8"/>
              <w:spacing w:after="0" w:line="240" w:lineRule="auto"/>
              <w:jc w:val="center"/>
              <w:rPr>
                <w:rFonts w:cs="Times New Roman"/>
                <w:noProof/>
              </w:rPr>
            </w:pPr>
            <w:r w:rsidRPr="00BC4EE7">
              <w:rPr>
                <w:rFonts w:cs="Times New Roman"/>
                <w:noProof/>
              </w:rPr>
              <w:t>Kiindulási</w:t>
            </w:r>
          </w:p>
          <w:p w14:paraId="7D3E5CB8" w14:textId="496D4530" w:rsidR="00D65CB4" w:rsidRPr="00BC4EE7" w:rsidRDefault="00D65CB4">
            <w:pPr>
              <w:spacing w:after="0" w:line="240" w:lineRule="auto"/>
              <w:jc w:val="center"/>
              <w:rPr>
                <w:rFonts w:ascii="Times New Roman" w:hAnsi="Times New Roman" w:cs="Times New Roman"/>
                <w:b/>
                <w:noProof/>
                <w:sz w:val="18"/>
              </w:rPr>
            </w:pPr>
          </w:p>
        </w:tc>
        <w:tc>
          <w:tcPr>
            <w:tcW w:w="567" w:type="dxa"/>
            <w:shd w:val="clear" w:color="auto" w:fill="C6D9F1" w:themeFill="text2" w:themeFillTint="33"/>
            <w:noWrap/>
            <w:vAlign w:val="center"/>
          </w:tcPr>
          <w:p w14:paraId="5E7A485D"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Cél</w:t>
            </w:r>
          </w:p>
          <w:p w14:paraId="5C77F60E" w14:textId="68715297" w:rsidR="00D65CB4" w:rsidRPr="00BC4EE7" w:rsidRDefault="00D65CB4">
            <w:pPr>
              <w:spacing w:after="0" w:line="240" w:lineRule="auto"/>
              <w:jc w:val="center"/>
              <w:rPr>
                <w:rFonts w:ascii="Times New Roman" w:hAnsi="Times New Roman" w:cs="Times New Roman"/>
                <w:b/>
                <w:noProof/>
                <w:sz w:val="18"/>
              </w:rPr>
            </w:pPr>
          </w:p>
        </w:tc>
        <w:tc>
          <w:tcPr>
            <w:tcW w:w="426" w:type="dxa"/>
            <w:shd w:val="clear" w:color="auto" w:fill="C6D9F1" w:themeFill="text2" w:themeFillTint="33"/>
            <w:noWrap/>
            <w:vAlign w:val="center"/>
          </w:tcPr>
          <w:p w14:paraId="4617389F"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Q</w:t>
            </w:r>
          </w:p>
          <w:p w14:paraId="0127678F" w14:textId="7FDC6B8F" w:rsidR="00D65CB4" w:rsidRPr="00BC4EE7" w:rsidRDefault="00D65CB4">
            <w:pPr>
              <w:spacing w:after="0" w:line="240" w:lineRule="auto"/>
              <w:jc w:val="center"/>
              <w:rPr>
                <w:rFonts w:ascii="Times New Roman" w:hAnsi="Times New Roman" w:cs="Times New Roman"/>
                <w:b/>
                <w:noProof/>
                <w:sz w:val="18"/>
              </w:rPr>
            </w:pPr>
          </w:p>
        </w:tc>
        <w:tc>
          <w:tcPr>
            <w:tcW w:w="708" w:type="dxa"/>
            <w:shd w:val="clear" w:color="auto" w:fill="C6D9F1" w:themeFill="text2" w:themeFillTint="33"/>
            <w:noWrap/>
            <w:vAlign w:val="center"/>
          </w:tcPr>
          <w:p w14:paraId="0FBB54C7"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Éve</w:t>
            </w:r>
          </w:p>
          <w:p w14:paraId="5FBC7EB6" w14:textId="3BF060B8" w:rsidR="00D65CB4" w:rsidRPr="00BC4EE7" w:rsidRDefault="00D65CB4">
            <w:pPr>
              <w:spacing w:after="0" w:line="240" w:lineRule="auto"/>
              <w:jc w:val="center"/>
              <w:rPr>
                <w:rFonts w:ascii="Times New Roman" w:hAnsi="Times New Roman" w:cs="Times New Roman"/>
                <w:b/>
                <w:noProof/>
                <w:sz w:val="18"/>
              </w:rPr>
            </w:pPr>
          </w:p>
        </w:tc>
        <w:tc>
          <w:tcPr>
            <w:tcW w:w="6237" w:type="dxa"/>
            <w:vMerge/>
            <w:noWrap/>
          </w:tcPr>
          <w:p w14:paraId="5D55FAF0" w14:textId="77777777" w:rsidR="00D65CB4" w:rsidRPr="00BC4EE7" w:rsidRDefault="00D65CB4">
            <w:pPr>
              <w:spacing w:after="0" w:line="240" w:lineRule="auto"/>
              <w:rPr>
                <w:rFonts w:ascii="Times New Roman" w:hAnsi="Times New Roman" w:cs="Times New Roman"/>
                <w:b/>
                <w:noProof/>
                <w:sz w:val="18"/>
              </w:rPr>
            </w:pPr>
          </w:p>
        </w:tc>
      </w:tr>
      <w:tr w:rsidR="00D65CB4" w:rsidRPr="00BC4EE7" w14:paraId="0BC17027" w14:textId="77777777" w:rsidTr="00BC4EE7">
        <w:trPr>
          <w:trHeight w:val="309"/>
        </w:trPr>
        <w:tc>
          <w:tcPr>
            <w:tcW w:w="709" w:type="dxa"/>
            <w:shd w:val="clear" w:color="auto" w:fill="C6EFCE"/>
            <w:noWrap/>
          </w:tcPr>
          <w:p w14:paraId="029298D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214</w:t>
            </w:r>
          </w:p>
        </w:tc>
        <w:tc>
          <w:tcPr>
            <w:tcW w:w="993" w:type="dxa"/>
            <w:shd w:val="clear" w:color="auto" w:fill="C6EFCE"/>
            <w:noWrap/>
          </w:tcPr>
          <w:p w14:paraId="4CFE236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C14.R1</w:t>
            </w:r>
          </w:p>
        </w:tc>
        <w:tc>
          <w:tcPr>
            <w:tcW w:w="992" w:type="dxa"/>
            <w:shd w:val="clear" w:color="auto" w:fill="C6EFCE"/>
            <w:noWrap/>
          </w:tcPr>
          <w:p w14:paraId="4CA21D1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1134" w:type="dxa"/>
            <w:shd w:val="clear" w:color="auto" w:fill="C6EFCE"/>
            <w:noWrap/>
          </w:tcPr>
          <w:p w14:paraId="0241C116"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Terv az idegenforgalmi ágazat népszerűsítésére</w:t>
            </w:r>
          </w:p>
        </w:tc>
        <w:tc>
          <w:tcPr>
            <w:tcW w:w="1276" w:type="dxa"/>
            <w:shd w:val="clear" w:color="auto" w:fill="C6EFCE"/>
            <w:noWrap/>
          </w:tcPr>
          <w:p w14:paraId="2F992D6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A kiadvány weboldala</w:t>
            </w:r>
          </w:p>
        </w:tc>
        <w:tc>
          <w:tcPr>
            <w:tcW w:w="850" w:type="dxa"/>
            <w:shd w:val="clear" w:color="auto" w:fill="C6EFCE"/>
            <w:noWrap/>
          </w:tcPr>
          <w:p w14:paraId="226F9C0B"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992" w:type="dxa"/>
            <w:shd w:val="clear" w:color="auto" w:fill="C6EFCE"/>
            <w:noWrap/>
          </w:tcPr>
          <w:p w14:paraId="2EC21163"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567" w:type="dxa"/>
            <w:shd w:val="clear" w:color="auto" w:fill="C6EFCE"/>
            <w:noWrap/>
          </w:tcPr>
          <w:p w14:paraId="6621D010"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426" w:type="dxa"/>
            <w:shd w:val="clear" w:color="auto" w:fill="C6EFCE"/>
            <w:noWrap/>
          </w:tcPr>
          <w:p w14:paraId="3A37F27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Q2</w:t>
            </w:r>
          </w:p>
        </w:tc>
        <w:tc>
          <w:tcPr>
            <w:tcW w:w="708" w:type="dxa"/>
            <w:shd w:val="clear" w:color="auto" w:fill="C6EFCE"/>
            <w:noWrap/>
          </w:tcPr>
          <w:p w14:paraId="0F5EAF3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2020</w:t>
            </w:r>
          </w:p>
        </w:tc>
        <w:tc>
          <w:tcPr>
            <w:tcW w:w="6237" w:type="dxa"/>
            <w:shd w:val="clear" w:color="auto" w:fill="C6EFCE"/>
            <w:noWrap/>
          </w:tcPr>
          <w:p w14:paraId="3E743927"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tervnek ismertetnie kell az idegenforgalmi ágazat fellendítését célzó intézkedéseket, és meg kell határoznia az idegenforgalommal kapcsolatos intézkedések végrehajtásának keretét.</w:t>
            </w:r>
          </w:p>
        </w:tc>
      </w:tr>
      <w:tr w:rsidR="00D65CB4" w:rsidRPr="00BC4EE7" w14:paraId="256CED81" w14:textId="77777777" w:rsidTr="00BC4EE7">
        <w:trPr>
          <w:trHeight w:val="881"/>
        </w:trPr>
        <w:tc>
          <w:tcPr>
            <w:tcW w:w="709" w:type="dxa"/>
            <w:shd w:val="clear" w:color="auto" w:fill="C6EFCE"/>
            <w:noWrap/>
          </w:tcPr>
          <w:p w14:paraId="16F839A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215</w:t>
            </w:r>
          </w:p>
        </w:tc>
        <w:tc>
          <w:tcPr>
            <w:tcW w:w="993" w:type="dxa"/>
            <w:shd w:val="clear" w:color="auto" w:fill="C6EFCE"/>
            <w:noWrap/>
          </w:tcPr>
          <w:p w14:paraId="4BC75E1B"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C14.R1</w:t>
            </w:r>
          </w:p>
        </w:tc>
        <w:tc>
          <w:tcPr>
            <w:tcW w:w="992" w:type="dxa"/>
            <w:shd w:val="clear" w:color="auto" w:fill="C6EFCE"/>
            <w:noWrap/>
          </w:tcPr>
          <w:p w14:paraId="3A72076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1134" w:type="dxa"/>
            <w:shd w:val="clear" w:color="auto" w:fill="C6EFCE"/>
            <w:noWrap/>
          </w:tcPr>
          <w:p w14:paraId="4391D859"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turizmussal kapcsolatos adatokat gyűjtő „DATAESTUR” honlap elindítása</w:t>
            </w:r>
          </w:p>
        </w:tc>
        <w:tc>
          <w:tcPr>
            <w:tcW w:w="1276" w:type="dxa"/>
            <w:shd w:val="clear" w:color="auto" w:fill="C6EFCE"/>
            <w:noWrap/>
          </w:tcPr>
          <w:p w14:paraId="4D25AC7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A Dataestur honlapra mutató link</w:t>
            </w:r>
          </w:p>
        </w:tc>
        <w:tc>
          <w:tcPr>
            <w:tcW w:w="850" w:type="dxa"/>
            <w:shd w:val="clear" w:color="auto" w:fill="C6EFCE"/>
            <w:noWrap/>
          </w:tcPr>
          <w:p w14:paraId="39554A49"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992" w:type="dxa"/>
            <w:shd w:val="clear" w:color="auto" w:fill="C6EFCE"/>
            <w:noWrap/>
          </w:tcPr>
          <w:p w14:paraId="180FA731"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567" w:type="dxa"/>
            <w:shd w:val="clear" w:color="auto" w:fill="C6EFCE"/>
            <w:noWrap/>
          </w:tcPr>
          <w:p w14:paraId="2B8DC005"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426" w:type="dxa"/>
            <w:shd w:val="clear" w:color="auto" w:fill="C6EFCE"/>
            <w:noWrap/>
          </w:tcPr>
          <w:p w14:paraId="780C42A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708" w:type="dxa"/>
            <w:shd w:val="clear" w:color="auto" w:fill="C6EFCE"/>
            <w:noWrap/>
          </w:tcPr>
          <w:p w14:paraId="0965DB6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2020</w:t>
            </w:r>
          </w:p>
        </w:tc>
        <w:tc>
          <w:tcPr>
            <w:tcW w:w="6237" w:type="dxa"/>
            <w:shd w:val="clear" w:color="auto" w:fill="C6EFCE"/>
            <w:noWrap/>
          </w:tcPr>
          <w:p w14:paraId="239EFD6C"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honlap különböző idegenforgalmi statisztikai forrásokból gyűjt adatokat a spanyolországi turizmusról, beleértve az olyan állami és magánszervezeteket, mint az INE, a Turespaña, a Bank of Spain, az AENA vagy a RENFE, és működőképes.</w:t>
            </w:r>
          </w:p>
        </w:tc>
      </w:tr>
      <w:tr w:rsidR="00D65CB4" w:rsidRPr="00BC4EE7" w14:paraId="5FF511CA" w14:textId="77777777" w:rsidTr="00BC4EE7">
        <w:trPr>
          <w:trHeight w:val="881"/>
        </w:trPr>
        <w:tc>
          <w:tcPr>
            <w:tcW w:w="709" w:type="dxa"/>
            <w:shd w:val="clear" w:color="auto" w:fill="C6EFCE"/>
            <w:noWrap/>
          </w:tcPr>
          <w:p w14:paraId="5EE03C76"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216</w:t>
            </w:r>
          </w:p>
        </w:tc>
        <w:tc>
          <w:tcPr>
            <w:tcW w:w="993" w:type="dxa"/>
            <w:shd w:val="clear" w:color="auto" w:fill="C6EFCE"/>
            <w:noWrap/>
          </w:tcPr>
          <w:p w14:paraId="5B7C6976"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C14.R1</w:t>
            </w:r>
          </w:p>
        </w:tc>
        <w:tc>
          <w:tcPr>
            <w:tcW w:w="992" w:type="dxa"/>
            <w:shd w:val="clear" w:color="auto" w:fill="C6EFCE"/>
            <w:noWrap/>
          </w:tcPr>
          <w:p w14:paraId="4EE6B19A"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M</w:t>
            </w:r>
          </w:p>
        </w:tc>
        <w:tc>
          <w:tcPr>
            <w:tcW w:w="1134" w:type="dxa"/>
            <w:shd w:val="clear" w:color="auto" w:fill="C6EFCE"/>
            <w:noWrap/>
          </w:tcPr>
          <w:p w14:paraId="033843B4" w14:textId="77777777" w:rsidR="00D65CB4" w:rsidRPr="00BC4EE7" w:rsidRDefault="00572307">
            <w:pPr>
              <w:pStyle w:val="P68B1DB1-Normal12"/>
              <w:spacing w:after="0" w:line="240" w:lineRule="auto"/>
              <w:rPr>
                <w:rFonts w:cs="Times New Roman"/>
                <w:noProof/>
              </w:rPr>
            </w:pPr>
            <w:r w:rsidRPr="00BC4EE7">
              <w:rPr>
                <w:rFonts w:cs="Times New Roman"/>
                <w:noProof/>
              </w:rPr>
              <w:t xml:space="preserve">Az idegenforgalom versenyképességét szolgáló állami pénzügyi alap végrehajtásáról szóló királyi rendelet hatálybalépése </w:t>
            </w:r>
          </w:p>
        </w:tc>
        <w:tc>
          <w:tcPr>
            <w:tcW w:w="1276" w:type="dxa"/>
            <w:shd w:val="clear" w:color="auto" w:fill="C6EFCE"/>
            <w:noWrap/>
          </w:tcPr>
          <w:p w14:paraId="208A134E"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A királyi rendeletben szereplő, a törvény hatálybalépésére vonatkozó rendelkezés</w:t>
            </w:r>
          </w:p>
        </w:tc>
        <w:tc>
          <w:tcPr>
            <w:tcW w:w="850" w:type="dxa"/>
            <w:shd w:val="clear" w:color="auto" w:fill="C6EFCE"/>
            <w:noWrap/>
          </w:tcPr>
          <w:p w14:paraId="6C1352AE"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 xml:space="preserve"> </w:t>
            </w:r>
          </w:p>
        </w:tc>
        <w:tc>
          <w:tcPr>
            <w:tcW w:w="992" w:type="dxa"/>
            <w:shd w:val="clear" w:color="auto" w:fill="C6EFCE"/>
            <w:noWrap/>
          </w:tcPr>
          <w:p w14:paraId="3C57C8A9"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 xml:space="preserve"> </w:t>
            </w:r>
          </w:p>
        </w:tc>
        <w:tc>
          <w:tcPr>
            <w:tcW w:w="567" w:type="dxa"/>
            <w:shd w:val="clear" w:color="auto" w:fill="C6EFCE"/>
            <w:noWrap/>
          </w:tcPr>
          <w:p w14:paraId="0EB9C128"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 xml:space="preserve"> </w:t>
            </w:r>
          </w:p>
        </w:tc>
        <w:tc>
          <w:tcPr>
            <w:tcW w:w="426" w:type="dxa"/>
            <w:shd w:val="clear" w:color="auto" w:fill="C6EFCE"/>
            <w:noWrap/>
          </w:tcPr>
          <w:p w14:paraId="0733D322"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708" w:type="dxa"/>
            <w:shd w:val="clear" w:color="auto" w:fill="C6EFCE"/>
            <w:noWrap/>
          </w:tcPr>
          <w:p w14:paraId="6A376A49"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2021</w:t>
            </w:r>
          </w:p>
        </w:tc>
        <w:tc>
          <w:tcPr>
            <w:tcW w:w="6237" w:type="dxa"/>
            <w:shd w:val="clear" w:color="auto" w:fill="C6EFCE"/>
            <w:noWrap/>
          </w:tcPr>
          <w:p w14:paraId="6AF54F6E" w14:textId="77777777" w:rsidR="00D65CB4" w:rsidRPr="00BC4EE7" w:rsidRDefault="00572307">
            <w:pPr>
              <w:pStyle w:val="P68B1DB1-Normal12"/>
              <w:spacing w:after="0" w:line="240" w:lineRule="auto"/>
              <w:rPr>
                <w:rFonts w:cs="Times New Roman"/>
                <w:noProof/>
              </w:rPr>
            </w:pPr>
            <w:r w:rsidRPr="00BC4EE7">
              <w:rPr>
                <w:rFonts w:cs="Times New Roman"/>
                <w:noProof/>
              </w:rPr>
              <w:t xml:space="preserve">A Versenyképességi Állami Pénzügyi Alap végrehajtásáról szóló királyi rendelet javítja a vállalkozások közfinanszírozáshoz való hozzáférését a körforgásos gazdaság és az energiahatékonyság területén. </w:t>
            </w:r>
          </w:p>
        </w:tc>
      </w:tr>
      <w:tr w:rsidR="00D65CB4" w:rsidRPr="00BC4EE7" w14:paraId="5F4ACDC5" w14:textId="77777777" w:rsidTr="00BC4EE7">
        <w:trPr>
          <w:trHeight w:val="881"/>
        </w:trPr>
        <w:tc>
          <w:tcPr>
            <w:tcW w:w="709" w:type="dxa"/>
            <w:shd w:val="clear" w:color="auto" w:fill="C6EFCE"/>
            <w:noWrap/>
          </w:tcPr>
          <w:p w14:paraId="57B862B3"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217</w:t>
            </w:r>
          </w:p>
        </w:tc>
        <w:tc>
          <w:tcPr>
            <w:tcW w:w="993" w:type="dxa"/>
            <w:shd w:val="clear" w:color="auto" w:fill="C6EFCE"/>
            <w:noWrap/>
          </w:tcPr>
          <w:p w14:paraId="57AF5194"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C14.I1</w:t>
            </w:r>
          </w:p>
        </w:tc>
        <w:tc>
          <w:tcPr>
            <w:tcW w:w="992" w:type="dxa"/>
            <w:shd w:val="clear" w:color="auto" w:fill="C6EFCE"/>
            <w:noWrap/>
          </w:tcPr>
          <w:p w14:paraId="7BD991D3"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1134" w:type="dxa"/>
            <w:shd w:val="clear" w:color="auto" w:fill="C6EFCE"/>
            <w:noWrap/>
          </w:tcPr>
          <w:p w14:paraId="64BC3D8B" w14:textId="77777777" w:rsidR="00D65CB4" w:rsidRPr="00BC4EE7" w:rsidRDefault="00572307">
            <w:pPr>
              <w:pStyle w:val="P68B1DB1-Normal12"/>
              <w:spacing w:after="0" w:line="240" w:lineRule="auto"/>
              <w:rPr>
                <w:rFonts w:cs="Times New Roman"/>
                <w:noProof/>
              </w:rPr>
            </w:pPr>
            <w:r w:rsidRPr="00BC4EE7">
              <w:rPr>
                <w:rFonts w:cs="Times New Roman"/>
                <w:noProof/>
              </w:rPr>
              <w:t>A turisztikai célpontok fenntarthatóságát előmozdító tervek költségvetési odaítélése</w:t>
            </w:r>
          </w:p>
        </w:tc>
        <w:tc>
          <w:tcPr>
            <w:tcW w:w="1276" w:type="dxa"/>
            <w:shd w:val="clear" w:color="auto" w:fill="C6EFCE"/>
            <w:noWrap/>
          </w:tcPr>
          <w:p w14:paraId="2491DAEF"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w:t>
            </w:r>
          </w:p>
        </w:tc>
        <w:tc>
          <w:tcPr>
            <w:tcW w:w="850" w:type="dxa"/>
            <w:shd w:val="clear" w:color="auto" w:fill="C6EFCE"/>
            <w:noWrap/>
          </w:tcPr>
          <w:p w14:paraId="0A88C9B6"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Millió EUR</w:t>
            </w:r>
          </w:p>
        </w:tc>
        <w:tc>
          <w:tcPr>
            <w:tcW w:w="992" w:type="dxa"/>
            <w:shd w:val="clear" w:color="auto" w:fill="C6EFCE"/>
            <w:noWrap/>
          </w:tcPr>
          <w:p w14:paraId="3CAEF826"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0</w:t>
            </w:r>
          </w:p>
        </w:tc>
        <w:tc>
          <w:tcPr>
            <w:tcW w:w="567" w:type="dxa"/>
            <w:shd w:val="clear" w:color="auto" w:fill="C6EFCE"/>
            <w:noWrap/>
          </w:tcPr>
          <w:p w14:paraId="1F72AA04"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561</w:t>
            </w:r>
          </w:p>
        </w:tc>
        <w:tc>
          <w:tcPr>
            <w:tcW w:w="426" w:type="dxa"/>
            <w:shd w:val="clear" w:color="auto" w:fill="C6EFCE"/>
            <w:noWrap/>
          </w:tcPr>
          <w:p w14:paraId="0CF117A0"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708" w:type="dxa"/>
            <w:shd w:val="clear" w:color="auto" w:fill="C6EFCE"/>
            <w:noWrap/>
          </w:tcPr>
          <w:p w14:paraId="18240322"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2021</w:t>
            </w:r>
          </w:p>
        </w:tc>
        <w:tc>
          <w:tcPr>
            <w:tcW w:w="6237" w:type="dxa"/>
            <w:shd w:val="clear" w:color="auto" w:fill="C6EFCE"/>
            <w:noWrap/>
          </w:tcPr>
          <w:p w14:paraId="3898F70F" w14:textId="349978F6" w:rsidR="00D65CB4" w:rsidRPr="00BC4EE7" w:rsidRDefault="00572307">
            <w:pPr>
              <w:pStyle w:val="P68B1DB1-Normal12"/>
              <w:spacing w:after="0" w:line="240" w:lineRule="auto"/>
              <w:rPr>
                <w:rFonts w:cs="Times New Roman"/>
                <w:noProof/>
              </w:rPr>
            </w:pPr>
            <w:r w:rsidRPr="00BC4EE7">
              <w:rPr>
                <w:rFonts w:cs="Times New Roman"/>
                <w:noProof/>
              </w:rPr>
              <w:t>A „Területi tervek a célállomáson a turizmus fenntarthatóságára vonatkozó területi tervek” végrehajtásához nyújtott támogatás Hivatalos Lapban való közzététele a Hivatalos Lapban legalább 561 000 000 EUR összegben, és a források 35%-ával a zöld átállással, a fenntarthatósággal és az energiahatékonysággal/elektromobilitással kapcsolatos intézkedések finanszírozására szolgál a célállomásokon. A kiválasztási kritériumok a kizárási lista, valamint a vonatkozó uniós és nemzeti környezetvédelmi jogszabályoknak való megfelelés követelménye révén biztosítják a jelentős károkozás elkerülését célzó technikai iránymutatásnak (2021/C58/01) való megfelelést. A kiválasztási kritériumoknak biztosítaniuk kell, hogy az intézkedésre odaítélt végleges teljes költségvetésből az intézkedésből legalább 359 000 000 EUR 100%-os éghajlati együtthatóval, legalább 519 000 000 EUR pedig 40%-os éghajlati együtthatóval járuljon hozzá az éghajlat-változási célkitűzésekhez, a Helyreállítási és Rezilienciaépítési Eszközről szóló rendelet VI. mellékletével összhangban. Alternatív megoldásként a kiválasztási kritériumoknak biztosítaniuk kell, hogy legalább 1788.6 millió EUR az (EU) 2021/241 európai parlamenti és tanácsi rendelet VI. mellékletével összhangban legalább 31,7%-os átlagos éghajlati együtthatóval járuljon hozzá az éghajlatváltozással kapcsolatos célkitűzésekhez. Ez az átlagos hozzájárulási arány az (EU) 2021/241 rendelet VI. mellékletében meghatározott beavatkozási területek alapján érhető el.</w:t>
            </w:r>
          </w:p>
        </w:tc>
      </w:tr>
      <w:tr w:rsidR="00D65CB4" w:rsidRPr="00BC4EE7" w14:paraId="3A49E1E8" w14:textId="77777777" w:rsidTr="00BC4EE7">
        <w:trPr>
          <w:trHeight w:val="881"/>
        </w:trPr>
        <w:tc>
          <w:tcPr>
            <w:tcW w:w="709" w:type="dxa"/>
            <w:shd w:val="clear" w:color="auto" w:fill="C6EFCE"/>
            <w:noWrap/>
          </w:tcPr>
          <w:p w14:paraId="53C4D7CE"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218</w:t>
            </w:r>
          </w:p>
        </w:tc>
        <w:tc>
          <w:tcPr>
            <w:tcW w:w="993" w:type="dxa"/>
            <w:shd w:val="clear" w:color="auto" w:fill="C6EFCE"/>
            <w:noWrap/>
          </w:tcPr>
          <w:p w14:paraId="4197E07D"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C14.I1</w:t>
            </w:r>
          </w:p>
        </w:tc>
        <w:tc>
          <w:tcPr>
            <w:tcW w:w="992" w:type="dxa"/>
            <w:shd w:val="clear" w:color="auto" w:fill="C6EFCE"/>
            <w:noWrap/>
          </w:tcPr>
          <w:p w14:paraId="7A8BEF67"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1134" w:type="dxa"/>
            <w:shd w:val="clear" w:color="auto" w:fill="C6EFCE"/>
            <w:noWrap/>
          </w:tcPr>
          <w:p w14:paraId="656C3402" w14:textId="77777777" w:rsidR="00D65CB4" w:rsidRPr="00BC4EE7" w:rsidRDefault="00572307">
            <w:pPr>
              <w:pStyle w:val="P68B1DB1-Normal12"/>
              <w:spacing w:after="0" w:line="240" w:lineRule="auto"/>
              <w:rPr>
                <w:rFonts w:cs="Times New Roman"/>
                <w:noProof/>
              </w:rPr>
            </w:pPr>
            <w:r w:rsidRPr="00BC4EE7">
              <w:rPr>
                <w:rFonts w:cs="Times New Roman"/>
                <w:noProof/>
              </w:rPr>
              <w:t>A turisztikai célpontok fenntarthatóságát előmozdító tervek költségvetési odaítélése</w:t>
            </w:r>
          </w:p>
        </w:tc>
        <w:tc>
          <w:tcPr>
            <w:tcW w:w="1276" w:type="dxa"/>
            <w:shd w:val="clear" w:color="auto" w:fill="C6EFCE"/>
            <w:noWrap/>
          </w:tcPr>
          <w:p w14:paraId="031418A8"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w:t>
            </w:r>
          </w:p>
        </w:tc>
        <w:tc>
          <w:tcPr>
            <w:tcW w:w="850" w:type="dxa"/>
            <w:shd w:val="clear" w:color="auto" w:fill="C6EFCE"/>
            <w:noWrap/>
          </w:tcPr>
          <w:p w14:paraId="35029609"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Millió EUR</w:t>
            </w:r>
          </w:p>
        </w:tc>
        <w:tc>
          <w:tcPr>
            <w:tcW w:w="992" w:type="dxa"/>
            <w:shd w:val="clear" w:color="auto" w:fill="C6EFCE"/>
            <w:noWrap/>
          </w:tcPr>
          <w:p w14:paraId="3F42A92B"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561</w:t>
            </w:r>
          </w:p>
        </w:tc>
        <w:tc>
          <w:tcPr>
            <w:tcW w:w="567" w:type="dxa"/>
            <w:shd w:val="clear" w:color="auto" w:fill="C6EFCE"/>
            <w:noWrap/>
          </w:tcPr>
          <w:p w14:paraId="7B60B58D"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1 173</w:t>
            </w:r>
          </w:p>
        </w:tc>
        <w:tc>
          <w:tcPr>
            <w:tcW w:w="426" w:type="dxa"/>
            <w:shd w:val="clear" w:color="auto" w:fill="C6EFCE"/>
            <w:noWrap/>
          </w:tcPr>
          <w:p w14:paraId="4821E7BF"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708" w:type="dxa"/>
            <w:shd w:val="clear" w:color="auto" w:fill="C6EFCE"/>
            <w:noWrap/>
          </w:tcPr>
          <w:p w14:paraId="57C4583C"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2022</w:t>
            </w:r>
          </w:p>
        </w:tc>
        <w:tc>
          <w:tcPr>
            <w:tcW w:w="6237" w:type="dxa"/>
            <w:shd w:val="clear" w:color="auto" w:fill="C6EFCE"/>
            <w:noWrap/>
          </w:tcPr>
          <w:p w14:paraId="2279EB70" w14:textId="7195F2AA" w:rsidR="00D65CB4" w:rsidRPr="00BC4EE7" w:rsidRDefault="00572307">
            <w:pPr>
              <w:pStyle w:val="P68B1DB1-Normal12"/>
              <w:spacing w:after="0" w:line="240" w:lineRule="auto"/>
              <w:rPr>
                <w:rFonts w:cs="Times New Roman"/>
                <w:noProof/>
              </w:rPr>
            </w:pPr>
            <w:r w:rsidRPr="00BC4EE7">
              <w:rPr>
                <w:rFonts w:cs="Times New Roman"/>
                <w:noProof/>
              </w:rPr>
              <w:t>A „Területi tervek a célállomáson történő turizmus fenntarthatóságára” vonatkozó, legalább 1 173 000 000 EUR összegű támogatás helyi hatóságok részére történő odaítélésének közzététele a Hivatalos Lapban (alapforgatókönyv: 2021. december 31.) és a források 35%-át a zöld átállással, a fenntarthatósággal és az energiahatékonysággal/elektromobilitással kapcsolatos intézkedésekre fordítják a célállomásokon. A kiválasztási kritériumok a kizárási lista, valamint a vonatkozó uniós és nemzeti környezetvédelmi jogszabályoknak való megfelelés követelménye révén biztosítják a jelentős károkozás elkerülését célzó technikai iránymutatásnak (2021/C58/01) való megfelelést. A kiválasztási kritériumoknak biztosítaniuk kell, hogy az intézkedésre odaítélt végleges teljes költségvetésből az intézkedésből legalább 359 000 000 EUR 100%-os éghajlati együtthatóval, legalább 519 000 000 EUR pedig 40%-os éghajlati együtthatóval járuljon hozzá az éghajlat-változási célkitűzésekhez, a Helyreállítási és Rezilienciaépítési Eszközről szóló rendelet VI. mellékletével összhangban.</w:t>
            </w:r>
            <w:r w:rsidRPr="00BC4EE7">
              <w:rPr>
                <w:rFonts w:cs="Times New Roman"/>
                <w:noProof/>
                <w:shd w:val="clear" w:color="auto" w:fill="E6E6E6"/>
              </w:rPr>
              <w:t xml:space="preserve"> </w:t>
            </w:r>
            <w:r w:rsidRPr="00BC4EE7">
              <w:rPr>
                <w:rFonts w:cs="Times New Roman"/>
                <w:noProof/>
              </w:rPr>
              <w:t xml:space="preserve"> Alternatív megoldásként a kiválasztási kritériumoknak biztosítaniuk kell, hogy legalább 1788.6 millió EUR az (EU) 2021/241 európai parlamenti és tanácsi rendelet VI. mellékletével összhangban legalább 31,7%-os átlagos éghajlati együtthatóval járuljon hozzá az éghajlatváltozással kapcsolatos célkitűzésekhez. Ez az átlagos hozzájárulási arány az (EU) 2021/241 rendelet VI. mellékletében meghatározott beavatkozási területek alapján érhető el.</w:t>
            </w:r>
          </w:p>
        </w:tc>
      </w:tr>
      <w:tr w:rsidR="00D65CB4" w:rsidRPr="00BC4EE7" w14:paraId="7E2C0B03" w14:textId="77777777" w:rsidTr="00BC4EE7">
        <w:trPr>
          <w:trHeight w:val="881"/>
        </w:trPr>
        <w:tc>
          <w:tcPr>
            <w:tcW w:w="709" w:type="dxa"/>
            <w:shd w:val="clear" w:color="auto" w:fill="C6EFCE"/>
            <w:noWrap/>
          </w:tcPr>
          <w:p w14:paraId="3F6C604A"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219</w:t>
            </w:r>
          </w:p>
        </w:tc>
        <w:tc>
          <w:tcPr>
            <w:tcW w:w="993" w:type="dxa"/>
            <w:shd w:val="clear" w:color="auto" w:fill="C6EFCE"/>
            <w:noWrap/>
          </w:tcPr>
          <w:p w14:paraId="3BB6DD03"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C14.I1</w:t>
            </w:r>
          </w:p>
        </w:tc>
        <w:tc>
          <w:tcPr>
            <w:tcW w:w="992" w:type="dxa"/>
            <w:shd w:val="clear" w:color="auto" w:fill="C6EFCE"/>
            <w:noWrap/>
          </w:tcPr>
          <w:p w14:paraId="714985AB"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1134" w:type="dxa"/>
            <w:shd w:val="clear" w:color="auto" w:fill="C6EFCE"/>
            <w:noWrap/>
          </w:tcPr>
          <w:p w14:paraId="2C99D933" w14:textId="77777777" w:rsidR="00D65CB4" w:rsidRPr="00BC4EE7" w:rsidRDefault="00572307">
            <w:pPr>
              <w:pStyle w:val="P68B1DB1-Normal12"/>
              <w:spacing w:after="0" w:line="240" w:lineRule="auto"/>
              <w:rPr>
                <w:rFonts w:cs="Times New Roman"/>
                <w:noProof/>
              </w:rPr>
            </w:pPr>
            <w:r w:rsidRPr="00BC4EE7">
              <w:rPr>
                <w:rFonts w:cs="Times New Roman"/>
                <w:noProof/>
              </w:rPr>
              <w:t>A turisztikai célpontok fenntarthatóságát előmozdító tervek költségvetési odaítélése</w:t>
            </w:r>
          </w:p>
        </w:tc>
        <w:tc>
          <w:tcPr>
            <w:tcW w:w="1276" w:type="dxa"/>
            <w:shd w:val="clear" w:color="auto" w:fill="C6EFCE"/>
            <w:noWrap/>
          </w:tcPr>
          <w:p w14:paraId="252E388B"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w:t>
            </w:r>
          </w:p>
        </w:tc>
        <w:tc>
          <w:tcPr>
            <w:tcW w:w="850" w:type="dxa"/>
            <w:shd w:val="clear" w:color="auto" w:fill="C6EFCE"/>
            <w:noWrap/>
          </w:tcPr>
          <w:p w14:paraId="793BFD1E"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Millió EUR</w:t>
            </w:r>
          </w:p>
        </w:tc>
        <w:tc>
          <w:tcPr>
            <w:tcW w:w="992" w:type="dxa"/>
            <w:shd w:val="clear" w:color="auto" w:fill="C6EFCE"/>
            <w:noWrap/>
          </w:tcPr>
          <w:p w14:paraId="0D6A52D3"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1 173</w:t>
            </w:r>
          </w:p>
        </w:tc>
        <w:tc>
          <w:tcPr>
            <w:tcW w:w="567" w:type="dxa"/>
            <w:shd w:val="clear" w:color="auto" w:fill="C6EFCE"/>
            <w:noWrap/>
          </w:tcPr>
          <w:p w14:paraId="42F823EC"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 xml:space="preserve">1 788,6 </w:t>
            </w:r>
          </w:p>
        </w:tc>
        <w:tc>
          <w:tcPr>
            <w:tcW w:w="426" w:type="dxa"/>
            <w:shd w:val="clear" w:color="auto" w:fill="C6EFCE"/>
            <w:noWrap/>
          </w:tcPr>
          <w:p w14:paraId="4486E236"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708" w:type="dxa"/>
            <w:shd w:val="clear" w:color="auto" w:fill="C6EFCE"/>
            <w:noWrap/>
          </w:tcPr>
          <w:p w14:paraId="05A1046B"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2023</w:t>
            </w:r>
          </w:p>
        </w:tc>
        <w:tc>
          <w:tcPr>
            <w:tcW w:w="6237" w:type="dxa"/>
            <w:shd w:val="clear" w:color="auto" w:fill="C6EFCE"/>
            <w:noWrap/>
          </w:tcPr>
          <w:p w14:paraId="0D332556" w14:textId="1CDFA346" w:rsidR="00D65CB4" w:rsidRPr="00BC4EE7" w:rsidRDefault="00572307">
            <w:pPr>
              <w:pStyle w:val="P68B1DB1-Normal12"/>
              <w:spacing w:after="0" w:line="240" w:lineRule="auto"/>
              <w:rPr>
                <w:rFonts w:cs="Times New Roman"/>
                <w:noProof/>
              </w:rPr>
            </w:pPr>
            <w:r w:rsidRPr="00BC4EE7">
              <w:rPr>
                <w:rFonts w:cs="Times New Roman"/>
                <w:noProof/>
              </w:rPr>
              <w:t>A „Területi tervek a célállomáson történő turizmus fenntarthatósága érdekében” című, legalább 1 788 600 000 EUR összegű támogatás helyi hatóságok részére történő odaítélésének közzététele a Hivatalos Lapban (alapforgatókönyv: 2022. december 31.) és a források 35%-át a zöld átállással, a fenntarthatósággal és az energiahatékonysággal/elektromobilitással kapcsolatos intézkedésekre fordítják a célállomásokon. A kiválasztási kritériumok a kizárási lista, valamint a vonatkozó uniós és nemzeti környezetvédelmi jogszabályoknak való megfelelés követelménye révén biztosítják a jelentős károkozás elkerülését célzó technikai iránymutatásnak (2021/C58/01) való megfelelést. A kiválasztási kritériumoknak biztosítaniuk kell, hogy az intézkedésre odaítélt végleges teljes költségvetésből az intézkedésből legalább 359 000 000 EUR 100%-os éghajlati együtthatóval, legalább 519 000 000 EUR pedig 40%-os éghajlati együtthatóval járuljon hozzá az éghajlat-változási célkitűzésekhez, a Helyreállítási és Rezilienciaépítési Eszközről szóló rendelet VI. mellékletével összhangban. Alternatív megoldásként a kiválasztási kritériumoknak biztosítaniuk kell, hogy legalább 1788.6 millió EUR az (EU) 2021/241 európai parlamenti és tanácsi rendelet VI. mellékletével összhangban legalább 31,7%-os átlagos éghajlati együtthatóval járuljon hozzá az éghajlatváltozással kapcsolatos célkitűzésekhez. Ez az átlagos hozzájárulási arány az (EU) 2021/241 rendelet VI. mellékletében meghatározott beavatkozási területek alapján érhető el.</w:t>
            </w:r>
          </w:p>
        </w:tc>
      </w:tr>
      <w:tr w:rsidR="00D65CB4" w:rsidRPr="00BC4EE7" w14:paraId="12DD52FC" w14:textId="77777777" w:rsidTr="00BC4EE7">
        <w:trPr>
          <w:trHeight w:val="881"/>
        </w:trPr>
        <w:tc>
          <w:tcPr>
            <w:tcW w:w="709" w:type="dxa"/>
            <w:shd w:val="clear" w:color="auto" w:fill="C6EFCE"/>
            <w:noWrap/>
          </w:tcPr>
          <w:p w14:paraId="7AAF69D2"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220</w:t>
            </w:r>
          </w:p>
        </w:tc>
        <w:tc>
          <w:tcPr>
            <w:tcW w:w="993" w:type="dxa"/>
            <w:shd w:val="clear" w:color="auto" w:fill="C6EFCE"/>
            <w:noWrap/>
          </w:tcPr>
          <w:p w14:paraId="367BA7AF"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C14.I1</w:t>
            </w:r>
          </w:p>
        </w:tc>
        <w:tc>
          <w:tcPr>
            <w:tcW w:w="992" w:type="dxa"/>
            <w:shd w:val="clear" w:color="auto" w:fill="C6EFCE"/>
            <w:noWrap/>
          </w:tcPr>
          <w:p w14:paraId="40DCAAEF"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M</w:t>
            </w:r>
          </w:p>
        </w:tc>
        <w:tc>
          <w:tcPr>
            <w:tcW w:w="1134" w:type="dxa"/>
            <w:shd w:val="clear" w:color="auto" w:fill="C6EFCE"/>
            <w:noWrap/>
          </w:tcPr>
          <w:p w14:paraId="6C965BCD" w14:textId="77777777" w:rsidR="00D65CB4" w:rsidRPr="00BC4EE7" w:rsidRDefault="00572307">
            <w:pPr>
              <w:pStyle w:val="P68B1DB1-Normal12"/>
              <w:spacing w:after="0" w:line="240" w:lineRule="auto"/>
              <w:rPr>
                <w:rFonts w:cs="Times New Roman"/>
                <w:noProof/>
              </w:rPr>
            </w:pPr>
            <w:r w:rsidRPr="00BC4EE7">
              <w:rPr>
                <w:rFonts w:cs="Times New Roman"/>
                <w:noProof/>
              </w:rPr>
              <w:t>A turisztikai célpontok fenntarthatóságát előmozdító tervek lezárása</w:t>
            </w:r>
          </w:p>
        </w:tc>
        <w:tc>
          <w:tcPr>
            <w:tcW w:w="1276" w:type="dxa"/>
            <w:shd w:val="clear" w:color="auto" w:fill="C6EFCE"/>
            <w:noWrap/>
          </w:tcPr>
          <w:p w14:paraId="5F4CC487"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A monitoringbizottság jelentése az előrehaladási küszöb jóváhagyásáról</w:t>
            </w:r>
          </w:p>
        </w:tc>
        <w:tc>
          <w:tcPr>
            <w:tcW w:w="850" w:type="dxa"/>
            <w:shd w:val="clear" w:color="auto" w:fill="C6EFCE"/>
            <w:noWrap/>
          </w:tcPr>
          <w:p w14:paraId="1F1C4F07"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 xml:space="preserve"> </w:t>
            </w:r>
          </w:p>
        </w:tc>
        <w:tc>
          <w:tcPr>
            <w:tcW w:w="992" w:type="dxa"/>
            <w:shd w:val="clear" w:color="auto" w:fill="C6EFCE"/>
            <w:noWrap/>
          </w:tcPr>
          <w:p w14:paraId="1C108D2C"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 xml:space="preserve"> </w:t>
            </w:r>
          </w:p>
        </w:tc>
        <w:tc>
          <w:tcPr>
            <w:tcW w:w="567" w:type="dxa"/>
            <w:shd w:val="clear" w:color="auto" w:fill="C6EFCE"/>
            <w:noWrap/>
          </w:tcPr>
          <w:p w14:paraId="42048B5B"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 xml:space="preserve"> </w:t>
            </w:r>
          </w:p>
        </w:tc>
        <w:tc>
          <w:tcPr>
            <w:tcW w:w="426" w:type="dxa"/>
            <w:shd w:val="clear" w:color="auto" w:fill="C6EFCE"/>
            <w:noWrap/>
          </w:tcPr>
          <w:p w14:paraId="4362E8A4"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708" w:type="dxa"/>
            <w:shd w:val="clear" w:color="auto" w:fill="C6EFCE"/>
            <w:noWrap/>
          </w:tcPr>
          <w:p w14:paraId="4483B977"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2024</w:t>
            </w:r>
          </w:p>
        </w:tc>
        <w:tc>
          <w:tcPr>
            <w:tcW w:w="6237" w:type="dxa"/>
            <w:shd w:val="clear" w:color="auto" w:fill="C6EFCE"/>
            <w:noWrap/>
          </w:tcPr>
          <w:p w14:paraId="0C6ED490" w14:textId="44A442C3" w:rsidR="00D65CB4" w:rsidRPr="00BC4EE7" w:rsidRDefault="00572307">
            <w:pPr>
              <w:spacing w:after="0" w:line="240" w:lineRule="auto"/>
              <w:rPr>
                <w:rFonts w:ascii="Times New Roman" w:hAnsi="Times New Roman" w:cs="Times New Roman"/>
                <w:noProof/>
                <w:sz w:val="18"/>
              </w:rPr>
            </w:pPr>
            <w:r w:rsidRPr="00BC4EE7">
              <w:rPr>
                <w:rFonts w:ascii="Times New Roman" w:hAnsi="Times New Roman" w:cs="Times New Roman"/>
                <w:noProof/>
                <w:sz w:val="18"/>
              </w:rPr>
              <w:t>A monitoringbizottság biztosítja, hogy valamennyi odaítélt úti cél megfeleljen az egyes idegenforgalmi fenntarthatósági tervek végrehajtási szintjeinek legalább a következő százalékarányainak:</w:t>
            </w:r>
            <w:r w:rsidRPr="00BC4EE7">
              <w:rPr>
                <w:rFonts w:ascii="Times New Roman" w:hAnsi="Times New Roman" w:cs="Times New Roman"/>
                <w:noProof/>
              </w:rPr>
              <w:t xml:space="preserve"> </w:t>
            </w:r>
            <w:r w:rsidRPr="00BC4EE7">
              <w:rPr>
                <w:rFonts w:ascii="Times New Roman" w:hAnsi="Times New Roman" w:cs="Times New Roman"/>
                <w:noProof/>
              </w:rPr>
              <w:br/>
            </w:r>
            <w:bookmarkStart w:id="51" w:name="_Hlk139826696"/>
            <w:r w:rsidRPr="00BC4EE7">
              <w:rPr>
                <w:rFonts w:ascii="Times New Roman" w:hAnsi="Times New Roman" w:cs="Times New Roman"/>
                <w:noProof/>
                <w:sz w:val="18"/>
              </w:rPr>
              <w:t>– 50%-os befejezés a 2021-ben odaítélt célállomások esetében.</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 30%-os befejezés a 2022-ben odaítélt rendeltetési helyek esetében. </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 15%-os befejezés a 2023-ban odaítélt rendeltetési helyek esetében. </w:t>
            </w:r>
            <w:bookmarkEnd w:id="51"/>
          </w:p>
        </w:tc>
      </w:tr>
      <w:tr w:rsidR="00D65CB4" w:rsidRPr="00BC4EE7" w14:paraId="0501667D" w14:textId="77777777" w:rsidTr="00BC4EE7">
        <w:trPr>
          <w:trHeight w:val="881"/>
        </w:trPr>
        <w:tc>
          <w:tcPr>
            <w:tcW w:w="709" w:type="dxa"/>
            <w:shd w:val="clear" w:color="auto" w:fill="C6EFCE"/>
            <w:noWrap/>
          </w:tcPr>
          <w:p w14:paraId="4FC549A4"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221</w:t>
            </w:r>
          </w:p>
        </w:tc>
        <w:tc>
          <w:tcPr>
            <w:tcW w:w="993" w:type="dxa"/>
            <w:shd w:val="clear" w:color="auto" w:fill="C6EFCE"/>
            <w:noWrap/>
          </w:tcPr>
          <w:p w14:paraId="5EA6E5FA"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C14.I1</w:t>
            </w:r>
          </w:p>
        </w:tc>
        <w:tc>
          <w:tcPr>
            <w:tcW w:w="992" w:type="dxa"/>
            <w:shd w:val="clear" w:color="auto" w:fill="C6EFCE"/>
            <w:noWrap/>
          </w:tcPr>
          <w:p w14:paraId="43D19A03"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M</w:t>
            </w:r>
          </w:p>
        </w:tc>
        <w:tc>
          <w:tcPr>
            <w:tcW w:w="1134" w:type="dxa"/>
            <w:shd w:val="clear" w:color="auto" w:fill="C6EFCE"/>
            <w:noWrap/>
          </w:tcPr>
          <w:p w14:paraId="5B0E3809" w14:textId="77777777" w:rsidR="00D65CB4" w:rsidRPr="00BC4EE7" w:rsidRDefault="00572307">
            <w:pPr>
              <w:pStyle w:val="P68B1DB1-Normal12"/>
              <w:spacing w:after="0" w:line="240" w:lineRule="auto"/>
              <w:rPr>
                <w:rFonts w:cs="Times New Roman"/>
                <w:noProof/>
              </w:rPr>
            </w:pPr>
            <w:r w:rsidRPr="00BC4EE7">
              <w:rPr>
                <w:rFonts w:cs="Times New Roman"/>
                <w:noProof/>
              </w:rPr>
              <w:t xml:space="preserve">A turisztikai célpontok fenntarthatóságát előmozdító projektek lezárása </w:t>
            </w:r>
          </w:p>
        </w:tc>
        <w:tc>
          <w:tcPr>
            <w:tcW w:w="1276" w:type="dxa"/>
            <w:shd w:val="clear" w:color="auto" w:fill="C6EFCE"/>
            <w:noWrap/>
          </w:tcPr>
          <w:p w14:paraId="4B888E08"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Teljesítési igazolás</w:t>
            </w:r>
          </w:p>
        </w:tc>
        <w:tc>
          <w:tcPr>
            <w:tcW w:w="850" w:type="dxa"/>
            <w:shd w:val="clear" w:color="auto" w:fill="C6EFCE"/>
            <w:noWrap/>
          </w:tcPr>
          <w:p w14:paraId="50BD9DCD"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 xml:space="preserve"> </w:t>
            </w:r>
          </w:p>
        </w:tc>
        <w:tc>
          <w:tcPr>
            <w:tcW w:w="992" w:type="dxa"/>
            <w:shd w:val="clear" w:color="auto" w:fill="C6EFCE"/>
            <w:noWrap/>
          </w:tcPr>
          <w:p w14:paraId="155B9399"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 xml:space="preserve"> </w:t>
            </w:r>
          </w:p>
        </w:tc>
        <w:tc>
          <w:tcPr>
            <w:tcW w:w="567" w:type="dxa"/>
            <w:shd w:val="clear" w:color="auto" w:fill="C6EFCE"/>
            <w:noWrap/>
          </w:tcPr>
          <w:p w14:paraId="753A0B0D"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 xml:space="preserve"> </w:t>
            </w:r>
          </w:p>
        </w:tc>
        <w:tc>
          <w:tcPr>
            <w:tcW w:w="426" w:type="dxa"/>
            <w:shd w:val="clear" w:color="auto" w:fill="C6EFCE"/>
            <w:noWrap/>
          </w:tcPr>
          <w:p w14:paraId="4EC6F3F3"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708" w:type="dxa"/>
            <w:shd w:val="clear" w:color="auto" w:fill="C6EFCE"/>
            <w:noWrap/>
          </w:tcPr>
          <w:p w14:paraId="41897F6E"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2026</w:t>
            </w:r>
          </w:p>
        </w:tc>
        <w:tc>
          <w:tcPr>
            <w:tcW w:w="6237" w:type="dxa"/>
            <w:shd w:val="clear" w:color="auto" w:fill="C6EFCE"/>
            <w:noWrap/>
          </w:tcPr>
          <w:p w14:paraId="52EA63BF" w14:textId="2DB8A0CF" w:rsidR="00D65CB4" w:rsidRPr="00BC4EE7" w:rsidRDefault="00572307">
            <w:pPr>
              <w:pStyle w:val="P68B1DB1-Normal12"/>
              <w:spacing w:after="0" w:line="240" w:lineRule="auto"/>
              <w:rPr>
                <w:rFonts w:cs="Times New Roman"/>
                <w:noProof/>
              </w:rPr>
            </w:pPr>
            <w:r w:rsidRPr="00BC4EE7">
              <w:rPr>
                <w:rFonts w:cs="Times New Roman"/>
                <w:noProof/>
              </w:rPr>
              <w:t>A „Területi tervekben” szereplő valamennyi projekt lezárása, amelyeket a 217., 218. és 219. céllal összhangban ítéltek oda, és amelyeket a 217., 218. és 219. céllal összhangban ítéltek oda úgy, hogy a források 35%-át a zöld átállással, a fenntarthatósággal és az energiahatékonysággal/elektromobilitással kapcsolatos intézkedésekre fordítják, összhangban a jelentős károkozás elkerülését célzó technikai iránymutatással (2021/C58/01) a kizárási lista, valamint a vonatkozó uniós és nemzeti környezetvédelmi jogszabályoknak való megfelelés követelménye révén.</w:t>
            </w:r>
          </w:p>
        </w:tc>
      </w:tr>
      <w:tr w:rsidR="00D65CB4" w:rsidRPr="00BC4EE7" w14:paraId="7C571586" w14:textId="77777777" w:rsidTr="00BC4EE7">
        <w:trPr>
          <w:trHeight w:val="881"/>
        </w:trPr>
        <w:tc>
          <w:tcPr>
            <w:tcW w:w="709" w:type="dxa"/>
            <w:shd w:val="clear" w:color="auto" w:fill="C6EFCE"/>
            <w:noWrap/>
          </w:tcPr>
          <w:p w14:paraId="21C5838F"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222</w:t>
            </w:r>
          </w:p>
        </w:tc>
        <w:tc>
          <w:tcPr>
            <w:tcW w:w="993" w:type="dxa"/>
            <w:shd w:val="clear" w:color="auto" w:fill="C6EFCE"/>
            <w:noWrap/>
          </w:tcPr>
          <w:p w14:paraId="3154B6A1"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C14.I2.</w:t>
            </w:r>
          </w:p>
        </w:tc>
        <w:tc>
          <w:tcPr>
            <w:tcW w:w="992" w:type="dxa"/>
            <w:shd w:val="clear" w:color="auto" w:fill="C6EFCE"/>
            <w:noWrap/>
          </w:tcPr>
          <w:p w14:paraId="19EF0260"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M</w:t>
            </w:r>
          </w:p>
        </w:tc>
        <w:tc>
          <w:tcPr>
            <w:tcW w:w="1134" w:type="dxa"/>
            <w:shd w:val="clear" w:color="auto" w:fill="C6EFCE"/>
            <w:noWrap/>
          </w:tcPr>
          <w:p w14:paraId="013AE616" w14:textId="77777777" w:rsidR="00D65CB4" w:rsidRPr="00BC4EE7" w:rsidRDefault="00572307">
            <w:pPr>
              <w:pStyle w:val="P68B1DB1-Normal12"/>
              <w:spacing w:after="0" w:line="240" w:lineRule="auto"/>
              <w:rPr>
                <w:rFonts w:cs="Times New Roman"/>
                <w:noProof/>
              </w:rPr>
            </w:pPr>
            <w:r w:rsidRPr="00BC4EE7">
              <w:rPr>
                <w:rFonts w:cs="Times New Roman"/>
                <w:noProof/>
              </w:rPr>
              <w:t>Az idegenforgalmi ágazat intelligens úticél-platformjának elindítása.</w:t>
            </w:r>
          </w:p>
        </w:tc>
        <w:tc>
          <w:tcPr>
            <w:tcW w:w="1276" w:type="dxa"/>
            <w:shd w:val="clear" w:color="auto" w:fill="C6EFCE"/>
            <w:noWrap/>
          </w:tcPr>
          <w:p w14:paraId="4B9978DD"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Link a platformhoz</w:t>
            </w:r>
          </w:p>
        </w:tc>
        <w:tc>
          <w:tcPr>
            <w:tcW w:w="850" w:type="dxa"/>
            <w:shd w:val="clear" w:color="auto" w:fill="C6EFCE"/>
            <w:noWrap/>
          </w:tcPr>
          <w:p w14:paraId="59BE89D5"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 xml:space="preserve"> </w:t>
            </w:r>
          </w:p>
        </w:tc>
        <w:tc>
          <w:tcPr>
            <w:tcW w:w="992" w:type="dxa"/>
            <w:shd w:val="clear" w:color="auto" w:fill="C6EFCE"/>
            <w:noWrap/>
          </w:tcPr>
          <w:p w14:paraId="7DBA839F"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 xml:space="preserve"> </w:t>
            </w:r>
          </w:p>
        </w:tc>
        <w:tc>
          <w:tcPr>
            <w:tcW w:w="567" w:type="dxa"/>
            <w:shd w:val="clear" w:color="auto" w:fill="C6EFCE"/>
            <w:noWrap/>
          </w:tcPr>
          <w:p w14:paraId="77586365"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 xml:space="preserve"> </w:t>
            </w:r>
          </w:p>
        </w:tc>
        <w:tc>
          <w:tcPr>
            <w:tcW w:w="426" w:type="dxa"/>
            <w:shd w:val="clear" w:color="auto" w:fill="C6EFCE"/>
            <w:noWrap/>
          </w:tcPr>
          <w:p w14:paraId="14EA049E"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708" w:type="dxa"/>
            <w:shd w:val="clear" w:color="auto" w:fill="C6EFCE"/>
            <w:noWrap/>
          </w:tcPr>
          <w:p w14:paraId="70BFDCAA"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2025</w:t>
            </w:r>
          </w:p>
        </w:tc>
        <w:tc>
          <w:tcPr>
            <w:tcW w:w="6237" w:type="dxa"/>
            <w:shd w:val="clear" w:color="auto" w:fill="C6EFCE"/>
            <w:noWrap/>
          </w:tcPr>
          <w:p w14:paraId="0B81599A" w14:textId="77777777" w:rsidR="00D65CB4" w:rsidRPr="00BC4EE7" w:rsidRDefault="00572307">
            <w:pPr>
              <w:pStyle w:val="P68B1DB1-Normal12"/>
              <w:spacing w:after="0" w:line="240" w:lineRule="auto"/>
              <w:rPr>
                <w:rFonts w:cs="Times New Roman"/>
                <w:noProof/>
              </w:rPr>
            </w:pPr>
            <w:r w:rsidRPr="00BC4EE7">
              <w:rPr>
                <w:rFonts w:cs="Times New Roman"/>
                <w:noProof/>
              </w:rPr>
              <w:t>Egy teljes mértékben működőképes intelligens úticél-platform megvalósítása és elindítása. A platform interoperábilis köz- és magánszolgáltatásokat bocsát a turisták rendelkezésére.</w:t>
            </w:r>
          </w:p>
        </w:tc>
      </w:tr>
      <w:tr w:rsidR="00D65CB4" w:rsidRPr="00BC4EE7" w14:paraId="4C4443DE" w14:textId="77777777" w:rsidTr="00BC4EE7">
        <w:trPr>
          <w:trHeight w:val="171"/>
        </w:trPr>
        <w:tc>
          <w:tcPr>
            <w:tcW w:w="709" w:type="dxa"/>
            <w:shd w:val="clear" w:color="auto" w:fill="C6EFCE"/>
            <w:noWrap/>
          </w:tcPr>
          <w:p w14:paraId="33E1B8CE"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223</w:t>
            </w:r>
          </w:p>
        </w:tc>
        <w:tc>
          <w:tcPr>
            <w:tcW w:w="993" w:type="dxa"/>
            <w:shd w:val="clear" w:color="auto" w:fill="C6EFCE"/>
            <w:noWrap/>
          </w:tcPr>
          <w:p w14:paraId="757B8BE0"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C14.I2.</w:t>
            </w:r>
          </w:p>
        </w:tc>
        <w:tc>
          <w:tcPr>
            <w:tcW w:w="992" w:type="dxa"/>
            <w:shd w:val="clear" w:color="auto" w:fill="C6EFCE"/>
            <w:noWrap/>
          </w:tcPr>
          <w:p w14:paraId="1FB216CC"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1134" w:type="dxa"/>
            <w:shd w:val="clear" w:color="auto" w:fill="C6EFCE"/>
            <w:noWrap/>
          </w:tcPr>
          <w:p w14:paraId="0E2164DB" w14:textId="77777777" w:rsidR="00D65CB4" w:rsidRPr="00BC4EE7" w:rsidRDefault="00572307">
            <w:pPr>
              <w:pStyle w:val="P68B1DB1-Normal12"/>
              <w:spacing w:after="0" w:line="240" w:lineRule="auto"/>
              <w:rPr>
                <w:rFonts w:cs="Times New Roman"/>
                <w:noProof/>
              </w:rPr>
            </w:pPr>
            <w:r w:rsidRPr="00BC4EE7">
              <w:rPr>
                <w:rFonts w:cs="Times New Roman"/>
                <w:noProof/>
              </w:rPr>
              <w:t>A mesterséges intelligenciához és más alaptechnológiákhoz kapcsolódó innovatív technológiaalapú projektek kedvezményezettjei</w:t>
            </w:r>
          </w:p>
        </w:tc>
        <w:tc>
          <w:tcPr>
            <w:tcW w:w="1276" w:type="dxa"/>
            <w:shd w:val="clear" w:color="auto" w:fill="C6EFCE"/>
            <w:noWrap/>
          </w:tcPr>
          <w:p w14:paraId="3226E9BF"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w:t>
            </w:r>
          </w:p>
        </w:tc>
        <w:tc>
          <w:tcPr>
            <w:tcW w:w="850" w:type="dxa"/>
            <w:shd w:val="clear" w:color="auto" w:fill="C6EFCE"/>
            <w:noWrap/>
          </w:tcPr>
          <w:p w14:paraId="19E2031B"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Szám</w:t>
            </w:r>
          </w:p>
        </w:tc>
        <w:tc>
          <w:tcPr>
            <w:tcW w:w="992" w:type="dxa"/>
            <w:shd w:val="clear" w:color="auto" w:fill="C6EFCE"/>
            <w:noWrap/>
          </w:tcPr>
          <w:p w14:paraId="0E9DD790"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0</w:t>
            </w:r>
          </w:p>
        </w:tc>
        <w:tc>
          <w:tcPr>
            <w:tcW w:w="567" w:type="dxa"/>
            <w:shd w:val="clear" w:color="auto" w:fill="C6EFCE"/>
            <w:noWrap/>
          </w:tcPr>
          <w:p w14:paraId="58635DFE"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1 000</w:t>
            </w:r>
          </w:p>
        </w:tc>
        <w:tc>
          <w:tcPr>
            <w:tcW w:w="426" w:type="dxa"/>
            <w:shd w:val="clear" w:color="auto" w:fill="C6EFCE"/>
            <w:noWrap/>
          </w:tcPr>
          <w:p w14:paraId="7719B954"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708" w:type="dxa"/>
            <w:shd w:val="clear" w:color="auto" w:fill="C6EFCE"/>
            <w:noWrap/>
          </w:tcPr>
          <w:p w14:paraId="30E7C679"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2025</w:t>
            </w:r>
          </w:p>
        </w:tc>
        <w:tc>
          <w:tcPr>
            <w:tcW w:w="6237" w:type="dxa"/>
            <w:shd w:val="clear" w:color="auto" w:fill="C6EFCE"/>
            <w:noWrap/>
          </w:tcPr>
          <w:p w14:paraId="46B5ECA5" w14:textId="77777777" w:rsidR="00D65CB4" w:rsidRPr="00BC4EE7" w:rsidRDefault="00572307">
            <w:pPr>
              <w:pStyle w:val="P68B1DB1-Normal12"/>
              <w:spacing w:after="0" w:line="240" w:lineRule="auto"/>
              <w:rPr>
                <w:rFonts w:cs="Times New Roman"/>
                <w:noProof/>
              </w:rPr>
            </w:pPr>
            <w:r w:rsidRPr="00BC4EE7">
              <w:rPr>
                <w:rFonts w:cs="Times New Roman"/>
                <w:noProof/>
              </w:rPr>
              <w:t xml:space="preserve">Legalább 1000 kedvezményezett (vállalatok vagy klaszterek), amelyek a mesterséges intelligenciához és más alaptechnológiákhoz – például a dolgok internetéhez, az 5G-hez, a nagy adathalmazokhoz, a kiberbiztonsághoz és a mobilalkalmazásokhoz – kapcsolódó innovatív technológiaalapú projekteket hajtottak végre az idegenforgalmi ágazatban. </w:t>
            </w:r>
          </w:p>
        </w:tc>
      </w:tr>
      <w:tr w:rsidR="00D65CB4" w:rsidRPr="00BC4EE7" w14:paraId="0767E8E7" w14:textId="77777777" w:rsidTr="00BC4EE7">
        <w:trPr>
          <w:trHeight w:val="881"/>
        </w:trPr>
        <w:tc>
          <w:tcPr>
            <w:tcW w:w="709" w:type="dxa"/>
            <w:shd w:val="clear" w:color="auto" w:fill="C6EFCE"/>
            <w:noWrap/>
          </w:tcPr>
          <w:p w14:paraId="71EC71E3"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224</w:t>
            </w:r>
          </w:p>
        </w:tc>
        <w:tc>
          <w:tcPr>
            <w:tcW w:w="993" w:type="dxa"/>
            <w:shd w:val="clear" w:color="auto" w:fill="C6EFCE"/>
            <w:noWrap/>
          </w:tcPr>
          <w:p w14:paraId="16DA144B"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C14.I3</w:t>
            </w:r>
          </w:p>
        </w:tc>
        <w:tc>
          <w:tcPr>
            <w:tcW w:w="992" w:type="dxa"/>
            <w:shd w:val="clear" w:color="auto" w:fill="C6EFCE"/>
            <w:noWrap/>
          </w:tcPr>
          <w:p w14:paraId="47493A6B"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1134" w:type="dxa"/>
            <w:shd w:val="clear" w:color="auto" w:fill="C6EFCE"/>
            <w:noWrap/>
          </w:tcPr>
          <w:p w14:paraId="5F52E50C" w14:textId="77777777" w:rsidR="00D65CB4" w:rsidRPr="00BC4EE7" w:rsidRDefault="00572307">
            <w:pPr>
              <w:pStyle w:val="P68B1DB1-Normal12"/>
              <w:spacing w:after="0" w:line="240" w:lineRule="auto"/>
              <w:rPr>
                <w:rFonts w:cs="Times New Roman"/>
                <w:noProof/>
              </w:rPr>
            </w:pPr>
            <w:r w:rsidRPr="00BC4EE7">
              <w:rPr>
                <w:rFonts w:cs="Times New Roman"/>
                <w:noProof/>
              </w:rPr>
              <w:t>Kedvezményezettek a félszigeten kívüli régiókban, amelyek a versenyképességük és a nemzetközi piacok változásaihoz való alkalmazkodási képességük javítására irányuló projekteket hajtottak végre</w:t>
            </w:r>
          </w:p>
        </w:tc>
        <w:tc>
          <w:tcPr>
            <w:tcW w:w="1276" w:type="dxa"/>
            <w:shd w:val="clear" w:color="auto" w:fill="C6EFCE"/>
            <w:noWrap/>
          </w:tcPr>
          <w:p w14:paraId="0A29F6D2"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w:t>
            </w:r>
          </w:p>
        </w:tc>
        <w:tc>
          <w:tcPr>
            <w:tcW w:w="850" w:type="dxa"/>
            <w:shd w:val="clear" w:color="auto" w:fill="C6EFCE"/>
            <w:noWrap/>
          </w:tcPr>
          <w:p w14:paraId="06EE9AA1"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Szám</w:t>
            </w:r>
          </w:p>
        </w:tc>
        <w:tc>
          <w:tcPr>
            <w:tcW w:w="992" w:type="dxa"/>
            <w:shd w:val="clear" w:color="auto" w:fill="C6EFCE"/>
            <w:noWrap/>
          </w:tcPr>
          <w:p w14:paraId="0AAEB8C8"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0</w:t>
            </w:r>
          </w:p>
        </w:tc>
        <w:tc>
          <w:tcPr>
            <w:tcW w:w="567" w:type="dxa"/>
            <w:shd w:val="clear" w:color="auto" w:fill="C6EFCE"/>
            <w:noWrap/>
          </w:tcPr>
          <w:p w14:paraId="6BF37D29"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400</w:t>
            </w:r>
          </w:p>
        </w:tc>
        <w:tc>
          <w:tcPr>
            <w:tcW w:w="426" w:type="dxa"/>
            <w:shd w:val="clear" w:color="auto" w:fill="C6EFCE"/>
            <w:noWrap/>
          </w:tcPr>
          <w:p w14:paraId="77158A0C"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708" w:type="dxa"/>
            <w:shd w:val="clear" w:color="auto" w:fill="C6EFCE"/>
            <w:noWrap/>
          </w:tcPr>
          <w:p w14:paraId="105DEDD1"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2025</w:t>
            </w:r>
          </w:p>
        </w:tc>
        <w:tc>
          <w:tcPr>
            <w:tcW w:w="6237" w:type="dxa"/>
            <w:shd w:val="clear" w:color="auto" w:fill="C6EFCE"/>
            <w:noWrap/>
          </w:tcPr>
          <w:p w14:paraId="7E791D59" w14:textId="77777777" w:rsidR="00D65CB4" w:rsidRPr="00BC4EE7" w:rsidRDefault="00572307">
            <w:pPr>
              <w:pStyle w:val="P68B1DB1-Normal12"/>
              <w:spacing w:after="0" w:line="240" w:lineRule="auto"/>
              <w:rPr>
                <w:rFonts w:cs="Times New Roman"/>
                <w:noProof/>
              </w:rPr>
            </w:pPr>
            <w:r w:rsidRPr="00BC4EE7">
              <w:rPr>
                <w:rFonts w:cs="Times New Roman"/>
                <w:noProof/>
              </w:rPr>
              <w:t>A félszigeten kívüli régiókban (Baleár-szigetek, Kanári-szigetek, Ceuta és Melilla) legalább 400 kedvezményezett valósított meg olyan projekteket, amelyek javítják versenyképességüket és a nemzetközi piacok változásaihoz való alkalmazkodási képességüket.</w:t>
            </w:r>
          </w:p>
        </w:tc>
      </w:tr>
      <w:tr w:rsidR="00D65CB4" w:rsidRPr="00BC4EE7" w14:paraId="7F8EA3C9" w14:textId="77777777" w:rsidTr="00BC4EE7">
        <w:trPr>
          <w:trHeight w:val="881"/>
        </w:trPr>
        <w:tc>
          <w:tcPr>
            <w:tcW w:w="709" w:type="dxa"/>
            <w:shd w:val="clear" w:color="auto" w:fill="C6EFCE"/>
            <w:noWrap/>
          </w:tcPr>
          <w:p w14:paraId="385EAC47"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225</w:t>
            </w:r>
          </w:p>
        </w:tc>
        <w:tc>
          <w:tcPr>
            <w:tcW w:w="993" w:type="dxa"/>
            <w:shd w:val="clear" w:color="auto" w:fill="C6EFCE"/>
            <w:noWrap/>
          </w:tcPr>
          <w:p w14:paraId="2303E8C6"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C14.I4</w:t>
            </w:r>
          </w:p>
        </w:tc>
        <w:tc>
          <w:tcPr>
            <w:tcW w:w="992" w:type="dxa"/>
            <w:shd w:val="clear" w:color="auto" w:fill="C6EFCE"/>
            <w:noWrap/>
          </w:tcPr>
          <w:p w14:paraId="6805CA9F"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1134" w:type="dxa"/>
            <w:shd w:val="clear" w:color="auto" w:fill="C6EFCE"/>
            <w:noWrap/>
          </w:tcPr>
          <w:p w14:paraId="413B15AC" w14:textId="77777777" w:rsidR="00D65CB4" w:rsidRPr="00BC4EE7" w:rsidRDefault="00572307">
            <w:pPr>
              <w:pStyle w:val="P68B1DB1-Normal12"/>
              <w:spacing w:after="0" w:line="240" w:lineRule="auto"/>
              <w:rPr>
                <w:rFonts w:cs="Times New Roman"/>
                <w:noProof/>
              </w:rPr>
            </w:pPr>
            <w:r w:rsidRPr="00BC4EE7">
              <w:rPr>
                <w:rFonts w:cs="Times New Roman"/>
                <w:noProof/>
              </w:rPr>
              <w:t>Nagy turista influxusú helyi területeken található kereskedelmi területekre irányuló projektek</w:t>
            </w:r>
          </w:p>
        </w:tc>
        <w:tc>
          <w:tcPr>
            <w:tcW w:w="1276" w:type="dxa"/>
            <w:shd w:val="clear" w:color="auto" w:fill="C6EFCE"/>
            <w:noWrap/>
          </w:tcPr>
          <w:p w14:paraId="12BB2E25"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 xml:space="preserve"> </w:t>
            </w:r>
          </w:p>
        </w:tc>
        <w:tc>
          <w:tcPr>
            <w:tcW w:w="850" w:type="dxa"/>
            <w:shd w:val="clear" w:color="auto" w:fill="C6EFCE"/>
            <w:noWrap/>
          </w:tcPr>
          <w:p w14:paraId="31E5FFEF"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Szám</w:t>
            </w:r>
          </w:p>
        </w:tc>
        <w:tc>
          <w:tcPr>
            <w:tcW w:w="992" w:type="dxa"/>
            <w:shd w:val="clear" w:color="auto" w:fill="C6EFCE"/>
            <w:noWrap/>
          </w:tcPr>
          <w:p w14:paraId="5F983A08"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0</w:t>
            </w:r>
          </w:p>
        </w:tc>
        <w:tc>
          <w:tcPr>
            <w:tcW w:w="567" w:type="dxa"/>
            <w:shd w:val="clear" w:color="auto" w:fill="C6EFCE"/>
            <w:noWrap/>
          </w:tcPr>
          <w:p w14:paraId="6DF72650"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60</w:t>
            </w:r>
          </w:p>
        </w:tc>
        <w:tc>
          <w:tcPr>
            <w:tcW w:w="426" w:type="dxa"/>
            <w:shd w:val="clear" w:color="auto" w:fill="C6EFCE"/>
            <w:noWrap/>
          </w:tcPr>
          <w:p w14:paraId="3D85A9FF"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708" w:type="dxa"/>
            <w:shd w:val="clear" w:color="auto" w:fill="C6EFCE"/>
            <w:noWrap/>
          </w:tcPr>
          <w:p w14:paraId="4BD77ADF"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2024</w:t>
            </w:r>
          </w:p>
        </w:tc>
        <w:tc>
          <w:tcPr>
            <w:tcW w:w="6237" w:type="dxa"/>
            <w:shd w:val="clear" w:color="auto" w:fill="C6EFCE"/>
            <w:noWrap/>
          </w:tcPr>
          <w:p w14:paraId="249191AF" w14:textId="77777777" w:rsidR="00D65CB4" w:rsidRPr="00BC4EE7" w:rsidRDefault="00572307">
            <w:pPr>
              <w:pStyle w:val="P68B1DB1-Normal12"/>
              <w:spacing w:after="0" w:line="240" w:lineRule="auto"/>
              <w:rPr>
                <w:rFonts w:cs="Times New Roman"/>
                <w:noProof/>
              </w:rPr>
            </w:pPr>
            <w:r w:rsidRPr="00BC4EE7">
              <w:rPr>
                <w:rFonts w:cs="Times New Roman"/>
                <w:noProof/>
              </w:rPr>
              <w:t>A jelentős károkozás elkerülését célzó technikai iránymutatásnak (2021/C58/01) megfelelően egy kizárási lista, valamint a vonatkozó uniós és nemzeti környezetvédelmi jogszabályoknak való megfelelés követelménye révén legalább 60, nagy turisztikai beáramlású helyi területeken található kereskedelmi területekre irányuló projekt valósult meg.</w:t>
            </w:r>
          </w:p>
        </w:tc>
      </w:tr>
      <w:tr w:rsidR="00D65CB4" w:rsidRPr="00BC4EE7" w14:paraId="16C4192C" w14:textId="77777777" w:rsidTr="00BC4EE7">
        <w:trPr>
          <w:trHeight w:val="881"/>
        </w:trPr>
        <w:tc>
          <w:tcPr>
            <w:tcW w:w="709" w:type="dxa"/>
            <w:shd w:val="clear" w:color="auto" w:fill="C6EFCE"/>
            <w:noWrap/>
          </w:tcPr>
          <w:p w14:paraId="1E2E6596"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226</w:t>
            </w:r>
          </w:p>
        </w:tc>
        <w:tc>
          <w:tcPr>
            <w:tcW w:w="993" w:type="dxa"/>
            <w:shd w:val="clear" w:color="auto" w:fill="C6EFCE"/>
            <w:noWrap/>
          </w:tcPr>
          <w:p w14:paraId="74FBDFDD"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C14.I4</w:t>
            </w:r>
          </w:p>
        </w:tc>
        <w:tc>
          <w:tcPr>
            <w:tcW w:w="992" w:type="dxa"/>
            <w:shd w:val="clear" w:color="auto" w:fill="C6EFCE"/>
            <w:noWrap/>
          </w:tcPr>
          <w:p w14:paraId="7DC82036"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1134" w:type="dxa"/>
            <w:shd w:val="clear" w:color="auto" w:fill="C6EFCE"/>
            <w:noWrap/>
          </w:tcPr>
          <w:p w14:paraId="0188AC6F" w14:textId="77777777" w:rsidR="00D65CB4" w:rsidRPr="00BC4EE7" w:rsidRDefault="00572307">
            <w:pPr>
              <w:pStyle w:val="P68B1DB1-Normal12"/>
              <w:spacing w:after="0" w:line="240" w:lineRule="auto"/>
              <w:rPr>
                <w:rFonts w:cs="Times New Roman"/>
                <w:noProof/>
              </w:rPr>
            </w:pPr>
            <w:r w:rsidRPr="00BC4EE7">
              <w:rPr>
                <w:rFonts w:cs="Times New Roman"/>
                <w:noProof/>
              </w:rPr>
              <w:t xml:space="preserve">Turisztikai termékek az idegenforgalmi stratégiával összhangban </w:t>
            </w:r>
          </w:p>
        </w:tc>
        <w:tc>
          <w:tcPr>
            <w:tcW w:w="1276" w:type="dxa"/>
            <w:shd w:val="clear" w:color="auto" w:fill="C6EFCE"/>
            <w:noWrap/>
          </w:tcPr>
          <w:p w14:paraId="734BD8B1"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w:t>
            </w:r>
          </w:p>
        </w:tc>
        <w:tc>
          <w:tcPr>
            <w:tcW w:w="850" w:type="dxa"/>
            <w:shd w:val="clear" w:color="auto" w:fill="C6EFCE"/>
            <w:noWrap/>
          </w:tcPr>
          <w:p w14:paraId="3FC4EB3F"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Szám</w:t>
            </w:r>
          </w:p>
        </w:tc>
        <w:tc>
          <w:tcPr>
            <w:tcW w:w="992" w:type="dxa"/>
            <w:shd w:val="clear" w:color="auto" w:fill="C6EFCE"/>
            <w:noWrap/>
          </w:tcPr>
          <w:p w14:paraId="0081B951"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0</w:t>
            </w:r>
          </w:p>
        </w:tc>
        <w:tc>
          <w:tcPr>
            <w:tcW w:w="567" w:type="dxa"/>
            <w:shd w:val="clear" w:color="auto" w:fill="C6EFCE"/>
            <w:noWrap/>
          </w:tcPr>
          <w:p w14:paraId="0BAEFB59"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45</w:t>
            </w:r>
          </w:p>
        </w:tc>
        <w:tc>
          <w:tcPr>
            <w:tcW w:w="426" w:type="dxa"/>
            <w:shd w:val="clear" w:color="auto" w:fill="C6EFCE"/>
            <w:noWrap/>
          </w:tcPr>
          <w:p w14:paraId="52ED2B2C"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708" w:type="dxa"/>
            <w:shd w:val="clear" w:color="auto" w:fill="C6EFCE"/>
            <w:noWrap/>
          </w:tcPr>
          <w:p w14:paraId="6F9E11E8"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2025</w:t>
            </w:r>
          </w:p>
        </w:tc>
        <w:tc>
          <w:tcPr>
            <w:tcW w:w="6237" w:type="dxa"/>
            <w:shd w:val="clear" w:color="auto" w:fill="C6EFCE"/>
            <w:noWrap/>
          </w:tcPr>
          <w:p w14:paraId="1E21EE6A" w14:textId="77777777" w:rsidR="00D65CB4" w:rsidRPr="00BC4EE7" w:rsidRDefault="00572307">
            <w:pPr>
              <w:pStyle w:val="P68B1DB1-Normal12"/>
              <w:spacing w:after="0" w:line="240" w:lineRule="auto"/>
              <w:rPr>
                <w:rFonts w:cs="Times New Roman"/>
                <w:noProof/>
              </w:rPr>
            </w:pPr>
            <w:r w:rsidRPr="00BC4EE7">
              <w:rPr>
                <w:rFonts w:cs="Times New Roman"/>
                <w:noProof/>
              </w:rPr>
              <w:t xml:space="preserve">Legalább 45 új turisztikai termék szállítása a fenntartható turisztikai termékfejlesztési stratégiával összhangban, a jelentős károkozás elkerülését célzó technikai iránymutatással (2021/C58/01) összhangban kizárási lista, valamint a vonatkozó uniós és nemzeti környezetvédelmi jogszabályoknak való megfelelés követelménye révén. </w:t>
            </w:r>
          </w:p>
        </w:tc>
      </w:tr>
      <w:tr w:rsidR="00D65CB4" w:rsidRPr="00BC4EE7" w14:paraId="1C686068" w14:textId="77777777" w:rsidTr="00BC4EE7">
        <w:trPr>
          <w:trHeight w:val="881"/>
        </w:trPr>
        <w:tc>
          <w:tcPr>
            <w:tcW w:w="709" w:type="dxa"/>
            <w:shd w:val="clear" w:color="auto" w:fill="C6EFCE"/>
            <w:noWrap/>
          </w:tcPr>
          <w:p w14:paraId="7C067D74"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227</w:t>
            </w:r>
          </w:p>
        </w:tc>
        <w:tc>
          <w:tcPr>
            <w:tcW w:w="993" w:type="dxa"/>
            <w:shd w:val="clear" w:color="auto" w:fill="C6EFCE"/>
            <w:noWrap/>
          </w:tcPr>
          <w:p w14:paraId="2007CE7E"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C14.I4</w:t>
            </w:r>
          </w:p>
        </w:tc>
        <w:tc>
          <w:tcPr>
            <w:tcW w:w="992" w:type="dxa"/>
            <w:shd w:val="clear" w:color="auto" w:fill="C6EFCE"/>
            <w:noWrap/>
          </w:tcPr>
          <w:p w14:paraId="66897B48"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1134" w:type="dxa"/>
            <w:shd w:val="clear" w:color="auto" w:fill="C6EFCE"/>
            <w:noWrap/>
          </w:tcPr>
          <w:p w14:paraId="434B6C3F" w14:textId="77777777" w:rsidR="00D65CB4" w:rsidRPr="00BC4EE7" w:rsidRDefault="00572307">
            <w:pPr>
              <w:pStyle w:val="P68B1DB1-Normal12"/>
              <w:spacing w:after="0" w:line="240" w:lineRule="auto"/>
              <w:rPr>
                <w:rFonts w:cs="Times New Roman"/>
                <w:noProof/>
              </w:rPr>
            </w:pPr>
            <w:r w:rsidRPr="00BC4EE7">
              <w:rPr>
                <w:rFonts w:cs="Times New Roman"/>
                <w:noProof/>
              </w:rPr>
              <w:t>Az éves hulladék- vagy energiafogyasztásukat csökkentő turisztikai létesítmények</w:t>
            </w:r>
          </w:p>
        </w:tc>
        <w:tc>
          <w:tcPr>
            <w:tcW w:w="1276" w:type="dxa"/>
            <w:shd w:val="clear" w:color="auto" w:fill="C6EFCE"/>
            <w:noWrap/>
          </w:tcPr>
          <w:p w14:paraId="3F8486BA"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w:t>
            </w:r>
          </w:p>
        </w:tc>
        <w:tc>
          <w:tcPr>
            <w:tcW w:w="850" w:type="dxa"/>
            <w:shd w:val="clear" w:color="auto" w:fill="C6EFCE"/>
            <w:noWrap/>
          </w:tcPr>
          <w:p w14:paraId="5A315F3E"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Szám</w:t>
            </w:r>
          </w:p>
        </w:tc>
        <w:tc>
          <w:tcPr>
            <w:tcW w:w="992" w:type="dxa"/>
            <w:shd w:val="clear" w:color="auto" w:fill="C6EFCE"/>
            <w:noWrap/>
          </w:tcPr>
          <w:p w14:paraId="331FA6EA"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0</w:t>
            </w:r>
          </w:p>
        </w:tc>
        <w:tc>
          <w:tcPr>
            <w:tcW w:w="567" w:type="dxa"/>
            <w:shd w:val="clear" w:color="auto" w:fill="C6EFCE"/>
            <w:noWrap/>
          </w:tcPr>
          <w:p w14:paraId="60532D3B"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3 400</w:t>
            </w:r>
          </w:p>
        </w:tc>
        <w:tc>
          <w:tcPr>
            <w:tcW w:w="426" w:type="dxa"/>
            <w:shd w:val="clear" w:color="auto" w:fill="C6EFCE"/>
            <w:noWrap/>
          </w:tcPr>
          <w:p w14:paraId="71FB228C"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708" w:type="dxa"/>
            <w:shd w:val="clear" w:color="auto" w:fill="C6EFCE"/>
            <w:noWrap/>
          </w:tcPr>
          <w:p w14:paraId="4A694733"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2025</w:t>
            </w:r>
          </w:p>
        </w:tc>
        <w:tc>
          <w:tcPr>
            <w:tcW w:w="6237" w:type="dxa"/>
            <w:shd w:val="clear" w:color="auto" w:fill="C6EFCE"/>
            <w:noWrap/>
          </w:tcPr>
          <w:p w14:paraId="43DD508F" w14:textId="77777777" w:rsidR="00D65CB4" w:rsidRPr="00BC4EE7" w:rsidRDefault="00572307">
            <w:pPr>
              <w:pStyle w:val="P68B1DB1-Normal12"/>
              <w:spacing w:after="0" w:line="240" w:lineRule="auto"/>
              <w:rPr>
                <w:rFonts w:cs="Times New Roman"/>
                <w:noProof/>
              </w:rPr>
            </w:pPr>
            <w:r w:rsidRPr="00BC4EE7">
              <w:rPr>
                <w:rFonts w:cs="Times New Roman"/>
                <w:noProof/>
              </w:rPr>
              <w:t>Legalább 3400 turisztikai létesítmény valósított meg olyan projektet, amelynek célja az éves hulladék- vagy energiafogyasztás csökkentése a jelentős károkozás elkerülését célzó technikai iránymutatásnak (2021/C58/01) megfelelően egy kizárási lista, valamint a vonatkozó uniós és nemzeti környezetvédelmi jogszabályoknak való megfelelés követelménye révén.</w:t>
            </w:r>
          </w:p>
        </w:tc>
      </w:tr>
      <w:tr w:rsidR="00D65CB4" w:rsidRPr="00BC4EE7" w14:paraId="5599F7AA" w14:textId="77777777" w:rsidTr="00BC4EE7">
        <w:trPr>
          <w:trHeight w:val="881"/>
        </w:trPr>
        <w:tc>
          <w:tcPr>
            <w:tcW w:w="709" w:type="dxa"/>
            <w:shd w:val="clear" w:color="auto" w:fill="C6EFCE"/>
            <w:noWrap/>
          </w:tcPr>
          <w:p w14:paraId="6B47432E"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228</w:t>
            </w:r>
          </w:p>
        </w:tc>
        <w:tc>
          <w:tcPr>
            <w:tcW w:w="993" w:type="dxa"/>
            <w:shd w:val="clear" w:color="auto" w:fill="C6EFCE"/>
            <w:noWrap/>
          </w:tcPr>
          <w:p w14:paraId="27E92DE7"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C14.I4</w:t>
            </w:r>
          </w:p>
        </w:tc>
        <w:tc>
          <w:tcPr>
            <w:tcW w:w="992" w:type="dxa"/>
            <w:shd w:val="clear" w:color="auto" w:fill="C6EFCE"/>
            <w:noWrap/>
          </w:tcPr>
          <w:p w14:paraId="3792C9DD"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1134" w:type="dxa"/>
            <w:shd w:val="clear" w:color="auto" w:fill="C6EFCE"/>
            <w:noWrap/>
          </w:tcPr>
          <w:p w14:paraId="1557000D" w14:textId="77777777" w:rsidR="00D65CB4" w:rsidRPr="00BC4EE7" w:rsidRDefault="00572307">
            <w:pPr>
              <w:pStyle w:val="P68B1DB1-Normal12"/>
              <w:spacing w:after="0" w:line="240" w:lineRule="auto"/>
              <w:rPr>
                <w:rFonts w:cs="Times New Roman"/>
                <w:noProof/>
              </w:rPr>
            </w:pPr>
            <w:r w:rsidRPr="00BC4EE7">
              <w:rPr>
                <w:rFonts w:cs="Times New Roman"/>
                <w:noProof/>
              </w:rPr>
              <w:t>A jelenlegi vagy jövőbeli turisztikai célú történelmi örökségi helyszínek rehabilitációjára irányuló projektek</w:t>
            </w:r>
          </w:p>
        </w:tc>
        <w:tc>
          <w:tcPr>
            <w:tcW w:w="1276" w:type="dxa"/>
            <w:shd w:val="clear" w:color="auto" w:fill="C6EFCE"/>
            <w:noWrap/>
          </w:tcPr>
          <w:p w14:paraId="45A9A141"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w:t>
            </w:r>
          </w:p>
        </w:tc>
        <w:tc>
          <w:tcPr>
            <w:tcW w:w="850" w:type="dxa"/>
            <w:shd w:val="clear" w:color="auto" w:fill="C6EFCE"/>
            <w:noWrap/>
          </w:tcPr>
          <w:p w14:paraId="179C0CBD"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Szám</w:t>
            </w:r>
          </w:p>
        </w:tc>
        <w:tc>
          <w:tcPr>
            <w:tcW w:w="992" w:type="dxa"/>
            <w:shd w:val="clear" w:color="auto" w:fill="C6EFCE"/>
            <w:noWrap/>
          </w:tcPr>
          <w:p w14:paraId="58A16522"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0</w:t>
            </w:r>
          </w:p>
        </w:tc>
        <w:tc>
          <w:tcPr>
            <w:tcW w:w="567" w:type="dxa"/>
            <w:shd w:val="clear" w:color="auto" w:fill="C6EFCE"/>
            <w:noWrap/>
          </w:tcPr>
          <w:p w14:paraId="42B1A537"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50</w:t>
            </w:r>
          </w:p>
        </w:tc>
        <w:tc>
          <w:tcPr>
            <w:tcW w:w="426" w:type="dxa"/>
            <w:shd w:val="clear" w:color="auto" w:fill="C6EFCE"/>
            <w:noWrap/>
          </w:tcPr>
          <w:p w14:paraId="341BFCFB"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708" w:type="dxa"/>
            <w:shd w:val="clear" w:color="auto" w:fill="C6EFCE"/>
            <w:noWrap/>
          </w:tcPr>
          <w:p w14:paraId="30C50665"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2026</w:t>
            </w:r>
          </w:p>
        </w:tc>
        <w:tc>
          <w:tcPr>
            <w:tcW w:w="6237" w:type="dxa"/>
            <w:shd w:val="clear" w:color="auto" w:fill="C6EFCE"/>
            <w:noWrap/>
          </w:tcPr>
          <w:p w14:paraId="11932909" w14:textId="77777777" w:rsidR="00D65CB4" w:rsidRPr="00BC4EE7" w:rsidRDefault="00572307">
            <w:pPr>
              <w:pStyle w:val="P68B1DB1-Normal12"/>
              <w:spacing w:after="0" w:line="240" w:lineRule="auto"/>
              <w:rPr>
                <w:rFonts w:cs="Times New Roman"/>
                <w:noProof/>
              </w:rPr>
            </w:pPr>
            <w:r w:rsidRPr="00BC4EE7">
              <w:rPr>
                <w:rFonts w:cs="Times New Roman"/>
                <w:noProof/>
              </w:rPr>
              <w:t xml:space="preserve">A jelentős károkozás elkerülését célzó technikai iránymutatással (2021/C58/01) összhangban legalább 50 történelmi örökségi helyszín rehabilitációját célzó intézkedés végrehajtása kizárási lista, valamint a vonatkozó uniós és nemzeti környezetvédelmi jogszabályoknak való megfelelés követelménye révén. </w:t>
            </w:r>
          </w:p>
        </w:tc>
      </w:tr>
    </w:tbl>
    <w:p w14:paraId="0EBF13D8" w14:textId="77777777" w:rsidR="00D65CB4" w:rsidRPr="00BC4EE7" w:rsidRDefault="00D65CB4">
      <w:pPr>
        <w:spacing w:before="120" w:after="120" w:line="240" w:lineRule="auto"/>
        <w:ind w:left="709"/>
        <w:jc w:val="both"/>
        <w:rPr>
          <w:rFonts w:ascii="Times New Roman" w:hAnsi="Times New Roman" w:cs="Times New Roman"/>
          <w:noProof/>
          <w:sz w:val="24"/>
        </w:rPr>
      </w:pPr>
    </w:p>
    <w:p w14:paraId="53690C33" w14:textId="77777777" w:rsidR="00D65CB4" w:rsidRPr="00BC4EE7" w:rsidRDefault="00D65CB4">
      <w:pPr>
        <w:spacing w:before="120" w:after="120" w:line="240" w:lineRule="auto"/>
        <w:jc w:val="both"/>
        <w:rPr>
          <w:rFonts w:ascii="Times New Roman" w:hAnsi="Times New Roman" w:cs="Times New Roman"/>
          <w:noProof/>
          <w:sz w:val="24"/>
        </w:rPr>
        <w:sectPr w:rsidR="00D65CB4" w:rsidRPr="00BC4EE7" w:rsidSect="00B511EF">
          <w:headerReference w:type="even" r:id="rId315"/>
          <w:headerReference w:type="default" r:id="rId316"/>
          <w:footerReference w:type="even" r:id="rId317"/>
          <w:footerReference w:type="default" r:id="rId318"/>
          <w:headerReference w:type="first" r:id="rId319"/>
          <w:footerReference w:type="first" r:id="rId320"/>
          <w:pgSz w:w="16839" w:h="11907" w:orient="landscape"/>
          <w:pgMar w:top="1134" w:right="1134" w:bottom="1134" w:left="1134" w:header="567" w:footer="567" w:gutter="0"/>
          <w:cols w:space="720"/>
          <w:docGrid w:linePitch="360"/>
        </w:sectPr>
      </w:pPr>
    </w:p>
    <w:p w14:paraId="0005EC5A" w14:textId="77777777" w:rsidR="00D65CB4" w:rsidRPr="00BC4EE7" w:rsidRDefault="00572307">
      <w:pPr>
        <w:pStyle w:val="P68B1DB1-Heading12"/>
        <w:rPr>
          <w:rFonts w:cs="Times New Roman"/>
          <w:noProof/>
        </w:rPr>
      </w:pPr>
      <w:r w:rsidRPr="00BC4EE7">
        <w:rPr>
          <w:rFonts w:cs="Times New Roman"/>
          <w:noProof/>
        </w:rPr>
        <w:t>O. 15. KOMPONENS: Digitális konnektivitás</w:t>
      </w:r>
    </w:p>
    <w:p w14:paraId="7E48FAC7"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digitális konnektivitás kulcsfontosságú tényező a gazdasági tevékenység fejlődése, a termelékenység növelése, az innováció fellendítése, valamint a területi és társadalmi kohézió szempontjából. A digitális hálózatokhoz való hozzáférésre egyre nagyobb szükség van a közszolgáltatásokhoz való hozzáférés, a gazdasági tevékenységek fejlesztése és a társadalomban való aktív részvétel érdekében.</w:t>
      </w:r>
    </w:p>
    <w:p w14:paraId="50C9AC70" w14:textId="77777777" w:rsidR="00D65CB4" w:rsidRPr="00BC4EE7" w:rsidRDefault="00572307">
      <w:pPr>
        <w:pStyle w:val="P68B1DB1-Normal4"/>
        <w:spacing w:before="120" w:after="120" w:line="240" w:lineRule="auto"/>
        <w:jc w:val="both"/>
        <w:rPr>
          <w:rFonts w:eastAsia="Calibri" w:cs="Times New Roman"/>
          <w:noProof/>
        </w:rPr>
      </w:pPr>
      <w:r w:rsidRPr="00BC4EE7">
        <w:rPr>
          <w:rFonts w:cs="Times New Roman"/>
          <w:noProof/>
        </w:rPr>
        <w:t>A spanyol helyreállítási és rezilienciaépítési terv ezen komponense azokkal a kihívásokkal foglalkozik, amelyek a Spanyolországban és különösen a vidéki térségekben és a kulcsfontosságú határokon átnyúló közlekedési folyosókon az ultragyors, 100 Mbps/s-nál nagyobb sebességű vezetékes hálózatok és az 5G lefedettségének biztosítása terén jelentkeznek. Kiberbiztonsági szempontból a komponens által kezelt fő kihívás az, hogy megbízható és biztonságos környezetet teremtsenek a polgárok és a vállalkozások számára, hogy hozzájáruljanak az 5G és az ehhez a technológiához, például a dolgok internetéhez (IoT) kapcsolódó szolgáltatások megvalósításához kapcsolódó digitalizációs folyamathoz és hiperkonnektivitáshoz.</w:t>
      </w:r>
    </w:p>
    <w:p w14:paraId="63E92DF6" w14:textId="77777777" w:rsidR="00D65CB4" w:rsidRPr="00BC4EE7" w:rsidRDefault="00572307">
      <w:pPr>
        <w:pStyle w:val="P68B1DB1-Normal4"/>
        <w:spacing w:before="120" w:after="120" w:line="240" w:lineRule="auto"/>
        <w:jc w:val="both"/>
        <w:rPr>
          <w:rFonts w:eastAsia="Calibri" w:cs="Times New Roman"/>
          <w:noProof/>
        </w:rPr>
      </w:pPr>
      <w:r w:rsidRPr="00BC4EE7">
        <w:rPr>
          <w:rFonts w:cs="Times New Roman"/>
          <w:noProof/>
        </w:rPr>
        <w:t>Ennek az összetevőnek az a célja, hogy a távközlési ágazatot összhangba hozza az európai digitális stratégia követelményeivel, és megerősítse a gazdasági, társadalmi és területi kohéziót a digitális szakadékok megszüntetése és a szupergyors lefedettséghez való hozzáférés javítása révén az ország egész területén. A komponens támogatja az 5G technológia gyorsított bevezetését a következők révén: 1. a szükséges spektrumforrások rendelkezésre bocsátása az 5G prioritási sávokban; Megbízható és biztonságos kiépítési környezet kialakítása és 3) az 5G technológiai alkalmazások fejlesztésének előmozdítása. Célja továbbá, hogy támogassa a polgárok és a vállalkozások fenntartható kiberbiztonsági kultúráját.</w:t>
      </w:r>
    </w:p>
    <w:p w14:paraId="03951814" w14:textId="76FFEAA9" w:rsidR="00D65CB4" w:rsidRPr="00BC4EE7" w:rsidRDefault="00572307">
      <w:pPr>
        <w:pStyle w:val="P68B1DB1-Normal4"/>
        <w:spacing w:before="120" w:after="120" w:line="240" w:lineRule="auto"/>
        <w:jc w:val="both"/>
        <w:rPr>
          <w:rFonts w:eastAsia="Calibri" w:cs="Times New Roman"/>
          <w:noProof/>
        </w:rPr>
      </w:pPr>
      <w:r w:rsidRPr="00BC4EE7">
        <w:rPr>
          <w:rFonts w:cs="Times New Roman"/>
          <w:noProof/>
        </w:rPr>
        <w:t>A komponens a beruházási gazdaságpolitikának az innováció előmozdítására való összpontosítására (2019. évi 3. országspecifikus ajánlás) és a kiforrott közberuházási projektek előreütemezésére, valamint a beruházásoknak a digitális átállásra való összpontosítására vonatkozó országspecifikus ajánlásokkal foglalkozik (3. országspecifikus ajánlás, 2020., 1., 2022., 1. 2023).</w:t>
      </w:r>
    </w:p>
    <w:p w14:paraId="09C9655A" w14:textId="77777777" w:rsidR="00D65CB4" w:rsidRPr="00BC4EE7" w:rsidRDefault="00572307">
      <w:pPr>
        <w:pStyle w:val="P68B1DB1-Normal4"/>
        <w:spacing w:before="120" w:after="120" w:line="240" w:lineRule="auto"/>
        <w:jc w:val="both"/>
        <w:rPr>
          <w:rFonts w:eastAsia="Calibri" w:cs="Times New Roman"/>
          <w:noProof/>
        </w:rPr>
      </w:pPr>
      <w:r w:rsidRPr="00BC4EE7">
        <w:rPr>
          <w:rFonts w:cs="Times New Roman"/>
          <w:noProof/>
        </w:rPr>
        <w:t>A jelentős károkozás elkerülését célzó elvről szóló technikai iránymutatásnak (2021/C58/01) megfelelően a helyreállítási és rezilienciaépítési tervben meghatározott intézkedések leírását és a helyreállítási és rezilienciaépítési tervben meghatározott enyhítő lépéseket figyelembe véve ebben a komponensben várhatóan egyetlen intézkedés sem sérti jelentős mértékben az (EU) 2020/852 rendelet 17. cikke szerinti környezeti célkitűzéseket.</w:t>
      </w:r>
    </w:p>
    <w:p w14:paraId="0E41D603" w14:textId="77777777" w:rsidR="00D65CB4" w:rsidRPr="00BC4EE7" w:rsidRDefault="00572307">
      <w:pPr>
        <w:ind w:left="720"/>
        <w:rPr>
          <w:rFonts w:ascii="Times New Roman" w:hAnsi="Times New Roman" w:cs="Times New Roman"/>
          <w:noProof/>
          <w:u w:val="single"/>
        </w:rPr>
      </w:pPr>
      <w:r w:rsidRPr="00BC4EE7">
        <w:rPr>
          <w:rFonts w:ascii="Times New Roman" w:hAnsi="Times New Roman" w:cs="Times New Roman"/>
          <w:b/>
          <w:noProof/>
          <w:u w:val="single"/>
        </w:rPr>
        <w:t>O</w:t>
      </w:r>
      <w:r w:rsidRPr="00BC4EE7">
        <w:rPr>
          <w:rFonts w:ascii="Times New Roman" w:hAnsi="Times New Roman" w:cs="Times New Roman"/>
          <w:b/>
          <w:noProof/>
          <w:sz w:val="24"/>
          <w:u w:val="single"/>
        </w:rPr>
        <w:t xml:space="preserve">.1.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Vissza nem térítendő pénzügyi támogatás – a reformok és beruházások ismertetése</w:t>
      </w:r>
    </w:p>
    <w:p w14:paraId="0EBBD9EE"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Reform (C15.R1) – A távközlési szabályozási keret reformja: Általános jog, szabályozási eszközök és végrehajtási eszközök</w:t>
      </w:r>
    </w:p>
    <w:p w14:paraId="57A432B6"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Az intézkedés célja az Európai Elektronikus Hírközlési Kódex (EU) 2018/1972 irányelvének átültetése, a nagy kapacitású, valamint az 5G vezetékes és mobil hálózatok kiépítésére vonatkozó bevált gyakorlatok kidolgozása, valamint az összeköttetésekről szóló C(2020) 6270 európai bizottsági ajánlásból eredő eszköztárnak a nemzeti keretben történő végrehajtásához szükséges intézkedések kidolgozása.</w:t>
      </w:r>
    </w:p>
    <w:p w14:paraId="513A533F" w14:textId="77777777" w:rsidR="00D65CB4" w:rsidRPr="00BC4EE7" w:rsidRDefault="00572307">
      <w:pPr>
        <w:pStyle w:val="P68B1DB1-Normal4"/>
        <w:spacing w:before="120" w:after="120" w:line="240" w:lineRule="auto"/>
        <w:jc w:val="both"/>
        <w:rPr>
          <w:rFonts w:eastAsia="Calibri" w:cs="Times New Roman"/>
          <w:noProof/>
        </w:rPr>
      </w:pPr>
      <w:r w:rsidRPr="00BC4EE7">
        <w:rPr>
          <w:rFonts w:cs="Times New Roman"/>
          <w:noProof/>
        </w:rPr>
        <w:t xml:space="preserve">Az összekapcsoltságról szóló európai bizottsági ajánlás (C(2020) 6270) végrehajtásából eredő eszköztárat be kell építeni a spanyol jogi keretbe az általános távközlési jog keretében azon elemek tekintetében, amelyek jogi státuszt igényelnek. </w:t>
      </w:r>
    </w:p>
    <w:p w14:paraId="45987DA4" w14:textId="77777777" w:rsidR="00D65CB4" w:rsidRPr="00BC4EE7" w:rsidRDefault="00572307">
      <w:pPr>
        <w:pStyle w:val="P68B1DB1-Normal7"/>
        <w:autoSpaceDE w:val="0"/>
        <w:autoSpaceDN w:val="0"/>
        <w:spacing w:before="40" w:after="40" w:line="240" w:lineRule="auto"/>
        <w:jc w:val="both"/>
        <w:rPr>
          <w:rFonts w:eastAsia="Calibri" w:cs="Times New Roman"/>
          <w:noProof/>
        </w:rPr>
      </w:pPr>
      <w:r w:rsidRPr="00BC4EE7">
        <w:rPr>
          <w:rFonts w:cs="Times New Roman"/>
          <w:noProof/>
          <w:sz w:val="24"/>
        </w:rPr>
        <w:t>Az intézkedés végrehajtását 2022. június 30-ig be kell fejezni.</w:t>
      </w:r>
      <w:r w:rsidRPr="00BC4EE7">
        <w:rPr>
          <w:rFonts w:cs="Times New Roman"/>
          <w:noProof/>
          <w:sz w:val="20"/>
        </w:rPr>
        <w:t xml:space="preserve"> </w:t>
      </w:r>
    </w:p>
    <w:p w14:paraId="0618C9AF" w14:textId="77777777" w:rsidR="00D65CB4" w:rsidRPr="00BC4EE7" w:rsidRDefault="00572307">
      <w:pPr>
        <w:pStyle w:val="P68B1DB1-Normal5"/>
        <w:keepNext/>
        <w:spacing w:before="120" w:after="120" w:line="240" w:lineRule="auto"/>
        <w:jc w:val="both"/>
        <w:rPr>
          <w:rFonts w:cs="Times New Roman"/>
          <w:noProof/>
        </w:rPr>
      </w:pPr>
      <w:r w:rsidRPr="00BC4EE7">
        <w:rPr>
          <w:rFonts w:cs="Times New Roman"/>
          <w:noProof/>
        </w:rPr>
        <w:t>Reform (C15.R2) – 5G ütemterv: Frekvenciagazdálkodás és -kiosztás, a kiépítési terhek csökkentése, az 5G kiberbiztonsági jogszabály és a helyi hatóságok támogatása</w:t>
      </w:r>
    </w:p>
    <w:p w14:paraId="7FFDEE86" w14:textId="77777777" w:rsidR="00D65CB4" w:rsidRPr="00BC4EE7" w:rsidRDefault="00572307">
      <w:pPr>
        <w:pStyle w:val="P68B1DB1-Normal4"/>
        <w:keepNext/>
        <w:spacing w:before="120" w:after="120" w:line="240" w:lineRule="auto"/>
        <w:jc w:val="both"/>
        <w:rPr>
          <w:rFonts w:cs="Times New Roman"/>
          <w:noProof/>
        </w:rPr>
      </w:pPr>
      <w:r w:rsidRPr="00BC4EE7">
        <w:rPr>
          <w:rFonts w:cs="Times New Roman"/>
          <w:noProof/>
        </w:rPr>
        <w:t>Az intézkedés célkitűzései a következők: 1) a 700 MHz-es frekvenciasávra és a 26 GHz-es frekvenciasávra vonatkozó „második digitális osztalék” és árverési eljárás befejezése; 2. a távközlési szolgáltatók spektrumadójának ideiglenes csökkentése 2022-ra és 2023-ra az 5G kiépítésének felgyorsítása érdekében; Az 5G kiberbiztonságra vonatkozó uniós eszköztár beépítése a nemzeti jogszabályokba; és 4) a távközléssel és a várostervezéssel kapcsolatos bevált gyakorlatok terjesztése a helyi közigazgatási szervek körében.</w:t>
      </w:r>
    </w:p>
    <w:p w14:paraId="4BB49479"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végrehajtás tekintetében a következő lépések kerültek meghatározásra:</w:t>
      </w:r>
    </w:p>
    <w:p w14:paraId="69B0C14B" w14:textId="77777777" w:rsidR="00D65CB4" w:rsidRPr="00BC4EE7" w:rsidRDefault="00572307">
      <w:pPr>
        <w:pStyle w:val="P68B1DB1-Normal4"/>
        <w:numPr>
          <w:ilvl w:val="0"/>
          <w:numId w:val="724"/>
        </w:numPr>
        <w:spacing w:before="120" w:after="160" w:line="256" w:lineRule="auto"/>
        <w:contextualSpacing/>
        <w:jc w:val="both"/>
        <w:rPr>
          <w:rFonts w:cs="Times New Roman"/>
          <w:noProof/>
        </w:rPr>
      </w:pPr>
      <w:r w:rsidRPr="00BC4EE7">
        <w:rPr>
          <w:rFonts w:cs="Times New Roman"/>
          <w:noProof/>
        </w:rPr>
        <w:t>A „második digitális hozadék” befejezése</w:t>
      </w:r>
    </w:p>
    <w:p w14:paraId="3CF44432" w14:textId="77777777" w:rsidR="00D65CB4" w:rsidRPr="00BC4EE7" w:rsidRDefault="00572307">
      <w:pPr>
        <w:pStyle w:val="P68B1DB1-Normal4"/>
        <w:numPr>
          <w:ilvl w:val="0"/>
          <w:numId w:val="724"/>
        </w:numPr>
        <w:spacing w:before="120" w:after="160" w:line="256" w:lineRule="auto"/>
        <w:contextualSpacing/>
        <w:jc w:val="both"/>
        <w:rPr>
          <w:rFonts w:cs="Times New Roman"/>
          <w:noProof/>
        </w:rPr>
      </w:pPr>
      <w:r w:rsidRPr="00BC4EE7">
        <w:rPr>
          <w:rFonts w:cs="Times New Roman"/>
          <w:noProof/>
        </w:rPr>
        <w:t>Az 5G technológia előmozdítására irányuló stratégia</w:t>
      </w:r>
    </w:p>
    <w:p w14:paraId="01E905DD" w14:textId="77777777" w:rsidR="00D65CB4" w:rsidRPr="00BC4EE7" w:rsidRDefault="00572307">
      <w:pPr>
        <w:pStyle w:val="P68B1DB1-Normal4"/>
        <w:numPr>
          <w:ilvl w:val="0"/>
          <w:numId w:val="724"/>
        </w:numPr>
        <w:spacing w:before="120" w:after="160" w:line="256" w:lineRule="auto"/>
        <w:contextualSpacing/>
        <w:jc w:val="both"/>
        <w:rPr>
          <w:rFonts w:cs="Times New Roman"/>
          <w:noProof/>
        </w:rPr>
      </w:pPr>
      <w:r w:rsidRPr="00BC4EE7">
        <w:rPr>
          <w:rFonts w:cs="Times New Roman"/>
          <w:noProof/>
        </w:rPr>
        <w:t xml:space="preserve">A 700 MHz-es sáv árverése </w:t>
      </w:r>
    </w:p>
    <w:p w14:paraId="63929EA3" w14:textId="77777777" w:rsidR="00D65CB4" w:rsidRPr="00BC4EE7" w:rsidRDefault="00572307">
      <w:pPr>
        <w:pStyle w:val="P68B1DB1-Normal4"/>
        <w:numPr>
          <w:ilvl w:val="0"/>
          <w:numId w:val="724"/>
        </w:numPr>
        <w:spacing w:before="120" w:after="160" w:line="256" w:lineRule="auto"/>
        <w:contextualSpacing/>
        <w:jc w:val="both"/>
        <w:rPr>
          <w:rFonts w:cs="Times New Roman"/>
          <w:noProof/>
        </w:rPr>
      </w:pPr>
      <w:r w:rsidRPr="00BC4EE7">
        <w:rPr>
          <w:rFonts w:cs="Times New Roman"/>
          <w:noProof/>
        </w:rPr>
        <w:t>Ajánlati felhívás a 26 GHz-es sávra</w:t>
      </w:r>
    </w:p>
    <w:p w14:paraId="0ADCCBA1" w14:textId="77777777" w:rsidR="00D65CB4" w:rsidRPr="00BC4EE7" w:rsidRDefault="00572307">
      <w:pPr>
        <w:pStyle w:val="P68B1DB1-Normal4"/>
        <w:numPr>
          <w:ilvl w:val="0"/>
          <w:numId w:val="724"/>
        </w:numPr>
        <w:spacing w:before="120" w:after="160" w:line="256" w:lineRule="auto"/>
        <w:contextualSpacing/>
        <w:jc w:val="both"/>
        <w:rPr>
          <w:rFonts w:cs="Times New Roman"/>
          <w:noProof/>
        </w:rPr>
      </w:pPr>
      <w:r w:rsidRPr="00BC4EE7">
        <w:rPr>
          <w:rFonts w:cs="Times New Roman"/>
          <w:noProof/>
        </w:rPr>
        <w:t>A frekvenciaadó átmeneti csökkentése</w:t>
      </w:r>
    </w:p>
    <w:p w14:paraId="537CA5FF" w14:textId="77777777" w:rsidR="00D65CB4" w:rsidRPr="00BC4EE7" w:rsidRDefault="00572307">
      <w:pPr>
        <w:pStyle w:val="P68B1DB1-Normal4"/>
        <w:numPr>
          <w:ilvl w:val="0"/>
          <w:numId w:val="724"/>
        </w:numPr>
        <w:spacing w:before="120" w:after="160" w:line="256" w:lineRule="auto"/>
        <w:contextualSpacing/>
        <w:jc w:val="both"/>
        <w:rPr>
          <w:rFonts w:cs="Times New Roman"/>
          <w:noProof/>
        </w:rPr>
      </w:pPr>
      <w:r w:rsidRPr="00BC4EE7">
        <w:rPr>
          <w:rFonts w:cs="Times New Roman"/>
          <w:noProof/>
        </w:rPr>
        <w:t>Kiberbiztonsági törvény 5G</w:t>
      </w:r>
    </w:p>
    <w:p w14:paraId="6FF8FE8D" w14:textId="77777777" w:rsidR="00D65CB4" w:rsidRPr="00BC4EE7" w:rsidRDefault="00572307">
      <w:pPr>
        <w:pStyle w:val="P68B1DB1-Normal7"/>
        <w:autoSpaceDE w:val="0"/>
        <w:autoSpaceDN w:val="0"/>
        <w:spacing w:before="40" w:after="40" w:line="240" w:lineRule="auto"/>
        <w:jc w:val="both"/>
        <w:rPr>
          <w:rFonts w:eastAsia="Calibri" w:cs="Times New Roman"/>
          <w:noProof/>
        </w:rPr>
      </w:pPr>
      <w:r w:rsidRPr="00BC4EE7">
        <w:rPr>
          <w:rFonts w:cs="Times New Roman"/>
          <w:noProof/>
          <w:sz w:val="24"/>
        </w:rPr>
        <w:t>Az intézkedés végrehajtását 2022. december 31-ig be kell fejezni.</w:t>
      </w:r>
      <w:r w:rsidRPr="00BC4EE7">
        <w:rPr>
          <w:rFonts w:cs="Times New Roman"/>
          <w:noProof/>
          <w:sz w:val="20"/>
        </w:rPr>
        <w:t xml:space="preserve"> </w:t>
      </w:r>
    </w:p>
    <w:p w14:paraId="3E4A5C09"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(C15.I1) – A területi kohézió előmozdítása hálózatok kiépítése révén: Szupergyors széles sávú kiterjesztés</w:t>
      </w:r>
    </w:p>
    <w:p w14:paraId="45B9A600"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Az intézkedés célkitűzései a következők: I. az ultragyors széles sávú hozzáférési hálózatok lefedettségének elmélyítése az ilyen hálózatokkal nem rendelkező területeken, a lakosság 100%-ának elérése érdekében; és 2) a lefedettség kiterjesztésére irányuló konkrét intézkedések végrehajtása a fehér terület státuszú történelmi városközpontokban. </w:t>
      </w:r>
    </w:p>
    <w:p w14:paraId="7E223AF1"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beruházásnak szupergyors (100 Mbps feletti) széles sávú internetkapcsolatot kell biztosítania e területek, főként a vidéki területek és a történelmi értékű területek számára, amelyek jelenleg nem rendelkeznek ilyen internetkapcsolattal. 2021 végéig részletes végrehajtható tervet kell elfogadni, és a költségvetés 100%-át 2023 végéig kell odaítélni. A tervnek meg kell határoznia az elérendő végső célokat is (az egységekben kifejezett további lefedettség tekintetében), és biztosítania kell a technológiai semlegességet, valamint a piaci verseny mechanizmusainak fenntartását és a kiépített infrastruktúrához való hozzáférést valamennyi üzemeltető számára. A beavatkozási területeket ebben a tervben kell meghatározni. A végrehajtási tervben meg kell határozni a szükséges jogi és szabályozási lépéseket is, beleértve azokat is, amelyeket a vonatkozó uniós állami támogatási szabályoknak való megfelelés biztosítása érdekében meg kell tenni. A cél 300 Mbps szimmetrikus sebesség biztosítása, amely a fehér területeken és a szürke területeken 1 Gbps szimmetrikusra (gigabit/másodperc) fejleszthető.</w:t>
      </w:r>
    </w:p>
    <w:p w14:paraId="023C33CE"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beruházás végrehajtását 2025. december 31-ig be kell fejezni. </w:t>
      </w:r>
    </w:p>
    <w:p w14:paraId="5A9C09E0"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(C15.I2) A konnektivitás erősítése a referenciaközpontokban, a társadalmi-gazdasági mozgatórugókban és az ágazati digitalizációs projektekben</w:t>
      </w:r>
    </w:p>
    <w:p w14:paraId="2F33BE61"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Az intézkedés célkitűzései a következők: 1. az alapvető ellátáshoz és a szociális szolgáltatásokhoz való hozzáférést biztosító központok, például kórházak, egészségügyi központok, oktatási és képzési központok összeköttetésének és felszerelésének javítása; és 2) ultraösszeköttetés biztosítása az ország fő társadalmi-gazdasági mozgatórugóiban és a nagy kapacitásigényű területeken (technológiai szigetek).</w:t>
      </w:r>
    </w:p>
    <w:p w14:paraId="6F1B5E36"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beruházás célja, hogy az 1-gigabites összeköttetést kiterjesszék az ország társadalmi és gazdasági tevékenységének fő központjaira. A kiválasztott helyszínek ipari telephelyeket, adatközpontokat, agráripari telephelyeket, kutatóközpontokat, közlekedési csomópontokat, logisztikai csomópontokat vagy adatintenzív vállalkozásokat, valamint egészségügyi központokat, például kórházakat, képzési központokat és egészségügyi központokat foglalnak magukban.</w:t>
      </w:r>
    </w:p>
    <w:p w14:paraId="07FA28B2" w14:textId="77777777" w:rsidR="00D65CB4" w:rsidRPr="00BC4EE7" w:rsidRDefault="00572307">
      <w:pPr>
        <w:pStyle w:val="P68B1DB1-Normal4"/>
        <w:spacing w:before="120" w:after="120" w:line="240" w:lineRule="auto"/>
        <w:jc w:val="both"/>
        <w:rPr>
          <w:rFonts w:eastAsia="Calibri" w:cs="Times New Roman"/>
          <w:noProof/>
        </w:rPr>
      </w:pPr>
      <w:r w:rsidRPr="00BC4EE7">
        <w:rPr>
          <w:rFonts w:cs="Times New Roman"/>
          <w:noProof/>
        </w:rPr>
        <w:t>Az egyedi intézkedések a következőket foglalják magukban: a) a kapcsolattartó pontok és a közszolgáltatások összeköttetésének megerősítését célzó projektek; b) az 1-gigabites konnektivitással kapcsolatos projektek és a kulcsfontosságú ágazatok támogatása, beleértve az innovatív ágazati digitalizálási projekteket (egészségügy, agrár-élelmiszeripar, mobilitás, idegenforgalom, ipar, kereskedelem stb.), valamint a fehér/szürke területeken található ipari és üzleti ingatlanok összeköttetési projektjeit.</w:t>
      </w:r>
    </w:p>
    <w:p w14:paraId="22F7D782" w14:textId="0C2BEDFD" w:rsidR="00D65CB4" w:rsidRPr="00BC4EE7" w:rsidRDefault="00572307">
      <w:pPr>
        <w:pStyle w:val="P68B1DB1-Normal4"/>
        <w:spacing w:before="120" w:after="120" w:line="240" w:lineRule="auto"/>
        <w:jc w:val="both"/>
        <w:rPr>
          <w:rFonts w:eastAsia="Calibri" w:cs="Times New Roman"/>
          <w:noProof/>
        </w:rPr>
      </w:pPr>
      <w:r w:rsidRPr="00BC4EE7">
        <w:rPr>
          <w:rFonts w:cs="Times New Roman"/>
          <w:noProof/>
        </w:rPr>
        <w:t>A beruházást 2024. december 31-ig be kell fejezni.</w:t>
      </w:r>
    </w:p>
    <w:p w14:paraId="19135B77"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(C15.I3) – Összekapcsoltsági utalványok kkv-k és kiszolgáltatott csoportok számára</w:t>
      </w:r>
    </w:p>
    <w:p w14:paraId="16A8916A"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beruházás a következők biztosításából áll: </w:t>
      </w:r>
    </w:p>
    <w:p w14:paraId="5BDF574A" w14:textId="77777777" w:rsidR="00D65CB4" w:rsidRPr="00BC4EE7" w:rsidRDefault="00572307">
      <w:pPr>
        <w:pStyle w:val="P68B1DB1-Normal4"/>
        <w:numPr>
          <w:ilvl w:val="0"/>
          <w:numId w:val="725"/>
        </w:numPr>
        <w:spacing w:before="120" w:after="120" w:line="240" w:lineRule="auto"/>
        <w:jc w:val="both"/>
        <w:rPr>
          <w:rFonts w:cs="Times New Roman"/>
          <w:noProof/>
        </w:rPr>
      </w:pPr>
      <w:r w:rsidRPr="00BC4EE7">
        <w:rPr>
          <w:rFonts w:cs="Times New Roman"/>
          <w:noProof/>
        </w:rPr>
        <w:t>Kkv-knak nyújtott utalványok konnektivitási beruházások finanszírozására (beleértve a legalább 100 Mbps sebességű alapszintű konnektivitást és a hozzáadott értéket képviselő szolgáltatásokat, például a VPN-t és a kiberbiztonságot); és</w:t>
      </w:r>
    </w:p>
    <w:p w14:paraId="22248C2C" w14:textId="77777777" w:rsidR="00D65CB4" w:rsidRPr="00BC4EE7" w:rsidRDefault="00572307">
      <w:pPr>
        <w:pStyle w:val="P68B1DB1-Normal4"/>
        <w:numPr>
          <w:ilvl w:val="0"/>
          <w:numId w:val="725"/>
        </w:numPr>
        <w:spacing w:before="120" w:after="120" w:line="240" w:lineRule="auto"/>
        <w:jc w:val="both"/>
        <w:rPr>
          <w:rFonts w:cs="Times New Roman"/>
          <w:noProof/>
        </w:rPr>
      </w:pPr>
      <w:r w:rsidRPr="00BC4EE7">
        <w:rPr>
          <w:rFonts w:cs="Times New Roman"/>
          <w:noProof/>
        </w:rPr>
        <w:t xml:space="preserve">Utalványok kiszolgáltatott helyzetben lévő egyének vagy családok számára a legmegfelelőbb technológiát alkalmazó széles sávú csatlakozási csomagok finanszírozására. </w:t>
      </w:r>
    </w:p>
    <w:p w14:paraId="6F22491A" w14:textId="4EAD4C5C"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beruházást 2024. december 31-ig be kell fejezni. </w:t>
      </w:r>
    </w:p>
    <w:p w14:paraId="115B517A"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(C15.I4) – Az infrastruktúra megújítása és fenntarthatósága</w:t>
      </w:r>
    </w:p>
    <w:p w14:paraId="07C9BBD2" w14:textId="1BE44B56" w:rsidR="00D65CB4" w:rsidRPr="00BC4EE7" w:rsidRDefault="00572307">
      <w:pPr>
        <w:pStyle w:val="P68B1DB1-Normal4"/>
        <w:spacing w:before="120" w:after="120" w:line="240" w:lineRule="auto"/>
        <w:jc w:val="both"/>
        <w:rPr>
          <w:rFonts w:eastAsia="Calibri" w:cs="Times New Roman"/>
          <w:noProof/>
        </w:rPr>
      </w:pPr>
      <w:r w:rsidRPr="00BC4EE7">
        <w:rPr>
          <w:rFonts w:cs="Times New Roman"/>
          <w:noProof/>
        </w:rPr>
        <w:t>A beruházás célja, hogy a meglévő épületállomány egy részét infrastruktúrával szereljék fel annak érdekében, hogy megkönnyítsék a nagyon nagy kapacitású hálózatok optimális kiépítését a hozzáférés utolsó kilométerében. Ez a beruházás – amellett, hogy fenntartható módon koordinálja és optimalizálja az új generációs hozzáférési hálózatok kiépítését – várhatóan optimalizálja a kiépített hálózatok energiafogyasztását. A beruházást 2024. december 31-ig be kell fejezni.</w:t>
      </w:r>
    </w:p>
    <w:p w14:paraId="613726C0"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(C15.I5) – Határokon átnyúló digitális infrastruktúra kiépítése</w:t>
      </w:r>
    </w:p>
    <w:p w14:paraId="1BD68E2F"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beruházás három projektből áll.</w:t>
      </w:r>
    </w:p>
    <w:p w14:paraId="11197346" w14:textId="77777777" w:rsidR="00D65CB4" w:rsidRPr="00BC4EE7" w:rsidRDefault="00572307">
      <w:pPr>
        <w:pStyle w:val="P68B1DB1-Normal4"/>
        <w:spacing w:before="120" w:after="120" w:line="240" w:lineRule="auto"/>
        <w:ind w:left="709"/>
        <w:jc w:val="both"/>
        <w:rPr>
          <w:rFonts w:cs="Times New Roman"/>
          <w:noProof/>
        </w:rPr>
      </w:pPr>
      <w:r w:rsidRPr="00BC4EE7">
        <w:rPr>
          <w:rFonts w:cs="Times New Roman"/>
          <w:noProof/>
        </w:rPr>
        <w:t xml:space="preserve">A határokon átnyúló összekapcsoltság javítása: Ez magában foglalná a spanyol vállalatok részvételét az Európai Hálózatfinanszírozási Eszköz (CEF2 Digital) és az új általános csoportmentességi rendelet adatinfrastruktúra-összeköttetéseire és tenger alatti kábeleire irányuló projektekben részt vevő vállalatok konzorciumaiban. </w:t>
      </w:r>
    </w:p>
    <w:p w14:paraId="186801E0" w14:textId="08BEAE9C" w:rsidR="00D65CB4" w:rsidRPr="00BC4EE7" w:rsidRDefault="00572307">
      <w:pPr>
        <w:pStyle w:val="P68B1DB1-Normal4"/>
        <w:spacing w:before="120" w:after="120" w:line="240" w:lineRule="auto"/>
        <w:ind w:left="709"/>
        <w:jc w:val="both"/>
        <w:rPr>
          <w:rFonts w:cs="Times New Roman"/>
          <w:noProof/>
        </w:rPr>
      </w:pPr>
      <w:r w:rsidRPr="00BC4EE7">
        <w:rPr>
          <w:rFonts w:cs="Times New Roman"/>
          <w:noProof/>
        </w:rPr>
        <w:t xml:space="preserve">Részvétel digitális infrastrukturális projektekben:  a javasolt projektek kapcsolódnának az új generációs számításifelhő- és Edge-infrastruktúrához és -szolgáltatásokhoz; valamint fejlett processzor és félvezető. </w:t>
      </w:r>
    </w:p>
    <w:p w14:paraId="691C9FC0" w14:textId="77777777" w:rsidR="00D65CB4" w:rsidRPr="00BC4EE7" w:rsidRDefault="00572307">
      <w:pPr>
        <w:pStyle w:val="P68B1DB1-Normal4"/>
        <w:spacing w:before="120" w:after="120" w:line="240" w:lineRule="auto"/>
        <w:ind w:left="709"/>
        <w:jc w:val="both"/>
        <w:rPr>
          <w:rFonts w:cs="Times New Roman"/>
          <w:noProof/>
        </w:rPr>
      </w:pPr>
      <w:r w:rsidRPr="00BC4EE7">
        <w:rPr>
          <w:rFonts w:cs="Times New Roman"/>
          <w:noProof/>
        </w:rPr>
        <w:t xml:space="preserve">Egyéb, határokon átnyúló digitális infrastrukturális K+F+I projektek, beleértve a biztonságos műholdas kommunikációs rendszerekbe és a kvantumkommunikációs képességek fejlesztésébe történő beruházásokat. </w:t>
      </w:r>
    </w:p>
    <w:p w14:paraId="0A297D7E" w14:textId="7EC24370" w:rsidR="00D65CB4" w:rsidRPr="00BC4EE7" w:rsidRDefault="00572307">
      <w:pPr>
        <w:pStyle w:val="P68B1DB1-Normal4"/>
        <w:spacing w:before="120" w:after="120" w:line="240" w:lineRule="auto"/>
        <w:jc w:val="both"/>
        <w:rPr>
          <w:rFonts w:eastAsia="Calibri" w:cs="Times New Roman"/>
          <w:noProof/>
        </w:rPr>
      </w:pPr>
      <w:r w:rsidRPr="00BC4EE7">
        <w:rPr>
          <w:rFonts w:cs="Times New Roman"/>
          <w:noProof/>
        </w:rPr>
        <w:t xml:space="preserve">E beruházásokra vonatkozóan 2022. december 31-ig részletes végrehajtható tervet kell benyújtani a kiválasztott projektek egyértelmű meghatározása céljából.  </w:t>
      </w:r>
    </w:p>
    <w:p w14:paraId="0483EF2F" w14:textId="5CBEDFBF"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terv felvázolja a technikai kritériumokat (a projektek és a kedvezményezettek fő jellemzőit), valamint a szükséges jogi és szabályozási lépéseket, beleértve az állami támogatások ellenőrzésének való megfeleléshez szükséges lépéseket is. A beruházást 2026. június 30-ig be kell fejezni. </w:t>
      </w:r>
    </w:p>
    <w:p w14:paraId="547B9957"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(C15.I6) – 5G kiépítés: hálózatok, technológiai változás és innováció</w:t>
      </w:r>
    </w:p>
    <w:p w14:paraId="24B69272"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beruházás négy különböző alprojektből áll:</w:t>
      </w:r>
    </w:p>
    <w:p w14:paraId="0B1CF237" w14:textId="0C6641AD" w:rsidR="00D65CB4" w:rsidRPr="00BC4EE7" w:rsidRDefault="00572307">
      <w:pPr>
        <w:pStyle w:val="P68B1DB1-Normal4"/>
        <w:spacing w:before="120" w:after="120" w:line="240" w:lineRule="auto"/>
        <w:ind w:left="709"/>
        <w:jc w:val="both"/>
        <w:rPr>
          <w:rFonts w:eastAsia="Calibri" w:cs="Times New Roman"/>
          <w:noProof/>
        </w:rPr>
      </w:pPr>
      <w:r w:rsidRPr="00BC4EE7">
        <w:rPr>
          <w:rFonts w:cs="Times New Roman"/>
          <w:noProof/>
        </w:rPr>
        <w:t>1) az 5G kiépítését fel kell gyorsítani és fel kell gyorsítani a fő közlekedési folyosókon (közutakon és vasutakon), mind a nemzeti (bizonyos területeken a másodlagos folyosók), mind a határokon átnyúló folyosókon (elsődleges folyosók). Ez a kezdeményezés összhangban van az Európai Bizottság által meghatározott 5G folyosókkal, és a Spanyolország és Portugália, valamint Spanyolország és Franciaország közötti folyosókat összesen legalább 4000 helyszínen fogja fellendíteni, beleértve a felhordó összeköttetéseket is. Ez az intézkedés azokra a másodlagos útvonalakra vonatkozik, amelyekre nem vonatkoznak a spektrumpályázatokon előírt kötelezettségek.</w:t>
      </w:r>
    </w:p>
    <w:p w14:paraId="7084D070" w14:textId="3F4BE6DB" w:rsidR="00D65CB4" w:rsidRPr="00BC4EE7" w:rsidRDefault="00572307">
      <w:pPr>
        <w:pStyle w:val="P68B1DB1-Normal4"/>
        <w:spacing w:before="120" w:after="120" w:line="240" w:lineRule="auto"/>
        <w:ind w:left="709"/>
        <w:jc w:val="both"/>
        <w:rPr>
          <w:rFonts w:cs="Times New Roman"/>
          <w:noProof/>
        </w:rPr>
      </w:pPr>
      <w:r w:rsidRPr="00BC4EE7">
        <w:rPr>
          <w:rFonts w:cs="Times New Roman"/>
          <w:noProof/>
        </w:rPr>
        <w:t>Az 5G kiépítése bizonyos területeken azzal a céllal, hogy 2025. december 31-ig 75%-os népességi lefedettséget érjenek el az 5G preferenciasávokban. E kiépítés megkönnyítése érdekében intézkedéseket kell tenni a meglévő hálózat kapacitásának növelésére is annak érdekében, hogy képes legyen reagálni a sávszélesség iránti nagy keresletre és az 5G kiépítését igénylő bázisállomások sűrűségére (legalább 7000 új vagy meglévő telephely új 5G berendezéssel); és legalább 4000 meglévő helyszín felhordó hálózatuk kapacitásának növelésére irányuló intézkedésekkel). Ez az intézkedés lefedi azokat a területeket, amelyekre nem vonatkoznak a spektrumpályázatokon előírt kötelezettségek.</w:t>
      </w:r>
    </w:p>
    <w:p w14:paraId="323D5C30" w14:textId="77777777" w:rsidR="00D65CB4" w:rsidRPr="00BC4EE7" w:rsidRDefault="00572307">
      <w:pPr>
        <w:pStyle w:val="P68B1DB1-Normal4"/>
        <w:spacing w:before="120" w:after="120" w:line="240" w:lineRule="auto"/>
        <w:ind w:left="709"/>
        <w:jc w:val="both"/>
        <w:rPr>
          <w:rFonts w:cs="Times New Roman"/>
          <w:noProof/>
        </w:rPr>
      </w:pPr>
      <w:r w:rsidRPr="00BC4EE7">
        <w:rPr>
          <w:rFonts w:cs="Times New Roman"/>
          <w:noProof/>
        </w:rPr>
        <w:t>Az 5G bevezetése kulcsfontosságú gazdasági tevékenységekben (ipari termelési környezetek bizonyos kulcsfontosságú és nagy hatású termelési ágazatokban működő stratégiai vállalatoknál) és az alapvető szolgáltatásokban (termelési környezetek az oktatás, a gondozás és a szociál-egészségügy területén). Legalább 43 konnektivitási projekt várható.</w:t>
      </w:r>
    </w:p>
    <w:p w14:paraId="77066EE2" w14:textId="77777777" w:rsidR="00D65CB4" w:rsidRPr="00BC4EE7" w:rsidRDefault="00572307">
      <w:pPr>
        <w:pStyle w:val="P68B1DB1-Normal4"/>
        <w:spacing w:before="120" w:after="120" w:line="240" w:lineRule="auto"/>
        <w:ind w:left="709"/>
        <w:jc w:val="both"/>
        <w:rPr>
          <w:rFonts w:cs="Times New Roman"/>
          <w:noProof/>
        </w:rPr>
      </w:pPr>
      <w:r w:rsidRPr="00BC4EE7">
        <w:rPr>
          <w:rFonts w:cs="Times New Roman"/>
          <w:noProof/>
        </w:rPr>
        <w:t>Az 5G és 6G kapcsolódó K+F támogatása az innovációs ökoszisztémák (legalább 200 projekt) és az 5G kiberbiztonsági ökoszisztémák számára (egy olyan központ létrehozása, amely mintegy 300 mérnök befogadására képes az 5G kiberbiztonság területén, kivéve az építési/felújítási munkálatokhoz kapcsolódó költségeket).</w:t>
      </w:r>
    </w:p>
    <w:p w14:paraId="4CD8BEF3" w14:textId="387DA42B" w:rsidR="00D65CB4" w:rsidRPr="00BC4EE7" w:rsidRDefault="00572307">
      <w:pPr>
        <w:pStyle w:val="P68B1DB1-Normal4"/>
        <w:spacing w:before="120" w:after="120" w:line="240" w:lineRule="auto"/>
        <w:jc w:val="both"/>
        <w:rPr>
          <w:rFonts w:eastAsia="Calibri" w:cs="Times New Roman"/>
          <w:noProof/>
        </w:rPr>
      </w:pPr>
      <w:r w:rsidRPr="00BC4EE7">
        <w:rPr>
          <w:rFonts w:cs="Times New Roman"/>
          <w:noProof/>
        </w:rPr>
        <w:t xml:space="preserve">A fenti projektek mindegyikére vonatkozóan 2022. június 30-ig részletes végrehajtható tervet kell benyújtani, amelynek célja a kiválasztott projektek egyértelmű meghatározása és a költségvetés 100%-ának 2024. december 31-ig történő odaítélése, valamint a projekt 2026. június 30-ig történő befejezése. </w:t>
      </w:r>
    </w:p>
    <w:p w14:paraId="32224B04" w14:textId="77777777" w:rsidR="00D65CB4" w:rsidRPr="00BC4EE7" w:rsidRDefault="00572307">
      <w:pPr>
        <w:pStyle w:val="P68B1DB1-Normal4"/>
        <w:spacing w:before="120" w:after="120" w:line="240" w:lineRule="auto"/>
        <w:jc w:val="both"/>
        <w:rPr>
          <w:rFonts w:eastAsia="Calibri" w:cs="Times New Roman"/>
          <w:noProof/>
        </w:rPr>
      </w:pPr>
      <w:r w:rsidRPr="00BC4EE7">
        <w:rPr>
          <w:rFonts w:cs="Times New Roman"/>
          <w:noProof/>
        </w:rPr>
        <w:t xml:space="preserve">A tervnek tartalmaznia kell az 5G kiépítésére vonatkozó végrehajtási tervet, amely a következő területeket érintő intézkedéseket tartalmazza: 1. 5G folyosók; Az 5G hozzáférési hálózatok és a mobil felhordó hálózat kiépítése bizonyos területeken; 3) 5G kiépítési projektek a kulcsfontosságú gazdasági tevékenységek és alapvető szolgáltatások összekapcsolására és digitalizálására; valamint 4) az 5G és 6G ökoszisztéma innovatív alkalmazásainak támogatása. V emellett felvázolja a technikai kritériumokat (adott esetben a projektek és az érintett területek fő jellemzői), valamint a szükséges jogi és szabályozási lépéseket, beleértve a vonatkozó uniós állami támogatási szabályoknak való megfeleléshez szükséges lépéseket is. A tervnek meg kell határoznia a 2025. december 31-ig elérendő végső célokat is. </w:t>
      </w:r>
    </w:p>
    <w:p w14:paraId="68A4B104" w14:textId="1F2FF1E5" w:rsidR="00D65CB4" w:rsidRPr="00BC4EE7" w:rsidRDefault="00572307">
      <w:pPr>
        <w:pStyle w:val="P68B1DB1-Normal4"/>
        <w:spacing w:before="120" w:after="120" w:line="240" w:lineRule="auto"/>
        <w:jc w:val="both"/>
        <w:rPr>
          <w:rFonts w:eastAsia="Calibri" w:cs="Times New Roman"/>
          <w:noProof/>
        </w:rPr>
      </w:pPr>
      <w:r w:rsidRPr="00BC4EE7">
        <w:rPr>
          <w:rFonts w:cs="Times New Roman"/>
          <w:noProof/>
        </w:rPr>
        <w:t>A beruházást 2026. június 30-ig be kell fejezni.</w:t>
      </w:r>
    </w:p>
    <w:p w14:paraId="1127DB1F"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(C15.I7) Kiberbiztonság: A polgárok, a kkv-k és a szakemberek kapacitásainak megerősítése; az ágazat ökoszisztémájának javítása</w:t>
      </w:r>
    </w:p>
    <w:p w14:paraId="410DE09F"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beruházásnak számos olyan intézkedésből kell állnia, amelyek célja mind a polgárok, mind a vállalkozások kiberbiztonsági kapacitásainak fejlesztése és a spanyol kiberbiztonsági ökoszisztéma fellendítése. A tevékenységek három tengely köré csoportosulnak: </w:t>
      </w:r>
    </w:p>
    <w:p w14:paraId="4C6EFB9E" w14:textId="77777777" w:rsidR="00D65CB4" w:rsidRPr="00BC4EE7" w:rsidRDefault="00572307">
      <w:pPr>
        <w:pStyle w:val="P68B1DB1-Normal4"/>
        <w:spacing w:before="120" w:after="120" w:line="240" w:lineRule="auto"/>
        <w:ind w:left="709"/>
        <w:jc w:val="both"/>
        <w:rPr>
          <w:rFonts w:cs="Times New Roman"/>
          <w:noProof/>
        </w:rPr>
      </w:pPr>
      <w:r w:rsidRPr="00BC4EE7">
        <w:rPr>
          <w:rFonts w:cs="Times New Roman"/>
          <w:noProof/>
        </w:rPr>
        <w:t>A polgárok, a kkv-k és a szakemberek kiberbiztonsági kapacitásainak megerősítése. A polgárok és a vállalkozások, különösen a kkv-k felvértezése a digitális technológiák mindennapi használatával kapcsolatos kockázatok azonosításához szükséges készségekkel. Az e területre vonatkozó programok magukban foglalnak egy figyelemfelhívó kampányt, amely várhatóan a lehető legtöbb embert éri el kommunikációs kampányok, közelséghez kapcsolódó fellépések, valamint az e célokat szolgáló speciális források fejlesztése révén. Ez magában foglalja a reagálási mechanizmusoknak az összehangolt reagálási szolgáltatások és intézkedések – például a kiberbiztonsági segélyvonal – révén történő növelését is, amelynek kapacitását havi 20000 felhívásra kell növelni.</w:t>
      </w:r>
    </w:p>
    <w:p w14:paraId="58B7BDA7" w14:textId="77777777" w:rsidR="00D65CB4" w:rsidRPr="00BC4EE7" w:rsidRDefault="00572307">
      <w:pPr>
        <w:pStyle w:val="P68B1DB1-Normal4"/>
        <w:spacing w:before="120" w:after="120" w:line="240" w:lineRule="auto"/>
        <w:ind w:left="709"/>
        <w:jc w:val="both"/>
        <w:rPr>
          <w:rFonts w:eastAsia="Calibri" w:cs="Times New Roman"/>
          <w:noProof/>
        </w:rPr>
      </w:pPr>
      <w:r w:rsidRPr="00BC4EE7">
        <w:rPr>
          <w:rFonts w:cs="Times New Roman"/>
          <w:noProof/>
        </w:rPr>
        <w:t>A kiberbiztonsági ipari ökoszisztéma fellendítése. Az intézkedés ezen része a következőkre vonatkozó konkrét intézkedéseket tartalmaz: a nemzeti kiberbiztonsági ágazat új vállalkozások megjelenése, növekedése és fejlesztése érdekében ebben az ágazatban; kiberbiztonsági K+F+I, amely lehetővé teszi a magas hozzáadott értéket képviselő megoldások és szolgáltatások kifejlesztését; tehetségek képzése és fejlesztése az ágazat szakemberei iránti kielégítetlen kereslet kielégítése érdekében. Rendelkezik továbbá a kiberbiztonsági infrastruktúra fejlesztésére szolgáló demonstrációs központ létrehozásáról, valamint új kiberbiztonsági szolgáltatások – többek között tesztlaboratóriumok és kiberbiztonsági támadásszimulátorok – létrehozásáról, valamint a kiberbiztonsági címkék tanúsításának kifejlesztéséről. Nemzetközi kiberbiztonsági központ létrehozása az európai ágazat fellendítése érdekében a kiberbiztonsági központok európai hálózatában való aktív részvétel révén. Ez magában foglalja az Európai Kompetenciaközpont (ERCC) tükörközpontjának elindítását.</w:t>
      </w:r>
    </w:p>
    <w:p w14:paraId="1BF3A708" w14:textId="77777777" w:rsidR="00D65CB4" w:rsidRPr="00BC4EE7" w:rsidRDefault="00572307">
      <w:pPr>
        <w:pStyle w:val="P68B1DB1-Normal4"/>
        <w:spacing w:after="0" w:line="240" w:lineRule="auto"/>
        <w:rPr>
          <w:rFonts w:eastAsia="Calibri" w:cs="Times New Roman"/>
          <w:noProof/>
        </w:rPr>
      </w:pPr>
      <w:r w:rsidRPr="00BC4EE7">
        <w:rPr>
          <w:rFonts w:cs="Times New Roman"/>
          <w:noProof/>
        </w:rPr>
        <w:t xml:space="preserve">A beruházás végrehajtását 2026. június 30-ig be kell fejezni. </w:t>
      </w:r>
    </w:p>
    <w:p w14:paraId="6EED76DD"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(C15.I8) – PERTE Chip: A tudományos és technológiai ökoszisztéma megerősítése. Fokozott tervezési képességek</w:t>
      </w:r>
    </w:p>
    <w:p w14:paraId="26F5EB1B" w14:textId="137DA6B5" w:rsidR="00D65CB4" w:rsidRPr="00BC4EE7" w:rsidRDefault="00572307">
      <w:pPr>
        <w:pStyle w:val="P68B1DB1-Normal4"/>
        <w:spacing w:before="120" w:after="120" w:line="240" w:lineRule="auto"/>
        <w:jc w:val="both"/>
        <w:rPr>
          <w:rFonts w:cs="Times New Roman"/>
          <w:noProof/>
        </w:rPr>
      </w:pPr>
      <w:r w:rsidRPr="00BC4EE7">
        <w:rPr>
          <w:rFonts w:cs="Times New Roman"/>
          <w:noProof/>
        </w:rPr>
        <w:t>Ez az intézkedés a PERTE Chip részét képezi, amely a spanyolországi mikroelektronikai és félvezetőipar tudományos, tervezési és gyártási képességeinek fejlesztésére irányuló stratégiai kezdeményezés. E beruházásnak meg kell erősítenie a félvezetőipar tudományos és technológiai ökoszisztémáját, az ágazat egészének kutatás-fejlesztésére és innovációjára összpontosítva, beleértve a tisztatéri infrastruktúra létrehozását és javítását, a tehetségek létrehozását és vonzását, illetve az olyan konkrét területek megerősítését, mint az integrált fotonika vagy a RISC-V.</w:t>
      </w:r>
    </w:p>
    <w:p w14:paraId="43493729" w14:textId="52D4B4C3" w:rsidR="00D65CB4" w:rsidRPr="00BC4EE7" w:rsidRDefault="00572307">
      <w:pPr>
        <w:pStyle w:val="P68B1DB1-Normal4"/>
        <w:spacing w:before="120" w:after="120" w:line="240" w:lineRule="auto"/>
        <w:jc w:val="both"/>
        <w:rPr>
          <w:rFonts w:cs="Times New Roman"/>
          <w:noProof/>
        </w:rPr>
      </w:pPr>
      <w:r w:rsidRPr="00BC4EE7">
        <w:rPr>
          <w:rFonts w:cs="Times New Roman"/>
          <w:noProof/>
        </w:rPr>
        <w:t>Az e beruházás keretében támogatott projekteknek legalább részben hozzá kell járulniuk a következő egy vagy több cselekvési irányvonalhoz:</w:t>
      </w:r>
    </w:p>
    <w:p w14:paraId="6AD5FD41" w14:textId="77777777" w:rsidR="00D65CB4" w:rsidRPr="00BC4EE7" w:rsidRDefault="00572307">
      <w:pPr>
        <w:pStyle w:val="P68B1DB1-ListParagraph6"/>
        <w:numPr>
          <w:ilvl w:val="0"/>
          <w:numId w:val="631"/>
        </w:numPr>
        <w:spacing w:before="120" w:after="120" w:line="240" w:lineRule="auto"/>
        <w:rPr>
          <w:rFonts w:cs="Times New Roman"/>
          <w:noProof/>
        </w:rPr>
      </w:pPr>
      <w:r w:rsidRPr="00BC4EE7">
        <w:rPr>
          <w:rFonts w:cs="Times New Roman"/>
          <w:noProof/>
        </w:rPr>
        <w:t>Fellépés Az élvonalbeli mikroprocesszorokra és alternatív architektúrákra vonatkozó K+F+I fejlesztése.</w:t>
      </w:r>
    </w:p>
    <w:p w14:paraId="2E618CE4" w14:textId="77777777" w:rsidR="00D65CB4" w:rsidRPr="00BC4EE7" w:rsidRDefault="00572307">
      <w:pPr>
        <w:pStyle w:val="P68B1DB1-ListParagraph6"/>
        <w:numPr>
          <w:ilvl w:val="0"/>
          <w:numId w:val="631"/>
        </w:numPr>
        <w:spacing w:before="120" w:after="120" w:line="240" w:lineRule="auto"/>
        <w:rPr>
          <w:rFonts w:cs="Times New Roman"/>
          <w:noProof/>
        </w:rPr>
      </w:pPr>
      <w:r w:rsidRPr="00BC4EE7">
        <w:rPr>
          <w:rFonts w:cs="Times New Roman"/>
          <w:noProof/>
        </w:rPr>
        <w:t>Fellépés Fotonika fejlesztése K+F+I</w:t>
      </w:r>
    </w:p>
    <w:p w14:paraId="6F66DE6B" w14:textId="77777777" w:rsidR="00D65CB4" w:rsidRPr="00BC4EE7" w:rsidRDefault="00572307">
      <w:pPr>
        <w:pStyle w:val="P68B1DB1-ListParagraph6"/>
        <w:numPr>
          <w:ilvl w:val="0"/>
          <w:numId w:val="631"/>
        </w:numPr>
        <w:spacing w:before="120" w:after="120" w:line="240" w:lineRule="auto"/>
        <w:rPr>
          <w:rFonts w:cs="Times New Roman"/>
          <w:noProof/>
        </w:rPr>
      </w:pPr>
      <w:r w:rsidRPr="00BC4EE7">
        <w:rPr>
          <w:rFonts w:cs="Times New Roman"/>
          <w:noProof/>
        </w:rPr>
        <w:t>Fellépés A mikroelektronikáról és a kommunikációs technológiákról szóló konferencia (IPCEI ME-TC) finanszírozási sora</w:t>
      </w:r>
    </w:p>
    <w:p w14:paraId="586F95AC" w14:textId="77777777" w:rsidR="00D65CB4" w:rsidRPr="00BC4EE7" w:rsidRDefault="00572307">
      <w:pPr>
        <w:pStyle w:val="P68B1DB1-ListParagraph6"/>
        <w:numPr>
          <w:ilvl w:val="0"/>
          <w:numId w:val="631"/>
        </w:numPr>
        <w:spacing w:before="120" w:after="120" w:line="240" w:lineRule="auto"/>
        <w:rPr>
          <w:rFonts w:cs="Times New Roman"/>
          <w:noProof/>
        </w:rPr>
      </w:pPr>
      <w:r w:rsidRPr="00BC4EE7">
        <w:rPr>
          <w:rFonts w:cs="Times New Roman"/>
          <w:noProof/>
        </w:rPr>
        <w:t>Fellépés Fables-vállalatok létrehozása élvonalbeli mikroprocesszorok és alternatív architektúrák tervezéséhez.</w:t>
      </w:r>
    </w:p>
    <w:p w14:paraId="4BCDC96A" w14:textId="77777777" w:rsidR="00D65CB4" w:rsidRPr="00BC4EE7" w:rsidRDefault="00572307">
      <w:pPr>
        <w:pStyle w:val="P68B1DB1-ListParagraph6"/>
        <w:numPr>
          <w:ilvl w:val="0"/>
          <w:numId w:val="631"/>
        </w:numPr>
        <w:spacing w:before="120" w:after="120" w:line="240" w:lineRule="auto"/>
        <w:rPr>
          <w:rFonts w:cs="Times New Roman"/>
          <w:noProof/>
        </w:rPr>
      </w:pPr>
      <w:r w:rsidRPr="00BC4EE7">
        <w:rPr>
          <w:rFonts w:cs="Times New Roman"/>
          <w:noProof/>
        </w:rPr>
        <w:t>Intézkedés. Kísérleti tesztsorok létrehozása.</w:t>
      </w:r>
    </w:p>
    <w:p w14:paraId="30B4D0DC" w14:textId="77777777" w:rsidR="00D65CB4" w:rsidRPr="00BC4EE7" w:rsidRDefault="00572307">
      <w:pPr>
        <w:pStyle w:val="P68B1DB1-ListParagraph6"/>
        <w:numPr>
          <w:ilvl w:val="0"/>
          <w:numId w:val="631"/>
        </w:numPr>
        <w:spacing w:before="120" w:after="120" w:line="240" w:lineRule="auto"/>
        <w:rPr>
          <w:rFonts w:cs="Times New Roman"/>
          <w:noProof/>
        </w:rPr>
      </w:pPr>
      <w:r w:rsidRPr="00BC4EE7">
        <w:rPr>
          <w:rFonts w:cs="Times New Roman"/>
          <w:noProof/>
        </w:rPr>
        <w:t>Fellépés. A félvezetőkkel foglalkozó oktatási, képzési és képzési hálózat létrehozása</w:t>
      </w:r>
    </w:p>
    <w:p w14:paraId="23BD4A3C" w14:textId="77777777" w:rsidR="00D65CB4" w:rsidRPr="00BC4EE7" w:rsidRDefault="00572307">
      <w:pPr>
        <w:pStyle w:val="P68B1DB1-ListParagraph6"/>
        <w:numPr>
          <w:ilvl w:val="0"/>
          <w:numId w:val="631"/>
        </w:numPr>
        <w:spacing w:before="120" w:after="120" w:line="240" w:lineRule="auto"/>
        <w:rPr>
          <w:rFonts w:cs="Times New Roman"/>
          <w:noProof/>
        </w:rPr>
      </w:pPr>
      <w:r w:rsidRPr="00BC4EE7">
        <w:rPr>
          <w:rFonts w:cs="Times New Roman"/>
          <w:noProof/>
        </w:rPr>
        <w:t xml:space="preserve">Kezdeményezés: Gyártási kapacitása 5 nm alatt van </w:t>
      </w:r>
    </w:p>
    <w:p w14:paraId="2FD5B01F" w14:textId="77777777" w:rsidR="00D65CB4" w:rsidRPr="00BC4EE7" w:rsidRDefault="00572307">
      <w:pPr>
        <w:pStyle w:val="P68B1DB1-ListParagraph6"/>
        <w:numPr>
          <w:ilvl w:val="0"/>
          <w:numId w:val="631"/>
        </w:numPr>
        <w:spacing w:before="120" w:after="120" w:line="240" w:lineRule="auto"/>
        <w:rPr>
          <w:rFonts w:cs="Times New Roman"/>
          <w:noProof/>
        </w:rPr>
      </w:pPr>
      <w:r w:rsidRPr="00BC4EE7">
        <w:rPr>
          <w:rFonts w:cs="Times New Roman"/>
          <w:noProof/>
        </w:rPr>
        <w:t xml:space="preserve">Intézkedés. Gyártási kapacitása meghaladja az 5 nm-t </w:t>
      </w:r>
    </w:p>
    <w:p w14:paraId="33D26450" w14:textId="77777777" w:rsidR="00D65CB4" w:rsidRPr="00BC4EE7" w:rsidRDefault="00572307">
      <w:pPr>
        <w:pStyle w:val="P68B1DB1-ListParagraph6"/>
        <w:numPr>
          <w:ilvl w:val="0"/>
          <w:numId w:val="631"/>
        </w:numPr>
        <w:spacing w:before="120" w:after="120" w:line="240" w:lineRule="auto"/>
        <w:rPr>
          <w:rFonts w:cs="Times New Roman"/>
          <w:noProof/>
        </w:rPr>
      </w:pPr>
      <w:r w:rsidRPr="00BC4EE7">
        <w:rPr>
          <w:rFonts w:cs="Times New Roman"/>
          <w:noProof/>
        </w:rPr>
        <w:t>Intézkedés. IKT gyártásösztönző rendszer</w:t>
      </w:r>
    </w:p>
    <w:p w14:paraId="40DE6A08" w14:textId="77777777" w:rsidR="00D65CB4" w:rsidRPr="00BC4EE7" w:rsidRDefault="00572307">
      <w:pPr>
        <w:pStyle w:val="P68B1DB1-Normal4"/>
        <w:spacing w:before="120" w:after="120" w:line="240" w:lineRule="auto"/>
        <w:rPr>
          <w:rFonts w:cs="Times New Roman"/>
          <w:noProof/>
        </w:rPr>
      </w:pPr>
      <w:r w:rsidRPr="00BC4EE7">
        <w:rPr>
          <w:rFonts w:cs="Times New Roman"/>
          <w:noProof/>
        </w:rPr>
        <w:t xml:space="preserve">A beruházás végrehajtását 2026. június 30-ig be kell fejezni. </w:t>
      </w:r>
    </w:p>
    <w:p w14:paraId="2F9699E9" w14:textId="5DE423BE" w:rsidR="00D65CB4" w:rsidRPr="00BC4EE7" w:rsidRDefault="00572307">
      <w:pPr>
        <w:ind w:left="720"/>
        <w:rPr>
          <w:rFonts w:ascii="Times New Roman" w:hAnsi="Times New Roman" w:cs="Times New Roman"/>
          <w:noProof/>
          <w:u w:val="single"/>
        </w:rPr>
      </w:pPr>
      <w:r w:rsidRPr="00BC4EE7">
        <w:rPr>
          <w:rFonts w:ascii="Times New Roman" w:hAnsi="Times New Roman" w:cs="Times New Roman"/>
          <w:b/>
          <w:noProof/>
          <w:sz w:val="24"/>
          <w:u w:val="single"/>
        </w:rPr>
        <w:t xml:space="preserve">O.2.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Vissza nem térítendő pénzügyi támogatás – a végrehajtáshoz és a nyomon követéshez kapcsolódó mérföldkövek, célok, mutatók és ütemterv</w:t>
      </w:r>
    </w:p>
    <w:p w14:paraId="3F9B53CA" w14:textId="77777777" w:rsidR="00D65CB4" w:rsidRPr="00BC4EE7" w:rsidRDefault="00572307">
      <w:pPr>
        <w:pStyle w:val="P68B1DB1-Normal4"/>
        <w:spacing w:before="120" w:after="120" w:line="240" w:lineRule="auto"/>
        <w:jc w:val="both"/>
        <w:rPr>
          <w:rFonts w:cs="Times New Roman"/>
          <w:noProof/>
        </w:rPr>
      </w:pPr>
      <w:r w:rsidRPr="00BC4EE7">
        <w:rPr>
          <w:rFonts w:cs="Times New Roman"/>
          <w:i/>
          <w:noProof/>
        </w:rPr>
        <w:t>Táblázat alább.</w:t>
      </w:r>
      <w:r w:rsidRPr="00BC4EE7">
        <w:rPr>
          <w:rFonts w:cs="Times New Roman"/>
          <w:noProof/>
        </w:rPr>
        <w:t xml:space="preserve"> </w:t>
      </w:r>
      <w:r w:rsidRPr="00BC4EE7">
        <w:rPr>
          <w:rFonts w:cs="Times New Roman"/>
          <w:i/>
          <w:noProof/>
        </w:rPr>
        <w:t>Az összes mutató esetében az alapforgatókönyv időpontja 2020. február 1., kivéve, ha az intézkedés leírása ettől eltérően rendelkezik. A táblázatban szereplő összegek nem tartalmazzák a héát.</w:t>
      </w:r>
    </w:p>
    <w:p w14:paraId="44EA458C" w14:textId="77777777" w:rsidR="00D65CB4" w:rsidRPr="00BC4EE7" w:rsidRDefault="00D65CB4">
      <w:pPr>
        <w:spacing w:before="120" w:after="120" w:line="240" w:lineRule="auto"/>
        <w:jc w:val="both"/>
        <w:rPr>
          <w:rFonts w:ascii="Times New Roman" w:hAnsi="Times New Roman" w:cs="Times New Roman"/>
          <w:b/>
          <w:noProof/>
          <w:sz w:val="24"/>
          <w:u w:val="single"/>
        </w:rPr>
      </w:pPr>
    </w:p>
    <w:p w14:paraId="08AB0B9E" w14:textId="77777777" w:rsidR="00D65CB4" w:rsidRPr="00BC4EE7" w:rsidRDefault="00D65CB4">
      <w:pPr>
        <w:spacing w:before="120" w:after="120" w:line="240" w:lineRule="auto"/>
        <w:ind w:left="709"/>
        <w:jc w:val="both"/>
        <w:rPr>
          <w:rFonts w:ascii="Times New Roman" w:hAnsi="Times New Roman" w:cs="Times New Roman"/>
          <w:noProof/>
          <w:sz w:val="24"/>
        </w:rPr>
        <w:sectPr w:rsidR="00D65CB4" w:rsidRPr="00BC4EE7" w:rsidSect="00B511EF">
          <w:headerReference w:type="even" r:id="rId321"/>
          <w:headerReference w:type="default" r:id="rId322"/>
          <w:footerReference w:type="even" r:id="rId323"/>
          <w:footerReference w:type="default" r:id="rId324"/>
          <w:headerReference w:type="first" r:id="rId325"/>
          <w:footerReference w:type="first" r:id="rId326"/>
          <w:pgSz w:w="11907" w:h="16839"/>
          <w:pgMar w:top="1134" w:right="1134" w:bottom="1134" w:left="1134" w:header="567" w:footer="567" w:gutter="0"/>
          <w:cols w:space="720"/>
          <w:docGrid w:linePitch="360"/>
        </w:sectPr>
      </w:pPr>
    </w:p>
    <w:tbl>
      <w:tblPr>
        <w:tblW w:w="15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06"/>
        <w:gridCol w:w="952"/>
        <w:gridCol w:w="1079"/>
        <w:gridCol w:w="2144"/>
        <w:gridCol w:w="1252"/>
        <w:gridCol w:w="697"/>
        <w:gridCol w:w="974"/>
        <w:gridCol w:w="763"/>
        <w:gridCol w:w="492"/>
        <w:gridCol w:w="696"/>
        <w:gridCol w:w="5563"/>
        <w:gridCol w:w="6"/>
      </w:tblGrid>
      <w:tr w:rsidR="00D65CB4" w:rsidRPr="00BC4EE7" w14:paraId="7A0188BB" w14:textId="77777777" w:rsidTr="00BC4EE7">
        <w:trPr>
          <w:trHeight w:val="309"/>
          <w:tblHeader/>
          <w:jc w:val="center"/>
        </w:trPr>
        <w:tc>
          <w:tcPr>
            <w:tcW w:w="806"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14:paraId="24E950E4" w14:textId="77777777" w:rsidR="00D65CB4" w:rsidRPr="00BC4EE7" w:rsidRDefault="00572307">
            <w:pPr>
              <w:pStyle w:val="P68B1DB1-Normal8"/>
              <w:spacing w:after="0"/>
              <w:jc w:val="center"/>
              <w:rPr>
                <w:rFonts w:cs="Times New Roman"/>
                <w:noProof/>
              </w:rPr>
            </w:pPr>
            <w:r w:rsidRPr="00BC4EE7">
              <w:rPr>
                <w:rFonts w:cs="Times New Roman"/>
                <w:noProof/>
              </w:rPr>
              <w:t>Szám</w:t>
            </w:r>
          </w:p>
        </w:tc>
        <w:tc>
          <w:tcPr>
            <w:tcW w:w="952"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14:paraId="25D0FFEA" w14:textId="77777777" w:rsidR="00D65CB4" w:rsidRPr="00BC4EE7" w:rsidRDefault="00572307">
            <w:pPr>
              <w:pStyle w:val="P68B1DB1-Normal8"/>
              <w:spacing w:after="0"/>
              <w:jc w:val="center"/>
              <w:rPr>
                <w:rFonts w:cs="Times New Roman"/>
                <w:noProof/>
              </w:rPr>
            </w:pPr>
            <w:r w:rsidRPr="00BC4EE7">
              <w:rPr>
                <w:rFonts w:cs="Times New Roman"/>
                <w:noProof/>
              </w:rPr>
              <w:t>Intézkedés</w:t>
            </w:r>
          </w:p>
        </w:tc>
        <w:tc>
          <w:tcPr>
            <w:tcW w:w="1079"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14:paraId="5DF6799D" w14:textId="77777777" w:rsidR="00D65CB4" w:rsidRPr="00BC4EE7" w:rsidRDefault="00572307">
            <w:pPr>
              <w:spacing w:after="0"/>
              <w:jc w:val="center"/>
              <w:rPr>
                <w:rFonts w:ascii="Times New Roman" w:hAnsi="Times New Roman" w:cs="Times New Roman"/>
                <w:b/>
                <w:noProof/>
                <w:sz w:val="18"/>
              </w:rPr>
            </w:pPr>
            <w:r w:rsidRPr="00BC4EE7">
              <w:rPr>
                <w:rFonts w:ascii="Times New Roman" w:hAnsi="Times New Roman" w:cs="Times New Roman"/>
                <w:b/>
                <w:noProof/>
                <w:sz w:val="18"/>
              </w:rPr>
              <w:t>Mérföldkő</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b/>
                <w:noProof/>
                <w:sz w:val="18"/>
              </w:rPr>
              <w:t xml:space="preserve"> /Cél</w:t>
            </w:r>
          </w:p>
        </w:tc>
        <w:tc>
          <w:tcPr>
            <w:tcW w:w="2144"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14:paraId="53A4726C" w14:textId="77777777" w:rsidR="00D65CB4" w:rsidRPr="00BC4EE7" w:rsidRDefault="00572307">
            <w:pPr>
              <w:pStyle w:val="P68B1DB1-Normal8"/>
              <w:spacing w:after="0"/>
              <w:jc w:val="center"/>
              <w:rPr>
                <w:rFonts w:cs="Times New Roman"/>
                <w:noProof/>
              </w:rPr>
            </w:pPr>
            <w:r w:rsidRPr="00BC4EE7">
              <w:rPr>
                <w:rFonts w:cs="Times New Roman"/>
                <w:noProof/>
              </w:rPr>
              <w:t>Név</w:t>
            </w:r>
          </w:p>
        </w:tc>
        <w:tc>
          <w:tcPr>
            <w:tcW w:w="1252"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14:paraId="66C672C6" w14:textId="77777777" w:rsidR="00D65CB4" w:rsidRPr="00BC4EE7" w:rsidRDefault="00572307">
            <w:pPr>
              <w:pStyle w:val="P68B1DB1-Normal8"/>
              <w:spacing w:after="0"/>
              <w:jc w:val="center"/>
              <w:rPr>
                <w:rFonts w:cs="Times New Roman"/>
                <w:noProof/>
              </w:rPr>
            </w:pPr>
            <w:r w:rsidRPr="00BC4EE7">
              <w:rPr>
                <w:rFonts w:cs="Times New Roman"/>
                <w:noProof/>
              </w:rPr>
              <w:t>A mérföldkövek minőségi mutatója</w:t>
            </w:r>
          </w:p>
        </w:tc>
        <w:tc>
          <w:tcPr>
            <w:tcW w:w="243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662DF217" w14:textId="77777777" w:rsidR="00D65CB4" w:rsidRPr="00BC4EE7" w:rsidRDefault="00572307">
            <w:pPr>
              <w:pStyle w:val="P68B1DB1-Normal8"/>
              <w:spacing w:after="0"/>
              <w:jc w:val="center"/>
              <w:rPr>
                <w:rFonts w:cs="Times New Roman"/>
                <w:noProof/>
              </w:rPr>
            </w:pPr>
            <w:r w:rsidRPr="00BC4EE7">
              <w:rPr>
                <w:rFonts w:cs="Times New Roman"/>
                <w:noProof/>
              </w:rPr>
              <w:t>A célérték mennyiségi mutatója</w:t>
            </w:r>
          </w:p>
        </w:tc>
        <w:tc>
          <w:tcPr>
            <w:tcW w:w="1188"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0BAD463C" w14:textId="77777777" w:rsidR="00D65CB4" w:rsidRPr="00BC4EE7" w:rsidRDefault="00572307">
            <w:pPr>
              <w:pStyle w:val="P68B1DB1-Normal8"/>
              <w:spacing w:after="0"/>
              <w:jc w:val="center"/>
              <w:rPr>
                <w:rFonts w:cs="Times New Roman"/>
                <w:noProof/>
              </w:rPr>
            </w:pPr>
            <w:r w:rsidRPr="00BC4EE7">
              <w:rPr>
                <w:rFonts w:cs="Times New Roman"/>
                <w:noProof/>
              </w:rPr>
              <w:t>Idő</w:t>
            </w:r>
          </w:p>
        </w:tc>
        <w:tc>
          <w:tcPr>
            <w:tcW w:w="5569" w:type="dxa"/>
            <w:gridSpan w:val="2"/>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14:paraId="116C122A" w14:textId="77777777" w:rsidR="00D65CB4" w:rsidRPr="00BC4EE7" w:rsidRDefault="00572307">
            <w:pPr>
              <w:pStyle w:val="P68B1DB1-Normal8"/>
              <w:spacing w:after="0"/>
              <w:jc w:val="center"/>
              <w:rPr>
                <w:rFonts w:cs="Times New Roman"/>
                <w:noProof/>
              </w:rPr>
            </w:pPr>
            <w:r w:rsidRPr="00BC4EE7">
              <w:rPr>
                <w:rFonts w:cs="Times New Roman"/>
                <w:noProof/>
              </w:rPr>
              <w:t>Az egyes mérföldkövek és célértékek leírása</w:t>
            </w:r>
          </w:p>
        </w:tc>
      </w:tr>
      <w:tr w:rsidR="00D65CB4" w:rsidRPr="00BC4EE7" w14:paraId="4067725C" w14:textId="77777777" w:rsidTr="00BC4EE7">
        <w:trPr>
          <w:trHeight w:val="309"/>
          <w:tblHeader/>
          <w:jc w:val="center"/>
        </w:trPr>
        <w:tc>
          <w:tcPr>
            <w:tcW w:w="806" w:type="dxa"/>
            <w:tcBorders>
              <w:top w:val="nil"/>
              <w:left w:val="single" w:sz="4" w:space="0" w:color="auto"/>
              <w:bottom w:val="single" w:sz="4" w:space="0" w:color="auto"/>
              <w:right w:val="single" w:sz="4" w:space="0" w:color="auto"/>
            </w:tcBorders>
            <w:shd w:val="clear" w:color="auto" w:fill="C6D9F1" w:themeFill="text2" w:themeFillTint="33"/>
            <w:noWrap/>
          </w:tcPr>
          <w:p w14:paraId="27E765F8" w14:textId="77777777" w:rsidR="00D65CB4" w:rsidRPr="00BC4EE7" w:rsidRDefault="00D65CB4">
            <w:pPr>
              <w:spacing w:after="0"/>
              <w:jc w:val="center"/>
              <w:rPr>
                <w:rFonts w:ascii="Times New Roman" w:hAnsi="Times New Roman" w:cs="Times New Roman"/>
                <w:b/>
                <w:noProof/>
                <w:sz w:val="18"/>
              </w:rPr>
            </w:pPr>
          </w:p>
        </w:tc>
        <w:tc>
          <w:tcPr>
            <w:tcW w:w="952" w:type="dxa"/>
            <w:tcBorders>
              <w:top w:val="nil"/>
              <w:left w:val="single" w:sz="4" w:space="0" w:color="auto"/>
              <w:bottom w:val="single" w:sz="4" w:space="0" w:color="auto"/>
              <w:right w:val="single" w:sz="4" w:space="0" w:color="auto"/>
            </w:tcBorders>
            <w:shd w:val="clear" w:color="auto" w:fill="C6D9F1" w:themeFill="text2" w:themeFillTint="33"/>
            <w:noWrap/>
          </w:tcPr>
          <w:p w14:paraId="733FB4A1" w14:textId="77777777" w:rsidR="00D65CB4" w:rsidRPr="00BC4EE7" w:rsidRDefault="00D65CB4">
            <w:pPr>
              <w:spacing w:after="0"/>
              <w:jc w:val="center"/>
              <w:rPr>
                <w:rFonts w:ascii="Times New Roman" w:hAnsi="Times New Roman" w:cs="Times New Roman"/>
                <w:b/>
                <w:noProof/>
                <w:sz w:val="18"/>
              </w:rPr>
            </w:pPr>
          </w:p>
        </w:tc>
        <w:tc>
          <w:tcPr>
            <w:tcW w:w="1079" w:type="dxa"/>
            <w:tcBorders>
              <w:top w:val="nil"/>
              <w:left w:val="single" w:sz="4" w:space="0" w:color="auto"/>
              <w:bottom w:val="single" w:sz="4" w:space="0" w:color="auto"/>
              <w:right w:val="single" w:sz="4" w:space="0" w:color="auto"/>
            </w:tcBorders>
            <w:shd w:val="clear" w:color="auto" w:fill="C6D9F1" w:themeFill="text2" w:themeFillTint="33"/>
            <w:noWrap/>
          </w:tcPr>
          <w:p w14:paraId="6E018703" w14:textId="77777777" w:rsidR="00D65CB4" w:rsidRPr="00BC4EE7" w:rsidRDefault="00D65CB4">
            <w:pPr>
              <w:spacing w:after="0"/>
              <w:jc w:val="center"/>
              <w:rPr>
                <w:rFonts w:ascii="Times New Roman" w:hAnsi="Times New Roman" w:cs="Times New Roman"/>
                <w:b/>
                <w:noProof/>
                <w:sz w:val="18"/>
              </w:rPr>
            </w:pPr>
          </w:p>
        </w:tc>
        <w:tc>
          <w:tcPr>
            <w:tcW w:w="2144" w:type="dxa"/>
            <w:tcBorders>
              <w:top w:val="nil"/>
              <w:left w:val="single" w:sz="4" w:space="0" w:color="auto"/>
              <w:bottom w:val="single" w:sz="4" w:space="0" w:color="auto"/>
              <w:right w:val="single" w:sz="4" w:space="0" w:color="auto"/>
            </w:tcBorders>
            <w:shd w:val="clear" w:color="auto" w:fill="C6D9F1" w:themeFill="text2" w:themeFillTint="33"/>
            <w:noWrap/>
          </w:tcPr>
          <w:p w14:paraId="4BA5681D" w14:textId="77777777" w:rsidR="00D65CB4" w:rsidRPr="00BC4EE7" w:rsidRDefault="00D65CB4">
            <w:pPr>
              <w:spacing w:after="0"/>
              <w:rPr>
                <w:rFonts w:ascii="Times New Roman" w:hAnsi="Times New Roman" w:cs="Times New Roman"/>
                <w:b/>
                <w:noProof/>
                <w:sz w:val="18"/>
              </w:rPr>
            </w:pPr>
          </w:p>
        </w:tc>
        <w:tc>
          <w:tcPr>
            <w:tcW w:w="1252" w:type="dxa"/>
            <w:tcBorders>
              <w:top w:val="nil"/>
              <w:left w:val="single" w:sz="4" w:space="0" w:color="auto"/>
              <w:bottom w:val="single" w:sz="4" w:space="0" w:color="auto"/>
              <w:right w:val="single" w:sz="4" w:space="0" w:color="auto"/>
            </w:tcBorders>
            <w:shd w:val="clear" w:color="auto" w:fill="C6D9F1" w:themeFill="text2" w:themeFillTint="33"/>
            <w:noWrap/>
          </w:tcPr>
          <w:p w14:paraId="2397FB46" w14:textId="77777777" w:rsidR="00D65CB4" w:rsidRPr="00BC4EE7" w:rsidRDefault="00D65CB4">
            <w:pPr>
              <w:spacing w:after="0"/>
              <w:jc w:val="center"/>
              <w:rPr>
                <w:rFonts w:ascii="Times New Roman" w:hAnsi="Times New Roman" w:cs="Times New Roman"/>
                <w:b/>
                <w:noProof/>
                <w:sz w:val="18"/>
              </w:rPr>
            </w:pPr>
          </w:p>
        </w:tc>
        <w:tc>
          <w:tcPr>
            <w:tcW w:w="697"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188F84FF" w14:textId="77777777" w:rsidR="00D65CB4" w:rsidRPr="00BC4EE7" w:rsidRDefault="00572307">
            <w:pPr>
              <w:pStyle w:val="P68B1DB1-Normal8"/>
              <w:spacing w:after="0"/>
              <w:jc w:val="center"/>
              <w:rPr>
                <w:rFonts w:cs="Times New Roman"/>
                <w:noProof/>
              </w:rPr>
            </w:pPr>
            <w:r w:rsidRPr="00BC4EE7">
              <w:rPr>
                <w:rFonts w:cs="Times New Roman"/>
                <w:noProof/>
              </w:rPr>
              <w:t>Egység</w:t>
            </w:r>
          </w:p>
        </w:tc>
        <w:tc>
          <w:tcPr>
            <w:tcW w:w="974"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54EDF8F0" w14:textId="779D7F9E" w:rsidR="00D65CB4" w:rsidRPr="00BC4EE7" w:rsidRDefault="00572307">
            <w:pPr>
              <w:pStyle w:val="P68B1DB1-Normal8"/>
              <w:spacing w:after="0"/>
              <w:jc w:val="center"/>
              <w:rPr>
                <w:rFonts w:cs="Times New Roman"/>
                <w:noProof/>
              </w:rPr>
            </w:pPr>
            <w:r w:rsidRPr="00BC4EE7">
              <w:rPr>
                <w:rFonts w:cs="Times New Roman"/>
                <w:noProof/>
              </w:rPr>
              <w:t>Kiindulási</w:t>
            </w:r>
          </w:p>
        </w:tc>
        <w:tc>
          <w:tcPr>
            <w:tcW w:w="763"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4873E1E8" w14:textId="77777777" w:rsidR="00D65CB4" w:rsidRPr="00BC4EE7" w:rsidRDefault="00572307">
            <w:pPr>
              <w:pStyle w:val="P68B1DB1-Normal8"/>
              <w:spacing w:after="0"/>
              <w:jc w:val="center"/>
              <w:rPr>
                <w:rFonts w:cs="Times New Roman"/>
                <w:noProof/>
              </w:rPr>
            </w:pPr>
            <w:r w:rsidRPr="00BC4EE7">
              <w:rPr>
                <w:rFonts w:cs="Times New Roman"/>
                <w:noProof/>
              </w:rPr>
              <w:t>Cél</w:t>
            </w:r>
          </w:p>
        </w:tc>
        <w:tc>
          <w:tcPr>
            <w:tcW w:w="492"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20AE6F81" w14:textId="77777777" w:rsidR="00D65CB4" w:rsidRPr="00BC4EE7" w:rsidRDefault="00572307">
            <w:pPr>
              <w:pStyle w:val="P68B1DB1-Normal8"/>
              <w:spacing w:after="0"/>
              <w:jc w:val="center"/>
              <w:rPr>
                <w:rFonts w:cs="Times New Roman"/>
                <w:noProof/>
              </w:rPr>
            </w:pPr>
            <w:r w:rsidRPr="00BC4EE7">
              <w:rPr>
                <w:rFonts w:cs="Times New Roman"/>
                <w:noProof/>
              </w:rPr>
              <w:t>Q</w:t>
            </w:r>
          </w:p>
        </w:tc>
        <w:tc>
          <w:tcPr>
            <w:tcW w:w="696"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5EF862C1" w14:textId="77777777" w:rsidR="00D65CB4" w:rsidRPr="00BC4EE7" w:rsidRDefault="00572307">
            <w:pPr>
              <w:pStyle w:val="P68B1DB1-Normal8"/>
              <w:spacing w:after="0"/>
              <w:jc w:val="center"/>
              <w:rPr>
                <w:rFonts w:cs="Times New Roman"/>
                <w:noProof/>
              </w:rPr>
            </w:pPr>
            <w:r w:rsidRPr="00BC4EE7">
              <w:rPr>
                <w:rFonts w:cs="Times New Roman"/>
                <w:noProof/>
              </w:rPr>
              <w:t>Éve</w:t>
            </w:r>
          </w:p>
        </w:tc>
        <w:tc>
          <w:tcPr>
            <w:tcW w:w="5569" w:type="dxa"/>
            <w:gridSpan w:val="2"/>
            <w:tcBorders>
              <w:top w:val="nil"/>
              <w:left w:val="single" w:sz="4" w:space="0" w:color="auto"/>
              <w:bottom w:val="single" w:sz="4" w:space="0" w:color="auto"/>
              <w:right w:val="single" w:sz="4" w:space="0" w:color="auto"/>
            </w:tcBorders>
            <w:shd w:val="clear" w:color="auto" w:fill="C6D9F1" w:themeFill="text2" w:themeFillTint="33"/>
            <w:noWrap/>
          </w:tcPr>
          <w:p w14:paraId="79F17D79" w14:textId="77777777" w:rsidR="00D65CB4" w:rsidRPr="00BC4EE7" w:rsidRDefault="00D65CB4">
            <w:pPr>
              <w:spacing w:after="0"/>
              <w:rPr>
                <w:rFonts w:ascii="Times New Roman" w:hAnsi="Times New Roman" w:cs="Times New Roman"/>
                <w:b/>
                <w:noProof/>
                <w:sz w:val="18"/>
              </w:rPr>
            </w:pPr>
          </w:p>
        </w:tc>
      </w:tr>
      <w:tr w:rsidR="00D65CB4" w:rsidRPr="00BC4EE7" w14:paraId="1A64BBD6" w14:textId="77777777" w:rsidTr="00BC4EE7">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5B9B005F"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229</w:t>
            </w:r>
          </w:p>
        </w:tc>
        <w:tc>
          <w:tcPr>
            <w:tcW w:w="952" w:type="dxa"/>
            <w:tcBorders>
              <w:top w:val="single" w:sz="4" w:space="0" w:color="auto"/>
              <w:left w:val="single" w:sz="4" w:space="0" w:color="auto"/>
              <w:bottom w:val="single" w:sz="4" w:space="0" w:color="auto"/>
              <w:right w:val="single" w:sz="4" w:space="0" w:color="auto"/>
            </w:tcBorders>
            <w:shd w:val="clear" w:color="auto" w:fill="C6EFCE"/>
            <w:noWrap/>
          </w:tcPr>
          <w:p w14:paraId="646A2B41"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C15.R1</w:t>
            </w:r>
          </w:p>
        </w:tc>
        <w:tc>
          <w:tcPr>
            <w:tcW w:w="1079" w:type="dxa"/>
            <w:tcBorders>
              <w:top w:val="single" w:sz="4" w:space="0" w:color="auto"/>
              <w:left w:val="single" w:sz="4" w:space="0" w:color="auto"/>
              <w:bottom w:val="single" w:sz="4" w:space="0" w:color="auto"/>
              <w:right w:val="single" w:sz="4" w:space="0" w:color="auto"/>
            </w:tcBorders>
            <w:shd w:val="clear" w:color="auto" w:fill="C6EFCE"/>
            <w:noWrap/>
          </w:tcPr>
          <w:p w14:paraId="580A4849"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2144" w:type="dxa"/>
            <w:tcBorders>
              <w:top w:val="single" w:sz="4" w:space="0" w:color="auto"/>
              <w:left w:val="single" w:sz="4" w:space="0" w:color="auto"/>
              <w:bottom w:val="single" w:sz="4" w:space="0" w:color="auto"/>
              <w:right w:val="single" w:sz="4" w:space="0" w:color="auto"/>
            </w:tcBorders>
            <w:shd w:val="clear" w:color="auto" w:fill="C6EFCE"/>
            <w:noWrap/>
          </w:tcPr>
          <w:p w14:paraId="1D83F309" w14:textId="77777777" w:rsidR="00D65CB4" w:rsidRPr="00BC4EE7" w:rsidRDefault="00572307">
            <w:pPr>
              <w:pStyle w:val="P68B1DB1-Normal12"/>
              <w:spacing w:after="0"/>
              <w:rPr>
                <w:rFonts w:eastAsia="Times New Roman" w:cs="Times New Roman"/>
                <w:noProof/>
              </w:rPr>
            </w:pPr>
            <w:r w:rsidRPr="00BC4EE7">
              <w:rPr>
                <w:rFonts w:cs="Times New Roman"/>
                <w:noProof/>
              </w:rPr>
              <w:t>A távközlési törvény hatálybalépése</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6A0F63ED"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A jogszabály hatálybalépésére vonatkozó rendelkezés a jogszabályban </w:t>
            </w:r>
          </w:p>
        </w:tc>
        <w:tc>
          <w:tcPr>
            <w:tcW w:w="697" w:type="dxa"/>
            <w:tcBorders>
              <w:top w:val="single" w:sz="4" w:space="0" w:color="auto"/>
              <w:left w:val="single" w:sz="4" w:space="0" w:color="auto"/>
              <w:bottom w:val="single" w:sz="4" w:space="0" w:color="auto"/>
              <w:right w:val="single" w:sz="4" w:space="0" w:color="auto"/>
            </w:tcBorders>
            <w:shd w:val="clear" w:color="auto" w:fill="C6EFCE"/>
            <w:noWrap/>
          </w:tcPr>
          <w:p w14:paraId="6B797C1F"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 </w:t>
            </w:r>
          </w:p>
        </w:tc>
        <w:tc>
          <w:tcPr>
            <w:tcW w:w="974" w:type="dxa"/>
            <w:tcBorders>
              <w:top w:val="single" w:sz="4" w:space="0" w:color="auto"/>
              <w:left w:val="single" w:sz="4" w:space="0" w:color="auto"/>
              <w:bottom w:val="single" w:sz="4" w:space="0" w:color="auto"/>
              <w:right w:val="single" w:sz="4" w:space="0" w:color="auto"/>
            </w:tcBorders>
            <w:shd w:val="clear" w:color="auto" w:fill="C6EFCE"/>
            <w:noWrap/>
          </w:tcPr>
          <w:p w14:paraId="2E9BA939"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24B7C234"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38A21E35"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Q2</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3E6D9E83"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2022</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0E66D777" w14:textId="77777777" w:rsidR="00D65CB4" w:rsidRPr="00BC4EE7" w:rsidRDefault="00572307">
            <w:pPr>
              <w:pStyle w:val="P68B1DB1-Normal12"/>
              <w:spacing w:after="0"/>
              <w:rPr>
                <w:rFonts w:eastAsia="Times New Roman" w:cs="Times New Roman"/>
                <w:noProof/>
              </w:rPr>
            </w:pPr>
            <w:r w:rsidRPr="00BC4EE7">
              <w:rPr>
                <w:rFonts w:cs="Times New Roman"/>
                <w:noProof/>
              </w:rPr>
              <w:t>A távközlési törvény az Európai Elektronikus Hírközlési Kódex (EECC) 2018/1972 irányelvét is átülteti.  A jogszabálynak tartalmaznia kell az uniós konnektivitási eszköztárra vonatkozó ajánlásokat is, amelyeknek a spanyol jogi keretnek megfelelő jogszabályban kell szerepelniük. Az Európai Elektronikus Hírközlési Kódex (EU) 2018/1972 irányelvének átültetésén túl a törvény a következőket tartalmazza: a tenger alatti kábelek és IXP/adatközpontok nyilvántartására vonatkozó rendelkezések; ii. valamint a hálózatkiépítésre kivetett helyi adókra vonatkozó egyszerűsített adózási rendszer; és iii. egyablakos ügyintézési pont létrehozása a különböző kormányzati szintek által a hálózatok kiépítésére kiadott engedélyek és engedélyek alkalmazásához.</w:t>
            </w:r>
          </w:p>
        </w:tc>
      </w:tr>
      <w:tr w:rsidR="00D65CB4" w:rsidRPr="00BC4EE7" w14:paraId="7BB81DD8" w14:textId="77777777" w:rsidTr="00BC4EE7">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2586BEC9"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230</w:t>
            </w:r>
          </w:p>
        </w:tc>
        <w:tc>
          <w:tcPr>
            <w:tcW w:w="952" w:type="dxa"/>
            <w:tcBorders>
              <w:top w:val="single" w:sz="4" w:space="0" w:color="auto"/>
              <w:left w:val="single" w:sz="4" w:space="0" w:color="auto"/>
              <w:bottom w:val="single" w:sz="4" w:space="0" w:color="auto"/>
              <w:right w:val="single" w:sz="4" w:space="0" w:color="auto"/>
            </w:tcBorders>
            <w:shd w:val="clear" w:color="auto" w:fill="C6EFCE"/>
            <w:noWrap/>
          </w:tcPr>
          <w:p w14:paraId="3D51E7C8"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C15.R2</w:t>
            </w:r>
          </w:p>
        </w:tc>
        <w:tc>
          <w:tcPr>
            <w:tcW w:w="1079" w:type="dxa"/>
            <w:tcBorders>
              <w:top w:val="single" w:sz="4" w:space="0" w:color="auto"/>
              <w:left w:val="single" w:sz="4" w:space="0" w:color="auto"/>
              <w:bottom w:val="single" w:sz="4" w:space="0" w:color="auto"/>
              <w:right w:val="single" w:sz="4" w:space="0" w:color="auto"/>
            </w:tcBorders>
            <w:shd w:val="clear" w:color="auto" w:fill="C6EFCE"/>
            <w:noWrap/>
          </w:tcPr>
          <w:p w14:paraId="0A35B76E"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2144" w:type="dxa"/>
            <w:tcBorders>
              <w:top w:val="single" w:sz="4" w:space="0" w:color="auto"/>
              <w:left w:val="single" w:sz="4" w:space="0" w:color="auto"/>
              <w:bottom w:val="single" w:sz="4" w:space="0" w:color="auto"/>
              <w:right w:val="single" w:sz="4" w:space="0" w:color="auto"/>
            </w:tcBorders>
            <w:shd w:val="clear" w:color="auto" w:fill="C6EFCE"/>
            <w:noWrap/>
          </w:tcPr>
          <w:p w14:paraId="49CAAD49" w14:textId="77777777" w:rsidR="00D65CB4" w:rsidRPr="00BC4EE7" w:rsidRDefault="00572307">
            <w:pPr>
              <w:pStyle w:val="P68B1DB1-Normal12"/>
              <w:spacing w:after="0"/>
              <w:rPr>
                <w:rFonts w:eastAsia="Times New Roman" w:cs="Times New Roman"/>
                <w:noProof/>
              </w:rPr>
            </w:pPr>
            <w:r w:rsidRPr="00BC4EE7">
              <w:rPr>
                <w:rFonts w:cs="Times New Roman"/>
                <w:noProof/>
              </w:rPr>
              <w:t>2025 Digitális Spanyolország terv és stratégia az 5G technológia előmozdítására</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7F669771"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Közzététel</w:t>
            </w:r>
          </w:p>
        </w:tc>
        <w:tc>
          <w:tcPr>
            <w:tcW w:w="697" w:type="dxa"/>
            <w:tcBorders>
              <w:top w:val="single" w:sz="4" w:space="0" w:color="auto"/>
              <w:left w:val="single" w:sz="4" w:space="0" w:color="auto"/>
              <w:bottom w:val="single" w:sz="4" w:space="0" w:color="auto"/>
              <w:right w:val="single" w:sz="4" w:space="0" w:color="auto"/>
            </w:tcBorders>
            <w:shd w:val="clear" w:color="auto" w:fill="C6EFCE"/>
            <w:noWrap/>
          </w:tcPr>
          <w:p w14:paraId="1DCCC6A9"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 </w:t>
            </w:r>
          </w:p>
        </w:tc>
        <w:tc>
          <w:tcPr>
            <w:tcW w:w="974" w:type="dxa"/>
            <w:tcBorders>
              <w:top w:val="single" w:sz="4" w:space="0" w:color="auto"/>
              <w:left w:val="single" w:sz="4" w:space="0" w:color="auto"/>
              <w:bottom w:val="single" w:sz="4" w:space="0" w:color="auto"/>
              <w:right w:val="single" w:sz="4" w:space="0" w:color="auto"/>
            </w:tcBorders>
            <w:shd w:val="clear" w:color="auto" w:fill="C6EFCE"/>
            <w:noWrap/>
          </w:tcPr>
          <w:p w14:paraId="53EDF791"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6B3F5C07"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78BA5706"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Q4</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1FA98355"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2020</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45201AFC" w14:textId="49F236F4" w:rsidR="00D65CB4" w:rsidRPr="00BC4EE7" w:rsidRDefault="00572307">
            <w:pPr>
              <w:pStyle w:val="P68B1DB1-Normal12"/>
              <w:spacing w:after="0"/>
              <w:rPr>
                <w:rFonts w:eastAsia="Times New Roman" w:cs="Times New Roman"/>
                <w:noProof/>
              </w:rPr>
            </w:pPr>
            <w:r w:rsidRPr="00BC4EE7">
              <w:rPr>
                <w:rFonts w:cs="Times New Roman"/>
                <w:noProof/>
              </w:rPr>
              <w:t>A 2025-ig tartó időszakra vonatkozó terv (Digitális Spanyolország) közzététele és az 5G technológia előmozdítására irányuló stratégia Minisztertanács általi jóváhagyása</w:t>
            </w:r>
          </w:p>
        </w:tc>
      </w:tr>
      <w:tr w:rsidR="00D65CB4" w:rsidRPr="00BC4EE7" w14:paraId="36906E23" w14:textId="77777777" w:rsidTr="00BC4EE7">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615DE1AD"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231</w:t>
            </w:r>
          </w:p>
        </w:tc>
        <w:tc>
          <w:tcPr>
            <w:tcW w:w="952" w:type="dxa"/>
            <w:tcBorders>
              <w:top w:val="single" w:sz="4" w:space="0" w:color="auto"/>
              <w:left w:val="single" w:sz="4" w:space="0" w:color="auto"/>
              <w:bottom w:val="single" w:sz="4" w:space="0" w:color="auto"/>
              <w:right w:val="single" w:sz="4" w:space="0" w:color="auto"/>
            </w:tcBorders>
            <w:shd w:val="clear" w:color="auto" w:fill="C6EFCE"/>
            <w:noWrap/>
          </w:tcPr>
          <w:p w14:paraId="69A78D93"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C15.R2</w:t>
            </w:r>
          </w:p>
        </w:tc>
        <w:tc>
          <w:tcPr>
            <w:tcW w:w="1079" w:type="dxa"/>
            <w:tcBorders>
              <w:top w:val="single" w:sz="4" w:space="0" w:color="auto"/>
              <w:left w:val="single" w:sz="4" w:space="0" w:color="auto"/>
              <w:bottom w:val="single" w:sz="4" w:space="0" w:color="auto"/>
              <w:right w:val="single" w:sz="4" w:space="0" w:color="auto"/>
            </w:tcBorders>
            <w:shd w:val="clear" w:color="auto" w:fill="C6EFCE"/>
            <w:noWrap/>
          </w:tcPr>
          <w:p w14:paraId="5BEF3789"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2144" w:type="dxa"/>
            <w:tcBorders>
              <w:top w:val="single" w:sz="4" w:space="0" w:color="auto"/>
              <w:left w:val="single" w:sz="4" w:space="0" w:color="auto"/>
              <w:bottom w:val="single" w:sz="4" w:space="0" w:color="auto"/>
              <w:right w:val="single" w:sz="4" w:space="0" w:color="auto"/>
            </w:tcBorders>
            <w:shd w:val="clear" w:color="auto" w:fill="C6EFCE"/>
            <w:noWrap/>
          </w:tcPr>
          <w:p w14:paraId="03327BA2" w14:textId="77777777" w:rsidR="00D65CB4" w:rsidRPr="00BC4EE7" w:rsidRDefault="00572307">
            <w:pPr>
              <w:pStyle w:val="P68B1DB1-Normal12"/>
              <w:spacing w:after="0"/>
              <w:rPr>
                <w:rFonts w:eastAsia="Times New Roman" w:cs="Times New Roman"/>
                <w:noProof/>
              </w:rPr>
            </w:pPr>
            <w:r w:rsidRPr="00BC4EE7">
              <w:rPr>
                <w:rFonts w:cs="Times New Roman"/>
                <w:noProof/>
              </w:rPr>
              <w:t>A 700 MHz-es frekvenciasáv felszabadítása</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42BDA8CE"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Az Európai Bizottság értesítése</w:t>
            </w:r>
          </w:p>
        </w:tc>
        <w:tc>
          <w:tcPr>
            <w:tcW w:w="697" w:type="dxa"/>
            <w:tcBorders>
              <w:top w:val="single" w:sz="4" w:space="0" w:color="auto"/>
              <w:left w:val="single" w:sz="4" w:space="0" w:color="auto"/>
              <w:bottom w:val="single" w:sz="4" w:space="0" w:color="auto"/>
              <w:right w:val="single" w:sz="4" w:space="0" w:color="auto"/>
            </w:tcBorders>
            <w:shd w:val="clear" w:color="auto" w:fill="C6EFCE"/>
            <w:noWrap/>
          </w:tcPr>
          <w:p w14:paraId="0101AE19"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 </w:t>
            </w:r>
          </w:p>
        </w:tc>
        <w:tc>
          <w:tcPr>
            <w:tcW w:w="974" w:type="dxa"/>
            <w:tcBorders>
              <w:top w:val="single" w:sz="4" w:space="0" w:color="auto"/>
              <w:left w:val="single" w:sz="4" w:space="0" w:color="auto"/>
              <w:bottom w:val="single" w:sz="4" w:space="0" w:color="auto"/>
              <w:right w:val="single" w:sz="4" w:space="0" w:color="auto"/>
            </w:tcBorders>
            <w:shd w:val="clear" w:color="auto" w:fill="C6EFCE"/>
            <w:noWrap/>
          </w:tcPr>
          <w:p w14:paraId="3880B599"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3CC3711F"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30D77C98"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Q4</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55D38DE3"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2020</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2FF71FEC" w14:textId="77777777" w:rsidR="00D65CB4" w:rsidRPr="00BC4EE7" w:rsidRDefault="00572307">
            <w:pPr>
              <w:pStyle w:val="P68B1DB1-Normal12"/>
              <w:spacing w:after="0"/>
              <w:rPr>
                <w:rFonts w:eastAsia="Times New Roman" w:cs="Times New Roman"/>
                <w:noProof/>
              </w:rPr>
            </w:pPr>
            <w:r w:rsidRPr="00BC4EE7">
              <w:rPr>
                <w:rFonts w:cs="Times New Roman"/>
                <w:noProof/>
              </w:rPr>
              <w:t>A 700 MHz-es frekvenciasáv felszabadítási folyamatának lezárása a 470–790 MHz-es frekvenciasáv Unión belüli használatáról szóló, 2017. május 17-i (EU) 2017/899 európai parlamenti és tanácsi határozattal összhangban</w:t>
            </w:r>
          </w:p>
        </w:tc>
      </w:tr>
      <w:tr w:rsidR="00D65CB4" w:rsidRPr="00BC4EE7" w14:paraId="07A1718C" w14:textId="77777777" w:rsidTr="00BC4EE7">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5DDE008A"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232</w:t>
            </w:r>
          </w:p>
        </w:tc>
        <w:tc>
          <w:tcPr>
            <w:tcW w:w="952" w:type="dxa"/>
            <w:tcBorders>
              <w:top w:val="single" w:sz="4" w:space="0" w:color="auto"/>
              <w:left w:val="single" w:sz="4" w:space="0" w:color="auto"/>
              <w:bottom w:val="single" w:sz="4" w:space="0" w:color="auto"/>
              <w:right w:val="single" w:sz="4" w:space="0" w:color="auto"/>
            </w:tcBorders>
            <w:shd w:val="clear" w:color="auto" w:fill="C6EFCE"/>
            <w:noWrap/>
          </w:tcPr>
          <w:p w14:paraId="28C7A772"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C15.R2</w:t>
            </w:r>
          </w:p>
        </w:tc>
        <w:tc>
          <w:tcPr>
            <w:tcW w:w="1079" w:type="dxa"/>
            <w:tcBorders>
              <w:top w:val="single" w:sz="4" w:space="0" w:color="auto"/>
              <w:left w:val="single" w:sz="4" w:space="0" w:color="auto"/>
              <w:bottom w:val="single" w:sz="4" w:space="0" w:color="auto"/>
              <w:right w:val="single" w:sz="4" w:space="0" w:color="auto"/>
            </w:tcBorders>
            <w:shd w:val="clear" w:color="auto" w:fill="C6EFCE"/>
            <w:noWrap/>
          </w:tcPr>
          <w:p w14:paraId="0E6F76D1"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2144" w:type="dxa"/>
            <w:tcBorders>
              <w:top w:val="single" w:sz="4" w:space="0" w:color="auto"/>
              <w:left w:val="single" w:sz="4" w:space="0" w:color="auto"/>
              <w:bottom w:val="single" w:sz="4" w:space="0" w:color="auto"/>
              <w:right w:val="single" w:sz="4" w:space="0" w:color="auto"/>
            </w:tcBorders>
            <w:shd w:val="clear" w:color="auto" w:fill="C6EFCE"/>
            <w:noWrap/>
          </w:tcPr>
          <w:p w14:paraId="652DDE74" w14:textId="77777777" w:rsidR="00D65CB4" w:rsidRPr="00BC4EE7" w:rsidRDefault="00572307">
            <w:pPr>
              <w:pStyle w:val="P68B1DB1-Normal12"/>
              <w:spacing w:after="0"/>
              <w:rPr>
                <w:rFonts w:eastAsia="Times New Roman" w:cs="Times New Roman"/>
                <w:noProof/>
              </w:rPr>
            </w:pPr>
            <w:r w:rsidRPr="00BC4EE7">
              <w:rPr>
                <w:rFonts w:cs="Times New Roman"/>
                <w:noProof/>
              </w:rPr>
              <w:t>A 700 MHz-es frekvenciasáv kiosztása</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2BBC00A0"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Közzététel a Hivatalos Lapban</w:t>
            </w:r>
          </w:p>
        </w:tc>
        <w:tc>
          <w:tcPr>
            <w:tcW w:w="697" w:type="dxa"/>
            <w:tcBorders>
              <w:top w:val="single" w:sz="4" w:space="0" w:color="auto"/>
              <w:left w:val="single" w:sz="4" w:space="0" w:color="auto"/>
              <w:bottom w:val="single" w:sz="4" w:space="0" w:color="auto"/>
              <w:right w:val="single" w:sz="4" w:space="0" w:color="auto"/>
            </w:tcBorders>
            <w:shd w:val="clear" w:color="auto" w:fill="C6EFCE"/>
            <w:noWrap/>
          </w:tcPr>
          <w:p w14:paraId="6670D6F6"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 </w:t>
            </w:r>
          </w:p>
        </w:tc>
        <w:tc>
          <w:tcPr>
            <w:tcW w:w="974" w:type="dxa"/>
            <w:tcBorders>
              <w:top w:val="single" w:sz="4" w:space="0" w:color="auto"/>
              <w:left w:val="single" w:sz="4" w:space="0" w:color="auto"/>
              <w:bottom w:val="single" w:sz="4" w:space="0" w:color="auto"/>
              <w:right w:val="single" w:sz="4" w:space="0" w:color="auto"/>
            </w:tcBorders>
            <w:shd w:val="clear" w:color="auto" w:fill="C6EFCE"/>
            <w:noWrap/>
          </w:tcPr>
          <w:p w14:paraId="11F3773B"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4431E06F"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487BDF89"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Q4</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533B631C"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2021</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285608EF" w14:textId="77777777" w:rsidR="00D65CB4" w:rsidRPr="00BC4EE7" w:rsidRDefault="00572307">
            <w:pPr>
              <w:pStyle w:val="P68B1DB1-Normal12"/>
              <w:spacing w:after="0"/>
              <w:rPr>
                <w:rFonts w:eastAsia="Times New Roman" w:cs="Times New Roman"/>
                <w:noProof/>
              </w:rPr>
            </w:pPr>
            <w:r w:rsidRPr="00BC4EE7">
              <w:rPr>
                <w:rFonts w:cs="Times New Roman"/>
                <w:noProof/>
              </w:rPr>
              <w:t xml:space="preserve">Az árverés eredményeként a 700 MHz-es frekvenciasáv odaítélésének közzététele a Hivatalos Lapban </w:t>
            </w:r>
          </w:p>
        </w:tc>
      </w:tr>
      <w:tr w:rsidR="00D65CB4" w:rsidRPr="00BC4EE7" w14:paraId="0983D9D3" w14:textId="77777777" w:rsidTr="00BC4EE7">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578DCE97"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233</w:t>
            </w:r>
          </w:p>
        </w:tc>
        <w:tc>
          <w:tcPr>
            <w:tcW w:w="952" w:type="dxa"/>
            <w:tcBorders>
              <w:top w:val="single" w:sz="4" w:space="0" w:color="auto"/>
              <w:left w:val="single" w:sz="4" w:space="0" w:color="auto"/>
              <w:bottom w:val="single" w:sz="4" w:space="0" w:color="auto"/>
              <w:right w:val="single" w:sz="4" w:space="0" w:color="auto"/>
            </w:tcBorders>
            <w:shd w:val="clear" w:color="auto" w:fill="C6EFCE"/>
            <w:noWrap/>
          </w:tcPr>
          <w:p w14:paraId="763B62AD"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C15.R2</w:t>
            </w:r>
          </w:p>
        </w:tc>
        <w:tc>
          <w:tcPr>
            <w:tcW w:w="1079" w:type="dxa"/>
            <w:tcBorders>
              <w:top w:val="single" w:sz="4" w:space="0" w:color="auto"/>
              <w:left w:val="single" w:sz="4" w:space="0" w:color="auto"/>
              <w:bottom w:val="single" w:sz="4" w:space="0" w:color="auto"/>
              <w:right w:val="single" w:sz="4" w:space="0" w:color="auto"/>
            </w:tcBorders>
            <w:shd w:val="clear" w:color="auto" w:fill="C6EFCE"/>
            <w:noWrap/>
          </w:tcPr>
          <w:p w14:paraId="5F456F4C"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2144" w:type="dxa"/>
            <w:tcBorders>
              <w:top w:val="single" w:sz="4" w:space="0" w:color="auto"/>
              <w:left w:val="single" w:sz="4" w:space="0" w:color="auto"/>
              <w:bottom w:val="single" w:sz="4" w:space="0" w:color="auto"/>
              <w:right w:val="single" w:sz="4" w:space="0" w:color="auto"/>
            </w:tcBorders>
            <w:shd w:val="clear" w:color="auto" w:fill="C6EFCE"/>
            <w:noWrap/>
          </w:tcPr>
          <w:p w14:paraId="05CB988B" w14:textId="77777777" w:rsidR="00D65CB4" w:rsidRPr="00BC4EE7" w:rsidRDefault="00572307">
            <w:pPr>
              <w:pStyle w:val="P68B1DB1-Normal12"/>
              <w:spacing w:after="0"/>
              <w:rPr>
                <w:rFonts w:eastAsia="Times New Roman" w:cs="Times New Roman"/>
                <w:noProof/>
              </w:rPr>
            </w:pPr>
            <w:r w:rsidRPr="00BC4EE7">
              <w:rPr>
                <w:rFonts w:cs="Times New Roman"/>
                <w:noProof/>
              </w:rPr>
              <w:t>Az 5G spektrumadó csökkentéséről szóló jogi aktus hatálybalépése</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6EA7CF7B"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A hatálybalépésről szóló jogi aktus rendelkezése</w:t>
            </w:r>
          </w:p>
        </w:tc>
        <w:tc>
          <w:tcPr>
            <w:tcW w:w="697" w:type="dxa"/>
            <w:tcBorders>
              <w:top w:val="single" w:sz="4" w:space="0" w:color="auto"/>
              <w:left w:val="single" w:sz="4" w:space="0" w:color="auto"/>
              <w:bottom w:val="single" w:sz="4" w:space="0" w:color="auto"/>
              <w:right w:val="single" w:sz="4" w:space="0" w:color="auto"/>
            </w:tcBorders>
            <w:shd w:val="clear" w:color="auto" w:fill="C6EFCE"/>
            <w:noWrap/>
          </w:tcPr>
          <w:p w14:paraId="36CF8A5C"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 </w:t>
            </w:r>
          </w:p>
        </w:tc>
        <w:tc>
          <w:tcPr>
            <w:tcW w:w="974" w:type="dxa"/>
            <w:tcBorders>
              <w:top w:val="single" w:sz="4" w:space="0" w:color="auto"/>
              <w:left w:val="single" w:sz="4" w:space="0" w:color="auto"/>
              <w:bottom w:val="single" w:sz="4" w:space="0" w:color="auto"/>
              <w:right w:val="single" w:sz="4" w:space="0" w:color="auto"/>
            </w:tcBorders>
            <w:shd w:val="clear" w:color="auto" w:fill="C6EFCE"/>
            <w:noWrap/>
          </w:tcPr>
          <w:p w14:paraId="52FBBBD2"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1E613D4F"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1379C742"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Q4</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41DDF45C"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2021</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7AF44EE6" w14:textId="77777777" w:rsidR="00D65CB4" w:rsidRPr="00BC4EE7" w:rsidRDefault="00572307">
            <w:pPr>
              <w:pStyle w:val="P68B1DB1-Normal12"/>
              <w:spacing w:after="0"/>
              <w:rPr>
                <w:rFonts w:eastAsia="Times New Roman" w:cs="Times New Roman"/>
                <w:noProof/>
              </w:rPr>
            </w:pPr>
            <w:r w:rsidRPr="00BC4EE7">
              <w:rPr>
                <w:rFonts w:cs="Times New Roman"/>
                <w:noProof/>
              </w:rPr>
              <w:t>Jogi aktus elfogadása az 5G spektrumadónak az 5G kiépítésének felgyorsítása érdekében történő csökkentéséről, amely meghatározza az 5G kiépítésének az egyes kedvezményezettektől elvárt megfelelő felgyorsítását. A jogi aktus meghatározza a projekt kiépítéséhez szükséges jogi és szabályozási lépéseket. </w:t>
            </w:r>
          </w:p>
        </w:tc>
      </w:tr>
      <w:tr w:rsidR="00D65CB4" w:rsidRPr="00BC4EE7" w14:paraId="63723CF5" w14:textId="77777777" w:rsidTr="00BC4EE7">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22482854" w14:textId="77777777" w:rsidR="00D65CB4" w:rsidRPr="00BC4EE7" w:rsidRDefault="00572307">
            <w:pPr>
              <w:pStyle w:val="P68B1DB1-Normal12"/>
              <w:spacing w:after="0"/>
              <w:jc w:val="center"/>
              <w:rPr>
                <w:rFonts w:cs="Times New Roman"/>
                <w:noProof/>
              </w:rPr>
            </w:pPr>
            <w:r w:rsidRPr="00BC4EE7">
              <w:rPr>
                <w:rFonts w:cs="Times New Roman"/>
                <w:noProof/>
              </w:rPr>
              <w:t>234</w:t>
            </w:r>
          </w:p>
        </w:tc>
        <w:tc>
          <w:tcPr>
            <w:tcW w:w="952" w:type="dxa"/>
            <w:tcBorders>
              <w:top w:val="single" w:sz="4" w:space="0" w:color="auto"/>
              <w:left w:val="single" w:sz="4" w:space="0" w:color="auto"/>
              <w:bottom w:val="single" w:sz="4" w:space="0" w:color="auto"/>
              <w:right w:val="single" w:sz="4" w:space="0" w:color="auto"/>
            </w:tcBorders>
            <w:shd w:val="clear" w:color="auto" w:fill="C6EFCE"/>
            <w:noWrap/>
          </w:tcPr>
          <w:p w14:paraId="453FEC97" w14:textId="77777777" w:rsidR="00D65CB4" w:rsidRPr="00BC4EE7" w:rsidRDefault="00572307">
            <w:pPr>
              <w:pStyle w:val="P68B1DB1-Normal12"/>
              <w:spacing w:after="0"/>
              <w:jc w:val="center"/>
              <w:rPr>
                <w:rFonts w:cs="Times New Roman"/>
                <w:noProof/>
              </w:rPr>
            </w:pPr>
            <w:r w:rsidRPr="00BC4EE7">
              <w:rPr>
                <w:rFonts w:cs="Times New Roman"/>
                <w:noProof/>
              </w:rPr>
              <w:t>C15.R2</w:t>
            </w:r>
          </w:p>
        </w:tc>
        <w:tc>
          <w:tcPr>
            <w:tcW w:w="1079" w:type="dxa"/>
            <w:tcBorders>
              <w:top w:val="single" w:sz="4" w:space="0" w:color="auto"/>
              <w:left w:val="single" w:sz="4" w:space="0" w:color="auto"/>
              <w:bottom w:val="single" w:sz="4" w:space="0" w:color="auto"/>
              <w:right w:val="single" w:sz="4" w:space="0" w:color="auto"/>
            </w:tcBorders>
            <w:shd w:val="clear" w:color="auto" w:fill="C6EFCE"/>
            <w:noWrap/>
          </w:tcPr>
          <w:p w14:paraId="40644109" w14:textId="77777777" w:rsidR="00D65CB4" w:rsidRPr="00BC4EE7" w:rsidRDefault="00572307">
            <w:pPr>
              <w:pStyle w:val="P68B1DB1-Normal12"/>
              <w:spacing w:after="0"/>
              <w:jc w:val="center"/>
              <w:rPr>
                <w:rFonts w:cs="Times New Roman"/>
                <w:noProof/>
              </w:rPr>
            </w:pPr>
            <w:r w:rsidRPr="00BC4EE7">
              <w:rPr>
                <w:rFonts w:cs="Times New Roman"/>
                <w:noProof/>
              </w:rPr>
              <w:t>M</w:t>
            </w:r>
          </w:p>
        </w:tc>
        <w:tc>
          <w:tcPr>
            <w:tcW w:w="2144" w:type="dxa"/>
            <w:tcBorders>
              <w:top w:val="single" w:sz="4" w:space="0" w:color="auto"/>
              <w:left w:val="single" w:sz="4" w:space="0" w:color="auto"/>
              <w:bottom w:val="single" w:sz="4" w:space="0" w:color="auto"/>
              <w:right w:val="single" w:sz="4" w:space="0" w:color="auto"/>
            </w:tcBorders>
            <w:shd w:val="clear" w:color="auto" w:fill="C6EFCE"/>
            <w:noWrap/>
          </w:tcPr>
          <w:p w14:paraId="611FCA7D" w14:textId="77777777" w:rsidR="00D65CB4" w:rsidRPr="00BC4EE7" w:rsidRDefault="00572307">
            <w:pPr>
              <w:pStyle w:val="P68B1DB1-Normal12"/>
              <w:spacing w:after="0"/>
              <w:rPr>
                <w:rFonts w:cs="Times New Roman"/>
                <w:noProof/>
              </w:rPr>
            </w:pPr>
            <w:r w:rsidRPr="00BC4EE7">
              <w:rPr>
                <w:rFonts w:cs="Times New Roman"/>
                <w:noProof/>
              </w:rPr>
              <w:t>A 26 GHz-es frekvenciasáv kiosztása</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1BA7FD8C" w14:textId="77777777" w:rsidR="00D65CB4" w:rsidRPr="00BC4EE7" w:rsidRDefault="00572307">
            <w:pPr>
              <w:pStyle w:val="P68B1DB1-Normal12"/>
              <w:spacing w:after="0"/>
              <w:jc w:val="center"/>
              <w:rPr>
                <w:rFonts w:cs="Times New Roman"/>
                <w:noProof/>
              </w:rPr>
            </w:pPr>
            <w:r w:rsidRPr="00BC4EE7">
              <w:rPr>
                <w:rFonts w:cs="Times New Roman"/>
                <w:noProof/>
              </w:rPr>
              <w:t>Közzététel a Hivatalos Lapban</w:t>
            </w:r>
          </w:p>
        </w:tc>
        <w:tc>
          <w:tcPr>
            <w:tcW w:w="697" w:type="dxa"/>
            <w:tcBorders>
              <w:top w:val="single" w:sz="4" w:space="0" w:color="auto"/>
              <w:left w:val="single" w:sz="4" w:space="0" w:color="auto"/>
              <w:bottom w:val="single" w:sz="4" w:space="0" w:color="auto"/>
              <w:right w:val="single" w:sz="4" w:space="0" w:color="auto"/>
            </w:tcBorders>
            <w:shd w:val="clear" w:color="auto" w:fill="C6EFCE"/>
            <w:noWrap/>
          </w:tcPr>
          <w:p w14:paraId="16B69910" w14:textId="77777777" w:rsidR="00D65CB4" w:rsidRPr="00BC4EE7" w:rsidRDefault="00572307">
            <w:pPr>
              <w:pStyle w:val="P68B1DB1-Normal12"/>
              <w:spacing w:after="0"/>
              <w:jc w:val="center"/>
              <w:rPr>
                <w:rFonts w:cs="Times New Roman"/>
                <w:noProof/>
              </w:rPr>
            </w:pPr>
            <w:r w:rsidRPr="00BC4EE7">
              <w:rPr>
                <w:rFonts w:cs="Times New Roman"/>
                <w:noProof/>
              </w:rPr>
              <w:t xml:space="preserve"> </w:t>
            </w:r>
          </w:p>
        </w:tc>
        <w:tc>
          <w:tcPr>
            <w:tcW w:w="974" w:type="dxa"/>
            <w:tcBorders>
              <w:top w:val="single" w:sz="4" w:space="0" w:color="auto"/>
              <w:left w:val="single" w:sz="4" w:space="0" w:color="auto"/>
              <w:bottom w:val="single" w:sz="4" w:space="0" w:color="auto"/>
              <w:right w:val="single" w:sz="4" w:space="0" w:color="auto"/>
            </w:tcBorders>
            <w:shd w:val="clear" w:color="auto" w:fill="C6EFCE"/>
            <w:noWrap/>
          </w:tcPr>
          <w:p w14:paraId="761AACF0" w14:textId="77777777" w:rsidR="00D65CB4" w:rsidRPr="00BC4EE7" w:rsidRDefault="00572307">
            <w:pPr>
              <w:pStyle w:val="P68B1DB1-Normal12"/>
              <w:spacing w:after="0"/>
              <w:jc w:val="right"/>
              <w:rPr>
                <w:rFonts w:cs="Times New Roman"/>
                <w:noProof/>
              </w:rPr>
            </w:pPr>
            <w:r w:rsidRPr="00BC4EE7">
              <w:rPr>
                <w:rFonts w:cs="Times New Roman"/>
                <w:noProof/>
              </w:rPr>
              <w:t xml:space="preserve"> </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786960E1" w14:textId="77777777" w:rsidR="00D65CB4" w:rsidRPr="00BC4EE7" w:rsidRDefault="00572307">
            <w:pPr>
              <w:pStyle w:val="P68B1DB1-Normal12"/>
              <w:spacing w:after="0"/>
              <w:jc w:val="right"/>
              <w:rPr>
                <w:rFonts w:cs="Times New Roman"/>
                <w:noProof/>
              </w:rPr>
            </w:pPr>
            <w:r w:rsidRPr="00BC4EE7">
              <w:rPr>
                <w:rFonts w:cs="Times New Roman"/>
                <w:noProof/>
              </w:rPr>
              <w:t xml:space="preserve"> </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7DB694F1" w14:textId="77777777" w:rsidR="00D65CB4" w:rsidRPr="00BC4EE7" w:rsidRDefault="00572307">
            <w:pPr>
              <w:pStyle w:val="P68B1DB1-Normal12"/>
              <w:spacing w:after="0"/>
              <w:jc w:val="center"/>
              <w:rPr>
                <w:rFonts w:cs="Times New Roman"/>
                <w:noProof/>
              </w:rPr>
            </w:pPr>
            <w:r w:rsidRPr="00BC4EE7">
              <w:rPr>
                <w:rFonts w:cs="Times New Roman"/>
                <w:noProof/>
              </w:rPr>
              <w:t>Q4</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607CCF78" w14:textId="77777777" w:rsidR="00D65CB4" w:rsidRPr="00BC4EE7" w:rsidRDefault="00572307">
            <w:pPr>
              <w:pStyle w:val="P68B1DB1-Normal12"/>
              <w:spacing w:after="0"/>
              <w:jc w:val="center"/>
              <w:rPr>
                <w:rFonts w:cs="Times New Roman"/>
                <w:noProof/>
              </w:rPr>
            </w:pPr>
            <w:r w:rsidRPr="00BC4EE7">
              <w:rPr>
                <w:rFonts w:cs="Times New Roman"/>
                <w:noProof/>
              </w:rPr>
              <w:t>2022</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2F301A6B" w14:textId="77777777" w:rsidR="00D65CB4" w:rsidRPr="00BC4EE7" w:rsidRDefault="00572307">
            <w:pPr>
              <w:pStyle w:val="P68B1DB1-Normal12"/>
              <w:spacing w:after="0" w:line="256" w:lineRule="auto"/>
              <w:rPr>
                <w:rFonts w:cs="Times New Roman"/>
                <w:noProof/>
              </w:rPr>
            </w:pPr>
            <w:r w:rsidRPr="00BC4EE7">
              <w:rPr>
                <w:rFonts w:cs="Times New Roman"/>
                <w:noProof/>
              </w:rPr>
              <w:t xml:space="preserve">A 26 GHz-es frekvenciasáv árverés útján történő odaítélésének közzététele a Hivatalos Lapban </w:t>
            </w:r>
          </w:p>
        </w:tc>
      </w:tr>
      <w:tr w:rsidR="00D65CB4" w:rsidRPr="00BC4EE7" w14:paraId="63A9F233" w14:textId="77777777" w:rsidTr="00BC4EE7">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309964C9" w14:textId="77777777" w:rsidR="00D65CB4" w:rsidRPr="00BC4EE7" w:rsidRDefault="00572307">
            <w:pPr>
              <w:pStyle w:val="P68B1DB1-Normal12"/>
              <w:spacing w:after="0"/>
              <w:jc w:val="center"/>
              <w:rPr>
                <w:rFonts w:cs="Times New Roman"/>
                <w:noProof/>
              </w:rPr>
            </w:pPr>
            <w:r w:rsidRPr="00BC4EE7">
              <w:rPr>
                <w:rFonts w:cs="Times New Roman"/>
                <w:noProof/>
              </w:rPr>
              <w:t>235</w:t>
            </w:r>
          </w:p>
        </w:tc>
        <w:tc>
          <w:tcPr>
            <w:tcW w:w="952" w:type="dxa"/>
            <w:tcBorders>
              <w:top w:val="single" w:sz="4" w:space="0" w:color="auto"/>
              <w:left w:val="single" w:sz="4" w:space="0" w:color="auto"/>
              <w:bottom w:val="single" w:sz="4" w:space="0" w:color="auto"/>
              <w:right w:val="single" w:sz="4" w:space="0" w:color="auto"/>
            </w:tcBorders>
            <w:shd w:val="clear" w:color="auto" w:fill="C6EFCE"/>
            <w:noWrap/>
          </w:tcPr>
          <w:p w14:paraId="07BC4E70" w14:textId="77777777" w:rsidR="00D65CB4" w:rsidRPr="00BC4EE7" w:rsidRDefault="00572307">
            <w:pPr>
              <w:pStyle w:val="P68B1DB1-Normal12"/>
              <w:spacing w:after="0"/>
              <w:jc w:val="center"/>
              <w:rPr>
                <w:rFonts w:cs="Times New Roman"/>
                <w:noProof/>
              </w:rPr>
            </w:pPr>
            <w:r w:rsidRPr="00BC4EE7">
              <w:rPr>
                <w:rFonts w:cs="Times New Roman"/>
                <w:noProof/>
              </w:rPr>
              <w:t>C15.R2</w:t>
            </w:r>
          </w:p>
        </w:tc>
        <w:tc>
          <w:tcPr>
            <w:tcW w:w="1079" w:type="dxa"/>
            <w:tcBorders>
              <w:top w:val="single" w:sz="4" w:space="0" w:color="auto"/>
              <w:left w:val="single" w:sz="4" w:space="0" w:color="auto"/>
              <w:bottom w:val="single" w:sz="4" w:space="0" w:color="auto"/>
              <w:right w:val="single" w:sz="4" w:space="0" w:color="auto"/>
            </w:tcBorders>
            <w:shd w:val="clear" w:color="auto" w:fill="C6EFCE"/>
            <w:noWrap/>
          </w:tcPr>
          <w:p w14:paraId="5E19C2E0" w14:textId="77777777" w:rsidR="00D65CB4" w:rsidRPr="00BC4EE7" w:rsidRDefault="00572307">
            <w:pPr>
              <w:pStyle w:val="P68B1DB1-Normal12"/>
              <w:spacing w:after="0"/>
              <w:jc w:val="center"/>
              <w:rPr>
                <w:rFonts w:cs="Times New Roman"/>
                <w:noProof/>
              </w:rPr>
            </w:pPr>
            <w:r w:rsidRPr="00BC4EE7">
              <w:rPr>
                <w:rFonts w:cs="Times New Roman"/>
                <w:noProof/>
              </w:rPr>
              <w:t>M</w:t>
            </w:r>
          </w:p>
        </w:tc>
        <w:tc>
          <w:tcPr>
            <w:tcW w:w="2144" w:type="dxa"/>
            <w:tcBorders>
              <w:top w:val="single" w:sz="4" w:space="0" w:color="auto"/>
              <w:left w:val="single" w:sz="4" w:space="0" w:color="auto"/>
              <w:bottom w:val="single" w:sz="4" w:space="0" w:color="auto"/>
              <w:right w:val="single" w:sz="4" w:space="0" w:color="auto"/>
            </w:tcBorders>
            <w:shd w:val="clear" w:color="auto" w:fill="C6EFCE"/>
            <w:noWrap/>
          </w:tcPr>
          <w:p w14:paraId="1D560151" w14:textId="77777777" w:rsidR="00D65CB4" w:rsidRPr="00BC4EE7" w:rsidRDefault="00572307">
            <w:pPr>
              <w:pStyle w:val="P68B1DB1-Normal12"/>
              <w:spacing w:after="0"/>
              <w:rPr>
                <w:rFonts w:cs="Times New Roman"/>
                <w:noProof/>
              </w:rPr>
            </w:pPr>
            <w:r w:rsidRPr="00BC4EE7">
              <w:rPr>
                <w:rFonts w:cs="Times New Roman"/>
                <w:noProof/>
              </w:rPr>
              <w:t xml:space="preserve">Az 5G kiberbiztonságról szóló törvény hatálybalépése </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077D3029" w14:textId="77777777" w:rsidR="00D65CB4" w:rsidRPr="00BC4EE7" w:rsidRDefault="00572307">
            <w:pPr>
              <w:pStyle w:val="P68B1DB1-Normal12"/>
              <w:spacing w:after="0"/>
              <w:jc w:val="center"/>
              <w:rPr>
                <w:rFonts w:cs="Times New Roman"/>
                <w:noProof/>
              </w:rPr>
            </w:pPr>
            <w:r w:rsidRPr="00BC4EE7">
              <w:rPr>
                <w:rFonts w:cs="Times New Roman"/>
                <w:noProof/>
              </w:rPr>
              <w:t xml:space="preserve">Az 5G kiberbiztonságról szóló törvény hatálybalépésekor alkalmazandó rendelkezés </w:t>
            </w:r>
          </w:p>
        </w:tc>
        <w:tc>
          <w:tcPr>
            <w:tcW w:w="697" w:type="dxa"/>
            <w:tcBorders>
              <w:top w:val="single" w:sz="4" w:space="0" w:color="auto"/>
              <w:left w:val="single" w:sz="4" w:space="0" w:color="auto"/>
              <w:bottom w:val="single" w:sz="4" w:space="0" w:color="auto"/>
              <w:right w:val="single" w:sz="4" w:space="0" w:color="auto"/>
            </w:tcBorders>
            <w:shd w:val="clear" w:color="auto" w:fill="C6EFCE"/>
            <w:noWrap/>
          </w:tcPr>
          <w:p w14:paraId="68AD3D0E" w14:textId="77777777" w:rsidR="00D65CB4" w:rsidRPr="00BC4EE7" w:rsidRDefault="00572307">
            <w:pPr>
              <w:pStyle w:val="P68B1DB1-Normal12"/>
              <w:spacing w:after="0"/>
              <w:jc w:val="center"/>
              <w:rPr>
                <w:rFonts w:cs="Times New Roman"/>
                <w:noProof/>
              </w:rPr>
            </w:pPr>
            <w:r w:rsidRPr="00BC4EE7">
              <w:rPr>
                <w:rFonts w:cs="Times New Roman"/>
                <w:noProof/>
              </w:rPr>
              <w:t xml:space="preserve"> </w:t>
            </w:r>
          </w:p>
        </w:tc>
        <w:tc>
          <w:tcPr>
            <w:tcW w:w="974" w:type="dxa"/>
            <w:tcBorders>
              <w:top w:val="single" w:sz="4" w:space="0" w:color="auto"/>
              <w:left w:val="single" w:sz="4" w:space="0" w:color="auto"/>
              <w:bottom w:val="single" w:sz="4" w:space="0" w:color="auto"/>
              <w:right w:val="single" w:sz="4" w:space="0" w:color="auto"/>
            </w:tcBorders>
            <w:shd w:val="clear" w:color="auto" w:fill="C6EFCE"/>
            <w:noWrap/>
          </w:tcPr>
          <w:p w14:paraId="590C29B6" w14:textId="77777777" w:rsidR="00D65CB4" w:rsidRPr="00BC4EE7" w:rsidRDefault="00572307">
            <w:pPr>
              <w:pStyle w:val="P68B1DB1-Normal12"/>
              <w:spacing w:after="0"/>
              <w:jc w:val="right"/>
              <w:rPr>
                <w:rFonts w:cs="Times New Roman"/>
                <w:noProof/>
              </w:rPr>
            </w:pPr>
            <w:r w:rsidRPr="00BC4EE7">
              <w:rPr>
                <w:rFonts w:cs="Times New Roman"/>
                <w:noProof/>
              </w:rPr>
              <w:t xml:space="preserve"> </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42A90CF9" w14:textId="77777777" w:rsidR="00D65CB4" w:rsidRPr="00BC4EE7" w:rsidRDefault="00572307">
            <w:pPr>
              <w:pStyle w:val="P68B1DB1-Normal12"/>
              <w:spacing w:after="0"/>
              <w:jc w:val="right"/>
              <w:rPr>
                <w:rFonts w:cs="Times New Roman"/>
                <w:noProof/>
              </w:rPr>
            </w:pPr>
            <w:r w:rsidRPr="00BC4EE7">
              <w:rPr>
                <w:rFonts w:cs="Times New Roman"/>
                <w:noProof/>
              </w:rPr>
              <w:t xml:space="preserve"> </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6A638ED6" w14:textId="77777777" w:rsidR="00D65CB4" w:rsidRPr="00BC4EE7" w:rsidRDefault="00572307">
            <w:pPr>
              <w:pStyle w:val="P68B1DB1-Normal12"/>
              <w:spacing w:after="0"/>
              <w:jc w:val="center"/>
              <w:rPr>
                <w:rFonts w:cs="Times New Roman"/>
                <w:noProof/>
              </w:rPr>
            </w:pPr>
            <w:r w:rsidRPr="00BC4EE7">
              <w:rPr>
                <w:rFonts w:cs="Times New Roman"/>
                <w:noProof/>
              </w:rPr>
              <w:t>Q4</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086B948B" w14:textId="77777777" w:rsidR="00D65CB4" w:rsidRPr="00BC4EE7" w:rsidRDefault="00572307">
            <w:pPr>
              <w:pStyle w:val="P68B1DB1-Normal12"/>
              <w:spacing w:after="0"/>
              <w:jc w:val="center"/>
              <w:rPr>
                <w:rFonts w:cs="Times New Roman"/>
                <w:noProof/>
              </w:rPr>
            </w:pPr>
            <w:r w:rsidRPr="00BC4EE7">
              <w:rPr>
                <w:rFonts w:cs="Times New Roman"/>
                <w:noProof/>
              </w:rPr>
              <w:t>2022</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6F3CE5A6" w14:textId="3B821A18" w:rsidR="00D65CB4" w:rsidRPr="00BC4EE7" w:rsidRDefault="00572307">
            <w:pPr>
              <w:pStyle w:val="P68B1DB1-Normal12"/>
              <w:spacing w:after="0" w:line="256" w:lineRule="auto"/>
              <w:rPr>
                <w:rFonts w:cs="Times New Roman"/>
                <w:noProof/>
              </w:rPr>
            </w:pPr>
            <w:r w:rsidRPr="00BC4EE7">
              <w:rPr>
                <w:rFonts w:cs="Times New Roman"/>
                <w:noProof/>
              </w:rPr>
              <w:t>Az 5G kiberbiztonságról szóló törvény magában foglalja és végrehajtja az 5G kiberbiztonságra vonatkozó uniós eszköztárra vonatkozó ajánlást.</w:t>
            </w:r>
          </w:p>
          <w:p w14:paraId="0E4311E3" w14:textId="77777777" w:rsidR="00D65CB4" w:rsidRPr="00BC4EE7" w:rsidRDefault="00572307">
            <w:pPr>
              <w:pStyle w:val="P68B1DB1-Normal12"/>
              <w:spacing w:after="0" w:line="256" w:lineRule="auto"/>
              <w:rPr>
                <w:rFonts w:cs="Times New Roman"/>
                <w:noProof/>
              </w:rPr>
            </w:pPr>
            <w:r w:rsidRPr="00BC4EE7">
              <w:rPr>
                <w:rFonts w:cs="Times New Roman"/>
                <w:noProof/>
              </w:rPr>
              <w:t>A törvénynek legalább a következő elemeket kell tartalmaznia:</w:t>
            </w:r>
          </w:p>
          <w:p w14:paraId="3E11D941" w14:textId="77777777" w:rsidR="00D65CB4" w:rsidRPr="00BC4EE7" w:rsidRDefault="00572307">
            <w:pPr>
              <w:pStyle w:val="P68B1DB1-Normal12"/>
              <w:spacing w:after="0" w:line="256" w:lineRule="auto"/>
              <w:rPr>
                <w:rFonts w:cs="Times New Roman"/>
                <w:noProof/>
              </w:rPr>
            </w:pPr>
            <w:r w:rsidRPr="00BC4EE7">
              <w:rPr>
                <w:rFonts w:cs="Times New Roman"/>
                <w:noProof/>
              </w:rPr>
              <w:t>– A távközlési szolgáltatókra vonatkozó biztonsági kockázatértékelési és -kezelési kötelezettségek; Az ellátási lánc diverzifikálására vonatkozó kötelezettségek a technológiai függőség elkerülése érdekében;</w:t>
            </w:r>
          </w:p>
          <w:p w14:paraId="4DC85766" w14:textId="77777777" w:rsidR="00D65CB4" w:rsidRPr="00BC4EE7" w:rsidRDefault="00572307">
            <w:pPr>
              <w:pStyle w:val="P68B1DB1-Normal12"/>
              <w:spacing w:after="0" w:line="256" w:lineRule="auto"/>
              <w:rPr>
                <w:rFonts w:cs="Times New Roman"/>
                <w:noProof/>
              </w:rPr>
            </w:pPr>
            <w:r w:rsidRPr="00BC4EE7">
              <w:rPr>
                <w:rFonts w:cs="Times New Roman"/>
                <w:noProof/>
              </w:rPr>
              <w:t xml:space="preserve">– A magas és közepes kockázatú értékesítők azonosítására szolgáló eszközök, valamint </w:t>
            </w:r>
          </w:p>
          <w:p w14:paraId="222E4215" w14:textId="19CDB428" w:rsidR="00D65CB4" w:rsidRPr="00BC4EE7" w:rsidRDefault="00572307">
            <w:pPr>
              <w:pStyle w:val="P68B1DB1-Normal12"/>
              <w:spacing w:after="0" w:line="256" w:lineRule="auto"/>
              <w:rPr>
                <w:rFonts w:cs="Times New Roman"/>
                <w:noProof/>
              </w:rPr>
            </w:pPr>
            <w:r w:rsidRPr="00BC4EE7">
              <w:rPr>
                <w:rFonts w:cs="Times New Roman"/>
                <w:noProof/>
              </w:rPr>
              <w:t>a használatukra vonatkozó esetleges korlátozások.</w:t>
            </w:r>
          </w:p>
        </w:tc>
      </w:tr>
      <w:tr w:rsidR="00D65CB4" w:rsidRPr="00BC4EE7" w14:paraId="5E7774A0" w14:textId="77777777" w:rsidTr="00BC4EE7">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09BD6ED0" w14:textId="77777777" w:rsidR="00D65CB4" w:rsidRPr="00BC4EE7" w:rsidRDefault="00572307">
            <w:pPr>
              <w:pStyle w:val="P68B1DB1-Normal12"/>
              <w:spacing w:after="0"/>
              <w:jc w:val="center"/>
              <w:rPr>
                <w:rFonts w:cs="Times New Roman"/>
                <w:noProof/>
              </w:rPr>
            </w:pPr>
            <w:r w:rsidRPr="00BC4EE7">
              <w:rPr>
                <w:rFonts w:cs="Times New Roman"/>
                <w:noProof/>
              </w:rPr>
              <w:t>236</w:t>
            </w:r>
          </w:p>
        </w:tc>
        <w:tc>
          <w:tcPr>
            <w:tcW w:w="952" w:type="dxa"/>
            <w:tcBorders>
              <w:top w:val="single" w:sz="4" w:space="0" w:color="auto"/>
              <w:left w:val="single" w:sz="4" w:space="0" w:color="auto"/>
              <w:bottom w:val="single" w:sz="4" w:space="0" w:color="auto"/>
              <w:right w:val="single" w:sz="4" w:space="0" w:color="auto"/>
            </w:tcBorders>
            <w:shd w:val="clear" w:color="auto" w:fill="C6EFCE"/>
            <w:noWrap/>
          </w:tcPr>
          <w:p w14:paraId="4350E4B3" w14:textId="77777777" w:rsidR="00D65CB4" w:rsidRPr="00BC4EE7" w:rsidRDefault="00572307">
            <w:pPr>
              <w:pStyle w:val="P68B1DB1-Normal12"/>
              <w:spacing w:after="0"/>
              <w:jc w:val="center"/>
              <w:rPr>
                <w:rFonts w:cs="Times New Roman"/>
                <w:noProof/>
              </w:rPr>
            </w:pPr>
            <w:r w:rsidRPr="00BC4EE7">
              <w:rPr>
                <w:rFonts w:cs="Times New Roman"/>
                <w:noProof/>
              </w:rPr>
              <w:t>C15.I1</w:t>
            </w:r>
          </w:p>
        </w:tc>
        <w:tc>
          <w:tcPr>
            <w:tcW w:w="1079" w:type="dxa"/>
            <w:tcBorders>
              <w:top w:val="single" w:sz="4" w:space="0" w:color="auto"/>
              <w:left w:val="single" w:sz="4" w:space="0" w:color="auto"/>
              <w:bottom w:val="single" w:sz="4" w:space="0" w:color="auto"/>
              <w:right w:val="single" w:sz="4" w:space="0" w:color="auto"/>
            </w:tcBorders>
            <w:shd w:val="clear" w:color="auto" w:fill="C6EFCE"/>
            <w:noWrap/>
          </w:tcPr>
          <w:p w14:paraId="11627747" w14:textId="77777777" w:rsidR="00D65CB4" w:rsidRPr="00BC4EE7" w:rsidRDefault="00572307">
            <w:pPr>
              <w:pStyle w:val="P68B1DB1-Normal12"/>
              <w:spacing w:after="0"/>
              <w:jc w:val="center"/>
              <w:rPr>
                <w:rFonts w:cs="Times New Roman"/>
                <w:noProof/>
              </w:rPr>
            </w:pPr>
            <w:r w:rsidRPr="00BC4EE7">
              <w:rPr>
                <w:rFonts w:cs="Times New Roman"/>
                <w:noProof/>
              </w:rPr>
              <w:t>M</w:t>
            </w:r>
          </w:p>
        </w:tc>
        <w:tc>
          <w:tcPr>
            <w:tcW w:w="2144" w:type="dxa"/>
            <w:tcBorders>
              <w:top w:val="single" w:sz="4" w:space="0" w:color="auto"/>
              <w:left w:val="single" w:sz="4" w:space="0" w:color="auto"/>
              <w:bottom w:val="single" w:sz="4" w:space="0" w:color="auto"/>
              <w:right w:val="single" w:sz="4" w:space="0" w:color="auto"/>
            </w:tcBorders>
            <w:shd w:val="clear" w:color="auto" w:fill="C6EFCE"/>
            <w:noWrap/>
          </w:tcPr>
          <w:p w14:paraId="0986A6E1" w14:textId="77777777" w:rsidR="00D65CB4" w:rsidRPr="00BC4EE7" w:rsidRDefault="00572307">
            <w:pPr>
              <w:pStyle w:val="P68B1DB1-Normal12"/>
              <w:spacing w:after="0"/>
              <w:rPr>
                <w:rFonts w:cs="Times New Roman"/>
                <w:noProof/>
              </w:rPr>
            </w:pPr>
            <w:r w:rsidRPr="00BC4EE7">
              <w:rPr>
                <w:rFonts w:cs="Times New Roman"/>
                <w:noProof/>
              </w:rPr>
              <w:t>Szupergyors széles sávú hálózat kiépítése: díj</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0DBCAF2D" w14:textId="77777777" w:rsidR="00D65CB4" w:rsidRPr="00BC4EE7" w:rsidRDefault="00572307">
            <w:pPr>
              <w:pStyle w:val="P68B1DB1-Normal12"/>
              <w:spacing w:after="0"/>
              <w:jc w:val="center"/>
              <w:rPr>
                <w:rFonts w:cs="Times New Roman"/>
                <w:noProof/>
              </w:rPr>
            </w:pPr>
            <w:r w:rsidRPr="00BC4EE7">
              <w:rPr>
                <w:rFonts w:cs="Times New Roman"/>
                <w:noProof/>
              </w:rPr>
              <w:t>A projektek odaítélése</w:t>
            </w:r>
          </w:p>
        </w:tc>
        <w:tc>
          <w:tcPr>
            <w:tcW w:w="697" w:type="dxa"/>
            <w:tcBorders>
              <w:top w:val="single" w:sz="4" w:space="0" w:color="auto"/>
              <w:left w:val="single" w:sz="4" w:space="0" w:color="auto"/>
              <w:bottom w:val="single" w:sz="4" w:space="0" w:color="auto"/>
              <w:right w:val="single" w:sz="4" w:space="0" w:color="auto"/>
            </w:tcBorders>
            <w:shd w:val="clear" w:color="auto" w:fill="C6EFCE"/>
            <w:noWrap/>
          </w:tcPr>
          <w:p w14:paraId="1A9915FC" w14:textId="77777777" w:rsidR="00D65CB4" w:rsidRPr="00BC4EE7" w:rsidRDefault="00572307">
            <w:pPr>
              <w:pStyle w:val="P68B1DB1-Normal12"/>
              <w:spacing w:after="0"/>
              <w:jc w:val="center"/>
              <w:rPr>
                <w:rFonts w:cs="Times New Roman"/>
                <w:noProof/>
              </w:rPr>
            </w:pPr>
            <w:r w:rsidRPr="00BC4EE7">
              <w:rPr>
                <w:rFonts w:cs="Times New Roman"/>
                <w:noProof/>
              </w:rPr>
              <w:t xml:space="preserve"> </w:t>
            </w:r>
          </w:p>
        </w:tc>
        <w:tc>
          <w:tcPr>
            <w:tcW w:w="974" w:type="dxa"/>
            <w:tcBorders>
              <w:top w:val="single" w:sz="4" w:space="0" w:color="auto"/>
              <w:left w:val="single" w:sz="4" w:space="0" w:color="auto"/>
              <w:bottom w:val="single" w:sz="4" w:space="0" w:color="auto"/>
              <w:right w:val="single" w:sz="4" w:space="0" w:color="auto"/>
            </w:tcBorders>
            <w:shd w:val="clear" w:color="auto" w:fill="C6EFCE"/>
            <w:noWrap/>
          </w:tcPr>
          <w:p w14:paraId="7DED26B5" w14:textId="77777777" w:rsidR="00D65CB4" w:rsidRPr="00BC4EE7" w:rsidRDefault="00572307">
            <w:pPr>
              <w:pStyle w:val="P68B1DB1-Normal12"/>
              <w:spacing w:after="0"/>
              <w:jc w:val="right"/>
              <w:rPr>
                <w:rFonts w:cs="Times New Roman"/>
                <w:noProof/>
              </w:rPr>
            </w:pPr>
            <w:r w:rsidRPr="00BC4EE7">
              <w:rPr>
                <w:rFonts w:cs="Times New Roman"/>
                <w:noProof/>
              </w:rPr>
              <w:t xml:space="preserve"> </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0DF2D682" w14:textId="77777777" w:rsidR="00D65CB4" w:rsidRPr="00BC4EE7" w:rsidRDefault="00572307">
            <w:pPr>
              <w:pStyle w:val="P68B1DB1-Normal12"/>
              <w:spacing w:after="0"/>
              <w:jc w:val="right"/>
              <w:rPr>
                <w:rFonts w:cs="Times New Roman"/>
                <w:noProof/>
              </w:rPr>
            </w:pPr>
            <w:r w:rsidRPr="00BC4EE7">
              <w:rPr>
                <w:rFonts w:cs="Times New Roman"/>
                <w:noProof/>
              </w:rPr>
              <w:t xml:space="preserve"> </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381BEA4E" w14:textId="77777777" w:rsidR="00D65CB4" w:rsidRPr="00BC4EE7" w:rsidRDefault="00572307">
            <w:pPr>
              <w:pStyle w:val="P68B1DB1-Normal12"/>
              <w:spacing w:after="0"/>
              <w:jc w:val="center"/>
              <w:rPr>
                <w:rFonts w:cs="Times New Roman"/>
                <w:noProof/>
              </w:rPr>
            </w:pPr>
            <w:r w:rsidRPr="00BC4EE7">
              <w:rPr>
                <w:rFonts w:cs="Times New Roman"/>
                <w:noProof/>
              </w:rPr>
              <w:t>Q4</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21F88B34" w14:textId="77777777" w:rsidR="00D65CB4" w:rsidRPr="00BC4EE7" w:rsidRDefault="00572307">
            <w:pPr>
              <w:pStyle w:val="P68B1DB1-Normal12"/>
              <w:spacing w:after="0"/>
              <w:jc w:val="center"/>
              <w:rPr>
                <w:rFonts w:cs="Times New Roman"/>
                <w:noProof/>
              </w:rPr>
            </w:pPr>
            <w:r w:rsidRPr="00BC4EE7">
              <w:rPr>
                <w:rFonts w:cs="Times New Roman"/>
                <w:noProof/>
              </w:rPr>
              <w:t>2023</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57010DB3" w14:textId="45276CA3" w:rsidR="00D65CB4" w:rsidRPr="00BC4EE7" w:rsidRDefault="00572307">
            <w:pPr>
              <w:pStyle w:val="P68B1DB1-Normal12"/>
              <w:spacing w:after="0" w:line="256" w:lineRule="auto"/>
              <w:rPr>
                <w:rFonts w:cs="Times New Roman"/>
                <w:noProof/>
              </w:rPr>
            </w:pPr>
            <w:r w:rsidRPr="00BC4EE7">
              <w:rPr>
                <w:rFonts w:cs="Times New Roman"/>
                <w:noProof/>
              </w:rPr>
              <w:t>Az összes szerződés és támogatás odaítélése (752 000 000 EUR teljes költségvetés), valamint forrásátcsoportosítás az ultragyors széles sávú kapcsolat biztosítására irányuló intézkedések</w:t>
            </w:r>
            <w:r w:rsidRPr="00BC4EE7">
              <w:rPr>
                <w:rFonts w:cs="Times New Roman"/>
                <w:noProof/>
                <w:shd w:val="clear" w:color="auto" w:fill="E6E6E6"/>
              </w:rPr>
              <w:t xml:space="preserve"> </w:t>
            </w:r>
            <w:r w:rsidRPr="00BC4EE7">
              <w:rPr>
                <w:rFonts w:cs="Times New Roman"/>
                <w:noProof/>
              </w:rPr>
              <w:t>végrehajtásához 300 Mbps szimmetrikus sebességgel, 1 Gbps-ra fejleszthető fehér és szürke területeken, kivéve a távoli vidéki területeket, ahol legalább 100 Mbps sebességet garantálnának.</w:t>
            </w:r>
          </w:p>
        </w:tc>
      </w:tr>
      <w:tr w:rsidR="00D65CB4" w:rsidRPr="00BC4EE7" w14:paraId="4B8434B3" w14:textId="77777777" w:rsidTr="00BC4EE7">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27C20DD8" w14:textId="77777777" w:rsidR="00D65CB4" w:rsidRPr="00BC4EE7" w:rsidRDefault="00572307">
            <w:pPr>
              <w:pStyle w:val="P68B1DB1-Normal12"/>
              <w:spacing w:after="0"/>
              <w:jc w:val="center"/>
              <w:rPr>
                <w:rFonts w:cs="Times New Roman"/>
                <w:noProof/>
              </w:rPr>
            </w:pPr>
            <w:r w:rsidRPr="00BC4EE7">
              <w:rPr>
                <w:rFonts w:cs="Times New Roman"/>
                <w:noProof/>
              </w:rPr>
              <w:t>237</w:t>
            </w:r>
          </w:p>
        </w:tc>
        <w:tc>
          <w:tcPr>
            <w:tcW w:w="952" w:type="dxa"/>
            <w:tcBorders>
              <w:top w:val="single" w:sz="4" w:space="0" w:color="auto"/>
              <w:left w:val="single" w:sz="4" w:space="0" w:color="auto"/>
              <w:bottom w:val="single" w:sz="4" w:space="0" w:color="auto"/>
              <w:right w:val="single" w:sz="4" w:space="0" w:color="auto"/>
            </w:tcBorders>
            <w:shd w:val="clear" w:color="auto" w:fill="C6EFCE"/>
            <w:noWrap/>
          </w:tcPr>
          <w:p w14:paraId="5A99EAA3" w14:textId="77777777" w:rsidR="00D65CB4" w:rsidRPr="00BC4EE7" w:rsidRDefault="00572307">
            <w:pPr>
              <w:pStyle w:val="P68B1DB1-Normal12"/>
              <w:spacing w:after="0"/>
              <w:jc w:val="center"/>
              <w:rPr>
                <w:rFonts w:cs="Times New Roman"/>
                <w:noProof/>
              </w:rPr>
            </w:pPr>
            <w:r w:rsidRPr="00BC4EE7">
              <w:rPr>
                <w:rFonts w:cs="Times New Roman"/>
                <w:noProof/>
              </w:rPr>
              <w:t>C15.I1</w:t>
            </w:r>
          </w:p>
        </w:tc>
        <w:tc>
          <w:tcPr>
            <w:tcW w:w="1079" w:type="dxa"/>
            <w:tcBorders>
              <w:top w:val="single" w:sz="4" w:space="0" w:color="auto"/>
              <w:left w:val="single" w:sz="4" w:space="0" w:color="auto"/>
              <w:bottom w:val="single" w:sz="4" w:space="0" w:color="auto"/>
              <w:right w:val="single" w:sz="4" w:space="0" w:color="auto"/>
            </w:tcBorders>
            <w:shd w:val="clear" w:color="auto" w:fill="C6EFCE"/>
            <w:noWrap/>
          </w:tcPr>
          <w:p w14:paraId="5DCB60E1" w14:textId="77777777" w:rsidR="00D65CB4" w:rsidRPr="00BC4EE7" w:rsidRDefault="00572307">
            <w:pPr>
              <w:pStyle w:val="P68B1DB1-Normal12"/>
              <w:spacing w:after="0"/>
              <w:jc w:val="center"/>
              <w:rPr>
                <w:rFonts w:cs="Times New Roman"/>
                <w:noProof/>
              </w:rPr>
            </w:pPr>
            <w:r w:rsidRPr="00BC4EE7">
              <w:rPr>
                <w:rFonts w:cs="Times New Roman"/>
                <w:noProof/>
              </w:rPr>
              <w:t>M</w:t>
            </w:r>
          </w:p>
        </w:tc>
        <w:tc>
          <w:tcPr>
            <w:tcW w:w="2144" w:type="dxa"/>
            <w:tcBorders>
              <w:top w:val="single" w:sz="4" w:space="0" w:color="auto"/>
              <w:left w:val="single" w:sz="4" w:space="0" w:color="auto"/>
              <w:bottom w:val="single" w:sz="4" w:space="0" w:color="auto"/>
              <w:right w:val="single" w:sz="4" w:space="0" w:color="auto"/>
            </w:tcBorders>
            <w:shd w:val="clear" w:color="auto" w:fill="C6EFCE"/>
            <w:noWrap/>
          </w:tcPr>
          <w:p w14:paraId="5E5086A1" w14:textId="77777777" w:rsidR="00D65CB4" w:rsidRPr="00BC4EE7" w:rsidRDefault="00572307">
            <w:pPr>
              <w:pStyle w:val="P68B1DB1-Normal12"/>
              <w:spacing w:after="0"/>
              <w:rPr>
                <w:rFonts w:cs="Times New Roman"/>
                <w:noProof/>
              </w:rPr>
            </w:pPr>
            <w:r w:rsidRPr="00BC4EE7">
              <w:rPr>
                <w:rFonts w:cs="Times New Roman"/>
                <w:noProof/>
              </w:rPr>
              <w:t>Szupergyors széles sávú hálózat kiépítése: A projekt lezárása</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5249C819" w14:textId="77777777" w:rsidR="00D65CB4" w:rsidRPr="00BC4EE7" w:rsidRDefault="00572307">
            <w:pPr>
              <w:pStyle w:val="P68B1DB1-Normal12"/>
              <w:spacing w:after="0"/>
              <w:jc w:val="center"/>
              <w:rPr>
                <w:rFonts w:cs="Times New Roman"/>
                <w:noProof/>
              </w:rPr>
            </w:pPr>
            <w:r w:rsidRPr="00BC4EE7">
              <w:rPr>
                <w:rFonts w:cs="Times New Roman"/>
                <w:noProof/>
              </w:rPr>
              <w:t>Az odaítélt projektek lezárása</w:t>
            </w:r>
          </w:p>
        </w:tc>
        <w:tc>
          <w:tcPr>
            <w:tcW w:w="697" w:type="dxa"/>
            <w:tcBorders>
              <w:top w:val="single" w:sz="4" w:space="0" w:color="auto"/>
              <w:left w:val="single" w:sz="4" w:space="0" w:color="auto"/>
              <w:bottom w:val="single" w:sz="4" w:space="0" w:color="auto"/>
              <w:right w:val="single" w:sz="4" w:space="0" w:color="auto"/>
            </w:tcBorders>
            <w:shd w:val="clear" w:color="auto" w:fill="C6EFCE"/>
            <w:noWrap/>
          </w:tcPr>
          <w:p w14:paraId="738E395A" w14:textId="77777777" w:rsidR="00D65CB4" w:rsidRPr="00BC4EE7" w:rsidRDefault="00572307">
            <w:pPr>
              <w:pStyle w:val="P68B1DB1-Normal12"/>
              <w:spacing w:after="0"/>
              <w:jc w:val="center"/>
              <w:rPr>
                <w:rFonts w:cs="Times New Roman"/>
                <w:noProof/>
              </w:rPr>
            </w:pPr>
            <w:r w:rsidRPr="00BC4EE7">
              <w:rPr>
                <w:rFonts w:cs="Times New Roman"/>
                <w:noProof/>
              </w:rPr>
              <w:t xml:space="preserve"> </w:t>
            </w:r>
          </w:p>
        </w:tc>
        <w:tc>
          <w:tcPr>
            <w:tcW w:w="974" w:type="dxa"/>
            <w:tcBorders>
              <w:top w:val="single" w:sz="4" w:space="0" w:color="auto"/>
              <w:left w:val="single" w:sz="4" w:space="0" w:color="auto"/>
              <w:bottom w:val="single" w:sz="4" w:space="0" w:color="auto"/>
              <w:right w:val="single" w:sz="4" w:space="0" w:color="auto"/>
            </w:tcBorders>
            <w:shd w:val="clear" w:color="auto" w:fill="C6EFCE"/>
            <w:noWrap/>
          </w:tcPr>
          <w:p w14:paraId="323B1C78" w14:textId="77777777" w:rsidR="00D65CB4" w:rsidRPr="00BC4EE7" w:rsidRDefault="00572307">
            <w:pPr>
              <w:pStyle w:val="P68B1DB1-Normal12"/>
              <w:spacing w:after="0"/>
              <w:jc w:val="right"/>
              <w:rPr>
                <w:rFonts w:cs="Times New Roman"/>
                <w:noProof/>
              </w:rPr>
            </w:pPr>
            <w:r w:rsidRPr="00BC4EE7">
              <w:rPr>
                <w:rFonts w:cs="Times New Roman"/>
                <w:noProof/>
              </w:rPr>
              <w:t xml:space="preserve"> </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20BFFB4A" w14:textId="77777777" w:rsidR="00D65CB4" w:rsidRPr="00BC4EE7" w:rsidRDefault="00572307">
            <w:pPr>
              <w:pStyle w:val="P68B1DB1-Normal12"/>
              <w:spacing w:after="0"/>
              <w:jc w:val="right"/>
              <w:rPr>
                <w:rFonts w:cs="Times New Roman"/>
                <w:noProof/>
              </w:rPr>
            </w:pPr>
            <w:r w:rsidRPr="00BC4EE7">
              <w:rPr>
                <w:rFonts w:cs="Times New Roman"/>
                <w:noProof/>
              </w:rPr>
              <w:t xml:space="preserve"> </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00181B9B" w14:textId="77777777" w:rsidR="00D65CB4" w:rsidRPr="00BC4EE7" w:rsidRDefault="00572307">
            <w:pPr>
              <w:pStyle w:val="P68B1DB1-Normal12"/>
              <w:spacing w:after="0"/>
              <w:jc w:val="center"/>
              <w:rPr>
                <w:rFonts w:cs="Times New Roman"/>
                <w:noProof/>
              </w:rPr>
            </w:pPr>
            <w:r w:rsidRPr="00BC4EE7">
              <w:rPr>
                <w:rFonts w:cs="Times New Roman"/>
                <w:noProof/>
              </w:rPr>
              <w:t>Q4</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37E7B4FE" w14:textId="77777777" w:rsidR="00D65CB4" w:rsidRPr="00BC4EE7" w:rsidRDefault="00572307">
            <w:pPr>
              <w:pStyle w:val="P68B1DB1-Normal12"/>
              <w:spacing w:after="0"/>
              <w:jc w:val="center"/>
              <w:rPr>
                <w:rFonts w:cs="Times New Roman"/>
                <w:noProof/>
              </w:rPr>
            </w:pPr>
            <w:r w:rsidRPr="00BC4EE7">
              <w:rPr>
                <w:rFonts w:cs="Times New Roman"/>
                <w:noProof/>
              </w:rPr>
              <w:t>2025</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4F174A24" w14:textId="77777777" w:rsidR="00D65CB4" w:rsidRPr="00BC4EE7" w:rsidRDefault="00572307">
            <w:pPr>
              <w:pStyle w:val="P68B1DB1-Normal12"/>
              <w:spacing w:after="0" w:line="256" w:lineRule="auto"/>
              <w:rPr>
                <w:rFonts w:cs="Times New Roman"/>
                <w:noProof/>
              </w:rPr>
            </w:pPr>
            <w:r w:rsidRPr="00BC4EE7">
              <w:rPr>
                <w:rFonts w:cs="Times New Roman"/>
                <w:noProof/>
              </w:rPr>
              <w:t>Az ultragyors széles sávú hálózatok kiépítésére irányuló projektek lezárása a program odaítélésében meghatározott kritériumoknak megfelelően (#236. mérföldkő).</w:t>
            </w:r>
          </w:p>
        </w:tc>
      </w:tr>
      <w:tr w:rsidR="00D65CB4" w:rsidRPr="00BC4EE7" w14:paraId="11EB6E5C" w14:textId="77777777" w:rsidTr="00BC4EE7">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29E686E7" w14:textId="77777777" w:rsidR="00D65CB4" w:rsidRPr="00BC4EE7" w:rsidRDefault="00572307">
            <w:pPr>
              <w:pStyle w:val="P68B1DB1-Normal12"/>
              <w:spacing w:after="0" w:line="256" w:lineRule="auto"/>
              <w:jc w:val="center"/>
              <w:rPr>
                <w:rFonts w:cs="Times New Roman"/>
                <w:noProof/>
              </w:rPr>
            </w:pPr>
            <w:r w:rsidRPr="00BC4EE7">
              <w:rPr>
                <w:rFonts w:cs="Times New Roman"/>
                <w:noProof/>
              </w:rPr>
              <w:t>238</w:t>
            </w:r>
          </w:p>
        </w:tc>
        <w:tc>
          <w:tcPr>
            <w:tcW w:w="952" w:type="dxa"/>
            <w:tcBorders>
              <w:top w:val="single" w:sz="4" w:space="0" w:color="auto"/>
              <w:left w:val="single" w:sz="4" w:space="0" w:color="auto"/>
              <w:bottom w:val="single" w:sz="4" w:space="0" w:color="auto"/>
              <w:right w:val="single" w:sz="4" w:space="0" w:color="auto"/>
            </w:tcBorders>
            <w:shd w:val="clear" w:color="auto" w:fill="C6EFCE"/>
            <w:noWrap/>
          </w:tcPr>
          <w:p w14:paraId="0BD21786" w14:textId="77777777" w:rsidR="00D65CB4" w:rsidRPr="00BC4EE7" w:rsidRDefault="00572307">
            <w:pPr>
              <w:pStyle w:val="P68B1DB1-Normal12"/>
              <w:spacing w:after="0" w:line="256" w:lineRule="auto"/>
              <w:jc w:val="center"/>
              <w:rPr>
                <w:rFonts w:cs="Times New Roman"/>
                <w:noProof/>
              </w:rPr>
            </w:pPr>
            <w:r w:rsidRPr="00BC4EE7">
              <w:rPr>
                <w:rFonts w:cs="Times New Roman"/>
                <w:noProof/>
              </w:rPr>
              <w:t>C15.I2</w:t>
            </w:r>
          </w:p>
        </w:tc>
        <w:tc>
          <w:tcPr>
            <w:tcW w:w="1079" w:type="dxa"/>
            <w:tcBorders>
              <w:top w:val="single" w:sz="4" w:space="0" w:color="auto"/>
              <w:left w:val="single" w:sz="4" w:space="0" w:color="auto"/>
              <w:bottom w:val="single" w:sz="4" w:space="0" w:color="auto"/>
              <w:right w:val="single" w:sz="4" w:space="0" w:color="auto"/>
            </w:tcBorders>
            <w:shd w:val="clear" w:color="auto" w:fill="C6EFCE"/>
            <w:noWrap/>
          </w:tcPr>
          <w:p w14:paraId="15DD2DB9" w14:textId="77777777" w:rsidR="00D65CB4" w:rsidRPr="00BC4EE7" w:rsidRDefault="00572307">
            <w:pPr>
              <w:pStyle w:val="P68B1DB1-Normal12"/>
              <w:spacing w:after="0" w:line="256" w:lineRule="auto"/>
              <w:jc w:val="center"/>
              <w:rPr>
                <w:rFonts w:cs="Times New Roman"/>
                <w:noProof/>
              </w:rPr>
            </w:pPr>
            <w:r w:rsidRPr="00BC4EE7">
              <w:rPr>
                <w:rFonts w:cs="Times New Roman"/>
                <w:noProof/>
              </w:rPr>
              <w:t>T</w:t>
            </w:r>
          </w:p>
        </w:tc>
        <w:tc>
          <w:tcPr>
            <w:tcW w:w="2144" w:type="dxa"/>
            <w:tcBorders>
              <w:top w:val="single" w:sz="4" w:space="0" w:color="auto"/>
              <w:left w:val="single" w:sz="4" w:space="0" w:color="auto"/>
              <w:bottom w:val="single" w:sz="4" w:space="0" w:color="auto"/>
              <w:right w:val="single" w:sz="4" w:space="0" w:color="auto"/>
            </w:tcBorders>
            <w:shd w:val="clear" w:color="auto" w:fill="C6EFCE"/>
            <w:noWrap/>
          </w:tcPr>
          <w:p w14:paraId="612FD4F7" w14:textId="77777777" w:rsidR="00D65CB4" w:rsidRPr="00BC4EE7" w:rsidRDefault="00572307">
            <w:pPr>
              <w:pStyle w:val="P68B1DB1-Normal12"/>
              <w:spacing w:after="0" w:line="256" w:lineRule="auto"/>
              <w:rPr>
                <w:rFonts w:cs="Times New Roman"/>
                <w:noProof/>
              </w:rPr>
            </w:pPr>
            <w:r w:rsidRPr="00BC4EE7">
              <w:rPr>
                <w:rFonts w:cs="Times New Roman"/>
                <w:noProof/>
              </w:rPr>
              <w:t xml:space="preserve">A konnektivitás javítása a kulcsfontosságú központokban és ágazatokban </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030A01DE" w14:textId="77777777" w:rsidR="00D65CB4" w:rsidRPr="00BC4EE7" w:rsidRDefault="00572307">
            <w:pPr>
              <w:pStyle w:val="P68B1DB1-Normal12"/>
              <w:spacing w:after="0" w:line="256" w:lineRule="auto"/>
              <w:jc w:val="center"/>
              <w:rPr>
                <w:rFonts w:cs="Times New Roman"/>
                <w:noProof/>
              </w:rPr>
            </w:pPr>
            <w:r w:rsidRPr="00BC4EE7">
              <w:rPr>
                <w:rFonts w:cs="Times New Roman"/>
                <w:noProof/>
              </w:rPr>
              <w:t>–</w:t>
            </w:r>
          </w:p>
        </w:tc>
        <w:tc>
          <w:tcPr>
            <w:tcW w:w="697" w:type="dxa"/>
            <w:tcBorders>
              <w:top w:val="single" w:sz="4" w:space="0" w:color="auto"/>
              <w:left w:val="single" w:sz="4" w:space="0" w:color="auto"/>
              <w:bottom w:val="single" w:sz="4" w:space="0" w:color="auto"/>
              <w:right w:val="single" w:sz="4" w:space="0" w:color="auto"/>
            </w:tcBorders>
            <w:shd w:val="clear" w:color="auto" w:fill="C6EFCE"/>
            <w:noWrap/>
          </w:tcPr>
          <w:p w14:paraId="31F657F9" w14:textId="77777777" w:rsidR="00D65CB4" w:rsidRPr="00BC4EE7" w:rsidRDefault="00572307">
            <w:pPr>
              <w:pStyle w:val="P68B1DB1-Normal12"/>
              <w:spacing w:after="0" w:line="256" w:lineRule="auto"/>
              <w:jc w:val="center"/>
              <w:rPr>
                <w:rFonts w:cs="Times New Roman"/>
                <w:noProof/>
              </w:rPr>
            </w:pPr>
            <w:r w:rsidRPr="00BC4EE7">
              <w:rPr>
                <w:rFonts w:cs="Times New Roman"/>
                <w:noProof/>
              </w:rPr>
              <w:t>Szám</w:t>
            </w:r>
          </w:p>
        </w:tc>
        <w:tc>
          <w:tcPr>
            <w:tcW w:w="974" w:type="dxa"/>
            <w:tcBorders>
              <w:top w:val="single" w:sz="4" w:space="0" w:color="auto"/>
              <w:left w:val="single" w:sz="4" w:space="0" w:color="auto"/>
              <w:bottom w:val="single" w:sz="4" w:space="0" w:color="auto"/>
              <w:right w:val="single" w:sz="4" w:space="0" w:color="auto"/>
            </w:tcBorders>
            <w:shd w:val="clear" w:color="auto" w:fill="C6EFCE"/>
            <w:noWrap/>
          </w:tcPr>
          <w:p w14:paraId="5299B962" w14:textId="77777777" w:rsidR="00D65CB4" w:rsidRPr="00BC4EE7" w:rsidRDefault="00572307">
            <w:pPr>
              <w:pStyle w:val="P68B1DB1-Normal12"/>
              <w:spacing w:after="0" w:line="256" w:lineRule="auto"/>
              <w:jc w:val="center"/>
              <w:rPr>
                <w:rFonts w:cs="Times New Roman"/>
                <w:noProof/>
              </w:rPr>
            </w:pPr>
            <w:r w:rsidRPr="00BC4EE7">
              <w:rPr>
                <w:rFonts w:cs="Times New Roman"/>
                <w:noProof/>
              </w:rPr>
              <w:t>0</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6E69D1D8" w14:textId="77777777" w:rsidR="00D65CB4" w:rsidRPr="00BC4EE7" w:rsidRDefault="00572307">
            <w:pPr>
              <w:pStyle w:val="P68B1DB1-Normal12"/>
              <w:spacing w:after="0" w:line="256" w:lineRule="auto"/>
              <w:jc w:val="center"/>
              <w:rPr>
                <w:rFonts w:cs="Times New Roman"/>
                <w:noProof/>
              </w:rPr>
            </w:pPr>
            <w:r w:rsidRPr="00BC4EE7">
              <w:rPr>
                <w:rFonts w:cs="Times New Roman"/>
                <w:noProof/>
              </w:rPr>
              <w:t>16 100</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6CA4453A" w14:textId="77777777" w:rsidR="00D65CB4" w:rsidRPr="00BC4EE7" w:rsidRDefault="00572307">
            <w:pPr>
              <w:pStyle w:val="P68B1DB1-Normal12"/>
              <w:spacing w:after="0" w:line="256" w:lineRule="auto"/>
              <w:jc w:val="center"/>
              <w:rPr>
                <w:rFonts w:cs="Times New Roman"/>
                <w:noProof/>
              </w:rPr>
            </w:pPr>
            <w:r w:rsidRPr="00BC4EE7">
              <w:rPr>
                <w:rFonts w:cs="Times New Roman"/>
                <w:noProof/>
              </w:rPr>
              <w:t>Q4</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7500A25A" w14:textId="77777777" w:rsidR="00D65CB4" w:rsidRPr="00BC4EE7" w:rsidRDefault="00572307">
            <w:pPr>
              <w:pStyle w:val="P68B1DB1-Normal12"/>
              <w:spacing w:after="0" w:line="256" w:lineRule="auto"/>
              <w:jc w:val="center"/>
              <w:rPr>
                <w:rFonts w:cs="Times New Roman"/>
                <w:noProof/>
              </w:rPr>
            </w:pPr>
            <w:r w:rsidRPr="00BC4EE7">
              <w:rPr>
                <w:rFonts w:cs="Times New Roman"/>
                <w:noProof/>
              </w:rPr>
              <w:t>2024</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34614045" w14:textId="147F9437" w:rsidR="00D65CB4" w:rsidRPr="00BC4EE7" w:rsidRDefault="00572307">
            <w:pPr>
              <w:spacing w:after="0" w:line="256" w:lineRule="auto"/>
              <w:rPr>
                <w:rFonts w:ascii="Times New Roman" w:hAnsi="Times New Roman" w:cs="Times New Roman"/>
                <w:noProof/>
                <w:sz w:val="18"/>
              </w:rPr>
            </w:pPr>
            <w:r w:rsidRPr="00BC4EE7">
              <w:rPr>
                <w:rFonts w:ascii="Times New Roman" w:hAnsi="Times New Roman" w:cs="Times New Roman"/>
                <w:noProof/>
                <w:sz w:val="18"/>
              </w:rPr>
              <w:t>1 gigabites konnektivitási sebességre korszerűsített szervezetek száma:</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legalább 9000 állami központ és szolgáltatás, például közegészségügyi központok, oktatási és képzési központok, valamint K+F központok;</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legalább 1600 kis ipari és üzleti telephely;</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legalább 5500 összeköttetést biztosítottak a digitalizálási projektekhez (egészségügy, agrár-élelmiszeripar, mobilitás, idegenforgalom, ipar, kereskedelem stb.).</w:t>
            </w:r>
          </w:p>
        </w:tc>
      </w:tr>
      <w:tr w:rsidR="00D65CB4" w:rsidRPr="00BC4EE7" w14:paraId="411FCCE6" w14:textId="77777777" w:rsidTr="00BC4EE7">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0FF58A5A" w14:textId="77777777" w:rsidR="00D65CB4" w:rsidRPr="00BC4EE7" w:rsidRDefault="00572307">
            <w:pPr>
              <w:pStyle w:val="P68B1DB1-Normal12"/>
              <w:spacing w:after="0" w:line="256" w:lineRule="auto"/>
              <w:jc w:val="center"/>
              <w:rPr>
                <w:rFonts w:cs="Times New Roman"/>
                <w:noProof/>
              </w:rPr>
            </w:pPr>
            <w:r w:rsidRPr="00BC4EE7">
              <w:rPr>
                <w:rFonts w:cs="Times New Roman"/>
                <w:noProof/>
              </w:rPr>
              <w:t>239</w:t>
            </w:r>
          </w:p>
        </w:tc>
        <w:tc>
          <w:tcPr>
            <w:tcW w:w="952" w:type="dxa"/>
            <w:tcBorders>
              <w:top w:val="single" w:sz="4" w:space="0" w:color="auto"/>
              <w:left w:val="single" w:sz="4" w:space="0" w:color="auto"/>
              <w:bottom w:val="single" w:sz="4" w:space="0" w:color="auto"/>
              <w:right w:val="single" w:sz="4" w:space="0" w:color="auto"/>
            </w:tcBorders>
            <w:shd w:val="clear" w:color="auto" w:fill="C6EFCE"/>
            <w:noWrap/>
          </w:tcPr>
          <w:p w14:paraId="59C96ABF" w14:textId="77777777" w:rsidR="00D65CB4" w:rsidRPr="00BC4EE7" w:rsidRDefault="00572307">
            <w:pPr>
              <w:pStyle w:val="P68B1DB1-Normal12"/>
              <w:spacing w:after="0" w:line="256" w:lineRule="auto"/>
              <w:jc w:val="center"/>
              <w:rPr>
                <w:rFonts w:cs="Times New Roman"/>
                <w:noProof/>
              </w:rPr>
            </w:pPr>
            <w:r w:rsidRPr="00BC4EE7">
              <w:rPr>
                <w:rFonts w:cs="Times New Roman"/>
                <w:noProof/>
              </w:rPr>
              <w:t>C15.I3</w:t>
            </w:r>
          </w:p>
        </w:tc>
        <w:tc>
          <w:tcPr>
            <w:tcW w:w="1079" w:type="dxa"/>
            <w:tcBorders>
              <w:top w:val="single" w:sz="4" w:space="0" w:color="auto"/>
              <w:left w:val="single" w:sz="4" w:space="0" w:color="auto"/>
              <w:bottom w:val="single" w:sz="4" w:space="0" w:color="auto"/>
              <w:right w:val="single" w:sz="4" w:space="0" w:color="auto"/>
            </w:tcBorders>
            <w:shd w:val="clear" w:color="auto" w:fill="C6EFCE"/>
            <w:noWrap/>
          </w:tcPr>
          <w:p w14:paraId="1F11093D" w14:textId="77777777" w:rsidR="00D65CB4" w:rsidRPr="00BC4EE7" w:rsidRDefault="00572307">
            <w:pPr>
              <w:pStyle w:val="P68B1DB1-Normal12"/>
              <w:spacing w:after="0" w:line="256" w:lineRule="auto"/>
              <w:jc w:val="center"/>
              <w:rPr>
                <w:rFonts w:cs="Times New Roman"/>
                <w:noProof/>
              </w:rPr>
            </w:pPr>
            <w:r w:rsidRPr="00BC4EE7">
              <w:rPr>
                <w:rFonts w:cs="Times New Roman"/>
                <w:noProof/>
              </w:rPr>
              <w:t>T</w:t>
            </w:r>
          </w:p>
        </w:tc>
        <w:tc>
          <w:tcPr>
            <w:tcW w:w="2144" w:type="dxa"/>
            <w:tcBorders>
              <w:top w:val="single" w:sz="4" w:space="0" w:color="auto"/>
              <w:left w:val="single" w:sz="4" w:space="0" w:color="auto"/>
              <w:bottom w:val="single" w:sz="4" w:space="0" w:color="auto"/>
              <w:right w:val="single" w:sz="4" w:space="0" w:color="auto"/>
            </w:tcBorders>
            <w:shd w:val="clear" w:color="auto" w:fill="C6EFCE"/>
            <w:noWrap/>
          </w:tcPr>
          <w:p w14:paraId="6B9C398E" w14:textId="77777777" w:rsidR="00D65CB4" w:rsidRPr="00BC4EE7" w:rsidRDefault="00572307">
            <w:pPr>
              <w:pStyle w:val="P68B1DB1-Normal12"/>
              <w:spacing w:after="0" w:line="256" w:lineRule="auto"/>
              <w:rPr>
                <w:rFonts w:cs="Times New Roman"/>
                <w:noProof/>
              </w:rPr>
            </w:pPr>
            <w:r w:rsidRPr="00BC4EE7">
              <w:rPr>
                <w:rFonts w:cs="Times New Roman"/>
                <w:noProof/>
              </w:rPr>
              <w:t xml:space="preserve">Konnektivitási utalványok kkv-k és kiszolgáltatott csoportok számára </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6358F8F7" w14:textId="77777777" w:rsidR="00D65CB4" w:rsidRPr="00BC4EE7" w:rsidRDefault="00572307">
            <w:pPr>
              <w:pStyle w:val="P68B1DB1-Normal12"/>
              <w:spacing w:after="0" w:line="256" w:lineRule="auto"/>
              <w:jc w:val="center"/>
              <w:rPr>
                <w:rFonts w:cs="Times New Roman"/>
                <w:noProof/>
              </w:rPr>
            </w:pPr>
            <w:r w:rsidRPr="00BC4EE7">
              <w:rPr>
                <w:rFonts w:cs="Times New Roman"/>
                <w:noProof/>
              </w:rPr>
              <w:t>–</w:t>
            </w:r>
          </w:p>
        </w:tc>
        <w:tc>
          <w:tcPr>
            <w:tcW w:w="697" w:type="dxa"/>
            <w:tcBorders>
              <w:top w:val="single" w:sz="4" w:space="0" w:color="auto"/>
              <w:left w:val="single" w:sz="4" w:space="0" w:color="auto"/>
              <w:bottom w:val="single" w:sz="4" w:space="0" w:color="auto"/>
              <w:right w:val="single" w:sz="4" w:space="0" w:color="auto"/>
            </w:tcBorders>
            <w:shd w:val="clear" w:color="auto" w:fill="C6EFCE"/>
            <w:noWrap/>
          </w:tcPr>
          <w:p w14:paraId="675409A6" w14:textId="77777777" w:rsidR="00D65CB4" w:rsidRPr="00BC4EE7" w:rsidRDefault="00572307">
            <w:pPr>
              <w:pStyle w:val="P68B1DB1-Normal12"/>
              <w:spacing w:after="0" w:line="256" w:lineRule="auto"/>
              <w:rPr>
                <w:rFonts w:cs="Times New Roman"/>
                <w:noProof/>
              </w:rPr>
            </w:pPr>
            <w:r w:rsidRPr="00BC4EE7">
              <w:rPr>
                <w:rFonts w:cs="Times New Roman"/>
                <w:noProof/>
              </w:rPr>
              <w:t>Szám</w:t>
            </w:r>
          </w:p>
        </w:tc>
        <w:tc>
          <w:tcPr>
            <w:tcW w:w="974" w:type="dxa"/>
            <w:tcBorders>
              <w:top w:val="single" w:sz="4" w:space="0" w:color="auto"/>
              <w:left w:val="single" w:sz="4" w:space="0" w:color="auto"/>
              <w:bottom w:val="single" w:sz="4" w:space="0" w:color="auto"/>
              <w:right w:val="single" w:sz="4" w:space="0" w:color="auto"/>
            </w:tcBorders>
            <w:shd w:val="clear" w:color="auto" w:fill="C6EFCE"/>
            <w:noWrap/>
          </w:tcPr>
          <w:p w14:paraId="1E03110E" w14:textId="77777777" w:rsidR="00D65CB4" w:rsidRPr="00BC4EE7" w:rsidRDefault="00572307">
            <w:pPr>
              <w:pStyle w:val="P68B1DB1-Normal12"/>
              <w:spacing w:after="0" w:line="256" w:lineRule="auto"/>
              <w:jc w:val="center"/>
              <w:rPr>
                <w:rFonts w:cs="Times New Roman"/>
                <w:noProof/>
              </w:rPr>
            </w:pPr>
            <w:r w:rsidRPr="00BC4EE7">
              <w:rPr>
                <w:rFonts w:cs="Times New Roman"/>
                <w:noProof/>
              </w:rPr>
              <w:t>0</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76B20134" w14:textId="77777777" w:rsidR="00D65CB4" w:rsidRPr="00BC4EE7" w:rsidRDefault="00572307">
            <w:pPr>
              <w:pStyle w:val="P68B1DB1-Normal12"/>
              <w:spacing w:after="0" w:line="256" w:lineRule="auto"/>
              <w:jc w:val="center"/>
              <w:rPr>
                <w:rFonts w:cs="Times New Roman"/>
                <w:noProof/>
              </w:rPr>
            </w:pPr>
            <w:r w:rsidRPr="00BC4EE7">
              <w:rPr>
                <w:rFonts w:cs="Times New Roman"/>
                <w:noProof/>
              </w:rPr>
              <w:t>136 000</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25E50DCC" w14:textId="77777777" w:rsidR="00D65CB4" w:rsidRPr="00BC4EE7" w:rsidRDefault="00572307">
            <w:pPr>
              <w:pStyle w:val="P68B1DB1-Normal12"/>
              <w:spacing w:after="0" w:line="256" w:lineRule="auto"/>
              <w:jc w:val="center"/>
              <w:rPr>
                <w:rFonts w:cs="Times New Roman"/>
                <w:noProof/>
              </w:rPr>
            </w:pPr>
            <w:r w:rsidRPr="00BC4EE7">
              <w:rPr>
                <w:rFonts w:cs="Times New Roman"/>
                <w:noProof/>
              </w:rPr>
              <w:t>Q4</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5F4EFFC8" w14:textId="583E4ACB" w:rsidR="00D65CB4" w:rsidRPr="00BC4EE7" w:rsidRDefault="00572307">
            <w:pPr>
              <w:pStyle w:val="P68B1DB1-Normal12"/>
              <w:spacing w:after="0" w:line="256" w:lineRule="auto"/>
              <w:jc w:val="center"/>
              <w:rPr>
                <w:rFonts w:cs="Times New Roman"/>
                <w:noProof/>
              </w:rPr>
            </w:pPr>
            <w:r w:rsidRPr="00BC4EE7">
              <w:rPr>
                <w:rFonts w:cs="Times New Roman"/>
                <w:noProof/>
              </w:rPr>
              <w:t>2024</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74B79018" w14:textId="77777777" w:rsidR="00D65CB4" w:rsidRPr="00BC4EE7" w:rsidRDefault="00572307">
            <w:pPr>
              <w:pStyle w:val="P68B1DB1-Normal12"/>
              <w:spacing w:after="0" w:line="256" w:lineRule="auto"/>
              <w:rPr>
                <w:rFonts w:cs="Times New Roman"/>
                <w:noProof/>
              </w:rPr>
            </w:pPr>
            <w:r w:rsidRPr="00BC4EE7">
              <w:rPr>
                <w:rFonts w:cs="Times New Roman"/>
                <w:noProof/>
              </w:rPr>
              <w:t>Legalább 125000 konnektivitási utalvány a „sebezhetőnek” minősített egyének vagy családok számára (a legmegfelelőbb technológiával való széles sávú kapcsolatra vonatkozó csomag beszerzése céljából), és legalább 11000 konnektivitási utalvány kkv-k számára (az utalványoknak két különálló elemből kell állniuk: 100 Mbps sebességű kapcsolatból és hozzáadott értéket képviselő szolgáltatásokból, VPN-ből, kiberbiztonságból).</w:t>
            </w:r>
          </w:p>
        </w:tc>
      </w:tr>
      <w:tr w:rsidR="00D65CB4" w:rsidRPr="00BC4EE7" w14:paraId="7635A7D6" w14:textId="77777777" w:rsidTr="00BC4EE7">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7C0467D8" w14:textId="77777777" w:rsidR="00D65CB4" w:rsidRPr="00BC4EE7" w:rsidRDefault="00572307">
            <w:pPr>
              <w:pStyle w:val="P68B1DB1-Normal12"/>
              <w:jc w:val="center"/>
              <w:rPr>
                <w:rFonts w:cs="Times New Roman"/>
                <w:noProof/>
              </w:rPr>
            </w:pPr>
            <w:r w:rsidRPr="00BC4EE7">
              <w:rPr>
                <w:rFonts w:cs="Times New Roman"/>
                <w:noProof/>
              </w:rPr>
              <w:t>240</w:t>
            </w:r>
          </w:p>
        </w:tc>
        <w:tc>
          <w:tcPr>
            <w:tcW w:w="952" w:type="dxa"/>
            <w:tcBorders>
              <w:top w:val="single" w:sz="4" w:space="0" w:color="auto"/>
              <w:left w:val="single" w:sz="4" w:space="0" w:color="auto"/>
              <w:bottom w:val="single" w:sz="4" w:space="0" w:color="auto"/>
              <w:right w:val="single" w:sz="4" w:space="0" w:color="auto"/>
            </w:tcBorders>
            <w:shd w:val="clear" w:color="auto" w:fill="C6EFCE"/>
            <w:noWrap/>
          </w:tcPr>
          <w:p w14:paraId="5010D6EF" w14:textId="77777777" w:rsidR="00D65CB4" w:rsidRPr="00BC4EE7" w:rsidRDefault="00572307">
            <w:pPr>
              <w:pStyle w:val="P68B1DB1-Normal12"/>
              <w:jc w:val="center"/>
              <w:rPr>
                <w:rFonts w:cs="Times New Roman"/>
                <w:noProof/>
              </w:rPr>
            </w:pPr>
            <w:r w:rsidRPr="00BC4EE7">
              <w:rPr>
                <w:rFonts w:cs="Times New Roman"/>
                <w:noProof/>
              </w:rPr>
              <w:t>C15.I4</w:t>
            </w:r>
          </w:p>
        </w:tc>
        <w:tc>
          <w:tcPr>
            <w:tcW w:w="1079" w:type="dxa"/>
            <w:tcBorders>
              <w:top w:val="single" w:sz="4" w:space="0" w:color="auto"/>
              <w:left w:val="single" w:sz="4" w:space="0" w:color="auto"/>
              <w:bottom w:val="single" w:sz="4" w:space="0" w:color="auto"/>
              <w:right w:val="single" w:sz="4" w:space="0" w:color="auto"/>
            </w:tcBorders>
            <w:shd w:val="clear" w:color="auto" w:fill="C6EFCE"/>
            <w:noWrap/>
          </w:tcPr>
          <w:p w14:paraId="31126644" w14:textId="77777777" w:rsidR="00D65CB4" w:rsidRPr="00BC4EE7" w:rsidRDefault="00572307">
            <w:pPr>
              <w:pStyle w:val="P68B1DB1-Normal12"/>
              <w:jc w:val="center"/>
              <w:rPr>
                <w:rFonts w:cs="Times New Roman"/>
                <w:noProof/>
              </w:rPr>
            </w:pPr>
            <w:r w:rsidRPr="00BC4EE7">
              <w:rPr>
                <w:rFonts w:cs="Times New Roman"/>
                <w:noProof/>
              </w:rPr>
              <w:t>T</w:t>
            </w:r>
          </w:p>
        </w:tc>
        <w:tc>
          <w:tcPr>
            <w:tcW w:w="2144" w:type="dxa"/>
            <w:tcBorders>
              <w:top w:val="single" w:sz="4" w:space="0" w:color="auto"/>
              <w:left w:val="single" w:sz="4" w:space="0" w:color="auto"/>
              <w:bottom w:val="single" w:sz="4" w:space="0" w:color="auto"/>
              <w:right w:val="single" w:sz="4" w:space="0" w:color="auto"/>
            </w:tcBorders>
            <w:shd w:val="clear" w:color="auto" w:fill="C6EFCE"/>
            <w:noWrap/>
          </w:tcPr>
          <w:p w14:paraId="29EA1792" w14:textId="77777777" w:rsidR="00D65CB4" w:rsidRPr="00BC4EE7" w:rsidRDefault="00572307">
            <w:pPr>
              <w:pStyle w:val="P68B1DB1-Normal12"/>
              <w:rPr>
                <w:rFonts w:cs="Times New Roman"/>
                <w:noProof/>
              </w:rPr>
            </w:pPr>
            <w:r w:rsidRPr="00BC4EE7">
              <w:rPr>
                <w:rFonts w:cs="Times New Roman"/>
                <w:noProof/>
              </w:rPr>
              <w:t>Az épületek távközlési infrastruktúrájának átalakítása</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1496FFDA" w14:textId="77777777" w:rsidR="00D65CB4" w:rsidRPr="00BC4EE7" w:rsidRDefault="00572307">
            <w:pPr>
              <w:pStyle w:val="P68B1DB1-Normal12"/>
              <w:jc w:val="center"/>
              <w:rPr>
                <w:rFonts w:cs="Times New Roman"/>
                <w:noProof/>
              </w:rPr>
            </w:pPr>
            <w:r w:rsidRPr="00BC4EE7">
              <w:rPr>
                <w:rFonts w:cs="Times New Roman"/>
                <w:noProof/>
              </w:rPr>
              <w:t>–</w:t>
            </w:r>
          </w:p>
        </w:tc>
        <w:tc>
          <w:tcPr>
            <w:tcW w:w="697" w:type="dxa"/>
            <w:tcBorders>
              <w:top w:val="single" w:sz="4" w:space="0" w:color="auto"/>
              <w:left w:val="single" w:sz="4" w:space="0" w:color="auto"/>
              <w:bottom w:val="single" w:sz="4" w:space="0" w:color="auto"/>
              <w:right w:val="single" w:sz="4" w:space="0" w:color="auto"/>
            </w:tcBorders>
            <w:shd w:val="clear" w:color="auto" w:fill="C6EFCE"/>
            <w:noWrap/>
          </w:tcPr>
          <w:p w14:paraId="7FE2106E" w14:textId="77777777" w:rsidR="00D65CB4" w:rsidRPr="00BC4EE7" w:rsidRDefault="00572307">
            <w:pPr>
              <w:pStyle w:val="P68B1DB1-Normal12"/>
              <w:rPr>
                <w:rFonts w:cs="Times New Roman"/>
                <w:noProof/>
              </w:rPr>
            </w:pPr>
            <w:r w:rsidRPr="00BC4EE7">
              <w:rPr>
                <w:rFonts w:cs="Times New Roman"/>
                <w:noProof/>
              </w:rPr>
              <w:t>Szám</w:t>
            </w:r>
          </w:p>
        </w:tc>
        <w:tc>
          <w:tcPr>
            <w:tcW w:w="974" w:type="dxa"/>
            <w:tcBorders>
              <w:top w:val="single" w:sz="4" w:space="0" w:color="auto"/>
              <w:left w:val="single" w:sz="4" w:space="0" w:color="auto"/>
              <w:bottom w:val="single" w:sz="4" w:space="0" w:color="auto"/>
              <w:right w:val="single" w:sz="4" w:space="0" w:color="auto"/>
            </w:tcBorders>
            <w:shd w:val="clear" w:color="auto" w:fill="C6EFCE"/>
            <w:noWrap/>
          </w:tcPr>
          <w:p w14:paraId="1E9D3BAE" w14:textId="77777777" w:rsidR="00D65CB4" w:rsidRPr="00BC4EE7" w:rsidRDefault="00572307">
            <w:pPr>
              <w:pStyle w:val="P68B1DB1-Normal12"/>
              <w:rPr>
                <w:rFonts w:cs="Times New Roman"/>
                <w:noProof/>
              </w:rPr>
            </w:pPr>
            <w:r w:rsidRPr="00BC4EE7">
              <w:rPr>
                <w:rFonts w:cs="Times New Roman"/>
                <w:noProof/>
              </w:rPr>
              <w:t>0</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11075576" w14:textId="442281D4" w:rsidR="00D65CB4" w:rsidRPr="00BC4EE7" w:rsidRDefault="00572307">
            <w:pPr>
              <w:pStyle w:val="P68B1DB1-Normal12"/>
              <w:rPr>
                <w:rFonts w:cs="Times New Roman"/>
                <w:noProof/>
              </w:rPr>
            </w:pPr>
            <w:r w:rsidRPr="00BC4EE7">
              <w:rPr>
                <w:rFonts w:cs="Times New Roman"/>
                <w:noProof/>
              </w:rPr>
              <w:t>7 700</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61663BC6" w14:textId="77777777" w:rsidR="00D65CB4" w:rsidRPr="00BC4EE7" w:rsidRDefault="00572307">
            <w:pPr>
              <w:pStyle w:val="P68B1DB1-Normal12"/>
              <w:jc w:val="center"/>
              <w:rPr>
                <w:rFonts w:cs="Times New Roman"/>
                <w:noProof/>
              </w:rPr>
            </w:pPr>
            <w:r w:rsidRPr="00BC4EE7">
              <w:rPr>
                <w:rFonts w:cs="Times New Roman"/>
                <w:noProof/>
              </w:rPr>
              <w:t>Q4</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2A1005B4" w14:textId="7ADB7974" w:rsidR="00D65CB4" w:rsidRPr="00BC4EE7" w:rsidRDefault="00572307">
            <w:pPr>
              <w:pStyle w:val="P68B1DB1-Normal12"/>
              <w:jc w:val="center"/>
              <w:rPr>
                <w:rFonts w:cs="Times New Roman"/>
                <w:noProof/>
              </w:rPr>
            </w:pPr>
            <w:r w:rsidRPr="00BC4EE7">
              <w:rPr>
                <w:rFonts w:cs="Times New Roman"/>
                <w:noProof/>
              </w:rPr>
              <w:t>2024</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43B79E03" w14:textId="0D0A6210" w:rsidR="00D65CB4" w:rsidRPr="00BC4EE7" w:rsidRDefault="00572307">
            <w:pPr>
              <w:pStyle w:val="P68B1DB1-Normal12"/>
              <w:rPr>
                <w:rFonts w:cs="Times New Roman"/>
                <w:noProof/>
              </w:rPr>
            </w:pPr>
            <w:r w:rsidRPr="00BC4EE7">
              <w:rPr>
                <w:rFonts w:cs="Times New Roman"/>
                <w:noProof/>
              </w:rPr>
              <w:t>Legalább 7700 épületben befejeződtek a közös konnektivitási hálózati infrastruktúrájuk nagyon nagy kapacitású hálózatok szintjén történő fejlesztésére irányuló munkálatok.</w:t>
            </w:r>
          </w:p>
        </w:tc>
      </w:tr>
      <w:tr w:rsidR="00D65CB4" w:rsidRPr="00BC4EE7" w14:paraId="68826676" w14:textId="77777777" w:rsidTr="00BC4EE7">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0374B947" w14:textId="77777777" w:rsidR="00D65CB4" w:rsidRPr="00BC4EE7" w:rsidRDefault="00572307">
            <w:pPr>
              <w:pStyle w:val="P68B1DB1-Normal12"/>
              <w:spacing w:after="0" w:line="256" w:lineRule="auto"/>
              <w:jc w:val="center"/>
              <w:rPr>
                <w:rFonts w:cs="Times New Roman"/>
                <w:noProof/>
              </w:rPr>
            </w:pPr>
            <w:r w:rsidRPr="00BC4EE7">
              <w:rPr>
                <w:rFonts w:cs="Times New Roman"/>
                <w:noProof/>
              </w:rPr>
              <w:t>241</w:t>
            </w:r>
          </w:p>
        </w:tc>
        <w:tc>
          <w:tcPr>
            <w:tcW w:w="952" w:type="dxa"/>
            <w:tcBorders>
              <w:top w:val="single" w:sz="4" w:space="0" w:color="auto"/>
              <w:left w:val="single" w:sz="4" w:space="0" w:color="auto"/>
              <w:bottom w:val="single" w:sz="4" w:space="0" w:color="auto"/>
              <w:right w:val="single" w:sz="4" w:space="0" w:color="auto"/>
            </w:tcBorders>
            <w:shd w:val="clear" w:color="auto" w:fill="C6EFCE"/>
            <w:noWrap/>
          </w:tcPr>
          <w:p w14:paraId="2FF48813" w14:textId="77777777" w:rsidR="00D65CB4" w:rsidRPr="00BC4EE7" w:rsidRDefault="00572307">
            <w:pPr>
              <w:pStyle w:val="P68B1DB1-Normal12"/>
              <w:spacing w:after="0" w:line="256" w:lineRule="auto"/>
              <w:jc w:val="center"/>
              <w:rPr>
                <w:rFonts w:cs="Times New Roman"/>
                <w:noProof/>
              </w:rPr>
            </w:pPr>
            <w:r w:rsidRPr="00BC4EE7">
              <w:rPr>
                <w:rFonts w:cs="Times New Roman"/>
                <w:noProof/>
              </w:rPr>
              <w:t>C15.I5</w:t>
            </w:r>
          </w:p>
        </w:tc>
        <w:tc>
          <w:tcPr>
            <w:tcW w:w="1079" w:type="dxa"/>
            <w:tcBorders>
              <w:top w:val="single" w:sz="4" w:space="0" w:color="auto"/>
              <w:left w:val="single" w:sz="4" w:space="0" w:color="auto"/>
              <w:bottom w:val="single" w:sz="4" w:space="0" w:color="auto"/>
              <w:right w:val="single" w:sz="4" w:space="0" w:color="auto"/>
            </w:tcBorders>
            <w:shd w:val="clear" w:color="auto" w:fill="C6EFCE"/>
            <w:noWrap/>
          </w:tcPr>
          <w:p w14:paraId="53150BFB" w14:textId="77777777" w:rsidR="00D65CB4" w:rsidRPr="00BC4EE7" w:rsidRDefault="00572307">
            <w:pPr>
              <w:pStyle w:val="P68B1DB1-Normal12"/>
              <w:spacing w:after="0" w:line="256" w:lineRule="auto"/>
              <w:jc w:val="center"/>
              <w:rPr>
                <w:rFonts w:cs="Times New Roman"/>
                <w:noProof/>
              </w:rPr>
            </w:pPr>
            <w:r w:rsidRPr="00BC4EE7">
              <w:rPr>
                <w:rFonts w:cs="Times New Roman"/>
                <w:noProof/>
              </w:rPr>
              <w:t>M</w:t>
            </w:r>
          </w:p>
        </w:tc>
        <w:tc>
          <w:tcPr>
            <w:tcW w:w="2144" w:type="dxa"/>
            <w:tcBorders>
              <w:top w:val="single" w:sz="4" w:space="0" w:color="auto"/>
              <w:left w:val="single" w:sz="4" w:space="0" w:color="auto"/>
              <w:bottom w:val="single" w:sz="4" w:space="0" w:color="auto"/>
              <w:right w:val="single" w:sz="4" w:space="0" w:color="auto"/>
            </w:tcBorders>
            <w:shd w:val="clear" w:color="auto" w:fill="C6EFCE"/>
            <w:noWrap/>
          </w:tcPr>
          <w:p w14:paraId="6979762C" w14:textId="77777777" w:rsidR="00D65CB4" w:rsidRPr="00BC4EE7" w:rsidRDefault="00572307">
            <w:pPr>
              <w:pStyle w:val="P68B1DB1-Normal12"/>
              <w:spacing w:after="0" w:line="256" w:lineRule="auto"/>
              <w:rPr>
                <w:rFonts w:cs="Times New Roman"/>
                <w:noProof/>
              </w:rPr>
            </w:pPr>
            <w:r w:rsidRPr="00BC4EE7">
              <w:rPr>
                <w:rFonts w:cs="Times New Roman"/>
                <w:noProof/>
              </w:rPr>
              <w:t>A határokon átnyúló digitális infrastruktúra fejlesztése: díj</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73B75597" w14:textId="77777777" w:rsidR="00D65CB4" w:rsidRPr="00BC4EE7" w:rsidRDefault="00572307">
            <w:pPr>
              <w:pStyle w:val="P68B1DB1-Normal12"/>
              <w:spacing w:after="0" w:line="256" w:lineRule="auto"/>
              <w:rPr>
                <w:rFonts w:cs="Times New Roman"/>
                <w:noProof/>
              </w:rPr>
            </w:pPr>
            <w:r w:rsidRPr="00BC4EE7">
              <w:rPr>
                <w:rFonts w:cs="Times New Roman"/>
                <w:noProof/>
              </w:rPr>
              <w:t xml:space="preserve">A projektek odaítélésének hivatalos közzététele  </w:t>
            </w:r>
          </w:p>
        </w:tc>
        <w:tc>
          <w:tcPr>
            <w:tcW w:w="697" w:type="dxa"/>
            <w:tcBorders>
              <w:top w:val="single" w:sz="4" w:space="0" w:color="auto"/>
              <w:left w:val="single" w:sz="4" w:space="0" w:color="auto"/>
              <w:bottom w:val="single" w:sz="4" w:space="0" w:color="auto"/>
              <w:right w:val="single" w:sz="4" w:space="0" w:color="auto"/>
            </w:tcBorders>
            <w:shd w:val="clear" w:color="auto" w:fill="C6EFCE"/>
            <w:noWrap/>
          </w:tcPr>
          <w:p w14:paraId="5B5B795D" w14:textId="77777777" w:rsidR="00D65CB4" w:rsidRPr="00BC4EE7" w:rsidRDefault="00572307">
            <w:pPr>
              <w:pStyle w:val="P68B1DB1-Normal12"/>
              <w:spacing w:after="0" w:line="256" w:lineRule="auto"/>
              <w:rPr>
                <w:rFonts w:cs="Times New Roman"/>
                <w:noProof/>
              </w:rPr>
            </w:pPr>
            <w:r w:rsidRPr="00BC4EE7">
              <w:rPr>
                <w:rFonts w:cs="Times New Roman"/>
                <w:noProof/>
              </w:rPr>
              <w:t xml:space="preserve"> </w:t>
            </w:r>
          </w:p>
        </w:tc>
        <w:tc>
          <w:tcPr>
            <w:tcW w:w="974" w:type="dxa"/>
            <w:tcBorders>
              <w:top w:val="single" w:sz="4" w:space="0" w:color="auto"/>
              <w:left w:val="single" w:sz="4" w:space="0" w:color="auto"/>
              <w:bottom w:val="single" w:sz="4" w:space="0" w:color="auto"/>
              <w:right w:val="single" w:sz="4" w:space="0" w:color="auto"/>
            </w:tcBorders>
            <w:shd w:val="clear" w:color="auto" w:fill="C6EFCE"/>
            <w:noWrap/>
          </w:tcPr>
          <w:p w14:paraId="5F4BDA32" w14:textId="77777777" w:rsidR="00D65CB4" w:rsidRPr="00BC4EE7" w:rsidRDefault="00572307">
            <w:pPr>
              <w:pStyle w:val="P68B1DB1-Normal12"/>
              <w:spacing w:after="0" w:line="256" w:lineRule="auto"/>
              <w:rPr>
                <w:rFonts w:cs="Times New Roman"/>
                <w:noProof/>
              </w:rPr>
            </w:pPr>
            <w:r w:rsidRPr="00BC4EE7">
              <w:rPr>
                <w:rFonts w:cs="Times New Roman"/>
                <w:noProof/>
              </w:rPr>
              <w:t xml:space="preserve"> </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7BFEA234" w14:textId="77777777" w:rsidR="00D65CB4" w:rsidRPr="00BC4EE7" w:rsidRDefault="00572307">
            <w:pPr>
              <w:pStyle w:val="P68B1DB1-Normal12"/>
              <w:spacing w:after="0" w:line="256" w:lineRule="auto"/>
              <w:rPr>
                <w:rFonts w:cs="Times New Roman"/>
                <w:noProof/>
              </w:rPr>
            </w:pPr>
            <w:r w:rsidRPr="00BC4EE7">
              <w:rPr>
                <w:rFonts w:cs="Times New Roman"/>
                <w:noProof/>
              </w:rPr>
              <w:t xml:space="preserve"> </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72A19043" w14:textId="77777777" w:rsidR="00D65CB4" w:rsidRPr="00BC4EE7" w:rsidRDefault="00572307">
            <w:pPr>
              <w:pStyle w:val="P68B1DB1-Normal12"/>
              <w:spacing w:after="0" w:line="256" w:lineRule="auto"/>
              <w:jc w:val="center"/>
              <w:rPr>
                <w:rFonts w:cs="Times New Roman"/>
                <w:noProof/>
              </w:rPr>
            </w:pPr>
            <w:r w:rsidRPr="00BC4EE7">
              <w:rPr>
                <w:rFonts w:cs="Times New Roman"/>
                <w:noProof/>
              </w:rPr>
              <w:t>Q2</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3B283F6B" w14:textId="3D313E79" w:rsidR="00D65CB4" w:rsidRPr="00BC4EE7" w:rsidRDefault="00572307">
            <w:pPr>
              <w:pStyle w:val="P68B1DB1-Normal12"/>
              <w:spacing w:after="0" w:line="256" w:lineRule="auto"/>
              <w:jc w:val="center"/>
              <w:rPr>
                <w:rFonts w:cs="Times New Roman"/>
                <w:noProof/>
              </w:rPr>
            </w:pPr>
            <w:r w:rsidRPr="00BC4EE7">
              <w:rPr>
                <w:rFonts w:cs="Times New Roman"/>
                <w:noProof/>
              </w:rPr>
              <w:t>2024</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1215C710" w14:textId="77777777" w:rsidR="00D65CB4" w:rsidRPr="00BC4EE7" w:rsidRDefault="00572307">
            <w:pPr>
              <w:pStyle w:val="P68B1DB1-Normal12"/>
              <w:spacing w:after="0" w:line="256" w:lineRule="auto"/>
              <w:rPr>
                <w:rFonts w:cs="Times New Roman"/>
                <w:noProof/>
              </w:rPr>
            </w:pPr>
            <w:r w:rsidRPr="00BC4EE7">
              <w:rPr>
                <w:rFonts w:cs="Times New Roman"/>
                <w:noProof/>
              </w:rPr>
              <w:t xml:space="preserve">A projektekre vonatkozó összes szerződés és támogatás odaítélése (a pályázati felhívás teljes költségvetése 500 000 000 EUR), valamint pénzeszközök átcsoportosítása a következő tevékenységek végrehajtására: a) tenger alatti kábelek és felhő/adatinfrastruktúra összekapcsolása; b) a számításifelhő- és Edge-infrastruktúrák és -szolgáltatások új generációjára irányuló projektek; fejlett processzorral és félvezetőkkel kapcsolatos projektek; valamint d) a kvantumkommunikációs és a biztonságos műholdas kommunikáció képességeinek megerősítését célzó K+F+I projektekről </w:t>
            </w:r>
          </w:p>
        </w:tc>
      </w:tr>
      <w:tr w:rsidR="00D65CB4" w:rsidRPr="00BC4EE7" w14:paraId="2CC6FE17" w14:textId="77777777" w:rsidTr="00BC4EE7">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6DA198CD" w14:textId="77777777" w:rsidR="00D65CB4" w:rsidRPr="00BC4EE7" w:rsidRDefault="00572307">
            <w:pPr>
              <w:pStyle w:val="P68B1DB1-Normal12"/>
              <w:spacing w:after="0" w:line="256" w:lineRule="auto"/>
              <w:jc w:val="center"/>
              <w:rPr>
                <w:rFonts w:cs="Times New Roman"/>
                <w:noProof/>
              </w:rPr>
            </w:pPr>
            <w:r w:rsidRPr="00BC4EE7">
              <w:rPr>
                <w:rFonts w:cs="Times New Roman"/>
                <w:noProof/>
              </w:rPr>
              <w:t>242</w:t>
            </w:r>
          </w:p>
        </w:tc>
        <w:tc>
          <w:tcPr>
            <w:tcW w:w="952" w:type="dxa"/>
            <w:tcBorders>
              <w:top w:val="single" w:sz="4" w:space="0" w:color="auto"/>
              <w:left w:val="single" w:sz="4" w:space="0" w:color="auto"/>
              <w:bottom w:val="single" w:sz="4" w:space="0" w:color="auto"/>
              <w:right w:val="single" w:sz="4" w:space="0" w:color="auto"/>
            </w:tcBorders>
            <w:shd w:val="clear" w:color="auto" w:fill="C6EFCE"/>
            <w:noWrap/>
          </w:tcPr>
          <w:p w14:paraId="6B6FEBCD" w14:textId="77777777" w:rsidR="00D65CB4" w:rsidRPr="00BC4EE7" w:rsidRDefault="00572307">
            <w:pPr>
              <w:pStyle w:val="P68B1DB1-Normal12"/>
              <w:spacing w:after="0" w:line="256" w:lineRule="auto"/>
              <w:jc w:val="center"/>
              <w:rPr>
                <w:rFonts w:cs="Times New Roman"/>
                <w:noProof/>
              </w:rPr>
            </w:pPr>
            <w:r w:rsidRPr="00BC4EE7">
              <w:rPr>
                <w:rFonts w:cs="Times New Roman"/>
                <w:noProof/>
              </w:rPr>
              <w:t>C15.I5</w:t>
            </w:r>
          </w:p>
        </w:tc>
        <w:tc>
          <w:tcPr>
            <w:tcW w:w="1079" w:type="dxa"/>
            <w:tcBorders>
              <w:top w:val="single" w:sz="4" w:space="0" w:color="auto"/>
              <w:left w:val="single" w:sz="4" w:space="0" w:color="auto"/>
              <w:bottom w:val="single" w:sz="4" w:space="0" w:color="auto"/>
              <w:right w:val="single" w:sz="4" w:space="0" w:color="auto"/>
            </w:tcBorders>
            <w:shd w:val="clear" w:color="auto" w:fill="C6EFCE"/>
            <w:noWrap/>
          </w:tcPr>
          <w:p w14:paraId="3FB61713" w14:textId="77777777" w:rsidR="00D65CB4" w:rsidRPr="00BC4EE7" w:rsidRDefault="00572307">
            <w:pPr>
              <w:pStyle w:val="P68B1DB1-Normal12"/>
              <w:jc w:val="center"/>
              <w:rPr>
                <w:rFonts w:cs="Times New Roman"/>
                <w:noProof/>
              </w:rPr>
            </w:pPr>
            <w:r w:rsidRPr="00BC4EE7">
              <w:rPr>
                <w:rFonts w:cs="Times New Roman"/>
                <w:noProof/>
              </w:rPr>
              <w:t>M</w:t>
            </w:r>
          </w:p>
        </w:tc>
        <w:tc>
          <w:tcPr>
            <w:tcW w:w="2144" w:type="dxa"/>
            <w:tcBorders>
              <w:top w:val="single" w:sz="4" w:space="0" w:color="auto"/>
              <w:left w:val="single" w:sz="4" w:space="0" w:color="auto"/>
              <w:bottom w:val="single" w:sz="4" w:space="0" w:color="auto"/>
              <w:right w:val="single" w:sz="4" w:space="0" w:color="auto"/>
            </w:tcBorders>
            <w:shd w:val="clear" w:color="auto" w:fill="C6EFCE"/>
            <w:noWrap/>
          </w:tcPr>
          <w:p w14:paraId="47A01AA1" w14:textId="77777777" w:rsidR="00D65CB4" w:rsidRPr="00BC4EE7" w:rsidRDefault="00572307">
            <w:pPr>
              <w:pStyle w:val="P68B1DB1-Normal12"/>
              <w:rPr>
                <w:rFonts w:cs="Times New Roman"/>
                <w:noProof/>
              </w:rPr>
            </w:pPr>
            <w:r w:rsidRPr="00BC4EE7">
              <w:rPr>
                <w:rFonts w:cs="Times New Roman"/>
                <w:noProof/>
              </w:rPr>
              <w:t>A határokon átnyúló digitális infrastruktúra fejlesztése: a projekt lezárása</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642A6D73" w14:textId="77777777" w:rsidR="00D65CB4" w:rsidRPr="00BC4EE7" w:rsidRDefault="00572307">
            <w:pPr>
              <w:pStyle w:val="P68B1DB1-Normal12"/>
              <w:rPr>
                <w:rFonts w:cs="Times New Roman"/>
                <w:noProof/>
              </w:rPr>
            </w:pPr>
            <w:r w:rsidRPr="00BC4EE7">
              <w:rPr>
                <w:rFonts w:cs="Times New Roman"/>
                <w:noProof/>
              </w:rPr>
              <w:t>Az odaítélt projektek lezárása</w:t>
            </w:r>
          </w:p>
        </w:tc>
        <w:tc>
          <w:tcPr>
            <w:tcW w:w="697" w:type="dxa"/>
            <w:tcBorders>
              <w:top w:val="single" w:sz="4" w:space="0" w:color="auto"/>
              <w:left w:val="single" w:sz="4" w:space="0" w:color="auto"/>
              <w:bottom w:val="single" w:sz="4" w:space="0" w:color="auto"/>
              <w:right w:val="single" w:sz="4" w:space="0" w:color="auto"/>
            </w:tcBorders>
            <w:shd w:val="clear" w:color="auto" w:fill="C6EFCE"/>
            <w:noWrap/>
          </w:tcPr>
          <w:p w14:paraId="4AB5C23F" w14:textId="77777777" w:rsidR="00D65CB4" w:rsidRPr="00BC4EE7" w:rsidRDefault="00572307">
            <w:pPr>
              <w:pStyle w:val="P68B1DB1-Normal12"/>
              <w:spacing w:after="0" w:line="256" w:lineRule="auto"/>
              <w:rPr>
                <w:rFonts w:cs="Times New Roman"/>
                <w:noProof/>
              </w:rPr>
            </w:pPr>
            <w:r w:rsidRPr="00BC4EE7">
              <w:rPr>
                <w:rFonts w:cs="Times New Roman"/>
                <w:noProof/>
              </w:rPr>
              <w:t xml:space="preserve"> </w:t>
            </w:r>
          </w:p>
        </w:tc>
        <w:tc>
          <w:tcPr>
            <w:tcW w:w="974" w:type="dxa"/>
            <w:tcBorders>
              <w:top w:val="single" w:sz="4" w:space="0" w:color="auto"/>
              <w:left w:val="single" w:sz="4" w:space="0" w:color="auto"/>
              <w:bottom w:val="single" w:sz="4" w:space="0" w:color="auto"/>
              <w:right w:val="single" w:sz="4" w:space="0" w:color="auto"/>
            </w:tcBorders>
            <w:shd w:val="clear" w:color="auto" w:fill="C6EFCE"/>
            <w:noWrap/>
          </w:tcPr>
          <w:p w14:paraId="39E9D330" w14:textId="77777777" w:rsidR="00D65CB4" w:rsidRPr="00BC4EE7" w:rsidRDefault="00572307">
            <w:pPr>
              <w:pStyle w:val="P68B1DB1-Normal12"/>
              <w:spacing w:after="0" w:line="256" w:lineRule="auto"/>
              <w:rPr>
                <w:rFonts w:cs="Times New Roman"/>
                <w:noProof/>
              </w:rPr>
            </w:pPr>
            <w:r w:rsidRPr="00BC4EE7">
              <w:rPr>
                <w:rFonts w:cs="Times New Roman"/>
                <w:noProof/>
              </w:rPr>
              <w:t xml:space="preserve"> </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5A57AC48" w14:textId="77777777" w:rsidR="00D65CB4" w:rsidRPr="00BC4EE7" w:rsidRDefault="00572307">
            <w:pPr>
              <w:pStyle w:val="P68B1DB1-Normal12"/>
              <w:spacing w:after="0" w:line="256" w:lineRule="auto"/>
              <w:rPr>
                <w:rFonts w:cs="Times New Roman"/>
                <w:noProof/>
              </w:rPr>
            </w:pPr>
            <w:r w:rsidRPr="00BC4EE7">
              <w:rPr>
                <w:rFonts w:cs="Times New Roman"/>
                <w:noProof/>
              </w:rPr>
              <w:t xml:space="preserve"> </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707929CF" w14:textId="22707EA9" w:rsidR="00D65CB4" w:rsidRPr="00BC4EE7" w:rsidRDefault="00572307">
            <w:pPr>
              <w:pStyle w:val="P68B1DB1-Normal12"/>
              <w:spacing w:after="0" w:line="256" w:lineRule="auto"/>
              <w:jc w:val="center"/>
              <w:rPr>
                <w:rFonts w:cs="Times New Roman"/>
                <w:noProof/>
              </w:rPr>
            </w:pPr>
            <w:r w:rsidRPr="00BC4EE7">
              <w:rPr>
                <w:rFonts w:cs="Times New Roman"/>
                <w:noProof/>
              </w:rPr>
              <w:t>Q2</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7345DA5D" w14:textId="35AB7177" w:rsidR="00D65CB4" w:rsidRPr="00BC4EE7" w:rsidRDefault="00572307">
            <w:pPr>
              <w:pStyle w:val="P68B1DB1-Normal12"/>
              <w:spacing w:after="0" w:line="256" w:lineRule="auto"/>
              <w:jc w:val="center"/>
              <w:rPr>
                <w:rFonts w:cs="Times New Roman"/>
                <w:noProof/>
              </w:rPr>
            </w:pPr>
            <w:r w:rsidRPr="00BC4EE7">
              <w:rPr>
                <w:rFonts w:cs="Times New Roman"/>
                <w:noProof/>
              </w:rPr>
              <w:t xml:space="preserve">2026 </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59D71ED7" w14:textId="77777777" w:rsidR="00D65CB4" w:rsidRPr="00BC4EE7" w:rsidRDefault="00572307">
            <w:pPr>
              <w:pStyle w:val="P68B1DB1-Normal12"/>
              <w:spacing w:after="0" w:line="256" w:lineRule="auto"/>
              <w:rPr>
                <w:rFonts w:cs="Times New Roman"/>
                <w:noProof/>
              </w:rPr>
            </w:pPr>
            <w:r w:rsidRPr="00BC4EE7">
              <w:rPr>
                <w:rFonts w:cs="Times New Roman"/>
                <w:noProof/>
              </w:rPr>
              <w:t xml:space="preserve">Az a) a tenger alatti kábelekre és a felhő/adatinfrastruktúra összekapcsolására irányuló projektek lezárása (a #241. mérföldkőben ítélve oda); b) a számításifelhő- és Edge-infrastruktúrák és -szolgáltatások új generációja; fejlett processzorral és félvezetőkkel kapcsolatos projektek; valamint d) a kvantumkommunikációs és a biztonságos műholdas kommunikáció képességeinek megerősítését célzó K+F+I projektekről </w:t>
            </w:r>
          </w:p>
        </w:tc>
      </w:tr>
      <w:tr w:rsidR="00D65CB4" w:rsidRPr="00BC4EE7" w14:paraId="4F590BBC" w14:textId="77777777" w:rsidTr="00BC4EE7">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690E85FB" w14:textId="77777777" w:rsidR="00D65CB4" w:rsidRPr="00BC4EE7" w:rsidRDefault="00572307">
            <w:pPr>
              <w:pStyle w:val="P68B1DB1-Normal12"/>
              <w:jc w:val="center"/>
              <w:rPr>
                <w:rFonts w:cs="Times New Roman"/>
                <w:noProof/>
              </w:rPr>
            </w:pPr>
            <w:r w:rsidRPr="00BC4EE7">
              <w:rPr>
                <w:rFonts w:cs="Times New Roman"/>
                <w:noProof/>
              </w:rPr>
              <w:t>243</w:t>
            </w:r>
          </w:p>
        </w:tc>
        <w:tc>
          <w:tcPr>
            <w:tcW w:w="952" w:type="dxa"/>
            <w:tcBorders>
              <w:top w:val="single" w:sz="4" w:space="0" w:color="auto"/>
              <w:left w:val="single" w:sz="4" w:space="0" w:color="auto"/>
              <w:bottom w:val="single" w:sz="4" w:space="0" w:color="auto"/>
              <w:right w:val="single" w:sz="4" w:space="0" w:color="auto"/>
            </w:tcBorders>
            <w:shd w:val="clear" w:color="auto" w:fill="C6EFCE"/>
            <w:noWrap/>
          </w:tcPr>
          <w:p w14:paraId="6D36CEEA" w14:textId="77777777" w:rsidR="00D65CB4" w:rsidRPr="00BC4EE7" w:rsidRDefault="00572307">
            <w:pPr>
              <w:pStyle w:val="P68B1DB1-Normal12"/>
              <w:jc w:val="center"/>
              <w:rPr>
                <w:rFonts w:cs="Times New Roman"/>
                <w:noProof/>
              </w:rPr>
            </w:pPr>
            <w:r w:rsidRPr="00BC4EE7">
              <w:rPr>
                <w:rFonts w:cs="Times New Roman"/>
                <w:noProof/>
              </w:rPr>
              <w:t>C15.I6</w:t>
            </w:r>
          </w:p>
        </w:tc>
        <w:tc>
          <w:tcPr>
            <w:tcW w:w="1079" w:type="dxa"/>
            <w:tcBorders>
              <w:top w:val="single" w:sz="4" w:space="0" w:color="auto"/>
              <w:left w:val="single" w:sz="4" w:space="0" w:color="auto"/>
              <w:bottom w:val="single" w:sz="4" w:space="0" w:color="auto"/>
              <w:right w:val="single" w:sz="4" w:space="0" w:color="auto"/>
            </w:tcBorders>
            <w:shd w:val="clear" w:color="auto" w:fill="C6EFCE"/>
            <w:noWrap/>
          </w:tcPr>
          <w:p w14:paraId="6AACD3F4" w14:textId="77777777" w:rsidR="00D65CB4" w:rsidRPr="00BC4EE7" w:rsidRDefault="00572307">
            <w:pPr>
              <w:pStyle w:val="P68B1DB1-Normal12"/>
              <w:jc w:val="center"/>
              <w:rPr>
                <w:rFonts w:cs="Times New Roman"/>
                <w:noProof/>
              </w:rPr>
            </w:pPr>
            <w:r w:rsidRPr="00BC4EE7">
              <w:rPr>
                <w:rFonts w:cs="Times New Roman"/>
                <w:noProof/>
              </w:rPr>
              <w:t>M</w:t>
            </w:r>
          </w:p>
        </w:tc>
        <w:tc>
          <w:tcPr>
            <w:tcW w:w="2144" w:type="dxa"/>
            <w:tcBorders>
              <w:top w:val="single" w:sz="4" w:space="0" w:color="auto"/>
              <w:left w:val="single" w:sz="4" w:space="0" w:color="auto"/>
              <w:bottom w:val="single" w:sz="4" w:space="0" w:color="auto"/>
              <w:right w:val="single" w:sz="4" w:space="0" w:color="auto"/>
            </w:tcBorders>
            <w:shd w:val="clear" w:color="auto" w:fill="C6EFCE"/>
            <w:noWrap/>
          </w:tcPr>
          <w:p w14:paraId="034C15AE" w14:textId="77777777" w:rsidR="00D65CB4" w:rsidRPr="00BC4EE7" w:rsidRDefault="00572307">
            <w:pPr>
              <w:pStyle w:val="P68B1DB1-Normal12"/>
              <w:rPr>
                <w:rFonts w:cs="Times New Roman"/>
                <w:noProof/>
              </w:rPr>
            </w:pPr>
            <w:r w:rsidRPr="00BC4EE7">
              <w:rPr>
                <w:rFonts w:cs="Times New Roman"/>
                <w:noProof/>
              </w:rPr>
              <w:t>Az 5G technológia bevezetése: díj</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18E8661E" w14:textId="77777777" w:rsidR="00D65CB4" w:rsidRPr="00BC4EE7" w:rsidRDefault="00572307">
            <w:pPr>
              <w:pStyle w:val="P68B1DB1-Normal12"/>
              <w:rPr>
                <w:rFonts w:cs="Times New Roman"/>
                <w:noProof/>
              </w:rPr>
            </w:pPr>
            <w:r w:rsidRPr="00BC4EE7">
              <w:rPr>
                <w:rFonts w:cs="Times New Roman"/>
                <w:noProof/>
              </w:rPr>
              <w:t>A projektek odaítélésének hivatalos közzététele</w:t>
            </w:r>
          </w:p>
        </w:tc>
        <w:tc>
          <w:tcPr>
            <w:tcW w:w="697" w:type="dxa"/>
            <w:tcBorders>
              <w:top w:val="single" w:sz="4" w:space="0" w:color="auto"/>
              <w:left w:val="single" w:sz="4" w:space="0" w:color="auto"/>
              <w:bottom w:val="single" w:sz="4" w:space="0" w:color="auto"/>
              <w:right w:val="single" w:sz="4" w:space="0" w:color="auto"/>
            </w:tcBorders>
            <w:shd w:val="clear" w:color="auto" w:fill="C6EFCE"/>
            <w:noWrap/>
          </w:tcPr>
          <w:p w14:paraId="26A23F54" w14:textId="77777777" w:rsidR="00D65CB4" w:rsidRPr="00BC4EE7" w:rsidRDefault="00572307">
            <w:pPr>
              <w:pStyle w:val="P68B1DB1-Normal12"/>
              <w:spacing w:after="0" w:line="256" w:lineRule="auto"/>
              <w:rPr>
                <w:rFonts w:cs="Times New Roman"/>
                <w:noProof/>
              </w:rPr>
            </w:pPr>
            <w:r w:rsidRPr="00BC4EE7">
              <w:rPr>
                <w:rFonts w:cs="Times New Roman"/>
                <w:noProof/>
              </w:rPr>
              <w:t xml:space="preserve"> </w:t>
            </w:r>
          </w:p>
        </w:tc>
        <w:tc>
          <w:tcPr>
            <w:tcW w:w="974" w:type="dxa"/>
            <w:tcBorders>
              <w:top w:val="single" w:sz="4" w:space="0" w:color="auto"/>
              <w:left w:val="single" w:sz="4" w:space="0" w:color="auto"/>
              <w:bottom w:val="single" w:sz="4" w:space="0" w:color="auto"/>
              <w:right w:val="single" w:sz="4" w:space="0" w:color="auto"/>
            </w:tcBorders>
            <w:shd w:val="clear" w:color="auto" w:fill="C6EFCE"/>
            <w:noWrap/>
          </w:tcPr>
          <w:p w14:paraId="39644D5C" w14:textId="77777777" w:rsidR="00D65CB4" w:rsidRPr="00BC4EE7" w:rsidRDefault="00572307">
            <w:pPr>
              <w:pStyle w:val="P68B1DB1-Normal12"/>
              <w:spacing w:after="0" w:line="256" w:lineRule="auto"/>
              <w:rPr>
                <w:rFonts w:cs="Times New Roman"/>
                <w:noProof/>
              </w:rPr>
            </w:pPr>
            <w:r w:rsidRPr="00BC4EE7">
              <w:rPr>
                <w:rFonts w:cs="Times New Roman"/>
                <w:noProof/>
              </w:rPr>
              <w:t xml:space="preserve"> </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57F8A613" w14:textId="77777777" w:rsidR="00D65CB4" w:rsidRPr="00BC4EE7" w:rsidRDefault="00572307">
            <w:pPr>
              <w:pStyle w:val="P68B1DB1-Normal12"/>
              <w:spacing w:after="0" w:line="256" w:lineRule="auto"/>
              <w:rPr>
                <w:rFonts w:cs="Times New Roman"/>
                <w:noProof/>
              </w:rPr>
            </w:pPr>
            <w:r w:rsidRPr="00BC4EE7">
              <w:rPr>
                <w:rFonts w:cs="Times New Roman"/>
                <w:noProof/>
              </w:rPr>
              <w:t xml:space="preserve"> </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79081711" w14:textId="77777777" w:rsidR="00D65CB4" w:rsidRPr="00BC4EE7" w:rsidRDefault="00572307">
            <w:pPr>
              <w:pStyle w:val="P68B1DB1-Normal12"/>
              <w:spacing w:after="0" w:line="256" w:lineRule="auto"/>
              <w:jc w:val="center"/>
              <w:rPr>
                <w:rFonts w:cs="Times New Roman"/>
                <w:noProof/>
              </w:rPr>
            </w:pPr>
            <w:r w:rsidRPr="00BC4EE7">
              <w:rPr>
                <w:rFonts w:cs="Times New Roman"/>
                <w:noProof/>
              </w:rPr>
              <w:t>Q4</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4669E428" w14:textId="50B7EAD7" w:rsidR="00D65CB4" w:rsidRPr="00BC4EE7" w:rsidRDefault="00572307">
            <w:pPr>
              <w:pStyle w:val="P68B1DB1-Normal12"/>
              <w:spacing w:after="0" w:line="256" w:lineRule="auto"/>
              <w:jc w:val="center"/>
              <w:rPr>
                <w:rFonts w:cs="Times New Roman"/>
                <w:noProof/>
              </w:rPr>
            </w:pPr>
            <w:r w:rsidRPr="00BC4EE7">
              <w:rPr>
                <w:rFonts w:cs="Times New Roman"/>
                <w:noProof/>
              </w:rPr>
              <w:t>2024</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6762AB78" w14:textId="5FF2B9CD" w:rsidR="00D65CB4" w:rsidRPr="00BC4EE7" w:rsidRDefault="00572307">
            <w:pPr>
              <w:pStyle w:val="P68B1DB1-Normal12"/>
              <w:spacing w:after="0" w:line="256" w:lineRule="auto"/>
              <w:rPr>
                <w:rFonts w:cs="Times New Roman"/>
                <w:noProof/>
              </w:rPr>
            </w:pPr>
            <w:r w:rsidRPr="00BC4EE7">
              <w:rPr>
                <w:rFonts w:cs="Times New Roman"/>
                <w:noProof/>
              </w:rPr>
              <w:t xml:space="preserve">A projektekre vonatkozó összes szerződés és támogatás odaítélése (a projektek teljes költségvetése 1 465 000 000 EUR), valamint pénzeszközök átcsoportosítása a következő tevékenységek végrehajtására: az 5G kiépítése a főbb nemzeti (bizonyos területeken) és a határokon átnyúló közlekedési folyosókon (4000 helyszín); b) az 5G kiépítése bizonyos területeken azzal a céllal, hogy 2025-re 75%-os népességi lefedettséget érjenek el az 5G preferenciasávokban (legalább 7000 új vagy meglévő telephely új 5G berendezéssel; és legalább 4000 meglévő helyszín felhordó hálózatuk kapacitásának növelésére irányuló intézkedésekkel); C) az 5G kiépítése kulcsfontosságú gazdasági tevékenységekben, alapvető szolgáltatások (43 összeköttetési projekt); valamint d) az 5G és 6G kapcsolódó K+F támogatása az innovációs ökoszisztémák (200 projekt) és az 5G kiberbiztonsági ökoszisztémák számára. </w:t>
            </w:r>
          </w:p>
        </w:tc>
      </w:tr>
      <w:tr w:rsidR="00D65CB4" w:rsidRPr="00BC4EE7" w14:paraId="39769899" w14:textId="77777777" w:rsidTr="00BC4EE7">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26240FC7" w14:textId="77777777" w:rsidR="00D65CB4" w:rsidRPr="00BC4EE7" w:rsidRDefault="00572307">
            <w:pPr>
              <w:pStyle w:val="P68B1DB1-Normal12"/>
              <w:spacing w:after="0" w:line="256" w:lineRule="auto"/>
              <w:jc w:val="center"/>
              <w:rPr>
                <w:rFonts w:cs="Times New Roman"/>
                <w:noProof/>
              </w:rPr>
            </w:pPr>
            <w:r w:rsidRPr="00BC4EE7">
              <w:rPr>
                <w:rFonts w:cs="Times New Roman"/>
                <w:noProof/>
              </w:rPr>
              <w:t>244</w:t>
            </w:r>
          </w:p>
        </w:tc>
        <w:tc>
          <w:tcPr>
            <w:tcW w:w="952" w:type="dxa"/>
            <w:tcBorders>
              <w:top w:val="single" w:sz="4" w:space="0" w:color="auto"/>
              <w:left w:val="single" w:sz="4" w:space="0" w:color="auto"/>
              <w:bottom w:val="single" w:sz="4" w:space="0" w:color="auto"/>
              <w:right w:val="single" w:sz="4" w:space="0" w:color="auto"/>
            </w:tcBorders>
            <w:shd w:val="clear" w:color="auto" w:fill="C6EFCE"/>
            <w:noWrap/>
          </w:tcPr>
          <w:p w14:paraId="507E0F06" w14:textId="77777777" w:rsidR="00D65CB4" w:rsidRPr="00BC4EE7" w:rsidRDefault="00572307">
            <w:pPr>
              <w:pStyle w:val="P68B1DB1-Normal12"/>
              <w:spacing w:after="0" w:line="256" w:lineRule="auto"/>
              <w:jc w:val="center"/>
              <w:rPr>
                <w:rFonts w:cs="Times New Roman"/>
                <w:noProof/>
              </w:rPr>
            </w:pPr>
            <w:r w:rsidRPr="00BC4EE7">
              <w:rPr>
                <w:rFonts w:cs="Times New Roman"/>
                <w:noProof/>
              </w:rPr>
              <w:t>C15.I6</w:t>
            </w:r>
          </w:p>
        </w:tc>
        <w:tc>
          <w:tcPr>
            <w:tcW w:w="1079" w:type="dxa"/>
            <w:tcBorders>
              <w:top w:val="single" w:sz="4" w:space="0" w:color="auto"/>
              <w:left w:val="single" w:sz="4" w:space="0" w:color="auto"/>
              <w:bottom w:val="single" w:sz="4" w:space="0" w:color="auto"/>
              <w:right w:val="single" w:sz="4" w:space="0" w:color="auto"/>
            </w:tcBorders>
            <w:shd w:val="clear" w:color="auto" w:fill="C6EFCE"/>
            <w:noWrap/>
          </w:tcPr>
          <w:p w14:paraId="0F1328D5" w14:textId="77777777" w:rsidR="00D65CB4" w:rsidRPr="00BC4EE7" w:rsidRDefault="00572307">
            <w:pPr>
              <w:pStyle w:val="P68B1DB1-Normal12"/>
              <w:jc w:val="center"/>
              <w:rPr>
                <w:rFonts w:cs="Times New Roman"/>
                <w:noProof/>
              </w:rPr>
            </w:pPr>
            <w:r w:rsidRPr="00BC4EE7">
              <w:rPr>
                <w:rFonts w:cs="Times New Roman"/>
                <w:noProof/>
              </w:rPr>
              <w:t>M</w:t>
            </w:r>
          </w:p>
        </w:tc>
        <w:tc>
          <w:tcPr>
            <w:tcW w:w="2144" w:type="dxa"/>
            <w:tcBorders>
              <w:top w:val="single" w:sz="4" w:space="0" w:color="auto"/>
              <w:left w:val="single" w:sz="4" w:space="0" w:color="auto"/>
              <w:bottom w:val="single" w:sz="4" w:space="0" w:color="auto"/>
              <w:right w:val="single" w:sz="4" w:space="0" w:color="auto"/>
            </w:tcBorders>
            <w:shd w:val="clear" w:color="auto" w:fill="C6EFCE"/>
            <w:noWrap/>
          </w:tcPr>
          <w:p w14:paraId="6D122A13" w14:textId="77777777" w:rsidR="00D65CB4" w:rsidRPr="00BC4EE7" w:rsidRDefault="00572307">
            <w:pPr>
              <w:pStyle w:val="P68B1DB1-Normal12"/>
              <w:rPr>
                <w:rFonts w:cs="Times New Roman"/>
                <w:noProof/>
              </w:rPr>
            </w:pPr>
            <w:r w:rsidRPr="00BC4EE7">
              <w:rPr>
                <w:rFonts w:cs="Times New Roman"/>
                <w:noProof/>
              </w:rPr>
              <w:t>Az 5G technológia bevezetése: A projekt lezárása</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6CE50BAB" w14:textId="77777777" w:rsidR="00D65CB4" w:rsidRPr="00BC4EE7" w:rsidRDefault="00572307">
            <w:pPr>
              <w:pStyle w:val="P68B1DB1-Normal12"/>
              <w:rPr>
                <w:rFonts w:cs="Times New Roman"/>
                <w:noProof/>
              </w:rPr>
            </w:pPr>
            <w:r w:rsidRPr="00BC4EE7">
              <w:rPr>
                <w:rFonts w:cs="Times New Roman"/>
                <w:noProof/>
              </w:rPr>
              <w:t>Az odaítélt projektek lezárása</w:t>
            </w:r>
          </w:p>
        </w:tc>
        <w:tc>
          <w:tcPr>
            <w:tcW w:w="697" w:type="dxa"/>
            <w:tcBorders>
              <w:top w:val="single" w:sz="4" w:space="0" w:color="auto"/>
              <w:left w:val="single" w:sz="4" w:space="0" w:color="auto"/>
              <w:bottom w:val="single" w:sz="4" w:space="0" w:color="auto"/>
              <w:right w:val="single" w:sz="4" w:space="0" w:color="auto"/>
            </w:tcBorders>
            <w:shd w:val="clear" w:color="auto" w:fill="C6EFCE"/>
            <w:noWrap/>
          </w:tcPr>
          <w:p w14:paraId="29FD8733" w14:textId="77777777" w:rsidR="00D65CB4" w:rsidRPr="00BC4EE7" w:rsidRDefault="00572307">
            <w:pPr>
              <w:pStyle w:val="P68B1DB1-Normal30"/>
              <w:rPr>
                <w:rFonts w:cs="Times New Roman"/>
                <w:noProof/>
              </w:rPr>
            </w:pPr>
            <w:r w:rsidRPr="00BC4EE7">
              <w:rPr>
                <w:rFonts w:cs="Times New Roman"/>
                <w:noProof/>
              </w:rPr>
              <w:t xml:space="preserve"> </w:t>
            </w:r>
          </w:p>
        </w:tc>
        <w:tc>
          <w:tcPr>
            <w:tcW w:w="974" w:type="dxa"/>
            <w:tcBorders>
              <w:top w:val="single" w:sz="4" w:space="0" w:color="auto"/>
              <w:left w:val="single" w:sz="4" w:space="0" w:color="auto"/>
              <w:bottom w:val="single" w:sz="4" w:space="0" w:color="auto"/>
              <w:right w:val="single" w:sz="4" w:space="0" w:color="auto"/>
            </w:tcBorders>
            <w:shd w:val="clear" w:color="auto" w:fill="C6EFCE"/>
            <w:noWrap/>
          </w:tcPr>
          <w:p w14:paraId="7E386E8A" w14:textId="77777777" w:rsidR="00D65CB4" w:rsidRPr="00BC4EE7" w:rsidRDefault="00572307">
            <w:pPr>
              <w:pStyle w:val="P68B1DB1-Normal30"/>
              <w:rPr>
                <w:rFonts w:cs="Times New Roman"/>
                <w:noProof/>
              </w:rPr>
            </w:pPr>
            <w:r w:rsidRPr="00BC4EE7">
              <w:rPr>
                <w:rFonts w:cs="Times New Roman"/>
                <w:noProof/>
              </w:rPr>
              <w:t xml:space="preserve"> </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55F59B1E" w14:textId="77777777" w:rsidR="00D65CB4" w:rsidRPr="00BC4EE7" w:rsidRDefault="00572307">
            <w:pPr>
              <w:pStyle w:val="P68B1DB1-Normal12"/>
              <w:spacing w:after="0" w:line="256" w:lineRule="auto"/>
              <w:rPr>
                <w:rFonts w:cs="Times New Roman"/>
                <w:noProof/>
              </w:rPr>
            </w:pPr>
            <w:r w:rsidRPr="00BC4EE7">
              <w:rPr>
                <w:rFonts w:cs="Times New Roman"/>
                <w:noProof/>
              </w:rPr>
              <w:t xml:space="preserve"> </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4A4CB8D2" w14:textId="3AB924F4" w:rsidR="00D65CB4" w:rsidRPr="00BC4EE7" w:rsidRDefault="00572307">
            <w:pPr>
              <w:pStyle w:val="P68B1DB1-Normal12"/>
              <w:spacing w:after="0" w:line="256" w:lineRule="auto"/>
              <w:jc w:val="center"/>
              <w:rPr>
                <w:rFonts w:cs="Times New Roman"/>
                <w:noProof/>
              </w:rPr>
            </w:pPr>
            <w:r w:rsidRPr="00BC4EE7">
              <w:rPr>
                <w:rFonts w:cs="Times New Roman"/>
                <w:noProof/>
              </w:rPr>
              <w:t>Q2</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7C5B31D8" w14:textId="6BCB7F3A" w:rsidR="00D65CB4" w:rsidRPr="00BC4EE7" w:rsidRDefault="00572307">
            <w:pPr>
              <w:pStyle w:val="P68B1DB1-Normal12"/>
              <w:spacing w:after="0" w:line="256" w:lineRule="auto"/>
              <w:jc w:val="center"/>
              <w:rPr>
                <w:rFonts w:cs="Times New Roman"/>
                <w:noProof/>
              </w:rPr>
            </w:pPr>
            <w:r w:rsidRPr="00BC4EE7">
              <w:rPr>
                <w:rFonts w:cs="Times New Roman"/>
                <w:noProof/>
              </w:rPr>
              <w:t>2026</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51941857" w14:textId="143C151B" w:rsidR="00D65CB4" w:rsidRPr="00BC4EE7" w:rsidRDefault="00572307">
            <w:pPr>
              <w:pStyle w:val="P68B1DB1-Normal12"/>
              <w:spacing w:after="0" w:line="256" w:lineRule="auto"/>
              <w:rPr>
                <w:rFonts w:cs="Times New Roman"/>
                <w:noProof/>
              </w:rPr>
            </w:pPr>
            <w:r w:rsidRPr="00BC4EE7">
              <w:rPr>
                <w:rFonts w:cs="Times New Roman"/>
                <w:noProof/>
              </w:rPr>
              <w:t>Az 5G kiépítésére irányuló projektek lezárása a) az ország fő területén (bizonyos területeken) és a határokon átnyúló közlekedési folyosókon (4000 helyszín); b) az 5G kiépítése bizonyos területeken azzal a céllal, hogy 2025-re 75%-os népességi lefedettséget érjenek el az 5G preferenciasávokban (legalább 7000 új vagy meglévő telephely új 5G berendezéssel és legalább 4000 meglévő telephely felhordó hálózatuk kapacitásának növelésére irányuló intézkedésekkel); C) az 5G kiépítése kulcsfontosságú gazdasági tevékenységekben, alapvető szolgáltatások (43 összeköttetési projekt); valamint d) az 5G és 6G kapcsolódó K+F támogatása az innovációs ökoszisztémák (200 projekt) és az 5G kiberbiztonsági ökoszisztémák számára. A projektek a program odaítélésében (243. mérföldkő) meghatározott kritériumoknak megfelelően fejeződnek be.</w:t>
            </w:r>
          </w:p>
        </w:tc>
      </w:tr>
      <w:tr w:rsidR="00D65CB4" w:rsidRPr="00BC4EE7" w14:paraId="2FEA3BFE" w14:textId="77777777" w:rsidTr="00BC4EE7">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15C8FB01"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245</w:t>
            </w:r>
          </w:p>
        </w:tc>
        <w:tc>
          <w:tcPr>
            <w:tcW w:w="952" w:type="dxa"/>
            <w:tcBorders>
              <w:top w:val="single" w:sz="4" w:space="0" w:color="auto"/>
              <w:left w:val="single" w:sz="4" w:space="0" w:color="auto"/>
              <w:bottom w:val="single" w:sz="4" w:space="0" w:color="auto"/>
              <w:right w:val="single" w:sz="4" w:space="0" w:color="auto"/>
            </w:tcBorders>
            <w:shd w:val="clear" w:color="auto" w:fill="C6EFCE"/>
            <w:noWrap/>
          </w:tcPr>
          <w:p w14:paraId="5A520B89"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C15.I7</w:t>
            </w:r>
          </w:p>
        </w:tc>
        <w:tc>
          <w:tcPr>
            <w:tcW w:w="1079" w:type="dxa"/>
            <w:tcBorders>
              <w:top w:val="single" w:sz="4" w:space="0" w:color="auto"/>
              <w:left w:val="single" w:sz="4" w:space="0" w:color="auto"/>
              <w:bottom w:val="single" w:sz="4" w:space="0" w:color="auto"/>
              <w:right w:val="single" w:sz="4" w:space="0" w:color="auto"/>
            </w:tcBorders>
            <w:shd w:val="clear" w:color="auto" w:fill="C6EFCE"/>
            <w:noWrap/>
          </w:tcPr>
          <w:p w14:paraId="18916D20" w14:textId="21FC535D"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2144" w:type="dxa"/>
            <w:tcBorders>
              <w:top w:val="single" w:sz="4" w:space="0" w:color="auto"/>
              <w:left w:val="single" w:sz="4" w:space="0" w:color="auto"/>
              <w:bottom w:val="single" w:sz="4" w:space="0" w:color="auto"/>
              <w:right w:val="single" w:sz="4" w:space="0" w:color="auto"/>
            </w:tcBorders>
            <w:shd w:val="clear" w:color="auto" w:fill="C6EFCE"/>
            <w:noWrap/>
          </w:tcPr>
          <w:p w14:paraId="1E141CC0" w14:textId="77777777" w:rsidR="00D65CB4" w:rsidRPr="00BC4EE7" w:rsidRDefault="00572307">
            <w:pPr>
              <w:pStyle w:val="P68B1DB1-Normal12"/>
              <w:spacing w:after="0"/>
              <w:rPr>
                <w:rFonts w:eastAsia="Times New Roman" w:cs="Times New Roman"/>
                <w:noProof/>
              </w:rPr>
            </w:pPr>
            <w:r w:rsidRPr="00BC4EE7">
              <w:rPr>
                <w:rFonts w:cs="Times New Roman"/>
                <w:noProof/>
              </w:rPr>
              <w:t>A nemzeti kiberbiztonsági ipart támogató program, a globális biztonsági innovációs program és a kapcsolódó intézkedések elindítása.</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049FA71A"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A programok közzététele</w:t>
            </w:r>
          </w:p>
        </w:tc>
        <w:tc>
          <w:tcPr>
            <w:tcW w:w="697" w:type="dxa"/>
            <w:tcBorders>
              <w:top w:val="single" w:sz="4" w:space="0" w:color="auto"/>
              <w:left w:val="single" w:sz="4" w:space="0" w:color="auto"/>
              <w:bottom w:val="single" w:sz="4" w:space="0" w:color="auto"/>
              <w:right w:val="single" w:sz="4" w:space="0" w:color="auto"/>
            </w:tcBorders>
            <w:shd w:val="clear" w:color="auto" w:fill="C6EFCE"/>
            <w:noWrap/>
          </w:tcPr>
          <w:p w14:paraId="7BDA5081" w14:textId="584E8150" w:rsidR="00D65CB4" w:rsidRPr="00BC4EE7" w:rsidRDefault="00D65CB4">
            <w:pPr>
              <w:spacing w:after="0"/>
              <w:jc w:val="center"/>
              <w:rPr>
                <w:rFonts w:ascii="Times New Roman" w:eastAsia="Times New Roman" w:hAnsi="Times New Roman" w:cs="Times New Roman"/>
                <w:noProof/>
                <w:sz w:val="18"/>
              </w:rPr>
            </w:pPr>
          </w:p>
        </w:tc>
        <w:tc>
          <w:tcPr>
            <w:tcW w:w="974" w:type="dxa"/>
            <w:tcBorders>
              <w:top w:val="single" w:sz="4" w:space="0" w:color="auto"/>
              <w:left w:val="single" w:sz="4" w:space="0" w:color="auto"/>
              <w:bottom w:val="single" w:sz="4" w:space="0" w:color="auto"/>
              <w:right w:val="single" w:sz="4" w:space="0" w:color="auto"/>
            </w:tcBorders>
            <w:shd w:val="clear" w:color="auto" w:fill="C6EFCE"/>
            <w:noWrap/>
          </w:tcPr>
          <w:p w14:paraId="014F70AF" w14:textId="1268178A" w:rsidR="00D65CB4" w:rsidRPr="00BC4EE7" w:rsidRDefault="00D65CB4">
            <w:pPr>
              <w:spacing w:after="0"/>
              <w:jc w:val="center"/>
              <w:rPr>
                <w:rFonts w:ascii="Times New Roman" w:eastAsia="Times New Roman" w:hAnsi="Times New Roman" w:cs="Times New Roman"/>
                <w:noProof/>
                <w:sz w:val="18"/>
              </w:rPr>
            </w:pP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5FA29AF3" w14:textId="088F2FA0"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 </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7C1F5103"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Q4</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5873EB9B" w14:textId="1A6BD0A3" w:rsidR="00D65CB4" w:rsidRPr="00BC4EE7" w:rsidRDefault="00572307">
            <w:pPr>
              <w:pStyle w:val="P68B1DB1-Normal12"/>
              <w:spacing w:after="0"/>
              <w:jc w:val="center"/>
              <w:rPr>
                <w:rFonts w:cs="Times New Roman"/>
                <w:noProof/>
              </w:rPr>
            </w:pPr>
            <w:r w:rsidRPr="00BC4EE7">
              <w:rPr>
                <w:rFonts w:cs="Times New Roman"/>
                <w:noProof/>
              </w:rPr>
              <w:t>2022</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72227B89" w14:textId="1476068F" w:rsidR="00D65CB4" w:rsidRPr="00BC4EE7" w:rsidRDefault="00572307">
            <w:pPr>
              <w:spacing w:after="0"/>
              <w:rPr>
                <w:rFonts w:ascii="Times New Roman" w:eastAsia="Times New Roman" w:hAnsi="Times New Roman" w:cs="Times New Roman"/>
                <w:noProof/>
                <w:sz w:val="18"/>
              </w:rPr>
            </w:pPr>
            <w:r w:rsidRPr="00BC4EE7">
              <w:rPr>
                <w:rFonts w:ascii="Times New Roman" w:hAnsi="Times New Roman" w:cs="Times New Roman"/>
                <w:noProof/>
              </w:rPr>
              <w:t>A</w:t>
            </w:r>
            <w:r w:rsidRPr="00BC4EE7">
              <w:rPr>
                <w:rFonts w:ascii="Times New Roman" w:hAnsi="Times New Roman" w:cs="Times New Roman"/>
                <w:noProof/>
                <w:sz w:val="18"/>
              </w:rPr>
              <w:t>nemzeti kiberbiztonsági ipart támogató program és a globális biztonsági innovációs program, valamint egyéb kapcsolódó intézkedések elindítása</w:t>
            </w:r>
            <w:r w:rsidRPr="00BC4EE7">
              <w:rPr>
                <w:rFonts w:ascii="Times New Roman" w:hAnsi="Times New Roman" w:cs="Times New Roman"/>
                <w:noProof/>
              </w:rPr>
              <w:t xml:space="preserve"> (311000000 eurós költségvetéssel), amelyek olyan kulcsfontosságú ágazati szempontokkal foglalkoznak, mint például:  </w:t>
            </w:r>
            <w:r w:rsidRPr="00BC4EE7">
              <w:rPr>
                <w:rFonts w:ascii="Times New Roman" w:hAnsi="Times New Roman" w:cs="Times New Roman"/>
                <w:noProof/>
              </w:rPr>
              <w:br/>
            </w:r>
            <w:r w:rsidRPr="00BC4EE7">
              <w:rPr>
                <w:rFonts w:ascii="Times New Roman" w:hAnsi="Times New Roman" w:cs="Times New Roman"/>
                <w:noProof/>
                <w:sz w:val="18"/>
              </w:rPr>
              <w:t>a nemzeti kiberbiztonsági ágazat fellendítése az ágazatban működő vállalkozások megjelenése, növekedése és fejlődése érdekében</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magas hozzáadott értéket képviselő megoldások és szolgáltatások kifejlesztése a kiberbiztonság területén</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a kiberbiztonság területére szakosodott tehetségek képzése és fejlesztése</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Nemzetközivé válási intézkedések a kiberbiztonság területén</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a kiberbiztonsági infrastruktúra fejlesztését szolgáló demonstrációs központ létrehozása és új kiberbiztonsági szolgáltatások létrehozása, beleértve a tesztlaboratóriumokat és a kiberbiztonsági támadásszimulátorokat</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kiberbiztonsági címkék tanúsításának kidolgozása.</w:t>
            </w:r>
          </w:p>
        </w:tc>
      </w:tr>
      <w:tr w:rsidR="00D65CB4" w:rsidRPr="00BC4EE7" w14:paraId="2558A584" w14:textId="77777777" w:rsidTr="00BC4EE7">
        <w:trPr>
          <w:gridAfter w:val="1"/>
          <w:wAfter w:w="6" w:type="dxa"/>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480C579D" w14:textId="50B8C22D" w:rsidR="00D65CB4" w:rsidRPr="00BC4EE7" w:rsidRDefault="00572307">
            <w:pPr>
              <w:pStyle w:val="P68B1DB1-Normal12"/>
              <w:spacing w:after="0"/>
              <w:jc w:val="center"/>
              <w:rPr>
                <w:rFonts w:cs="Times New Roman"/>
                <w:noProof/>
              </w:rPr>
            </w:pPr>
            <w:r w:rsidRPr="00BC4EE7">
              <w:rPr>
                <w:rFonts w:cs="Times New Roman"/>
                <w:noProof/>
              </w:rPr>
              <w:t>453</w:t>
            </w:r>
          </w:p>
        </w:tc>
        <w:tc>
          <w:tcPr>
            <w:tcW w:w="952" w:type="dxa"/>
            <w:tcBorders>
              <w:top w:val="single" w:sz="4" w:space="0" w:color="auto"/>
              <w:left w:val="single" w:sz="4" w:space="0" w:color="auto"/>
              <w:bottom w:val="single" w:sz="4" w:space="0" w:color="auto"/>
              <w:right w:val="single" w:sz="4" w:space="0" w:color="auto"/>
            </w:tcBorders>
            <w:shd w:val="clear" w:color="auto" w:fill="C6EFCE"/>
            <w:noWrap/>
          </w:tcPr>
          <w:p w14:paraId="1C8A01CC" w14:textId="56657FFE" w:rsidR="00D65CB4" w:rsidRPr="00BC4EE7" w:rsidRDefault="00572307">
            <w:pPr>
              <w:pStyle w:val="P68B1DB1-Normal12"/>
              <w:spacing w:after="0"/>
              <w:jc w:val="center"/>
              <w:rPr>
                <w:rFonts w:cs="Times New Roman"/>
                <w:noProof/>
              </w:rPr>
            </w:pPr>
            <w:r w:rsidRPr="00BC4EE7">
              <w:rPr>
                <w:rFonts w:cs="Times New Roman"/>
                <w:noProof/>
              </w:rPr>
              <w:t>C15.I7</w:t>
            </w:r>
          </w:p>
        </w:tc>
        <w:tc>
          <w:tcPr>
            <w:tcW w:w="1079" w:type="dxa"/>
            <w:tcBorders>
              <w:top w:val="single" w:sz="4" w:space="0" w:color="auto"/>
              <w:left w:val="single" w:sz="4" w:space="0" w:color="auto"/>
              <w:bottom w:val="single" w:sz="4" w:space="0" w:color="auto"/>
              <w:right w:val="single" w:sz="4" w:space="0" w:color="auto"/>
            </w:tcBorders>
            <w:shd w:val="clear" w:color="auto" w:fill="C6EFCE"/>
            <w:noWrap/>
          </w:tcPr>
          <w:p w14:paraId="7573A7D4" w14:textId="19BE73E8" w:rsidR="00D65CB4" w:rsidRPr="00BC4EE7" w:rsidRDefault="00572307">
            <w:pPr>
              <w:pStyle w:val="P68B1DB1-Normal12"/>
              <w:spacing w:after="0"/>
              <w:jc w:val="center"/>
              <w:rPr>
                <w:rFonts w:cs="Times New Roman"/>
                <w:noProof/>
              </w:rPr>
            </w:pPr>
            <w:r w:rsidRPr="00BC4EE7">
              <w:rPr>
                <w:rFonts w:cs="Times New Roman"/>
                <w:noProof/>
              </w:rPr>
              <w:t>M</w:t>
            </w:r>
          </w:p>
        </w:tc>
        <w:tc>
          <w:tcPr>
            <w:tcW w:w="2144" w:type="dxa"/>
            <w:tcBorders>
              <w:top w:val="single" w:sz="4" w:space="0" w:color="auto"/>
              <w:left w:val="single" w:sz="4" w:space="0" w:color="auto"/>
              <w:bottom w:val="single" w:sz="4" w:space="0" w:color="auto"/>
              <w:right w:val="single" w:sz="4" w:space="0" w:color="auto"/>
            </w:tcBorders>
            <w:shd w:val="clear" w:color="auto" w:fill="C6EFCE"/>
            <w:noWrap/>
          </w:tcPr>
          <w:p w14:paraId="70FA5D1C" w14:textId="77777777" w:rsidR="00D65CB4" w:rsidRPr="00BC4EE7" w:rsidRDefault="00572307">
            <w:pPr>
              <w:pStyle w:val="P68B1DB1-Normal12"/>
              <w:spacing w:after="0"/>
              <w:rPr>
                <w:rFonts w:cs="Times New Roman"/>
                <w:noProof/>
              </w:rPr>
            </w:pPr>
            <w:r w:rsidRPr="00BC4EE7">
              <w:rPr>
                <w:rFonts w:cs="Times New Roman"/>
                <w:noProof/>
              </w:rPr>
              <w:t>A nemzeti kiberbiztonsági ipart támogató program, a globális biztonsági innovációs program és a kapcsolódó intézkedések elindítása.</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4FD2E6FE" w14:textId="77777777" w:rsidR="00D65CB4" w:rsidRPr="00BC4EE7" w:rsidRDefault="00572307">
            <w:pPr>
              <w:pStyle w:val="P68B1DB1-Normal12"/>
              <w:spacing w:after="0"/>
              <w:jc w:val="center"/>
              <w:rPr>
                <w:rFonts w:cs="Times New Roman"/>
                <w:noProof/>
              </w:rPr>
            </w:pPr>
            <w:r w:rsidRPr="00BC4EE7">
              <w:rPr>
                <w:rFonts w:cs="Times New Roman"/>
                <w:noProof/>
              </w:rPr>
              <w:t>A programok közzététele</w:t>
            </w:r>
          </w:p>
        </w:tc>
        <w:tc>
          <w:tcPr>
            <w:tcW w:w="697" w:type="dxa"/>
            <w:tcBorders>
              <w:top w:val="single" w:sz="4" w:space="0" w:color="auto"/>
              <w:left w:val="single" w:sz="4" w:space="0" w:color="auto"/>
              <w:bottom w:val="single" w:sz="4" w:space="0" w:color="auto"/>
              <w:right w:val="single" w:sz="4" w:space="0" w:color="auto"/>
            </w:tcBorders>
            <w:shd w:val="clear" w:color="auto" w:fill="C6EFCE"/>
            <w:noWrap/>
          </w:tcPr>
          <w:p w14:paraId="68F486CC" w14:textId="7A1F42A4" w:rsidR="00D65CB4" w:rsidRPr="00BC4EE7" w:rsidRDefault="00D65CB4">
            <w:pPr>
              <w:spacing w:after="0"/>
              <w:jc w:val="center"/>
              <w:rPr>
                <w:rFonts w:ascii="Times New Roman" w:hAnsi="Times New Roman" w:cs="Times New Roman"/>
                <w:noProof/>
                <w:sz w:val="18"/>
              </w:rPr>
            </w:pPr>
          </w:p>
        </w:tc>
        <w:tc>
          <w:tcPr>
            <w:tcW w:w="974" w:type="dxa"/>
            <w:tcBorders>
              <w:top w:val="single" w:sz="4" w:space="0" w:color="auto"/>
              <w:left w:val="single" w:sz="4" w:space="0" w:color="auto"/>
              <w:bottom w:val="single" w:sz="4" w:space="0" w:color="auto"/>
              <w:right w:val="single" w:sz="4" w:space="0" w:color="auto"/>
            </w:tcBorders>
            <w:shd w:val="clear" w:color="auto" w:fill="C6EFCE"/>
            <w:noWrap/>
          </w:tcPr>
          <w:p w14:paraId="07E428DD" w14:textId="3CD1FCF6" w:rsidR="00D65CB4" w:rsidRPr="00BC4EE7" w:rsidRDefault="00D65CB4">
            <w:pPr>
              <w:spacing w:after="0"/>
              <w:jc w:val="center"/>
              <w:rPr>
                <w:rFonts w:ascii="Times New Roman" w:hAnsi="Times New Roman" w:cs="Times New Roman"/>
                <w:noProof/>
                <w:sz w:val="18"/>
              </w:rPr>
            </w:pP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57005736" w14:textId="42F6C17F" w:rsidR="00D65CB4" w:rsidRPr="00BC4EE7" w:rsidRDefault="00D65CB4">
            <w:pPr>
              <w:spacing w:after="0"/>
              <w:jc w:val="center"/>
              <w:rPr>
                <w:rFonts w:ascii="Times New Roman" w:hAnsi="Times New Roman" w:cs="Times New Roman"/>
                <w:noProof/>
                <w:sz w:val="18"/>
              </w:rPr>
            </w:pP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431EA3E9" w14:textId="77777777" w:rsidR="00D65CB4" w:rsidRPr="00BC4EE7" w:rsidRDefault="00572307">
            <w:pPr>
              <w:pStyle w:val="P68B1DB1-Normal12"/>
              <w:spacing w:after="0"/>
              <w:jc w:val="center"/>
              <w:rPr>
                <w:rFonts w:cs="Times New Roman"/>
                <w:noProof/>
              </w:rPr>
            </w:pPr>
            <w:r w:rsidRPr="00BC4EE7">
              <w:rPr>
                <w:rFonts w:cs="Times New Roman"/>
                <w:noProof/>
              </w:rPr>
              <w:t>Q2</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0982EDB3" w14:textId="3540BD27" w:rsidR="00D65CB4" w:rsidRPr="00BC4EE7" w:rsidRDefault="00572307">
            <w:pPr>
              <w:pStyle w:val="P68B1DB1-Normal12"/>
              <w:spacing w:after="0"/>
              <w:jc w:val="center"/>
              <w:rPr>
                <w:rFonts w:cs="Times New Roman"/>
                <w:noProof/>
              </w:rPr>
            </w:pPr>
            <w:r w:rsidRPr="00BC4EE7">
              <w:rPr>
                <w:rFonts w:cs="Times New Roman"/>
                <w:noProof/>
              </w:rPr>
              <w:t>2023</w:t>
            </w:r>
          </w:p>
        </w:tc>
        <w:tc>
          <w:tcPr>
            <w:tcW w:w="5563" w:type="dxa"/>
            <w:tcBorders>
              <w:top w:val="single" w:sz="4" w:space="0" w:color="auto"/>
              <w:left w:val="single" w:sz="4" w:space="0" w:color="auto"/>
              <w:bottom w:val="single" w:sz="4" w:space="0" w:color="auto"/>
              <w:right w:val="single" w:sz="4" w:space="0" w:color="auto"/>
            </w:tcBorders>
            <w:shd w:val="clear" w:color="auto" w:fill="C6EFCE"/>
            <w:noWrap/>
          </w:tcPr>
          <w:p w14:paraId="7EE5AD83" w14:textId="402D3BA8" w:rsidR="00D65CB4" w:rsidRPr="00BC4EE7" w:rsidRDefault="00572307">
            <w:pPr>
              <w:spacing w:after="0"/>
              <w:rPr>
                <w:rFonts w:ascii="Times New Roman" w:hAnsi="Times New Roman" w:cs="Times New Roman"/>
                <w:noProof/>
                <w:sz w:val="18"/>
              </w:rPr>
            </w:pPr>
            <w:r w:rsidRPr="00BC4EE7">
              <w:rPr>
                <w:rFonts w:ascii="Times New Roman" w:hAnsi="Times New Roman" w:cs="Times New Roman"/>
                <w:noProof/>
              </w:rPr>
              <w:t>A</w:t>
            </w:r>
            <w:r w:rsidRPr="00BC4EE7">
              <w:rPr>
                <w:rFonts w:ascii="Times New Roman" w:hAnsi="Times New Roman" w:cs="Times New Roman"/>
                <w:noProof/>
                <w:sz w:val="18"/>
              </w:rPr>
              <w:t xml:space="preserve">nemzeti kiberipari támogatási program és a globális biztonsági innovációs program és egyéb kapcsolódó intézkedések végrehajtásának 245. mérföldkövéből való folytatása (a 245. mérföldkő keretében összesen 418 000 000 EUR-ra előirányzott 311 000 000 EUR-n felül 107000000 eurós költségvetéssel), amely olyan kulcsfontosságú ágazati szempontokkal foglalkozik, mint például: </w:t>
            </w:r>
          </w:p>
          <w:p w14:paraId="4C3E715A" w14:textId="77777777" w:rsidR="00D65CB4" w:rsidRPr="00BC4EE7" w:rsidRDefault="00572307">
            <w:pPr>
              <w:pStyle w:val="P68B1DB1-Normal12"/>
              <w:spacing w:after="0"/>
              <w:rPr>
                <w:rFonts w:cs="Times New Roman"/>
                <w:noProof/>
              </w:rPr>
            </w:pPr>
            <w:r w:rsidRPr="00BC4EE7">
              <w:rPr>
                <w:rFonts w:cs="Times New Roman"/>
                <w:noProof/>
              </w:rPr>
              <w:t xml:space="preserve">a nemzeti kiberbiztonsági ágazat fellendítése az ágazatban működő vállalkozások megjelenése, növekedése és fejlődése érdekében; </w:t>
            </w:r>
          </w:p>
          <w:p w14:paraId="128F5FCB" w14:textId="77777777" w:rsidR="00D65CB4" w:rsidRPr="00BC4EE7" w:rsidRDefault="00572307">
            <w:pPr>
              <w:pStyle w:val="P68B1DB1-Normal12"/>
              <w:spacing w:after="0"/>
              <w:rPr>
                <w:rFonts w:cs="Times New Roman"/>
                <w:noProof/>
              </w:rPr>
            </w:pPr>
            <w:r w:rsidRPr="00BC4EE7">
              <w:rPr>
                <w:rFonts w:cs="Times New Roman"/>
                <w:noProof/>
              </w:rPr>
              <w:t xml:space="preserve">magas hozzáadott értéket képviselő megoldások és szolgáltatások kifejlesztése a kiberbiztonság területén </w:t>
            </w:r>
          </w:p>
          <w:p w14:paraId="215A96E9" w14:textId="77777777" w:rsidR="00D65CB4" w:rsidRPr="00BC4EE7" w:rsidRDefault="00572307">
            <w:pPr>
              <w:pStyle w:val="P68B1DB1-Normal12"/>
              <w:spacing w:after="0"/>
              <w:rPr>
                <w:rFonts w:cs="Times New Roman"/>
                <w:noProof/>
              </w:rPr>
            </w:pPr>
            <w:r w:rsidRPr="00BC4EE7">
              <w:rPr>
                <w:rFonts w:cs="Times New Roman"/>
                <w:noProof/>
              </w:rPr>
              <w:t xml:space="preserve">a kiberbiztonság területére szakosodott tehetségek képzése és fejlesztése </w:t>
            </w:r>
          </w:p>
          <w:p w14:paraId="2B5C29E9" w14:textId="77777777" w:rsidR="00D65CB4" w:rsidRPr="00BC4EE7" w:rsidRDefault="00572307">
            <w:pPr>
              <w:pStyle w:val="P68B1DB1-Normal12"/>
              <w:spacing w:after="0"/>
              <w:rPr>
                <w:rFonts w:cs="Times New Roman"/>
                <w:noProof/>
              </w:rPr>
            </w:pPr>
            <w:r w:rsidRPr="00BC4EE7">
              <w:rPr>
                <w:rFonts w:cs="Times New Roman"/>
                <w:noProof/>
              </w:rPr>
              <w:t xml:space="preserve">nemzetközivé válási intézkedések a kiberbiztonság területén; </w:t>
            </w:r>
          </w:p>
          <w:p w14:paraId="09C08B24" w14:textId="77777777" w:rsidR="00D65CB4" w:rsidRPr="00BC4EE7" w:rsidRDefault="00572307">
            <w:pPr>
              <w:pStyle w:val="P68B1DB1-Normal12"/>
              <w:spacing w:after="0"/>
              <w:rPr>
                <w:rFonts w:cs="Times New Roman"/>
                <w:noProof/>
              </w:rPr>
            </w:pPr>
            <w:r w:rsidRPr="00BC4EE7">
              <w:rPr>
                <w:rFonts w:cs="Times New Roman"/>
                <w:noProof/>
              </w:rPr>
              <w:t xml:space="preserve">a kiberbiztonsági infrastruktúra fejlesztését szolgáló demonstrációs központ létrehozása és új kiberbiztonsági szolgáltatások létrehozása, beleértve a tesztlaboratóriumokat és a kiberbiztonsági támadásszimulátorokat </w:t>
            </w:r>
          </w:p>
          <w:p w14:paraId="3AA6A019" w14:textId="0E4BC905" w:rsidR="00D65CB4" w:rsidRPr="00BC4EE7" w:rsidRDefault="00572307">
            <w:pPr>
              <w:pStyle w:val="P68B1DB1-Normal12"/>
              <w:spacing w:after="0"/>
              <w:rPr>
                <w:rFonts w:cs="Times New Roman"/>
                <w:noProof/>
              </w:rPr>
            </w:pPr>
            <w:r w:rsidRPr="00BC4EE7">
              <w:rPr>
                <w:rFonts w:cs="Times New Roman"/>
                <w:noProof/>
              </w:rPr>
              <w:t>– kiberbiztonsági címkék tanúsításának kidolgozása.</w:t>
            </w:r>
          </w:p>
        </w:tc>
      </w:tr>
      <w:tr w:rsidR="00D65CB4" w:rsidRPr="00BC4EE7" w14:paraId="499C6D84" w14:textId="77777777" w:rsidTr="00BC4EE7">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54D288E7"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246</w:t>
            </w:r>
          </w:p>
        </w:tc>
        <w:tc>
          <w:tcPr>
            <w:tcW w:w="952" w:type="dxa"/>
            <w:tcBorders>
              <w:top w:val="single" w:sz="4" w:space="0" w:color="auto"/>
              <w:left w:val="single" w:sz="4" w:space="0" w:color="auto"/>
              <w:bottom w:val="single" w:sz="4" w:space="0" w:color="auto"/>
              <w:right w:val="single" w:sz="4" w:space="0" w:color="auto"/>
            </w:tcBorders>
            <w:shd w:val="clear" w:color="auto" w:fill="C6EFCE"/>
            <w:noWrap/>
          </w:tcPr>
          <w:p w14:paraId="2BDAD87E"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C15.I7</w:t>
            </w:r>
          </w:p>
        </w:tc>
        <w:tc>
          <w:tcPr>
            <w:tcW w:w="1079" w:type="dxa"/>
            <w:tcBorders>
              <w:top w:val="single" w:sz="4" w:space="0" w:color="auto"/>
              <w:left w:val="single" w:sz="4" w:space="0" w:color="auto"/>
              <w:bottom w:val="single" w:sz="4" w:space="0" w:color="auto"/>
              <w:right w:val="single" w:sz="4" w:space="0" w:color="auto"/>
            </w:tcBorders>
            <w:shd w:val="clear" w:color="auto" w:fill="C6EFCE"/>
            <w:noWrap/>
          </w:tcPr>
          <w:p w14:paraId="05B013B2"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T</w:t>
            </w:r>
          </w:p>
        </w:tc>
        <w:tc>
          <w:tcPr>
            <w:tcW w:w="2144" w:type="dxa"/>
            <w:tcBorders>
              <w:top w:val="single" w:sz="4" w:space="0" w:color="auto"/>
              <w:left w:val="single" w:sz="4" w:space="0" w:color="auto"/>
              <w:bottom w:val="single" w:sz="4" w:space="0" w:color="auto"/>
              <w:right w:val="single" w:sz="4" w:space="0" w:color="auto"/>
            </w:tcBorders>
            <w:shd w:val="clear" w:color="auto" w:fill="C6EFCE"/>
            <w:noWrap/>
          </w:tcPr>
          <w:p w14:paraId="4EF056CD" w14:textId="77777777" w:rsidR="00D65CB4" w:rsidRPr="00BC4EE7" w:rsidRDefault="00572307">
            <w:pPr>
              <w:pStyle w:val="P68B1DB1-Normal12"/>
              <w:spacing w:after="0"/>
              <w:rPr>
                <w:rFonts w:eastAsia="Times New Roman" w:cs="Times New Roman"/>
                <w:noProof/>
              </w:rPr>
            </w:pPr>
            <w:r w:rsidRPr="00BC4EE7">
              <w:rPr>
                <w:rFonts w:cs="Times New Roman"/>
                <w:noProof/>
              </w:rPr>
              <w:t>A kiberbiztonsági kapacitások megerősítése és javítása: Erőforrások</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753EC6B8"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w:t>
            </w:r>
          </w:p>
        </w:tc>
        <w:tc>
          <w:tcPr>
            <w:tcW w:w="697" w:type="dxa"/>
            <w:tcBorders>
              <w:top w:val="single" w:sz="4" w:space="0" w:color="auto"/>
              <w:left w:val="single" w:sz="4" w:space="0" w:color="auto"/>
              <w:bottom w:val="single" w:sz="4" w:space="0" w:color="auto"/>
              <w:right w:val="single" w:sz="4" w:space="0" w:color="auto"/>
            </w:tcBorders>
            <w:shd w:val="clear" w:color="auto" w:fill="C6EFCE"/>
            <w:noWrap/>
          </w:tcPr>
          <w:p w14:paraId="045A6F4B"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Szám</w:t>
            </w:r>
          </w:p>
        </w:tc>
        <w:tc>
          <w:tcPr>
            <w:tcW w:w="974" w:type="dxa"/>
            <w:tcBorders>
              <w:top w:val="single" w:sz="4" w:space="0" w:color="auto"/>
              <w:left w:val="single" w:sz="4" w:space="0" w:color="auto"/>
              <w:bottom w:val="single" w:sz="4" w:space="0" w:color="auto"/>
              <w:right w:val="single" w:sz="4" w:space="0" w:color="auto"/>
            </w:tcBorders>
            <w:shd w:val="clear" w:color="auto" w:fill="C6EFCE"/>
            <w:noWrap/>
          </w:tcPr>
          <w:p w14:paraId="1C6C39D5"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0</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7EF372F2"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100</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5C8DB48F"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Q4</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4354BB86"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2023</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24AADAE6" w14:textId="77777777" w:rsidR="00D65CB4" w:rsidRPr="00BC4EE7" w:rsidRDefault="00572307">
            <w:pPr>
              <w:pStyle w:val="P68B1DB1-Normal12"/>
              <w:spacing w:after="0"/>
              <w:rPr>
                <w:rFonts w:eastAsia="Times New Roman" w:cs="Times New Roman"/>
                <w:noProof/>
              </w:rPr>
            </w:pPr>
            <w:r w:rsidRPr="00BC4EE7">
              <w:rPr>
                <w:rFonts w:cs="Times New Roman"/>
                <w:noProof/>
              </w:rPr>
              <w:t>A kiberbiztonsági kapacitások megerősítése és javítása legalább 100 erőforrás rendelkezésre bocsátásával a kiberbiztonsággal kapcsolatos tudatosságnövelő és kommunikációs tevékenységekhez. A kiberbiztonsággal kapcsolatos digitális készségeket az oktatás minden szintjén fejleszteni kell, konkrét erőforrások, eszközök és anyagok kifejlesztése révén. Ezenkívül létre kell hozni a kiberbiztonsági központok európai hálózatában részt vevő nemzetközi kiberbiztonsági központot.</w:t>
            </w:r>
          </w:p>
        </w:tc>
      </w:tr>
      <w:tr w:rsidR="00D65CB4" w:rsidRPr="00BC4EE7" w14:paraId="5AE9C9F7" w14:textId="77777777" w:rsidTr="00BC4EE7">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11223121" w14:textId="77777777" w:rsidR="00D65CB4" w:rsidRPr="00BC4EE7" w:rsidRDefault="00572307">
            <w:pPr>
              <w:pStyle w:val="P68B1DB1-Normal12"/>
              <w:spacing w:after="0"/>
              <w:jc w:val="center"/>
              <w:rPr>
                <w:rFonts w:cs="Times New Roman"/>
                <w:noProof/>
              </w:rPr>
            </w:pPr>
            <w:r w:rsidRPr="00BC4EE7">
              <w:rPr>
                <w:rFonts w:cs="Times New Roman"/>
                <w:noProof/>
              </w:rPr>
              <w:t>247</w:t>
            </w:r>
          </w:p>
        </w:tc>
        <w:tc>
          <w:tcPr>
            <w:tcW w:w="952" w:type="dxa"/>
            <w:tcBorders>
              <w:top w:val="single" w:sz="4" w:space="0" w:color="auto"/>
              <w:left w:val="single" w:sz="4" w:space="0" w:color="auto"/>
              <w:bottom w:val="single" w:sz="4" w:space="0" w:color="auto"/>
              <w:right w:val="single" w:sz="4" w:space="0" w:color="auto"/>
            </w:tcBorders>
            <w:shd w:val="clear" w:color="auto" w:fill="C6EFCE"/>
            <w:noWrap/>
          </w:tcPr>
          <w:p w14:paraId="67C38019" w14:textId="77777777" w:rsidR="00D65CB4" w:rsidRPr="00BC4EE7" w:rsidRDefault="00572307">
            <w:pPr>
              <w:pStyle w:val="P68B1DB1-Normal12"/>
              <w:spacing w:after="0"/>
              <w:jc w:val="center"/>
              <w:rPr>
                <w:rFonts w:cs="Times New Roman"/>
                <w:noProof/>
              </w:rPr>
            </w:pPr>
            <w:r w:rsidRPr="00BC4EE7">
              <w:rPr>
                <w:rFonts w:cs="Times New Roman"/>
                <w:noProof/>
              </w:rPr>
              <w:t>C15.I7</w:t>
            </w:r>
          </w:p>
        </w:tc>
        <w:tc>
          <w:tcPr>
            <w:tcW w:w="1079" w:type="dxa"/>
            <w:tcBorders>
              <w:top w:val="single" w:sz="4" w:space="0" w:color="auto"/>
              <w:left w:val="single" w:sz="4" w:space="0" w:color="auto"/>
              <w:bottom w:val="single" w:sz="4" w:space="0" w:color="auto"/>
              <w:right w:val="single" w:sz="4" w:space="0" w:color="auto"/>
            </w:tcBorders>
            <w:shd w:val="clear" w:color="auto" w:fill="C6EFCE"/>
            <w:noWrap/>
          </w:tcPr>
          <w:p w14:paraId="5216395D" w14:textId="77777777" w:rsidR="00D65CB4" w:rsidRPr="00BC4EE7" w:rsidRDefault="00572307">
            <w:pPr>
              <w:pStyle w:val="P68B1DB1-Normal12"/>
              <w:spacing w:after="0"/>
              <w:jc w:val="center"/>
              <w:rPr>
                <w:rFonts w:cs="Times New Roman"/>
                <w:noProof/>
              </w:rPr>
            </w:pPr>
            <w:r w:rsidRPr="00BC4EE7">
              <w:rPr>
                <w:rFonts w:cs="Times New Roman"/>
                <w:noProof/>
              </w:rPr>
              <w:t>T</w:t>
            </w:r>
          </w:p>
        </w:tc>
        <w:tc>
          <w:tcPr>
            <w:tcW w:w="2144" w:type="dxa"/>
            <w:tcBorders>
              <w:top w:val="single" w:sz="4" w:space="0" w:color="auto"/>
              <w:left w:val="single" w:sz="4" w:space="0" w:color="auto"/>
              <w:bottom w:val="single" w:sz="4" w:space="0" w:color="auto"/>
              <w:right w:val="single" w:sz="4" w:space="0" w:color="auto"/>
            </w:tcBorders>
            <w:shd w:val="clear" w:color="auto" w:fill="C6EFCE"/>
            <w:noWrap/>
          </w:tcPr>
          <w:p w14:paraId="39A38F69" w14:textId="77777777" w:rsidR="00D65CB4" w:rsidRPr="00BC4EE7" w:rsidRDefault="00572307">
            <w:pPr>
              <w:pStyle w:val="P68B1DB1-Normal12"/>
              <w:spacing w:after="0"/>
              <w:rPr>
                <w:rFonts w:cs="Times New Roman"/>
                <w:noProof/>
              </w:rPr>
            </w:pPr>
            <w:r w:rsidRPr="00BC4EE7">
              <w:rPr>
                <w:rFonts w:cs="Times New Roman"/>
                <w:noProof/>
              </w:rPr>
              <w:t>A kiberbiztonsági kapacitások megerősítése és javítása: Kiberbiztonsági segélyvonal</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52C174D4" w14:textId="77777777" w:rsidR="00D65CB4" w:rsidRPr="00BC4EE7" w:rsidRDefault="00572307">
            <w:pPr>
              <w:pStyle w:val="P68B1DB1-Normal12"/>
              <w:spacing w:after="0"/>
              <w:jc w:val="center"/>
              <w:rPr>
                <w:rFonts w:cs="Times New Roman"/>
                <w:noProof/>
              </w:rPr>
            </w:pPr>
            <w:r w:rsidRPr="00BC4EE7">
              <w:rPr>
                <w:rFonts w:cs="Times New Roman"/>
                <w:noProof/>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C6EFCE"/>
            <w:noWrap/>
          </w:tcPr>
          <w:p w14:paraId="62ABC001" w14:textId="77777777" w:rsidR="00D65CB4" w:rsidRPr="00BC4EE7" w:rsidRDefault="00572307">
            <w:pPr>
              <w:pStyle w:val="P68B1DB1-Normal12"/>
              <w:spacing w:after="0"/>
              <w:jc w:val="right"/>
              <w:rPr>
                <w:rFonts w:cs="Times New Roman"/>
                <w:noProof/>
              </w:rPr>
            </w:pPr>
            <w:r w:rsidRPr="00BC4EE7">
              <w:rPr>
                <w:rFonts w:cs="Times New Roman"/>
                <w:noProof/>
              </w:rPr>
              <w:t>Szám</w:t>
            </w:r>
          </w:p>
        </w:tc>
        <w:tc>
          <w:tcPr>
            <w:tcW w:w="974" w:type="dxa"/>
            <w:tcBorders>
              <w:top w:val="single" w:sz="4" w:space="0" w:color="auto"/>
              <w:left w:val="single" w:sz="4" w:space="0" w:color="auto"/>
              <w:bottom w:val="single" w:sz="4" w:space="0" w:color="auto"/>
              <w:right w:val="single" w:sz="4" w:space="0" w:color="auto"/>
            </w:tcBorders>
            <w:shd w:val="clear" w:color="auto" w:fill="C6EFCE"/>
            <w:noWrap/>
          </w:tcPr>
          <w:p w14:paraId="71F1E224" w14:textId="77777777" w:rsidR="00D65CB4" w:rsidRPr="00BC4EE7" w:rsidRDefault="00572307">
            <w:pPr>
              <w:pStyle w:val="P68B1DB1-Normal12"/>
              <w:spacing w:after="0"/>
              <w:jc w:val="right"/>
              <w:rPr>
                <w:rFonts w:cs="Times New Roman"/>
                <w:noProof/>
              </w:rPr>
            </w:pPr>
            <w:r w:rsidRPr="00BC4EE7">
              <w:rPr>
                <w:rFonts w:cs="Times New Roman"/>
                <w:noProof/>
              </w:rPr>
              <w:t>5 000</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677D81FA" w14:textId="77777777" w:rsidR="00D65CB4" w:rsidRPr="00BC4EE7" w:rsidRDefault="00572307">
            <w:pPr>
              <w:pStyle w:val="P68B1DB1-Normal12"/>
              <w:spacing w:after="0"/>
              <w:jc w:val="right"/>
              <w:rPr>
                <w:rFonts w:cs="Times New Roman"/>
                <w:noProof/>
              </w:rPr>
            </w:pPr>
            <w:r w:rsidRPr="00BC4EE7">
              <w:rPr>
                <w:rFonts w:cs="Times New Roman"/>
                <w:noProof/>
              </w:rPr>
              <w:t>20 000</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54F03A3F" w14:textId="77777777" w:rsidR="00D65CB4" w:rsidRPr="00BC4EE7" w:rsidRDefault="00572307">
            <w:pPr>
              <w:pStyle w:val="P68B1DB1-Normal12"/>
              <w:spacing w:after="0"/>
              <w:jc w:val="center"/>
              <w:rPr>
                <w:rFonts w:cs="Times New Roman"/>
                <w:noProof/>
              </w:rPr>
            </w:pPr>
            <w:r w:rsidRPr="00BC4EE7">
              <w:rPr>
                <w:rFonts w:cs="Times New Roman"/>
                <w:noProof/>
              </w:rPr>
              <w:t>Q4</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1EF76858" w14:textId="0FA55558" w:rsidR="00D65CB4" w:rsidRPr="00BC4EE7" w:rsidRDefault="00572307">
            <w:pPr>
              <w:pStyle w:val="P68B1DB1-Normal12"/>
              <w:spacing w:after="0"/>
              <w:jc w:val="center"/>
              <w:rPr>
                <w:rFonts w:cs="Times New Roman"/>
                <w:noProof/>
              </w:rPr>
            </w:pPr>
            <w:r w:rsidRPr="00BC4EE7">
              <w:rPr>
                <w:rFonts w:cs="Times New Roman"/>
                <w:noProof/>
              </w:rPr>
              <w:t>2022</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146AA933" w14:textId="77777777" w:rsidR="00D65CB4" w:rsidRPr="00BC4EE7" w:rsidRDefault="00572307">
            <w:pPr>
              <w:pStyle w:val="P68B1DB1-Normal12"/>
              <w:spacing w:after="0"/>
              <w:rPr>
                <w:rFonts w:cs="Times New Roman"/>
                <w:noProof/>
              </w:rPr>
            </w:pPr>
            <w:r w:rsidRPr="00BC4EE7">
              <w:rPr>
                <w:rFonts w:cs="Times New Roman"/>
                <w:noProof/>
              </w:rPr>
              <w:t>A kiberbiztonsági kapacitások megerősítése a Nemzeti Kiberbiztonsági Intézet (INCIBE) kiberbiztonsági segélyvonalának javításával, havonta legalább 20000 felhívás feldolgozásával. Ez a segélyvonal a gyermekek szexuális bántalmazását ábrázoló anyagok internetes források (CSAM) céljából történő eltávolítását is támogatja.</w:t>
            </w:r>
          </w:p>
        </w:tc>
      </w:tr>
      <w:tr w:rsidR="00D65CB4" w:rsidRPr="00BC4EE7" w14:paraId="30A996CB" w14:textId="77777777" w:rsidTr="00BC4EE7">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55F5EAA9" w14:textId="77777777" w:rsidR="00D65CB4" w:rsidRPr="00BC4EE7" w:rsidRDefault="00572307">
            <w:pPr>
              <w:pStyle w:val="P68B1DB1-Normal12"/>
              <w:spacing w:after="0"/>
              <w:jc w:val="center"/>
              <w:rPr>
                <w:rFonts w:cs="Times New Roman"/>
                <w:noProof/>
                <w:highlight w:val="yellow"/>
              </w:rPr>
            </w:pPr>
            <w:r w:rsidRPr="00BC4EE7">
              <w:rPr>
                <w:rFonts w:cs="Times New Roman"/>
                <w:noProof/>
              </w:rPr>
              <w:t>248</w:t>
            </w:r>
          </w:p>
        </w:tc>
        <w:tc>
          <w:tcPr>
            <w:tcW w:w="952" w:type="dxa"/>
            <w:tcBorders>
              <w:top w:val="single" w:sz="4" w:space="0" w:color="auto"/>
              <w:left w:val="single" w:sz="4" w:space="0" w:color="auto"/>
              <w:bottom w:val="single" w:sz="4" w:space="0" w:color="auto"/>
              <w:right w:val="single" w:sz="4" w:space="0" w:color="auto"/>
            </w:tcBorders>
            <w:shd w:val="clear" w:color="auto" w:fill="C6EFCE"/>
            <w:noWrap/>
          </w:tcPr>
          <w:p w14:paraId="56383EBE" w14:textId="77777777" w:rsidR="00D65CB4" w:rsidRPr="00BC4EE7" w:rsidRDefault="00572307">
            <w:pPr>
              <w:pStyle w:val="P68B1DB1-Normal12"/>
              <w:spacing w:after="0"/>
              <w:jc w:val="center"/>
              <w:rPr>
                <w:rFonts w:cs="Times New Roman"/>
                <w:noProof/>
              </w:rPr>
            </w:pPr>
            <w:r w:rsidRPr="00BC4EE7">
              <w:rPr>
                <w:rFonts w:cs="Times New Roman"/>
                <w:noProof/>
              </w:rPr>
              <w:t>C15.I7</w:t>
            </w:r>
          </w:p>
        </w:tc>
        <w:tc>
          <w:tcPr>
            <w:tcW w:w="1079" w:type="dxa"/>
            <w:tcBorders>
              <w:top w:val="single" w:sz="4" w:space="0" w:color="auto"/>
              <w:left w:val="single" w:sz="4" w:space="0" w:color="auto"/>
              <w:bottom w:val="single" w:sz="4" w:space="0" w:color="auto"/>
              <w:right w:val="single" w:sz="4" w:space="0" w:color="auto"/>
            </w:tcBorders>
            <w:shd w:val="clear" w:color="auto" w:fill="C6EFCE"/>
            <w:noWrap/>
          </w:tcPr>
          <w:p w14:paraId="46CBE7B3" w14:textId="77777777" w:rsidR="00D65CB4" w:rsidRPr="00BC4EE7" w:rsidRDefault="00572307">
            <w:pPr>
              <w:pStyle w:val="P68B1DB1-Normal12"/>
              <w:spacing w:after="0"/>
              <w:jc w:val="center"/>
              <w:rPr>
                <w:rFonts w:cs="Times New Roman"/>
                <w:noProof/>
              </w:rPr>
            </w:pPr>
            <w:r w:rsidRPr="00BC4EE7">
              <w:rPr>
                <w:rFonts w:cs="Times New Roman"/>
                <w:noProof/>
              </w:rPr>
              <w:t>M</w:t>
            </w:r>
          </w:p>
        </w:tc>
        <w:tc>
          <w:tcPr>
            <w:tcW w:w="2144" w:type="dxa"/>
            <w:tcBorders>
              <w:top w:val="single" w:sz="4" w:space="0" w:color="auto"/>
              <w:left w:val="single" w:sz="4" w:space="0" w:color="auto"/>
              <w:bottom w:val="single" w:sz="4" w:space="0" w:color="auto"/>
              <w:right w:val="single" w:sz="4" w:space="0" w:color="auto"/>
            </w:tcBorders>
            <w:shd w:val="clear" w:color="auto" w:fill="C6EFCE"/>
            <w:noWrap/>
          </w:tcPr>
          <w:p w14:paraId="17848E5A" w14:textId="77777777" w:rsidR="00D65CB4" w:rsidRPr="00BC4EE7" w:rsidRDefault="00572307">
            <w:pPr>
              <w:pStyle w:val="P68B1DB1-Normal12"/>
              <w:spacing w:after="0"/>
              <w:rPr>
                <w:rFonts w:cs="Times New Roman"/>
                <w:noProof/>
              </w:rPr>
            </w:pPr>
            <w:r w:rsidRPr="00BC4EE7">
              <w:rPr>
                <w:rFonts w:cs="Times New Roman"/>
                <w:noProof/>
              </w:rPr>
              <w:t>A nemzeti kiberbiztonsági ipart támogató program, a globális biztonsági innovációs program és a kapcsolódó intézkedések projektjeinek lezárása.</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5355E1BE" w14:textId="77777777" w:rsidR="00D65CB4" w:rsidRPr="00BC4EE7" w:rsidRDefault="00572307">
            <w:pPr>
              <w:pStyle w:val="P68B1DB1-Normal12"/>
              <w:spacing w:after="0"/>
              <w:jc w:val="center"/>
              <w:rPr>
                <w:rFonts w:cs="Times New Roman"/>
                <w:noProof/>
              </w:rPr>
            </w:pPr>
            <w:r w:rsidRPr="00BC4EE7">
              <w:rPr>
                <w:rFonts w:cs="Times New Roman"/>
                <w:noProof/>
              </w:rPr>
              <w:t>Értesítés a beruházási projektek befejezéséről</w:t>
            </w:r>
          </w:p>
        </w:tc>
        <w:tc>
          <w:tcPr>
            <w:tcW w:w="697" w:type="dxa"/>
            <w:tcBorders>
              <w:top w:val="single" w:sz="4" w:space="0" w:color="auto"/>
              <w:left w:val="single" w:sz="4" w:space="0" w:color="auto"/>
              <w:bottom w:val="single" w:sz="4" w:space="0" w:color="auto"/>
              <w:right w:val="single" w:sz="4" w:space="0" w:color="auto"/>
            </w:tcBorders>
            <w:shd w:val="clear" w:color="auto" w:fill="C6EFCE"/>
            <w:noWrap/>
          </w:tcPr>
          <w:p w14:paraId="20C22811" w14:textId="77777777" w:rsidR="00D65CB4" w:rsidRPr="00BC4EE7" w:rsidRDefault="00572307">
            <w:pPr>
              <w:pStyle w:val="P68B1DB1-Normal12"/>
              <w:spacing w:after="0"/>
              <w:jc w:val="right"/>
              <w:rPr>
                <w:rFonts w:cs="Times New Roman"/>
                <w:noProof/>
              </w:rPr>
            </w:pPr>
            <w:r w:rsidRPr="00BC4EE7">
              <w:rPr>
                <w:rFonts w:cs="Times New Roman"/>
                <w:noProof/>
              </w:rPr>
              <w:t xml:space="preserve"> </w:t>
            </w:r>
          </w:p>
        </w:tc>
        <w:tc>
          <w:tcPr>
            <w:tcW w:w="974" w:type="dxa"/>
            <w:tcBorders>
              <w:top w:val="single" w:sz="4" w:space="0" w:color="auto"/>
              <w:left w:val="single" w:sz="4" w:space="0" w:color="auto"/>
              <w:bottom w:val="single" w:sz="4" w:space="0" w:color="auto"/>
              <w:right w:val="single" w:sz="4" w:space="0" w:color="auto"/>
            </w:tcBorders>
            <w:shd w:val="clear" w:color="auto" w:fill="C6EFCE"/>
            <w:noWrap/>
          </w:tcPr>
          <w:p w14:paraId="5387D92F" w14:textId="77777777" w:rsidR="00D65CB4" w:rsidRPr="00BC4EE7" w:rsidRDefault="00572307">
            <w:pPr>
              <w:pStyle w:val="P68B1DB1-Normal12"/>
              <w:spacing w:after="0"/>
              <w:jc w:val="right"/>
              <w:rPr>
                <w:rFonts w:cs="Times New Roman"/>
                <w:noProof/>
              </w:rPr>
            </w:pPr>
            <w:r w:rsidRPr="00BC4EE7">
              <w:rPr>
                <w:rFonts w:cs="Times New Roman"/>
                <w:noProof/>
              </w:rPr>
              <w:t xml:space="preserve"> </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1DA3C514" w14:textId="77777777" w:rsidR="00D65CB4" w:rsidRPr="00BC4EE7" w:rsidRDefault="00572307">
            <w:pPr>
              <w:pStyle w:val="P68B1DB1-Normal12"/>
              <w:spacing w:after="0"/>
              <w:jc w:val="right"/>
              <w:rPr>
                <w:rFonts w:cs="Times New Roman"/>
                <w:noProof/>
              </w:rPr>
            </w:pPr>
            <w:r w:rsidRPr="00BC4EE7">
              <w:rPr>
                <w:rFonts w:cs="Times New Roman"/>
                <w:noProof/>
              </w:rPr>
              <w:t xml:space="preserve"> </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2ECC6469" w14:textId="77777777" w:rsidR="00D65CB4" w:rsidRPr="00BC4EE7" w:rsidRDefault="00572307">
            <w:pPr>
              <w:pStyle w:val="P68B1DB1-Normal12"/>
              <w:spacing w:after="0"/>
              <w:jc w:val="center"/>
              <w:rPr>
                <w:rFonts w:cs="Times New Roman"/>
                <w:noProof/>
              </w:rPr>
            </w:pPr>
            <w:r w:rsidRPr="00BC4EE7">
              <w:rPr>
                <w:rFonts w:cs="Times New Roman"/>
                <w:noProof/>
              </w:rPr>
              <w:t>Q2</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7234E94E" w14:textId="77777777" w:rsidR="00D65CB4" w:rsidRPr="00BC4EE7" w:rsidRDefault="00572307">
            <w:pPr>
              <w:pStyle w:val="P68B1DB1-Normal12"/>
              <w:spacing w:after="0"/>
              <w:jc w:val="center"/>
              <w:rPr>
                <w:rFonts w:cs="Times New Roman"/>
                <w:noProof/>
              </w:rPr>
            </w:pPr>
            <w:r w:rsidRPr="00BC4EE7">
              <w:rPr>
                <w:rFonts w:cs="Times New Roman"/>
                <w:noProof/>
              </w:rPr>
              <w:t>2026</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72E75B61" w14:textId="77777777" w:rsidR="00D65CB4" w:rsidRPr="00BC4EE7" w:rsidRDefault="00572307">
            <w:pPr>
              <w:spacing w:after="0"/>
              <w:rPr>
                <w:rFonts w:ascii="Times New Roman" w:hAnsi="Times New Roman" w:cs="Times New Roman"/>
                <w:noProof/>
                <w:sz w:val="18"/>
              </w:rPr>
            </w:pPr>
            <w:r w:rsidRPr="00BC4EE7">
              <w:rPr>
                <w:rFonts w:ascii="Times New Roman" w:hAnsi="Times New Roman" w:cs="Times New Roman"/>
                <w:noProof/>
                <w:sz w:val="18"/>
              </w:rPr>
              <w:t>A Nemzeti Kiberbiztonsági Ipartámogatási Programban és a Globális Biztonsági Innovációs Programban foglalt projektek, valamint egyéb kapcsolódó intézkedések lezárása a következő területeken (a 245. mérföldkő keretében ítélve oda):</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 nemzeti kiberbiztonsági ágazat fellendítése az ágazatban működő vállalkozások megjelenése, növekedése és fejlődése érdekében</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magas hozzáadott értéket képviselő megoldások és szolgáltatások kifejlesztése a kiberbiztonság területén</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tehetségek képzése és fejlesztése a kiberbiztonság területén,</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Nemzetközivé válási intézkedések a kiberbiztonság területén</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a kiberbiztonsági infrastruktúra fejlesztését szolgáló demonstrációs központ létrehozása és új kiberbiztonsági szolgáltatások létrehozása, beleértve a tesztlaboratóriumokat és a kiberbiztonsági támadásszimulátorokat</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a kiberbiztonsági címkék tanúsításának fejlesztése</w:t>
            </w:r>
          </w:p>
        </w:tc>
      </w:tr>
      <w:tr w:rsidR="00D65CB4" w:rsidRPr="00BC4EE7" w14:paraId="50CCF006" w14:textId="77777777" w:rsidTr="00BC4EE7">
        <w:trPr>
          <w:gridAfter w:val="1"/>
          <w:wAfter w:w="6" w:type="dxa"/>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750ABBA4" w14:textId="5A246F5F" w:rsidR="00D65CB4" w:rsidRPr="00BC4EE7" w:rsidRDefault="00572307">
            <w:pPr>
              <w:pStyle w:val="P68B1DB1-Normal12"/>
              <w:spacing w:after="0"/>
              <w:jc w:val="center"/>
              <w:rPr>
                <w:rFonts w:cs="Times New Roman"/>
                <w:noProof/>
                <w:shd w:val="clear" w:color="auto" w:fill="E6E6E6"/>
              </w:rPr>
            </w:pPr>
            <w:r w:rsidRPr="00BC4EE7">
              <w:rPr>
                <w:rFonts w:cs="Times New Roman"/>
                <w:noProof/>
              </w:rPr>
              <w:t>454</w:t>
            </w:r>
          </w:p>
        </w:tc>
        <w:tc>
          <w:tcPr>
            <w:tcW w:w="952" w:type="dxa"/>
            <w:tcBorders>
              <w:top w:val="single" w:sz="4" w:space="0" w:color="auto"/>
              <w:left w:val="single" w:sz="4" w:space="0" w:color="auto"/>
              <w:bottom w:val="single" w:sz="4" w:space="0" w:color="auto"/>
              <w:right w:val="single" w:sz="4" w:space="0" w:color="auto"/>
            </w:tcBorders>
            <w:shd w:val="clear" w:color="auto" w:fill="C6EFCE"/>
            <w:noWrap/>
          </w:tcPr>
          <w:p w14:paraId="37CD70E0" w14:textId="77777777" w:rsidR="00D65CB4" w:rsidRPr="00BC4EE7" w:rsidRDefault="00572307">
            <w:pPr>
              <w:pStyle w:val="P68B1DB1-Normal12"/>
              <w:spacing w:after="0"/>
              <w:jc w:val="center"/>
              <w:rPr>
                <w:rFonts w:cs="Times New Roman"/>
                <w:noProof/>
                <w:shd w:val="clear" w:color="auto" w:fill="E6E6E6"/>
              </w:rPr>
            </w:pPr>
            <w:r w:rsidRPr="00BC4EE7">
              <w:rPr>
                <w:rFonts w:cs="Times New Roman"/>
                <w:noProof/>
              </w:rPr>
              <w:t>C15.I8</w:t>
            </w:r>
          </w:p>
        </w:tc>
        <w:tc>
          <w:tcPr>
            <w:tcW w:w="1079" w:type="dxa"/>
            <w:tcBorders>
              <w:top w:val="single" w:sz="4" w:space="0" w:color="auto"/>
              <w:left w:val="single" w:sz="4" w:space="0" w:color="auto"/>
              <w:bottom w:val="single" w:sz="4" w:space="0" w:color="auto"/>
              <w:right w:val="single" w:sz="4" w:space="0" w:color="auto"/>
            </w:tcBorders>
            <w:shd w:val="clear" w:color="auto" w:fill="C6EFCE"/>
            <w:noWrap/>
          </w:tcPr>
          <w:p w14:paraId="5F70033C" w14:textId="77777777" w:rsidR="00D65CB4" w:rsidRPr="00BC4EE7" w:rsidRDefault="00572307">
            <w:pPr>
              <w:pStyle w:val="P68B1DB1-Normal12"/>
              <w:spacing w:after="0"/>
              <w:jc w:val="center"/>
              <w:rPr>
                <w:rFonts w:cs="Times New Roman"/>
                <w:noProof/>
              </w:rPr>
            </w:pPr>
            <w:r w:rsidRPr="00BC4EE7">
              <w:rPr>
                <w:rFonts w:cs="Times New Roman"/>
                <w:noProof/>
              </w:rPr>
              <w:t>M</w:t>
            </w:r>
          </w:p>
        </w:tc>
        <w:tc>
          <w:tcPr>
            <w:tcW w:w="2144" w:type="dxa"/>
            <w:tcBorders>
              <w:top w:val="single" w:sz="4" w:space="0" w:color="auto"/>
              <w:left w:val="single" w:sz="4" w:space="0" w:color="auto"/>
              <w:bottom w:val="single" w:sz="4" w:space="0" w:color="auto"/>
              <w:right w:val="single" w:sz="4" w:space="0" w:color="auto"/>
            </w:tcBorders>
            <w:shd w:val="clear" w:color="auto" w:fill="C6EFCE"/>
            <w:noWrap/>
          </w:tcPr>
          <w:p w14:paraId="67390809" w14:textId="77777777" w:rsidR="00D65CB4" w:rsidRPr="00BC4EE7" w:rsidRDefault="00572307">
            <w:pPr>
              <w:pStyle w:val="P68B1DB1-Normal12"/>
              <w:spacing w:after="0"/>
              <w:rPr>
                <w:rFonts w:eastAsia="Times New Roman" w:cs="Times New Roman"/>
                <w:noProof/>
              </w:rPr>
            </w:pPr>
            <w:r w:rsidRPr="00BC4EE7">
              <w:rPr>
                <w:rFonts w:cs="Times New Roman"/>
                <w:noProof/>
              </w:rPr>
              <w:t>PERTE CHIP. A tudományos kapacitások, a tervezés és az innovatív gyártás megerősítése: díj</w:t>
            </w:r>
          </w:p>
          <w:p w14:paraId="11F6290C" w14:textId="77777777" w:rsidR="00D65CB4" w:rsidRPr="00BC4EE7" w:rsidRDefault="00D65CB4">
            <w:pPr>
              <w:spacing w:after="0"/>
              <w:rPr>
                <w:rFonts w:ascii="Times New Roman" w:hAnsi="Times New Roman" w:cs="Times New Roman"/>
                <w:noProof/>
                <w:sz w:val="18"/>
                <w:shd w:val="clear" w:color="auto" w:fill="E6E6E6"/>
              </w:rPr>
            </w:pP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2B917ACA"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A projektek odaítélésének hivatalos közzététele</w:t>
            </w:r>
          </w:p>
          <w:p w14:paraId="07207186" w14:textId="77777777" w:rsidR="00D65CB4" w:rsidRPr="00BC4EE7" w:rsidRDefault="00D65CB4">
            <w:pPr>
              <w:spacing w:after="0"/>
              <w:jc w:val="center"/>
              <w:rPr>
                <w:rFonts w:ascii="Times New Roman" w:hAnsi="Times New Roman" w:cs="Times New Roman"/>
                <w:noProof/>
                <w:sz w:val="18"/>
              </w:rPr>
            </w:pPr>
          </w:p>
        </w:tc>
        <w:tc>
          <w:tcPr>
            <w:tcW w:w="697" w:type="dxa"/>
            <w:tcBorders>
              <w:top w:val="single" w:sz="4" w:space="0" w:color="auto"/>
              <w:left w:val="single" w:sz="4" w:space="0" w:color="auto"/>
              <w:bottom w:val="single" w:sz="4" w:space="0" w:color="auto"/>
              <w:right w:val="single" w:sz="4" w:space="0" w:color="auto"/>
            </w:tcBorders>
            <w:shd w:val="clear" w:color="auto" w:fill="C6EFCE"/>
            <w:noWrap/>
          </w:tcPr>
          <w:p w14:paraId="02AFE8DE" w14:textId="77777777" w:rsidR="00D65CB4" w:rsidRPr="00BC4EE7" w:rsidRDefault="00D65CB4">
            <w:pPr>
              <w:spacing w:after="0"/>
              <w:jc w:val="right"/>
              <w:rPr>
                <w:rFonts w:ascii="Times New Roman" w:hAnsi="Times New Roman" w:cs="Times New Roman"/>
                <w:noProof/>
                <w:sz w:val="18"/>
                <w:shd w:val="clear" w:color="auto" w:fill="E6E6E6"/>
              </w:rPr>
            </w:pPr>
          </w:p>
        </w:tc>
        <w:tc>
          <w:tcPr>
            <w:tcW w:w="974" w:type="dxa"/>
            <w:tcBorders>
              <w:top w:val="single" w:sz="4" w:space="0" w:color="auto"/>
              <w:left w:val="single" w:sz="4" w:space="0" w:color="auto"/>
              <w:bottom w:val="single" w:sz="4" w:space="0" w:color="auto"/>
              <w:right w:val="single" w:sz="4" w:space="0" w:color="auto"/>
            </w:tcBorders>
            <w:shd w:val="clear" w:color="auto" w:fill="C6EFCE"/>
            <w:noWrap/>
          </w:tcPr>
          <w:p w14:paraId="31852F31" w14:textId="77777777" w:rsidR="00D65CB4" w:rsidRPr="00BC4EE7" w:rsidRDefault="00D65CB4">
            <w:pPr>
              <w:spacing w:after="0"/>
              <w:jc w:val="right"/>
              <w:rPr>
                <w:rFonts w:ascii="Times New Roman" w:hAnsi="Times New Roman" w:cs="Times New Roman"/>
                <w:noProof/>
                <w:sz w:val="18"/>
                <w:shd w:val="clear" w:color="auto" w:fill="E6E6E6"/>
              </w:rPr>
            </w:pP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5D703A86" w14:textId="77777777" w:rsidR="00D65CB4" w:rsidRPr="00BC4EE7" w:rsidRDefault="00D65CB4">
            <w:pPr>
              <w:spacing w:after="0"/>
              <w:jc w:val="right"/>
              <w:rPr>
                <w:rFonts w:ascii="Times New Roman" w:hAnsi="Times New Roman" w:cs="Times New Roman"/>
                <w:noProof/>
                <w:sz w:val="18"/>
                <w:shd w:val="clear" w:color="auto" w:fill="E6E6E6"/>
              </w:rPr>
            </w:pP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358221B7" w14:textId="54C7CB30" w:rsidR="00D65CB4" w:rsidRPr="00BC4EE7" w:rsidRDefault="00572307">
            <w:pPr>
              <w:pStyle w:val="P68B1DB1-Normal12"/>
              <w:spacing w:after="0"/>
              <w:jc w:val="center"/>
              <w:rPr>
                <w:rFonts w:cs="Times New Roman"/>
                <w:noProof/>
              </w:rPr>
            </w:pPr>
            <w:r w:rsidRPr="00BC4EE7">
              <w:rPr>
                <w:rFonts w:cs="Times New Roman"/>
                <w:noProof/>
              </w:rPr>
              <w:t>Q2</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5C5426B2" w14:textId="0FCACF73" w:rsidR="00D65CB4" w:rsidRPr="00BC4EE7" w:rsidRDefault="00572307">
            <w:pPr>
              <w:pStyle w:val="P68B1DB1-Normal12"/>
              <w:spacing w:after="0"/>
              <w:jc w:val="center"/>
              <w:rPr>
                <w:rFonts w:cs="Times New Roman"/>
                <w:noProof/>
                <w:shd w:val="clear" w:color="auto" w:fill="E6E6E6"/>
              </w:rPr>
            </w:pPr>
            <w:r w:rsidRPr="00BC4EE7">
              <w:rPr>
                <w:rFonts w:cs="Times New Roman"/>
                <w:noProof/>
              </w:rPr>
              <w:t>2025</w:t>
            </w:r>
          </w:p>
        </w:tc>
        <w:tc>
          <w:tcPr>
            <w:tcW w:w="5563" w:type="dxa"/>
            <w:tcBorders>
              <w:top w:val="single" w:sz="4" w:space="0" w:color="auto"/>
              <w:left w:val="single" w:sz="4" w:space="0" w:color="auto"/>
              <w:bottom w:val="single" w:sz="4" w:space="0" w:color="auto"/>
              <w:right w:val="single" w:sz="4" w:space="0" w:color="auto"/>
            </w:tcBorders>
            <w:shd w:val="clear" w:color="auto" w:fill="C6EFCE"/>
            <w:noWrap/>
          </w:tcPr>
          <w:p w14:paraId="235D63DE" w14:textId="7A575413" w:rsidR="00D65CB4" w:rsidRPr="00BC4EE7" w:rsidRDefault="00572307">
            <w:pPr>
              <w:pStyle w:val="P68B1DB1-Normal12"/>
              <w:spacing w:after="0"/>
              <w:rPr>
                <w:rFonts w:cs="Times New Roman"/>
                <w:noProof/>
                <w:shd w:val="clear" w:color="auto" w:fill="E6E6E6"/>
              </w:rPr>
            </w:pPr>
            <w:r w:rsidRPr="00BC4EE7">
              <w:rPr>
                <w:rFonts w:cs="Times New Roman"/>
                <w:noProof/>
              </w:rPr>
              <w:t>Legalább 540 900 000 EUR-t ítélnek oda a mikroelektronika és a félvezetők területén megvalósuló K+F+I projektekre, beleértve a fehér terem-infrastruktúra létrehozását és fejlesztését, a tehetségek vagy az innovatív gyártás tervezését, létrehozását és vonzását.</w:t>
            </w:r>
          </w:p>
        </w:tc>
      </w:tr>
      <w:tr w:rsidR="00D65CB4" w:rsidRPr="00BC4EE7" w14:paraId="261D3CE2" w14:textId="77777777" w:rsidTr="00BC4EE7">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6120EEBE" w14:textId="5DB6BB3E" w:rsidR="00D65CB4" w:rsidRPr="00BC4EE7" w:rsidRDefault="00572307">
            <w:pPr>
              <w:pStyle w:val="P68B1DB1-Normal12"/>
              <w:spacing w:after="0"/>
              <w:jc w:val="center"/>
              <w:rPr>
                <w:rFonts w:cs="Times New Roman"/>
                <w:noProof/>
              </w:rPr>
            </w:pPr>
            <w:r w:rsidRPr="00BC4EE7">
              <w:rPr>
                <w:rFonts w:cs="Times New Roman"/>
                <w:noProof/>
              </w:rPr>
              <w:t>455</w:t>
            </w:r>
          </w:p>
        </w:tc>
        <w:tc>
          <w:tcPr>
            <w:tcW w:w="952" w:type="dxa"/>
            <w:tcBorders>
              <w:top w:val="single" w:sz="4" w:space="0" w:color="auto"/>
              <w:left w:val="single" w:sz="4" w:space="0" w:color="auto"/>
              <w:bottom w:val="single" w:sz="4" w:space="0" w:color="auto"/>
              <w:right w:val="single" w:sz="4" w:space="0" w:color="auto"/>
            </w:tcBorders>
            <w:shd w:val="clear" w:color="auto" w:fill="C6EFCE"/>
            <w:noWrap/>
          </w:tcPr>
          <w:p w14:paraId="4773E3B0" w14:textId="77777777" w:rsidR="00D65CB4" w:rsidRPr="00BC4EE7" w:rsidRDefault="00572307">
            <w:pPr>
              <w:pStyle w:val="P68B1DB1-Normal12"/>
              <w:spacing w:after="0"/>
              <w:jc w:val="center"/>
              <w:rPr>
                <w:rFonts w:cs="Times New Roman"/>
                <w:noProof/>
              </w:rPr>
            </w:pPr>
            <w:r w:rsidRPr="00BC4EE7">
              <w:rPr>
                <w:rFonts w:cs="Times New Roman"/>
                <w:noProof/>
              </w:rPr>
              <w:t>C15.I8</w:t>
            </w:r>
          </w:p>
        </w:tc>
        <w:tc>
          <w:tcPr>
            <w:tcW w:w="1079" w:type="dxa"/>
            <w:tcBorders>
              <w:top w:val="single" w:sz="4" w:space="0" w:color="auto"/>
              <w:left w:val="single" w:sz="4" w:space="0" w:color="auto"/>
              <w:bottom w:val="single" w:sz="4" w:space="0" w:color="auto"/>
              <w:right w:val="single" w:sz="4" w:space="0" w:color="auto"/>
            </w:tcBorders>
            <w:shd w:val="clear" w:color="auto" w:fill="C6EFCE"/>
            <w:noWrap/>
          </w:tcPr>
          <w:p w14:paraId="43F2A9A9" w14:textId="77777777" w:rsidR="00D65CB4" w:rsidRPr="00BC4EE7" w:rsidRDefault="00572307">
            <w:pPr>
              <w:pStyle w:val="P68B1DB1-Normal12"/>
              <w:spacing w:after="0"/>
              <w:jc w:val="both"/>
              <w:rPr>
                <w:rFonts w:cs="Times New Roman"/>
                <w:noProof/>
              </w:rPr>
            </w:pPr>
            <w:r w:rsidRPr="00BC4EE7">
              <w:rPr>
                <w:rFonts w:cs="Times New Roman"/>
                <w:noProof/>
              </w:rPr>
              <w:t>T</w:t>
            </w:r>
          </w:p>
        </w:tc>
        <w:tc>
          <w:tcPr>
            <w:tcW w:w="2144" w:type="dxa"/>
            <w:tcBorders>
              <w:top w:val="single" w:sz="4" w:space="0" w:color="auto"/>
              <w:left w:val="single" w:sz="4" w:space="0" w:color="auto"/>
              <w:bottom w:val="single" w:sz="4" w:space="0" w:color="auto"/>
              <w:right w:val="single" w:sz="4" w:space="0" w:color="auto"/>
            </w:tcBorders>
            <w:shd w:val="clear" w:color="auto" w:fill="C6EFCE"/>
            <w:noWrap/>
          </w:tcPr>
          <w:p w14:paraId="4F638040" w14:textId="2DF44A7E" w:rsidR="00D65CB4" w:rsidRPr="00BC4EE7" w:rsidRDefault="00572307">
            <w:pPr>
              <w:pStyle w:val="P68B1DB1-Normal12"/>
              <w:spacing w:after="0"/>
              <w:rPr>
                <w:rFonts w:cs="Times New Roman"/>
                <w:noProof/>
              </w:rPr>
            </w:pPr>
            <w:r w:rsidRPr="00BC4EE7">
              <w:rPr>
                <w:rFonts w:cs="Times New Roman"/>
                <w:noProof/>
              </w:rPr>
              <w:t>PERTE CHIP. A tudományos kapacitások, a tervezés és az innovatív gyártás megerősítése: folyósítás.</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373BF882" w14:textId="77777777" w:rsidR="00D65CB4" w:rsidRPr="00BC4EE7" w:rsidRDefault="00D65CB4">
            <w:pPr>
              <w:spacing w:after="0"/>
              <w:jc w:val="center"/>
              <w:rPr>
                <w:rFonts w:ascii="Times New Roman" w:hAnsi="Times New Roman" w:cs="Times New Roman"/>
                <w:noProof/>
                <w:sz w:val="18"/>
              </w:rPr>
            </w:pPr>
          </w:p>
        </w:tc>
        <w:tc>
          <w:tcPr>
            <w:tcW w:w="697" w:type="dxa"/>
            <w:tcBorders>
              <w:top w:val="single" w:sz="4" w:space="0" w:color="auto"/>
              <w:left w:val="single" w:sz="4" w:space="0" w:color="auto"/>
              <w:bottom w:val="single" w:sz="4" w:space="0" w:color="auto"/>
              <w:right w:val="single" w:sz="4" w:space="0" w:color="auto"/>
            </w:tcBorders>
            <w:shd w:val="clear" w:color="auto" w:fill="C6EFCE"/>
            <w:noWrap/>
          </w:tcPr>
          <w:p w14:paraId="12B9643A" w14:textId="47AD25FF" w:rsidR="00D65CB4" w:rsidRPr="00BC4EE7" w:rsidRDefault="00572307">
            <w:pPr>
              <w:pStyle w:val="P68B1DB1-Normal12"/>
              <w:spacing w:after="0"/>
              <w:jc w:val="right"/>
              <w:rPr>
                <w:rFonts w:cs="Times New Roman"/>
                <w:noProof/>
              </w:rPr>
            </w:pPr>
            <w:r w:rsidRPr="00BC4EE7">
              <w:rPr>
                <w:rFonts w:cs="Times New Roman"/>
                <w:noProof/>
              </w:rPr>
              <w:t>Millió EUR</w:t>
            </w:r>
          </w:p>
        </w:tc>
        <w:tc>
          <w:tcPr>
            <w:tcW w:w="974" w:type="dxa"/>
            <w:tcBorders>
              <w:top w:val="single" w:sz="4" w:space="0" w:color="auto"/>
              <w:left w:val="single" w:sz="4" w:space="0" w:color="auto"/>
              <w:bottom w:val="single" w:sz="4" w:space="0" w:color="auto"/>
              <w:right w:val="single" w:sz="4" w:space="0" w:color="auto"/>
            </w:tcBorders>
            <w:shd w:val="clear" w:color="auto" w:fill="C6EFCE"/>
            <w:noWrap/>
          </w:tcPr>
          <w:p w14:paraId="6D46C61B" w14:textId="03414522" w:rsidR="00D65CB4" w:rsidRPr="00BC4EE7" w:rsidRDefault="00572307">
            <w:pPr>
              <w:pStyle w:val="P68B1DB1-Normal12"/>
              <w:spacing w:after="0"/>
              <w:jc w:val="right"/>
              <w:rPr>
                <w:rFonts w:cs="Times New Roman"/>
                <w:noProof/>
              </w:rPr>
            </w:pPr>
            <w:r w:rsidRPr="00BC4EE7">
              <w:rPr>
                <w:rFonts w:cs="Times New Roman"/>
                <w:noProof/>
              </w:rPr>
              <w:t>0</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4F2AED1F" w14:textId="77777777" w:rsidR="00D65CB4" w:rsidRPr="00BC4EE7" w:rsidRDefault="00572307">
            <w:pPr>
              <w:pStyle w:val="P68B1DB1-Normal12"/>
              <w:spacing w:after="0"/>
              <w:jc w:val="right"/>
              <w:rPr>
                <w:rFonts w:cs="Times New Roman"/>
                <w:noProof/>
              </w:rPr>
            </w:pPr>
            <w:r w:rsidRPr="00BC4EE7">
              <w:rPr>
                <w:rFonts w:cs="Times New Roman"/>
                <w:noProof/>
              </w:rPr>
              <w:t>486,81</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3CD7AD15" w14:textId="77777777" w:rsidR="00D65CB4" w:rsidRPr="00BC4EE7" w:rsidRDefault="00572307">
            <w:pPr>
              <w:pStyle w:val="P68B1DB1-Normal12"/>
              <w:spacing w:after="0"/>
              <w:jc w:val="center"/>
              <w:rPr>
                <w:rFonts w:cs="Times New Roman"/>
                <w:noProof/>
              </w:rPr>
            </w:pPr>
            <w:r w:rsidRPr="00BC4EE7">
              <w:rPr>
                <w:rFonts w:cs="Times New Roman"/>
                <w:noProof/>
              </w:rPr>
              <w:t>Q2</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3917CAE8" w14:textId="7A05CFF0" w:rsidR="00D65CB4" w:rsidRPr="00BC4EE7" w:rsidRDefault="00572307">
            <w:pPr>
              <w:pStyle w:val="P68B1DB1-Normal12"/>
              <w:spacing w:after="0"/>
              <w:jc w:val="center"/>
              <w:rPr>
                <w:rFonts w:cs="Times New Roman"/>
                <w:noProof/>
              </w:rPr>
            </w:pPr>
            <w:r w:rsidRPr="00BC4EE7">
              <w:rPr>
                <w:rFonts w:cs="Times New Roman"/>
                <w:noProof/>
              </w:rPr>
              <w:t>2026</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60CFFCAC" w14:textId="590C5059" w:rsidR="00D65CB4" w:rsidRPr="00BC4EE7" w:rsidRDefault="00572307">
            <w:pPr>
              <w:pStyle w:val="P68B1DB1-Normal12"/>
              <w:spacing w:after="0"/>
              <w:rPr>
                <w:rFonts w:cs="Times New Roman"/>
                <w:noProof/>
              </w:rPr>
            </w:pPr>
            <w:r w:rsidRPr="00BC4EE7">
              <w:rPr>
                <w:rFonts w:cs="Times New Roman"/>
                <w:noProof/>
              </w:rPr>
              <w:t xml:space="preserve">Legalább 486 810 000 EUR kifizetése a mikroelektronika és a félvezetők területén megvalósuló K+F+I projektekre, beleértve a fehér terem-infrastruktúra létrehozását és fejlesztését, a tehetségek vagy az innovatív gyártás tervezését, létrehozását és vonzását. </w:t>
            </w:r>
          </w:p>
        </w:tc>
      </w:tr>
      <w:tr w:rsidR="00D65CB4" w:rsidRPr="00BC4EE7" w14:paraId="241EC10F" w14:textId="77777777" w:rsidTr="00BC4EE7">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4AB5813E" w14:textId="1C0E1E87" w:rsidR="00D65CB4" w:rsidRPr="00BC4EE7" w:rsidRDefault="00572307">
            <w:pPr>
              <w:pStyle w:val="P68B1DB1-Normal12"/>
              <w:spacing w:after="0"/>
              <w:jc w:val="center"/>
              <w:rPr>
                <w:rFonts w:eastAsia="Times New Roman" w:cs="Times New Roman"/>
                <w:noProof/>
              </w:rPr>
            </w:pPr>
            <w:r w:rsidRPr="00BC4EE7">
              <w:rPr>
                <w:rFonts w:cs="Times New Roman"/>
                <w:noProof/>
              </w:rPr>
              <w:t>456</w:t>
            </w:r>
          </w:p>
        </w:tc>
        <w:tc>
          <w:tcPr>
            <w:tcW w:w="952" w:type="dxa"/>
            <w:tcBorders>
              <w:top w:val="single" w:sz="4" w:space="0" w:color="auto"/>
              <w:left w:val="single" w:sz="4" w:space="0" w:color="auto"/>
              <w:bottom w:val="single" w:sz="4" w:space="0" w:color="auto"/>
              <w:right w:val="single" w:sz="4" w:space="0" w:color="auto"/>
            </w:tcBorders>
            <w:shd w:val="clear" w:color="auto" w:fill="C6EFCE"/>
            <w:noWrap/>
          </w:tcPr>
          <w:p w14:paraId="302C0AE1" w14:textId="58978213" w:rsidR="00D65CB4" w:rsidRPr="00BC4EE7" w:rsidRDefault="00572307">
            <w:pPr>
              <w:pStyle w:val="P68B1DB1-Normal12"/>
              <w:spacing w:after="0"/>
              <w:jc w:val="center"/>
              <w:rPr>
                <w:rFonts w:eastAsia="Times New Roman" w:cs="Times New Roman"/>
                <w:noProof/>
              </w:rPr>
            </w:pPr>
            <w:r w:rsidRPr="00BC4EE7">
              <w:rPr>
                <w:rFonts w:cs="Times New Roman"/>
                <w:noProof/>
              </w:rPr>
              <w:t>C15.I8</w:t>
            </w:r>
          </w:p>
        </w:tc>
        <w:tc>
          <w:tcPr>
            <w:tcW w:w="1079" w:type="dxa"/>
            <w:tcBorders>
              <w:top w:val="single" w:sz="4" w:space="0" w:color="auto"/>
              <w:left w:val="single" w:sz="4" w:space="0" w:color="auto"/>
              <w:bottom w:val="single" w:sz="4" w:space="0" w:color="auto"/>
              <w:right w:val="single" w:sz="4" w:space="0" w:color="auto"/>
            </w:tcBorders>
            <w:shd w:val="clear" w:color="auto" w:fill="C6EFCE"/>
            <w:noWrap/>
          </w:tcPr>
          <w:p w14:paraId="24AA2E09" w14:textId="77777777" w:rsidR="00D65CB4" w:rsidRPr="00BC4EE7" w:rsidRDefault="00572307">
            <w:pPr>
              <w:pStyle w:val="P68B1DB1-Normal12"/>
              <w:spacing w:after="0"/>
              <w:jc w:val="both"/>
              <w:rPr>
                <w:rFonts w:eastAsia="Times New Roman" w:cs="Times New Roman"/>
                <w:noProof/>
              </w:rPr>
            </w:pPr>
            <w:r w:rsidRPr="00BC4EE7">
              <w:rPr>
                <w:rFonts w:cs="Times New Roman"/>
                <w:noProof/>
              </w:rPr>
              <w:t>T</w:t>
            </w:r>
          </w:p>
        </w:tc>
        <w:tc>
          <w:tcPr>
            <w:tcW w:w="2144" w:type="dxa"/>
            <w:tcBorders>
              <w:top w:val="single" w:sz="4" w:space="0" w:color="auto"/>
              <w:left w:val="single" w:sz="4" w:space="0" w:color="auto"/>
              <w:bottom w:val="single" w:sz="4" w:space="0" w:color="auto"/>
              <w:right w:val="single" w:sz="4" w:space="0" w:color="auto"/>
            </w:tcBorders>
            <w:shd w:val="clear" w:color="auto" w:fill="C6EFCE"/>
            <w:noWrap/>
          </w:tcPr>
          <w:p w14:paraId="2FB4D002" w14:textId="77777777" w:rsidR="00D65CB4" w:rsidRPr="00BC4EE7" w:rsidRDefault="00572307">
            <w:pPr>
              <w:pStyle w:val="P68B1DB1-Normal12"/>
              <w:spacing w:after="0"/>
              <w:rPr>
                <w:rFonts w:eastAsia="Times New Roman" w:cs="Times New Roman"/>
                <w:noProof/>
              </w:rPr>
            </w:pPr>
            <w:r w:rsidRPr="00BC4EE7">
              <w:rPr>
                <w:rFonts w:cs="Times New Roman"/>
                <w:noProof/>
              </w:rPr>
              <w:t>PERTE CHIP. Székek és mikroelektronikai tehetségek</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469CB42B" w14:textId="77777777" w:rsidR="00D65CB4" w:rsidRPr="00BC4EE7" w:rsidRDefault="00D65CB4">
            <w:pPr>
              <w:spacing w:after="0"/>
              <w:rPr>
                <w:rFonts w:ascii="Times New Roman" w:eastAsia="Times New Roman" w:hAnsi="Times New Roman" w:cs="Times New Roman"/>
                <w:noProof/>
                <w:sz w:val="18"/>
              </w:rPr>
            </w:pPr>
          </w:p>
        </w:tc>
        <w:tc>
          <w:tcPr>
            <w:tcW w:w="697" w:type="dxa"/>
            <w:tcBorders>
              <w:top w:val="single" w:sz="4" w:space="0" w:color="auto"/>
              <w:left w:val="single" w:sz="4" w:space="0" w:color="auto"/>
              <w:bottom w:val="single" w:sz="4" w:space="0" w:color="auto"/>
              <w:right w:val="single" w:sz="4" w:space="0" w:color="auto"/>
            </w:tcBorders>
            <w:shd w:val="clear" w:color="auto" w:fill="C6EFCE"/>
            <w:noWrap/>
          </w:tcPr>
          <w:p w14:paraId="04B8AE7D" w14:textId="77777777" w:rsidR="00D65CB4" w:rsidRPr="00BC4EE7" w:rsidRDefault="00572307">
            <w:pPr>
              <w:pStyle w:val="P68B1DB1-Normal12"/>
              <w:spacing w:after="0"/>
              <w:jc w:val="both"/>
              <w:rPr>
                <w:rFonts w:eastAsia="Times New Roman" w:cs="Times New Roman"/>
                <w:noProof/>
              </w:rPr>
            </w:pPr>
            <w:r w:rsidRPr="00BC4EE7">
              <w:rPr>
                <w:rFonts w:cs="Times New Roman"/>
                <w:noProof/>
              </w:rPr>
              <w:t>Szám</w:t>
            </w:r>
          </w:p>
        </w:tc>
        <w:tc>
          <w:tcPr>
            <w:tcW w:w="974" w:type="dxa"/>
            <w:tcBorders>
              <w:top w:val="single" w:sz="4" w:space="0" w:color="auto"/>
              <w:left w:val="single" w:sz="4" w:space="0" w:color="auto"/>
              <w:bottom w:val="single" w:sz="4" w:space="0" w:color="auto"/>
              <w:right w:val="single" w:sz="4" w:space="0" w:color="auto"/>
            </w:tcBorders>
            <w:shd w:val="clear" w:color="auto" w:fill="C6EFCE"/>
            <w:noWrap/>
          </w:tcPr>
          <w:p w14:paraId="3C0AB539"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0</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01D70DF3" w14:textId="0BBBA109" w:rsidR="00D65CB4" w:rsidRPr="00BC4EE7" w:rsidRDefault="00572307">
            <w:pPr>
              <w:pStyle w:val="P68B1DB1-Normal12"/>
              <w:spacing w:after="0"/>
              <w:jc w:val="right"/>
              <w:rPr>
                <w:rFonts w:eastAsia="Times New Roman" w:cs="Times New Roman"/>
                <w:noProof/>
              </w:rPr>
            </w:pPr>
            <w:r w:rsidRPr="00BC4EE7">
              <w:rPr>
                <w:rFonts w:cs="Times New Roman"/>
                <w:noProof/>
              </w:rPr>
              <w:t>13</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323EC645"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Q2</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2D49183E"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2026</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6833BE77" w14:textId="4B87DC08" w:rsidR="00D65CB4" w:rsidRPr="00BC4EE7" w:rsidRDefault="00572307">
            <w:pPr>
              <w:pStyle w:val="P68B1DB1-Normal12"/>
              <w:spacing w:after="0"/>
              <w:rPr>
                <w:rFonts w:cs="Times New Roman"/>
                <w:noProof/>
              </w:rPr>
            </w:pPr>
            <w:r w:rsidRPr="00BC4EE7">
              <w:rPr>
                <w:rFonts w:cs="Times New Roman"/>
                <w:noProof/>
              </w:rPr>
              <w:t>Legalább 13 egyetemi tanár létrehozása és finanszírozása, amelyek mindegyike a Helyreállítási és Rezilienciaépítési Eszközből finanszírozott 3 éves időtartamra szól, és a mikroelektronikára összpontosít a félvezető-tervezéssel és -gyártással kapcsolatos spanyolországi tehetségek fellendítése érdekében.</w:t>
            </w:r>
          </w:p>
        </w:tc>
      </w:tr>
    </w:tbl>
    <w:p w14:paraId="3535129C" w14:textId="77777777" w:rsidR="00D65CB4" w:rsidRPr="00BC4EE7" w:rsidRDefault="00572307">
      <w:pPr>
        <w:rPr>
          <w:rFonts w:ascii="Times New Roman" w:hAnsi="Times New Roman" w:cs="Times New Roman"/>
          <w:noProof/>
        </w:rPr>
        <w:sectPr w:rsidR="00D65CB4" w:rsidRPr="00BC4EE7" w:rsidSect="00B511EF">
          <w:headerReference w:type="even" r:id="rId327"/>
          <w:headerReference w:type="default" r:id="rId328"/>
          <w:footerReference w:type="even" r:id="rId329"/>
          <w:footerReference w:type="default" r:id="rId330"/>
          <w:headerReference w:type="first" r:id="rId331"/>
          <w:footerReference w:type="first" r:id="rId332"/>
          <w:pgSz w:w="16839" w:h="11907" w:orient="landscape"/>
          <w:pgMar w:top="1134" w:right="1134" w:bottom="1134" w:left="1134" w:header="567" w:footer="567" w:gutter="0"/>
          <w:cols w:space="720"/>
          <w:docGrid w:linePitch="360"/>
        </w:sectPr>
      </w:pPr>
      <w:r w:rsidRPr="00BC4EE7">
        <w:rPr>
          <w:rFonts w:ascii="Times New Roman" w:hAnsi="Times New Roman" w:cs="Times New Roman"/>
          <w:noProof/>
        </w:rPr>
        <w:br/>
      </w:r>
    </w:p>
    <w:p w14:paraId="7806FB6E" w14:textId="464E5019" w:rsidR="00D65CB4" w:rsidRPr="00BC4EE7" w:rsidRDefault="00572307">
      <w:pPr>
        <w:pStyle w:val="P68B1DB1-Heading2blue31"/>
        <w:rPr>
          <w:noProof/>
        </w:rPr>
      </w:pPr>
      <w:r w:rsidRPr="00BC4EE7">
        <w:rPr>
          <w:noProof/>
        </w:rPr>
        <w:t xml:space="preserve">O.3. </w:t>
      </w:r>
      <w:r w:rsidRPr="00BC4EE7">
        <w:rPr>
          <w:noProof/>
        </w:rPr>
        <w:tab/>
        <w:t>A hiteltámogatást célzó reformok és beruházások ismertetése</w:t>
      </w:r>
    </w:p>
    <w:p w14:paraId="3EE89FB3" w14:textId="77777777" w:rsidR="00D65CB4" w:rsidRPr="00BC4EE7" w:rsidRDefault="00572307">
      <w:pPr>
        <w:pStyle w:val="P68B1DB1-Heading3blue32"/>
        <w:rPr>
          <w:noProof/>
          <w:shd w:val="clear" w:color="auto" w:fill="E6E6E6"/>
        </w:rPr>
      </w:pPr>
      <w:r w:rsidRPr="00BC4EE7">
        <w:rPr>
          <w:noProof/>
        </w:rPr>
        <w:t xml:space="preserve">Beruházás </w:t>
      </w:r>
      <w:bookmarkStart w:id="52" w:name="_Hlk141289400"/>
      <w:r w:rsidRPr="00BC4EE7">
        <w:rPr>
          <w:noProof/>
        </w:rPr>
        <w:t>(C15.I9) – CHIP finanszírozási eszköz</w:t>
      </w:r>
      <w:bookmarkEnd w:id="52"/>
    </w:p>
    <w:p w14:paraId="7D436FDD" w14:textId="6E835E48" w:rsidR="00D65CB4" w:rsidRPr="00BC4EE7" w:rsidRDefault="00572307">
      <w:pPr>
        <w:spacing w:line="240" w:lineRule="auto"/>
        <w:jc w:val="both"/>
        <w:rPr>
          <w:rStyle w:val="normaltextrun"/>
          <w:rFonts w:ascii="Times New Roman" w:eastAsia="Times New Roman" w:hAnsi="Times New Roman" w:cs="Times New Roman"/>
          <w:noProof/>
          <w:sz w:val="24"/>
          <w:shd w:val="clear" w:color="auto" w:fill="FFFFFF"/>
        </w:rPr>
      </w:pPr>
      <w:r w:rsidRPr="00BC4EE7">
        <w:rPr>
          <w:rStyle w:val="normaltextrun"/>
          <w:rFonts w:ascii="Times New Roman" w:hAnsi="Times New Roman" w:cs="Times New Roman"/>
          <w:noProof/>
          <w:sz w:val="24"/>
          <w:shd w:val="clear" w:color="auto" w:fill="FFFFFF"/>
        </w:rPr>
        <w:t xml:space="preserve">Ez az intézkedés egy eszközbe, a CHIP finanszírozási eszközbe történő állami beruházásból áll annak érdekében, hogy ösztönözze a magánberuházásokat és javítsa a finanszírozáshoz való hozzáférést </w:t>
      </w:r>
      <w:r w:rsidRPr="00BC4EE7">
        <w:rPr>
          <w:rFonts w:ascii="Times New Roman" w:hAnsi="Times New Roman" w:cs="Times New Roman"/>
          <w:noProof/>
          <w:sz w:val="24"/>
        </w:rPr>
        <w:t>Spanyolország félvezető-ágazatában, beleértve a nagy méretű gyártólétesítményeket is</w:t>
      </w:r>
      <w:r w:rsidRPr="00BC4EE7">
        <w:rPr>
          <w:rStyle w:val="normaltextrun"/>
          <w:rFonts w:ascii="Times New Roman" w:hAnsi="Times New Roman" w:cs="Times New Roman"/>
          <w:noProof/>
          <w:sz w:val="24"/>
          <w:shd w:val="clear" w:color="auto" w:fill="FFFFFF"/>
        </w:rPr>
        <w:t>. A Keret úgy működik, hogy kölcsönöket, sajáttőke- és kvázisajáttőke-befektetéseket (vagy ezek keverékét) nyújt a magánszektornak, valamint a hasonló tevékenységeket folytató közszektorbeli intézményeknek. A Helyreállítási és Rezilienciaépítési Eszköz beruházásai alapján az eszköz célja kezdetben legalább 10 750 000 000 EUR összegű finanszírozás biztosítása.</w:t>
      </w:r>
    </w:p>
    <w:p w14:paraId="1F276953" w14:textId="0D09D759" w:rsidR="00D65CB4" w:rsidRPr="00BC4EE7" w:rsidRDefault="00572307">
      <w:pPr>
        <w:spacing w:line="240" w:lineRule="auto"/>
        <w:jc w:val="both"/>
        <w:rPr>
          <w:rStyle w:val="normaltextrun"/>
          <w:rFonts w:ascii="Times New Roman" w:eastAsia="Times New Roman" w:hAnsi="Times New Roman" w:cs="Times New Roman"/>
          <w:noProof/>
          <w:sz w:val="24"/>
          <w:shd w:val="clear" w:color="auto" w:fill="FFFFFF"/>
        </w:rPr>
      </w:pPr>
      <w:r w:rsidRPr="00BC4EE7">
        <w:rPr>
          <w:rStyle w:val="normaltextrun"/>
          <w:rFonts w:ascii="Times New Roman" w:hAnsi="Times New Roman" w:cs="Times New Roman"/>
          <w:noProof/>
          <w:sz w:val="24"/>
          <w:shd w:val="clear" w:color="auto" w:fill="FFFFFF"/>
        </w:rPr>
        <w:t xml:space="preserve">Az eszközt végrehajtó partnerként a Sociedad Estatal de Microelectrónica y Semiconductores ( SEMyS) kezeli. Az Alap a következő terméksorokat foglalja magában: </w:t>
      </w:r>
    </w:p>
    <w:p w14:paraId="46004854" w14:textId="1F2B9830" w:rsidR="00D65CB4" w:rsidRPr="00BC4EE7" w:rsidRDefault="00572307">
      <w:pPr>
        <w:pStyle w:val="ListParagraph"/>
        <w:numPr>
          <w:ilvl w:val="0"/>
          <w:numId w:val="551"/>
        </w:numPr>
        <w:spacing w:line="240" w:lineRule="auto"/>
        <w:jc w:val="both"/>
        <w:rPr>
          <w:rStyle w:val="eop"/>
          <w:rFonts w:ascii="Times New Roman" w:hAnsi="Times New Roman" w:cs="Times New Roman"/>
          <w:noProof/>
          <w:sz w:val="24"/>
        </w:rPr>
      </w:pPr>
      <w:r w:rsidRPr="00BC4EE7">
        <w:rPr>
          <w:rStyle w:val="normaltextrun"/>
          <w:rFonts w:ascii="Times New Roman" w:hAnsi="Times New Roman" w:cs="Times New Roman"/>
          <w:noProof/>
          <w:sz w:val="24"/>
        </w:rPr>
        <w:t>Közvetlen vezeték: A rendes kölcsönöket, a részvételi kölcsönöket, valamint az ideiglenes és kisebbségi tőkében való részesedést igénybe vevő vállalatokba történő közvetlen befektetések. Az Alap tőkebefektetései nem eredményezhetik azt, hogy a végső kedvezményezett állami tulajdonú tőkéje meghaladja a teljes saját tőke 49%-át.</w:t>
      </w:r>
    </w:p>
    <w:p w14:paraId="27E92ACA" w14:textId="4D972568" w:rsidR="00D65CB4" w:rsidRPr="00BC4EE7" w:rsidRDefault="00572307">
      <w:pPr>
        <w:pStyle w:val="ListParagraph"/>
        <w:numPr>
          <w:ilvl w:val="0"/>
          <w:numId w:val="550"/>
        </w:numPr>
        <w:spacing w:line="240" w:lineRule="auto"/>
        <w:jc w:val="both"/>
        <w:rPr>
          <w:rStyle w:val="eop"/>
          <w:rFonts w:ascii="Times New Roman" w:eastAsia="Times New Roman" w:hAnsi="Times New Roman" w:cs="Times New Roman"/>
          <w:noProof/>
          <w:sz w:val="24"/>
          <w:shd w:val="clear" w:color="auto" w:fill="FFFFFF"/>
        </w:rPr>
      </w:pPr>
      <w:r w:rsidRPr="00BC4EE7">
        <w:rPr>
          <w:rStyle w:val="eop"/>
          <w:rFonts w:ascii="Times New Roman" w:hAnsi="Times New Roman" w:cs="Times New Roman"/>
          <w:noProof/>
          <w:sz w:val="24"/>
          <w:shd w:val="clear" w:color="auto" w:fill="FFFFFF"/>
        </w:rPr>
        <w:t>Társberuházás „Nyílt uniós üzemekbe” és „integrált gyártólétesítményekbe”: A félvezetőgyártó ipar spanyolországi támogatása</w:t>
      </w:r>
      <w:r w:rsidRPr="00BC4EE7">
        <w:rPr>
          <w:rStyle w:val="eop"/>
          <w:rFonts w:ascii="Times New Roman" w:hAnsi="Times New Roman" w:cs="Times New Roman"/>
          <w:noProof/>
          <w:sz w:val="24"/>
        </w:rPr>
        <w:t xml:space="preserve">érdekében az Alapnak képesnek kell lennie arra, hogy kölcsönök, saját tőke és kvázi-sajáttőke (vagy ezek keveréke) révén támogatást nyújtson vegyes pénzügyi eszközökhöz, amelyek az állami támogatási programokkal összehangoltan integrálják a magán- és állami tőkét, az alábbiakban vázolt irányítási követelményeknek megfelelően. </w:t>
      </w:r>
    </w:p>
    <w:p w14:paraId="3C3BF76C" w14:textId="0BD71608" w:rsidR="00D65CB4" w:rsidRPr="00BC4EE7" w:rsidRDefault="00572307">
      <w:pPr>
        <w:pStyle w:val="P68B1DB1-Normal4"/>
        <w:spacing w:line="240" w:lineRule="auto"/>
        <w:jc w:val="both"/>
        <w:rPr>
          <w:rFonts w:eastAsia="Times New Roman" w:cs="Times New Roman"/>
          <w:noProof/>
        </w:rPr>
      </w:pPr>
      <w:r w:rsidRPr="00BC4EE7">
        <w:rPr>
          <w:rFonts w:cs="Times New Roman"/>
          <w:noProof/>
        </w:rPr>
        <w:t xml:space="preserve">Az eszközbe történő beruházás végrehajtása érdekében Spanyolország és a SEMyS végrehajtási megállapodást ír alá, vagy Spanyolország jóváhagyja a vonatkozó jogi eszközt és a kapcsolódó dokumentumokat, amelyek a következőket tartalmazzák: </w:t>
      </w:r>
    </w:p>
    <w:p w14:paraId="638FB3BD" w14:textId="77777777" w:rsidR="00D65CB4" w:rsidRPr="00BC4EE7" w:rsidRDefault="00572307">
      <w:pPr>
        <w:pStyle w:val="P68B1DB1-ListParagraph6"/>
        <w:numPr>
          <w:ilvl w:val="0"/>
          <w:numId w:val="761"/>
        </w:numPr>
        <w:spacing w:line="240" w:lineRule="auto"/>
        <w:contextualSpacing w:val="0"/>
        <w:jc w:val="both"/>
        <w:rPr>
          <w:rFonts w:eastAsia="Times New Roman" w:cs="Times New Roman"/>
          <w:noProof/>
        </w:rPr>
      </w:pPr>
      <w:r w:rsidRPr="00BC4EE7">
        <w:rPr>
          <w:rFonts w:cs="Times New Roman"/>
          <w:noProof/>
        </w:rPr>
        <w:t>Az eszköz döntéshozatali folyamatának leírása:  Az eszköz kezdeti beruházási döntését beruházási bizottság vagy más, azzal egyenértékű irányító testület hozza meg, és a spanyol kormánytól független tagok szavazatainak többségével hagyja jóvá. Az eszköz végleges beruházási döntése a beruházási bizottság vagy azzal egyenértékű irányító testület által javasolt beruházási döntés (módosítás nélküli) jóváhagyására, vagy a döntéssel kapcsolatos vétójog gyakorlására korlátozódik.</w:t>
      </w:r>
    </w:p>
    <w:p w14:paraId="1AEF3AC5" w14:textId="77777777" w:rsidR="00D65CB4" w:rsidRPr="00BC4EE7" w:rsidRDefault="00572307">
      <w:pPr>
        <w:pStyle w:val="P68B1DB1-ListParagraph6"/>
        <w:numPr>
          <w:ilvl w:val="0"/>
          <w:numId w:val="761"/>
        </w:numPr>
        <w:spacing w:line="240" w:lineRule="auto"/>
        <w:jc w:val="both"/>
        <w:rPr>
          <w:rFonts w:eastAsia="Times New Roman" w:cs="Times New Roman"/>
          <w:noProof/>
        </w:rPr>
      </w:pPr>
      <w:r w:rsidRPr="00BC4EE7">
        <w:rPr>
          <w:rFonts w:cs="Times New Roman"/>
          <w:noProof/>
        </w:rPr>
        <w:t>A kapcsolódó beruházási politika fő követelményei, amelyek a következőket foglalják magukban:</w:t>
      </w:r>
    </w:p>
    <w:p w14:paraId="66AE5AA0" w14:textId="29EBD758" w:rsidR="00D65CB4" w:rsidRPr="00BC4EE7" w:rsidRDefault="00572307">
      <w:pPr>
        <w:pStyle w:val="P68B1DB1-ListParagraph6"/>
        <w:numPr>
          <w:ilvl w:val="1"/>
          <w:numId w:val="761"/>
        </w:numPr>
        <w:spacing w:line="240" w:lineRule="auto"/>
        <w:jc w:val="both"/>
        <w:rPr>
          <w:rFonts w:eastAsia="Times New Roman" w:cs="Times New Roman"/>
          <w:noProof/>
        </w:rPr>
      </w:pPr>
      <w:r w:rsidRPr="00BC4EE7">
        <w:rPr>
          <w:rFonts w:cs="Times New Roman"/>
          <w:noProof/>
        </w:rPr>
        <w:t xml:space="preserve">A pénzügyi termékek és a támogatható végső kedvezményezettek leírása az intézkedés leírásával összhangban.  </w:t>
      </w:r>
    </w:p>
    <w:p w14:paraId="49D79BC5" w14:textId="77777777" w:rsidR="00D65CB4" w:rsidRPr="00BC4EE7" w:rsidRDefault="00572307">
      <w:pPr>
        <w:pStyle w:val="P68B1DB1-ListParagraph6"/>
        <w:numPr>
          <w:ilvl w:val="1"/>
          <w:numId w:val="761"/>
        </w:numPr>
        <w:spacing w:line="240" w:lineRule="auto"/>
        <w:jc w:val="both"/>
        <w:rPr>
          <w:rFonts w:eastAsia="Times New Roman" w:cs="Times New Roman"/>
          <w:noProof/>
        </w:rPr>
      </w:pPr>
      <w:r w:rsidRPr="00BC4EE7">
        <w:rPr>
          <w:rFonts w:cs="Times New Roman"/>
          <w:noProof/>
        </w:rPr>
        <w:t>Az a követelmény, hogy minden támogatott beruházás gazdaságilag életképes legyen.</w:t>
      </w:r>
    </w:p>
    <w:p w14:paraId="6F7FA0C4" w14:textId="77777777" w:rsidR="00D65CB4" w:rsidRPr="00BC4EE7" w:rsidRDefault="00572307">
      <w:pPr>
        <w:pStyle w:val="P68B1DB1-ListParagraph6"/>
        <w:numPr>
          <w:ilvl w:val="1"/>
          <w:numId w:val="761"/>
        </w:numPr>
        <w:spacing w:line="240" w:lineRule="auto"/>
        <w:jc w:val="both"/>
        <w:rPr>
          <w:rFonts w:eastAsia="Times New Roman" w:cs="Times New Roman"/>
          <w:noProof/>
        </w:rPr>
      </w:pPr>
      <w:r w:rsidRPr="00BC4EE7">
        <w:rPr>
          <w:rFonts w:cs="Times New Roman"/>
          <w:noProof/>
        </w:rPr>
        <w:t xml:space="preserve">A fennálló hitelek refinanszírozásának tilalma.  </w:t>
      </w:r>
    </w:p>
    <w:p w14:paraId="11646C73" w14:textId="7329574C" w:rsidR="00D65CB4" w:rsidRPr="00BC4EE7" w:rsidRDefault="00572307">
      <w:pPr>
        <w:pStyle w:val="P68B1DB1-ListParagraph6"/>
        <w:numPr>
          <w:ilvl w:val="1"/>
          <w:numId w:val="761"/>
        </w:numPr>
        <w:spacing w:line="240" w:lineRule="auto"/>
        <w:jc w:val="both"/>
        <w:rPr>
          <w:rFonts w:eastAsia="Times New Roman" w:cs="Times New Roman"/>
          <w:noProof/>
        </w:rPr>
      </w:pPr>
      <w:r w:rsidRPr="00BC4EE7">
        <w:rPr>
          <w:rFonts w:cs="Times New Roman"/>
          <w:noProof/>
        </w:rPr>
        <w:t>A DNSH technikai iránymutatásban (2021/C58/01) meghatározott, a jelentős károkozás elkerülését célzó elvnek való megfelelés követelménye, különösen az új létesítményekbe történő beruházásoknak az ágazatban a legalacsonyabb környezeti hatással járó elérhető legjobb technológiát kell alkalmazniuk. A beruházási politikának továbbá meg kell követelnie az eszköz végső kedvezményezettjeinek a vonatkozó uniós és nemzeti környezetvédelmi jogszabályoknak való megfelelését.</w:t>
      </w:r>
    </w:p>
    <w:p w14:paraId="54A13A50" w14:textId="77777777" w:rsidR="00D65CB4" w:rsidRPr="00BC4EE7" w:rsidRDefault="00572307">
      <w:pPr>
        <w:pStyle w:val="P68B1DB1-ListParagraph6"/>
        <w:numPr>
          <w:ilvl w:val="1"/>
          <w:numId w:val="761"/>
        </w:numPr>
        <w:rPr>
          <w:rFonts w:eastAsia="Times New Roman" w:cs="Times New Roman"/>
          <w:noProof/>
        </w:rPr>
      </w:pPr>
      <w:r w:rsidRPr="00BC4EE7">
        <w:rPr>
          <w:rFonts w:cs="Times New Roman"/>
          <w:noProof/>
        </w:rPr>
        <w:t>Az a követelmény, hogy az eszköz végső kedvezményezettjei nem részesülhetnek támogatásban más uniós eszközökből ugyanazon költségek fedezésére.</w:t>
      </w:r>
    </w:p>
    <w:p w14:paraId="4846F44A" w14:textId="05D03274" w:rsidR="00D65CB4" w:rsidRPr="00BC4EE7" w:rsidRDefault="00572307">
      <w:pPr>
        <w:pStyle w:val="P68B1DB1-ListParagraph6"/>
        <w:numPr>
          <w:ilvl w:val="0"/>
          <w:numId w:val="761"/>
        </w:numPr>
        <w:jc w:val="both"/>
        <w:rPr>
          <w:rFonts w:eastAsia="Times New Roman" w:cs="Times New Roman"/>
          <w:noProof/>
        </w:rPr>
      </w:pPr>
      <w:r w:rsidRPr="00BC4EE7">
        <w:rPr>
          <w:rFonts w:cs="Times New Roman"/>
          <w:noProof/>
        </w:rPr>
        <w:t>Az eszközt létrehozó jogi eszköz és kapcsolódó dokumentumok által fedezett összeg, a végrehajtó partner díjstruktúrája, valamint az eszköz beruházási politikájának megfelelően a visszafolyó bevételek újbóli befektetésére vonatkozó követelmény, kivéve, ha azokat a Helyreállítási és Rezilienciaépítési Eszköz hiteltörlesztéseinek fedezésére használják fel.</w:t>
      </w:r>
    </w:p>
    <w:p w14:paraId="6516A3EE" w14:textId="77777777" w:rsidR="00D65CB4" w:rsidRPr="00BC4EE7" w:rsidRDefault="00572307">
      <w:pPr>
        <w:pStyle w:val="P68B1DB1-ListParagraph6"/>
        <w:numPr>
          <w:ilvl w:val="0"/>
          <w:numId w:val="761"/>
        </w:numPr>
        <w:jc w:val="both"/>
        <w:rPr>
          <w:rFonts w:eastAsia="Times New Roman" w:cs="Times New Roman"/>
          <w:noProof/>
        </w:rPr>
      </w:pPr>
      <w:r w:rsidRPr="00BC4EE7">
        <w:rPr>
          <w:rFonts w:cs="Times New Roman"/>
          <w:noProof/>
        </w:rPr>
        <w:t>Nyomonkövetési, ellenőrzési és kontrollkövetelmények, beleértve a következőket:</w:t>
      </w:r>
    </w:p>
    <w:p w14:paraId="309BD4A1" w14:textId="77777777" w:rsidR="00D65CB4" w:rsidRPr="00BC4EE7" w:rsidRDefault="00572307">
      <w:pPr>
        <w:pStyle w:val="P68B1DB1-ListParagraph6"/>
        <w:numPr>
          <w:ilvl w:val="1"/>
          <w:numId w:val="761"/>
        </w:numPr>
        <w:jc w:val="both"/>
        <w:rPr>
          <w:rFonts w:eastAsia="Times New Roman" w:cs="Times New Roman"/>
          <w:noProof/>
        </w:rPr>
      </w:pPr>
      <w:r w:rsidRPr="00BC4EE7">
        <w:rPr>
          <w:rFonts w:cs="Times New Roman"/>
          <w:noProof/>
        </w:rPr>
        <w:t>A végrehajtó partner által a mozgósított beruházásról való jelentéstételhez használt monitoringrendszer leírása.</w:t>
      </w:r>
    </w:p>
    <w:p w14:paraId="6538DEEE" w14:textId="77777777" w:rsidR="00D65CB4" w:rsidRPr="00BC4EE7" w:rsidRDefault="00572307">
      <w:pPr>
        <w:pStyle w:val="P68B1DB1-ListParagraph6"/>
        <w:numPr>
          <w:ilvl w:val="1"/>
          <w:numId w:val="761"/>
        </w:numPr>
        <w:jc w:val="both"/>
        <w:rPr>
          <w:rFonts w:eastAsia="Times New Roman" w:cs="Times New Roman"/>
          <w:noProof/>
        </w:rPr>
      </w:pPr>
      <w:r w:rsidRPr="00BC4EE7">
        <w:rPr>
          <w:rFonts w:cs="Times New Roman"/>
          <w:noProof/>
        </w:rPr>
        <w:t xml:space="preserve">A végrehajtó partner azon eljárásainak leírása, amelyek biztosítják a csalás, a korrupció és az összeférhetetlenség megelőzését, felderítését és korrekcióját. </w:t>
      </w:r>
    </w:p>
    <w:p w14:paraId="51CD4460" w14:textId="2CEB35A9" w:rsidR="00D65CB4" w:rsidRPr="00BC4EE7" w:rsidRDefault="00572307">
      <w:pPr>
        <w:pStyle w:val="P68B1DB1-ListParagraph6"/>
        <w:numPr>
          <w:ilvl w:val="1"/>
          <w:numId w:val="761"/>
        </w:numPr>
        <w:jc w:val="both"/>
        <w:rPr>
          <w:rFonts w:eastAsia="Times New Roman" w:cs="Times New Roman"/>
          <w:noProof/>
        </w:rPr>
      </w:pPr>
      <w:r w:rsidRPr="00BC4EE7">
        <w:rPr>
          <w:rFonts w:cs="Times New Roman"/>
          <w:noProof/>
        </w:rPr>
        <w:t>Az egyes műveletek támogathatóságának ellenőrzésére vonatkozó kötelezettség a Békekeretet létrehozó rendeletekben meghatározott követelményekkel összhangban, mielőtt kötelezettséget vállalnának egy művelet finanszírozására.</w:t>
      </w:r>
    </w:p>
    <w:p w14:paraId="4AC4F0A4" w14:textId="3406215D" w:rsidR="00D65CB4" w:rsidRPr="00BC4EE7" w:rsidRDefault="00572307">
      <w:pPr>
        <w:pStyle w:val="P68B1DB1-ListParagraph6"/>
        <w:numPr>
          <w:ilvl w:val="1"/>
          <w:numId w:val="761"/>
        </w:numPr>
        <w:jc w:val="both"/>
        <w:rPr>
          <w:rFonts w:eastAsia="Times New Roman" w:cs="Times New Roman"/>
          <w:noProof/>
        </w:rPr>
      </w:pPr>
      <w:r w:rsidRPr="00BC4EE7">
        <w:rPr>
          <w:rFonts w:cs="Times New Roman"/>
          <w:noProof/>
        </w:rPr>
        <w:t xml:space="preserve">A kockázatalapú utólagos ellenőrzések elvégzésére vonatkozó kötelezettség a SEMyS ellenőrzési tervével összhangban. Ezeknek az ellenőrzéseknek meg kell győződniük i. arról, hogy az ellenőrzési rendszerek hatékonyak-e, beleértve a csalás, a korrupció és az összeférhetetlenség felderítését; a DNSH-elvnek, az állami támogatásokra vonatkozó szabályoknak, valamint az éghajlat-politikai és digitális célkitűzésekre vonatkozó követelményeknek való megfelelés; és iii. betartották azt a követelményt, amely szerint a közvetítőnek ellenőriznie kell, hogy a végső kedvezményezett felelősségteljes nyilatkozatot nyújt-e be annak ellenőrzése érdekében, hogy ugyanazt a költséget egy másik uniós eszköz fedezi-e.   Az ellenőrzések azt is ellenőrzik, hogy az ügyletek jogszerűek-e, és hogy betartják-e az alkalmazandó végrehajtási megállapodásban vagy rendeletben, valamint az eszközt létrehozó kapcsolódó dokumentumokban és a finanszírozási megállapodásokban foglalt feltételeket. </w:t>
      </w:r>
    </w:p>
    <w:p w14:paraId="49750047" w14:textId="57E4284F" w:rsidR="00D65CB4" w:rsidRPr="00BC4EE7" w:rsidRDefault="00572307">
      <w:pPr>
        <w:pStyle w:val="ListParagraph"/>
        <w:numPr>
          <w:ilvl w:val="0"/>
          <w:numId w:val="761"/>
        </w:numPr>
        <w:spacing w:line="240" w:lineRule="auto"/>
        <w:jc w:val="both"/>
        <w:rPr>
          <w:rFonts w:ascii="Times New Roman" w:eastAsia="Times New Roman" w:hAnsi="Times New Roman" w:cs="Times New Roman"/>
          <w:noProof/>
          <w:sz w:val="24"/>
          <w:shd w:val="clear" w:color="auto" w:fill="FFFFFF"/>
        </w:rPr>
      </w:pPr>
      <w:r w:rsidRPr="00BC4EE7">
        <w:rPr>
          <w:rFonts w:ascii="Times New Roman" w:hAnsi="Times New Roman" w:cs="Times New Roman"/>
          <w:noProof/>
          <w:sz w:val="24"/>
        </w:rPr>
        <w:t>A végrehajtó partner által végrehajtott digitális beruházásokra vonatkozó követelmények: a Helyreállítási és Rezilienciaépítési Eszközbe történő beruházásból legalább 10 750 000 000 EUR-nak a Helyreállítási és Rezilienciaépítési Eszközről szóló rendelet VII. mellékletével összhangban hozzá kell járulnia a digitális átállás célkitűzéseihez.</w:t>
      </w:r>
      <w:r w:rsidRPr="00BC4EE7">
        <w:rPr>
          <w:rStyle w:val="FootnoteReference"/>
          <w:rFonts w:ascii="Times New Roman" w:eastAsia="Times New Roman" w:hAnsi="Times New Roman" w:cs="Times New Roman"/>
          <w:noProof/>
          <w:sz w:val="24"/>
        </w:rPr>
        <w:footnoteReference w:id="160"/>
      </w:r>
      <w:r w:rsidRPr="00BC4EE7">
        <w:rPr>
          <w:rFonts w:ascii="Times New Roman" w:hAnsi="Times New Roman" w:cs="Times New Roman"/>
          <w:noProof/>
          <w:sz w:val="24"/>
        </w:rPr>
        <w:t xml:space="preserve"> </w:t>
      </w:r>
    </w:p>
    <w:p w14:paraId="26E1CE06" w14:textId="77777777" w:rsidR="00D65CB4" w:rsidRPr="00BC4EE7" w:rsidRDefault="00572307">
      <w:pPr>
        <w:pStyle w:val="maintext"/>
        <w:rPr>
          <w:noProof/>
        </w:rPr>
      </w:pPr>
      <w:r w:rsidRPr="00BC4EE7">
        <w:rPr>
          <w:noProof/>
        </w:rPr>
        <w:t>Az intézkedés végrehajtását 2026. augusztus 31-ig be kell fejezni.</w:t>
      </w:r>
    </w:p>
    <w:p w14:paraId="3FA97640" w14:textId="77777777" w:rsidR="00D65CB4" w:rsidRPr="00BC4EE7" w:rsidRDefault="00572307">
      <w:pPr>
        <w:ind w:left="720"/>
        <w:rPr>
          <w:rFonts w:ascii="Times New Roman" w:hAnsi="Times New Roman" w:cs="Times New Roman"/>
          <w:noProof/>
        </w:rPr>
      </w:pPr>
      <w:r w:rsidRPr="00BC4EE7">
        <w:rPr>
          <w:rFonts w:ascii="Times New Roman" w:hAnsi="Times New Roman" w:cs="Times New Roman"/>
          <w:b/>
          <w:noProof/>
          <w:sz w:val="24"/>
          <w:u w:val="single"/>
        </w:rPr>
        <w:t xml:space="preserve">O.4.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A visszatérítendő pénzügyi támogatás nyomon követésére és végrehajtására vonatkozó mérföldkövek, célok, mutatók és ütemterv</w:t>
      </w:r>
    </w:p>
    <w:p w14:paraId="632A4652" w14:textId="4B519587" w:rsidR="00D65CB4" w:rsidRPr="00BC4EE7" w:rsidRDefault="00572307">
      <w:pPr>
        <w:pStyle w:val="P68B1DB1-Normal17"/>
        <w:rPr>
          <w:rFonts w:cs="Times New Roman"/>
          <w:noProof/>
        </w:rPr>
      </w:pPr>
      <w:r w:rsidRPr="00BC4EE7">
        <w:rPr>
          <w:rFonts w:cs="Times New Roman"/>
          <w:noProof/>
        </w:rPr>
        <w:t xml:space="preserve">Táblázat alább. Az összes mutató esetében az alapforgatókönyv időpontja 2020. február 1., kivéve, ha az intézkedés leírása ettől eltérően rendelkezik. </w:t>
      </w:r>
    </w:p>
    <w:p w14:paraId="67D8A628" w14:textId="77777777" w:rsidR="00D65CB4" w:rsidRPr="00BC4EE7" w:rsidRDefault="00D65CB4">
      <w:pPr>
        <w:spacing w:line="240" w:lineRule="auto"/>
        <w:rPr>
          <w:rFonts w:ascii="Times New Roman" w:hAnsi="Times New Roman" w:cs="Times New Roman"/>
          <w:noProof/>
        </w:rPr>
      </w:pPr>
    </w:p>
    <w:p w14:paraId="7D6B3BB9" w14:textId="77777777" w:rsidR="00D65CB4" w:rsidRPr="00BC4EE7" w:rsidRDefault="00D65CB4">
      <w:pPr>
        <w:spacing w:before="120" w:after="120" w:line="240" w:lineRule="auto"/>
        <w:ind w:left="709"/>
        <w:jc w:val="both"/>
        <w:rPr>
          <w:rFonts w:ascii="Times New Roman" w:hAnsi="Times New Roman" w:cs="Times New Roman"/>
          <w:noProof/>
          <w:sz w:val="24"/>
        </w:rPr>
        <w:sectPr w:rsidR="00D65CB4" w:rsidRPr="00BC4EE7" w:rsidSect="00B511EF">
          <w:headerReference w:type="even" r:id="rId333"/>
          <w:headerReference w:type="default" r:id="rId334"/>
          <w:footerReference w:type="even" r:id="rId335"/>
          <w:footerReference w:type="default" r:id="rId336"/>
          <w:headerReference w:type="first" r:id="rId337"/>
          <w:footerReference w:type="first" r:id="rId338"/>
          <w:pgSz w:w="11907" w:h="16839"/>
          <w:pgMar w:top="1134" w:right="1134" w:bottom="1134" w:left="1134" w:header="567" w:footer="567" w:gutter="0"/>
          <w:cols w:space="720"/>
          <w:docGrid w:linePitch="360"/>
        </w:sectPr>
      </w:pPr>
    </w:p>
    <w:tbl>
      <w:tblPr>
        <w:tblW w:w="13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30"/>
        <w:gridCol w:w="972"/>
        <w:gridCol w:w="972"/>
        <w:gridCol w:w="1667"/>
        <w:gridCol w:w="1251"/>
        <w:gridCol w:w="695"/>
        <w:gridCol w:w="972"/>
        <w:gridCol w:w="694"/>
        <w:gridCol w:w="418"/>
        <w:gridCol w:w="556"/>
        <w:gridCol w:w="4857"/>
      </w:tblGrid>
      <w:tr w:rsidR="00D65CB4" w:rsidRPr="00BC4EE7" w14:paraId="43963385" w14:textId="77777777">
        <w:trPr>
          <w:trHeight w:val="300"/>
          <w:tblHeader/>
        </w:trPr>
        <w:tc>
          <w:tcPr>
            <w:tcW w:w="846" w:type="dxa"/>
            <w:vMerge w:val="restart"/>
            <w:shd w:val="clear" w:color="auto" w:fill="BDD7EE"/>
            <w:vAlign w:val="center"/>
            <w:hideMark/>
          </w:tcPr>
          <w:p w14:paraId="15DF1754" w14:textId="77777777" w:rsidR="00D65CB4" w:rsidRPr="00BC4EE7" w:rsidRDefault="00572307">
            <w:pPr>
              <w:pStyle w:val="P68B1DB1-Normal8"/>
              <w:jc w:val="center"/>
              <w:rPr>
                <w:rFonts w:eastAsia="Times New Roman" w:cs="Times New Roman"/>
                <w:noProof/>
              </w:rPr>
            </w:pPr>
            <w:r w:rsidRPr="00BC4EE7">
              <w:rPr>
                <w:rFonts w:cs="Times New Roman"/>
                <w:noProof/>
              </w:rPr>
              <w:t>Szám</w:t>
            </w:r>
          </w:p>
        </w:tc>
        <w:tc>
          <w:tcPr>
            <w:tcW w:w="992" w:type="dxa"/>
            <w:vMerge w:val="restart"/>
            <w:shd w:val="clear" w:color="auto" w:fill="BDD7EE"/>
            <w:vAlign w:val="center"/>
            <w:hideMark/>
          </w:tcPr>
          <w:p w14:paraId="2A8EB361" w14:textId="77777777" w:rsidR="00D65CB4" w:rsidRPr="00BC4EE7" w:rsidRDefault="00572307">
            <w:pPr>
              <w:pStyle w:val="P68B1DB1-Normal8"/>
              <w:jc w:val="center"/>
              <w:rPr>
                <w:rFonts w:eastAsia="Times New Roman" w:cs="Times New Roman"/>
                <w:noProof/>
              </w:rPr>
            </w:pPr>
            <w:r w:rsidRPr="00BC4EE7">
              <w:rPr>
                <w:rFonts w:cs="Times New Roman"/>
                <w:noProof/>
              </w:rPr>
              <w:t>Intézkedés</w:t>
            </w:r>
          </w:p>
        </w:tc>
        <w:tc>
          <w:tcPr>
            <w:tcW w:w="992" w:type="dxa"/>
            <w:vMerge w:val="restart"/>
            <w:shd w:val="clear" w:color="auto" w:fill="BDD7EE"/>
            <w:vAlign w:val="center"/>
            <w:hideMark/>
          </w:tcPr>
          <w:p w14:paraId="3F845D1D" w14:textId="77777777" w:rsidR="00D65CB4" w:rsidRPr="00BC4EE7" w:rsidRDefault="00572307">
            <w:pPr>
              <w:jc w:val="center"/>
              <w:rPr>
                <w:rFonts w:ascii="Times New Roman" w:eastAsia="Times New Roman" w:hAnsi="Times New Roman" w:cs="Times New Roman"/>
                <w:b/>
                <w:noProof/>
                <w:sz w:val="18"/>
              </w:rPr>
            </w:pPr>
            <w:r w:rsidRPr="00BC4EE7">
              <w:rPr>
                <w:rFonts w:ascii="Times New Roman" w:hAnsi="Times New Roman" w:cs="Times New Roman"/>
                <w:b/>
                <w:noProof/>
                <w:sz w:val="18"/>
              </w:rPr>
              <w:t>Mérföldkő</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b/>
                <w:noProof/>
                <w:sz w:val="18"/>
              </w:rPr>
              <w:t xml:space="preserve"> /Cél</w:t>
            </w:r>
          </w:p>
        </w:tc>
        <w:tc>
          <w:tcPr>
            <w:tcW w:w="1701" w:type="dxa"/>
            <w:vMerge w:val="restart"/>
            <w:shd w:val="clear" w:color="auto" w:fill="BDD7EE"/>
            <w:vAlign w:val="center"/>
            <w:hideMark/>
          </w:tcPr>
          <w:p w14:paraId="53F5094F" w14:textId="77777777" w:rsidR="00D65CB4" w:rsidRPr="00BC4EE7" w:rsidRDefault="00572307">
            <w:pPr>
              <w:pStyle w:val="P68B1DB1-Normal8"/>
              <w:jc w:val="center"/>
              <w:rPr>
                <w:rFonts w:eastAsia="Times New Roman" w:cs="Times New Roman"/>
                <w:noProof/>
              </w:rPr>
            </w:pPr>
            <w:r w:rsidRPr="00BC4EE7">
              <w:rPr>
                <w:rFonts w:cs="Times New Roman"/>
                <w:noProof/>
              </w:rPr>
              <w:t>Név</w:t>
            </w:r>
          </w:p>
        </w:tc>
        <w:tc>
          <w:tcPr>
            <w:tcW w:w="1276" w:type="dxa"/>
            <w:vMerge w:val="restart"/>
            <w:shd w:val="clear" w:color="auto" w:fill="BDD7EE"/>
            <w:vAlign w:val="center"/>
            <w:hideMark/>
          </w:tcPr>
          <w:p w14:paraId="7A730B7D" w14:textId="77777777" w:rsidR="00D65CB4" w:rsidRPr="00BC4EE7" w:rsidRDefault="00572307">
            <w:pPr>
              <w:pStyle w:val="P68B1DB1-Normal8"/>
              <w:jc w:val="center"/>
              <w:rPr>
                <w:rFonts w:eastAsia="Times New Roman" w:cs="Times New Roman"/>
                <w:noProof/>
              </w:rPr>
            </w:pPr>
            <w:r w:rsidRPr="00BC4EE7">
              <w:rPr>
                <w:rFonts w:cs="Times New Roman"/>
                <w:noProof/>
              </w:rPr>
              <w:t>A mérföldkövek minőségi mutatója</w:t>
            </w:r>
          </w:p>
        </w:tc>
        <w:tc>
          <w:tcPr>
            <w:tcW w:w="2126" w:type="dxa"/>
            <w:gridSpan w:val="3"/>
            <w:shd w:val="clear" w:color="auto" w:fill="BDD7EE"/>
            <w:vAlign w:val="center"/>
            <w:hideMark/>
          </w:tcPr>
          <w:p w14:paraId="2A8CBAEA" w14:textId="77777777" w:rsidR="00D65CB4" w:rsidRPr="00BC4EE7" w:rsidRDefault="00572307">
            <w:pPr>
              <w:pStyle w:val="P68B1DB1-Normal8"/>
              <w:jc w:val="center"/>
              <w:rPr>
                <w:rFonts w:eastAsia="Times New Roman" w:cs="Times New Roman"/>
                <w:noProof/>
              </w:rPr>
            </w:pPr>
            <w:r w:rsidRPr="00BC4EE7">
              <w:rPr>
                <w:rFonts w:cs="Times New Roman"/>
                <w:noProof/>
              </w:rPr>
              <w:t>A célérték mennyiségi mutatója</w:t>
            </w:r>
          </w:p>
        </w:tc>
        <w:tc>
          <w:tcPr>
            <w:tcW w:w="993" w:type="dxa"/>
            <w:gridSpan w:val="2"/>
            <w:shd w:val="clear" w:color="auto" w:fill="BDD7EE"/>
            <w:vAlign w:val="center"/>
            <w:hideMark/>
          </w:tcPr>
          <w:p w14:paraId="73EB6A43" w14:textId="77777777" w:rsidR="00D65CB4" w:rsidRPr="00BC4EE7" w:rsidRDefault="00572307">
            <w:pPr>
              <w:pStyle w:val="P68B1DB1-Normal8"/>
              <w:jc w:val="center"/>
              <w:rPr>
                <w:rFonts w:eastAsia="Times New Roman" w:cs="Times New Roman"/>
                <w:noProof/>
              </w:rPr>
            </w:pPr>
            <w:r w:rsidRPr="00BC4EE7">
              <w:rPr>
                <w:rFonts w:cs="Times New Roman"/>
                <w:noProof/>
              </w:rPr>
              <w:t>Idő</w:t>
            </w:r>
          </w:p>
        </w:tc>
        <w:tc>
          <w:tcPr>
            <w:tcW w:w="4958" w:type="dxa"/>
            <w:vMerge w:val="restart"/>
            <w:shd w:val="clear" w:color="auto" w:fill="BDD7EE"/>
            <w:vAlign w:val="center"/>
            <w:hideMark/>
          </w:tcPr>
          <w:p w14:paraId="29588294" w14:textId="77777777" w:rsidR="00D65CB4" w:rsidRPr="00BC4EE7" w:rsidRDefault="00572307">
            <w:pPr>
              <w:pStyle w:val="P68B1DB1-Normal8"/>
              <w:jc w:val="center"/>
              <w:rPr>
                <w:rFonts w:eastAsia="Times New Roman" w:cs="Times New Roman"/>
                <w:noProof/>
              </w:rPr>
            </w:pPr>
            <w:r w:rsidRPr="00BC4EE7">
              <w:rPr>
                <w:rFonts w:cs="Times New Roman"/>
                <w:noProof/>
              </w:rPr>
              <w:t>Az egyes mérföldkövek és célértékek leírása</w:t>
            </w:r>
          </w:p>
        </w:tc>
      </w:tr>
      <w:tr w:rsidR="00D65CB4" w:rsidRPr="00BC4EE7" w14:paraId="5C2B87F9" w14:textId="77777777">
        <w:trPr>
          <w:trHeight w:val="495"/>
        </w:trPr>
        <w:tc>
          <w:tcPr>
            <w:tcW w:w="846" w:type="dxa"/>
            <w:vMerge/>
            <w:shd w:val="clear" w:color="auto" w:fill="BDD7EE"/>
            <w:hideMark/>
          </w:tcPr>
          <w:p w14:paraId="7443414A" w14:textId="77777777" w:rsidR="00D65CB4" w:rsidRPr="00BC4EE7" w:rsidRDefault="00D65CB4">
            <w:pPr>
              <w:jc w:val="center"/>
              <w:rPr>
                <w:rFonts w:ascii="Times New Roman" w:eastAsia="Times New Roman" w:hAnsi="Times New Roman" w:cs="Times New Roman"/>
                <w:b/>
                <w:noProof/>
                <w:sz w:val="18"/>
              </w:rPr>
            </w:pPr>
          </w:p>
        </w:tc>
        <w:tc>
          <w:tcPr>
            <w:tcW w:w="992" w:type="dxa"/>
            <w:vMerge/>
            <w:shd w:val="clear" w:color="auto" w:fill="BDD7EE"/>
            <w:hideMark/>
          </w:tcPr>
          <w:p w14:paraId="532CBB21" w14:textId="77777777" w:rsidR="00D65CB4" w:rsidRPr="00BC4EE7" w:rsidRDefault="00D65CB4">
            <w:pPr>
              <w:jc w:val="center"/>
              <w:rPr>
                <w:rFonts w:ascii="Times New Roman" w:eastAsia="Times New Roman" w:hAnsi="Times New Roman" w:cs="Times New Roman"/>
                <w:b/>
                <w:noProof/>
                <w:sz w:val="18"/>
              </w:rPr>
            </w:pPr>
          </w:p>
        </w:tc>
        <w:tc>
          <w:tcPr>
            <w:tcW w:w="992" w:type="dxa"/>
            <w:vMerge/>
            <w:shd w:val="clear" w:color="auto" w:fill="BDD7EE"/>
            <w:hideMark/>
          </w:tcPr>
          <w:p w14:paraId="7613B594" w14:textId="77777777" w:rsidR="00D65CB4" w:rsidRPr="00BC4EE7" w:rsidRDefault="00D65CB4">
            <w:pPr>
              <w:jc w:val="center"/>
              <w:rPr>
                <w:rFonts w:ascii="Times New Roman" w:eastAsia="Times New Roman" w:hAnsi="Times New Roman" w:cs="Times New Roman"/>
                <w:b/>
                <w:noProof/>
                <w:sz w:val="18"/>
              </w:rPr>
            </w:pPr>
          </w:p>
        </w:tc>
        <w:tc>
          <w:tcPr>
            <w:tcW w:w="1701" w:type="dxa"/>
            <w:vMerge/>
            <w:shd w:val="clear" w:color="auto" w:fill="BDD7EE"/>
            <w:hideMark/>
          </w:tcPr>
          <w:p w14:paraId="6D29F1BD" w14:textId="77777777" w:rsidR="00D65CB4" w:rsidRPr="00BC4EE7" w:rsidRDefault="00D65CB4">
            <w:pPr>
              <w:jc w:val="center"/>
              <w:rPr>
                <w:rFonts w:ascii="Times New Roman" w:eastAsia="Times New Roman" w:hAnsi="Times New Roman" w:cs="Times New Roman"/>
                <w:b/>
                <w:noProof/>
                <w:sz w:val="18"/>
              </w:rPr>
            </w:pPr>
          </w:p>
        </w:tc>
        <w:tc>
          <w:tcPr>
            <w:tcW w:w="1276" w:type="dxa"/>
            <w:vMerge/>
            <w:shd w:val="clear" w:color="auto" w:fill="BDD7EE"/>
            <w:hideMark/>
          </w:tcPr>
          <w:p w14:paraId="7D2BCCFA" w14:textId="77777777" w:rsidR="00D65CB4" w:rsidRPr="00BC4EE7" w:rsidRDefault="00D65CB4">
            <w:pPr>
              <w:jc w:val="center"/>
              <w:rPr>
                <w:rFonts w:ascii="Times New Roman" w:eastAsia="Times New Roman" w:hAnsi="Times New Roman" w:cs="Times New Roman"/>
                <w:b/>
                <w:noProof/>
                <w:sz w:val="18"/>
              </w:rPr>
            </w:pPr>
          </w:p>
        </w:tc>
        <w:tc>
          <w:tcPr>
            <w:tcW w:w="709" w:type="dxa"/>
            <w:shd w:val="clear" w:color="auto" w:fill="BDD7EE"/>
            <w:hideMark/>
          </w:tcPr>
          <w:p w14:paraId="146393A0" w14:textId="77777777" w:rsidR="00D65CB4" w:rsidRPr="00BC4EE7" w:rsidRDefault="00572307">
            <w:pPr>
              <w:pStyle w:val="P68B1DB1-Normal8"/>
              <w:jc w:val="center"/>
              <w:rPr>
                <w:rFonts w:eastAsia="Times New Roman" w:cs="Times New Roman"/>
                <w:noProof/>
              </w:rPr>
            </w:pPr>
            <w:r w:rsidRPr="00BC4EE7">
              <w:rPr>
                <w:rFonts w:cs="Times New Roman"/>
                <w:noProof/>
              </w:rPr>
              <w:t>Egység</w:t>
            </w:r>
          </w:p>
        </w:tc>
        <w:tc>
          <w:tcPr>
            <w:tcW w:w="992" w:type="dxa"/>
            <w:shd w:val="clear" w:color="auto" w:fill="BDD7EE"/>
            <w:hideMark/>
          </w:tcPr>
          <w:p w14:paraId="4B231DE4" w14:textId="380F9785" w:rsidR="00D65CB4" w:rsidRPr="00BC4EE7" w:rsidRDefault="00572307">
            <w:pPr>
              <w:pStyle w:val="P68B1DB1-Normal8"/>
              <w:jc w:val="center"/>
              <w:rPr>
                <w:rFonts w:eastAsia="Times New Roman" w:cs="Times New Roman"/>
                <w:noProof/>
              </w:rPr>
            </w:pPr>
            <w:r w:rsidRPr="00BC4EE7">
              <w:rPr>
                <w:rFonts w:cs="Times New Roman"/>
                <w:noProof/>
              </w:rPr>
              <w:t>Kiindulási</w:t>
            </w:r>
          </w:p>
        </w:tc>
        <w:tc>
          <w:tcPr>
            <w:tcW w:w="708" w:type="dxa"/>
            <w:shd w:val="clear" w:color="auto" w:fill="BDD7EE"/>
            <w:hideMark/>
          </w:tcPr>
          <w:p w14:paraId="1D3E9995" w14:textId="77777777" w:rsidR="00D65CB4" w:rsidRPr="00BC4EE7" w:rsidRDefault="00572307">
            <w:pPr>
              <w:pStyle w:val="P68B1DB1-Normal8"/>
              <w:jc w:val="center"/>
              <w:rPr>
                <w:rFonts w:eastAsia="Times New Roman" w:cs="Times New Roman"/>
                <w:noProof/>
              </w:rPr>
            </w:pPr>
            <w:r w:rsidRPr="00BC4EE7">
              <w:rPr>
                <w:rFonts w:cs="Times New Roman"/>
                <w:noProof/>
              </w:rPr>
              <w:t>Cél</w:t>
            </w:r>
          </w:p>
        </w:tc>
        <w:tc>
          <w:tcPr>
            <w:tcW w:w="426" w:type="dxa"/>
            <w:shd w:val="clear" w:color="auto" w:fill="BDD7EE"/>
            <w:hideMark/>
          </w:tcPr>
          <w:p w14:paraId="0596B63C" w14:textId="4DF0A5B8" w:rsidR="00D65CB4" w:rsidRPr="00BC4EE7" w:rsidRDefault="00572307">
            <w:pPr>
              <w:pStyle w:val="P68B1DB1-Normal8"/>
              <w:jc w:val="center"/>
              <w:rPr>
                <w:rFonts w:eastAsia="Times New Roman" w:cs="Times New Roman"/>
                <w:noProof/>
              </w:rPr>
            </w:pPr>
            <w:r w:rsidRPr="00BC4EE7">
              <w:rPr>
                <w:rFonts w:cs="Times New Roman"/>
                <w:noProof/>
              </w:rPr>
              <w:t>Q</w:t>
            </w:r>
          </w:p>
        </w:tc>
        <w:tc>
          <w:tcPr>
            <w:tcW w:w="567" w:type="dxa"/>
            <w:shd w:val="clear" w:color="auto" w:fill="BDD7EE"/>
            <w:hideMark/>
          </w:tcPr>
          <w:p w14:paraId="207A5044" w14:textId="7406E71C" w:rsidR="00D65CB4" w:rsidRPr="00BC4EE7" w:rsidRDefault="00572307">
            <w:pPr>
              <w:pStyle w:val="P68B1DB1-Normal8"/>
              <w:jc w:val="center"/>
              <w:rPr>
                <w:rFonts w:eastAsia="Times New Roman" w:cs="Times New Roman"/>
                <w:noProof/>
              </w:rPr>
            </w:pPr>
            <w:r w:rsidRPr="00BC4EE7">
              <w:rPr>
                <w:rFonts w:cs="Times New Roman"/>
                <w:noProof/>
              </w:rPr>
              <w:t>Éve</w:t>
            </w:r>
          </w:p>
          <w:p w14:paraId="01D9CBC1" w14:textId="77EB7F29" w:rsidR="00D65CB4" w:rsidRPr="00BC4EE7" w:rsidRDefault="00D65CB4">
            <w:pPr>
              <w:rPr>
                <w:rFonts w:ascii="Times New Roman" w:eastAsia="Times New Roman" w:hAnsi="Times New Roman" w:cs="Times New Roman"/>
                <w:noProof/>
                <w:sz w:val="18"/>
              </w:rPr>
            </w:pPr>
          </w:p>
        </w:tc>
        <w:tc>
          <w:tcPr>
            <w:tcW w:w="4958" w:type="dxa"/>
            <w:vMerge/>
            <w:shd w:val="clear" w:color="auto" w:fill="BDD7EE"/>
            <w:hideMark/>
          </w:tcPr>
          <w:p w14:paraId="1B6A682F" w14:textId="77777777" w:rsidR="00D65CB4" w:rsidRPr="00BC4EE7" w:rsidRDefault="00D65CB4">
            <w:pPr>
              <w:jc w:val="center"/>
              <w:rPr>
                <w:rFonts w:ascii="Times New Roman" w:eastAsia="Times New Roman" w:hAnsi="Times New Roman" w:cs="Times New Roman"/>
                <w:b/>
                <w:noProof/>
                <w:sz w:val="18"/>
              </w:rPr>
            </w:pPr>
          </w:p>
        </w:tc>
      </w:tr>
      <w:tr w:rsidR="00D65CB4" w:rsidRPr="00BC4EE7" w14:paraId="7D05D04F" w14:textId="77777777">
        <w:trPr>
          <w:trHeight w:val="300"/>
        </w:trPr>
        <w:tc>
          <w:tcPr>
            <w:tcW w:w="846" w:type="dxa"/>
            <w:shd w:val="clear" w:color="auto" w:fill="C6EFCE"/>
            <w:hideMark/>
          </w:tcPr>
          <w:p w14:paraId="0D0C5572" w14:textId="280387A3" w:rsidR="00D65CB4" w:rsidRPr="00BC4EE7" w:rsidRDefault="00572307">
            <w:pPr>
              <w:pStyle w:val="P68B1DB1-Normal12"/>
              <w:jc w:val="center"/>
              <w:rPr>
                <w:rFonts w:cs="Times New Roman"/>
                <w:noProof/>
              </w:rPr>
            </w:pPr>
            <w:r w:rsidRPr="00BC4EE7">
              <w:rPr>
                <w:rFonts w:cs="Times New Roman"/>
                <w:noProof/>
              </w:rPr>
              <w:t>L63</w:t>
            </w:r>
          </w:p>
        </w:tc>
        <w:tc>
          <w:tcPr>
            <w:tcW w:w="992" w:type="dxa"/>
            <w:shd w:val="clear" w:color="auto" w:fill="C6EFCE"/>
            <w:hideMark/>
          </w:tcPr>
          <w:p w14:paraId="2D369ECD" w14:textId="348F3DBF" w:rsidR="00D65CB4" w:rsidRPr="00BC4EE7" w:rsidRDefault="00572307">
            <w:pPr>
              <w:pStyle w:val="P68B1DB1-Normal12"/>
              <w:jc w:val="center"/>
              <w:rPr>
                <w:rFonts w:cs="Times New Roman"/>
                <w:noProof/>
              </w:rPr>
            </w:pPr>
            <w:r w:rsidRPr="00BC4EE7">
              <w:rPr>
                <w:rFonts w:cs="Times New Roman"/>
                <w:noProof/>
              </w:rPr>
              <w:t>C15.I9</w:t>
            </w:r>
          </w:p>
        </w:tc>
        <w:tc>
          <w:tcPr>
            <w:tcW w:w="992" w:type="dxa"/>
            <w:shd w:val="clear" w:color="auto" w:fill="C6EFCE"/>
            <w:hideMark/>
          </w:tcPr>
          <w:p w14:paraId="2376F4A4" w14:textId="29A95FDB" w:rsidR="00D65CB4" w:rsidRPr="00BC4EE7" w:rsidRDefault="00572307">
            <w:pPr>
              <w:pStyle w:val="P68B1DB1-Normal12"/>
              <w:jc w:val="center"/>
              <w:rPr>
                <w:rFonts w:cs="Times New Roman"/>
                <w:noProof/>
              </w:rPr>
            </w:pPr>
            <w:r w:rsidRPr="00BC4EE7">
              <w:rPr>
                <w:rFonts w:cs="Times New Roman"/>
                <w:noProof/>
              </w:rPr>
              <w:t>M</w:t>
            </w:r>
          </w:p>
        </w:tc>
        <w:tc>
          <w:tcPr>
            <w:tcW w:w="1701" w:type="dxa"/>
            <w:shd w:val="clear" w:color="auto" w:fill="C6EFCE"/>
            <w:hideMark/>
          </w:tcPr>
          <w:p w14:paraId="25940D13" w14:textId="53DD0140" w:rsidR="00D65CB4" w:rsidRPr="00BC4EE7" w:rsidRDefault="00572307">
            <w:pPr>
              <w:pStyle w:val="P68B1DB1-Normal12"/>
              <w:rPr>
                <w:rFonts w:cs="Times New Roman"/>
                <w:noProof/>
              </w:rPr>
            </w:pPr>
            <w:r w:rsidRPr="00BC4EE7">
              <w:rPr>
                <w:rFonts w:cs="Times New Roman"/>
                <w:noProof/>
              </w:rPr>
              <w:t>Csipfinanszírozási eszköz: A finanszírozási mechanizmus hivatalos jóváhagyása</w:t>
            </w:r>
          </w:p>
        </w:tc>
        <w:tc>
          <w:tcPr>
            <w:tcW w:w="1276" w:type="dxa"/>
            <w:shd w:val="clear" w:color="auto" w:fill="C6EFCE"/>
            <w:hideMark/>
          </w:tcPr>
          <w:p w14:paraId="3BC64F0B" w14:textId="77777777" w:rsidR="00D65CB4" w:rsidRPr="00BC4EE7" w:rsidRDefault="00572307">
            <w:pPr>
              <w:pStyle w:val="P68B1DB1-Normal12"/>
              <w:rPr>
                <w:rFonts w:cs="Times New Roman"/>
                <w:noProof/>
              </w:rPr>
            </w:pPr>
            <w:r w:rsidRPr="00BC4EE7">
              <w:rPr>
                <w:rFonts w:cs="Times New Roman"/>
                <w:noProof/>
              </w:rPr>
              <w:t>A végrehajtási megállapodás aláírása </w:t>
            </w:r>
          </w:p>
        </w:tc>
        <w:tc>
          <w:tcPr>
            <w:tcW w:w="709" w:type="dxa"/>
            <w:shd w:val="clear" w:color="auto" w:fill="C6EFCE"/>
            <w:hideMark/>
          </w:tcPr>
          <w:p w14:paraId="41D33B3A" w14:textId="77777777" w:rsidR="00D65CB4" w:rsidRPr="00BC4EE7" w:rsidRDefault="00572307">
            <w:pPr>
              <w:pStyle w:val="P68B1DB1-Normal12"/>
              <w:rPr>
                <w:rFonts w:cs="Times New Roman"/>
                <w:noProof/>
              </w:rPr>
            </w:pPr>
            <w:r w:rsidRPr="00BC4EE7">
              <w:rPr>
                <w:rFonts w:cs="Times New Roman"/>
                <w:noProof/>
              </w:rPr>
              <w:t xml:space="preserve"> </w:t>
            </w:r>
          </w:p>
        </w:tc>
        <w:tc>
          <w:tcPr>
            <w:tcW w:w="992" w:type="dxa"/>
            <w:shd w:val="clear" w:color="auto" w:fill="C6EFCE"/>
            <w:hideMark/>
          </w:tcPr>
          <w:p w14:paraId="5F93FEEE" w14:textId="77777777" w:rsidR="00D65CB4" w:rsidRPr="00BC4EE7" w:rsidRDefault="00572307">
            <w:pPr>
              <w:pStyle w:val="P68B1DB1-Normal12"/>
              <w:rPr>
                <w:rFonts w:cs="Times New Roman"/>
                <w:noProof/>
              </w:rPr>
            </w:pPr>
            <w:r w:rsidRPr="00BC4EE7">
              <w:rPr>
                <w:rFonts w:cs="Times New Roman"/>
                <w:noProof/>
              </w:rPr>
              <w:t xml:space="preserve"> </w:t>
            </w:r>
          </w:p>
        </w:tc>
        <w:tc>
          <w:tcPr>
            <w:tcW w:w="708" w:type="dxa"/>
            <w:shd w:val="clear" w:color="auto" w:fill="C6EFCE"/>
            <w:hideMark/>
          </w:tcPr>
          <w:p w14:paraId="4BA7C8A7" w14:textId="77777777" w:rsidR="00D65CB4" w:rsidRPr="00BC4EE7" w:rsidRDefault="00572307">
            <w:pPr>
              <w:pStyle w:val="P68B1DB1-Normal12"/>
              <w:rPr>
                <w:rFonts w:cs="Times New Roman"/>
                <w:noProof/>
              </w:rPr>
            </w:pPr>
            <w:r w:rsidRPr="00BC4EE7">
              <w:rPr>
                <w:rFonts w:cs="Times New Roman"/>
                <w:noProof/>
              </w:rPr>
              <w:t xml:space="preserve"> </w:t>
            </w:r>
          </w:p>
        </w:tc>
        <w:tc>
          <w:tcPr>
            <w:tcW w:w="426" w:type="dxa"/>
            <w:shd w:val="clear" w:color="auto" w:fill="C6EFCE"/>
            <w:hideMark/>
          </w:tcPr>
          <w:p w14:paraId="7EC9807C" w14:textId="5C54D2D9" w:rsidR="00D65CB4" w:rsidRPr="00BC4EE7" w:rsidRDefault="00572307">
            <w:pPr>
              <w:pStyle w:val="P68B1DB1-Normal12"/>
              <w:jc w:val="center"/>
              <w:rPr>
                <w:rFonts w:cs="Times New Roman"/>
                <w:noProof/>
              </w:rPr>
            </w:pPr>
            <w:r w:rsidRPr="00BC4EE7">
              <w:rPr>
                <w:rFonts w:cs="Times New Roman"/>
                <w:noProof/>
              </w:rPr>
              <w:t>Q4</w:t>
            </w:r>
          </w:p>
        </w:tc>
        <w:tc>
          <w:tcPr>
            <w:tcW w:w="567" w:type="dxa"/>
            <w:shd w:val="clear" w:color="auto" w:fill="C6EFCE"/>
            <w:hideMark/>
          </w:tcPr>
          <w:p w14:paraId="135322BD" w14:textId="77777777" w:rsidR="00D65CB4" w:rsidRPr="00BC4EE7" w:rsidRDefault="00572307">
            <w:pPr>
              <w:pStyle w:val="P68B1DB1-Normal12"/>
              <w:jc w:val="center"/>
              <w:rPr>
                <w:rFonts w:eastAsia="Times New Roman" w:cs="Times New Roman"/>
                <w:noProof/>
              </w:rPr>
            </w:pPr>
            <w:r w:rsidRPr="00BC4EE7">
              <w:rPr>
                <w:rFonts w:cs="Times New Roman"/>
                <w:noProof/>
              </w:rPr>
              <w:t>2023</w:t>
            </w:r>
          </w:p>
        </w:tc>
        <w:tc>
          <w:tcPr>
            <w:tcW w:w="4958" w:type="dxa"/>
            <w:shd w:val="clear" w:color="auto" w:fill="C6EFCE"/>
            <w:hideMark/>
          </w:tcPr>
          <w:p w14:paraId="776872B7" w14:textId="13E22D45" w:rsidR="00D65CB4" w:rsidRPr="00BC4EE7" w:rsidRDefault="00572307">
            <w:pPr>
              <w:pStyle w:val="P68B1DB1-Normal12"/>
              <w:rPr>
                <w:rFonts w:cs="Times New Roman"/>
                <w:noProof/>
              </w:rPr>
            </w:pPr>
            <w:r w:rsidRPr="00BC4EE7">
              <w:rPr>
                <w:rFonts w:cs="Times New Roman"/>
                <w:noProof/>
              </w:rPr>
              <w:t>A végrehajtási megállapodásnak a Minisztérium és a SEMyS általi aláírása, vagy az eszköz létrehozásáról szóló rendelet és a kapcsolódó dokumentumok hatálybalépése.</w:t>
            </w:r>
          </w:p>
        </w:tc>
      </w:tr>
      <w:tr w:rsidR="00D65CB4" w:rsidRPr="00BC4EE7" w14:paraId="1CB13C5D" w14:textId="77777777">
        <w:trPr>
          <w:trHeight w:val="300"/>
        </w:trPr>
        <w:tc>
          <w:tcPr>
            <w:tcW w:w="846" w:type="dxa"/>
            <w:shd w:val="clear" w:color="auto" w:fill="C6EFCE"/>
          </w:tcPr>
          <w:p w14:paraId="63157463" w14:textId="6C136408" w:rsidR="00D65CB4" w:rsidRPr="00BC4EE7" w:rsidRDefault="00572307">
            <w:pPr>
              <w:pStyle w:val="P68B1DB1-Normal12"/>
              <w:jc w:val="center"/>
              <w:rPr>
                <w:rFonts w:cs="Times New Roman"/>
                <w:noProof/>
              </w:rPr>
            </w:pPr>
            <w:r w:rsidRPr="00BC4EE7">
              <w:rPr>
                <w:rFonts w:cs="Times New Roman"/>
                <w:noProof/>
              </w:rPr>
              <w:t>L64</w:t>
            </w:r>
          </w:p>
        </w:tc>
        <w:tc>
          <w:tcPr>
            <w:tcW w:w="992" w:type="dxa"/>
            <w:shd w:val="clear" w:color="auto" w:fill="C6EFCE"/>
          </w:tcPr>
          <w:p w14:paraId="491EE663" w14:textId="7BDE6061" w:rsidR="00D65CB4" w:rsidRPr="00BC4EE7" w:rsidRDefault="00572307">
            <w:pPr>
              <w:pStyle w:val="P68B1DB1-Normal12"/>
              <w:jc w:val="center"/>
              <w:rPr>
                <w:rFonts w:cs="Times New Roman"/>
                <w:noProof/>
              </w:rPr>
            </w:pPr>
            <w:r w:rsidRPr="00BC4EE7">
              <w:rPr>
                <w:rFonts w:cs="Times New Roman"/>
                <w:noProof/>
              </w:rPr>
              <w:t>C15.I9</w:t>
            </w:r>
          </w:p>
        </w:tc>
        <w:tc>
          <w:tcPr>
            <w:tcW w:w="992" w:type="dxa"/>
            <w:shd w:val="clear" w:color="auto" w:fill="C6EFCE"/>
          </w:tcPr>
          <w:p w14:paraId="4179376F" w14:textId="05FC026A" w:rsidR="00D65CB4" w:rsidRPr="00BC4EE7" w:rsidRDefault="00572307">
            <w:pPr>
              <w:pStyle w:val="P68B1DB1-Normal12"/>
              <w:jc w:val="center"/>
              <w:rPr>
                <w:rFonts w:cs="Times New Roman"/>
                <w:noProof/>
              </w:rPr>
            </w:pPr>
            <w:r w:rsidRPr="00BC4EE7">
              <w:rPr>
                <w:rFonts w:cs="Times New Roman"/>
                <w:noProof/>
              </w:rPr>
              <w:t>T</w:t>
            </w:r>
          </w:p>
        </w:tc>
        <w:tc>
          <w:tcPr>
            <w:tcW w:w="1701" w:type="dxa"/>
            <w:shd w:val="clear" w:color="auto" w:fill="C6EFCE"/>
          </w:tcPr>
          <w:p w14:paraId="62508480" w14:textId="5A6F9073" w:rsidR="00D65CB4" w:rsidRPr="00BC4EE7" w:rsidRDefault="00572307">
            <w:pPr>
              <w:pStyle w:val="P68B1DB1-Normal12"/>
              <w:rPr>
                <w:rFonts w:cs="Times New Roman"/>
                <w:noProof/>
              </w:rPr>
            </w:pPr>
            <w:r w:rsidRPr="00BC4EE7">
              <w:rPr>
                <w:rFonts w:cs="Times New Roman"/>
                <w:noProof/>
              </w:rPr>
              <w:t>Csipfinanszírozási eszköz: A végső kedvezményezettekkel aláírt jogi megállapodások (I)</w:t>
            </w:r>
          </w:p>
        </w:tc>
        <w:tc>
          <w:tcPr>
            <w:tcW w:w="1276" w:type="dxa"/>
            <w:shd w:val="clear" w:color="auto" w:fill="C6EFCE"/>
          </w:tcPr>
          <w:p w14:paraId="45F800E9" w14:textId="77777777" w:rsidR="00D65CB4" w:rsidRPr="00BC4EE7" w:rsidRDefault="00D65CB4">
            <w:pPr>
              <w:rPr>
                <w:rFonts w:ascii="Times New Roman" w:hAnsi="Times New Roman" w:cs="Times New Roman"/>
                <w:noProof/>
                <w:sz w:val="18"/>
              </w:rPr>
            </w:pPr>
          </w:p>
        </w:tc>
        <w:tc>
          <w:tcPr>
            <w:tcW w:w="709" w:type="dxa"/>
            <w:shd w:val="clear" w:color="auto" w:fill="C6EFCE"/>
          </w:tcPr>
          <w:p w14:paraId="5647BF63" w14:textId="66EF5FA5" w:rsidR="00D65CB4" w:rsidRPr="00BC4EE7" w:rsidRDefault="00D65CB4">
            <w:pPr>
              <w:rPr>
                <w:rFonts w:ascii="Times New Roman" w:hAnsi="Times New Roman" w:cs="Times New Roman"/>
                <w:noProof/>
                <w:sz w:val="18"/>
              </w:rPr>
            </w:pPr>
          </w:p>
        </w:tc>
        <w:tc>
          <w:tcPr>
            <w:tcW w:w="992" w:type="dxa"/>
            <w:shd w:val="clear" w:color="auto" w:fill="C6EFCE"/>
          </w:tcPr>
          <w:p w14:paraId="19862384" w14:textId="77777777" w:rsidR="00D65CB4" w:rsidRPr="00BC4EE7" w:rsidRDefault="00572307">
            <w:pPr>
              <w:pStyle w:val="P68B1DB1-Normal12"/>
              <w:jc w:val="center"/>
              <w:rPr>
                <w:rFonts w:cs="Times New Roman"/>
                <w:noProof/>
              </w:rPr>
            </w:pPr>
            <w:r w:rsidRPr="00BC4EE7">
              <w:rPr>
                <w:rFonts w:cs="Times New Roman"/>
                <w:noProof/>
              </w:rPr>
              <w:t>0</w:t>
            </w:r>
          </w:p>
        </w:tc>
        <w:tc>
          <w:tcPr>
            <w:tcW w:w="708" w:type="dxa"/>
            <w:shd w:val="clear" w:color="auto" w:fill="C6EFCE"/>
          </w:tcPr>
          <w:p w14:paraId="4A0D3DAB" w14:textId="083523E6" w:rsidR="00D65CB4" w:rsidRPr="00BC4EE7" w:rsidRDefault="00572307">
            <w:pPr>
              <w:pStyle w:val="P68B1DB1-Normal12"/>
              <w:jc w:val="center"/>
              <w:rPr>
                <w:rFonts w:cs="Times New Roman"/>
                <w:noProof/>
              </w:rPr>
            </w:pPr>
            <w:r w:rsidRPr="00BC4EE7">
              <w:rPr>
                <w:rFonts w:cs="Times New Roman"/>
                <w:noProof/>
              </w:rPr>
              <w:t>25%</w:t>
            </w:r>
          </w:p>
        </w:tc>
        <w:tc>
          <w:tcPr>
            <w:tcW w:w="426" w:type="dxa"/>
            <w:shd w:val="clear" w:color="auto" w:fill="C6EFCE"/>
          </w:tcPr>
          <w:p w14:paraId="7903A43B" w14:textId="77777777" w:rsidR="00D65CB4" w:rsidRPr="00BC4EE7" w:rsidRDefault="00572307">
            <w:pPr>
              <w:pStyle w:val="P68B1DB1-Normal12"/>
              <w:jc w:val="center"/>
              <w:rPr>
                <w:rFonts w:cs="Times New Roman"/>
                <w:noProof/>
              </w:rPr>
            </w:pPr>
            <w:r w:rsidRPr="00BC4EE7">
              <w:rPr>
                <w:rFonts w:cs="Times New Roman"/>
                <w:noProof/>
              </w:rPr>
              <w:t>Q2</w:t>
            </w:r>
          </w:p>
        </w:tc>
        <w:tc>
          <w:tcPr>
            <w:tcW w:w="567" w:type="dxa"/>
            <w:shd w:val="clear" w:color="auto" w:fill="C6EFCE"/>
          </w:tcPr>
          <w:p w14:paraId="1BC066D8" w14:textId="77777777" w:rsidR="00D65CB4" w:rsidRPr="00BC4EE7" w:rsidRDefault="00572307">
            <w:pPr>
              <w:pStyle w:val="P68B1DB1-Normal12"/>
              <w:jc w:val="center"/>
              <w:rPr>
                <w:rFonts w:eastAsia="Times New Roman" w:cs="Times New Roman"/>
                <w:noProof/>
              </w:rPr>
            </w:pPr>
            <w:r w:rsidRPr="00BC4EE7">
              <w:rPr>
                <w:rFonts w:cs="Times New Roman"/>
                <w:noProof/>
              </w:rPr>
              <w:t>2025</w:t>
            </w:r>
          </w:p>
        </w:tc>
        <w:tc>
          <w:tcPr>
            <w:tcW w:w="4958" w:type="dxa"/>
            <w:shd w:val="clear" w:color="auto" w:fill="C6EFCE"/>
          </w:tcPr>
          <w:p w14:paraId="3F36263D" w14:textId="2DAFEEE7" w:rsidR="00D65CB4" w:rsidRPr="00BC4EE7" w:rsidRDefault="00572307">
            <w:pPr>
              <w:pStyle w:val="P68B1DB1-Normal12"/>
              <w:rPr>
                <w:rFonts w:cs="Times New Roman"/>
                <w:noProof/>
              </w:rPr>
            </w:pPr>
            <w:r w:rsidRPr="00BC4EE7">
              <w:rPr>
                <w:rFonts w:cs="Times New Roman"/>
                <w:noProof/>
              </w:rPr>
              <w:t>A hitelezési eszköznek jogi finanszírozási megállapodásokat kell kötnie a végső kedvezményezettekkel a Helyreállítási és Rezilienciaépítési Eszközbe történő beruházás legalább 25%-ának felhasználásához szükséges összegről (figyelembe véve az irányítási díjakat).</w:t>
            </w:r>
          </w:p>
          <w:p w14:paraId="1B65CDBA" w14:textId="543E1CFB" w:rsidR="00D65CB4" w:rsidRPr="00BC4EE7" w:rsidRDefault="00572307">
            <w:pPr>
              <w:pStyle w:val="P68B1DB1-Normal12"/>
              <w:rPr>
                <w:rFonts w:cs="Times New Roman"/>
                <w:noProof/>
              </w:rPr>
            </w:pPr>
            <w:r w:rsidRPr="00BC4EE7">
              <w:rPr>
                <w:rFonts w:cs="Times New Roman"/>
                <w:noProof/>
              </w:rPr>
              <w:t xml:space="preserve">A spanyol kormány és a spanyol nemzeti jogban leírt általános cselekvési jegyzőkönyv vagy azzal egyenértékű diplomáciai eszköz kérelmezője között is aláírásra kerül legalább egy félvezetőgyártó létesítmény (első vagy hátsó vége), nyílt uniós üzem vagy integrált gyártólétesítmény formájában, amely a csipekről szóló európai jogszabályban foglalt fogalommeghatározásoknak megfelelően először is megfelel a csipekről szóló európai jogszabályban meghatározott meghatározásoknak. </w:t>
            </w:r>
          </w:p>
          <w:p w14:paraId="2B920AB3" w14:textId="684AAF71" w:rsidR="00D65CB4" w:rsidRPr="00BC4EE7" w:rsidRDefault="00572307">
            <w:pPr>
              <w:pStyle w:val="P68B1DB1-Normal12"/>
              <w:rPr>
                <w:rFonts w:cs="Times New Roman"/>
                <w:noProof/>
              </w:rPr>
            </w:pPr>
            <w:r w:rsidRPr="00BC4EE7">
              <w:rPr>
                <w:rFonts w:cs="Times New Roman"/>
                <w:noProof/>
              </w:rPr>
              <w:t>A SEMyS a Helyreállítási és Rezilienciaépítési Eszközről szóló rendelet VII. mellékletében foglalt módszertan alkalmazásával jelentést készít, amelyben részletezi, hogy e finanszírozás legalább 100%-a hozzájárul a digitális átállás célkitűzéseihez.</w:t>
            </w:r>
          </w:p>
        </w:tc>
      </w:tr>
      <w:tr w:rsidR="00D65CB4" w:rsidRPr="00BC4EE7" w14:paraId="2EA593B6" w14:textId="77777777">
        <w:trPr>
          <w:trHeight w:val="300"/>
        </w:trPr>
        <w:tc>
          <w:tcPr>
            <w:tcW w:w="846" w:type="dxa"/>
            <w:shd w:val="clear" w:color="auto" w:fill="C6EFCE"/>
          </w:tcPr>
          <w:p w14:paraId="56656C43" w14:textId="02454E2D" w:rsidR="00D65CB4" w:rsidRPr="00BC4EE7" w:rsidRDefault="00572307">
            <w:pPr>
              <w:pStyle w:val="P68B1DB1-Normal12"/>
              <w:jc w:val="center"/>
              <w:rPr>
                <w:rFonts w:cs="Times New Roman"/>
                <w:noProof/>
              </w:rPr>
            </w:pPr>
            <w:r w:rsidRPr="00BC4EE7">
              <w:rPr>
                <w:rFonts w:cs="Times New Roman"/>
                <w:noProof/>
              </w:rPr>
              <w:t>L65</w:t>
            </w:r>
          </w:p>
        </w:tc>
        <w:tc>
          <w:tcPr>
            <w:tcW w:w="992" w:type="dxa"/>
            <w:shd w:val="clear" w:color="auto" w:fill="C6EFCE"/>
          </w:tcPr>
          <w:p w14:paraId="0BF73430" w14:textId="17653A36" w:rsidR="00D65CB4" w:rsidRPr="00BC4EE7" w:rsidRDefault="00572307">
            <w:pPr>
              <w:pStyle w:val="P68B1DB1-Normal12"/>
              <w:jc w:val="center"/>
              <w:rPr>
                <w:rFonts w:cs="Times New Roman"/>
                <w:noProof/>
              </w:rPr>
            </w:pPr>
            <w:r w:rsidRPr="00BC4EE7">
              <w:rPr>
                <w:rFonts w:cs="Times New Roman"/>
                <w:noProof/>
              </w:rPr>
              <w:t>C15.I9</w:t>
            </w:r>
          </w:p>
        </w:tc>
        <w:tc>
          <w:tcPr>
            <w:tcW w:w="992" w:type="dxa"/>
            <w:shd w:val="clear" w:color="auto" w:fill="C6EFCE"/>
          </w:tcPr>
          <w:p w14:paraId="2599D3DB" w14:textId="753CD061" w:rsidR="00D65CB4" w:rsidRPr="00BC4EE7" w:rsidRDefault="00572307">
            <w:pPr>
              <w:pStyle w:val="P68B1DB1-Normal12"/>
              <w:jc w:val="center"/>
              <w:rPr>
                <w:rFonts w:eastAsia="Times New Roman" w:cs="Times New Roman"/>
                <w:noProof/>
              </w:rPr>
            </w:pPr>
            <w:r w:rsidRPr="00BC4EE7">
              <w:rPr>
                <w:rFonts w:cs="Times New Roman"/>
                <w:noProof/>
              </w:rPr>
              <w:t>T</w:t>
            </w:r>
          </w:p>
        </w:tc>
        <w:tc>
          <w:tcPr>
            <w:tcW w:w="1701" w:type="dxa"/>
            <w:shd w:val="clear" w:color="auto" w:fill="C6EFCE"/>
          </w:tcPr>
          <w:p w14:paraId="196137CD" w14:textId="141A95CC" w:rsidR="00D65CB4" w:rsidRPr="00BC4EE7" w:rsidRDefault="00572307">
            <w:pPr>
              <w:pStyle w:val="P68B1DB1-Normal12"/>
              <w:rPr>
                <w:rFonts w:eastAsia="Times New Roman" w:cs="Times New Roman"/>
                <w:noProof/>
              </w:rPr>
            </w:pPr>
            <w:r w:rsidRPr="00BC4EE7">
              <w:rPr>
                <w:rFonts w:cs="Times New Roman"/>
                <w:noProof/>
              </w:rPr>
              <w:t>Csipfinanszírozási eszköz: A végső kedvezményezettekkel aláírt jogi megállapodások (II.)</w:t>
            </w:r>
          </w:p>
        </w:tc>
        <w:tc>
          <w:tcPr>
            <w:tcW w:w="1276" w:type="dxa"/>
            <w:shd w:val="clear" w:color="auto" w:fill="C6EFCE"/>
          </w:tcPr>
          <w:p w14:paraId="41A672A3" w14:textId="77777777" w:rsidR="00D65CB4" w:rsidRPr="00BC4EE7" w:rsidRDefault="00D65CB4">
            <w:pPr>
              <w:rPr>
                <w:rFonts w:ascii="Times New Roman" w:eastAsia="Times New Roman" w:hAnsi="Times New Roman" w:cs="Times New Roman"/>
                <w:noProof/>
                <w:sz w:val="18"/>
              </w:rPr>
            </w:pPr>
          </w:p>
        </w:tc>
        <w:tc>
          <w:tcPr>
            <w:tcW w:w="709" w:type="dxa"/>
            <w:shd w:val="clear" w:color="auto" w:fill="C6EFCE"/>
          </w:tcPr>
          <w:p w14:paraId="2988B5C7" w14:textId="14397A8A" w:rsidR="00D65CB4" w:rsidRPr="00BC4EE7" w:rsidRDefault="00D65CB4">
            <w:pPr>
              <w:rPr>
                <w:rFonts w:ascii="Times New Roman" w:hAnsi="Times New Roman" w:cs="Times New Roman"/>
                <w:noProof/>
                <w:sz w:val="18"/>
              </w:rPr>
            </w:pPr>
          </w:p>
        </w:tc>
        <w:tc>
          <w:tcPr>
            <w:tcW w:w="992" w:type="dxa"/>
            <w:shd w:val="clear" w:color="auto" w:fill="C6EFCE"/>
          </w:tcPr>
          <w:p w14:paraId="7CB24F9B" w14:textId="7C1EB69A" w:rsidR="00D65CB4" w:rsidRPr="00BC4EE7" w:rsidRDefault="00572307">
            <w:pPr>
              <w:pStyle w:val="P68B1DB1-Normal12"/>
              <w:jc w:val="center"/>
              <w:rPr>
                <w:rFonts w:eastAsia="Times New Roman" w:cs="Times New Roman"/>
                <w:noProof/>
              </w:rPr>
            </w:pPr>
            <w:r w:rsidRPr="00BC4EE7">
              <w:rPr>
                <w:rFonts w:cs="Times New Roman"/>
                <w:noProof/>
              </w:rPr>
              <w:t>25%</w:t>
            </w:r>
          </w:p>
        </w:tc>
        <w:tc>
          <w:tcPr>
            <w:tcW w:w="708" w:type="dxa"/>
            <w:shd w:val="clear" w:color="auto" w:fill="C6EFCE"/>
          </w:tcPr>
          <w:p w14:paraId="5FA4F5FA" w14:textId="4150342C" w:rsidR="00D65CB4" w:rsidRPr="00BC4EE7" w:rsidRDefault="00572307">
            <w:pPr>
              <w:pStyle w:val="P68B1DB1-Normal12"/>
              <w:jc w:val="center"/>
              <w:rPr>
                <w:rFonts w:eastAsia="Times New Roman" w:cs="Times New Roman"/>
                <w:noProof/>
              </w:rPr>
            </w:pPr>
            <w:r w:rsidRPr="00BC4EE7">
              <w:rPr>
                <w:rFonts w:cs="Times New Roman"/>
                <w:noProof/>
              </w:rPr>
              <w:t>100%-OS</w:t>
            </w:r>
          </w:p>
        </w:tc>
        <w:tc>
          <w:tcPr>
            <w:tcW w:w="426" w:type="dxa"/>
            <w:shd w:val="clear" w:color="auto" w:fill="C6EFCE"/>
          </w:tcPr>
          <w:p w14:paraId="567D5DA6" w14:textId="3494F4C6" w:rsidR="00D65CB4" w:rsidRPr="00BC4EE7" w:rsidRDefault="00572307">
            <w:pPr>
              <w:pStyle w:val="P68B1DB1-Normal12"/>
              <w:jc w:val="center"/>
              <w:rPr>
                <w:rFonts w:cs="Times New Roman"/>
                <w:noProof/>
              </w:rPr>
            </w:pPr>
            <w:r w:rsidRPr="00BC4EE7">
              <w:rPr>
                <w:rFonts w:cs="Times New Roman"/>
                <w:noProof/>
              </w:rPr>
              <w:t>Q3</w:t>
            </w:r>
          </w:p>
        </w:tc>
        <w:tc>
          <w:tcPr>
            <w:tcW w:w="567" w:type="dxa"/>
            <w:shd w:val="clear" w:color="auto" w:fill="C6EFCE"/>
          </w:tcPr>
          <w:p w14:paraId="227E7D60" w14:textId="32174019" w:rsidR="00D65CB4" w:rsidRPr="00BC4EE7" w:rsidRDefault="00572307">
            <w:pPr>
              <w:pStyle w:val="P68B1DB1-Normal12"/>
              <w:jc w:val="center"/>
              <w:rPr>
                <w:rFonts w:cs="Times New Roman"/>
                <w:noProof/>
              </w:rPr>
            </w:pPr>
            <w:r w:rsidRPr="00BC4EE7">
              <w:rPr>
                <w:rFonts w:cs="Times New Roman"/>
                <w:noProof/>
              </w:rPr>
              <w:t>2026</w:t>
            </w:r>
          </w:p>
        </w:tc>
        <w:tc>
          <w:tcPr>
            <w:tcW w:w="4958" w:type="dxa"/>
            <w:shd w:val="clear" w:color="auto" w:fill="C6EFCE"/>
          </w:tcPr>
          <w:p w14:paraId="78AE8FD0" w14:textId="6A3AB5B0" w:rsidR="00D65CB4" w:rsidRPr="00BC4EE7" w:rsidRDefault="00572307">
            <w:pPr>
              <w:pStyle w:val="P68B1DB1-Normal12"/>
              <w:rPr>
                <w:rFonts w:cs="Times New Roman"/>
                <w:noProof/>
              </w:rPr>
            </w:pPr>
            <w:r w:rsidRPr="00BC4EE7">
              <w:rPr>
                <w:rFonts w:cs="Times New Roman"/>
                <w:noProof/>
              </w:rPr>
              <w:t>A hitelezési eszköznek jogi finanszírozási megállapodásokat kell kötnie a végső kedvezményezettekkel a Helyreállítási és Rezilienciaépítési Eszközbe történő beruházás 100%-ának felhasználásához szükséges összegről (figyelembe véve az irányítási díjakat).</w:t>
            </w:r>
          </w:p>
          <w:p w14:paraId="3868FC58" w14:textId="70DB73BF" w:rsidR="00D65CB4" w:rsidRPr="00BC4EE7" w:rsidRDefault="00572307">
            <w:pPr>
              <w:pStyle w:val="P68B1DB1-Normal12"/>
              <w:rPr>
                <w:rFonts w:cs="Times New Roman"/>
                <w:noProof/>
              </w:rPr>
            </w:pPr>
            <w:r w:rsidRPr="00BC4EE7">
              <w:rPr>
                <w:rFonts w:cs="Times New Roman"/>
                <w:noProof/>
              </w:rPr>
              <w:t>A SEMyS a Helyreállítási és Rezilienciaépítési Eszközről szóló rendelet VII. mellékletében foglalt módszertan alkalmazásával jelentést készít, amelyben részletezi, hogy e finanszírozás legalább 100%-a hozzájárul a digitális átállás célkitűzéseihez.</w:t>
            </w:r>
          </w:p>
        </w:tc>
      </w:tr>
      <w:tr w:rsidR="00D65CB4" w:rsidRPr="00BC4EE7" w14:paraId="7FA53FE6" w14:textId="77777777">
        <w:trPr>
          <w:trHeight w:val="300"/>
        </w:trPr>
        <w:tc>
          <w:tcPr>
            <w:tcW w:w="846" w:type="dxa"/>
            <w:shd w:val="clear" w:color="auto" w:fill="C6EFCE"/>
          </w:tcPr>
          <w:p w14:paraId="052B4093" w14:textId="43FB1F02" w:rsidR="00D65CB4" w:rsidRPr="00BC4EE7" w:rsidRDefault="00572307">
            <w:pPr>
              <w:pStyle w:val="P68B1DB1-Normal12"/>
              <w:jc w:val="center"/>
              <w:rPr>
                <w:rFonts w:cs="Times New Roman"/>
                <w:noProof/>
              </w:rPr>
            </w:pPr>
            <w:r w:rsidRPr="00BC4EE7">
              <w:rPr>
                <w:rFonts w:cs="Times New Roman"/>
                <w:noProof/>
              </w:rPr>
              <w:t>L66</w:t>
            </w:r>
          </w:p>
        </w:tc>
        <w:tc>
          <w:tcPr>
            <w:tcW w:w="992" w:type="dxa"/>
            <w:shd w:val="clear" w:color="auto" w:fill="C6EFCE"/>
          </w:tcPr>
          <w:p w14:paraId="6758F82E" w14:textId="4102C823" w:rsidR="00D65CB4" w:rsidRPr="00BC4EE7" w:rsidRDefault="00572307">
            <w:pPr>
              <w:pStyle w:val="P68B1DB1-Normal12"/>
              <w:jc w:val="center"/>
              <w:rPr>
                <w:rFonts w:cs="Times New Roman"/>
                <w:noProof/>
              </w:rPr>
            </w:pPr>
            <w:r w:rsidRPr="00BC4EE7">
              <w:rPr>
                <w:rFonts w:cs="Times New Roman"/>
                <w:noProof/>
              </w:rPr>
              <w:t>C15.I9</w:t>
            </w:r>
          </w:p>
        </w:tc>
        <w:tc>
          <w:tcPr>
            <w:tcW w:w="992" w:type="dxa"/>
            <w:shd w:val="clear" w:color="auto" w:fill="C6EFCE"/>
          </w:tcPr>
          <w:p w14:paraId="5B35E011" w14:textId="53EBF650" w:rsidR="00D65CB4" w:rsidRPr="00BC4EE7" w:rsidRDefault="00572307">
            <w:pPr>
              <w:pStyle w:val="P68B1DB1-Normal12"/>
              <w:jc w:val="center"/>
              <w:rPr>
                <w:rFonts w:cs="Times New Roman"/>
                <w:noProof/>
              </w:rPr>
            </w:pPr>
            <w:r w:rsidRPr="00BC4EE7">
              <w:rPr>
                <w:rFonts w:cs="Times New Roman"/>
                <w:noProof/>
              </w:rPr>
              <w:t>M</w:t>
            </w:r>
          </w:p>
        </w:tc>
        <w:tc>
          <w:tcPr>
            <w:tcW w:w="1701" w:type="dxa"/>
            <w:shd w:val="clear" w:color="auto" w:fill="C6EFCE"/>
          </w:tcPr>
          <w:p w14:paraId="3CE1C078" w14:textId="5849E117" w:rsidR="00D65CB4" w:rsidRPr="00BC4EE7" w:rsidRDefault="00572307">
            <w:pPr>
              <w:pStyle w:val="P68B1DB1-Normal12"/>
              <w:rPr>
                <w:rFonts w:cs="Times New Roman"/>
                <w:noProof/>
              </w:rPr>
            </w:pPr>
            <w:r w:rsidRPr="00BC4EE7">
              <w:rPr>
                <w:rFonts w:cs="Times New Roman"/>
                <w:noProof/>
              </w:rPr>
              <w:t xml:space="preserve">Csipfinanszírozási eszköz: A minisztérium befejezte a beruházást. </w:t>
            </w:r>
          </w:p>
        </w:tc>
        <w:tc>
          <w:tcPr>
            <w:tcW w:w="1276" w:type="dxa"/>
            <w:shd w:val="clear" w:color="auto" w:fill="C6EFCE"/>
          </w:tcPr>
          <w:p w14:paraId="3BA1A2B2" w14:textId="172197F1" w:rsidR="00D65CB4" w:rsidRPr="00BC4EE7" w:rsidRDefault="00572307">
            <w:pPr>
              <w:pStyle w:val="P68B1DB1-Normal12"/>
              <w:rPr>
                <w:rFonts w:cs="Times New Roman"/>
                <w:noProof/>
              </w:rPr>
            </w:pPr>
            <w:r w:rsidRPr="00BC4EE7">
              <w:rPr>
                <w:rFonts w:cs="Times New Roman"/>
                <w:noProof/>
              </w:rPr>
              <w:t xml:space="preserve">Átutalási igazolás </w:t>
            </w:r>
          </w:p>
        </w:tc>
        <w:tc>
          <w:tcPr>
            <w:tcW w:w="709" w:type="dxa"/>
            <w:shd w:val="clear" w:color="auto" w:fill="C6EFCE"/>
          </w:tcPr>
          <w:p w14:paraId="42EB5E1B" w14:textId="1E55410B" w:rsidR="00D65CB4" w:rsidRPr="00BC4EE7" w:rsidRDefault="00D65CB4">
            <w:pPr>
              <w:jc w:val="center"/>
              <w:rPr>
                <w:rFonts w:ascii="Times New Roman" w:hAnsi="Times New Roman" w:cs="Times New Roman"/>
                <w:noProof/>
                <w:sz w:val="18"/>
              </w:rPr>
            </w:pPr>
          </w:p>
        </w:tc>
        <w:tc>
          <w:tcPr>
            <w:tcW w:w="992" w:type="dxa"/>
            <w:shd w:val="clear" w:color="auto" w:fill="C6EFCE"/>
          </w:tcPr>
          <w:p w14:paraId="5A860AAC" w14:textId="47ACFEA4" w:rsidR="00D65CB4" w:rsidRPr="00BC4EE7" w:rsidRDefault="00D65CB4">
            <w:pPr>
              <w:rPr>
                <w:rFonts w:ascii="Times New Roman" w:hAnsi="Times New Roman" w:cs="Times New Roman"/>
                <w:noProof/>
                <w:sz w:val="18"/>
              </w:rPr>
            </w:pPr>
          </w:p>
        </w:tc>
        <w:tc>
          <w:tcPr>
            <w:tcW w:w="708" w:type="dxa"/>
            <w:shd w:val="clear" w:color="auto" w:fill="C6EFCE"/>
          </w:tcPr>
          <w:p w14:paraId="635452A8" w14:textId="52B1A388" w:rsidR="00D65CB4" w:rsidRPr="00BC4EE7" w:rsidRDefault="00D65CB4">
            <w:pPr>
              <w:rPr>
                <w:rFonts w:ascii="Times New Roman" w:hAnsi="Times New Roman" w:cs="Times New Roman"/>
                <w:noProof/>
                <w:sz w:val="18"/>
              </w:rPr>
            </w:pPr>
          </w:p>
        </w:tc>
        <w:tc>
          <w:tcPr>
            <w:tcW w:w="426" w:type="dxa"/>
            <w:shd w:val="clear" w:color="auto" w:fill="C6EFCE"/>
          </w:tcPr>
          <w:p w14:paraId="34F3DFA2" w14:textId="0B501E19" w:rsidR="00D65CB4" w:rsidRPr="00BC4EE7" w:rsidRDefault="00572307">
            <w:pPr>
              <w:pStyle w:val="P68B1DB1-Normal12"/>
              <w:jc w:val="center"/>
              <w:rPr>
                <w:rFonts w:cs="Times New Roman"/>
                <w:noProof/>
              </w:rPr>
            </w:pPr>
            <w:r w:rsidRPr="00BC4EE7">
              <w:rPr>
                <w:rFonts w:cs="Times New Roman"/>
                <w:noProof/>
              </w:rPr>
              <w:t>Q3</w:t>
            </w:r>
          </w:p>
        </w:tc>
        <w:tc>
          <w:tcPr>
            <w:tcW w:w="567" w:type="dxa"/>
            <w:shd w:val="clear" w:color="auto" w:fill="C6EFCE"/>
          </w:tcPr>
          <w:p w14:paraId="0AD71336" w14:textId="77777777" w:rsidR="00D65CB4" w:rsidRPr="00BC4EE7" w:rsidRDefault="00572307">
            <w:pPr>
              <w:pStyle w:val="P68B1DB1-Normal12"/>
              <w:jc w:val="center"/>
              <w:rPr>
                <w:rFonts w:cs="Times New Roman"/>
                <w:noProof/>
              </w:rPr>
            </w:pPr>
            <w:r w:rsidRPr="00BC4EE7">
              <w:rPr>
                <w:rFonts w:cs="Times New Roman"/>
                <w:noProof/>
              </w:rPr>
              <w:t>2026</w:t>
            </w:r>
          </w:p>
        </w:tc>
        <w:tc>
          <w:tcPr>
            <w:tcW w:w="4958" w:type="dxa"/>
            <w:shd w:val="clear" w:color="auto" w:fill="C6EFCE"/>
          </w:tcPr>
          <w:p w14:paraId="7808AB6C" w14:textId="5CEBF4B5" w:rsidR="00D65CB4" w:rsidRPr="00BC4EE7" w:rsidRDefault="00572307">
            <w:pPr>
              <w:pStyle w:val="P68B1DB1-Normal12"/>
              <w:rPr>
                <w:rFonts w:cs="Times New Roman"/>
                <w:noProof/>
              </w:rPr>
            </w:pPr>
            <w:r w:rsidRPr="00BC4EE7">
              <w:rPr>
                <w:rFonts w:cs="Times New Roman"/>
                <w:noProof/>
              </w:rPr>
              <w:t>Spanyolország 10 750 000 000 EUR-t utal át a SEMyS-nek az eszköz céljára.</w:t>
            </w:r>
          </w:p>
        </w:tc>
      </w:tr>
    </w:tbl>
    <w:p w14:paraId="01914987" w14:textId="77777777" w:rsidR="00D65CB4" w:rsidRPr="00BC4EE7" w:rsidRDefault="00D65CB4">
      <w:pPr>
        <w:spacing w:before="120" w:after="120" w:line="240" w:lineRule="auto"/>
        <w:ind w:left="709"/>
        <w:jc w:val="both"/>
        <w:rPr>
          <w:rFonts w:ascii="Times New Roman" w:hAnsi="Times New Roman" w:cs="Times New Roman"/>
          <w:noProof/>
          <w:sz w:val="24"/>
        </w:rPr>
      </w:pPr>
    </w:p>
    <w:p w14:paraId="3DBE73F8" w14:textId="77777777" w:rsidR="00D65CB4" w:rsidRPr="00BC4EE7" w:rsidRDefault="00D65CB4">
      <w:pPr>
        <w:spacing w:before="120" w:after="120" w:line="240" w:lineRule="auto"/>
        <w:ind w:left="709"/>
        <w:jc w:val="both"/>
        <w:rPr>
          <w:rFonts w:ascii="Times New Roman" w:hAnsi="Times New Roman" w:cs="Times New Roman"/>
          <w:noProof/>
          <w:sz w:val="24"/>
        </w:rPr>
        <w:sectPr w:rsidR="00D65CB4" w:rsidRPr="00BC4EE7" w:rsidSect="00B511EF">
          <w:headerReference w:type="even" r:id="rId339"/>
          <w:headerReference w:type="default" r:id="rId340"/>
          <w:footerReference w:type="even" r:id="rId341"/>
          <w:footerReference w:type="default" r:id="rId342"/>
          <w:headerReference w:type="first" r:id="rId343"/>
          <w:footerReference w:type="first" r:id="rId344"/>
          <w:pgSz w:w="16839" w:h="11907" w:orient="landscape"/>
          <w:pgMar w:top="1134" w:right="1134" w:bottom="1134" w:left="1134" w:header="567" w:footer="567" w:gutter="0"/>
          <w:cols w:space="720"/>
          <w:docGrid w:linePitch="360"/>
        </w:sectPr>
      </w:pPr>
    </w:p>
    <w:p w14:paraId="4E73C637" w14:textId="77777777" w:rsidR="00D65CB4" w:rsidRPr="00BC4EE7" w:rsidRDefault="00572307">
      <w:pPr>
        <w:pStyle w:val="P68B1DB1-Heading12"/>
        <w:rPr>
          <w:rFonts w:cs="Times New Roman"/>
          <w:noProof/>
        </w:rPr>
      </w:pPr>
      <w:r w:rsidRPr="00BC4EE7">
        <w:rPr>
          <w:rFonts w:cs="Times New Roman"/>
          <w:noProof/>
        </w:rPr>
        <w:t>P. 16. KOMPONENS: Mesterséges intelligencia</w:t>
      </w:r>
    </w:p>
    <w:p w14:paraId="4A87F81B"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mesterséges intelligencia technológiai, gazdasági és társadalmi szempontból jelentős átalakulási potenciállal rendelkezik, tekintettel az ágazatokon átívelő elterjedésére, nagy hatására, gyors növekedésére, valamint a termelékenység és a versenyképesség javításához való hozzájárulására. </w:t>
      </w:r>
    </w:p>
    <w:p w14:paraId="5D4612A0"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spanyol helyreállítási és rezilienciaépítési terv ezen komponense által kezelt fő kihívások a következőkhöz kapcsolódnak: i. a mesterséges intelligencia korlátozott használata a vállalatokban, különösen a kkv-kban, ii. széles körben hozzáférhető adattárak létrehozása, valamint iii. a mesterséges intelligenciával kapcsolatos innovációba történő köz- és magánberuházások előmozdítása. A komponens a mesterséges intelligenciára vonatkozó nemzeti stratégia (ENIA) köré szerveződik, amely a spanyol kormány digitális menetrendjének (</w:t>
      </w:r>
      <w:r w:rsidRPr="00BC4EE7">
        <w:rPr>
          <w:rFonts w:cs="Times New Roman"/>
          <w:i/>
          <w:noProof/>
        </w:rPr>
        <w:t>España Digital 2025</w:t>
      </w:r>
      <w:r w:rsidRPr="00BC4EE7">
        <w:rPr>
          <w:rFonts w:cs="Times New Roman"/>
          <w:noProof/>
        </w:rPr>
        <w:t xml:space="preserve">) egyik fő terve. Ez az alkotóelem hozzájárul a társadalmi kihívások kezeléséhez is, különösen a nemek közötti szakadék csökkentéséhez (a nőket célzó intézkedések révén), a digitális szakadékhoz, az ökológiai átálláshoz és a területi kohézióhoz. </w:t>
      </w:r>
    </w:p>
    <w:p w14:paraId="644576C3"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Ebből a szempontból ennek az összetevőnek a célja: </w:t>
      </w:r>
    </w:p>
    <w:p w14:paraId="57EA1398" w14:textId="77777777" w:rsidR="00D65CB4" w:rsidRPr="00BC4EE7" w:rsidRDefault="00572307">
      <w:pPr>
        <w:pStyle w:val="P68B1DB1-Normal4"/>
        <w:numPr>
          <w:ilvl w:val="0"/>
          <w:numId w:val="127"/>
        </w:numPr>
        <w:spacing w:before="120" w:after="120" w:line="240" w:lineRule="auto"/>
        <w:ind w:left="426" w:hanging="426"/>
        <w:jc w:val="both"/>
        <w:rPr>
          <w:rFonts w:cs="Times New Roman"/>
          <w:noProof/>
        </w:rPr>
      </w:pPr>
      <w:r w:rsidRPr="00BC4EE7">
        <w:rPr>
          <w:rFonts w:cs="Times New Roman"/>
          <w:noProof/>
        </w:rPr>
        <w:t>Spanyolországot interdiszciplináris módon vezető országként kell kezelni a mesterséges intelligenciával kapcsolatos tudományos kiválóság és innováció terén;</w:t>
      </w:r>
    </w:p>
    <w:p w14:paraId="49FE989E" w14:textId="77777777" w:rsidR="00D65CB4" w:rsidRPr="00BC4EE7" w:rsidRDefault="00572307">
      <w:pPr>
        <w:pStyle w:val="P68B1DB1-Normal4"/>
        <w:numPr>
          <w:ilvl w:val="0"/>
          <w:numId w:val="127"/>
        </w:numPr>
        <w:spacing w:before="120" w:after="120" w:line="240" w:lineRule="auto"/>
        <w:ind w:left="426" w:hanging="426"/>
        <w:jc w:val="both"/>
        <w:rPr>
          <w:rFonts w:cs="Times New Roman"/>
          <w:noProof/>
        </w:rPr>
      </w:pPr>
      <w:r w:rsidRPr="00BC4EE7">
        <w:rPr>
          <w:rFonts w:cs="Times New Roman"/>
          <w:noProof/>
        </w:rPr>
        <w:t>globális vezető szerep a spanyol nyelv mesterséges intelligencia területén történő kivetítéséhez és használatához szükséges eszközök, technológiák és alkalmazások fejlesztésében;</w:t>
      </w:r>
    </w:p>
    <w:p w14:paraId="4731BC8A" w14:textId="77777777" w:rsidR="00D65CB4" w:rsidRPr="00BC4EE7" w:rsidRDefault="00572307">
      <w:pPr>
        <w:pStyle w:val="P68B1DB1-Normal4"/>
        <w:numPr>
          <w:ilvl w:val="0"/>
          <w:numId w:val="127"/>
        </w:numPr>
        <w:spacing w:before="120" w:after="120" w:line="240" w:lineRule="auto"/>
        <w:ind w:left="426" w:hanging="426"/>
        <w:jc w:val="both"/>
        <w:rPr>
          <w:rFonts w:cs="Times New Roman"/>
          <w:noProof/>
        </w:rPr>
      </w:pPr>
      <w:r w:rsidRPr="00BC4EE7">
        <w:rPr>
          <w:rFonts w:cs="Times New Roman"/>
          <w:noProof/>
        </w:rPr>
        <w:t>a szakképzettséget igénylő munkahelyek létrehozásának előmozdítása, a képzés és az oktatás fellendítése, a spanyol tehetségek ösztönzése és a tehetségek globális vonzása;</w:t>
      </w:r>
    </w:p>
    <w:p w14:paraId="5A1ADD7D" w14:textId="77777777" w:rsidR="00D65CB4" w:rsidRPr="00BC4EE7" w:rsidRDefault="00572307">
      <w:pPr>
        <w:pStyle w:val="P68B1DB1-Normal4"/>
        <w:numPr>
          <w:ilvl w:val="0"/>
          <w:numId w:val="127"/>
        </w:numPr>
        <w:spacing w:before="120" w:after="120" w:line="240" w:lineRule="auto"/>
        <w:ind w:left="426" w:hanging="426"/>
        <w:jc w:val="both"/>
        <w:rPr>
          <w:rFonts w:cs="Times New Roman"/>
          <w:noProof/>
        </w:rPr>
      </w:pPr>
      <w:r w:rsidRPr="00BC4EE7">
        <w:rPr>
          <w:rFonts w:cs="Times New Roman"/>
          <w:noProof/>
        </w:rPr>
        <w:t>a mesterséges intelligencia beépítése a spanyol magánszektor termelékenységének, a közigazgatás hatékonyságának javítása, valamint a fenntartható és inkluzív gazdasági növekedés hajtóerejeként;</w:t>
      </w:r>
    </w:p>
    <w:p w14:paraId="53AFD8B4" w14:textId="77777777" w:rsidR="00D65CB4" w:rsidRPr="00BC4EE7" w:rsidRDefault="00572307">
      <w:pPr>
        <w:pStyle w:val="P68B1DB1-Normal4"/>
        <w:numPr>
          <w:ilvl w:val="0"/>
          <w:numId w:val="127"/>
        </w:numPr>
        <w:spacing w:before="120" w:after="120" w:line="240" w:lineRule="auto"/>
        <w:ind w:left="426" w:hanging="426"/>
        <w:jc w:val="both"/>
        <w:rPr>
          <w:rFonts w:cs="Times New Roman"/>
          <w:noProof/>
        </w:rPr>
      </w:pPr>
      <w:r w:rsidRPr="00BC4EE7">
        <w:rPr>
          <w:rFonts w:cs="Times New Roman"/>
          <w:noProof/>
        </w:rPr>
        <w:t>bizalmi környezet kialakítása a mesterséges intelligenciával kapcsolatban, mind a technológiai fejlődés, mind a szabályozás, mind a társadalmi hatás tekintetében;</w:t>
      </w:r>
    </w:p>
    <w:p w14:paraId="1C19587F" w14:textId="77777777" w:rsidR="00D65CB4" w:rsidRPr="00BC4EE7" w:rsidRDefault="00572307">
      <w:pPr>
        <w:pStyle w:val="P68B1DB1-Normal4"/>
        <w:numPr>
          <w:ilvl w:val="0"/>
          <w:numId w:val="127"/>
        </w:numPr>
        <w:spacing w:before="120" w:after="120" w:line="240" w:lineRule="auto"/>
        <w:ind w:left="426" w:hanging="426"/>
        <w:jc w:val="both"/>
        <w:rPr>
          <w:rFonts w:cs="Times New Roman"/>
          <w:noProof/>
        </w:rPr>
      </w:pPr>
      <w:r w:rsidRPr="00BC4EE7">
        <w:rPr>
          <w:rFonts w:cs="Times New Roman"/>
          <w:noProof/>
        </w:rPr>
        <w:t>a technológiai humanizmusról szóló globális vita ösztönzése a polgárok egyéni és kollektív jogait garantáló etikai keret kialakítását célzó fórumok és tájékoztatási tevékenységek létrehozása és az azokban való részvétel révén;</w:t>
      </w:r>
    </w:p>
    <w:p w14:paraId="1364B138" w14:textId="77777777" w:rsidR="00D65CB4" w:rsidRPr="00BC4EE7" w:rsidRDefault="00572307">
      <w:pPr>
        <w:pStyle w:val="P68B1DB1-Normal4"/>
        <w:numPr>
          <w:ilvl w:val="0"/>
          <w:numId w:val="127"/>
        </w:numPr>
        <w:spacing w:before="120" w:after="120" w:line="240" w:lineRule="auto"/>
        <w:ind w:left="426" w:hanging="426"/>
        <w:jc w:val="both"/>
        <w:rPr>
          <w:rFonts w:cs="Times New Roman"/>
          <w:noProof/>
        </w:rPr>
      </w:pPr>
      <w:r w:rsidRPr="00BC4EE7">
        <w:rPr>
          <w:rFonts w:cs="Times New Roman"/>
          <w:noProof/>
        </w:rPr>
        <w:t>a mesterséges intelligencia mint horizontális tényező szerepének erősítése a társadalom előtt álló nagy kihívások kezelése és különösen a nemek közötti szakadék, a digitális szakadék csökkentése, valamint az ökológiai átállás és a területi kohézió támogatása érdekében.</w:t>
      </w:r>
    </w:p>
    <w:p w14:paraId="18EF63D9"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Ez a komponens az innovációs beruházások előmozdításáról (2019. évi 3. országspecifikus ajánlás), a digitális tanuláshoz való hozzáférés javításáról (2020. évi 2. országspecifikus ajánlás), valamint a köz- és magánberuházások előmozdításáról és a digitális átállás előmozdításáról (2020. évi 3. országspecifikus ajánlás) szóló országspecifikus ajánlásokkal foglalkozik.</w:t>
      </w:r>
    </w:p>
    <w:p w14:paraId="32D63FA5"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jelentős károkozás elkerülését célzó elvről szóló technikai iránymutatásnak (2021/C58/01) megfelelően a helyreállítási és rezilienciaépítési tervben meghatározott intézkedések leírását és a helyreállítási és rezilienciaépítési tervben meghatározott enyhítő lépéseket figyelembe véve ebben a komponensben várhatóan egyetlen intézkedés sem sérti jelentős mértékben az (EU) 2020/852 rendelet 17. cikke szerinti környezeti célkitűzéseket. </w:t>
      </w:r>
    </w:p>
    <w:p w14:paraId="60545F2D" w14:textId="77777777" w:rsidR="00D65CB4" w:rsidRPr="00BC4EE7" w:rsidRDefault="00572307">
      <w:pPr>
        <w:pStyle w:val="Heading2"/>
        <w:numPr>
          <w:ilvl w:val="0"/>
          <w:numId w:val="0"/>
        </w:numPr>
        <w:ind w:left="850"/>
        <w:rPr>
          <w:rFonts w:ascii="Times New Roman" w:hAnsi="Times New Roman" w:cs="Times New Roman"/>
          <w:b w:val="0"/>
          <w:noProof/>
          <w:u w:val="single"/>
        </w:rPr>
      </w:pPr>
      <w:r w:rsidRPr="00BC4EE7">
        <w:rPr>
          <w:rFonts w:ascii="Times New Roman" w:hAnsi="Times New Roman" w:cs="Times New Roman"/>
          <w:noProof/>
          <w:u w:val="single"/>
        </w:rPr>
        <w:t xml:space="preserve">P.1. </w:t>
      </w:r>
      <w:r w:rsidRPr="00BC4EE7">
        <w:rPr>
          <w:rFonts w:ascii="Times New Roman" w:hAnsi="Times New Roman" w:cs="Times New Roman"/>
          <w:noProof/>
        </w:rPr>
        <w:t xml:space="preserve"> </w:t>
      </w:r>
      <w:r w:rsidRPr="00BC4EE7">
        <w:rPr>
          <w:rFonts w:ascii="Times New Roman" w:hAnsi="Times New Roman" w:cs="Times New Roman"/>
          <w:noProof/>
          <w:u w:val="single"/>
        </w:rPr>
        <w:t>Vissza nem térítendő pénzügyi támogatás – a reformok és beruházások ismertetése</w:t>
      </w:r>
    </w:p>
    <w:p w14:paraId="1FD43111" w14:textId="77777777" w:rsidR="00D65CB4" w:rsidRPr="00BC4EE7" w:rsidRDefault="00572307">
      <w:pPr>
        <w:pStyle w:val="P68B1DB1-Heading333"/>
        <w:numPr>
          <w:ilvl w:val="0"/>
          <w:numId w:val="0"/>
        </w:numPr>
        <w:ind w:left="850" w:hanging="850"/>
        <w:rPr>
          <w:rFonts w:cs="Times New Roman"/>
          <w:noProof/>
        </w:rPr>
      </w:pPr>
      <w:r w:rsidRPr="00BC4EE7">
        <w:rPr>
          <w:rFonts w:cs="Times New Roman"/>
          <w:noProof/>
        </w:rPr>
        <w:t>Reform (C16.R1) – Nemzeti MI-stratégia</w:t>
      </w:r>
    </w:p>
    <w:p w14:paraId="2A6B2C59" w14:textId="77777777" w:rsidR="00D65CB4" w:rsidRPr="00BC4EE7" w:rsidRDefault="00572307">
      <w:pPr>
        <w:pStyle w:val="P68B1DB1-Normal4"/>
        <w:keepNext/>
        <w:spacing w:before="120" w:after="120" w:line="240" w:lineRule="auto"/>
        <w:jc w:val="both"/>
        <w:rPr>
          <w:rFonts w:cs="Times New Roman"/>
          <w:noProof/>
        </w:rPr>
      </w:pPr>
      <w:r w:rsidRPr="00BC4EE7">
        <w:rPr>
          <w:rFonts w:cs="Times New Roman"/>
          <w:noProof/>
        </w:rPr>
        <w:t xml:space="preserve">Ezen átfogó intézkedés célja egy olyan megbízható, átlátható és inkluzív nemzeti MI-stratégia végrehajtásának kerete, amely biztosítja az alapvető elveknek és értékeknek való megfelelést, és figyelembe veszi a polgárok kollektív törekvéseit. E célból az intézkedésnek három jogalkotási reformot kell tartalmaznia a mesterséges intelligenciára vonatkozó szabályozási és etikai keret meghatározása érdekében, valamint kilenc olyan beruházási projektet, amelyek támogatják a mesterséges intelligencián alapuló technológiák fejlesztését és elfogadását a spanyol gazdaságban és társadalomban, például a készségekkel, tehetségekkel és infrastruktúrával kapcsolatos projekteket. </w:t>
      </w:r>
    </w:p>
    <w:p w14:paraId="6C911DA2"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Ezek az intézkedések öt szakpolitikai eszköz köré csoportosulnak:</w:t>
      </w:r>
    </w:p>
    <w:p w14:paraId="162ABEC0" w14:textId="77777777" w:rsidR="00D65CB4" w:rsidRPr="00BC4EE7" w:rsidRDefault="00572307">
      <w:pPr>
        <w:pStyle w:val="P68B1DB1-ListParagraph6"/>
        <w:numPr>
          <w:ilvl w:val="0"/>
          <w:numId w:val="550"/>
        </w:numPr>
        <w:spacing w:before="120" w:after="120" w:line="240" w:lineRule="auto"/>
        <w:jc w:val="both"/>
        <w:rPr>
          <w:rFonts w:cs="Times New Roman"/>
          <w:noProof/>
        </w:rPr>
      </w:pPr>
      <w:r w:rsidRPr="00BC4EE7">
        <w:rPr>
          <w:rFonts w:cs="Times New Roman"/>
          <w:noProof/>
        </w:rPr>
        <w:t xml:space="preserve">Szabályozási és etikai keret (jogi aktusok): </w:t>
      </w:r>
    </w:p>
    <w:p w14:paraId="00E478A3" w14:textId="77777777" w:rsidR="00D65CB4" w:rsidRPr="00BC4EE7" w:rsidRDefault="00572307">
      <w:pPr>
        <w:pStyle w:val="P68B1DB1-Normal4"/>
        <w:numPr>
          <w:ilvl w:val="0"/>
          <w:numId w:val="124"/>
        </w:numPr>
        <w:spacing w:before="120" w:after="120" w:line="240" w:lineRule="auto"/>
        <w:ind w:left="851" w:hanging="425"/>
        <w:contextualSpacing/>
        <w:jc w:val="both"/>
        <w:rPr>
          <w:rFonts w:cs="Times New Roman"/>
          <w:noProof/>
        </w:rPr>
      </w:pPr>
      <w:r w:rsidRPr="00BC4EE7">
        <w:rPr>
          <w:rFonts w:cs="Times New Roman"/>
          <w:noProof/>
        </w:rPr>
        <w:t>a nemzeti mesterségesintelligencia-stratégia (ENIA): a mesterséges intelligencián alapuló technológiáknak a spanyol gazdaságban és társadalomban a mesterséges intelligenciával foglalkozó tanácsadó testület létrehozásával történő bevezetésére és kiterjesztésére irányuló nemzeti cselekvési és reformterv;</w:t>
      </w:r>
    </w:p>
    <w:p w14:paraId="57F4B11F" w14:textId="77777777" w:rsidR="00D65CB4" w:rsidRPr="00BC4EE7" w:rsidRDefault="00572307">
      <w:pPr>
        <w:pStyle w:val="P68B1DB1-Normal4"/>
        <w:numPr>
          <w:ilvl w:val="0"/>
          <w:numId w:val="124"/>
        </w:numPr>
        <w:spacing w:before="120" w:after="120" w:line="240" w:lineRule="auto"/>
        <w:ind w:left="851" w:hanging="425"/>
        <w:contextualSpacing/>
        <w:jc w:val="both"/>
        <w:rPr>
          <w:rFonts w:cs="Times New Roman"/>
          <w:noProof/>
        </w:rPr>
      </w:pPr>
      <w:r w:rsidRPr="00BC4EE7">
        <w:rPr>
          <w:rFonts w:cs="Times New Roman"/>
          <w:noProof/>
        </w:rPr>
        <w:t>szabályozói tesztkörnyezetek: a szükséges jogalkotási aktusok kidolgozása annak érdekében, hogy a szabályozói tesztkörnyezetek lehetővé tegyék a mesterséges intelligencia alkalmazását. Biztonságos környezeteket vagy tesztkörnyezeteket kell használni az adatokon alapuló új folyamatok és szolgáltatások bevezetéséhez mind a nyilvánosság, mind a magánszférában. A kormányzati szervek, a mesterséges intelligencia felhasználói és az adattárak létrehozói – adott esetben a digitális innovációs központok hálózatának részeként – biztonságos környezeteket és tesztkörnyezeteket használhatnak ki új termékek és alkalmazások bevezetése és szabályozása céljából;</w:t>
      </w:r>
    </w:p>
    <w:p w14:paraId="613BDD09" w14:textId="77777777" w:rsidR="00D65CB4" w:rsidRPr="00BC4EE7" w:rsidRDefault="00572307">
      <w:pPr>
        <w:pStyle w:val="P68B1DB1-Normal4"/>
        <w:numPr>
          <w:ilvl w:val="0"/>
          <w:numId w:val="124"/>
        </w:numPr>
        <w:spacing w:before="120" w:after="120" w:line="240" w:lineRule="auto"/>
        <w:ind w:left="851" w:hanging="425"/>
        <w:contextualSpacing/>
        <w:jc w:val="both"/>
        <w:rPr>
          <w:rFonts w:cs="Times New Roman"/>
          <w:noProof/>
        </w:rPr>
      </w:pPr>
      <w:r w:rsidRPr="00BC4EE7">
        <w:rPr>
          <w:rFonts w:cs="Times New Roman"/>
          <w:noProof/>
        </w:rPr>
        <w:t>MI-megfigyelő és bizalmi tanúsítás: beleértve i. a mesterséges intelligencia kiszolgáltatott csoportjaira vonatkozó védelmi terv kidolgozását, beleértve a munkaügyi és szociális jogokat és a nők szükségleteit, ii. a mesterséges intelligenciával kapcsolatos tudatosság és bizalom növelésére irányuló terv, iii. a mesterséges intelligenciát tartalmazó algoritmusok etikai és szabályozási hatásaival foglalkozó megfigyelőközpontok, iv. az MI-termékek és -szolgáltatások megbízható MI-tanúsítási és -architektúrája, valamint v. a Digitális Jogok Chartájának kidolgozása és előmozdítása.</w:t>
      </w:r>
    </w:p>
    <w:p w14:paraId="509B815A" w14:textId="77777777" w:rsidR="00D65CB4" w:rsidRPr="00BC4EE7" w:rsidRDefault="00572307">
      <w:pPr>
        <w:pStyle w:val="P68B1DB1-Normal4"/>
        <w:numPr>
          <w:ilvl w:val="0"/>
          <w:numId w:val="124"/>
        </w:numPr>
        <w:spacing w:before="120" w:after="120" w:line="240" w:lineRule="auto"/>
        <w:ind w:left="851" w:hanging="425"/>
        <w:contextualSpacing/>
        <w:jc w:val="both"/>
        <w:rPr>
          <w:rFonts w:cs="Times New Roman"/>
          <w:noProof/>
        </w:rPr>
      </w:pPr>
      <w:r w:rsidRPr="00BC4EE7">
        <w:rPr>
          <w:rFonts w:cs="Times New Roman"/>
          <w:noProof/>
        </w:rPr>
        <w:t xml:space="preserve">Egy spanyol ügynökség (AESIA) létrehozása a mesterségesintelligencia-rendszerek megfigyelésére, amelyet mind a köz-, mind a magánszektor alkalmaz. Az ügynökségnek különösen figyelemmel kell kísérnie és elő kell mozdítania legalább a mesterséges intelligenciával kapcsolatos jogok garantálását, értelmeznie kell a szabályozói tesztkörnyezetek fejlesztésének eredményeit, és értékeléseket kell végeznie a mesterséges intelligencia fejlesztésére vonatkozóan a mesterséges intelligenciára vonatkozó szabályozás és útmutatók továbbfejlesztése érdekében. </w:t>
      </w:r>
    </w:p>
    <w:p w14:paraId="78BE46CA" w14:textId="77777777" w:rsidR="00D65CB4" w:rsidRPr="00BC4EE7" w:rsidRDefault="00572307">
      <w:pPr>
        <w:pStyle w:val="P68B1DB1-ListParagraph6"/>
        <w:numPr>
          <w:ilvl w:val="0"/>
          <w:numId w:val="550"/>
        </w:numPr>
        <w:spacing w:before="120" w:after="120" w:line="240" w:lineRule="auto"/>
        <w:jc w:val="both"/>
        <w:rPr>
          <w:rFonts w:cs="Times New Roman"/>
          <w:noProof/>
        </w:rPr>
      </w:pPr>
      <w:r w:rsidRPr="00BC4EE7">
        <w:rPr>
          <w:rFonts w:cs="Times New Roman"/>
          <w:noProof/>
        </w:rPr>
        <w:t xml:space="preserve">A mesterséges intelligenciával kapcsolatos K+F+I fellendítése (projektek): </w:t>
      </w:r>
    </w:p>
    <w:p w14:paraId="36AE9F35" w14:textId="77777777" w:rsidR="00D65CB4" w:rsidRPr="00BC4EE7" w:rsidRDefault="00572307">
      <w:pPr>
        <w:pStyle w:val="P68B1DB1-Normal4"/>
        <w:numPr>
          <w:ilvl w:val="0"/>
          <w:numId w:val="124"/>
        </w:numPr>
        <w:spacing w:before="120" w:after="120" w:line="240" w:lineRule="auto"/>
        <w:ind w:left="851" w:hanging="425"/>
        <w:contextualSpacing/>
        <w:jc w:val="both"/>
        <w:rPr>
          <w:rFonts w:cs="Times New Roman"/>
          <w:noProof/>
        </w:rPr>
      </w:pPr>
      <w:r w:rsidRPr="00BC4EE7">
        <w:rPr>
          <w:rFonts w:cs="Times New Roman"/>
          <w:noProof/>
        </w:rPr>
        <w:t>K+F+I küldetések: ipari kutatási vagy kísérleti fejlesztési projektek finanszírozása a mesterséges intelligencia területén az ENIA-ban említett főbb társadalmi kihívások vagy országmissziók (azaz a nemek közötti szakadék, az ökológiai átállás, a területi struktúra és a digitális szakadék) kezelése érdekében a nagy jelentőségű és nagy kapacitású ágazatokban (pl. energia, mobilitás, biomedicina, éghajlat, agrár-élelmiszeripar, egészségügy, turizmus és vendéglátás);</w:t>
      </w:r>
    </w:p>
    <w:p w14:paraId="641E766A" w14:textId="77777777" w:rsidR="00D65CB4" w:rsidRPr="00BC4EE7" w:rsidRDefault="00572307">
      <w:pPr>
        <w:pStyle w:val="P68B1DB1-Normal4"/>
        <w:numPr>
          <w:ilvl w:val="0"/>
          <w:numId w:val="124"/>
        </w:numPr>
        <w:spacing w:before="120" w:after="120" w:line="240" w:lineRule="auto"/>
        <w:ind w:left="851" w:hanging="425"/>
        <w:contextualSpacing/>
        <w:jc w:val="both"/>
        <w:rPr>
          <w:rFonts w:cs="Times New Roman"/>
          <w:noProof/>
        </w:rPr>
      </w:pPr>
      <w:r w:rsidRPr="00BC4EE7">
        <w:rPr>
          <w:rFonts w:cs="Times New Roman"/>
          <w:noProof/>
        </w:rPr>
        <w:t>multidiszciplináris mesterségesintelligencia-intézet: a mesterséges intelligenciát más tudományokkal együtt integráló multidiszciplináris kutatóközpont létrehozása, különös tekintettel a neurotechnológiákra;</w:t>
      </w:r>
    </w:p>
    <w:p w14:paraId="7FB1A941" w14:textId="77777777" w:rsidR="00D65CB4" w:rsidRPr="00BC4EE7" w:rsidRDefault="00572307">
      <w:pPr>
        <w:pStyle w:val="P68B1DB1-Normal4"/>
        <w:numPr>
          <w:ilvl w:val="0"/>
          <w:numId w:val="124"/>
        </w:numPr>
        <w:spacing w:before="120" w:after="120" w:line="240" w:lineRule="auto"/>
        <w:ind w:left="851" w:hanging="425"/>
        <w:contextualSpacing/>
        <w:jc w:val="both"/>
        <w:rPr>
          <w:rFonts w:cs="Times New Roman"/>
          <w:noProof/>
        </w:rPr>
      </w:pPr>
      <w:r w:rsidRPr="00BC4EE7">
        <w:rPr>
          <w:rFonts w:cs="Times New Roman"/>
          <w:noProof/>
        </w:rPr>
        <w:t>kiválósági hálózat a mesterséges intelligencia területén: a mesterséges intelligenciával kapcsolatos spanyol kiválósági hálózat létrehozása interdiszciplináris képzéssel és magas szintű szakosodási programokkal, valamint a tehetségek toborzására és megtartására szolgáló mechanizmusokkal, amelyek integrált módon dolgoznak a kutatás nemzeti szintű koordinálásán.</w:t>
      </w:r>
    </w:p>
    <w:p w14:paraId="5DB72044" w14:textId="77777777" w:rsidR="00D65CB4" w:rsidRPr="00BC4EE7" w:rsidRDefault="00572307">
      <w:pPr>
        <w:pStyle w:val="P68B1DB1-ListParagraph6"/>
        <w:numPr>
          <w:ilvl w:val="0"/>
          <w:numId w:val="550"/>
        </w:numPr>
        <w:spacing w:before="120" w:after="120" w:line="240" w:lineRule="auto"/>
        <w:jc w:val="both"/>
        <w:rPr>
          <w:rFonts w:cs="Times New Roman"/>
          <w:noProof/>
        </w:rPr>
      </w:pPr>
      <w:r w:rsidRPr="00BC4EE7">
        <w:rPr>
          <w:rFonts w:cs="Times New Roman"/>
          <w:noProof/>
        </w:rPr>
        <w:t xml:space="preserve">Tehetségek vonzása (projektek): </w:t>
      </w:r>
    </w:p>
    <w:p w14:paraId="555DC212" w14:textId="77777777" w:rsidR="00D65CB4" w:rsidRPr="00BC4EE7" w:rsidRDefault="00572307">
      <w:pPr>
        <w:pStyle w:val="P68B1DB1-Normal4"/>
        <w:numPr>
          <w:ilvl w:val="0"/>
          <w:numId w:val="124"/>
        </w:numPr>
        <w:spacing w:before="120" w:after="120" w:line="240" w:lineRule="auto"/>
        <w:ind w:left="851" w:hanging="426"/>
        <w:contextualSpacing/>
        <w:jc w:val="both"/>
        <w:rPr>
          <w:rFonts w:cs="Times New Roman"/>
          <w:noProof/>
        </w:rPr>
      </w:pPr>
      <w:r w:rsidRPr="00BC4EE7">
        <w:rPr>
          <w:rFonts w:cs="Times New Roman"/>
          <w:noProof/>
        </w:rPr>
        <w:t>Spanyolország Talent Hub: információs csomópont létrehozása a mesterséges intelligencia területén a tehetségek vonzása és megtartása érdekében, a spanyolországi tehetségközpont, amely várhatóan kapcsolattartó pontként fog szolgálni a tehetségek és a külföldi beruházások toborzásában és fejlesztésében, különös tekintettel a nők szükségleteire és a társadalmi hatású beruházásokra;</w:t>
      </w:r>
    </w:p>
    <w:p w14:paraId="08EAFF90" w14:textId="77777777" w:rsidR="00D65CB4" w:rsidRPr="00BC4EE7" w:rsidRDefault="00572307">
      <w:pPr>
        <w:pStyle w:val="P68B1DB1-Normal4"/>
        <w:numPr>
          <w:ilvl w:val="0"/>
          <w:numId w:val="124"/>
        </w:numPr>
        <w:spacing w:before="120" w:after="120" w:line="240" w:lineRule="auto"/>
        <w:ind w:left="851" w:hanging="426"/>
        <w:contextualSpacing/>
        <w:jc w:val="both"/>
        <w:rPr>
          <w:rFonts w:cs="Times New Roman"/>
          <w:noProof/>
        </w:rPr>
      </w:pPr>
      <w:r w:rsidRPr="00BC4EE7">
        <w:rPr>
          <w:rFonts w:cs="Times New Roman"/>
          <w:noProof/>
        </w:rPr>
        <w:t>Tudományos tanszékek: 10–15 ideiglenes tudományos tanszék létrehozásának finanszírozása 2021. január 1. és 2023. december 31. között, olyan fő témákra összpontosítva, mint a mesterséges intelligencia demokráciára gyakorolt hatása, a mesterséges intelligencia kialakulóban lévő tendenciái, az MI-rendszerek értékelése, az agyi mesterséges intelligencia hibridizációja és az orvosbiológiai mesterséges intelligencia.</w:t>
      </w:r>
    </w:p>
    <w:p w14:paraId="3A5AF4AE" w14:textId="77777777" w:rsidR="00D65CB4" w:rsidRPr="00BC4EE7" w:rsidRDefault="00572307">
      <w:pPr>
        <w:pStyle w:val="P68B1DB1-ListParagraph6"/>
        <w:numPr>
          <w:ilvl w:val="0"/>
          <w:numId w:val="550"/>
        </w:numPr>
        <w:spacing w:before="120" w:after="120" w:line="240" w:lineRule="auto"/>
        <w:jc w:val="both"/>
        <w:rPr>
          <w:rFonts w:cs="Times New Roman"/>
          <w:noProof/>
        </w:rPr>
      </w:pPr>
      <w:r w:rsidRPr="00BC4EE7">
        <w:rPr>
          <w:rFonts w:cs="Times New Roman"/>
          <w:noProof/>
        </w:rPr>
        <w:t xml:space="preserve">Adat- és technológiai infrastruktúrák (projektek): </w:t>
      </w:r>
    </w:p>
    <w:p w14:paraId="4E6987FC" w14:textId="77777777" w:rsidR="00D65CB4" w:rsidRPr="00BC4EE7" w:rsidRDefault="00572307">
      <w:pPr>
        <w:pStyle w:val="P68B1DB1-Normal4"/>
        <w:numPr>
          <w:ilvl w:val="0"/>
          <w:numId w:val="124"/>
        </w:numPr>
        <w:spacing w:before="120" w:after="120" w:line="240" w:lineRule="auto"/>
        <w:ind w:left="851" w:hanging="425"/>
        <w:contextualSpacing/>
        <w:jc w:val="both"/>
        <w:rPr>
          <w:rFonts w:cs="Times New Roman"/>
          <w:noProof/>
        </w:rPr>
      </w:pPr>
      <w:r w:rsidRPr="00BC4EE7">
        <w:rPr>
          <w:rFonts w:cs="Times New Roman"/>
          <w:noProof/>
        </w:rPr>
        <w:t>Természetes nyelvi technológiai terv: a cél a természetes nyelvi feldolgozó ipar, valamint a gépi fordítási és beszélgetési rendszerek fejlesztése Spanyolországban, különösen a spanyol és a társhivatalos nyelveken;</w:t>
      </w:r>
    </w:p>
    <w:p w14:paraId="4192A10B" w14:textId="77777777" w:rsidR="00D65CB4" w:rsidRPr="00BC4EE7" w:rsidRDefault="00572307">
      <w:pPr>
        <w:pStyle w:val="P68B1DB1-Normal4"/>
        <w:numPr>
          <w:ilvl w:val="0"/>
          <w:numId w:val="124"/>
        </w:numPr>
        <w:spacing w:before="120" w:after="120" w:line="240" w:lineRule="auto"/>
        <w:ind w:left="851" w:hanging="425"/>
        <w:contextualSpacing/>
        <w:jc w:val="both"/>
        <w:rPr>
          <w:rFonts w:cs="Times New Roman"/>
          <w:noProof/>
        </w:rPr>
      </w:pPr>
      <w:r w:rsidRPr="00BC4EE7">
        <w:rPr>
          <w:rFonts w:cs="Times New Roman"/>
          <w:noProof/>
        </w:rPr>
        <w:t>a szuper-számítástechnika stratégiai kapacitásainak megerősítése: egy olyan program kidolgozása, amely megkönnyíti a kkv-k hozzáférését és használatát a különböző régiókban (például Extremadura, Galícia és Aragónia) található szuperszámítógépes központok üzleti szerkezetéhez, valamint a kvantum-számítástechnika elfogadása a különböző témák – többek között a mobilitás és az éghajlatváltozás – projektjeiben. Emellett a PERTE csipekkel összefüggésben meg kell erősíteni a kvantumcsipek fejlesztését az új generációs kvantumcsip-technológiák kifejlesztésével kapcsolatos K+F+I támogatásával.</w:t>
      </w:r>
    </w:p>
    <w:p w14:paraId="3138FC50" w14:textId="77777777" w:rsidR="00D65CB4" w:rsidRPr="00BC4EE7" w:rsidRDefault="00572307">
      <w:pPr>
        <w:pStyle w:val="P68B1DB1-ListParagraph6"/>
        <w:numPr>
          <w:ilvl w:val="0"/>
          <w:numId w:val="550"/>
        </w:numPr>
        <w:spacing w:before="120" w:after="120" w:line="240" w:lineRule="auto"/>
        <w:jc w:val="both"/>
        <w:rPr>
          <w:rFonts w:cs="Times New Roman"/>
          <w:noProof/>
        </w:rPr>
      </w:pPr>
      <w:r w:rsidRPr="00BC4EE7">
        <w:rPr>
          <w:rFonts w:cs="Times New Roman"/>
          <w:noProof/>
        </w:rPr>
        <w:t>A mesterséges intelligencia integrálása az értékláncokba (projektek):</w:t>
      </w:r>
    </w:p>
    <w:p w14:paraId="72345051" w14:textId="77777777" w:rsidR="00D65CB4" w:rsidRPr="00BC4EE7" w:rsidRDefault="00572307">
      <w:pPr>
        <w:pStyle w:val="P68B1DB1-Normal4"/>
        <w:numPr>
          <w:ilvl w:val="0"/>
          <w:numId w:val="124"/>
        </w:numPr>
        <w:spacing w:before="120" w:after="120" w:line="240" w:lineRule="auto"/>
        <w:ind w:left="851" w:hanging="425"/>
        <w:contextualSpacing/>
        <w:jc w:val="both"/>
        <w:rPr>
          <w:rFonts w:cs="Times New Roman"/>
          <w:noProof/>
        </w:rPr>
      </w:pPr>
      <w:r w:rsidRPr="00BC4EE7">
        <w:rPr>
          <w:rFonts w:cs="Times New Roman"/>
          <w:noProof/>
        </w:rPr>
        <w:t>pályázati felhívás a mesterséges intelligencia értékláncokba való integrálásához: támogatási program, amely olyan kísérleti fejlesztési projekteket finanszíroz, amelyek technológiai érettsége megfelel a TRL 6., 7. és 8. szintjének. A technológiai érettség ilyen szintjein megvalósuló projektek finanszírozása erős támogatást jelent azon termékek számára, amelyek közel állnak a piaci bevezetéshez, és így átkerülhetnek az értékláncba;</w:t>
      </w:r>
    </w:p>
    <w:p w14:paraId="5BFA29A9" w14:textId="77777777" w:rsidR="00D65CB4" w:rsidRPr="00BC4EE7" w:rsidRDefault="00572307">
      <w:pPr>
        <w:pStyle w:val="P68B1DB1-Normal4"/>
        <w:numPr>
          <w:ilvl w:val="0"/>
          <w:numId w:val="124"/>
        </w:numPr>
        <w:spacing w:before="120" w:after="120" w:line="240" w:lineRule="auto"/>
        <w:ind w:left="851" w:hanging="425"/>
        <w:contextualSpacing/>
        <w:jc w:val="both"/>
        <w:rPr>
          <w:rFonts w:cs="Times New Roman"/>
          <w:noProof/>
        </w:rPr>
      </w:pPr>
      <w:r w:rsidRPr="00BC4EE7">
        <w:rPr>
          <w:rFonts w:cs="Times New Roman"/>
          <w:noProof/>
        </w:rPr>
        <w:t>Nemzeti Zöld Algoritmusok Program: az energiahatékonyság maximalizálását és a mesterségesintelligencia-modellek környezeti hatásának csökkentését célzó zöld algoritmusok fejlesztésére irányuló támogatási program, miközben támogatja e technológia használatát a különböző környezeti kihívásokra való reagálás érdekében.</w:t>
      </w:r>
    </w:p>
    <w:p w14:paraId="271D2A83"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reformokat és beruházásokat i. támogatási felhívások, K+F+I küldetések, a mesterséges intelligencia értékláncokba való integrálása és új generációs kvantumcsip-technológiák kifejlesztése révén kell végrehajtani; az adat- és technológiai infrastruktúrákra vonatkozó egyezmények; iii. közbeszerzés a szabályozási és etikai keret, a Nemzeti Zöld Algoritmus Program és a Természeti Nyelvi Terv tekintetében; és iv. konzorciumok a multidiszciplináris mesterségesintelligencia-intézet számára. </w:t>
      </w:r>
    </w:p>
    <w:p w14:paraId="24F4AF92" w14:textId="2D9996CA"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reform végrehajtását 2026. június 30-ig be kell fejezni. </w:t>
      </w:r>
    </w:p>
    <w:p w14:paraId="5406F878" w14:textId="77777777" w:rsidR="00D65CB4" w:rsidRPr="00BC4EE7" w:rsidRDefault="00572307">
      <w:pPr>
        <w:ind w:left="720"/>
        <w:rPr>
          <w:rFonts w:ascii="Times New Roman" w:hAnsi="Times New Roman" w:cs="Times New Roman"/>
          <w:noProof/>
          <w:u w:val="single"/>
        </w:rPr>
      </w:pPr>
      <w:r w:rsidRPr="00BC4EE7">
        <w:rPr>
          <w:rFonts w:ascii="Times New Roman" w:hAnsi="Times New Roman" w:cs="Times New Roman"/>
          <w:b/>
          <w:noProof/>
          <w:sz w:val="24"/>
          <w:u w:val="single"/>
        </w:rPr>
        <w:t xml:space="preserve">P.2.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Vissza nem térítendő pénzügyi támogatás – a végrehajtáshoz és a nyomon követéshez kapcsolódó mérföldkövek, célok, mutatók és ütemterv</w:t>
      </w:r>
    </w:p>
    <w:p w14:paraId="2A76E93D" w14:textId="77777777" w:rsidR="00D65CB4" w:rsidRPr="00BC4EE7" w:rsidRDefault="00572307">
      <w:pPr>
        <w:pStyle w:val="P68B1DB1-Normal4"/>
        <w:spacing w:before="120" w:after="120" w:line="240" w:lineRule="auto"/>
        <w:jc w:val="both"/>
        <w:rPr>
          <w:rFonts w:cs="Times New Roman"/>
          <w:noProof/>
        </w:rPr>
      </w:pPr>
      <w:r w:rsidRPr="00BC4EE7">
        <w:rPr>
          <w:rFonts w:cs="Times New Roman"/>
          <w:i/>
          <w:noProof/>
        </w:rPr>
        <w:t>Táblázat alább.</w:t>
      </w:r>
      <w:r w:rsidRPr="00BC4EE7">
        <w:rPr>
          <w:rFonts w:cs="Times New Roman"/>
          <w:noProof/>
        </w:rPr>
        <w:t xml:space="preserve"> </w:t>
      </w:r>
      <w:r w:rsidRPr="00BC4EE7">
        <w:rPr>
          <w:rFonts w:cs="Times New Roman"/>
          <w:i/>
          <w:noProof/>
        </w:rPr>
        <w:t>Az összes mutató esetében az alapforgatókönyv időpontja 2020. február 1., kivéve, ha az intézkedés leírása ettől eltérően rendelkezik. A táblázatban szereplő összegek nem tartalmazzák a héát.</w:t>
      </w:r>
    </w:p>
    <w:p w14:paraId="2EDE943D" w14:textId="77777777" w:rsidR="00D65CB4" w:rsidRPr="00BC4EE7" w:rsidRDefault="00D65CB4">
      <w:pPr>
        <w:spacing w:before="120" w:after="120" w:line="240" w:lineRule="auto"/>
        <w:jc w:val="both"/>
        <w:rPr>
          <w:rFonts w:ascii="Times New Roman" w:hAnsi="Times New Roman" w:cs="Times New Roman"/>
          <w:b/>
          <w:noProof/>
          <w:sz w:val="24"/>
          <w:u w:val="single"/>
        </w:rPr>
      </w:pPr>
    </w:p>
    <w:p w14:paraId="2BE9C227" w14:textId="77777777" w:rsidR="00D65CB4" w:rsidRPr="00BC4EE7" w:rsidRDefault="00D65CB4">
      <w:pPr>
        <w:spacing w:before="120" w:after="120" w:line="240" w:lineRule="auto"/>
        <w:ind w:left="709"/>
        <w:jc w:val="both"/>
        <w:rPr>
          <w:rFonts w:ascii="Times New Roman" w:hAnsi="Times New Roman" w:cs="Times New Roman"/>
          <w:noProof/>
          <w:sz w:val="24"/>
        </w:rPr>
        <w:sectPr w:rsidR="00D65CB4" w:rsidRPr="00BC4EE7" w:rsidSect="00B511EF">
          <w:headerReference w:type="even" r:id="rId345"/>
          <w:headerReference w:type="default" r:id="rId346"/>
          <w:footerReference w:type="even" r:id="rId347"/>
          <w:footerReference w:type="default" r:id="rId348"/>
          <w:headerReference w:type="first" r:id="rId349"/>
          <w:footerReference w:type="first" r:id="rId350"/>
          <w:pgSz w:w="11907" w:h="16839"/>
          <w:pgMar w:top="1134" w:right="1134" w:bottom="1134" w:left="1134" w:header="567" w:footer="567" w:gutter="0"/>
          <w:cols w:space="720"/>
          <w:docGrid w:linePitch="360"/>
        </w:sectPr>
      </w:pPr>
    </w:p>
    <w:tbl>
      <w:tblPr>
        <w:tblW w:w="15452"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33"/>
        <w:gridCol w:w="1011"/>
        <w:gridCol w:w="992"/>
        <w:gridCol w:w="2273"/>
        <w:gridCol w:w="1241"/>
        <w:gridCol w:w="829"/>
        <w:gridCol w:w="966"/>
        <w:gridCol w:w="553"/>
        <w:gridCol w:w="553"/>
        <w:gridCol w:w="553"/>
        <w:gridCol w:w="5648"/>
      </w:tblGrid>
      <w:tr w:rsidR="00D65CB4" w:rsidRPr="00BC4EE7" w14:paraId="18F62D71" w14:textId="77777777" w:rsidTr="00BC4EE7">
        <w:trPr>
          <w:trHeight w:val="309"/>
          <w:tblHeader/>
        </w:trPr>
        <w:tc>
          <w:tcPr>
            <w:tcW w:w="833" w:type="dxa"/>
            <w:tcBorders>
              <w:bottom w:val="nil"/>
            </w:tcBorders>
            <w:shd w:val="clear" w:color="auto" w:fill="C6D9F1" w:themeFill="text2" w:themeFillTint="33"/>
            <w:noWrap/>
          </w:tcPr>
          <w:p w14:paraId="41CA0B6A"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Szám</w:t>
            </w:r>
          </w:p>
        </w:tc>
        <w:tc>
          <w:tcPr>
            <w:tcW w:w="1011" w:type="dxa"/>
            <w:tcBorders>
              <w:bottom w:val="nil"/>
            </w:tcBorders>
            <w:shd w:val="clear" w:color="auto" w:fill="C6D9F1" w:themeFill="text2" w:themeFillTint="33"/>
            <w:noWrap/>
          </w:tcPr>
          <w:p w14:paraId="7F24B2A7"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Intézkedés</w:t>
            </w:r>
          </w:p>
        </w:tc>
        <w:tc>
          <w:tcPr>
            <w:tcW w:w="992" w:type="dxa"/>
            <w:tcBorders>
              <w:bottom w:val="nil"/>
            </w:tcBorders>
            <w:shd w:val="clear" w:color="auto" w:fill="C6D9F1" w:themeFill="text2" w:themeFillTint="33"/>
            <w:noWrap/>
          </w:tcPr>
          <w:p w14:paraId="3DE6A602" w14:textId="77777777" w:rsidR="00D65CB4" w:rsidRPr="00BC4EE7" w:rsidRDefault="00572307">
            <w:pPr>
              <w:spacing w:after="0" w:line="240" w:lineRule="auto"/>
              <w:jc w:val="center"/>
              <w:rPr>
                <w:rFonts w:ascii="Times New Roman" w:hAnsi="Times New Roman" w:cs="Times New Roman"/>
                <w:b/>
                <w:noProof/>
                <w:sz w:val="18"/>
              </w:rPr>
            </w:pPr>
            <w:r w:rsidRPr="00BC4EE7">
              <w:rPr>
                <w:rFonts w:ascii="Times New Roman" w:hAnsi="Times New Roman" w:cs="Times New Roman"/>
                <w:b/>
                <w:noProof/>
                <w:sz w:val="18"/>
              </w:rPr>
              <w:t>Mérföldkő</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b/>
                <w:noProof/>
                <w:sz w:val="18"/>
              </w:rPr>
              <w:t xml:space="preserve"> /Cél</w:t>
            </w:r>
          </w:p>
        </w:tc>
        <w:tc>
          <w:tcPr>
            <w:tcW w:w="2273" w:type="dxa"/>
            <w:tcBorders>
              <w:bottom w:val="nil"/>
            </w:tcBorders>
            <w:shd w:val="clear" w:color="auto" w:fill="C6D9F1" w:themeFill="text2" w:themeFillTint="33"/>
            <w:noWrap/>
          </w:tcPr>
          <w:p w14:paraId="547B5F96"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Név</w:t>
            </w:r>
          </w:p>
        </w:tc>
        <w:tc>
          <w:tcPr>
            <w:tcW w:w="1241" w:type="dxa"/>
            <w:tcBorders>
              <w:bottom w:val="nil"/>
            </w:tcBorders>
            <w:shd w:val="clear" w:color="auto" w:fill="C6D9F1" w:themeFill="text2" w:themeFillTint="33"/>
            <w:noWrap/>
          </w:tcPr>
          <w:p w14:paraId="1C0ED490"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mérföldkövek minőségi mutatója</w:t>
            </w:r>
          </w:p>
        </w:tc>
        <w:tc>
          <w:tcPr>
            <w:tcW w:w="2348" w:type="dxa"/>
            <w:gridSpan w:val="3"/>
            <w:shd w:val="clear" w:color="auto" w:fill="C6D9F1" w:themeFill="text2" w:themeFillTint="33"/>
            <w:noWrap/>
          </w:tcPr>
          <w:p w14:paraId="7FFD4E55"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célérték mennyiségi mutatója</w:t>
            </w:r>
          </w:p>
        </w:tc>
        <w:tc>
          <w:tcPr>
            <w:tcW w:w="1106" w:type="dxa"/>
            <w:gridSpan w:val="2"/>
            <w:shd w:val="clear" w:color="auto" w:fill="C6D9F1" w:themeFill="text2" w:themeFillTint="33"/>
            <w:noWrap/>
          </w:tcPr>
          <w:p w14:paraId="33B311A9"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Idő</w:t>
            </w:r>
          </w:p>
        </w:tc>
        <w:tc>
          <w:tcPr>
            <w:tcW w:w="5648" w:type="dxa"/>
            <w:tcBorders>
              <w:bottom w:val="nil"/>
            </w:tcBorders>
            <w:shd w:val="clear" w:color="auto" w:fill="C6D9F1" w:themeFill="text2" w:themeFillTint="33"/>
            <w:noWrap/>
          </w:tcPr>
          <w:p w14:paraId="77B940C1"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Az egyes mérföldkövek és célértékek leírása</w:t>
            </w:r>
          </w:p>
        </w:tc>
      </w:tr>
      <w:tr w:rsidR="00D65CB4" w:rsidRPr="00BC4EE7" w14:paraId="21CB8188" w14:textId="77777777" w:rsidTr="00BC4EE7">
        <w:trPr>
          <w:trHeight w:val="309"/>
          <w:tblHeader/>
        </w:trPr>
        <w:tc>
          <w:tcPr>
            <w:tcW w:w="833" w:type="dxa"/>
            <w:tcBorders>
              <w:top w:val="nil"/>
            </w:tcBorders>
            <w:shd w:val="clear" w:color="auto" w:fill="C6D9F1" w:themeFill="text2" w:themeFillTint="33"/>
            <w:noWrap/>
          </w:tcPr>
          <w:p w14:paraId="373A0F4F" w14:textId="77777777" w:rsidR="00D65CB4" w:rsidRPr="00BC4EE7" w:rsidRDefault="00D65CB4">
            <w:pPr>
              <w:spacing w:after="0" w:line="240" w:lineRule="auto"/>
              <w:jc w:val="center"/>
              <w:rPr>
                <w:rFonts w:ascii="Times New Roman" w:hAnsi="Times New Roman" w:cs="Times New Roman"/>
                <w:b/>
                <w:noProof/>
                <w:sz w:val="18"/>
              </w:rPr>
            </w:pPr>
          </w:p>
        </w:tc>
        <w:tc>
          <w:tcPr>
            <w:tcW w:w="1011" w:type="dxa"/>
            <w:tcBorders>
              <w:top w:val="nil"/>
            </w:tcBorders>
            <w:shd w:val="clear" w:color="auto" w:fill="C6D9F1" w:themeFill="text2" w:themeFillTint="33"/>
            <w:noWrap/>
          </w:tcPr>
          <w:p w14:paraId="496A1993" w14:textId="77777777" w:rsidR="00D65CB4" w:rsidRPr="00BC4EE7" w:rsidRDefault="00D65CB4">
            <w:pPr>
              <w:spacing w:after="0" w:line="240" w:lineRule="auto"/>
              <w:jc w:val="center"/>
              <w:rPr>
                <w:rFonts w:ascii="Times New Roman" w:hAnsi="Times New Roman" w:cs="Times New Roman"/>
                <w:b/>
                <w:noProof/>
                <w:sz w:val="18"/>
              </w:rPr>
            </w:pPr>
          </w:p>
        </w:tc>
        <w:tc>
          <w:tcPr>
            <w:tcW w:w="992" w:type="dxa"/>
            <w:tcBorders>
              <w:top w:val="nil"/>
            </w:tcBorders>
            <w:shd w:val="clear" w:color="auto" w:fill="C6D9F1" w:themeFill="text2" w:themeFillTint="33"/>
            <w:noWrap/>
          </w:tcPr>
          <w:p w14:paraId="0663E802" w14:textId="77777777" w:rsidR="00D65CB4" w:rsidRPr="00BC4EE7" w:rsidRDefault="00D65CB4">
            <w:pPr>
              <w:spacing w:after="0" w:line="240" w:lineRule="auto"/>
              <w:jc w:val="center"/>
              <w:rPr>
                <w:rFonts w:ascii="Times New Roman" w:hAnsi="Times New Roman" w:cs="Times New Roman"/>
                <w:b/>
                <w:noProof/>
                <w:sz w:val="18"/>
              </w:rPr>
            </w:pPr>
          </w:p>
        </w:tc>
        <w:tc>
          <w:tcPr>
            <w:tcW w:w="2273" w:type="dxa"/>
            <w:tcBorders>
              <w:top w:val="nil"/>
            </w:tcBorders>
            <w:shd w:val="clear" w:color="auto" w:fill="C6D9F1" w:themeFill="text2" w:themeFillTint="33"/>
            <w:noWrap/>
          </w:tcPr>
          <w:p w14:paraId="41C852C4" w14:textId="77777777" w:rsidR="00D65CB4" w:rsidRPr="00BC4EE7" w:rsidRDefault="00D65CB4">
            <w:pPr>
              <w:spacing w:after="0" w:line="240" w:lineRule="auto"/>
              <w:rPr>
                <w:rFonts w:ascii="Times New Roman" w:hAnsi="Times New Roman" w:cs="Times New Roman"/>
                <w:b/>
                <w:noProof/>
                <w:sz w:val="18"/>
              </w:rPr>
            </w:pPr>
          </w:p>
        </w:tc>
        <w:tc>
          <w:tcPr>
            <w:tcW w:w="1241" w:type="dxa"/>
            <w:tcBorders>
              <w:top w:val="nil"/>
            </w:tcBorders>
            <w:shd w:val="clear" w:color="auto" w:fill="C6D9F1" w:themeFill="text2" w:themeFillTint="33"/>
            <w:noWrap/>
          </w:tcPr>
          <w:p w14:paraId="3D1C1254" w14:textId="77777777" w:rsidR="00D65CB4" w:rsidRPr="00BC4EE7" w:rsidRDefault="00D65CB4">
            <w:pPr>
              <w:spacing w:after="0" w:line="240" w:lineRule="auto"/>
              <w:jc w:val="center"/>
              <w:rPr>
                <w:rFonts w:ascii="Times New Roman" w:hAnsi="Times New Roman" w:cs="Times New Roman"/>
                <w:b/>
                <w:noProof/>
                <w:sz w:val="18"/>
              </w:rPr>
            </w:pPr>
          </w:p>
        </w:tc>
        <w:tc>
          <w:tcPr>
            <w:tcW w:w="829" w:type="dxa"/>
            <w:shd w:val="clear" w:color="auto" w:fill="C6D9F1" w:themeFill="text2" w:themeFillTint="33"/>
            <w:noWrap/>
          </w:tcPr>
          <w:p w14:paraId="78F7F448"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Egység</w:t>
            </w:r>
          </w:p>
        </w:tc>
        <w:tc>
          <w:tcPr>
            <w:tcW w:w="966" w:type="dxa"/>
            <w:shd w:val="clear" w:color="auto" w:fill="C6D9F1" w:themeFill="text2" w:themeFillTint="33"/>
            <w:noWrap/>
          </w:tcPr>
          <w:p w14:paraId="5B637134" w14:textId="5CCAB2E2" w:rsidR="00D65CB4" w:rsidRPr="00BC4EE7" w:rsidRDefault="00572307">
            <w:pPr>
              <w:pStyle w:val="P68B1DB1-Normal8"/>
              <w:spacing w:after="0" w:line="240" w:lineRule="auto"/>
              <w:jc w:val="center"/>
              <w:rPr>
                <w:rFonts w:cs="Times New Roman"/>
                <w:noProof/>
              </w:rPr>
            </w:pPr>
            <w:r w:rsidRPr="00BC4EE7">
              <w:rPr>
                <w:rFonts w:cs="Times New Roman"/>
                <w:noProof/>
              </w:rPr>
              <w:t>Kiindulási</w:t>
            </w:r>
          </w:p>
        </w:tc>
        <w:tc>
          <w:tcPr>
            <w:tcW w:w="553" w:type="dxa"/>
            <w:shd w:val="clear" w:color="auto" w:fill="C6D9F1" w:themeFill="text2" w:themeFillTint="33"/>
            <w:noWrap/>
          </w:tcPr>
          <w:p w14:paraId="10FACC42"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Cél</w:t>
            </w:r>
          </w:p>
        </w:tc>
        <w:tc>
          <w:tcPr>
            <w:tcW w:w="553" w:type="dxa"/>
            <w:shd w:val="clear" w:color="auto" w:fill="C6D9F1" w:themeFill="text2" w:themeFillTint="33"/>
            <w:noWrap/>
          </w:tcPr>
          <w:p w14:paraId="007AB6D4"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Q</w:t>
            </w:r>
          </w:p>
        </w:tc>
        <w:tc>
          <w:tcPr>
            <w:tcW w:w="553" w:type="dxa"/>
            <w:shd w:val="clear" w:color="auto" w:fill="C6D9F1" w:themeFill="text2" w:themeFillTint="33"/>
            <w:noWrap/>
          </w:tcPr>
          <w:p w14:paraId="7EC494FD"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Éve</w:t>
            </w:r>
          </w:p>
        </w:tc>
        <w:tc>
          <w:tcPr>
            <w:tcW w:w="5648" w:type="dxa"/>
            <w:tcBorders>
              <w:top w:val="nil"/>
            </w:tcBorders>
            <w:shd w:val="clear" w:color="auto" w:fill="C6D9F1" w:themeFill="text2" w:themeFillTint="33"/>
            <w:noWrap/>
          </w:tcPr>
          <w:p w14:paraId="5694B408" w14:textId="77777777" w:rsidR="00D65CB4" w:rsidRPr="00BC4EE7" w:rsidRDefault="00D65CB4">
            <w:pPr>
              <w:spacing w:after="0" w:line="240" w:lineRule="auto"/>
              <w:rPr>
                <w:rFonts w:ascii="Times New Roman" w:hAnsi="Times New Roman" w:cs="Times New Roman"/>
                <w:b/>
                <w:noProof/>
                <w:sz w:val="18"/>
              </w:rPr>
            </w:pPr>
          </w:p>
        </w:tc>
      </w:tr>
      <w:tr w:rsidR="00D65CB4" w:rsidRPr="00BC4EE7" w14:paraId="36F932E5" w14:textId="77777777" w:rsidTr="00BC4EE7">
        <w:trPr>
          <w:trHeight w:val="309"/>
        </w:trPr>
        <w:tc>
          <w:tcPr>
            <w:tcW w:w="833" w:type="dxa"/>
            <w:shd w:val="clear" w:color="auto" w:fill="C6EFCE"/>
            <w:noWrap/>
          </w:tcPr>
          <w:p w14:paraId="1735041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249</w:t>
            </w:r>
          </w:p>
        </w:tc>
        <w:tc>
          <w:tcPr>
            <w:tcW w:w="1011" w:type="dxa"/>
            <w:shd w:val="clear" w:color="auto" w:fill="C6EFCE"/>
            <w:noWrap/>
          </w:tcPr>
          <w:p w14:paraId="67EABD5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C16.R1</w:t>
            </w:r>
          </w:p>
        </w:tc>
        <w:tc>
          <w:tcPr>
            <w:tcW w:w="992" w:type="dxa"/>
            <w:shd w:val="clear" w:color="auto" w:fill="C6EFCE"/>
            <w:noWrap/>
          </w:tcPr>
          <w:p w14:paraId="336ED4C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2273" w:type="dxa"/>
            <w:shd w:val="clear" w:color="auto" w:fill="C6EFCE"/>
            <w:noWrap/>
          </w:tcPr>
          <w:p w14:paraId="3DE4A649"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 mesterséges intelligenciára vonatkozó nemzeti stratégia </w:t>
            </w:r>
          </w:p>
        </w:tc>
        <w:tc>
          <w:tcPr>
            <w:tcW w:w="1241" w:type="dxa"/>
            <w:shd w:val="clear" w:color="auto" w:fill="C6EFCE"/>
            <w:noWrap/>
          </w:tcPr>
          <w:p w14:paraId="07CC24E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Közzététel a HL-ben</w:t>
            </w:r>
          </w:p>
        </w:tc>
        <w:tc>
          <w:tcPr>
            <w:tcW w:w="829" w:type="dxa"/>
            <w:shd w:val="clear" w:color="auto" w:fill="C6EFCE"/>
            <w:noWrap/>
          </w:tcPr>
          <w:p w14:paraId="3DAF5D7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66" w:type="dxa"/>
            <w:shd w:val="clear" w:color="auto" w:fill="C6EFCE"/>
            <w:noWrap/>
          </w:tcPr>
          <w:p w14:paraId="0BA2ACDA"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553" w:type="dxa"/>
            <w:shd w:val="clear" w:color="auto" w:fill="C6EFCE"/>
            <w:noWrap/>
          </w:tcPr>
          <w:p w14:paraId="7ACDE741"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553" w:type="dxa"/>
            <w:shd w:val="clear" w:color="auto" w:fill="C6EFCE"/>
            <w:noWrap/>
          </w:tcPr>
          <w:p w14:paraId="482DB46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Q3</w:t>
            </w:r>
          </w:p>
        </w:tc>
        <w:tc>
          <w:tcPr>
            <w:tcW w:w="553" w:type="dxa"/>
            <w:shd w:val="clear" w:color="auto" w:fill="C6EFCE"/>
            <w:noWrap/>
          </w:tcPr>
          <w:p w14:paraId="1C6FB7B4"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2020</w:t>
            </w:r>
          </w:p>
        </w:tc>
        <w:tc>
          <w:tcPr>
            <w:tcW w:w="5648" w:type="dxa"/>
            <w:shd w:val="clear" w:color="auto" w:fill="C6EFCE"/>
            <w:noWrap/>
          </w:tcPr>
          <w:p w14:paraId="04E742C5" w14:textId="77777777" w:rsidR="00D65CB4" w:rsidRPr="00BC4EE7" w:rsidRDefault="00572307">
            <w:pPr>
              <w:spacing w:after="0" w:line="240" w:lineRule="auto"/>
              <w:rPr>
                <w:rFonts w:ascii="Times New Roman" w:eastAsia="Times New Roman" w:hAnsi="Times New Roman" w:cs="Times New Roman"/>
                <w:noProof/>
                <w:sz w:val="18"/>
              </w:rPr>
            </w:pPr>
            <w:r w:rsidRPr="00BC4EE7">
              <w:rPr>
                <w:rFonts w:ascii="Times New Roman" w:hAnsi="Times New Roman" w:cs="Times New Roman"/>
                <w:noProof/>
              </w:rPr>
              <w:t>A mesterséges intelligenciára vonatkozó nemzeti stratégia</w:t>
            </w:r>
            <w:r w:rsidRPr="00BC4EE7">
              <w:rPr>
                <w:rFonts w:ascii="Times New Roman" w:hAnsi="Times New Roman" w:cs="Times New Roman"/>
                <w:noProof/>
                <w:sz w:val="18"/>
              </w:rPr>
              <w:t xml:space="preserve">közzététele. A stratégia célkitűzései a következők: </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1. Spanyolországnak a mesterséges intelligencia területén a tudományos kiválóság és az innováció előmozdítása mellett elkötelezett országként való elhelyezése.</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2. A spanyol nyelv kivetítése a mesterséges intelligenciában. </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3. Szakképzett munkahelyek létrehozása, a tehetségek ösztönzése és vonzása, különös tekintettel a nőkre.</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4. A mesterséges intelligencia beépítése a termelési rendszerbe a spanyol vállalkozások termelékenységének javítása érdekében.</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5. Megbízható környezet kialakítása a mesterséges intelligenciával kapcsolatban.</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6. A polgárok mesterséges intelligenciával kapcsolatos egyéni és kollektív jogait garantáló etikai keret kidolgozása.</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7. Az inkluzív és fenntartható mesterséges intelligencia megerősítése; kifejezetten a nemek közötti szakadék és a digitális szakadék áthidalása, valamint az ökológiai átállás és a területi kohézió támogatása érdekében.</w:t>
            </w:r>
          </w:p>
        </w:tc>
      </w:tr>
      <w:tr w:rsidR="00D65CB4" w:rsidRPr="00BC4EE7" w14:paraId="2FFA111E" w14:textId="77777777" w:rsidTr="00BC4EE7">
        <w:trPr>
          <w:trHeight w:val="309"/>
        </w:trPr>
        <w:tc>
          <w:tcPr>
            <w:tcW w:w="833" w:type="dxa"/>
            <w:shd w:val="clear" w:color="auto" w:fill="C6EFCE"/>
            <w:noWrap/>
          </w:tcPr>
          <w:p w14:paraId="11223EE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250</w:t>
            </w:r>
          </w:p>
        </w:tc>
        <w:tc>
          <w:tcPr>
            <w:tcW w:w="1011" w:type="dxa"/>
            <w:shd w:val="clear" w:color="auto" w:fill="C6EFCE"/>
            <w:noWrap/>
          </w:tcPr>
          <w:p w14:paraId="69D4EBB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C16.R1</w:t>
            </w:r>
          </w:p>
        </w:tc>
        <w:tc>
          <w:tcPr>
            <w:tcW w:w="992" w:type="dxa"/>
            <w:shd w:val="clear" w:color="auto" w:fill="C6EFCE"/>
            <w:noWrap/>
          </w:tcPr>
          <w:p w14:paraId="2864326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2273" w:type="dxa"/>
            <w:shd w:val="clear" w:color="auto" w:fill="C6EFCE"/>
            <w:noWrap/>
          </w:tcPr>
          <w:p w14:paraId="26EEB8F1"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digitális jogokról szóló charta</w:t>
            </w:r>
          </w:p>
        </w:tc>
        <w:tc>
          <w:tcPr>
            <w:tcW w:w="1241" w:type="dxa"/>
            <w:shd w:val="clear" w:color="auto" w:fill="C6EFCE"/>
            <w:noWrap/>
          </w:tcPr>
          <w:p w14:paraId="2F39C46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Közzététel a HL-ben</w:t>
            </w:r>
          </w:p>
        </w:tc>
        <w:tc>
          <w:tcPr>
            <w:tcW w:w="829" w:type="dxa"/>
            <w:shd w:val="clear" w:color="auto" w:fill="C6EFCE"/>
            <w:noWrap/>
          </w:tcPr>
          <w:p w14:paraId="562F740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66" w:type="dxa"/>
            <w:shd w:val="clear" w:color="auto" w:fill="C6EFCE"/>
            <w:noWrap/>
          </w:tcPr>
          <w:p w14:paraId="75826876"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553" w:type="dxa"/>
            <w:shd w:val="clear" w:color="auto" w:fill="C6EFCE"/>
            <w:noWrap/>
          </w:tcPr>
          <w:p w14:paraId="26EE5AC0"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553" w:type="dxa"/>
            <w:shd w:val="clear" w:color="auto" w:fill="C6EFCE"/>
            <w:noWrap/>
          </w:tcPr>
          <w:p w14:paraId="211C302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53" w:type="dxa"/>
            <w:shd w:val="clear" w:color="auto" w:fill="C6EFCE"/>
            <w:noWrap/>
          </w:tcPr>
          <w:p w14:paraId="5170D93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2021</w:t>
            </w:r>
          </w:p>
        </w:tc>
        <w:tc>
          <w:tcPr>
            <w:tcW w:w="5648" w:type="dxa"/>
            <w:shd w:val="clear" w:color="auto" w:fill="C6EFCE"/>
            <w:noWrap/>
          </w:tcPr>
          <w:p w14:paraId="71499C32"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 spanyol kormány általi elfogadás és közzététel a digitális jogokról szóló charta hivatalos honlapján. A Charta nem normatív jellegű, hanem célja, hogy felismerje az alkalmazás és az értelmezés új kihívásait, amelyeket a jogok digitális környezethez való igazítása jelent, és ezzel összefüggésben javaslatokat tegyen az ezzel kapcsolatos elvekre és politikákra. Emellett javaslatot tesz a hatóságok fellépésére vonatkozó referenciakeretre is, kihasználva és fejlesztve a jelenlegi digitális környezetben rejlő valamennyi lehetőséget és lehetőséget, ugyanakkor megelőzve annak kockázatait. </w:t>
            </w:r>
          </w:p>
        </w:tc>
      </w:tr>
      <w:tr w:rsidR="00D65CB4" w:rsidRPr="00BC4EE7" w14:paraId="029A96F6" w14:textId="77777777" w:rsidTr="00BC4EE7">
        <w:trPr>
          <w:trHeight w:val="309"/>
        </w:trPr>
        <w:tc>
          <w:tcPr>
            <w:tcW w:w="833" w:type="dxa"/>
            <w:shd w:val="clear" w:color="auto" w:fill="C6EFCE"/>
            <w:noWrap/>
          </w:tcPr>
          <w:p w14:paraId="276F758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251</w:t>
            </w:r>
          </w:p>
        </w:tc>
        <w:tc>
          <w:tcPr>
            <w:tcW w:w="1011" w:type="dxa"/>
            <w:shd w:val="clear" w:color="auto" w:fill="C6EFCE"/>
            <w:noWrap/>
          </w:tcPr>
          <w:p w14:paraId="79FD914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C16.R1</w:t>
            </w:r>
          </w:p>
        </w:tc>
        <w:tc>
          <w:tcPr>
            <w:tcW w:w="992" w:type="dxa"/>
            <w:shd w:val="clear" w:color="auto" w:fill="C6EFCE"/>
            <w:noWrap/>
          </w:tcPr>
          <w:p w14:paraId="0FBABEE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2273" w:type="dxa"/>
            <w:shd w:val="clear" w:color="auto" w:fill="C6EFCE"/>
            <w:noWrap/>
          </w:tcPr>
          <w:p w14:paraId="0A39D493"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 mesterséges intelligenciával kapcsolatos projektek támogatása </w:t>
            </w:r>
          </w:p>
        </w:tc>
        <w:tc>
          <w:tcPr>
            <w:tcW w:w="1241" w:type="dxa"/>
            <w:shd w:val="clear" w:color="auto" w:fill="C6EFCE"/>
            <w:noWrap/>
          </w:tcPr>
          <w:p w14:paraId="679CB12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A programtámogatások közzététele és finanszírozása</w:t>
            </w:r>
          </w:p>
        </w:tc>
        <w:tc>
          <w:tcPr>
            <w:tcW w:w="829" w:type="dxa"/>
            <w:shd w:val="clear" w:color="auto" w:fill="C6EFCE"/>
            <w:noWrap/>
          </w:tcPr>
          <w:p w14:paraId="0145871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66" w:type="dxa"/>
            <w:shd w:val="clear" w:color="auto" w:fill="C6EFCE"/>
            <w:noWrap/>
          </w:tcPr>
          <w:p w14:paraId="635BD68A"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553" w:type="dxa"/>
            <w:shd w:val="clear" w:color="auto" w:fill="C6EFCE"/>
            <w:noWrap/>
          </w:tcPr>
          <w:p w14:paraId="554268E3"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553" w:type="dxa"/>
            <w:shd w:val="clear" w:color="auto" w:fill="C6EFCE"/>
            <w:noWrap/>
          </w:tcPr>
          <w:p w14:paraId="6FBEC25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53" w:type="dxa"/>
            <w:shd w:val="clear" w:color="auto" w:fill="C6EFCE"/>
            <w:noWrap/>
          </w:tcPr>
          <w:p w14:paraId="0431DFA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2023</w:t>
            </w:r>
          </w:p>
        </w:tc>
        <w:tc>
          <w:tcPr>
            <w:tcW w:w="5648" w:type="dxa"/>
            <w:shd w:val="clear" w:color="auto" w:fill="C6EFCE"/>
            <w:noWrap/>
          </w:tcPr>
          <w:p w14:paraId="085D693A" w14:textId="1627E95F"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 mesterséges intelligenciával kapcsolatos K+F projektekre, Spanyolország MI-tehetségközpontjára, a mesterséges intelligenciával foglalkozó multidiszciplináris intézetre, a mesterséges intelligenciával foglalkozó kiválósági hálózatra, egy természetes nyelvi technológiai tervre, tudományos elnökökre, megfigyelőközpontokra, megbízható MI-tanúsításra és -plombálásra, a mesterséges intelligenciával kapcsolatos veszélyeztetett csoportok védelmi tervére, a mesterséges intelligenciával kapcsolatos tudatosságra és bizalomra vonatkozó terv, a kvantum-számítástechnika és a zöld algoritmusok nemzeti programja számára elkülönített legalább 500 000 000 EUR összegű költségvetés. </w:t>
            </w:r>
          </w:p>
        </w:tc>
      </w:tr>
      <w:tr w:rsidR="00D65CB4" w:rsidRPr="00BC4EE7" w14:paraId="3AD21B9A" w14:textId="77777777" w:rsidTr="00BC4EE7">
        <w:trPr>
          <w:trHeight w:val="309"/>
        </w:trPr>
        <w:tc>
          <w:tcPr>
            <w:tcW w:w="833" w:type="dxa"/>
            <w:shd w:val="clear" w:color="auto" w:fill="C6EFCE"/>
            <w:noWrap/>
          </w:tcPr>
          <w:p w14:paraId="5EC72927" w14:textId="617BAA48" w:rsidR="00D65CB4" w:rsidRPr="00BC4EE7" w:rsidRDefault="00572307">
            <w:pPr>
              <w:pStyle w:val="P68B1DB1-Normal12"/>
              <w:spacing w:after="0" w:line="240" w:lineRule="auto"/>
              <w:jc w:val="center"/>
              <w:rPr>
                <w:rFonts w:cs="Times New Roman"/>
                <w:noProof/>
              </w:rPr>
            </w:pPr>
            <w:r w:rsidRPr="00BC4EE7">
              <w:rPr>
                <w:rFonts w:cs="Times New Roman"/>
                <w:noProof/>
              </w:rPr>
              <w:t>458</w:t>
            </w:r>
          </w:p>
        </w:tc>
        <w:tc>
          <w:tcPr>
            <w:tcW w:w="1011" w:type="dxa"/>
            <w:shd w:val="clear" w:color="auto" w:fill="C6EFCE"/>
            <w:noWrap/>
          </w:tcPr>
          <w:p w14:paraId="19829B5B" w14:textId="6040864A" w:rsidR="00D65CB4" w:rsidRPr="00BC4EE7" w:rsidRDefault="00572307">
            <w:pPr>
              <w:pStyle w:val="P68B1DB1-Normal12"/>
              <w:spacing w:after="0" w:line="240" w:lineRule="auto"/>
              <w:jc w:val="center"/>
              <w:rPr>
                <w:rFonts w:cs="Times New Roman"/>
                <w:noProof/>
              </w:rPr>
            </w:pPr>
            <w:r w:rsidRPr="00BC4EE7">
              <w:rPr>
                <w:rFonts w:cs="Times New Roman"/>
                <w:noProof/>
              </w:rPr>
              <w:t>C16.R1</w:t>
            </w:r>
          </w:p>
        </w:tc>
        <w:tc>
          <w:tcPr>
            <w:tcW w:w="992" w:type="dxa"/>
            <w:shd w:val="clear" w:color="auto" w:fill="C6EFCE"/>
            <w:noWrap/>
          </w:tcPr>
          <w:p w14:paraId="428EB1E6" w14:textId="266CA192" w:rsidR="00D65CB4" w:rsidRPr="00BC4EE7" w:rsidRDefault="00572307">
            <w:pPr>
              <w:pStyle w:val="P68B1DB1-Normal12"/>
              <w:spacing w:after="0" w:line="240" w:lineRule="auto"/>
              <w:jc w:val="center"/>
              <w:rPr>
                <w:rFonts w:cs="Times New Roman"/>
                <w:noProof/>
              </w:rPr>
            </w:pPr>
            <w:r w:rsidRPr="00BC4EE7">
              <w:rPr>
                <w:rFonts w:cs="Times New Roman"/>
                <w:noProof/>
              </w:rPr>
              <w:t>M</w:t>
            </w:r>
          </w:p>
        </w:tc>
        <w:tc>
          <w:tcPr>
            <w:tcW w:w="2273" w:type="dxa"/>
            <w:shd w:val="clear" w:color="auto" w:fill="C6EFCE"/>
            <w:noWrap/>
          </w:tcPr>
          <w:p w14:paraId="774B9519" w14:textId="307F2BF7" w:rsidR="00D65CB4" w:rsidRPr="00BC4EE7" w:rsidRDefault="00572307">
            <w:pPr>
              <w:pStyle w:val="P68B1DB1-Normal12"/>
              <w:spacing w:after="0" w:line="240" w:lineRule="auto"/>
              <w:rPr>
                <w:rFonts w:cs="Times New Roman"/>
                <w:noProof/>
              </w:rPr>
            </w:pPr>
            <w:r w:rsidRPr="00BC4EE7">
              <w:rPr>
                <w:rFonts w:cs="Times New Roman"/>
                <w:noProof/>
              </w:rPr>
              <w:t>Szabályozói tesztkörnyezetek és a Mesterséges Intelligencia-megfigyeléssel foglalkozó spanyol ügynökség (AESIA)</w:t>
            </w:r>
          </w:p>
        </w:tc>
        <w:tc>
          <w:tcPr>
            <w:tcW w:w="1241" w:type="dxa"/>
            <w:shd w:val="clear" w:color="auto" w:fill="C6EFCE"/>
            <w:noWrap/>
          </w:tcPr>
          <w:p w14:paraId="29A3EA67" w14:textId="19C678FA" w:rsidR="00D65CB4" w:rsidRPr="00BC4EE7" w:rsidRDefault="00572307">
            <w:pPr>
              <w:pStyle w:val="P68B1DB1-Normal12"/>
              <w:spacing w:after="0" w:line="240" w:lineRule="auto"/>
              <w:jc w:val="center"/>
              <w:rPr>
                <w:rFonts w:cs="Times New Roman"/>
                <w:noProof/>
              </w:rPr>
            </w:pPr>
            <w:r w:rsidRPr="00BC4EE7">
              <w:rPr>
                <w:rFonts w:cs="Times New Roman"/>
                <w:noProof/>
              </w:rPr>
              <w:t>Közzététel a HL-ben</w:t>
            </w:r>
          </w:p>
        </w:tc>
        <w:tc>
          <w:tcPr>
            <w:tcW w:w="829" w:type="dxa"/>
            <w:shd w:val="clear" w:color="auto" w:fill="C6EFCE"/>
            <w:noWrap/>
          </w:tcPr>
          <w:p w14:paraId="106430E3" w14:textId="77777777" w:rsidR="00D65CB4" w:rsidRPr="00BC4EE7" w:rsidRDefault="00D65CB4">
            <w:pPr>
              <w:spacing w:after="0" w:line="240" w:lineRule="auto"/>
              <w:jc w:val="center"/>
              <w:rPr>
                <w:rFonts w:ascii="Times New Roman" w:hAnsi="Times New Roman" w:cs="Times New Roman"/>
                <w:noProof/>
                <w:sz w:val="18"/>
              </w:rPr>
            </w:pPr>
          </w:p>
        </w:tc>
        <w:tc>
          <w:tcPr>
            <w:tcW w:w="966" w:type="dxa"/>
            <w:shd w:val="clear" w:color="auto" w:fill="C6EFCE"/>
            <w:noWrap/>
          </w:tcPr>
          <w:p w14:paraId="6EB4222B" w14:textId="77777777" w:rsidR="00D65CB4" w:rsidRPr="00BC4EE7" w:rsidRDefault="00D65CB4">
            <w:pPr>
              <w:spacing w:after="0" w:line="240" w:lineRule="auto"/>
              <w:jc w:val="right"/>
              <w:rPr>
                <w:rFonts w:ascii="Times New Roman" w:hAnsi="Times New Roman" w:cs="Times New Roman"/>
                <w:noProof/>
                <w:sz w:val="18"/>
              </w:rPr>
            </w:pPr>
          </w:p>
        </w:tc>
        <w:tc>
          <w:tcPr>
            <w:tcW w:w="553" w:type="dxa"/>
            <w:shd w:val="clear" w:color="auto" w:fill="C6EFCE"/>
            <w:noWrap/>
          </w:tcPr>
          <w:p w14:paraId="0F8FC42F" w14:textId="77777777" w:rsidR="00D65CB4" w:rsidRPr="00BC4EE7" w:rsidRDefault="00D65CB4">
            <w:pPr>
              <w:spacing w:after="0" w:line="240" w:lineRule="auto"/>
              <w:jc w:val="right"/>
              <w:rPr>
                <w:rFonts w:ascii="Times New Roman" w:hAnsi="Times New Roman" w:cs="Times New Roman"/>
                <w:noProof/>
                <w:sz w:val="18"/>
              </w:rPr>
            </w:pPr>
          </w:p>
        </w:tc>
        <w:tc>
          <w:tcPr>
            <w:tcW w:w="553" w:type="dxa"/>
            <w:shd w:val="clear" w:color="auto" w:fill="C6EFCE"/>
            <w:noWrap/>
          </w:tcPr>
          <w:p w14:paraId="1965FC98" w14:textId="6E1BC4EB"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553" w:type="dxa"/>
            <w:shd w:val="clear" w:color="auto" w:fill="C6EFCE"/>
            <w:noWrap/>
          </w:tcPr>
          <w:p w14:paraId="78980B90" w14:textId="3A5E4AC1" w:rsidR="00D65CB4" w:rsidRPr="00BC4EE7" w:rsidRDefault="00572307">
            <w:pPr>
              <w:pStyle w:val="P68B1DB1-Normal12"/>
              <w:spacing w:after="0" w:line="240" w:lineRule="auto"/>
              <w:jc w:val="center"/>
              <w:rPr>
                <w:rFonts w:cs="Times New Roman"/>
                <w:noProof/>
              </w:rPr>
            </w:pPr>
            <w:r w:rsidRPr="00BC4EE7">
              <w:rPr>
                <w:rFonts w:cs="Times New Roman"/>
                <w:noProof/>
              </w:rPr>
              <w:t>2024</w:t>
            </w:r>
          </w:p>
        </w:tc>
        <w:tc>
          <w:tcPr>
            <w:tcW w:w="5648" w:type="dxa"/>
            <w:shd w:val="clear" w:color="auto" w:fill="C6EFCE"/>
            <w:noWrap/>
          </w:tcPr>
          <w:p w14:paraId="7C0083ED" w14:textId="4E66B0CB" w:rsidR="00D65CB4" w:rsidRPr="00BC4EE7" w:rsidRDefault="00572307">
            <w:pPr>
              <w:pStyle w:val="P68B1DB1-Normal12"/>
              <w:spacing w:after="0" w:line="240" w:lineRule="auto"/>
              <w:rPr>
                <w:rFonts w:cs="Times New Roman"/>
                <w:noProof/>
              </w:rPr>
            </w:pPr>
            <w:r w:rsidRPr="00BC4EE7">
              <w:rPr>
                <w:rFonts w:cs="Times New Roman"/>
                <w:noProof/>
              </w:rPr>
              <w:t>A mesterséges intelligencia alkalmazásához szükséges szabályozási tesztkörnyezetek lehetővé tételéhez szükséges jogalkotási aktusok, valamint a mesterséges intelligenciával kapcsolatos megfigyeléssel foglalkozó spanyol ügynökség belső alapszabályának jóváhagyásáról szóló királyi rendelet közzététele a Hivatalos Lapban. Ez utóbbi a következőket foglalja magában: az Ügynökség jellege és jogi rendszere (állami jogi személyiséggel, saját vagyonnal és igazgatási autonómiával); tárgya, célja és hatáskörei; az ökológiai struktúra és annak kiválasztási folyamata; vagyoni, pénzügyi és szerződéskötési rendszere; valamint gazdasági-költségvetési irányítása és ellenőrzése.</w:t>
            </w:r>
          </w:p>
        </w:tc>
      </w:tr>
      <w:tr w:rsidR="00D65CB4" w:rsidRPr="00BC4EE7" w14:paraId="4B1423DB" w14:textId="77777777" w:rsidTr="00BC4EE7">
        <w:trPr>
          <w:trHeight w:val="309"/>
        </w:trPr>
        <w:tc>
          <w:tcPr>
            <w:tcW w:w="833" w:type="dxa"/>
            <w:shd w:val="clear" w:color="auto" w:fill="C6EFCE"/>
            <w:noWrap/>
          </w:tcPr>
          <w:p w14:paraId="7F9E1A6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252</w:t>
            </w:r>
          </w:p>
        </w:tc>
        <w:tc>
          <w:tcPr>
            <w:tcW w:w="1011" w:type="dxa"/>
            <w:shd w:val="clear" w:color="auto" w:fill="C6EFCE"/>
            <w:noWrap/>
          </w:tcPr>
          <w:p w14:paraId="6F66F23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C16.R1</w:t>
            </w:r>
          </w:p>
        </w:tc>
        <w:tc>
          <w:tcPr>
            <w:tcW w:w="992" w:type="dxa"/>
            <w:shd w:val="clear" w:color="auto" w:fill="C6EFCE"/>
            <w:noWrap/>
          </w:tcPr>
          <w:p w14:paraId="5B6776B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2273" w:type="dxa"/>
            <w:shd w:val="clear" w:color="auto" w:fill="C6EFCE"/>
            <w:noWrap/>
          </w:tcPr>
          <w:p w14:paraId="2B41DD4A"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 felkeresett országlátogatások </w:t>
            </w:r>
          </w:p>
        </w:tc>
        <w:tc>
          <w:tcPr>
            <w:tcW w:w="1241" w:type="dxa"/>
            <w:shd w:val="clear" w:color="auto" w:fill="C6EFCE"/>
            <w:noWrap/>
          </w:tcPr>
          <w:p w14:paraId="18D32A1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829" w:type="dxa"/>
            <w:shd w:val="clear" w:color="auto" w:fill="C6EFCE"/>
            <w:noWrap/>
          </w:tcPr>
          <w:p w14:paraId="78017AE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Szám</w:t>
            </w:r>
          </w:p>
        </w:tc>
        <w:tc>
          <w:tcPr>
            <w:tcW w:w="966" w:type="dxa"/>
            <w:shd w:val="clear" w:color="auto" w:fill="C6EFCE"/>
            <w:noWrap/>
          </w:tcPr>
          <w:p w14:paraId="6BD500FA"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0</w:t>
            </w:r>
          </w:p>
        </w:tc>
        <w:tc>
          <w:tcPr>
            <w:tcW w:w="553" w:type="dxa"/>
            <w:shd w:val="clear" w:color="auto" w:fill="C6EFCE"/>
            <w:noWrap/>
          </w:tcPr>
          <w:p w14:paraId="659369D5"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7</w:t>
            </w:r>
          </w:p>
        </w:tc>
        <w:tc>
          <w:tcPr>
            <w:tcW w:w="553" w:type="dxa"/>
            <w:shd w:val="clear" w:color="auto" w:fill="C6EFCE"/>
            <w:noWrap/>
          </w:tcPr>
          <w:p w14:paraId="635009B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Q1</w:t>
            </w:r>
          </w:p>
        </w:tc>
        <w:tc>
          <w:tcPr>
            <w:tcW w:w="553" w:type="dxa"/>
            <w:shd w:val="clear" w:color="auto" w:fill="C6EFCE"/>
            <w:noWrap/>
          </w:tcPr>
          <w:p w14:paraId="109081B4"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2026</w:t>
            </w:r>
          </w:p>
        </w:tc>
        <w:tc>
          <w:tcPr>
            <w:tcW w:w="5648" w:type="dxa"/>
            <w:shd w:val="clear" w:color="auto" w:fill="C6EFCE"/>
            <w:noWrap/>
          </w:tcPr>
          <w:p w14:paraId="12CC84ED"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Legalább 7 olyan projekt finanszírozása, amelyek innovatív mesterséges intelligencián alapuló megoldásokat alkalmazó konkrét országspecifikus küldetések kezelésére irányulnak az e küldetések során azonosított problémák kezelése érdekében: az egészségügy, az ipar, a környezet, a társadalom, az energia, a mezőgazdaság és a gazdaság, a projekteket mintegy 10000000 és 15 000 000 EUR közötti, együttműködésen alapuló projektek finanszírozásával kell végrehajtani.</w:t>
            </w:r>
          </w:p>
        </w:tc>
      </w:tr>
      <w:tr w:rsidR="00D65CB4" w:rsidRPr="00BC4EE7" w14:paraId="62777899" w14:textId="77777777" w:rsidTr="00BC4EE7">
        <w:trPr>
          <w:trHeight w:val="309"/>
        </w:trPr>
        <w:tc>
          <w:tcPr>
            <w:tcW w:w="833" w:type="dxa"/>
            <w:shd w:val="clear" w:color="auto" w:fill="C6EFCE"/>
            <w:noWrap/>
          </w:tcPr>
          <w:p w14:paraId="5EB06565"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253</w:t>
            </w:r>
          </w:p>
        </w:tc>
        <w:tc>
          <w:tcPr>
            <w:tcW w:w="1011" w:type="dxa"/>
            <w:shd w:val="clear" w:color="auto" w:fill="C6EFCE"/>
            <w:noWrap/>
          </w:tcPr>
          <w:p w14:paraId="302EAF8E"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C16.R1</w:t>
            </w:r>
          </w:p>
        </w:tc>
        <w:tc>
          <w:tcPr>
            <w:tcW w:w="992" w:type="dxa"/>
            <w:shd w:val="clear" w:color="auto" w:fill="C6EFCE"/>
            <w:noWrap/>
          </w:tcPr>
          <w:p w14:paraId="0A11A897"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M</w:t>
            </w:r>
          </w:p>
        </w:tc>
        <w:tc>
          <w:tcPr>
            <w:tcW w:w="2273" w:type="dxa"/>
            <w:shd w:val="clear" w:color="auto" w:fill="C6EFCE"/>
            <w:noWrap/>
          </w:tcPr>
          <w:p w14:paraId="627D5FB4" w14:textId="77777777" w:rsidR="00D65CB4" w:rsidRPr="00BC4EE7" w:rsidRDefault="00572307">
            <w:pPr>
              <w:pStyle w:val="P68B1DB1-Normal12"/>
              <w:spacing w:after="0" w:line="240" w:lineRule="auto"/>
              <w:rPr>
                <w:rFonts w:cs="Times New Roman"/>
                <w:noProof/>
              </w:rPr>
            </w:pPr>
            <w:r w:rsidRPr="00BC4EE7">
              <w:rPr>
                <w:rFonts w:cs="Times New Roman"/>
                <w:noProof/>
              </w:rPr>
              <w:t xml:space="preserve">A mesterséges intelligenciával kapcsolatos projektek lezárása </w:t>
            </w:r>
          </w:p>
        </w:tc>
        <w:tc>
          <w:tcPr>
            <w:tcW w:w="1241" w:type="dxa"/>
            <w:shd w:val="clear" w:color="auto" w:fill="C6EFCE"/>
            <w:noWrap/>
          </w:tcPr>
          <w:p w14:paraId="7ECD54BA"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Értesítés a beruházási projektek befejezéséről</w:t>
            </w:r>
          </w:p>
        </w:tc>
        <w:tc>
          <w:tcPr>
            <w:tcW w:w="829" w:type="dxa"/>
            <w:shd w:val="clear" w:color="auto" w:fill="C6EFCE"/>
            <w:noWrap/>
          </w:tcPr>
          <w:p w14:paraId="263869B2"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 xml:space="preserve"> </w:t>
            </w:r>
          </w:p>
        </w:tc>
        <w:tc>
          <w:tcPr>
            <w:tcW w:w="966" w:type="dxa"/>
            <w:shd w:val="clear" w:color="auto" w:fill="C6EFCE"/>
            <w:noWrap/>
          </w:tcPr>
          <w:p w14:paraId="5D3B8A88"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 xml:space="preserve"> </w:t>
            </w:r>
          </w:p>
        </w:tc>
        <w:tc>
          <w:tcPr>
            <w:tcW w:w="553" w:type="dxa"/>
            <w:shd w:val="clear" w:color="auto" w:fill="C6EFCE"/>
            <w:noWrap/>
          </w:tcPr>
          <w:p w14:paraId="503E7E70"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 xml:space="preserve"> </w:t>
            </w:r>
          </w:p>
        </w:tc>
        <w:tc>
          <w:tcPr>
            <w:tcW w:w="553" w:type="dxa"/>
            <w:shd w:val="clear" w:color="auto" w:fill="C6EFCE"/>
            <w:noWrap/>
          </w:tcPr>
          <w:p w14:paraId="08857245"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Q1</w:t>
            </w:r>
          </w:p>
        </w:tc>
        <w:tc>
          <w:tcPr>
            <w:tcW w:w="553" w:type="dxa"/>
            <w:shd w:val="clear" w:color="auto" w:fill="C6EFCE"/>
            <w:noWrap/>
          </w:tcPr>
          <w:p w14:paraId="027D83E8"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2026</w:t>
            </w:r>
          </w:p>
        </w:tc>
        <w:tc>
          <w:tcPr>
            <w:tcW w:w="5648" w:type="dxa"/>
            <w:shd w:val="clear" w:color="auto" w:fill="C6EFCE"/>
            <w:noWrap/>
          </w:tcPr>
          <w:p w14:paraId="243A0FA8" w14:textId="1655BA11" w:rsidR="00D65CB4" w:rsidRPr="00BC4EE7" w:rsidRDefault="00572307">
            <w:pPr>
              <w:pStyle w:val="P68B1DB1-Normal12"/>
              <w:spacing w:after="0" w:line="240" w:lineRule="auto"/>
              <w:rPr>
                <w:rFonts w:cs="Times New Roman"/>
                <w:noProof/>
              </w:rPr>
            </w:pPr>
            <w:r w:rsidRPr="00BC4EE7">
              <w:rPr>
                <w:rFonts w:cs="Times New Roman"/>
                <w:noProof/>
              </w:rPr>
              <w:t>A mesterséges intelligenciával kapcsolatos K+F projektek lezárása, Spanyolország MI-tehetségközpontja, a mesterséges intelligenciával foglalkozó multidiszciplináris intézet, a mesterséges intelligenciával foglalkozó kiválósági hálózat, egy természetesnyelv-technológiai terv, tudományos elnökök, megfigyelőközpontok, megbízható MI-tanúsítás és -zár, a mesterséges intelligencia kiszolgáltatott csoportjainak védelmi terve, a mesterséges intelligenciával kapcsolatos tudatosságra és bizalomra vonatkozó terv, a kvantum-számítástechnika és a zöld algoritmusok nemzeti programja, az ajánlati felhívásokban (#251. mérföldkő) meghatározott kritériumoknak megfelelően.</w:t>
            </w:r>
          </w:p>
        </w:tc>
      </w:tr>
      <w:tr w:rsidR="00D65CB4" w:rsidRPr="00BC4EE7" w14:paraId="092CBB81" w14:textId="77777777" w:rsidTr="00BC4EE7">
        <w:trPr>
          <w:trHeight w:val="309"/>
        </w:trPr>
        <w:tc>
          <w:tcPr>
            <w:tcW w:w="833" w:type="dxa"/>
            <w:shd w:val="clear" w:color="auto" w:fill="C6EFCE"/>
            <w:noWrap/>
          </w:tcPr>
          <w:p w14:paraId="1C5A6AE3" w14:textId="61F1C44E" w:rsidR="00D65CB4" w:rsidRPr="00BC4EE7" w:rsidRDefault="00572307">
            <w:pPr>
              <w:pStyle w:val="P68B1DB1-Normal12"/>
              <w:spacing w:after="0" w:line="240" w:lineRule="auto"/>
              <w:jc w:val="center"/>
              <w:rPr>
                <w:rFonts w:cs="Times New Roman"/>
                <w:noProof/>
              </w:rPr>
            </w:pPr>
            <w:r w:rsidRPr="00BC4EE7">
              <w:rPr>
                <w:rFonts w:cs="Times New Roman"/>
                <w:noProof/>
              </w:rPr>
              <w:t>457</w:t>
            </w:r>
          </w:p>
        </w:tc>
        <w:tc>
          <w:tcPr>
            <w:tcW w:w="1011" w:type="dxa"/>
            <w:shd w:val="clear" w:color="auto" w:fill="C6EFCE"/>
            <w:noWrap/>
          </w:tcPr>
          <w:p w14:paraId="53C3501E"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C16.R1</w:t>
            </w:r>
          </w:p>
        </w:tc>
        <w:tc>
          <w:tcPr>
            <w:tcW w:w="992" w:type="dxa"/>
            <w:shd w:val="clear" w:color="auto" w:fill="C6EFCE"/>
            <w:noWrap/>
          </w:tcPr>
          <w:p w14:paraId="06E57DF2" w14:textId="77777777" w:rsidR="00D65CB4" w:rsidRPr="00BC4EE7" w:rsidRDefault="00572307">
            <w:pPr>
              <w:pStyle w:val="P68B1DB1-Normal12"/>
              <w:jc w:val="center"/>
              <w:rPr>
                <w:rFonts w:cs="Times New Roman"/>
                <w:noProof/>
              </w:rPr>
            </w:pPr>
            <w:r w:rsidRPr="00BC4EE7">
              <w:rPr>
                <w:rFonts w:cs="Times New Roman"/>
                <w:noProof/>
              </w:rPr>
              <w:t>T</w:t>
            </w:r>
          </w:p>
        </w:tc>
        <w:tc>
          <w:tcPr>
            <w:tcW w:w="2273" w:type="dxa"/>
            <w:shd w:val="clear" w:color="auto" w:fill="C6EFCE"/>
            <w:noWrap/>
          </w:tcPr>
          <w:p w14:paraId="2D1D67BC" w14:textId="77777777" w:rsidR="00D65CB4" w:rsidRPr="00BC4EE7" w:rsidRDefault="00572307">
            <w:pPr>
              <w:pStyle w:val="P68B1DB1-Normal12"/>
              <w:spacing w:after="0" w:line="240" w:lineRule="auto"/>
              <w:rPr>
                <w:rFonts w:cs="Times New Roman"/>
                <w:noProof/>
              </w:rPr>
            </w:pPr>
            <w:r w:rsidRPr="00BC4EE7">
              <w:rPr>
                <w:rFonts w:cs="Times New Roman"/>
                <w:noProof/>
              </w:rPr>
              <w:t>PERTE CHIP. A kvantum-ökoszisztéma megerősítése.</w:t>
            </w:r>
          </w:p>
        </w:tc>
        <w:tc>
          <w:tcPr>
            <w:tcW w:w="1241" w:type="dxa"/>
            <w:shd w:val="clear" w:color="auto" w:fill="C6EFCE"/>
            <w:noWrap/>
          </w:tcPr>
          <w:p w14:paraId="5C216153" w14:textId="77777777" w:rsidR="00D65CB4" w:rsidRPr="00BC4EE7" w:rsidRDefault="00D65CB4">
            <w:pPr>
              <w:spacing w:after="0" w:line="240" w:lineRule="auto"/>
              <w:jc w:val="center"/>
              <w:rPr>
                <w:rFonts w:ascii="Times New Roman" w:hAnsi="Times New Roman" w:cs="Times New Roman"/>
                <w:noProof/>
                <w:sz w:val="18"/>
              </w:rPr>
            </w:pPr>
          </w:p>
        </w:tc>
        <w:tc>
          <w:tcPr>
            <w:tcW w:w="829" w:type="dxa"/>
            <w:shd w:val="clear" w:color="auto" w:fill="C6EFCE"/>
            <w:noWrap/>
          </w:tcPr>
          <w:p w14:paraId="079F98AE"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Millió EUR</w:t>
            </w:r>
          </w:p>
        </w:tc>
        <w:tc>
          <w:tcPr>
            <w:tcW w:w="966" w:type="dxa"/>
            <w:shd w:val="clear" w:color="auto" w:fill="C6EFCE"/>
            <w:noWrap/>
          </w:tcPr>
          <w:p w14:paraId="10B0F16D"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0</w:t>
            </w:r>
          </w:p>
        </w:tc>
        <w:tc>
          <w:tcPr>
            <w:tcW w:w="553" w:type="dxa"/>
            <w:shd w:val="clear" w:color="auto" w:fill="C6EFCE"/>
            <w:noWrap/>
          </w:tcPr>
          <w:p w14:paraId="6F2AAE7F"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36</w:t>
            </w:r>
          </w:p>
        </w:tc>
        <w:tc>
          <w:tcPr>
            <w:tcW w:w="553" w:type="dxa"/>
            <w:shd w:val="clear" w:color="auto" w:fill="C6EFCE"/>
            <w:noWrap/>
          </w:tcPr>
          <w:p w14:paraId="53753E6A"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553" w:type="dxa"/>
            <w:shd w:val="clear" w:color="auto" w:fill="C6EFCE"/>
            <w:noWrap/>
          </w:tcPr>
          <w:p w14:paraId="53E84126"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2026</w:t>
            </w:r>
          </w:p>
        </w:tc>
        <w:tc>
          <w:tcPr>
            <w:tcW w:w="5648" w:type="dxa"/>
            <w:shd w:val="clear" w:color="auto" w:fill="C6EFCE"/>
            <w:noWrap/>
          </w:tcPr>
          <w:p w14:paraId="10182414" w14:textId="783A949A" w:rsidR="00D65CB4" w:rsidRPr="00BC4EE7" w:rsidRDefault="00572307">
            <w:pPr>
              <w:pStyle w:val="P68B1DB1-Normal12"/>
              <w:spacing w:after="0" w:line="240" w:lineRule="auto"/>
              <w:rPr>
                <w:rFonts w:cs="Times New Roman"/>
                <w:noProof/>
              </w:rPr>
            </w:pPr>
            <w:r w:rsidRPr="00BC4EE7">
              <w:rPr>
                <w:rFonts w:cs="Times New Roman"/>
                <w:noProof/>
              </w:rPr>
              <w:t>Legalább 36 000 000 EUR kifizetése az új generációs kvantumtechnológiákkal kapcsolatos K+F+I projektekre, beleértve a kvantumhardverek, szoftverek és kvantummedierszoftverek fejlesztésének, alternatív kockák és a kapcsolódó szükséges kísérleti gyártósorok fejlesztésének, a kvantumkommunikációnak és kriptográfiának, a kvantuminternet-technológiáknak, a metrológiának és a kvantumérzékelésnek a támogatását.</w:t>
            </w:r>
          </w:p>
        </w:tc>
      </w:tr>
    </w:tbl>
    <w:p w14:paraId="66F97877" w14:textId="77777777" w:rsidR="00D65CB4" w:rsidRPr="00BC4EE7" w:rsidRDefault="00D65CB4">
      <w:pPr>
        <w:spacing w:before="120" w:after="120" w:line="240" w:lineRule="auto"/>
        <w:jc w:val="both"/>
        <w:rPr>
          <w:rFonts w:ascii="Times New Roman" w:hAnsi="Times New Roman" w:cs="Times New Roman"/>
          <w:b/>
          <w:noProof/>
          <w:sz w:val="24"/>
          <w:u w:val="single"/>
        </w:rPr>
      </w:pPr>
    </w:p>
    <w:p w14:paraId="0B8F6066" w14:textId="77777777" w:rsidR="00D65CB4" w:rsidRPr="00BC4EE7" w:rsidRDefault="00D65CB4">
      <w:pPr>
        <w:spacing w:before="120" w:after="120" w:line="240" w:lineRule="auto"/>
        <w:ind w:left="709"/>
        <w:jc w:val="both"/>
        <w:rPr>
          <w:rFonts w:ascii="Times New Roman" w:hAnsi="Times New Roman" w:cs="Times New Roman"/>
          <w:noProof/>
          <w:sz w:val="24"/>
        </w:rPr>
        <w:sectPr w:rsidR="00D65CB4" w:rsidRPr="00BC4EE7" w:rsidSect="00B511EF">
          <w:headerReference w:type="even" r:id="rId351"/>
          <w:headerReference w:type="default" r:id="rId352"/>
          <w:footerReference w:type="even" r:id="rId353"/>
          <w:footerReference w:type="default" r:id="rId354"/>
          <w:headerReference w:type="first" r:id="rId355"/>
          <w:footerReference w:type="first" r:id="rId356"/>
          <w:pgSz w:w="16839" w:h="11907" w:orient="landscape"/>
          <w:pgMar w:top="1134" w:right="1134" w:bottom="1134" w:left="1134" w:header="567" w:footer="567" w:gutter="0"/>
          <w:cols w:space="720"/>
          <w:docGrid w:linePitch="360"/>
        </w:sectPr>
      </w:pPr>
    </w:p>
    <w:p w14:paraId="1671E380" w14:textId="77777777" w:rsidR="00D65CB4" w:rsidRPr="00BC4EE7" w:rsidRDefault="00572307">
      <w:pPr>
        <w:pStyle w:val="P68B1DB1-Heading12"/>
        <w:rPr>
          <w:rFonts w:cs="Times New Roman"/>
          <w:noProof/>
        </w:rPr>
      </w:pPr>
      <w:r w:rsidRPr="00BC4EE7">
        <w:rPr>
          <w:rFonts w:cs="Times New Roman"/>
          <w:noProof/>
        </w:rPr>
        <w:t xml:space="preserve">Q. 17. KOMPONENS: Tudomány, technológia és innováció </w:t>
      </w:r>
    </w:p>
    <w:p w14:paraId="2A31730D"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Spanyolország 2021 és 2027 közötti időszakra vonatkozó tudományos, technológiai és innovációs stratégiája a kutatás-fejlesztésbe és innovációba (K+F+I) történő beruházások jelentős növekedését vetíti előre Spanyolországban, amely 2027-ben elérte a GDP 2,12%-át. Ezzel összefüggésben a spanyol helyreállítási és rezilienciaépítési terv ezen elemének fő célja a spanyol tudományos, technológiai és innovációs </w:t>
      </w:r>
      <w:r w:rsidRPr="00BC4EE7">
        <w:rPr>
          <w:rFonts w:cs="Times New Roman"/>
          <w:noProof/>
          <w:shd w:val="clear" w:color="auto" w:fill="FFFFFF"/>
        </w:rPr>
        <w:t xml:space="preserve">rendszer javítása </w:t>
      </w:r>
      <w:r w:rsidRPr="00BC4EE7">
        <w:rPr>
          <w:rFonts w:cs="Times New Roman"/>
          <w:noProof/>
        </w:rPr>
        <w:t xml:space="preserve">az irányítás reformja, a szereplők közötti koordináció javítása, hatékonyságának fokozása és a K+F+I-be történő beruházások felgyorsítása révén, a következő elemek révén: </w:t>
      </w:r>
    </w:p>
    <w:p w14:paraId="4617937D" w14:textId="77777777" w:rsidR="00D65CB4" w:rsidRPr="00BC4EE7" w:rsidRDefault="00572307">
      <w:pPr>
        <w:pStyle w:val="P68B1DB1-Normal4"/>
        <w:numPr>
          <w:ilvl w:val="0"/>
          <w:numId w:val="792"/>
        </w:numPr>
        <w:spacing w:before="120" w:after="120" w:line="240" w:lineRule="auto"/>
        <w:jc w:val="both"/>
        <w:rPr>
          <w:rFonts w:cs="Times New Roman"/>
          <w:noProof/>
        </w:rPr>
      </w:pPr>
      <w:r w:rsidRPr="00BC4EE7">
        <w:rPr>
          <w:rFonts w:cs="Times New Roman"/>
          <w:noProof/>
        </w:rPr>
        <w:t xml:space="preserve">Egyértelmű és kiszámítható szabályozási keret kidolgozása, amely javítja az ágazat irányítását, növeli a K+F+I közpolitikák hatékonyságát, javítja a tudástranszfert és előmozdítja a K+F+I-be történő beruházásokat; </w:t>
      </w:r>
    </w:p>
    <w:p w14:paraId="1181ED1E" w14:textId="77777777" w:rsidR="00D65CB4" w:rsidRPr="00BC4EE7" w:rsidRDefault="00572307">
      <w:pPr>
        <w:pStyle w:val="P68B1DB1-Normal4"/>
        <w:numPr>
          <w:ilvl w:val="0"/>
          <w:numId w:val="792"/>
        </w:numPr>
        <w:spacing w:before="120" w:after="120" w:line="240" w:lineRule="auto"/>
        <w:jc w:val="both"/>
        <w:rPr>
          <w:rFonts w:cs="Times New Roman"/>
          <w:noProof/>
        </w:rPr>
      </w:pPr>
      <w:r w:rsidRPr="00BC4EE7">
        <w:rPr>
          <w:rFonts w:cs="Times New Roman"/>
          <w:noProof/>
        </w:rPr>
        <w:t xml:space="preserve">az infrastruktúrába, a felszerelésekbe és a humán tőkébe való beruházás; </w:t>
      </w:r>
    </w:p>
    <w:p w14:paraId="40724F0C" w14:textId="77777777" w:rsidR="00D65CB4" w:rsidRPr="00BC4EE7" w:rsidRDefault="00572307">
      <w:pPr>
        <w:pStyle w:val="P68B1DB1-Normal4"/>
        <w:numPr>
          <w:ilvl w:val="0"/>
          <w:numId w:val="792"/>
        </w:numPr>
        <w:spacing w:before="120" w:after="120" w:line="240" w:lineRule="auto"/>
        <w:jc w:val="both"/>
        <w:rPr>
          <w:rFonts w:cs="Times New Roman"/>
          <w:noProof/>
        </w:rPr>
      </w:pPr>
      <w:r w:rsidRPr="00BC4EE7">
        <w:rPr>
          <w:rFonts w:cs="Times New Roman"/>
          <w:noProof/>
        </w:rPr>
        <w:t xml:space="preserve">a tudástranszferbe, a regionális K+F+I-be, a nemzeti K+F+I projektekbe és a köz- és magánszféra közötti partnerségekbe való beruházás; és </w:t>
      </w:r>
    </w:p>
    <w:p w14:paraId="7C4F4D35" w14:textId="77777777" w:rsidR="00D65CB4" w:rsidRPr="00BC4EE7" w:rsidRDefault="00572307">
      <w:pPr>
        <w:pStyle w:val="P68B1DB1-Normal4"/>
        <w:numPr>
          <w:ilvl w:val="0"/>
          <w:numId w:val="792"/>
        </w:numPr>
        <w:spacing w:before="120" w:after="120" w:line="240" w:lineRule="auto"/>
        <w:jc w:val="both"/>
        <w:rPr>
          <w:rFonts w:cs="Times New Roman"/>
          <w:noProof/>
        </w:rPr>
      </w:pPr>
      <w:r w:rsidRPr="00BC4EE7">
        <w:rPr>
          <w:rFonts w:cs="Times New Roman"/>
          <w:noProof/>
        </w:rPr>
        <w:t xml:space="preserve">a K+F+I-be való beruházás az egészségügy, a környezetvédelem, az éghajlatváltozás és az energiaügy, a mikroelektronika és a félvezetők, a fenntartható gépjárműipar és a repüléstechnika területén. </w:t>
      </w:r>
    </w:p>
    <w:p w14:paraId="0951DFE5" w14:textId="50457BD3" w:rsidR="00D65CB4" w:rsidRPr="00BC4EE7" w:rsidRDefault="00572307">
      <w:pPr>
        <w:pStyle w:val="P68B1DB1-Normal4"/>
        <w:spacing w:before="120" w:after="0" w:line="240" w:lineRule="auto"/>
        <w:jc w:val="both"/>
        <w:rPr>
          <w:rFonts w:cs="Times New Roman"/>
          <w:noProof/>
        </w:rPr>
      </w:pPr>
      <w:r w:rsidRPr="00BC4EE7">
        <w:rPr>
          <w:rFonts w:cs="Times New Roman"/>
          <w:noProof/>
        </w:rPr>
        <w:t xml:space="preserve">Ez a komponens az innovációba és az energiahatékonyságba történő beruházások előmozdításáról, valamint a kutatást és innovációt támogató szakpolitikák eredményességének fokozásáról (2019. évi 3. országspecifikus ajánlás), a köz- és </w:t>
      </w:r>
      <w:r w:rsidRPr="00BC4EE7">
        <w:rPr>
          <w:rFonts w:cs="Times New Roman"/>
          <w:noProof/>
          <w:shd w:val="clear" w:color="auto" w:fill="FFFFFF"/>
        </w:rPr>
        <w:t xml:space="preserve">magánberuházások, valamint a kutatás és az innováció előmozdításáról ( </w:t>
      </w:r>
      <w:r w:rsidRPr="00BC4EE7">
        <w:rPr>
          <w:rFonts w:cs="Times New Roman"/>
          <w:noProof/>
        </w:rPr>
        <w:t xml:space="preserve">2020. évi 3. országspecifikus ajánlás), az </w:t>
      </w:r>
      <w:r w:rsidRPr="00BC4EE7">
        <w:rPr>
          <w:rFonts w:cs="Times New Roman"/>
          <w:noProof/>
          <w:shd w:val="clear" w:color="auto" w:fill="FFFFFF"/>
        </w:rPr>
        <w:t xml:space="preserve">összes kormányzati szint koordinációjának javításáról (2020. évi 4. országspecifikus </w:t>
      </w:r>
      <w:r w:rsidRPr="00BC4EE7">
        <w:rPr>
          <w:rFonts w:cs="Times New Roman"/>
          <w:noProof/>
        </w:rPr>
        <w:t>ajánlás), valamint a zöld és digitális átállásra, különösen a kutatás és az innováció előmozdítására irányuló beruházások összpontosításáról szóló országspecifikus ajánlásokkal foglalkozik (2021. évi 3. országspecifikus ajánlás).</w:t>
      </w:r>
    </w:p>
    <w:p w14:paraId="25070E90" w14:textId="77777777" w:rsidR="00D65CB4" w:rsidRPr="00BC4EE7" w:rsidRDefault="00572307">
      <w:pPr>
        <w:pStyle w:val="P68B1DB1-Normal4"/>
        <w:spacing w:before="120" w:after="0" w:line="240" w:lineRule="auto"/>
        <w:jc w:val="both"/>
        <w:rPr>
          <w:rFonts w:cs="Times New Roman"/>
          <w:noProof/>
        </w:rPr>
      </w:pPr>
      <w:r w:rsidRPr="00BC4EE7">
        <w:rPr>
          <w:rFonts w:cs="Times New Roman"/>
          <w:noProof/>
        </w:rPr>
        <w:t xml:space="preserve">A jelentős károkozás elkerülését célzó elvről szóló technikai iránymutatásnak (2021/C58/01) megfelelően a helyreállítási és rezilienciaépítési tervben meghatározott intézkedések leírását és a helyreállítási és rezilienciaépítési tervben meghatározott enyhítő lépéseket figyelembe véve ebben a komponensben várhatóan egyetlen intézkedés sem sérti jelentős mértékben az (EU) 2020/852 rendelet 17. cikke szerinti környezeti célkitűzéseket. </w:t>
      </w:r>
    </w:p>
    <w:p w14:paraId="1AC670E6" w14:textId="77777777" w:rsidR="00D65CB4" w:rsidRPr="00BC4EE7" w:rsidRDefault="00572307">
      <w:pPr>
        <w:spacing w:before="120" w:after="120" w:line="240" w:lineRule="auto"/>
        <w:ind w:left="709"/>
        <w:jc w:val="both"/>
        <w:rPr>
          <w:rFonts w:ascii="Times New Roman" w:hAnsi="Times New Roman" w:cs="Times New Roman"/>
          <w:b/>
          <w:i/>
          <w:noProof/>
          <w:sz w:val="24"/>
        </w:rPr>
      </w:pPr>
      <w:r w:rsidRPr="00BC4EE7">
        <w:rPr>
          <w:rFonts w:ascii="Times New Roman" w:hAnsi="Times New Roman" w:cs="Times New Roman"/>
          <w:b/>
          <w:noProof/>
          <w:sz w:val="24"/>
          <w:u w:val="single"/>
        </w:rPr>
        <w:t xml:space="preserve">Q.1.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Vissza nem térítendő pénzügyi támogatás – a reformok és beruházások ismertetése</w:t>
      </w:r>
    </w:p>
    <w:p w14:paraId="49E5DF14"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 xml:space="preserve">Reform (C17.R1): A tudományról, a technológiáról és az innovációról szóló jogszabály reformja </w:t>
      </w:r>
    </w:p>
    <w:p w14:paraId="12ABCC99"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Ezen intézkedés célja a tudományos, technológiai és innovációs ágazat szabályozási keretének megerősítése az ágazat irányításának és koordinációjának javítása, vonzó tudományos karrier kialakítása, valamint a kutatástól az alkalmazott termékek/szolgáltatások felé történő tudástranszfer javítása érdekében. Spanyolország aktualizálja különösen a tudományról, a technológiáról és az innovációról szóló 14/2011. sz. törvényt, javítva a tudományos, kutatási és innovációs politikák koordinációját, javítva a spanyol tudományos technológiai és innovációs rendszer irányítását és koordinációját, új tudományos karriert vezet be és fokozza a tudástranszfert. </w:t>
      </w:r>
    </w:p>
    <w:p w14:paraId="63D4C440"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Ez az intézkedés az alábbiakban ismertetett C17.I1., C17.I4. és C17.I5. pontban szereplő beruházásokhoz kapcsolódik.</w:t>
      </w:r>
    </w:p>
    <w:p w14:paraId="7479ADB4" w14:textId="77777777" w:rsidR="00D65CB4" w:rsidRPr="00BC4EE7" w:rsidRDefault="00572307">
      <w:pPr>
        <w:pStyle w:val="P68B1DB1-Normal4"/>
        <w:autoSpaceDE w:val="0"/>
        <w:autoSpaceDN w:val="0"/>
        <w:spacing w:before="40" w:after="40"/>
        <w:rPr>
          <w:rFonts w:cs="Times New Roman"/>
          <w:noProof/>
        </w:rPr>
      </w:pPr>
      <w:r w:rsidRPr="00BC4EE7">
        <w:rPr>
          <w:rFonts w:cs="Times New Roman"/>
          <w:noProof/>
        </w:rPr>
        <w:t xml:space="preserve">Az intézkedés végrehajtását 2022. június 30-ig be kell fejezni. </w:t>
      </w:r>
    </w:p>
    <w:p w14:paraId="7B09C627"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Reform (C17.R2): A 2021 és 2027 közötti időszakra vonatkozó</w:t>
      </w:r>
      <w:bookmarkStart w:id="53" w:name="_Hlk60056026"/>
      <w:r w:rsidRPr="00BC4EE7">
        <w:rPr>
          <w:rFonts w:cs="Times New Roman"/>
          <w:noProof/>
        </w:rPr>
        <w:t>spanyol tudományos, technológiai</w:t>
      </w:r>
      <w:bookmarkEnd w:id="53"/>
      <w:r w:rsidRPr="00BC4EE7">
        <w:rPr>
          <w:rFonts w:cs="Times New Roman"/>
          <w:noProof/>
        </w:rPr>
        <w:t xml:space="preserve"> és innovációs stratégia és a tudományos, technológiai és innovációs információs rendszer</w:t>
      </w:r>
      <w:r w:rsidRPr="00BC4EE7">
        <w:rPr>
          <w:rFonts w:cs="Times New Roman"/>
          <w:b/>
          <w:noProof/>
        </w:rPr>
        <w:t xml:space="preserve"> </w:t>
      </w:r>
      <w:r w:rsidRPr="00BC4EE7">
        <w:rPr>
          <w:rFonts w:cs="Times New Roman"/>
          <w:noProof/>
        </w:rPr>
        <w:t>fejlett fejlesztése</w:t>
      </w:r>
    </w:p>
    <w:p w14:paraId="4103B86F"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Az intézkedés magában foglalja a 2021 és 2027 közötti időszakra vonatkozó spanyol tudományos, technológiai és innovációs stratégia spanyol kormány általi elfogadását. A stratégia meghatározza az ágazat 2021 és 2027 közötti időszakra vonatkozó általános célkitűzéseit. A tudástranszfer fokozása érdekében a stratégia egyesítette a korábban különálló tudományos és technológiai stratégiákat, valamint az innovációs stratégiát. A stratégia átfogó keretet biztosít mind a nemzeti, mind a regionális K+F+I tervekhez. E célból Spanyolország az Európai Regionális Fejlesztési Alap (ERFA) keretében elfogadta a Spanyolország intelligens szakosodási stratégiájára vonatkozó stratégiát, amely biztosítja a soron következő regionális intelligens szakosodási stratégiák struktúráját. </w:t>
      </w:r>
    </w:p>
    <w:p w14:paraId="46C75450" w14:textId="19D52536"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stratégiát a Tudományos, Technológiai és Innovációs Politikai Tanács dolgozta ki, amelynek elnöke a Tudományos és Innovációs Minisztérium, valamint a kulcsfontosságú minisztériumok és régiók képviseletében. A stratégiáról konzultációt folytattak a legfontosabb érdekelt felekkel, többek között a magánszektorral, az állami kutatási szervezetekkel és a civil társadalommal. A stratégia nyomon követésére és értékelésére bizottságot hoztak létre az állam, a régiók, a gazdasági és társadalmi szereplők, a tudományos és innovatív közösség, valamint a civil társadalom képviseletével. </w:t>
      </w:r>
    </w:p>
    <w:p w14:paraId="67FA60AB"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stratégiának rendelkeznie kell az éves nyomonkövetési jelentésekről, a félidős értékelésről (2023 decemberéig) és a stratégia végső értékeléséről. Az értékelések a Spanyolországnak a kutatás és fejlesztés területén tett országspecifikus ajánlások teljesítése terén elért eredményekkel is foglalkoznak majd. Ezen túlmenően ez az intézkedés kifejezetten a tudományos, technológiai és innovációs információs rendszer fejlesztésére, valamint a spanyol tudományos, technológiai és innovációs stratégia nyomon követésére szolgáló adatgyűjtés és -elemzés javítására irányul.</w:t>
      </w:r>
    </w:p>
    <w:p w14:paraId="0B5B77A3" w14:textId="77777777" w:rsidR="00D65CB4" w:rsidRPr="00BC4EE7" w:rsidRDefault="00572307">
      <w:pPr>
        <w:pStyle w:val="P68B1DB1-Normal4"/>
        <w:autoSpaceDE w:val="0"/>
        <w:autoSpaceDN w:val="0"/>
        <w:spacing w:before="40" w:after="40"/>
        <w:rPr>
          <w:rFonts w:cs="Times New Roman"/>
          <w:noProof/>
        </w:rPr>
      </w:pPr>
      <w:r w:rsidRPr="00BC4EE7">
        <w:rPr>
          <w:rFonts w:cs="Times New Roman"/>
          <w:noProof/>
        </w:rPr>
        <w:t xml:space="preserve">Az intézkedés végrehajtását 2023. december 31-ig be kell fejezni. </w:t>
      </w:r>
    </w:p>
    <w:p w14:paraId="4F0950D3"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 xml:space="preserve">Reform (C17.R3): Az állami </w:t>
      </w:r>
      <w:bookmarkStart w:id="54" w:name="_Hlk60056040"/>
      <w:r w:rsidRPr="00BC4EE7">
        <w:rPr>
          <w:rFonts w:cs="Times New Roman"/>
          <w:noProof/>
        </w:rPr>
        <w:t xml:space="preserve">kutatási szervezetek átszervezése, valamint felépítésük és működésük </w:t>
      </w:r>
      <w:bookmarkEnd w:id="54"/>
      <w:r w:rsidRPr="00BC4EE7">
        <w:rPr>
          <w:rFonts w:cs="Times New Roman"/>
          <w:noProof/>
        </w:rPr>
        <w:t>észszerűsítése</w:t>
      </w:r>
    </w:p>
    <w:p w14:paraId="336E99BA"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Ezen intézkedés célja, hogy a kihívások elemzését követően növelje az állami kutatószervezetek (PRO) hatékonyságát a kutatószervezetek átszervezése révén, beleértve azok irányítási struktúráját is. 2021 elején egy szakértői bizottság elemezte a kutatószervezeteket, és arra a következtetésre jutott, hogy a nagyobb, független és rugalmas kutatási ügynökségek jobb struktúrákkal rendelkeznek a versenyhez. </w:t>
      </w:r>
    </w:p>
    <w:p w14:paraId="350C3DB4" w14:textId="21014EE7" w:rsidR="00D65CB4" w:rsidRPr="00BC4EE7" w:rsidRDefault="00572307">
      <w:pPr>
        <w:pStyle w:val="P68B1DB1-Normal4"/>
        <w:spacing w:before="120" w:after="120" w:line="240" w:lineRule="auto"/>
        <w:jc w:val="both"/>
        <w:rPr>
          <w:rFonts w:cs="Times New Roman"/>
          <w:noProof/>
        </w:rPr>
      </w:pPr>
      <w:r w:rsidRPr="00BC4EE7">
        <w:rPr>
          <w:rFonts w:cs="Times New Roman"/>
          <w:noProof/>
        </w:rPr>
        <w:t>Ezen elemzést követően Spanyolország a Spanyol Nemzeti Kutatási Tanácsba (</w:t>
      </w:r>
      <w:r w:rsidRPr="00BC4EE7">
        <w:rPr>
          <w:rFonts w:cs="Times New Roman"/>
          <w:i/>
          <w:noProof/>
        </w:rPr>
        <w:t>Centro Superior de Investigaciones Científicas</w:t>
      </w:r>
      <w:r w:rsidRPr="00BC4EE7">
        <w:rPr>
          <w:rFonts w:cs="Times New Roman"/>
          <w:noProof/>
        </w:rPr>
        <w:t>, CSIC) három PRO-t integrál: a Nemzeti Mezőgazdasági és Élelmiszerkutató Intézet (</w:t>
      </w:r>
      <w:r w:rsidRPr="00BC4EE7">
        <w:rPr>
          <w:rFonts w:cs="Times New Roman"/>
          <w:i/>
          <w:noProof/>
        </w:rPr>
        <w:t>Instituto Nacional de Investigación y Tecnología Agraria</w:t>
      </w:r>
      <w:r w:rsidRPr="00BC4EE7">
        <w:rPr>
          <w:rFonts w:cs="Times New Roman"/>
          <w:noProof/>
        </w:rPr>
        <w:t>, INIA), a Spanyol Oceanográfiai Intézet (</w:t>
      </w:r>
      <w:r w:rsidRPr="00BC4EE7">
        <w:rPr>
          <w:rFonts w:cs="Times New Roman"/>
          <w:i/>
          <w:noProof/>
        </w:rPr>
        <w:t>Instituto Español de Oceanografía</w:t>
      </w:r>
      <w:r w:rsidRPr="00BC4EE7">
        <w:rPr>
          <w:rFonts w:cs="Times New Roman"/>
          <w:noProof/>
        </w:rPr>
        <w:t>,</w:t>
      </w:r>
      <w:r w:rsidRPr="00BC4EE7">
        <w:rPr>
          <w:rFonts w:cs="Times New Roman"/>
          <w:noProof/>
          <w:shd w:val="clear" w:color="auto" w:fill="E6E6E6"/>
        </w:rPr>
        <w:t xml:space="preserve"> </w:t>
      </w:r>
      <w:r w:rsidRPr="00BC4EE7">
        <w:rPr>
          <w:rFonts w:cs="Times New Roman"/>
          <w:noProof/>
        </w:rPr>
        <w:t>IEO) és a spanyolországi Földtani és Bányászati Intézet (</w:t>
      </w:r>
      <w:r w:rsidRPr="00BC4EE7">
        <w:rPr>
          <w:rFonts w:cs="Times New Roman"/>
          <w:i/>
          <w:noProof/>
        </w:rPr>
        <w:t>Instituto Geológico Minero de España</w:t>
      </w:r>
      <w:r w:rsidRPr="00BC4EE7">
        <w:rPr>
          <w:rFonts w:cs="Times New Roman"/>
          <w:noProof/>
        </w:rPr>
        <w:t xml:space="preserve">, IGME). Ez az átszervezés megerősíti Spanyolország halászati szakpolitikáját, agrár-élelmiszeripari és ökológiai átállását. A három állami szervezet jogi rendszere egy állami ügynökség, amely nagyobb rugalmasságot és teljesítményalapú keretet biztosít, amelyet többéves üzemeltetési szerződés állapít meg. Spanyolország továbbá teljesítményalapú költségvetés-tervezést vezet be. A reformnak meg kell erősítenie a létrejövő szervezet irányítását, teljesítményértékelését és ellenőrzését. </w:t>
      </w:r>
    </w:p>
    <w:p w14:paraId="31A7E0A8" w14:textId="77777777" w:rsidR="00D65CB4" w:rsidRPr="00BC4EE7" w:rsidRDefault="00572307">
      <w:pPr>
        <w:pStyle w:val="P68B1DB1-Text118"/>
        <w:ind w:left="0"/>
        <w:rPr>
          <w:rFonts w:cs="Times New Roman"/>
          <w:noProof/>
        </w:rPr>
      </w:pPr>
      <w:r w:rsidRPr="00BC4EE7">
        <w:rPr>
          <w:rFonts w:cs="Times New Roman"/>
          <w:noProof/>
        </w:rPr>
        <w:t xml:space="preserve">Az intézkedés végrehajtását 2022. december 31-ig be kell fejezni. </w:t>
      </w:r>
    </w:p>
    <w:p w14:paraId="106264B3" w14:textId="16AD2061" w:rsidR="00D65CB4" w:rsidRPr="00BC4EE7" w:rsidRDefault="00572307">
      <w:pPr>
        <w:pStyle w:val="P68B1DB1-Normal5"/>
        <w:keepNext/>
        <w:spacing w:before="120" w:after="120" w:line="240" w:lineRule="auto"/>
        <w:jc w:val="both"/>
        <w:rPr>
          <w:rFonts w:cs="Times New Roman"/>
          <w:noProof/>
        </w:rPr>
      </w:pPr>
      <w:r w:rsidRPr="00BC4EE7">
        <w:rPr>
          <w:rFonts w:cs="Times New Roman"/>
          <w:noProof/>
        </w:rPr>
        <w:t>Beruházás (C17.I1): Kiegészítő kutatási és fejlesztési tervek az autonóm közösségekkel</w:t>
      </w:r>
    </w:p>
    <w:p w14:paraId="29BDEE70" w14:textId="0ABFE5C9" w:rsidR="00D65CB4" w:rsidRPr="00BC4EE7" w:rsidRDefault="00572307">
      <w:pPr>
        <w:pStyle w:val="P68B1DB1-Normal4"/>
        <w:keepNext/>
        <w:spacing w:before="120" w:after="120" w:line="240" w:lineRule="auto"/>
        <w:jc w:val="both"/>
        <w:rPr>
          <w:rFonts w:cs="Times New Roman"/>
          <w:noProof/>
        </w:rPr>
      </w:pPr>
      <w:r w:rsidRPr="00BC4EE7">
        <w:rPr>
          <w:rFonts w:cs="Times New Roman"/>
          <w:noProof/>
        </w:rPr>
        <w:t xml:space="preserve">Ezen intézkedés célja, hogy a Helyreállítási és Rezilienciaépítési Eszköz és a régiók által társfinanszírozandó kiegészítő K+F+I tervek kidolgozása révén előmozdítsa az állami szint és a K+F+I régiók közötti koordinációt. Ez az új eszköz előmozdítja a régiók közötti együttműködést is, mivel azok közös prioritásokat határoznak meg saját regionális intelligens szakosodási stratégiáik (RIS3) keretében. </w:t>
      </w:r>
    </w:p>
    <w:p w14:paraId="7670F622" w14:textId="4B3D0054" w:rsidR="00D65CB4" w:rsidRPr="00BC4EE7" w:rsidRDefault="00572307">
      <w:pPr>
        <w:pStyle w:val="P68B1DB1-Normal4"/>
        <w:spacing w:before="120" w:after="120" w:line="240" w:lineRule="auto"/>
        <w:jc w:val="both"/>
        <w:rPr>
          <w:rFonts w:cs="Times New Roman"/>
          <w:noProof/>
        </w:rPr>
      </w:pPr>
      <w:r w:rsidRPr="00BC4EE7">
        <w:rPr>
          <w:rFonts w:cs="Times New Roman"/>
          <w:noProof/>
        </w:rPr>
        <w:t>A 2021 és 2027 közötti időszakra vonatkozó spanyol tudományos, technológiai és innovációs stratégiával összhangban a kiegészítő terveknek javítaniuk kell a tudásteremtést és a technológiai innovációt, a különböző kormányzati szintek koordinációját, és elő kell mozdítaniuk a területi gazdasági átalakulást a következő stratégiai területeken: kvantumkommunikáció, energia és zöld hidrogén, agrár-élelmiszeripar, biológiai sokféleség, asztrofizika és nagyenergia-fizika, tengertudomány, anyagtudomány és biotechnológia az egészségügyben. A területi szinergiák kiépítése érdekében a kiegészítő tervek több régió részvételét irányozzák elő egy programban, több programban való részvétel lehetőségével. Így több tervbe be lehet építeni és ki lehet használni a konkrét regionális kapacitásokat. A tervek két vagy három évre szólnak, és társfinanszírozási kötelezettségvállalásokat igényelnek a régióktól.</w:t>
      </w:r>
    </w:p>
    <w:p w14:paraId="669F6013"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Az e beruházás keretében végrehajtott intézkedések közé tartozik a Tudományos és Innovációs Minisztérium és a régiók közötti nyolc pénzügyi megállapodás aláírása. </w:t>
      </w:r>
    </w:p>
    <w:p w14:paraId="0B359E22" w14:textId="77777777" w:rsidR="00D65CB4" w:rsidRPr="00BC4EE7" w:rsidRDefault="00572307">
      <w:pPr>
        <w:pStyle w:val="P68B1DB1-Text118"/>
        <w:ind w:left="0"/>
        <w:rPr>
          <w:rFonts w:cs="Times New Roman"/>
          <w:noProof/>
        </w:rPr>
      </w:pPr>
      <w:r w:rsidRPr="00BC4EE7">
        <w:rPr>
          <w:rFonts w:cs="Times New Roman"/>
          <w:noProof/>
        </w:rPr>
        <w:t xml:space="preserve">A beruházás végrehajtását 2025. december 31-ig be kell fejezni. </w:t>
      </w:r>
    </w:p>
    <w:p w14:paraId="2300410A"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 xml:space="preserve">Beruházás (C17.I2): Az állami tudományos, technológiai és innovációs rendszer kapacitásának, infrastruktúrájának és felszerelésének megerősítése </w:t>
      </w:r>
    </w:p>
    <w:p w14:paraId="5BCBE96F"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Ez a beruházás a K+F+I rendszer műszaki tudományos felszereléseinek és infrastruktúrájának biztosítására, fejlesztésére és frissítésére összpontosít a kiváló kutatás elősegítése és a rendszer versenyképességének javítása érdekében. </w:t>
      </w:r>
    </w:p>
    <w:p w14:paraId="38C72822"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Ez a beruházás pályázati felhívások révén támogatja a tudományos, technológiai és innovációs ágazat infrastruktúráját és felszerelését. A beruházásnak finanszíroznia kell továbbá a helyreállítást, a frissítést vagy az új stratégiai nemzeti infrastruktúrát, például a következőket: a fertőző kórokozók jelentette új kihívások kezelésére szolgáló 3. szintű létesítményi infrastruktúra, egy új fitogenetikai üzem építése, új Fejlett Optic Központ létrehozása, valamint a </w:t>
      </w:r>
      <w:r w:rsidRPr="00BC4EE7">
        <w:rPr>
          <w:rFonts w:cs="Times New Roman"/>
          <w:i/>
          <w:noProof/>
        </w:rPr>
        <w:t>Centro de Investigaciones Energéticas, Medioambientales y Tecnológicas (</w:t>
      </w:r>
      <w:r w:rsidRPr="00BC4EE7">
        <w:rPr>
          <w:rFonts w:cs="Times New Roman"/>
          <w:noProof/>
        </w:rPr>
        <w:t xml:space="preserve"> CIEMAT) infrastruktúrájának korszerűsítése a megújuló energiával kapcsolatos kutatások elvégzéséhez szükséges infrastruktúrával. Az e beruházás keretében támogatandó egyedi intézkedések közé tartoznak a spanyolországi székhelyű nagy tudományos infrastruktúrák, különösen az „Egyedi tudományos és műszaki infrastruktúrák térképe” (ICTS) (</w:t>
      </w:r>
      <w:r w:rsidRPr="00BC4EE7">
        <w:rPr>
          <w:rFonts w:cs="Times New Roman"/>
          <w:i/>
          <w:noProof/>
        </w:rPr>
        <w:t>Mapa de Infraestructuras Científicas y Técnicas Singulares</w:t>
      </w:r>
      <w:r w:rsidRPr="00BC4EE7">
        <w:rPr>
          <w:rFonts w:cs="Times New Roman"/>
          <w:noProof/>
        </w:rPr>
        <w:t xml:space="preserve">) című dokumentumban foglaltak. Ezenkívül a beruházásnak támogatnia kell az olyan európai és nemzetközi infrastruktúrákat, mint többek között a CERN és a mélyföld alatti Neutrino-kísérletek. </w:t>
      </w:r>
    </w:p>
    <w:p w14:paraId="4B5B6DE7"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Emellett a beruházás számos támogatási felhívást tartalmaz a spanyol K+F+I rendszer nemzetköziesítési kapacitásának növelése érdekében, beleértve a következőket: felhívás európai projektmenedzsmentre, felhívás az Európa-kutatás 2020-ra, felhívás Európa kiválóságára, 2020, 2022 és 2023 A beruházás a K+F irányításának digitalizálását is előirányozza. </w:t>
      </w:r>
    </w:p>
    <w:p w14:paraId="0D9410AF" w14:textId="4E6478F4"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 Az e beruházás keretében megvalósuló cselekvésekre pályázati felhívások és közvetlen közberuházások útján kerül sor. </w:t>
      </w:r>
    </w:p>
    <w:p w14:paraId="0450D448" w14:textId="650D5B3C"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Emellett a helyreállításra </w:t>
      </w:r>
      <w:r w:rsidRPr="00BC4EE7">
        <w:rPr>
          <w:rFonts w:cs="Times New Roman"/>
          <w:i/>
          <w:noProof/>
        </w:rPr>
        <w:t>és gazdasági átalakulásra irányuló stratégiai projekt (PERTE Chip</w:t>
      </w:r>
      <w:r w:rsidRPr="00BC4EE7">
        <w:rPr>
          <w:rFonts w:cs="Times New Roman"/>
          <w:noProof/>
        </w:rPr>
        <w:t xml:space="preserve">) keretében a beruházásoknak támogatniuk kell a félvezető- és mikroelektronikai ágazat értékláncában megvalósuló kutatásfejlesztési és innovációs projekteket. Különösen a tiszta szobák építésére, a terület növelésére, a meglévő infrastruktúra és berendezések megerősítésére (a CSIC Nemzeti Mikroelektronikai Központja és az egyedi tudományos és műszaki infrastruktúra (ICTS) megosztott MICRONANOFABS), valamint a szuper-számítástechnika területén a félvezetőkkel kapcsolatos kapacitások megerősítését célzó intézkedésekre (Mare Nostrum 5, a szuperszámítógépek spanyol hálózata (RES) és a Nemzeti Kommunikációs Hálózat az oktatásért és kutatásért (RedIRIS), valamint Spanyolország hozzájárulása a RISC-V-n alapuló ökoszisztémával történő nagy teljesítményű számítástechnikára irányuló nagyszabású európai kezdeményezés kidolgozására irányuló partnerségi keretmegállapodás közös vállalkozásához. </w:t>
      </w:r>
    </w:p>
    <w:p w14:paraId="2BC2CF30" w14:textId="39A6DA18" w:rsidR="00D65CB4" w:rsidRPr="00BC4EE7" w:rsidRDefault="00572307">
      <w:pPr>
        <w:pStyle w:val="P68B1DB1-Text118"/>
        <w:ind w:left="0"/>
        <w:rPr>
          <w:rFonts w:cs="Times New Roman"/>
          <w:noProof/>
        </w:rPr>
      </w:pPr>
      <w:r w:rsidRPr="00BC4EE7">
        <w:rPr>
          <w:rFonts w:cs="Times New Roman"/>
          <w:noProof/>
        </w:rPr>
        <w:t xml:space="preserve">A beruházás végrehajtását 2026. </w:t>
      </w:r>
      <w:r w:rsidRPr="00BC4EE7">
        <w:rPr>
          <w:rFonts w:cs="Times New Roman"/>
          <w:noProof/>
          <w:shd w:val="clear" w:color="auto" w:fill="FFFFFF" w:themeFill="background1"/>
        </w:rPr>
        <w:t>augusztus</w:t>
      </w:r>
      <w:r w:rsidRPr="00BC4EE7">
        <w:rPr>
          <w:rFonts w:cs="Times New Roman"/>
          <w:noProof/>
        </w:rPr>
        <w:t xml:space="preserve"> 31-ig be kell fejezni.</w:t>
      </w:r>
      <w:r w:rsidRPr="00BC4EE7">
        <w:rPr>
          <w:rFonts w:cs="Times New Roman"/>
          <w:noProof/>
          <w:shd w:val="clear" w:color="auto" w:fill="E6E6E6"/>
        </w:rPr>
        <w:t xml:space="preserve"> </w:t>
      </w:r>
    </w:p>
    <w:p w14:paraId="6B9333B6"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(C17.I3): Új magán-, interdiszciplináris, állami K+F+I projektek, koncepciótesztek és támogatások odaítélése nemzetközi versenypályázatok eredményeként. A társadalmi kihívásokhoz igazodó, élvonalbeli K+F. Kereskedelmi hasznosítást megelőző közbeszerzés:</w:t>
      </w:r>
    </w:p>
    <w:p w14:paraId="0933ADB4" w14:textId="4A3CB5EE"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Az e beruházás keretében megvalósuló tevékenységek célja a tudásteremtés, a tudástranszfer és a köz- és magánszféra közötti partnerségek megerősítése a K+F+I területén. E beruházás keretében megvalósuló tevékenységek révén fokozni kell a magánszektor kutatási és innovációs tevékenységét, és meg kell erősíteni az állami kutatási szervezetek és a magánszektor közötti együttműködést. Az intézkedés célja továbbá a K+F+I tevékenység fokozása olyan stratégiai területeken, mint a zöld és digitális átállás, valamint a spanyol kutatócsoportok nemzetközivé válásának fokozása. </w:t>
      </w:r>
    </w:p>
    <w:p w14:paraId="1E9B8B1D" w14:textId="0DF6FB71"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 beruházás keretében kilenc pályázati felhívást irányoztak elő: </w:t>
      </w:r>
      <w:r w:rsidRPr="00BC4EE7">
        <w:rPr>
          <w:rFonts w:cs="Times New Roman"/>
          <w:i/>
          <w:noProof/>
        </w:rPr>
        <w:t>A koncepcióigazolási</w:t>
      </w:r>
      <w:r w:rsidRPr="00BC4EE7">
        <w:rPr>
          <w:rFonts w:cs="Times New Roman"/>
          <w:noProof/>
        </w:rPr>
        <w:t xml:space="preserve"> felhívásnak a tudományos ismeretek termékekké vagy szolgáltatásokká történő átalakításának felgyorsítása érdekében a verseny előtti fejlesztés korai szakaszában lévő projekteket kell finanszíroznia, 2) az </w:t>
      </w:r>
      <w:r w:rsidRPr="00BC4EE7">
        <w:rPr>
          <w:rFonts w:cs="Times New Roman"/>
          <w:i/>
          <w:noProof/>
        </w:rPr>
        <w:t>interdiszciplináris projektekre vonatkozó felhívásban olyan köz-magán konzorciumok projektjeit kell</w:t>
      </w:r>
      <w:r w:rsidRPr="00BC4EE7">
        <w:rPr>
          <w:rFonts w:cs="Times New Roman"/>
          <w:noProof/>
        </w:rPr>
        <w:t xml:space="preserve"> finanszírozni, amelyek fokozzák Spanyolország K+F+I versenyképességét, 3) felhívás a zöld és digitális átálláshoz kapcsolódó K </w:t>
      </w:r>
      <w:r w:rsidRPr="00BC4EE7">
        <w:rPr>
          <w:rFonts w:cs="Times New Roman"/>
          <w:i/>
          <w:noProof/>
        </w:rPr>
        <w:t>+F+I projektekre</w:t>
      </w:r>
      <w:r w:rsidRPr="00BC4EE7">
        <w:rPr>
          <w:rFonts w:cs="Times New Roman"/>
          <w:noProof/>
        </w:rPr>
        <w:t xml:space="preserve">, 4) felhívás köz- és </w:t>
      </w:r>
      <w:r w:rsidRPr="00BC4EE7">
        <w:rPr>
          <w:rFonts w:cs="Times New Roman"/>
          <w:i/>
          <w:noProof/>
        </w:rPr>
        <w:t>magánszféra közötti együttműködési projektekre a piacközeli eredmények elérését célzó, magasabb technológiai felkészültségi szintű projektek finanszírozása</w:t>
      </w:r>
      <w:r w:rsidRPr="00BC4EE7">
        <w:rPr>
          <w:rFonts w:cs="Times New Roman"/>
          <w:noProof/>
        </w:rPr>
        <w:t xml:space="preserve"> érdekében, felhívás </w:t>
      </w:r>
      <w:r w:rsidRPr="00BC4EE7">
        <w:rPr>
          <w:rFonts w:cs="Times New Roman"/>
          <w:i/>
          <w:noProof/>
        </w:rPr>
        <w:t>nemzetközi együttműködési projektekre a „Horizont 2020” keretprogram és a Horizont Európa partnerségei által finanszírozásra kiválasztott projektek részét képező spanyol állami kutatók projektjeinek finanszírozására</w:t>
      </w:r>
      <w:r w:rsidRPr="00BC4EE7">
        <w:rPr>
          <w:rFonts w:cs="Times New Roman"/>
          <w:noProof/>
        </w:rPr>
        <w:t xml:space="preserve">, 6) K+F pályázati felhívás a társadalmi kihívások – többek között a biztonságos, hatékony és tiszta energia vagy a kiberbiztonság – kezelésére, 7) felhívás kereskedelmi hasznosítást megelőző közbeszerzés finanszírozására „ </w:t>
      </w:r>
      <w:r w:rsidRPr="00BC4EE7">
        <w:rPr>
          <w:rFonts w:cs="Times New Roman"/>
          <w:i/>
          <w:noProof/>
        </w:rPr>
        <w:t>Szövetség az Innovációs Szövetségért” címmel, 8</w:t>
      </w:r>
      <w:r w:rsidRPr="00BC4EE7">
        <w:rPr>
          <w:rFonts w:cs="Times New Roman"/>
          <w:noProof/>
        </w:rPr>
        <w:t>) K+F+I projektekre irányuló felhívás a félvezetők területén („Missions for Science and Innovation for Science and Innovation linked to the PERTE Chip”), valamint 9) a félvezetők területére vonatkozó koncepcióigazolási felhívás.</w:t>
      </w:r>
    </w:p>
    <w:p w14:paraId="50349E44" w14:textId="4E3B3581"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Az ezen intézkedés szerinti beruházásokra a 2020–2026-os időszakban kerül sor, a pályázati felhívásoknak és a kereskedelmi hasznosítást megelőző közbeszerzésnek a 2020–2025-ös időszakra kell összpontosulniuk, és az összetettebb beruházások egy részét 2026-ig kell végrehajtani.   </w:t>
      </w:r>
    </w:p>
    <w:p w14:paraId="0DA88287" w14:textId="161C4647" w:rsidR="00D65CB4" w:rsidRPr="00BC4EE7" w:rsidRDefault="00572307">
      <w:pPr>
        <w:pStyle w:val="Text1"/>
        <w:ind w:left="0"/>
        <w:rPr>
          <w:rFonts w:ascii="Times New Roman" w:hAnsi="Times New Roman" w:cs="Times New Roman"/>
          <w:noProof/>
        </w:rPr>
      </w:pPr>
      <w:r w:rsidRPr="00BC4EE7">
        <w:rPr>
          <w:rFonts w:ascii="Times New Roman" w:hAnsi="Times New Roman" w:cs="Times New Roman"/>
          <w:noProof/>
        </w:rPr>
        <w:t>Annak biztosítása érdekében, hogy az intézkedés megfeleljen a jelentős károkozás elkerülését célzó elvről szóló technikai iránymutatásnak (2021/C58/01), a soron következő pályázati felhívásokra vonatkozó feladatmeghatározásban szereplő támogathatósági kritériumok nem tartalmazzák a tevékenységek alábbi listáját: a fosszilis tüzelőanyagokkal kapcsolatos tevékenységek, beleértve a továbbfelhasználást is</w:t>
      </w:r>
      <w:r w:rsidRPr="00BC4EE7">
        <w:rPr>
          <w:rStyle w:val="FootnoteReference"/>
          <w:rFonts w:ascii="Times New Roman" w:hAnsi="Times New Roman" w:cs="Times New Roman"/>
          <w:noProof/>
        </w:rPr>
        <w:footnoteReference w:id="161"/>
      </w:r>
      <w:r w:rsidRPr="00BC4EE7">
        <w:rPr>
          <w:rFonts w:ascii="Times New Roman" w:hAnsi="Times New Roman" w:cs="Times New Roman"/>
          <w:noProof/>
        </w:rPr>
        <w:t>; ii. az uniós kibocsátáskereskedelmi rendszer (ETS) keretében végzett tevékenységek, amelyek elérik a vonatkozó referenciaértékeket meg nem haladó, előre jelzett üvegházhatásúgáz-kibocsátást</w:t>
      </w:r>
      <w:r w:rsidRPr="00BC4EE7">
        <w:rPr>
          <w:rStyle w:val="FootnoteReference"/>
          <w:rFonts w:ascii="Times New Roman" w:hAnsi="Times New Roman" w:cs="Times New Roman"/>
          <w:noProof/>
        </w:rPr>
        <w:footnoteReference w:id="162"/>
      </w:r>
      <w:r w:rsidRPr="00BC4EE7">
        <w:rPr>
          <w:rFonts w:ascii="Times New Roman" w:hAnsi="Times New Roman" w:cs="Times New Roman"/>
          <w:noProof/>
        </w:rPr>
        <w:t>; hulladéklerakókkal, hulladékégetőkkel</w:t>
      </w:r>
      <w:r w:rsidRPr="00BC4EE7">
        <w:rPr>
          <w:rStyle w:val="FootnoteReference"/>
          <w:rFonts w:ascii="Times New Roman" w:hAnsi="Times New Roman" w:cs="Times New Roman"/>
          <w:noProof/>
        </w:rPr>
        <w:footnoteReference w:id="163"/>
      </w:r>
      <w:r w:rsidRPr="00BC4EE7">
        <w:rPr>
          <w:rFonts w:ascii="Times New Roman" w:hAnsi="Times New Roman" w:cs="Times New Roman"/>
          <w:noProof/>
        </w:rPr>
        <w:t xml:space="preserve"> és mechanikai-biológiai hulladékkezelő létesítményekkel kapcsolatos tevékenységek</w:t>
      </w:r>
      <w:r w:rsidRPr="00BC4EE7">
        <w:rPr>
          <w:rStyle w:val="FootnoteReference"/>
          <w:rFonts w:ascii="Times New Roman" w:hAnsi="Times New Roman" w:cs="Times New Roman"/>
          <w:noProof/>
        </w:rPr>
        <w:footnoteReference w:id="164"/>
      </w:r>
      <w:r w:rsidRPr="00BC4EE7">
        <w:rPr>
          <w:rFonts w:ascii="Times New Roman" w:hAnsi="Times New Roman" w:cs="Times New Roman"/>
          <w:noProof/>
        </w:rPr>
        <w:t>; valamint iv. azok a tevékenységek, amelyek esetében a hulladék hosszú távú ártalmatlanítása károsíthatja a környezetet. A feladatmeghatározás előírja továbbá, hogy csak olyan tevékenységek választhatók ki, amelyek megfelelnek a vonatkozó uniós és nemzeti környezetvédelmi jogszabályoknak.</w:t>
      </w:r>
    </w:p>
    <w:p w14:paraId="14A43722"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Az e beruházás keretében végrehajtott következő K+F+I tevékenységeket úgy kell tekinteni, hogy megfelelnek a jelentős károkozás elkerülését célzó technikai iránymutatásnak (2021/C58/01): i. az e beruházás keretében megvalósuló K+F+I tevékenységek, amelyek alkalmazásuk szintjén technológiailag semleges eredményekhez vezetnek; ii. az e beruházás keretében megvalósuló K+F+I tevékenységek, amelyek olyan, alacsony környezeti hatással járó alternatívákat támogatnak, amelyek esetében léteznek ilyenek; vagy iii. az e beruházás keretében megvalósuló azon K+F+I tevékenységek, amelyek elsősorban az ágazatban a lehető legkisebb környezeti hatással járó alternatívák kifejlesztésére összpontosítanak azon tevékenységek esetében, amelyek esetében nincs technológiai és gazdasági szempontból megvalósítható, alacsony hatású alternatíva.</w:t>
      </w:r>
    </w:p>
    <w:p w14:paraId="7AE3CEC4" w14:textId="50808402" w:rsidR="00D65CB4" w:rsidRPr="00BC4EE7" w:rsidRDefault="00572307">
      <w:pPr>
        <w:pStyle w:val="P68B1DB1-Normal4"/>
        <w:autoSpaceDE w:val="0"/>
        <w:autoSpaceDN w:val="0"/>
        <w:spacing w:before="40" w:after="40"/>
        <w:rPr>
          <w:rFonts w:cs="Times New Roman"/>
          <w:noProof/>
        </w:rPr>
      </w:pPr>
      <w:r w:rsidRPr="00BC4EE7">
        <w:rPr>
          <w:rFonts w:cs="Times New Roman"/>
          <w:noProof/>
        </w:rPr>
        <w:t xml:space="preserve">A beruházás végrehajtását 2026. </w:t>
      </w:r>
      <w:r w:rsidRPr="00BC4EE7">
        <w:rPr>
          <w:rFonts w:cs="Times New Roman"/>
          <w:noProof/>
          <w:shd w:val="clear" w:color="auto" w:fill="FFFFFF" w:themeFill="background1"/>
        </w:rPr>
        <w:t>augusztus 31</w:t>
      </w:r>
      <w:r w:rsidRPr="00BC4EE7">
        <w:rPr>
          <w:rFonts w:cs="Times New Roman"/>
          <w:noProof/>
        </w:rPr>
        <w:t xml:space="preserve"> -ig be kell fejezni. </w:t>
      </w:r>
    </w:p>
    <w:p w14:paraId="108036FB" w14:textId="608E2A3D" w:rsidR="00D65CB4" w:rsidRPr="00BC4EE7" w:rsidRDefault="00572307">
      <w:pPr>
        <w:pStyle w:val="P68B1DB1-Normal5"/>
        <w:keepNext/>
        <w:spacing w:before="120" w:after="120" w:line="240" w:lineRule="auto"/>
        <w:jc w:val="both"/>
        <w:rPr>
          <w:rFonts w:cs="Times New Roman"/>
          <w:noProof/>
        </w:rPr>
      </w:pPr>
      <w:r w:rsidRPr="00BC4EE7">
        <w:rPr>
          <w:rFonts w:cs="Times New Roman"/>
          <w:noProof/>
        </w:rPr>
        <w:t>Beruházás (C17.I4): Új tudományos karrier</w:t>
      </w:r>
    </w:p>
    <w:p w14:paraId="21CA05BD" w14:textId="7BA824F6"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 beruházás célja a stabil tudományos karrier előmozdítása. Kapcsolódik a C17.R1. sz. ügyhöz. Az aktualizált tudományos törvény új tudományos karriert foglal magában Spanyolországban, amely keretet biztosít a kutatók valamennyi munkatársa számára, beleértve az egyetemi személyzetet is. A rendszernek biztosítania kell a személyzet kinevezésének átláthatóságát, a kutatói életpálya rugalmasságát, mobilitását és stabilitását. </w:t>
      </w:r>
    </w:p>
    <w:p w14:paraId="7C621AE3" w14:textId="55C0CAF6" w:rsidR="00D65CB4" w:rsidRPr="00BC4EE7" w:rsidRDefault="00572307">
      <w:pPr>
        <w:pStyle w:val="P68B1DB1-Text118"/>
        <w:ind w:left="0"/>
        <w:rPr>
          <w:rFonts w:cs="Times New Roman"/>
          <w:noProof/>
        </w:rPr>
      </w:pPr>
      <w:r w:rsidRPr="00BC4EE7">
        <w:rPr>
          <w:rFonts w:cs="Times New Roman"/>
          <w:noProof/>
        </w:rPr>
        <w:t xml:space="preserve">A támogatás vissza nem térítendő támogatás formáját ölti, amelyet versenypályázati felhívások útján kell odaítélni a következő programokban: 1) </w:t>
      </w:r>
      <w:r w:rsidRPr="00BC4EE7">
        <w:rPr>
          <w:rFonts w:cs="Times New Roman"/>
          <w:i/>
          <w:noProof/>
        </w:rPr>
        <w:t>Doctores Industriales</w:t>
      </w:r>
      <w:r w:rsidRPr="00BC4EE7">
        <w:rPr>
          <w:rFonts w:cs="Times New Roman"/>
          <w:noProof/>
        </w:rPr>
        <w:t xml:space="preserve"> ösztöndíj, négyéves program doktori hallgatók számára (50 férőhely), 2) </w:t>
      </w:r>
      <w:r w:rsidRPr="00BC4EE7">
        <w:rPr>
          <w:rFonts w:cs="Times New Roman"/>
          <w:i/>
          <w:noProof/>
        </w:rPr>
        <w:t>Torres Quevedo</w:t>
      </w:r>
      <w:r w:rsidRPr="00BC4EE7">
        <w:rPr>
          <w:rFonts w:cs="Times New Roman"/>
          <w:noProof/>
        </w:rPr>
        <w:t xml:space="preserve"> ösztöndíj, hároméves program a doktori kutatók számára (170 férőhely), 3) </w:t>
      </w:r>
      <w:r w:rsidRPr="00BC4EE7">
        <w:rPr>
          <w:rFonts w:cs="Times New Roman"/>
          <w:i/>
          <w:noProof/>
        </w:rPr>
        <w:t>Juan de la Cierva képzési</w:t>
      </w:r>
      <w:r w:rsidRPr="00BC4EE7">
        <w:rPr>
          <w:rFonts w:cs="Times New Roman"/>
          <w:noProof/>
        </w:rPr>
        <w:t xml:space="preserve"> ösztöndíj, kétéves program felsőoktatási intézmények doktori képzéséhez, mobilitási ösztöndíj (1,200 férőhely) és 4) </w:t>
      </w:r>
      <w:r w:rsidRPr="00BC4EE7">
        <w:rPr>
          <w:rFonts w:cs="Times New Roman"/>
          <w:i/>
          <w:noProof/>
        </w:rPr>
        <w:t>Juan de la Cierva Incorporation</w:t>
      </w:r>
      <w:r w:rsidRPr="00BC4EE7">
        <w:rPr>
          <w:rFonts w:cs="Times New Roman"/>
          <w:noProof/>
        </w:rPr>
        <w:t xml:space="preserve"> ösztöndíj, hároméves PhD-program felsőoktatási intézményekben, kutatási ösztöndíj (650 férőhely). Ez az intézkedés magában foglal egy 750 kutatónak szóló induló csomagot is, akik tudományos intézményekben vagy állami kutatószervezetekben stabil szerződéssel rendelkeznek, valamint egy 25 mikroelektronika és félvezetők területén tevékenykedő 25 kutató számára. Az e beruházás keretében megvalósuló cselekvésekre versenypályázati felhívások útján kerül sor. </w:t>
      </w:r>
    </w:p>
    <w:p w14:paraId="5AAE6B5A" w14:textId="3F18F111" w:rsidR="00D65CB4" w:rsidRPr="00BC4EE7" w:rsidRDefault="00572307">
      <w:pPr>
        <w:pStyle w:val="P68B1DB1-Text118"/>
        <w:ind w:left="0"/>
        <w:rPr>
          <w:rFonts w:cs="Times New Roman"/>
          <w:noProof/>
        </w:rPr>
      </w:pPr>
      <w:r w:rsidRPr="00BC4EE7">
        <w:rPr>
          <w:rFonts w:cs="Times New Roman"/>
          <w:noProof/>
        </w:rPr>
        <w:t xml:space="preserve">A beruházás végrehajtását 2026. </w:t>
      </w:r>
      <w:r w:rsidRPr="00BC4EE7">
        <w:rPr>
          <w:rFonts w:cs="Times New Roman"/>
          <w:noProof/>
          <w:shd w:val="clear" w:color="auto" w:fill="FFFFFF" w:themeFill="background1"/>
        </w:rPr>
        <w:t>augusztus 31</w:t>
      </w:r>
      <w:r w:rsidRPr="00BC4EE7">
        <w:rPr>
          <w:rFonts w:cs="Times New Roman"/>
          <w:noProof/>
        </w:rPr>
        <w:t xml:space="preserve"> -ig be kell fejezni.</w:t>
      </w:r>
      <w:r w:rsidRPr="00BC4EE7">
        <w:rPr>
          <w:rFonts w:cs="Times New Roman"/>
          <w:noProof/>
          <w:shd w:val="clear" w:color="auto" w:fill="E6E6E6"/>
        </w:rPr>
        <w:t xml:space="preserve"> </w:t>
      </w:r>
    </w:p>
    <w:p w14:paraId="70594352"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(C17.I5): Tudástranszfer</w:t>
      </w:r>
    </w:p>
    <w:p w14:paraId="2B7882A6"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 beruházás célja a technológiatranszfer előmozdítása és az innovatív technológiákkal kapcsolatos kutatási eredmények átadásának támogatása. Ez a beruházás a C17.R1 reformhoz kapcsolódik; az aktualizált tudományos törvény támogatja a tudástranszfert azáltal, hogy ösztönzi a kutatói mobilitást, rugalmas jogi eszközt hoz létre az induló technológiai vállalkozásokba történő társbefektetéshez, és átalakítja az ösztönző struktúrát annak érdekében, hogy a tudástranszfert a hagyományos kutatási tevékenységgel együtt megfelelően elismerjék a kutató díjazásában. </w:t>
      </w:r>
    </w:p>
    <w:p w14:paraId="4938D679"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Ez az intézkedés hat konkrét intézkedést tartalmaz a tudástranszfer fokozására: Az „Innovációs ökoszisztémák a cerverai kiválósági </w:t>
      </w:r>
      <w:r w:rsidRPr="00BC4EE7">
        <w:rPr>
          <w:rFonts w:cs="Times New Roman"/>
          <w:i/>
          <w:noProof/>
        </w:rPr>
        <w:t>hálózatok</w:t>
      </w:r>
      <w:r w:rsidRPr="00BC4EE7">
        <w:rPr>
          <w:rFonts w:cs="Times New Roman"/>
          <w:noProof/>
        </w:rPr>
        <w:t xml:space="preserve"> alapján”, 2) a kutatási eredmények átadásával foglalkozó irodák kapacitásainak és orientációjának javítása, 3) a technológiai központoknak, kutatóközpontoknak, kkv-knak és közepes piaci tőkeértékű vállalatoknak nyújtott </w:t>
      </w:r>
      <w:r w:rsidRPr="00BC4EE7">
        <w:rPr>
          <w:rFonts w:cs="Times New Roman"/>
          <w:i/>
          <w:noProof/>
        </w:rPr>
        <w:t>Cervera</w:t>
      </w:r>
      <w:r w:rsidRPr="00BC4EE7">
        <w:rPr>
          <w:rFonts w:cs="Times New Roman"/>
          <w:noProof/>
        </w:rPr>
        <w:t xml:space="preserve"> -támogatások kiemelt technológiákkal kapcsolatos kutatás-fejlesztésre irányuló felhívás, 4) felhívás a spanyol kkv-k európai kiválósági pecséttel történő támogatására, 5) kockázati tőketámogatás a stratégiai technológiákkal rendelkező vállalatokba egy technológiatranszfer-alapon keresztül történő társbefektetéshez és befektetéshez, valamint 6) a NEOTEC – egy folyamatban lévő K+F keretprogram – támogatása a technológiaalapú vállalatok létrehozásának és konszolidációjának támogatására. </w:t>
      </w:r>
    </w:p>
    <w:p w14:paraId="2488B454"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Az e beruházás keretében megvalósuló cselekvésekre főként pályázati felhívások útján kerül sor.  </w:t>
      </w:r>
    </w:p>
    <w:p w14:paraId="2B7AC239" w14:textId="4035D0BE" w:rsidR="00D65CB4" w:rsidRPr="00BC4EE7" w:rsidRDefault="00572307">
      <w:pPr>
        <w:pStyle w:val="Text1"/>
        <w:ind w:left="0"/>
        <w:rPr>
          <w:rFonts w:ascii="Times New Roman" w:hAnsi="Times New Roman" w:cs="Times New Roman"/>
          <w:noProof/>
          <w:highlight w:val="green"/>
        </w:rPr>
      </w:pPr>
      <w:r w:rsidRPr="00BC4EE7">
        <w:rPr>
          <w:rFonts w:ascii="Times New Roman" w:hAnsi="Times New Roman" w:cs="Times New Roman"/>
          <w:noProof/>
        </w:rPr>
        <w:t>Annak biztosítása érdekében, hogy az intézkedés megfeleljen a jelentős károkozás elkerülését célzó elvről szóló technikai iránymutatásnak (2021/C58/01), a soron következő pályázati felhívásokra vonatkozó feladatmeghatározásban szereplő támogathatósági kritériumok nem tartalmazzák a tevékenységek alábbi listáját: a fosszilis tüzelőanyagokkal kapcsolatos tevékenységek, beleértve a továbbfelhasználást is</w:t>
      </w:r>
      <w:r w:rsidRPr="00BC4EE7">
        <w:rPr>
          <w:rStyle w:val="FootnoteReference"/>
          <w:rFonts w:ascii="Times New Roman" w:hAnsi="Times New Roman" w:cs="Times New Roman"/>
          <w:noProof/>
        </w:rPr>
        <w:footnoteReference w:id="165"/>
      </w:r>
      <w:r w:rsidRPr="00BC4EE7">
        <w:rPr>
          <w:rFonts w:ascii="Times New Roman" w:hAnsi="Times New Roman" w:cs="Times New Roman"/>
          <w:noProof/>
        </w:rPr>
        <w:t>; ii. az uniós kibocsátáskereskedelmi rendszer (ETS) keretében végzett tevékenységek, amelyek elérik a vonatkozó referenciaértékeket meg nem haladó, előre jelzett üvegházhatásúgáz-kibocsátást</w:t>
      </w:r>
      <w:r w:rsidRPr="00BC4EE7">
        <w:rPr>
          <w:rStyle w:val="FootnoteReference"/>
          <w:rFonts w:ascii="Times New Roman" w:hAnsi="Times New Roman" w:cs="Times New Roman"/>
          <w:noProof/>
        </w:rPr>
        <w:footnoteReference w:id="166"/>
      </w:r>
      <w:r w:rsidRPr="00BC4EE7">
        <w:rPr>
          <w:rFonts w:ascii="Times New Roman" w:hAnsi="Times New Roman" w:cs="Times New Roman"/>
          <w:noProof/>
        </w:rPr>
        <w:t>; hulladéklerakókkal, hulladékégetőkkel</w:t>
      </w:r>
      <w:r w:rsidRPr="00BC4EE7">
        <w:rPr>
          <w:rStyle w:val="FootnoteReference"/>
          <w:rFonts w:ascii="Times New Roman" w:hAnsi="Times New Roman" w:cs="Times New Roman"/>
          <w:noProof/>
        </w:rPr>
        <w:footnoteReference w:id="167"/>
      </w:r>
      <w:r w:rsidRPr="00BC4EE7">
        <w:rPr>
          <w:rFonts w:ascii="Times New Roman" w:hAnsi="Times New Roman" w:cs="Times New Roman"/>
          <w:noProof/>
        </w:rPr>
        <w:t xml:space="preserve"> és mechanikai-biológiai hulladékkezelő létesítményekkel kapcsolatos tevékenységek</w:t>
      </w:r>
      <w:r w:rsidRPr="00BC4EE7">
        <w:rPr>
          <w:rStyle w:val="FootnoteReference"/>
          <w:rFonts w:ascii="Times New Roman" w:hAnsi="Times New Roman" w:cs="Times New Roman"/>
          <w:noProof/>
        </w:rPr>
        <w:footnoteReference w:id="168"/>
      </w:r>
      <w:r w:rsidRPr="00BC4EE7">
        <w:rPr>
          <w:rFonts w:ascii="Times New Roman" w:hAnsi="Times New Roman" w:cs="Times New Roman"/>
          <w:noProof/>
        </w:rPr>
        <w:t>; valamint iv. azok a tevékenységek, amelyek esetében a hulladék hosszú távú ártalmatlanítása károsíthatja a környezetet. A feladatmeghatározás előírja továbbá, hogy csak olyan tevékenységek választhatók ki, amelyek megfelelnek a vonatkozó uniós és nemzeti környezetvédelmi jogszabályoknak.</w:t>
      </w:r>
    </w:p>
    <w:p w14:paraId="1F79D808"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Az e beruházás keretében végrehajtott következő K+F+I tevékenységeket úgy kell tekinteni, hogy megfelelnek a jelentős károkozás elkerülését célzó technikai iránymutatásnak (2021/C58/01): i. az e beruházás keretében megvalósuló K+F+I tevékenységek, amelyek alkalmazásuk szintjén technológiailag semleges eredményekhez vezetnek; ii. az e beruházás keretében megvalósuló K+F+I tevékenységek, amelyek olyan, alacsony környezeti hatással járó alternatívákat támogatnak, amelyek esetében léteznek ilyenek; vagy iii. az e beruházás keretében megvalósuló azon K+F+I tevékenységek, amelyek elsősorban az ágazatban a lehető legkisebb környezeti hatással járó alternatívák kifejlesztésére összpontosítanak azon tevékenységek esetében, amelyek esetében nincs technológiai és gazdasági szempontból megvalósítható, alacsony hatású alternatíva.</w:t>
      </w:r>
    </w:p>
    <w:p w14:paraId="20615DC9"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beruházás végrehajtását 2026. június 30-ig be kell fejezni.</w:t>
      </w:r>
    </w:p>
    <w:p w14:paraId="07E0B2B3"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(C17.I6): Egészség</w:t>
      </w:r>
    </w:p>
    <w:p w14:paraId="523421E4" w14:textId="7AE74228"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 beruházás célja a kutatásfejlesztés és az innováció előmozdítása az egészségügyi ágazatban. Az intézkedés a következő cselekvési irányvonalakat foglalja magában: </w:t>
      </w:r>
    </w:p>
    <w:p w14:paraId="35050FC1" w14:textId="77777777" w:rsidR="00D65CB4" w:rsidRPr="00BC4EE7" w:rsidRDefault="00572307">
      <w:pPr>
        <w:pStyle w:val="P68B1DB1-Normal4"/>
        <w:spacing w:before="120" w:after="120" w:line="240" w:lineRule="auto"/>
        <w:ind w:left="720"/>
        <w:jc w:val="both"/>
        <w:rPr>
          <w:rFonts w:cs="Times New Roman"/>
          <w:noProof/>
        </w:rPr>
      </w:pPr>
      <w:r w:rsidRPr="00BC4EE7">
        <w:rPr>
          <w:rFonts w:cs="Times New Roman"/>
          <w:noProof/>
        </w:rPr>
        <w:t xml:space="preserve">1. beruházás a fejlett terápiák, az újonnan megjelenő gyógyszerek és a személyre szabott orvoslás területén, </w:t>
      </w:r>
    </w:p>
    <w:p w14:paraId="1E3A367B" w14:textId="77777777" w:rsidR="00D65CB4" w:rsidRPr="00BC4EE7" w:rsidRDefault="00572307">
      <w:pPr>
        <w:pStyle w:val="P68B1DB1-Normal4"/>
        <w:spacing w:before="120" w:after="120" w:line="240" w:lineRule="auto"/>
        <w:ind w:left="720"/>
        <w:jc w:val="both"/>
        <w:rPr>
          <w:rFonts w:cs="Times New Roman"/>
          <w:noProof/>
        </w:rPr>
      </w:pPr>
      <w:r w:rsidRPr="00BC4EE7">
        <w:rPr>
          <w:rFonts w:cs="Times New Roman"/>
          <w:noProof/>
        </w:rPr>
        <w:t xml:space="preserve">2. a nemzeti egészségügyi rendszer stratégiai kapacitásainak megerősítésére és nemzetközivé tételére irányuló intézkedések, </w:t>
      </w:r>
    </w:p>
    <w:p w14:paraId="3A48DE95" w14:textId="77777777" w:rsidR="00D65CB4" w:rsidRPr="00BC4EE7" w:rsidRDefault="00572307">
      <w:pPr>
        <w:pStyle w:val="P68B1DB1-Normal4"/>
        <w:spacing w:before="120" w:after="120" w:line="240" w:lineRule="auto"/>
        <w:ind w:left="720"/>
        <w:jc w:val="both"/>
        <w:rPr>
          <w:rFonts w:cs="Times New Roman"/>
          <w:noProof/>
        </w:rPr>
      </w:pPr>
      <w:r w:rsidRPr="00BC4EE7">
        <w:rPr>
          <w:rFonts w:cs="Times New Roman"/>
          <w:noProof/>
        </w:rPr>
        <w:t xml:space="preserve">3) az </w:t>
      </w:r>
      <w:r w:rsidRPr="00BC4EE7">
        <w:rPr>
          <w:rFonts w:cs="Times New Roman"/>
          <w:i/>
          <w:noProof/>
        </w:rPr>
        <w:t>Instituto de Salud Carlos III</w:t>
      </w:r>
      <w:r w:rsidRPr="00BC4EE7">
        <w:rPr>
          <w:rFonts w:cs="Times New Roman"/>
          <w:noProof/>
        </w:rPr>
        <w:t xml:space="preserve"> – különösen a Nemzeti Mikrobiológiai Központ, az Országos Epidemiológiai Központ, az Országos Munkagyógyászati Iskola és az Országos Egészségügyi Iskola – fertőző betegségek és globális fenyegetések elleni küzdelemre irányuló kapacitásainak támogatására irányuló intézkedések, </w:t>
      </w:r>
    </w:p>
    <w:p w14:paraId="188FC210" w14:textId="3DD6419C" w:rsidR="00D65CB4" w:rsidRPr="00BC4EE7" w:rsidRDefault="00572307">
      <w:pPr>
        <w:pStyle w:val="P68B1DB1-Normal4"/>
        <w:spacing w:before="120" w:after="120" w:line="240" w:lineRule="auto"/>
        <w:ind w:left="720"/>
        <w:jc w:val="both"/>
        <w:rPr>
          <w:rFonts w:cs="Times New Roman"/>
          <w:noProof/>
        </w:rPr>
      </w:pPr>
      <w:r w:rsidRPr="00BC4EE7">
        <w:rPr>
          <w:rFonts w:cs="Times New Roman"/>
          <w:noProof/>
        </w:rPr>
        <w:t xml:space="preserve">4) részvétel az „Európa Genome” elnevezésű, több országra kiterjedő projektben az „1 millió Genomes” kezdeményezés keretében, </w:t>
      </w:r>
    </w:p>
    <w:p w14:paraId="5E14A1AC" w14:textId="77777777" w:rsidR="00D65CB4" w:rsidRPr="00BC4EE7" w:rsidRDefault="00572307">
      <w:pPr>
        <w:pStyle w:val="P68B1DB1-Normal4"/>
        <w:spacing w:before="120" w:after="120" w:line="240" w:lineRule="auto"/>
        <w:ind w:left="720"/>
        <w:jc w:val="both"/>
        <w:rPr>
          <w:rFonts w:cs="Times New Roman"/>
          <w:noProof/>
        </w:rPr>
      </w:pPr>
      <w:r w:rsidRPr="00BC4EE7">
        <w:rPr>
          <w:rFonts w:cs="Times New Roman"/>
          <w:noProof/>
        </w:rPr>
        <w:t xml:space="preserve">A fertőző betegségek kutatásához, az egyéb globális egészségügyi veszélyekhez és az öregedéshez kapcsolódó kapacitásépítési intézkedések, </w:t>
      </w:r>
    </w:p>
    <w:p w14:paraId="588B36B9" w14:textId="47F540B0" w:rsidR="00D65CB4" w:rsidRPr="00BC4EE7" w:rsidRDefault="00572307">
      <w:pPr>
        <w:pStyle w:val="P68B1DB1-Normal4"/>
        <w:spacing w:before="120" w:after="120" w:line="240" w:lineRule="auto"/>
        <w:ind w:left="720"/>
        <w:jc w:val="both"/>
        <w:rPr>
          <w:rFonts w:eastAsia="Times New Roman" w:cs="Times New Roman"/>
          <w:noProof/>
        </w:rPr>
      </w:pPr>
      <w:r w:rsidRPr="00BC4EE7">
        <w:rPr>
          <w:rFonts w:cs="Times New Roman"/>
          <w:noProof/>
        </w:rPr>
        <w:t>A PERTE Vanguard Health keretében végrehajtott intézkedések a következők érdekében: i. az egészségügyi ágazat ipari kapacitásainak megerősítése és nemzetközivé tétele a több országra kiterjedő K+F+I projektekben való spanyol részvétel támogatásával, ii. a ritka betegségek diagnosztizálásával kapcsolatos kutatás és fejlesztés támogatása, iii. a K+F+I támogatása a személyre szabott precíziós orvoslás területén, iv. az Instituto de Salud Carlos III (ISCIII) proteomikai és metabolomikai platformjának fejlesztése, v. az ISCIII humán biomonitoring infrastruktúrájának frissítése, bővítése és fejlesztése, valamint vi. a betegorientált klinikai kutatási egységek fejlesztése és korszerűsítése, valamint vi. a betegorientált klinikai kutatási egységek fejlesztése és korszerűsítése, valamint</w:t>
      </w:r>
    </w:p>
    <w:p w14:paraId="6FBF3EFB" w14:textId="4BC853A3" w:rsidR="00D65CB4" w:rsidRPr="00BC4EE7" w:rsidRDefault="00572307">
      <w:pPr>
        <w:pStyle w:val="P68B1DB1-Normal4"/>
        <w:spacing w:before="120" w:after="120" w:line="240" w:lineRule="auto"/>
        <w:ind w:left="720"/>
        <w:jc w:val="both"/>
        <w:rPr>
          <w:rFonts w:eastAsia="Times New Roman" w:cs="Times New Roman"/>
          <w:noProof/>
        </w:rPr>
      </w:pPr>
      <w:r w:rsidRPr="00BC4EE7">
        <w:rPr>
          <w:rFonts w:cs="Times New Roman"/>
          <w:noProof/>
        </w:rPr>
        <w:t xml:space="preserve">7) az egészségügyi ágazatnak nyújtott hitelek vissza nem téríthető része, a C17.I10 beruházás kiegészítéseként (egészségügyi és űripari hitelek). </w:t>
      </w:r>
    </w:p>
    <w:p w14:paraId="16E012FB"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Az e beruházás keretében végrehajtott intézkedések pályázati felhívások, állami és magánberuházások, valamint közvetlen állami beruházások révén valósulnak meg.</w:t>
      </w:r>
    </w:p>
    <w:p w14:paraId="2D44DAF6" w14:textId="5F3D8162"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beruházás végrehajtását 2026. </w:t>
      </w:r>
      <w:r w:rsidRPr="00BC4EE7">
        <w:rPr>
          <w:rFonts w:cs="Times New Roman"/>
          <w:noProof/>
          <w:shd w:val="clear" w:color="auto" w:fill="FFFFFF" w:themeFill="background1"/>
        </w:rPr>
        <w:t>augusztus 31</w:t>
      </w:r>
      <w:r w:rsidRPr="00BC4EE7">
        <w:rPr>
          <w:rFonts w:cs="Times New Roman"/>
          <w:noProof/>
        </w:rPr>
        <w:t xml:space="preserve"> -ig be kell fejezni. </w:t>
      </w:r>
    </w:p>
    <w:p w14:paraId="4590D68D"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(C17.I7): Környezetvédelem, éghajlatváltozás és energia</w:t>
      </w:r>
    </w:p>
    <w:p w14:paraId="6083A820"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Ezen intézkedés célja a kutatásfejlesztés és az innováció előmozdítása a környezetvédelmi, az éghajlatváltozási és az energiaágazatban. Az intézkedés a következőket támogatja: 1) a körforgásos gazdaságban a fenntartható műanyagokkal, az alternatív műanyagok előállításával és a műanyaghulladék fenntartható kezelésével kapcsolatos K+F+I projektek, 2) az éghajlatváltozásról és a vízkészletekre gyakorolt hatásról szóló projekt, 3) az energetikai átállásban részt vevő csúcstechnológiai alkatrészekkel kapcsolatos projekt, különös tekintettel az energiatárolásra és az energiaigényes iparágakban az ipari folyamatokból származó szén-dioxid-leválasztásra szolgáló létesítmények prototípusainak fejlesztésére a </w:t>
      </w:r>
      <w:r w:rsidRPr="00BC4EE7">
        <w:rPr>
          <w:rFonts w:cs="Times New Roman"/>
          <w:i/>
          <w:noProof/>
        </w:rPr>
        <w:t>Consejo Superior de Investigaciones Científicas</w:t>
      </w:r>
      <w:r w:rsidRPr="00BC4EE7">
        <w:rPr>
          <w:rFonts w:cs="Times New Roman"/>
          <w:noProof/>
        </w:rPr>
        <w:t xml:space="preserve"> (CSIC). Amennyiben az uniós kibocsátáskereskedelmi rendszer (ETS) hatálya alá tartozó létesítményekről van szó, azoknak legalább a vonatkozó referenciaértékeknél alacsonyabb várható üvegházhatásúgáz-kibocsátást kell elérniük,</w:t>
      </w:r>
      <w:r w:rsidRPr="00BC4EE7">
        <w:rPr>
          <w:rFonts w:cs="Times New Roman"/>
          <w:noProof/>
        </w:rPr>
        <w:footnoteReference w:id="169"/>
      </w:r>
      <w:r w:rsidRPr="00BC4EE7">
        <w:rPr>
          <w:rFonts w:cs="Times New Roman"/>
          <w:noProof/>
        </w:rPr>
        <w:t>és ki kell zárniuk a fosszilis tüzelőanyagokhoz kapcsolódó tevékenységeket, beleértve a downstream felhasználást is,</w:t>
      </w:r>
      <w:r w:rsidRPr="00BC4EE7">
        <w:rPr>
          <w:rFonts w:cs="Times New Roman"/>
          <w:noProof/>
        </w:rPr>
        <w:footnoteReference w:id="170"/>
      </w:r>
      <w:r w:rsidRPr="00BC4EE7">
        <w:rPr>
          <w:rFonts w:cs="Times New Roman"/>
          <w:noProof/>
        </w:rPr>
        <w:t xml:space="preserve">4) az energetikai átálláshoz szükséges stratégiai fémekkel kapcsolatos kutatási projekt, valamint 5) energiatárolási K+F központ létrehozása Extremadurában azzal a céllal, hogy ösztönözze a zöldenergia-termelés irányítására adott technológiai és tudományos választ, különös tekintettel az ipari hidrogénalkalmazásokra, valamint a zöld hidrogén előállítására, tárolására és szállítására. Az intézkedésnek támogatnia kell a központban megvalósítandó kapacitásépítést is az energiaiparral és az energiatárolással foglalkozó tudósok és kutatók képzése érdekében. </w:t>
      </w:r>
    </w:p>
    <w:p w14:paraId="35D5C9B7" w14:textId="55997F64" w:rsidR="00D65CB4" w:rsidRPr="00BC4EE7" w:rsidRDefault="00572307">
      <w:pPr>
        <w:pStyle w:val="P68B1DB1-Normal4"/>
        <w:spacing w:before="120" w:after="120" w:line="240" w:lineRule="auto"/>
        <w:jc w:val="both"/>
        <w:rPr>
          <w:rFonts w:cs="Times New Roman"/>
          <w:noProof/>
        </w:rPr>
      </w:pPr>
      <w:r w:rsidRPr="00BC4EE7">
        <w:rPr>
          <w:rFonts w:cs="Times New Roman"/>
          <w:noProof/>
        </w:rPr>
        <w:t>Az e beruházás keretében megvalósuló cselekvésekre ajánlati felhívások formájában kerül sor.</w:t>
      </w:r>
    </w:p>
    <w:p w14:paraId="65A82F25" w14:textId="6CF40F12" w:rsidR="00D65CB4" w:rsidRPr="00BC4EE7" w:rsidRDefault="00572307">
      <w:pPr>
        <w:pStyle w:val="Text1"/>
        <w:ind w:left="0"/>
        <w:rPr>
          <w:rFonts w:ascii="Times New Roman" w:hAnsi="Times New Roman" w:cs="Times New Roman"/>
          <w:noProof/>
          <w:highlight w:val="yellow"/>
        </w:rPr>
      </w:pPr>
      <w:r w:rsidRPr="00BC4EE7">
        <w:rPr>
          <w:rFonts w:ascii="Times New Roman" w:hAnsi="Times New Roman" w:cs="Times New Roman"/>
          <w:noProof/>
        </w:rPr>
        <w:t>Annak biztosítása érdekében, hogy az intézkedés megfeleljen a jelentős károkozás elkerülését célzó elvről szóló technikai iránymutatásnak (2021/C58/01), a soron következő pályázati felhívásokra vonatkozó feladatmeghatározásban szereplő támogathatósági kritériumok nem tartalmazzák a tevékenységek alábbi listáját: a fosszilis tüzelőanyagokkal kapcsolatos tevékenységek, beleértve a továbbfelhasználást is</w:t>
      </w:r>
      <w:r w:rsidRPr="00BC4EE7">
        <w:rPr>
          <w:rStyle w:val="FootnoteReference"/>
          <w:rFonts w:ascii="Times New Roman" w:hAnsi="Times New Roman" w:cs="Times New Roman"/>
          <w:noProof/>
        </w:rPr>
        <w:footnoteReference w:id="171"/>
      </w:r>
      <w:r w:rsidRPr="00BC4EE7">
        <w:rPr>
          <w:rFonts w:ascii="Times New Roman" w:hAnsi="Times New Roman" w:cs="Times New Roman"/>
          <w:noProof/>
        </w:rPr>
        <w:t>; ii. az uniós kibocsátáskereskedelmi rendszer (ETS) keretében végzett tevékenységek, amelyek elérik a vonatkozó referenciaértékeket meg nem haladó, előre jelzett üvegházhatásúgáz-kibocsátást</w:t>
      </w:r>
      <w:r w:rsidRPr="00BC4EE7">
        <w:rPr>
          <w:rStyle w:val="FootnoteReference"/>
          <w:rFonts w:ascii="Times New Roman" w:hAnsi="Times New Roman" w:cs="Times New Roman"/>
          <w:noProof/>
        </w:rPr>
        <w:footnoteReference w:id="172"/>
      </w:r>
      <w:r w:rsidRPr="00BC4EE7">
        <w:rPr>
          <w:rFonts w:ascii="Times New Roman" w:hAnsi="Times New Roman" w:cs="Times New Roman"/>
          <w:noProof/>
        </w:rPr>
        <w:t>; hulladéklerakókkal, hulladékégetőkkel</w:t>
      </w:r>
      <w:r w:rsidRPr="00BC4EE7">
        <w:rPr>
          <w:rStyle w:val="FootnoteReference"/>
          <w:rFonts w:ascii="Times New Roman" w:hAnsi="Times New Roman" w:cs="Times New Roman"/>
          <w:noProof/>
        </w:rPr>
        <w:footnoteReference w:id="173"/>
      </w:r>
      <w:r w:rsidRPr="00BC4EE7">
        <w:rPr>
          <w:rFonts w:ascii="Times New Roman" w:hAnsi="Times New Roman" w:cs="Times New Roman"/>
          <w:noProof/>
        </w:rPr>
        <w:t xml:space="preserve"> és mechanikai-biológiai hulladékkezelő létesítményekkel kapcsolatos tevékenységek</w:t>
      </w:r>
      <w:r w:rsidRPr="00BC4EE7">
        <w:rPr>
          <w:rStyle w:val="FootnoteReference"/>
          <w:rFonts w:ascii="Times New Roman" w:hAnsi="Times New Roman" w:cs="Times New Roman"/>
          <w:noProof/>
        </w:rPr>
        <w:footnoteReference w:id="174"/>
      </w:r>
      <w:r w:rsidRPr="00BC4EE7">
        <w:rPr>
          <w:rFonts w:ascii="Times New Roman" w:hAnsi="Times New Roman" w:cs="Times New Roman"/>
          <w:noProof/>
        </w:rPr>
        <w:t>; valamint iv. azok a tevékenységek, amelyek esetében a hulladék hosszú távú ártalmatlanítása károsíthatja a környezetet. A feladatmeghatározás előírja továbbá, hogy csak olyan tevékenységek választhatók ki, amelyek megfelelnek a vonatkozó uniós és nemzeti környezetvédelmi jogszabályoknak.</w:t>
      </w:r>
    </w:p>
    <w:p w14:paraId="00258B17"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Az e beruházás keretében végrehajtott következő K+F+I tevékenységeket úgy kell tekinteni, hogy megfelelnek a jelentős károkozás elkerülését célzó technikai iránymutatásnak (2021/C58/01): i. az e beruházás keretében megvalósuló K+F+I tevékenységek, amelyek alkalmazásuk szintjén technológiailag semleges eredményekhez vezetnek; ii. az e beruházás keretében megvalósuló K+F+I tevékenységek, amelyek olyan, alacsony környezeti hatással járó alternatívákat támogatnak, amelyek esetében léteznek ilyenek; vagy iii. az e beruházás keretében megvalósuló azon K+F+I tevékenységek, amelyek elsősorban az ágazatban a lehető legkisebb környezeti hatással járó alternatívák kifejlesztésére összpontosítanak azon tevékenységek esetében, amelyek esetében nincs technológiai és gazdasági szempontból megvalósítható, alacsony hatású alternatíva.</w:t>
      </w:r>
    </w:p>
    <w:p w14:paraId="3B55B35E" w14:textId="77777777" w:rsidR="00D65CB4" w:rsidRPr="00BC4EE7" w:rsidRDefault="00572307">
      <w:pPr>
        <w:pStyle w:val="P68B1DB1-Normal4"/>
        <w:autoSpaceDE w:val="0"/>
        <w:autoSpaceDN w:val="0"/>
        <w:spacing w:before="40" w:after="40"/>
        <w:rPr>
          <w:rFonts w:cs="Times New Roman"/>
          <w:noProof/>
        </w:rPr>
      </w:pPr>
      <w:r w:rsidRPr="00BC4EE7">
        <w:rPr>
          <w:rFonts w:cs="Times New Roman"/>
          <w:noProof/>
        </w:rPr>
        <w:t xml:space="preserve">A beruházás végrehajtását 2026. június 30-ig be kell fejezni. </w:t>
      </w:r>
    </w:p>
    <w:p w14:paraId="61CEF7F6" w14:textId="1EFAA33F" w:rsidR="00D65CB4" w:rsidRPr="00BC4EE7" w:rsidRDefault="00572307">
      <w:pPr>
        <w:pStyle w:val="P68B1DB1-Normal5"/>
        <w:keepNext/>
        <w:spacing w:before="120" w:after="120" w:line="240" w:lineRule="auto"/>
        <w:jc w:val="both"/>
        <w:rPr>
          <w:rFonts w:cs="Times New Roman"/>
          <w:noProof/>
        </w:rPr>
      </w:pPr>
      <w:r w:rsidRPr="00BC4EE7">
        <w:rPr>
          <w:rFonts w:cs="Times New Roman"/>
          <w:noProof/>
        </w:rPr>
        <w:t xml:space="preserve">Beruházás (C17.I8): Fenntartható gépjárműipari K+F+I  </w:t>
      </w:r>
    </w:p>
    <w:p w14:paraId="5C0B8649" w14:textId="77777777" w:rsidR="00D65CB4" w:rsidRPr="00BC4EE7" w:rsidRDefault="00572307">
      <w:pPr>
        <w:pStyle w:val="P68B1DB1-Normal4"/>
        <w:keepNext/>
        <w:spacing w:before="120" w:after="120" w:line="240" w:lineRule="auto"/>
        <w:jc w:val="both"/>
        <w:rPr>
          <w:rFonts w:cs="Times New Roman"/>
          <w:noProof/>
        </w:rPr>
      </w:pPr>
      <w:r w:rsidRPr="00BC4EE7">
        <w:rPr>
          <w:rFonts w:cs="Times New Roman"/>
          <w:noProof/>
        </w:rPr>
        <w:t xml:space="preserve">Ezen intézkedés célja a kutatásfejlesztés és az innováció előmozdítása a fenntartható gépjárműiparban. Az intézkedés különösen a következőkre irányul: 1) kizárólag elektromos, hálózatról tölthető hibrid és hidrogénüzemű járművek alkatrészei és platformjai fejlesztésének támogatása, 2) az önvezető vezetéssel és az összekapcsolt mobilitással kapcsolatos kutatás és fejlesztés előmozdítása új hardver- és szoftverjármű-architektúra kifejlesztése révén, valamint 3) az alkatrészek és rendszerek gyártási területeinek kizárólag elektromos, hálózatról tölthető hibrid és hidrogénüzemű járművekhez való igazítása. A projekteket három-nyolc vállalkozásból (legalább egy kkv-ból) álló üzleti konzorciumok hajtják végre, amelyek időtartama legfeljebb három év. </w:t>
      </w:r>
    </w:p>
    <w:p w14:paraId="412B8A44"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Az e beruházás keretében megvalósuló cselekvésekre pályázati felhívások útján kerül sor. </w:t>
      </w:r>
    </w:p>
    <w:p w14:paraId="3E64342F" w14:textId="77777777" w:rsidR="00D65CB4" w:rsidRPr="00BC4EE7" w:rsidRDefault="00572307">
      <w:pPr>
        <w:pStyle w:val="Text1"/>
        <w:ind w:left="0"/>
        <w:rPr>
          <w:rFonts w:ascii="Times New Roman" w:hAnsi="Times New Roman" w:cs="Times New Roman"/>
          <w:noProof/>
          <w:highlight w:val="green"/>
        </w:rPr>
      </w:pPr>
      <w:r w:rsidRPr="00BC4EE7">
        <w:rPr>
          <w:rFonts w:ascii="Times New Roman" w:hAnsi="Times New Roman" w:cs="Times New Roman"/>
          <w:noProof/>
        </w:rPr>
        <w:t>Annak biztosítása érdekében, hogy az intézkedés megfeleljen a jelentős károkozás elkerülését célzó elvről szóló technikai iránymutatásnak (2021/C58/01), a soron következő pályázati felhívásokra vonatkozó feladatmeghatározásban szereplő támogathatósági kritériumok nem tartalmazzák a tevékenységek alábbi listáját: a fosszilis tüzelőanyagokkal kapcsolatos tevékenységek, beleértve a továbbfelhasználást is</w:t>
      </w:r>
      <w:r w:rsidRPr="00BC4EE7">
        <w:rPr>
          <w:rStyle w:val="FootnoteReference"/>
          <w:rFonts w:ascii="Times New Roman" w:hAnsi="Times New Roman" w:cs="Times New Roman"/>
          <w:noProof/>
        </w:rPr>
        <w:footnoteReference w:id="175"/>
      </w:r>
      <w:r w:rsidRPr="00BC4EE7">
        <w:rPr>
          <w:rFonts w:ascii="Times New Roman" w:hAnsi="Times New Roman" w:cs="Times New Roman"/>
          <w:noProof/>
        </w:rPr>
        <w:t>; ii. az uniós kibocsátáskereskedelmi rendszer (ETS) keretében végzett tevékenységek, amelyek elérik a vonatkozó referenciaértékeket meg nem haladó, előre jelzett üvegházhatásúgáz-kibocsátást</w:t>
      </w:r>
      <w:r w:rsidRPr="00BC4EE7">
        <w:rPr>
          <w:rStyle w:val="FootnoteReference"/>
          <w:rFonts w:ascii="Times New Roman" w:hAnsi="Times New Roman" w:cs="Times New Roman"/>
          <w:noProof/>
        </w:rPr>
        <w:footnoteReference w:id="176"/>
      </w:r>
      <w:r w:rsidRPr="00BC4EE7">
        <w:rPr>
          <w:rFonts w:ascii="Times New Roman" w:hAnsi="Times New Roman" w:cs="Times New Roman"/>
          <w:noProof/>
        </w:rPr>
        <w:t>; hulladéklerakókkal, hulladékégetőkkel</w:t>
      </w:r>
      <w:r w:rsidRPr="00BC4EE7">
        <w:rPr>
          <w:rStyle w:val="FootnoteReference"/>
          <w:rFonts w:ascii="Times New Roman" w:hAnsi="Times New Roman" w:cs="Times New Roman"/>
          <w:noProof/>
        </w:rPr>
        <w:footnoteReference w:id="177"/>
      </w:r>
      <w:r w:rsidRPr="00BC4EE7">
        <w:rPr>
          <w:rFonts w:ascii="Times New Roman" w:hAnsi="Times New Roman" w:cs="Times New Roman"/>
          <w:noProof/>
        </w:rPr>
        <w:t xml:space="preserve"> és mechanikai-biológiai hulladékkezelő létesítményekkel kapcsolatos tevékenységek</w:t>
      </w:r>
      <w:r w:rsidRPr="00BC4EE7">
        <w:rPr>
          <w:rStyle w:val="FootnoteReference"/>
          <w:rFonts w:ascii="Times New Roman" w:hAnsi="Times New Roman" w:cs="Times New Roman"/>
          <w:noProof/>
        </w:rPr>
        <w:footnoteReference w:id="178"/>
      </w:r>
      <w:r w:rsidRPr="00BC4EE7">
        <w:rPr>
          <w:rFonts w:ascii="Times New Roman" w:hAnsi="Times New Roman" w:cs="Times New Roman"/>
          <w:noProof/>
        </w:rPr>
        <w:t>; valamint iv. azok a tevékenységek, amelyek esetében a hulladék hosszú távú ártalmatlanítása károsíthatja a környezetet. A feladatmeghatározás előírja továbbá, hogy csak olyan tevékenységek választhatók ki, amelyek megfelelnek a vonatkozó uniós és nemzeti környezetvédelmi jogszabályoknak.</w:t>
      </w:r>
    </w:p>
    <w:p w14:paraId="2532D4FB"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Az e beruházás keretében végrehajtott következő K+F+I tevékenységeket úgy kell tekinteni, hogy megfelelnek a jelentős károkozás elkerülését célzó technikai iránymutatásnak (2021/C58/01): i. az e beruházás keretében megvalósuló K+F+I tevékenységek, amelyek alkalmazásuk szintjén technológiailag semleges eredményekhez vezetnek; ii. az e beruházás keretében megvalósuló K+F+I tevékenységek, amelyek olyan, alacsony környezeti hatással járó alternatívákat támogatnak, amelyek esetében léteznek ilyenek; vagy iii. az e beruházás keretében megvalósuló azon K+F+I tevékenységek, amelyek elsősorban az ágazatban a lehető legkisebb környezeti hatással járó alternatívák kifejlesztésére összpontosítanak azon tevékenységek esetében, amelyek esetében nincs technológiai és gazdasági szempontból megvalósítható, alacsony hatású alternatíva.</w:t>
      </w:r>
    </w:p>
    <w:p w14:paraId="2A2155DC" w14:textId="77777777" w:rsidR="00D65CB4" w:rsidRPr="00BC4EE7" w:rsidRDefault="00572307">
      <w:pPr>
        <w:pStyle w:val="P68B1DB1-Normal4"/>
        <w:autoSpaceDE w:val="0"/>
        <w:autoSpaceDN w:val="0"/>
        <w:spacing w:before="40" w:after="40"/>
        <w:rPr>
          <w:rFonts w:cs="Times New Roman"/>
          <w:noProof/>
        </w:rPr>
      </w:pPr>
      <w:r w:rsidRPr="00BC4EE7">
        <w:rPr>
          <w:rFonts w:cs="Times New Roman"/>
          <w:noProof/>
        </w:rPr>
        <w:t xml:space="preserve">A beruházás végrehajtását 2024. június 30-ig be kell fejezni. </w:t>
      </w:r>
    </w:p>
    <w:p w14:paraId="5BE7A6FF"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(C17.I9): Aerospace</w:t>
      </w:r>
    </w:p>
    <w:p w14:paraId="1B07EE26" w14:textId="01F78A81"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Ezen intézkedés célja a repüléstechnikai ágazatban a kutatásfejlesztés és az innováció előmozdítása, elsősorban az alacsony vagy nulla szén-dioxid-kibocsátású űrrepülési technológiákhoz és repüléstechnikához kapcsolódó beruházások keretében megvalósuló fellépésekre összpontosítva. Az intézkedés </w:t>
      </w:r>
      <w:bookmarkStart w:id="55" w:name="_Hlk70075465"/>
      <w:r w:rsidRPr="00BC4EE7">
        <w:rPr>
          <w:rFonts w:cs="Times New Roman"/>
          <w:noProof/>
        </w:rPr>
        <w:t>célja a jövőbeli alacsony és nulla kibocsátású légi járművekkel, az UAV-kkal kapcsolatos kritikus technológiai fejlesztésekhez, a beszálló rendszerekhez, a többcélú légi járművekhez és a fejlett gyártási rendszerekhez kapcsolódó ipari kapacitások javítása, amelyek magukban foglalják a digitális ikermodellek létrehozását, a hatékonyság előmozdítását, az alacsonyabb erőforrás-fogyasztást vagy az alacsonyabb környezeti hatást. A Nemzeti Űrtechnológiai Program</w:t>
      </w:r>
      <w:bookmarkEnd w:id="55"/>
      <w:r w:rsidRPr="00BC4EE7">
        <w:rPr>
          <w:rFonts w:cs="Times New Roman"/>
          <w:noProof/>
        </w:rPr>
        <w:t xml:space="preserve">keretében az intézkedés a repüléstechnikai ipart is támogatja a K+F+I finanszírozásával, a termelési kapacitások aktualizálásával, a digitalizálással és a technológiával, valamint az ágazat fenntarthatóságához hozzájáruló zöld technológiák kifejlesztésével és végrehajtásával. Az érdeklődési területek közé tartozik a világűrhöz való hozzáférés, a Föld-megfigyelés, az optikai és biztonságos kommunikációs rendszerek, valamint a műholdas konstellációk. Az e beruházás keretében megvalósuló cselekvésekre pályázati felhívásokkal és közbeszerzéssel kerül sor. </w:t>
      </w:r>
    </w:p>
    <w:p w14:paraId="1A47E194" w14:textId="496E8A72" w:rsidR="00D65CB4" w:rsidRPr="00BC4EE7" w:rsidRDefault="00572307">
      <w:pPr>
        <w:pStyle w:val="P68B1DB1-Normal4"/>
        <w:spacing w:before="120" w:after="120" w:line="240" w:lineRule="auto"/>
        <w:jc w:val="both"/>
        <w:rPr>
          <w:rFonts w:cs="Times New Roman"/>
          <w:noProof/>
        </w:rPr>
      </w:pPr>
      <w:r w:rsidRPr="00BC4EE7">
        <w:rPr>
          <w:rFonts w:cs="Times New Roman"/>
          <w:noProof/>
        </w:rPr>
        <w:t>Emellett a C17.I10 beruházás (egészségügyi és repülés- és űriparnak nyújtott hitelek) kiegészítéseként a repülőgép- és űriparnak nyújtott hitelek vissza nem téríthető részét is bele kell foglalni ebbe a beruházásba.</w:t>
      </w:r>
    </w:p>
    <w:p w14:paraId="36F69F39" w14:textId="3A6D00AD" w:rsidR="00D65CB4" w:rsidRPr="00BC4EE7" w:rsidRDefault="00572307">
      <w:pPr>
        <w:pStyle w:val="Text1"/>
        <w:ind w:left="0"/>
        <w:rPr>
          <w:rFonts w:ascii="Times New Roman" w:hAnsi="Times New Roman" w:cs="Times New Roman"/>
          <w:noProof/>
          <w:highlight w:val="green"/>
        </w:rPr>
      </w:pPr>
      <w:r w:rsidRPr="00BC4EE7">
        <w:rPr>
          <w:rFonts w:ascii="Times New Roman" w:hAnsi="Times New Roman" w:cs="Times New Roman"/>
          <w:noProof/>
        </w:rPr>
        <w:t>Annak biztosítása érdekében, hogy az intézkedés megfeleljen a jelentős károkozás elkerülését célzó technikai iránymutatásnak (2021/C58/01), a soron következő pályázati felhívásokra vagy közbeszerzési pályázatokra vonatkozó feladatmeghatározásban foglalt támogathatósági kritériumoknak ki kell zárniuk a tevékenységek következő listáját: a fosszilis tüzelőanyagokkal kapcsolatos tevékenységek, beleértve a továbbfelhasználást is</w:t>
      </w:r>
      <w:r w:rsidRPr="00BC4EE7">
        <w:rPr>
          <w:rStyle w:val="FootnoteReference"/>
          <w:rFonts w:ascii="Times New Roman" w:hAnsi="Times New Roman" w:cs="Times New Roman"/>
          <w:noProof/>
        </w:rPr>
        <w:footnoteReference w:id="179"/>
      </w:r>
      <w:r w:rsidRPr="00BC4EE7">
        <w:rPr>
          <w:rFonts w:ascii="Times New Roman" w:hAnsi="Times New Roman" w:cs="Times New Roman"/>
          <w:noProof/>
        </w:rPr>
        <w:t>; ii. az uniós kibocsátáskereskedelmi rendszer (ETS) keretében végzett tevékenységek, amelyek elérik a vonatkozó referenciaértékeket meg nem haladó, előre jelzett üvegházhatásúgáz-kibocsátást</w:t>
      </w:r>
      <w:r w:rsidRPr="00BC4EE7">
        <w:rPr>
          <w:rStyle w:val="FootnoteReference"/>
          <w:rFonts w:ascii="Times New Roman" w:hAnsi="Times New Roman" w:cs="Times New Roman"/>
          <w:noProof/>
        </w:rPr>
        <w:footnoteReference w:id="180"/>
      </w:r>
      <w:r w:rsidRPr="00BC4EE7">
        <w:rPr>
          <w:rFonts w:ascii="Times New Roman" w:hAnsi="Times New Roman" w:cs="Times New Roman"/>
          <w:noProof/>
        </w:rPr>
        <w:t>; hulladéklerakókkal, hulladékégetőkkel</w:t>
      </w:r>
      <w:r w:rsidRPr="00BC4EE7">
        <w:rPr>
          <w:rStyle w:val="FootnoteReference"/>
          <w:rFonts w:ascii="Times New Roman" w:hAnsi="Times New Roman" w:cs="Times New Roman"/>
          <w:noProof/>
        </w:rPr>
        <w:footnoteReference w:id="181"/>
      </w:r>
      <w:r w:rsidRPr="00BC4EE7">
        <w:rPr>
          <w:rFonts w:ascii="Times New Roman" w:hAnsi="Times New Roman" w:cs="Times New Roman"/>
          <w:noProof/>
        </w:rPr>
        <w:t xml:space="preserve"> és mechanikai-biológiai hulladékkezelő létesítményekkel kapcsolatos tevékenységek</w:t>
      </w:r>
      <w:r w:rsidRPr="00BC4EE7">
        <w:rPr>
          <w:rStyle w:val="FootnoteReference"/>
          <w:rFonts w:ascii="Times New Roman" w:hAnsi="Times New Roman" w:cs="Times New Roman"/>
          <w:noProof/>
        </w:rPr>
        <w:footnoteReference w:id="182"/>
      </w:r>
      <w:r w:rsidRPr="00BC4EE7">
        <w:rPr>
          <w:rFonts w:ascii="Times New Roman" w:hAnsi="Times New Roman" w:cs="Times New Roman"/>
          <w:noProof/>
        </w:rPr>
        <w:t>; valamint iv. azok a tevékenységek, amelyek esetében a hulladék hosszú távú ártalmatlanítása károsíthatja a környezetet. . A feladatmeghatározás előírja továbbá, hogy csak olyan tevékenységek választhatók ki, amelyek megfelelnek a vonatkozó uniós és nemzeti környezetvédelmi jogszabályoknak.</w:t>
      </w:r>
    </w:p>
    <w:p w14:paraId="2E47150A" w14:textId="02BFC0D9" w:rsidR="00D65CB4" w:rsidRPr="00BC4EE7" w:rsidRDefault="00572307">
      <w:pPr>
        <w:pStyle w:val="P68B1DB1-Normal4"/>
        <w:spacing w:before="120" w:after="120" w:line="240" w:lineRule="auto"/>
        <w:jc w:val="both"/>
        <w:rPr>
          <w:rFonts w:cs="Times New Roman"/>
          <w:noProof/>
        </w:rPr>
      </w:pPr>
      <w:r w:rsidRPr="00BC4EE7">
        <w:rPr>
          <w:rFonts w:cs="Times New Roman"/>
          <w:noProof/>
        </w:rPr>
        <w:t>Az e beruházás keretében végrehajtott következő K+F+I tevékenységeket úgy kell tekinteni, hogy megfelelnek a jelentős károkozás elkerülését célzó technikai iránymutatásnak (2021/C58/01): i. az e beruházás keretében megvalósuló K+F+I tevékenységek, amelyek alkalmazásuk szintjén technológiailag semleges eredményekhez vezetnek; ii. az e beruházás keretében megvalósuló K+F+I tevékenységek, amelyek olyan, alacsony környezeti hatással járó alternatívákat támogatnak, amelyek esetében léteznek ilyenek; vagy iii. az e beruházás keretében megvalósuló azon K+F+I tevékenységek, amelyek elsősorban az ágazatban a lehető legkisebb környezeti hatással járó alternatívák kifejlesztésére összpontosítanak azon tevékenységek esetében, amelyek esetében nincs technológiai és gazdasági szempontból megvalósítható, alacsony hatású alternatíva.</w:t>
      </w:r>
    </w:p>
    <w:p w14:paraId="77FEF779" w14:textId="468A384D" w:rsidR="00D65CB4" w:rsidRPr="00BC4EE7" w:rsidRDefault="00572307">
      <w:pPr>
        <w:pStyle w:val="P68B1DB1-Normal4"/>
        <w:autoSpaceDE w:val="0"/>
        <w:autoSpaceDN w:val="0"/>
        <w:spacing w:before="40" w:after="40"/>
        <w:rPr>
          <w:rFonts w:cs="Times New Roman"/>
          <w:noProof/>
        </w:rPr>
      </w:pPr>
      <w:r w:rsidRPr="00BC4EE7">
        <w:rPr>
          <w:rFonts w:cs="Times New Roman"/>
          <w:noProof/>
        </w:rPr>
        <w:t xml:space="preserve">A beruházás végrehajtását 2026. </w:t>
      </w:r>
      <w:r w:rsidRPr="00BC4EE7">
        <w:rPr>
          <w:rFonts w:cs="Times New Roman"/>
          <w:noProof/>
          <w:shd w:val="clear" w:color="auto" w:fill="FFFFFF" w:themeFill="background1"/>
        </w:rPr>
        <w:t>augusztus 31</w:t>
      </w:r>
      <w:r w:rsidRPr="00BC4EE7">
        <w:rPr>
          <w:rFonts w:cs="Times New Roman"/>
          <w:noProof/>
        </w:rPr>
        <w:t xml:space="preserve"> -ig be kell fejezni. </w:t>
      </w:r>
    </w:p>
    <w:p w14:paraId="0B68CACE" w14:textId="77777777" w:rsidR="00D65CB4" w:rsidRPr="00BC4EE7" w:rsidRDefault="00572307">
      <w:pPr>
        <w:spacing w:before="120" w:after="120" w:line="240" w:lineRule="auto"/>
        <w:ind w:left="720"/>
        <w:jc w:val="both"/>
        <w:rPr>
          <w:rFonts w:ascii="Times New Roman" w:hAnsi="Times New Roman" w:cs="Times New Roman"/>
          <w:b/>
          <w:noProof/>
          <w:sz w:val="24"/>
          <w:u w:val="single"/>
        </w:rPr>
      </w:pPr>
      <w:r w:rsidRPr="00BC4EE7">
        <w:rPr>
          <w:rFonts w:ascii="Times New Roman" w:hAnsi="Times New Roman" w:cs="Times New Roman"/>
          <w:b/>
          <w:noProof/>
          <w:sz w:val="24"/>
          <w:u w:val="single"/>
        </w:rPr>
        <w:t xml:space="preserve">Q.2.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Vissza nem térítendő pénzügyi támogatás – a végrehajtáshoz és a nyomon követéshez kapcsolódó mérföldkövek, célok, mutatók és ütemterv</w:t>
      </w:r>
    </w:p>
    <w:p w14:paraId="4E38FF67" w14:textId="77777777" w:rsidR="00D65CB4" w:rsidRPr="00BC4EE7" w:rsidRDefault="00572307">
      <w:pPr>
        <w:pStyle w:val="P68B1DB1-Normal4"/>
        <w:spacing w:before="120" w:after="120" w:line="240" w:lineRule="auto"/>
        <w:jc w:val="both"/>
        <w:rPr>
          <w:rFonts w:cs="Times New Roman"/>
          <w:noProof/>
        </w:rPr>
        <w:sectPr w:rsidR="00D65CB4" w:rsidRPr="00BC4EE7" w:rsidSect="00B511EF">
          <w:headerReference w:type="even" r:id="rId357"/>
          <w:headerReference w:type="default" r:id="rId358"/>
          <w:footerReference w:type="even" r:id="rId359"/>
          <w:footerReference w:type="default" r:id="rId360"/>
          <w:headerReference w:type="first" r:id="rId361"/>
          <w:footerReference w:type="first" r:id="rId362"/>
          <w:pgSz w:w="11907" w:h="16839"/>
          <w:pgMar w:top="1134" w:right="1134" w:bottom="1134" w:left="1134" w:header="567" w:footer="567" w:gutter="0"/>
          <w:cols w:space="720"/>
          <w:docGrid w:linePitch="360"/>
        </w:sectPr>
      </w:pPr>
      <w:r w:rsidRPr="00BC4EE7">
        <w:rPr>
          <w:rFonts w:cs="Times New Roman"/>
          <w:i/>
          <w:noProof/>
        </w:rPr>
        <w:t>Táblázat alább.</w:t>
      </w:r>
      <w:r w:rsidRPr="00BC4EE7">
        <w:rPr>
          <w:rFonts w:cs="Times New Roman"/>
          <w:noProof/>
        </w:rPr>
        <w:t xml:space="preserve"> </w:t>
      </w:r>
      <w:r w:rsidRPr="00BC4EE7">
        <w:rPr>
          <w:rFonts w:cs="Times New Roman"/>
          <w:i/>
          <w:noProof/>
        </w:rPr>
        <w:t>Az összes mutató esetében az alapforgatókönyv időpontja 2020. február 1., kivéve, ha az intézkedés leírása ettől eltérően rendelkezik. A táblázatban szereplő összegek nem tartalmazzák a héát.</w:t>
      </w:r>
    </w:p>
    <w:tbl>
      <w:tblPr>
        <w:tblW w:w="14851"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51"/>
        <w:gridCol w:w="936"/>
        <w:gridCol w:w="941"/>
        <w:gridCol w:w="1950"/>
        <w:gridCol w:w="951"/>
        <w:gridCol w:w="815"/>
        <w:gridCol w:w="950"/>
        <w:gridCol w:w="815"/>
        <w:gridCol w:w="545"/>
        <w:gridCol w:w="545"/>
        <w:gridCol w:w="5552"/>
      </w:tblGrid>
      <w:tr w:rsidR="00D65CB4" w:rsidRPr="00BC4EE7" w14:paraId="2C5D1B51" w14:textId="77777777" w:rsidTr="00BC4EE7">
        <w:trPr>
          <w:trHeight w:val="309"/>
          <w:tblHeader/>
        </w:trPr>
        <w:tc>
          <w:tcPr>
            <w:tcW w:w="851" w:type="dxa"/>
            <w:vMerge w:val="restart"/>
            <w:tcBorders>
              <w:top w:val="single" w:sz="4" w:space="0" w:color="auto"/>
            </w:tcBorders>
            <w:shd w:val="clear" w:color="auto" w:fill="C6D9F1" w:themeFill="text2" w:themeFillTint="33"/>
            <w:noWrap/>
            <w:vAlign w:val="center"/>
          </w:tcPr>
          <w:p w14:paraId="19543CA2" w14:textId="54313E3B" w:rsidR="00D65CB4" w:rsidRPr="00BC4EE7" w:rsidRDefault="00572307">
            <w:pPr>
              <w:pStyle w:val="P68B1DB1-Normal8"/>
              <w:spacing w:after="0" w:line="240" w:lineRule="auto"/>
              <w:jc w:val="center"/>
              <w:rPr>
                <w:rFonts w:cs="Times New Roman"/>
                <w:noProof/>
              </w:rPr>
            </w:pPr>
            <w:r w:rsidRPr="00BC4EE7">
              <w:rPr>
                <w:rFonts w:cs="Times New Roman"/>
                <w:noProof/>
              </w:rPr>
              <w:t>Szám</w:t>
            </w:r>
          </w:p>
        </w:tc>
        <w:tc>
          <w:tcPr>
            <w:tcW w:w="936" w:type="dxa"/>
            <w:vMerge w:val="restart"/>
            <w:tcBorders>
              <w:top w:val="single" w:sz="4" w:space="0" w:color="auto"/>
            </w:tcBorders>
            <w:shd w:val="clear" w:color="auto" w:fill="C6D9F1" w:themeFill="text2" w:themeFillTint="33"/>
            <w:noWrap/>
            <w:vAlign w:val="center"/>
          </w:tcPr>
          <w:p w14:paraId="4FA6DF0E" w14:textId="475F1FD5" w:rsidR="00D65CB4" w:rsidRPr="00BC4EE7" w:rsidRDefault="00572307">
            <w:pPr>
              <w:pStyle w:val="P68B1DB1-Normal8"/>
              <w:spacing w:after="0" w:line="240" w:lineRule="auto"/>
              <w:jc w:val="center"/>
              <w:rPr>
                <w:rFonts w:cs="Times New Roman"/>
                <w:noProof/>
              </w:rPr>
            </w:pPr>
            <w:r w:rsidRPr="00BC4EE7">
              <w:rPr>
                <w:rFonts w:cs="Times New Roman"/>
                <w:noProof/>
              </w:rPr>
              <w:t>Intézkedés</w:t>
            </w:r>
          </w:p>
        </w:tc>
        <w:tc>
          <w:tcPr>
            <w:tcW w:w="941" w:type="dxa"/>
            <w:vMerge w:val="restart"/>
            <w:tcBorders>
              <w:top w:val="single" w:sz="4" w:space="0" w:color="auto"/>
            </w:tcBorders>
            <w:shd w:val="clear" w:color="auto" w:fill="C6D9F1" w:themeFill="text2" w:themeFillTint="33"/>
            <w:noWrap/>
            <w:vAlign w:val="center"/>
          </w:tcPr>
          <w:p w14:paraId="4FC7EB82" w14:textId="02E2B431" w:rsidR="00D65CB4" w:rsidRPr="00BC4EE7" w:rsidRDefault="00572307">
            <w:pPr>
              <w:spacing w:after="0" w:line="240" w:lineRule="auto"/>
              <w:jc w:val="center"/>
              <w:rPr>
                <w:rFonts w:ascii="Times New Roman" w:hAnsi="Times New Roman" w:cs="Times New Roman"/>
                <w:b/>
                <w:noProof/>
                <w:sz w:val="18"/>
              </w:rPr>
            </w:pPr>
            <w:r w:rsidRPr="00BC4EE7">
              <w:rPr>
                <w:rFonts w:ascii="Times New Roman" w:hAnsi="Times New Roman" w:cs="Times New Roman"/>
                <w:b/>
                <w:noProof/>
                <w:sz w:val="18"/>
              </w:rPr>
              <w:t>Mérföldkő</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b/>
                <w:noProof/>
                <w:sz w:val="18"/>
              </w:rPr>
              <w:t xml:space="preserve"> /Cél</w:t>
            </w:r>
          </w:p>
        </w:tc>
        <w:tc>
          <w:tcPr>
            <w:tcW w:w="1950" w:type="dxa"/>
            <w:vMerge w:val="restart"/>
            <w:tcBorders>
              <w:top w:val="single" w:sz="4" w:space="0" w:color="auto"/>
            </w:tcBorders>
            <w:shd w:val="clear" w:color="auto" w:fill="C6D9F1" w:themeFill="text2" w:themeFillTint="33"/>
            <w:noWrap/>
            <w:vAlign w:val="center"/>
          </w:tcPr>
          <w:p w14:paraId="43A2C8BF" w14:textId="7068F93C" w:rsidR="00D65CB4" w:rsidRPr="00BC4EE7" w:rsidRDefault="00572307">
            <w:pPr>
              <w:pStyle w:val="P68B1DB1-Normal8"/>
              <w:spacing w:after="0" w:line="240" w:lineRule="auto"/>
              <w:jc w:val="center"/>
              <w:rPr>
                <w:rFonts w:cs="Times New Roman"/>
                <w:noProof/>
              </w:rPr>
            </w:pPr>
            <w:r w:rsidRPr="00BC4EE7">
              <w:rPr>
                <w:rFonts w:cs="Times New Roman"/>
                <w:noProof/>
              </w:rPr>
              <w:t>Név</w:t>
            </w:r>
          </w:p>
        </w:tc>
        <w:tc>
          <w:tcPr>
            <w:tcW w:w="951" w:type="dxa"/>
            <w:vMerge w:val="restart"/>
            <w:tcBorders>
              <w:top w:val="single" w:sz="4" w:space="0" w:color="auto"/>
            </w:tcBorders>
            <w:shd w:val="clear" w:color="auto" w:fill="C6D9F1" w:themeFill="text2" w:themeFillTint="33"/>
            <w:noWrap/>
            <w:vAlign w:val="center"/>
          </w:tcPr>
          <w:p w14:paraId="56FC1E27" w14:textId="5621B9A1" w:rsidR="00D65CB4" w:rsidRPr="00BC4EE7" w:rsidRDefault="00572307">
            <w:pPr>
              <w:pStyle w:val="P68B1DB1-Normal8"/>
              <w:spacing w:after="0" w:line="240" w:lineRule="auto"/>
              <w:jc w:val="center"/>
              <w:rPr>
                <w:rFonts w:cs="Times New Roman"/>
                <w:noProof/>
              </w:rPr>
            </w:pPr>
            <w:r w:rsidRPr="00BC4EE7">
              <w:rPr>
                <w:rFonts w:cs="Times New Roman"/>
                <w:noProof/>
              </w:rPr>
              <w:t>A mérföldkövek minőségi mutatója</w:t>
            </w:r>
          </w:p>
        </w:tc>
        <w:tc>
          <w:tcPr>
            <w:tcW w:w="2580" w:type="dxa"/>
            <w:gridSpan w:val="3"/>
            <w:tcBorders>
              <w:top w:val="single" w:sz="4" w:space="0" w:color="auto"/>
            </w:tcBorders>
            <w:shd w:val="clear" w:color="auto" w:fill="C6D9F1" w:themeFill="text2" w:themeFillTint="33"/>
            <w:noWrap/>
            <w:vAlign w:val="center"/>
          </w:tcPr>
          <w:p w14:paraId="38B08711" w14:textId="57CDA850" w:rsidR="00D65CB4" w:rsidRPr="00BC4EE7" w:rsidRDefault="00572307">
            <w:pPr>
              <w:pStyle w:val="P68B1DB1-Normal8"/>
              <w:spacing w:after="0" w:line="240" w:lineRule="auto"/>
              <w:jc w:val="center"/>
              <w:rPr>
                <w:rFonts w:cs="Times New Roman"/>
                <w:noProof/>
              </w:rPr>
            </w:pPr>
            <w:r w:rsidRPr="00BC4EE7">
              <w:rPr>
                <w:rFonts w:cs="Times New Roman"/>
                <w:noProof/>
              </w:rPr>
              <w:t>A célérték mennyiségi mutatója</w:t>
            </w:r>
          </w:p>
        </w:tc>
        <w:tc>
          <w:tcPr>
            <w:tcW w:w="1090" w:type="dxa"/>
            <w:gridSpan w:val="2"/>
            <w:tcBorders>
              <w:top w:val="single" w:sz="4" w:space="0" w:color="auto"/>
            </w:tcBorders>
            <w:shd w:val="clear" w:color="auto" w:fill="C6D9F1" w:themeFill="text2" w:themeFillTint="33"/>
            <w:vAlign w:val="center"/>
          </w:tcPr>
          <w:p w14:paraId="4ED2EEB3" w14:textId="03DAD0E8" w:rsidR="00D65CB4" w:rsidRPr="00BC4EE7" w:rsidRDefault="00572307">
            <w:pPr>
              <w:pStyle w:val="P68B1DB1-Normal8"/>
              <w:spacing w:after="0" w:line="240" w:lineRule="auto"/>
              <w:jc w:val="center"/>
              <w:rPr>
                <w:rFonts w:cs="Times New Roman"/>
                <w:noProof/>
              </w:rPr>
            </w:pPr>
            <w:r w:rsidRPr="00BC4EE7">
              <w:rPr>
                <w:rFonts w:cs="Times New Roman"/>
                <w:noProof/>
              </w:rPr>
              <w:t>Idő</w:t>
            </w:r>
          </w:p>
        </w:tc>
        <w:tc>
          <w:tcPr>
            <w:tcW w:w="5552" w:type="dxa"/>
            <w:vMerge w:val="restart"/>
            <w:tcBorders>
              <w:top w:val="single" w:sz="4" w:space="0" w:color="auto"/>
            </w:tcBorders>
            <w:shd w:val="clear" w:color="auto" w:fill="C6D9F1" w:themeFill="text2" w:themeFillTint="33"/>
            <w:noWrap/>
            <w:vAlign w:val="center"/>
          </w:tcPr>
          <w:p w14:paraId="4A40A094" w14:textId="64A0D489" w:rsidR="00D65CB4" w:rsidRPr="00BC4EE7" w:rsidRDefault="00572307">
            <w:pPr>
              <w:pStyle w:val="P68B1DB1-Normal8"/>
              <w:spacing w:after="0" w:line="240" w:lineRule="auto"/>
              <w:jc w:val="center"/>
              <w:rPr>
                <w:rFonts w:cs="Times New Roman"/>
                <w:noProof/>
              </w:rPr>
            </w:pPr>
            <w:r w:rsidRPr="00BC4EE7">
              <w:rPr>
                <w:rFonts w:cs="Times New Roman"/>
                <w:noProof/>
              </w:rPr>
              <w:t>Az egyes mérföldkövek és célértékek leírása</w:t>
            </w:r>
          </w:p>
        </w:tc>
      </w:tr>
      <w:tr w:rsidR="00D65CB4" w:rsidRPr="00BC4EE7" w14:paraId="158A3BCC" w14:textId="77777777" w:rsidTr="00BC4EE7">
        <w:trPr>
          <w:trHeight w:val="309"/>
          <w:tblHeader/>
        </w:trPr>
        <w:tc>
          <w:tcPr>
            <w:tcW w:w="851" w:type="dxa"/>
            <w:vMerge/>
            <w:noWrap/>
            <w:vAlign w:val="center"/>
          </w:tcPr>
          <w:p w14:paraId="6F5EBF30" w14:textId="78FB1A6A" w:rsidR="00D65CB4" w:rsidRPr="00BC4EE7" w:rsidRDefault="00D65CB4">
            <w:pPr>
              <w:spacing w:after="0" w:line="240" w:lineRule="auto"/>
              <w:jc w:val="center"/>
              <w:rPr>
                <w:rFonts w:ascii="Times New Roman" w:hAnsi="Times New Roman" w:cs="Times New Roman"/>
                <w:b/>
                <w:noProof/>
                <w:sz w:val="18"/>
              </w:rPr>
            </w:pPr>
          </w:p>
        </w:tc>
        <w:tc>
          <w:tcPr>
            <w:tcW w:w="936" w:type="dxa"/>
            <w:vMerge/>
            <w:noWrap/>
            <w:vAlign w:val="center"/>
          </w:tcPr>
          <w:p w14:paraId="20D980C9" w14:textId="57CF50E4" w:rsidR="00D65CB4" w:rsidRPr="00BC4EE7" w:rsidRDefault="00D65CB4">
            <w:pPr>
              <w:spacing w:after="0" w:line="240" w:lineRule="auto"/>
              <w:jc w:val="center"/>
              <w:rPr>
                <w:rFonts w:ascii="Times New Roman" w:hAnsi="Times New Roman" w:cs="Times New Roman"/>
                <w:b/>
                <w:noProof/>
                <w:sz w:val="18"/>
              </w:rPr>
            </w:pPr>
          </w:p>
        </w:tc>
        <w:tc>
          <w:tcPr>
            <w:tcW w:w="941" w:type="dxa"/>
            <w:vMerge/>
            <w:noWrap/>
            <w:vAlign w:val="center"/>
          </w:tcPr>
          <w:p w14:paraId="532E6BAC" w14:textId="2177902C" w:rsidR="00D65CB4" w:rsidRPr="00BC4EE7" w:rsidRDefault="00D65CB4">
            <w:pPr>
              <w:spacing w:after="0" w:line="240" w:lineRule="auto"/>
              <w:jc w:val="center"/>
              <w:rPr>
                <w:rFonts w:ascii="Times New Roman" w:hAnsi="Times New Roman" w:cs="Times New Roman"/>
                <w:b/>
                <w:noProof/>
                <w:sz w:val="18"/>
              </w:rPr>
            </w:pPr>
          </w:p>
        </w:tc>
        <w:tc>
          <w:tcPr>
            <w:tcW w:w="1950" w:type="dxa"/>
            <w:vMerge/>
            <w:noWrap/>
            <w:vAlign w:val="center"/>
          </w:tcPr>
          <w:p w14:paraId="36E5785B" w14:textId="5A9A66DC" w:rsidR="00D65CB4" w:rsidRPr="00BC4EE7" w:rsidRDefault="00D65CB4">
            <w:pPr>
              <w:spacing w:after="0" w:line="240" w:lineRule="auto"/>
              <w:rPr>
                <w:rFonts w:ascii="Times New Roman" w:hAnsi="Times New Roman" w:cs="Times New Roman"/>
                <w:b/>
                <w:noProof/>
                <w:sz w:val="18"/>
              </w:rPr>
            </w:pPr>
          </w:p>
        </w:tc>
        <w:tc>
          <w:tcPr>
            <w:tcW w:w="951" w:type="dxa"/>
            <w:vMerge/>
            <w:noWrap/>
            <w:vAlign w:val="center"/>
          </w:tcPr>
          <w:p w14:paraId="1C4710DB" w14:textId="4DB5E512" w:rsidR="00D65CB4" w:rsidRPr="00BC4EE7" w:rsidRDefault="00D65CB4">
            <w:pPr>
              <w:spacing w:after="0" w:line="240" w:lineRule="auto"/>
              <w:jc w:val="center"/>
              <w:rPr>
                <w:rFonts w:ascii="Times New Roman" w:hAnsi="Times New Roman" w:cs="Times New Roman"/>
                <w:b/>
                <w:noProof/>
                <w:sz w:val="18"/>
              </w:rPr>
            </w:pPr>
          </w:p>
        </w:tc>
        <w:tc>
          <w:tcPr>
            <w:tcW w:w="815" w:type="dxa"/>
            <w:shd w:val="clear" w:color="auto" w:fill="C6D9F1" w:themeFill="text2" w:themeFillTint="33"/>
            <w:noWrap/>
            <w:vAlign w:val="center"/>
          </w:tcPr>
          <w:p w14:paraId="6D5E5435" w14:textId="2523BC26" w:rsidR="00D65CB4" w:rsidRPr="00BC4EE7" w:rsidRDefault="00572307">
            <w:pPr>
              <w:pStyle w:val="P68B1DB1-Normal8"/>
              <w:spacing w:after="0" w:line="240" w:lineRule="auto"/>
              <w:jc w:val="center"/>
              <w:rPr>
                <w:rFonts w:cs="Times New Roman"/>
                <w:noProof/>
              </w:rPr>
            </w:pPr>
            <w:r w:rsidRPr="00BC4EE7">
              <w:rPr>
                <w:rFonts w:cs="Times New Roman"/>
                <w:noProof/>
              </w:rPr>
              <w:t>Egység</w:t>
            </w:r>
          </w:p>
        </w:tc>
        <w:tc>
          <w:tcPr>
            <w:tcW w:w="950" w:type="dxa"/>
            <w:shd w:val="clear" w:color="auto" w:fill="C6D9F1" w:themeFill="text2" w:themeFillTint="33"/>
            <w:vAlign w:val="center"/>
          </w:tcPr>
          <w:p w14:paraId="56D16D5D" w14:textId="4165E6D5" w:rsidR="00D65CB4" w:rsidRPr="00BC4EE7" w:rsidRDefault="00572307">
            <w:pPr>
              <w:pStyle w:val="P68B1DB1-Normal8"/>
              <w:spacing w:after="0" w:line="240" w:lineRule="auto"/>
              <w:jc w:val="center"/>
              <w:rPr>
                <w:rFonts w:eastAsia="Times New Roman" w:cs="Times New Roman"/>
                <w:noProof/>
              </w:rPr>
            </w:pPr>
            <w:r w:rsidRPr="00BC4EE7">
              <w:rPr>
                <w:rFonts w:cs="Times New Roman"/>
                <w:noProof/>
              </w:rPr>
              <w:t xml:space="preserve">Kiindulási </w:t>
            </w:r>
          </w:p>
        </w:tc>
        <w:tc>
          <w:tcPr>
            <w:tcW w:w="815" w:type="dxa"/>
            <w:shd w:val="clear" w:color="auto" w:fill="C6D9F1" w:themeFill="text2" w:themeFillTint="33"/>
            <w:vAlign w:val="center"/>
          </w:tcPr>
          <w:p w14:paraId="3B5D6938" w14:textId="7E0E8140" w:rsidR="00D65CB4" w:rsidRPr="00BC4EE7" w:rsidRDefault="00572307">
            <w:pPr>
              <w:pStyle w:val="P68B1DB1-Normal8"/>
              <w:spacing w:after="0" w:line="240" w:lineRule="auto"/>
              <w:rPr>
                <w:rFonts w:cs="Times New Roman"/>
                <w:noProof/>
              </w:rPr>
            </w:pPr>
            <w:r w:rsidRPr="00BC4EE7">
              <w:rPr>
                <w:rFonts w:cs="Times New Roman"/>
                <w:noProof/>
              </w:rPr>
              <w:t>Cél</w:t>
            </w:r>
          </w:p>
        </w:tc>
        <w:tc>
          <w:tcPr>
            <w:tcW w:w="545" w:type="dxa"/>
            <w:shd w:val="clear" w:color="auto" w:fill="C6D9F1" w:themeFill="text2" w:themeFillTint="33"/>
            <w:vAlign w:val="center"/>
          </w:tcPr>
          <w:p w14:paraId="099A5A6B" w14:textId="0D8178F4" w:rsidR="00D65CB4" w:rsidRPr="00BC4EE7" w:rsidRDefault="00572307">
            <w:pPr>
              <w:pStyle w:val="P68B1DB1-Normal8"/>
              <w:spacing w:after="0" w:line="240" w:lineRule="auto"/>
              <w:jc w:val="center"/>
              <w:rPr>
                <w:rFonts w:cs="Times New Roman"/>
                <w:noProof/>
              </w:rPr>
            </w:pPr>
            <w:r w:rsidRPr="00BC4EE7">
              <w:rPr>
                <w:rFonts w:cs="Times New Roman"/>
                <w:noProof/>
              </w:rPr>
              <w:t>Q</w:t>
            </w:r>
          </w:p>
        </w:tc>
        <w:tc>
          <w:tcPr>
            <w:tcW w:w="545" w:type="dxa"/>
            <w:shd w:val="clear" w:color="auto" w:fill="C6D9F1" w:themeFill="text2" w:themeFillTint="33"/>
            <w:vAlign w:val="center"/>
          </w:tcPr>
          <w:p w14:paraId="018B82E2" w14:textId="3B09D021" w:rsidR="00D65CB4" w:rsidRPr="00BC4EE7" w:rsidRDefault="00572307">
            <w:pPr>
              <w:pStyle w:val="P68B1DB1-Normal8"/>
              <w:spacing w:after="0" w:line="240" w:lineRule="auto"/>
              <w:jc w:val="center"/>
              <w:rPr>
                <w:rFonts w:cs="Times New Roman"/>
                <w:noProof/>
              </w:rPr>
            </w:pPr>
            <w:r w:rsidRPr="00BC4EE7">
              <w:rPr>
                <w:rFonts w:cs="Times New Roman"/>
                <w:noProof/>
              </w:rPr>
              <w:t>Éve</w:t>
            </w:r>
          </w:p>
        </w:tc>
        <w:tc>
          <w:tcPr>
            <w:tcW w:w="5552" w:type="dxa"/>
            <w:vMerge/>
            <w:noWrap/>
            <w:vAlign w:val="center"/>
          </w:tcPr>
          <w:p w14:paraId="6028BA91" w14:textId="6495DF35" w:rsidR="00D65CB4" w:rsidRPr="00BC4EE7" w:rsidRDefault="00D65CB4">
            <w:pPr>
              <w:spacing w:after="0" w:line="240" w:lineRule="auto"/>
              <w:rPr>
                <w:rFonts w:ascii="Times New Roman" w:eastAsia="Times New Roman" w:hAnsi="Times New Roman" w:cs="Times New Roman"/>
                <w:b/>
                <w:noProof/>
                <w:sz w:val="18"/>
              </w:rPr>
            </w:pPr>
          </w:p>
        </w:tc>
      </w:tr>
      <w:tr w:rsidR="00D65CB4" w:rsidRPr="00BC4EE7" w14:paraId="1FA893DD" w14:textId="77777777" w:rsidTr="00BC4EE7">
        <w:trPr>
          <w:trHeight w:val="309"/>
        </w:trPr>
        <w:tc>
          <w:tcPr>
            <w:tcW w:w="851" w:type="dxa"/>
            <w:shd w:val="clear" w:color="auto" w:fill="C6EFCE"/>
            <w:noWrap/>
          </w:tcPr>
          <w:p w14:paraId="0AEDCC3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254</w:t>
            </w:r>
          </w:p>
        </w:tc>
        <w:tc>
          <w:tcPr>
            <w:tcW w:w="936" w:type="dxa"/>
            <w:shd w:val="clear" w:color="auto" w:fill="C6EFCE"/>
            <w:noWrap/>
          </w:tcPr>
          <w:p w14:paraId="5FBF3E8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C17.R1</w:t>
            </w:r>
          </w:p>
        </w:tc>
        <w:tc>
          <w:tcPr>
            <w:tcW w:w="941" w:type="dxa"/>
            <w:shd w:val="clear" w:color="auto" w:fill="C6EFCE"/>
            <w:noWrap/>
          </w:tcPr>
          <w:p w14:paraId="46CDB86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1950" w:type="dxa"/>
            <w:shd w:val="clear" w:color="auto" w:fill="C6EFCE"/>
            <w:noWrap/>
          </w:tcPr>
          <w:p w14:paraId="5D2708B9"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tudományról, a technológiáról és az innovációról szóló, június 1-jei 14/2011. sz. törvény módosításának hatálybalépése.</w:t>
            </w:r>
          </w:p>
        </w:tc>
        <w:tc>
          <w:tcPr>
            <w:tcW w:w="951" w:type="dxa"/>
            <w:shd w:val="clear" w:color="auto" w:fill="C6EFCE"/>
            <w:noWrap/>
          </w:tcPr>
          <w:p w14:paraId="3D8696D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A hatálybalépésről szóló törvény rendelkezése</w:t>
            </w:r>
          </w:p>
        </w:tc>
        <w:tc>
          <w:tcPr>
            <w:tcW w:w="815" w:type="dxa"/>
            <w:shd w:val="clear" w:color="auto" w:fill="C6EFCE"/>
            <w:noWrap/>
          </w:tcPr>
          <w:p w14:paraId="6F55BD0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50" w:type="dxa"/>
            <w:shd w:val="clear" w:color="auto" w:fill="C6EFCE"/>
          </w:tcPr>
          <w:p w14:paraId="2E7611B6" w14:textId="77777777" w:rsidR="00D65CB4" w:rsidRPr="00BC4EE7" w:rsidRDefault="00D65CB4">
            <w:pPr>
              <w:spacing w:after="0" w:line="240" w:lineRule="auto"/>
              <w:rPr>
                <w:rFonts w:ascii="Times New Roman" w:hAnsi="Times New Roman" w:cs="Times New Roman"/>
                <w:noProof/>
                <w:sz w:val="18"/>
              </w:rPr>
            </w:pPr>
          </w:p>
        </w:tc>
        <w:tc>
          <w:tcPr>
            <w:tcW w:w="815" w:type="dxa"/>
            <w:shd w:val="clear" w:color="auto" w:fill="C6EFCE"/>
          </w:tcPr>
          <w:p w14:paraId="17BDBD32" w14:textId="6EC248F7" w:rsidR="00D65CB4" w:rsidRPr="00BC4EE7" w:rsidRDefault="00D65CB4">
            <w:pPr>
              <w:spacing w:after="0" w:line="240" w:lineRule="auto"/>
              <w:jc w:val="center"/>
              <w:rPr>
                <w:rFonts w:ascii="Times New Roman" w:hAnsi="Times New Roman" w:cs="Times New Roman"/>
                <w:noProof/>
                <w:sz w:val="18"/>
              </w:rPr>
            </w:pPr>
          </w:p>
        </w:tc>
        <w:tc>
          <w:tcPr>
            <w:tcW w:w="545" w:type="dxa"/>
            <w:shd w:val="clear" w:color="auto" w:fill="C6EFCE"/>
          </w:tcPr>
          <w:p w14:paraId="39A299FC" w14:textId="0C00DA27"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545" w:type="dxa"/>
            <w:shd w:val="clear" w:color="auto" w:fill="C6EFCE"/>
          </w:tcPr>
          <w:p w14:paraId="11C93FFC" w14:textId="30FDDC17" w:rsidR="00D65CB4" w:rsidRPr="00BC4EE7" w:rsidRDefault="00572307">
            <w:pPr>
              <w:pStyle w:val="P68B1DB1-Normal12"/>
              <w:spacing w:after="0" w:line="240" w:lineRule="auto"/>
              <w:jc w:val="center"/>
              <w:rPr>
                <w:rFonts w:cs="Times New Roman"/>
                <w:noProof/>
              </w:rPr>
            </w:pPr>
            <w:r w:rsidRPr="00BC4EE7">
              <w:rPr>
                <w:rFonts w:cs="Times New Roman"/>
                <w:noProof/>
              </w:rPr>
              <w:t>2022</w:t>
            </w:r>
          </w:p>
        </w:tc>
        <w:tc>
          <w:tcPr>
            <w:tcW w:w="5552" w:type="dxa"/>
            <w:shd w:val="clear" w:color="auto" w:fill="C6EFCE"/>
            <w:noWrap/>
          </w:tcPr>
          <w:p w14:paraId="4E3D45B8" w14:textId="77777777" w:rsidR="00D65CB4" w:rsidRPr="00BC4EE7" w:rsidRDefault="00572307">
            <w:pPr>
              <w:pStyle w:val="P68B1DB1-Normal12"/>
              <w:spacing w:after="0" w:line="240" w:lineRule="auto"/>
              <w:rPr>
                <w:rFonts w:cs="Times New Roman"/>
                <w:noProof/>
              </w:rPr>
            </w:pPr>
            <w:r w:rsidRPr="00BC4EE7">
              <w:rPr>
                <w:rFonts w:cs="Times New Roman"/>
                <w:noProof/>
              </w:rPr>
              <w:t xml:space="preserve">A tudományról, technológiáról és innovációról szóló törvény módosításának hatálybalépése, amely javítja a tudományos, kutatási és innovációs politikák különböző kormányzati szintjei közötti koordinációt, javítja a spanyol tudományos technológiai és innovációs rendszer irányítását és koordinációját, új tudományos karriert vezet be és javítja a tudástranszfert. </w:t>
            </w:r>
          </w:p>
        </w:tc>
      </w:tr>
      <w:tr w:rsidR="00D65CB4" w:rsidRPr="00BC4EE7" w14:paraId="1FEA383B" w14:textId="77777777" w:rsidTr="00BC4EE7">
        <w:trPr>
          <w:trHeight w:val="309"/>
        </w:trPr>
        <w:tc>
          <w:tcPr>
            <w:tcW w:w="851" w:type="dxa"/>
            <w:shd w:val="clear" w:color="auto" w:fill="C6EFCE"/>
            <w:noWrap/>
          </w:tcPr>
          <w:p w14:paraId="213D4DF8" w14:textId="77777777" w:rsidR="00D65CB4" w:rsidRPr="00BC4EE7" w:rsidRDefault="00572307">
            <w:pPr>
              <w:pStyle w:val="P68B1DB1-Normal12"/>
              <w:jc w:val="center"/>
              <w:rPr>
                <w:rFonts w:cs="Times New Roman"/>
                <w:noProof/>
              </w:rPr>
            </w:pPr>
            <w:r w:rsidRPr="00BC4EE7">
              <w:rPr>
                <w:rFonts w:cs="Times New Roman"/>
                <w:noProof/>
              </w:rPr>
              <w:t>255</w:t>
            </w:r>
          </w:p>
        </w:tc>
        <w:tc>
          <w:tcPr>
            <w:tcW w:w="936" w:type="dxa"/>
            <w:shd w:val="clear" w:color="auto" w:fill="C6EFCE"/>
            <w:noWrap/>
          </w:tcPr>
          <w:p w14:paraId="47E4DDEA" w14:textId="77777777" w:rsidR="00D65CB4" w:rsidRPr="00BC4EE7" w:rsidRDefault="00572307">
            <w:pPr>
              <w:pStyle w:val="P68B1DB1-Normal12"/>
              <w:jc w:val="center"/>
              <w:rPr>
                <w:rFonts w:cs="Times New Roman"/>
                <w:noProof/>
              </w:rPr>
            </w:pPr>
            <w:r w:rsidRPr="00BC4EE7">
              <w:rPr>
                <w:rFonts w:cs="Times New Roman"/>
                <w:noProof/>
              </w:rPr>
              <w:t>C17.R2</w:t>
            </w:r>
          </w:p>
        </w:tc>
        <w:tc>
          <w:tcPr>
            <w:tcW w:w="941" w:type="dxa"/>
            <w:shd w:val="clear" w:color="auto" w:fill="C6EFCE"/>
            <w:noWrap/>
          </w:tcPr>
          <w:p w14:paraId="3222240A" w14:textId="77777777" w:rsidR="00D65CB4" w:rsidRPr="00BC4EE7" w:rsidRDefault="00572307">
            <w:pPr>
              <w:pStyle w:val="P68B1DB1-Normal12"/>
              <w:jc w:val="center"/>
              <w:rPr>
                <w:rFonts w:cs="Times New Roman"/>
                <w:noProof/>
              </w:rPr>
            </w:pPr>
            <w:r w:rsidRPr="00BC4EE7">
              <w:rPr>
                <w:rFonts w:cs="Times New Roman"/>
                <w:noProof/>
              </w:rPr>
              <w:t>M</w:t>
            </w:r>
          </w:p>
        </w:tc>
        <w:tc>
          <w:tcPr>
            <w:tcW w:w="1950" w:type="dxa"/>
            <w:shd w:val="clear" w:color="auto" w:fill="C6EFCE"/>
            <w:noWrap/>
          </w:tcPr>
          <w:p w14:paraId="62CD58CA" w14:textId="77777777" w:rsidR="00D65CB4" w:rsidRPr="00BC4EE7" w:rsidRDefault="00572307">
            <w:pPr>
              <w:pStyle w:val="P68B1DB1-Normal12"/>
              <w:rPr>
                <w:rFonts w:cs="Times New Roman"/>
                <w:noProof/>
              </w:rPr>
            </w:pPr>
            <w:r w:rsidRPr="00BC4EE7">
              <w:rPr>
                <w:rFonts w:cs="Times New Roman"/>
                <w:noProof/>
              </w:rPr>
              <w:t>A 2021 és 2027 közötti időszakra vonatkozó spanyol tudományos, technológiai és innovációs stratégia közzététele</w:t>
            </w:r>
          </w:p>
        </w:tc>
        <w:tc>
          <w:tcPr>
            <w:tcW w:w="951" w:type="dxa"/>
            <w:shd w:val="clear" w:color="auto" w:fill="C6EFCE"/>
            <w:noWrap/>
          </w:tcPr>
          <w:p w14:paraId="7AD43052" w14:textId="77777777" w:rsidR="00D65CB4" w:rsidRPr="00BC4EE7" w:rsidRDefault="00572307">
            <w:pPr>
              <w:pStyle w:val="P68B1DB1-Normal12"/>
              <w:rPr>
                <w:rFonts w:cs="Times New Roman"/>
                <w:noProof/>
              </w:rPr>
            </w:pPr>
            <w:r w:rsidRPr="00BC4EE7">
              <w:rPr>
                <w:rFonts w:cs="Times New Roman"/>
                <w:noProof/>
              </w:rPr>
              <w:t>A 2021 és 2027 közötti időszakra vonatkozó spanyol tudományos, technológiai és innovációs stratégia közzététele</w:t>
            </w:r>
          </w:p>
        </w:tc>
        <w:tc>
          <w:tcPr>
            <w:tcW w:w="815" w:type="dxa"/>
            <w:shd w:val="clear" w:color="auto" w:fill="C6EFCE"/>
            <w:noWrap/>
          </w:tcPr>
          <w:p w14:paraId="394EAC0E" w14:textId="77777777" w:rsidR="00D65CB4" w:rsidRPr="00BC4EE7" w:rsidRDefault="00572307">
            <w:pPr>
              <w:pStyle w:val="P68B1DB1-Normal12"/>
              <w:rPr>
                <w:rFonts w:cs="Times New Roman"/>
                <w:noProof/>
              </w:rPr>
            </w:pPr>
            <w:r w:rsidRPr="00BC4EE7">
              <w:rPr>
                <w:rFonts w:cs="Times New Roman"/>
                <w:noProof/>
              </w:rPr>
              <w:t xml:space="preserve"> </w:t>
            </w:r>
          </w:p>
        </w:tc>
        <w:tc>
          <w:tcPr>
            <w:tcW w:w="950" w:type="dxa"/>
            <w:shd w:val="clear" w:color="auto" w:fill="C6EFCE"/>
          </w:tcPr>
          <w:p w14:paraId="5C7927EC" w14:textId="77777777" w:rsidR="00D65CB4" w:rsidRPr="00BC4EE7" w:rsidRDefault="00D65CB4">
            <w:pPr>
              <w:rPr>
                <w:rFonts w:ascii="Times New Roman" w:hAnsi="Times New Roman" w:cs="Times New Roman"/>
                <w:noProof/>
                <w:sz w:val="18"/>
              </w:rPr>
            </w:pPr>
          </w:p>
        </w:tc>
        <w:tc>
          <w:tcPr>
            <w:tcW w:w="815" w:type="dxa"/>
            <w:shd w:val="clear" w:color="auto" w:fill="C6EFCE"/>
          </w:tcPr>
          <w:p w14:paraId="30E47931" w14:textId="36E724BD" w:rsidR="00D65CB4" w:rsidRPr="00BC4EE7" w:rsidRDefault="00D65CB4">
            <w:pPr>
              <w:jc w:val="center"/>
              <w:rPr>
                <w:rFonts w:ascii="Times New Roman" w:hAnsi="Times New Roman" w:cs="Times New Roman"/>
                <w:noProof/>
                <w:sz w:val="18"/>
              </w:rPr>
            </w:pPr>
          </w:p>
        </w:tc>
        <w:tc>
          <w:tcPr>
            <w:tcW w:w="545" w:type="dxa"/>
            <w:shd w:val="clear" w:color="auto" w:fill="C6EFCE"/>
          </w:tcPr>
          <w:p w14:paraId="21F37CD3" w14:textId="003FF69C" w:rsidR="00D65CB4" w:rsidRPr="00BC4EE7" w:rsidRDefault="00572307">
            <w:pPr>
              <w:pStyle w:val="P68B1DB1-Normal12"/>
              <w:jc w:val="center"/>
              <w:rPr>
                <w:rFonts w:cs="Times New Roman"/>
                <w:noProof/>
              </w:rPr>
            </w:pPr>
            <w:r w:rsidRPr="00BC4EE7">
              <w:rPr>
                <w:rFonts w:cs="Times New Roman"/>
                <w:noProof/>
              </w:rPr>
              <w:t>Q4</w:t>
            </w:r>
          </w:p>
        </w:tc>
        <w:tc>
          <w:tcPr>
            <w:tcW w:w="545" w:type="dxa"/>
            <w:shd w:val="clear" w:color="auto" w:fill="C6EFCE"/>
          </w:tcPr>
          <w:p w14:paraId="1130D534" w14:textId="6205A7D6" w:rsidR="00D65CB4" w:rsidRPr="00BC4EE7" w:rsidRDefault="00572307">
            <w:pPr>
              <w:pStyle w:val="P68B1DB1-Normal12"/>
              <w:jc w:val="center"/>
              <w:rPr>
                <w:rFonts w:cs="Times New Roman"/>
                <w:noProof/>
              </w:rPr>
            </w:pPr>
            <w:r w:rsidRPr="00BC4EE7">
              <w:rPr>
                <w:rFonts w:cs="Times New Roman"/>
                <w:noProof/>
              </w:rPr>
              <w:t>2020</w:t>
            </w:r>
          </w:p>
        </w:tc>
        <w:tc>
          <w:tcPr>
            <w:tcW w:w="5552" w:type="dxa"/>
            <w:shd w:val="clear" w:color="auto" w:fill="C6EFCE"/>
            <w:noWrap/>
          </w:tcPr>
          <w:p w14:paraId="10CCE7ED" w14:textId="77777777" w:rsidR="00D65CB4" w:rsidRPr="00BC4EE7" w:rsidRDefault="00572307">
            <w:pPr>
              <w:pStyle w:val="P68B1DB1-Normal12"/>
              <w:spacing w:line="240" w:lineRule="auto"/>
              <w:rPr>
                <w:rFonts w:cs="Times New Roman"/>
                <w:noProof/>
              </w:rPr>
            </w:pPr>
            <w:r w:rsidRPr="00BC4EE7">
              <w:rPr>
                <w:rFonts w:cs="Times New Roman"/>
                <w:noProof/>
              </w:rPr>
              <w:t xml:space="preserve">A spanyol tudományos, technológiai és innovációs stratégia (EECTI) meghatározza a kutatásfejlesztés és innováció területén valamennyi közigazgatási szerv által követendő átfogó stratégiát, beleértve a regionális és helyi szintet is. A stratégia Spanyolország intelligens szakosodási stratégiája.  Létrejön a stratégia monitoringbizottsága, amely az állam, a régiók, a gazdasági és társadalmi szereplők, valamint a tudományos közösség képviselőiből áll. A stratégia a közigazgatás különböző szintjei közötti koordináció elvén alapul, és arra épül, hogy biztosítsa a nemi dimenziót a K+I-ben. Célja a köz- és magánszféra közötti együttműködés erősítése, a tudástranszfer előmozdítása, a tudományos tehetségek megtartása és a tudományos karrier kialakítása, a magánszektorban a K+F+I támogatására szolgáló megfelelő adózási ösztönzők biztosítása, valamint a nemi dimenzió beépítése. </w:t>
            </w:r>
          </w:p>
        </w:tc>
      </w:tr>
      <w:tr w:rsidR="00D65CB4" w:rsidRPr="00BC4EE7" w14:paraId="5CCF5445" w14:textId="77777777" w:rsidTr="00BC4EE7">
        <w:trPr>
          <w:trHeight w:val="309"/>
        </w:trPr>
        <w:tc>
          <w:tcPr>
            <w:tcW w:w="851" w:type="dxa"/>
            <w:shd w:val="clear" w:color="auto" w:fill="C6EFCE"/>
            <w:noWrap/>
          </w:tcPr>
          <w:p w14:paraId="777BEDB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256</w:t>
            </w:r>
          </w:p>
        </w:tc>
        <w:tc>
          <w:tcPr>
            <w:tcW w:w="936" w:type="dxa"/>
            <w:shd w:val="clear" w:color="auto" w:fill="C6EFCE"/>
            <w:noWrap/>
          </w:tcPr>
          <w:p w14:paraId="685AC3B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C17.R2</w:t>
            </w:r>
          </w:p>
        </w:tc>
        <w:tc>
          <w:tcPr>
            <w:tcW w:w="941" w:type="dxa"/>
            <w:shd w:val="clear" w:color="auto" w:fill="C6EFCE"/>
            <w:noWrap/>
          </w:tcPr>
          <w:p w14:paraId="7D124B3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1950" w:type="dxa"/>
            <w:shd w:val="clear" w:color="auto" w:fill="C6EFCE"/>
            <w:noWrap/>
          </w:tcPr>
          <w:p w14:paraId="41DC8F17"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 2021 és 2027 közötti időszakra vonatkozó spanyol tudományos, technológiai és innovációs stratégia félidős értékelése </w:t>
            </w:r>
          </w:p>
        </w:tc>
        <w:tc>
          <w:tcPr>
            <w:tcW w:w="951" w:type="dxa"/>
            <w:shd w:val="clear" w:color="auto" w:fill="C6EFCE"/>
            <w:noWrap/>
          </w:tcPr>
          <w:p w14:paraId="456A46FD"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Megállapodás a Consejo de </w:t>
            </w:r>
            <w:r w:rsidRPr="00BC4EE7">
              <w:rPr>
                <w:rFonts w:cs="Times New Roman"/>
                <w:i/>
                <w:noProof/>
              </w:rPr>
              <w:t>Política Científicában (Tecnológica y de Innovación</w:t>
            </w:r>
            <w:r w:rsidRPr="00BC4EE7">
              <w:rPr>
                <w:rFonts w:cs="Times New Roman"/>
                <w:noProof/>
              </w:rPr>
              <w:t xml:space="preserve">) és az értékelés közzététele a Tudományos és Innovációs Minisztérium honlapján.  </w:t>
            </w:r>
          </w:p>
        </w:tc>
        <w:tc>
          <w:tcPr>
            <w:tcW w:w="815" w:type="dxa"/>
            <w:shd w:val="clear" w:color="auto" w:fill="C6EFCE"/>
            <w:noWrap/>
          </w:tcPr>
          <w:p w14:paraId="19322564"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50" w:type="dxa"/>
            <w:shd w:val="clear" w:color="auto" w:fill="C6EFCE"/>
          </w:tcPr>
          <w:p w14:paraId="3A31862B" w14:textId="77777777" w:rsidR="00D65CB4" w:rsidRPr="00BC4EE7" w:rsidRDefault="00D65CB4">
            <w:pPr>
              <w:spacing w:after="0" w:line="240" w:lineRule="auto"/>
              <w:rPr>
                <w:rFonts w:ascii="Times New Roman" w:hAnsi="Times New Roman" w:cs="Times New Roman"/>
                <w:noProof/>
                <w:sz w:val="18"/>
              </w:rPr>
            </w:pPr>
          </w:p>
        </w:tc>
        <w:tc>
          <w:tcPr>
            <w:tcW w:w="815" w:type="dxa"/>
            <w:shd w:val="clear" w:color="auto" w:fill="C6EFCE"/>
          </w:tcPr>
          <w:p w14:paraId="0061496B" w14:textId="4EA8BB98" w:rsidR="00D65CB4" w:rsidRPr="00BC4EE7" w:rsidRDefault="00D65CB4">
            <w:pPr>
              <w:spacing w:after="0" w:line="240" w:lineRule="auto"/>
              <w:jc w:val="center"/>
              <w:rPr>
                <w:rFonts w:ascii="Times New Roman" w:hAnsi="Times New Roman" w:cs="Times New Roman"/>
                <w:noProof/>
                <w:sz w:val="18"/>
              </w:rPr>
            </w:pPr>
          </w:p>
        </w:tc>
        <w:tc>
          <w:tcPr>
            <w:tcW w:w="545" w:type="dxa"/>
            <w:shd w:val="clear" w:color="auto" w:fill="C6EFCE"/>
          </w:tcPr>
          <w:p w14:paraId="6DA9F107" w14:textId="59508092"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545" w:type="dxa"/>
            <w:shd w:val="clear" w:color="auto" w:fill="C6EFCE"/>
          </w:tcPr>
          <w:p w14:paraId="0D5454B8" w14:textId="61006493" w:rsidR="00D65CB4" w:rsidRPr="00BC4EE7" w:rsidRDefault="00572307">
            <w:pPr>
              <w:pStyle w:val="P68B1DB1-Normal12"/>
              <w:spacing w:after="0" w:line="240" w:lineRule="auto"/>
              <w:jc w:val="center"/>
              <w:rPr>
                <w:rFonts w:cs="Times New Roman"/>
                <w:noProof/>
              </w:rPr>
            </w:pPr>
            <w:r w:rsidRPr="00BC4EE7">
              <w:rPr>
                <w:rFonts w:cs="Times New Roman"/>
                <w:noProof/>
              </w:rPr>
              <w:t>2023</w:t>
            </w:r>
          </w:p>
        </w:tc>
        <w:tc>
          <w:tcPr>
            <w:tcW w:w="5552" w:type="dxa"/>
            <w:shd w:val="clear" w:color="auto" w:fill="C6EFCE"/>
            <w:noWrap/>
          </w:tcPr>
          <w:p w14:paraId="73F6C422"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 2021 és 2027 közötti időszakra vonatkozó spanyol tudományos, technológiai és innovációs stratégia monitoringbizottsága által végzett félidős értékelést 2023 decemberében teszik közzé. Az értékelés során alkalmazandó mutatókat a </w:t>
            </w:r>
            <w:r w:rsidRPr="00BC4EE7">
              <w:rPr>
                <w:rFonts w:cs="Times New Roman"/>
                <w:i/>
                <w:noProof/>
              </w:rPr>
              <w:t>Consejo de Política Científica, Tecnológica y de Innovación</w:t>
            </w:r>
            <w:r w:rsidRPr="00BC4EE7">
              <w:rPr>
                <w:rFonts w:cs="Times New Roman"/>
                <w:noProof/>
              </w:rPr>
              <w:t xml:space="preserve"> (amelyben a 17 autonóm közösség képviselteti magát), e mutatók indikatív listáját és az adatkeresést a 2021 és 2027 közötti időszakra vonatkozó spanyol tudományos, technológiai és innovációs stratégia határozza meg. A tudományos, technológiai és innovációs rendszert a stratégia végrehajtása terén elért előrehaladásra vonatkozó adatok gyűjtésére használják. </w:t>
            </w:r>
          </w:p>
        </w:tc>
      </w:tr>
      <w:tr w:rsidR="00D65CB4" w:rsidRPr="00BC4EE7" w14:paraId="068EE29A" w14:textId="77777777" w:rsidTr="00BC4EE7">
        <w:trPr>
          <w:trHeight w:val="309"/>
        </w:trPr>
        <w:tc>
          <w:tcPr>
            <w:tcW w:w="851" w:type="dxa"/>
            <w:shd w:val="clear" w:color="auto" w:fill="C6EFCE"/>
            <w:noWrap/>
          </w:tcPr>
          <w:p w14:paraId="18E0C81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257</w:t>
            </w:r>
          </w:p>
        </w:tc>
        <w:tc>
          <w:tcPr>
            <w:tcW w:w="936" w:type="dxa"/>
            <w:shd w:val="clear" w:color="auto" w:fill="C6EFCE"/>
            <w:noWrap/>
          </w:tcPr>
          <w:p w14:paraId="0268D8D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C17.R3</w:t>
            </w:r>
          </w:p>
        </w:tc>
        <w:tc>
          <w:tcPr>
            <w:tcW w:w="941" w:type="dxa"/>
            <w:shd w:val="clear" w:color="auto" w:fill="C6EFCE"/>
            <w:noWrap/>
          </w:tcPr>
          <w:p w14:paraId="0B53C30B"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1950" w:type="dxa"/>
            <w:shd w:val="clear" w:color="auto" w:fill="C6EFCE"/>
            <w:noWrap/>
          </w:tcPr>
          <w:p w14:paraId="276E380B"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Az állami kutatási szervezetek átszervezéséről szóló királyi rendelet hatálybalépése. </w:t>
            </w:r>
          </w:p>
        </w:tc>
        <w:tc>
          <w:tcPr>
            <w:tcW w:w="951" w:type="dxa"/>
            <w:shd w:val="clear" w:color="auto" w:fill="C6EFCE"/>
            <w:noWrap/>
          </w:tcPr>
          <w:p w14:paraId="4A68CD8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A hatályba lépésről szóló királyi rendelet rendelkezése</w:t>
            </w:r>
          </w:p>
        </w:tc>
        <w:tc>
          <w:tcPr>
            <w:tcW w:w="815" w:type="dxa"/>
            <w:shd w:val="clear" w:color="auto" w:fill="C6EFCE"/>
            <w:noWrap/>
          </w:tcPr>
          <w:p w14:paraId="31A2D42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50" w:type="dxa"/>
            <w:shd w:val="clear" w:color="auto" w:fill="C6EFCE"/>
          </w:tcPr>
          <w:p w14:paraId="1A31E73D" w14:textId="77777777" w:rsidR="00D65CB4" w:rsidRPr="00BC4EE7" w:rsidRDefault="00D65CB4">
            <w:pPr>
              <w:spacing w:after="0" w:line="240" w:lineRule="auto"/>
              <w:rPr>
                <w:rFonts w:ascii="Times New Roman" w:hAnsi="Times New Roman" w:cs="Times New Roman"/>
                <w:noProof/>
                <w:sz w:val="18"/>
              </w:rPr>
            </w:pPr>
          </w:p>
        </w:tc>
        <w:tc>
          <w:tcPr>
            <w:tcW w:w="815" w:type="dxa"/>
            <w:shd w:val="clear" w:color="auto" w:fill="C6EFCE"/>
          </w:tcPr>
          <w:p w14:paraId="7B110424" w14:textId="6EB46920" w:rsidR="00D65CB4" w:rsidRPr="00BC4EE7" w:rsidRDefault="00D65CB4">
            <w:pPr>
              <w:spacing w:after="0" w:line="240" w:lineRule="auto"/>
              <w:jc w:val="center"/>
              <w:rPr>
                <w:rFonts w:ascii="Times New Roman" w:hAnsi="Times New Roman" w:cs="Times New Roman"/>
                <w:noProof/>
                <w:sz w:val="18"/>
              </w:rPr>
            </w:pPr>
          </w:p>
        </w:tc>
        <w:tc>
          <w:tcPr>
            <w:tcW w:w="545" w:type="dxa"/>
            <w:shd w:val="clear" w:color="auto" w:fill="C6EFCE"/>
          </w:tcPr>
          <w:p w14:paraId="5172323B" w14:textId="615AFFB7" w:rsidR="00D65CB4" w:rsidRPr="00BC4EE7" w:rsidRDefault="00572307">
            <w:pPr>
              <w:pStyle w:val="P68B1DB1-Normal12"/>
              <w:spacing w:after="0" w:line="240" w:lineRule="auto"/>
              <w:jc w:val="center"/>
              <w:rPr>
                <w:rFonts w:cs="Times New Roman"/>
                <w:noProof/>
              </w:rPr>
            </w:pPr>
            <w:r w:rsidRPr="00BC4EE7">
              <w:rPr>
                <w:rFonts w:cs="Times New Roman"/>
                <w:noProof/>
              </w:rPr>
              <w:t>Q1</w:t>
            </w:r>
          </w:p>
        </w:tc>
        <w:tc>
          <w:tcPr>
            <w:tcW w:w="545" w:type="dxa"/>
            <w:shd w:val="clear" w:color="auto" w:fill="C6EFCE"/>
          </w:tcPr>
          <w:p w14:paraId="25087A98" w14:textId="36EDB34B" w:rsidR="00D65CB4" w:rsidRPr="00BC4EE7" w:rsidRDefault="00572307">
            <w:pPr>
              <w:pStyle w:val="P68B1DB1-Normal12"/>
              <w:spacing w:after="0" w:line="240" w:lineRule="auto"/>
              <w:jc w:val="center"/>
              <w:rPr>
                <w:rFonts w:cs="Times New Roman"/>
                <w:noProof/>
              </w:rPr>
            </w:pPr>
            <w:r w:rsidRPr="00BC4EE7">
              <w:rPr>
                <w:rFonts w:cs="Times New Roman"/>
                <w:noProof/>
              </w:rPr>
              <w:t>2021</w:t>
            </w:r>
          </w:p>
        </w:tc>
        <w:tc>
          <w:tcPr>
            <w:tcW w:w="5552" w:type="dxa"/>
            <w:shd w:val="clear" w:color="auto" w:fill="C6EFCE"/>
            <w:noWrap/>
          </w:tcPr>
          <w:p w14:paraId="41DAEBA5" w14:textId="49CD5202" w:rsidR="00D65CB4" w:rsidRPr="00BC4EE7" w:rsidRDefault="00572307">
            <w:pPr>
              <w:pStyle w:val="P68B1DB1-Normal12"/>
              <w:spacing w:after="0" w:line="240" w:lineRule="auto"/>
              <w:rPr>
                <w:rFonts w:eastAsia="Times New Roman" w:cs="Times New Roman"/>
                <w:noProof/>
              </w:rPr>
            </w:pPr>
            <w:r w:rsidRPr="00BC4EE7">
              <w:rPr>
                <w:rFonts w:cs="Times New Roman"/>
                <w:noProof/>
              </w:rPr>
              <w:t>Az állami kutatási szervezetek átszervezéséről szóló királyi rendelet hatálybalépése. Ennek célja a csökkentett kritikus tömeggel rendelkező három szervezet irányítási és tudományos tanácsadói kapacitásának javítása egy nagyobb PRO-ba való integráció révén, az alábbiak révén: i) a létrejövő PRO versenyhelyzetének javítása, ii. hatékonyságuk növelése és iii. adminisztratív rugalmasság biztosítása.</w:t>
            </w:r>
          </w:p>
        </w:tc>
      </w:tr>
      <w:tr w:rsidR="00D65CB4" w:rsidRPr="00BC4EE7" w14:paraId="49F7AE4E" w14:textId="77777777" w:rsidTr="00BC4EE7">
        <w:trPr>
          <w:trHeight w:val="309"/>
        </w:trPr>
        <w:tc>
          <w:tcPr>
            <w:tcW w:w="851" w:type="dxa"/>
            <w:shd w:val="clear" w:color="auto" w:fill="C6EFCE"/>
            <w:noWrap/>
          </w:tcPr>
          <w:p w14:paraId="3297D04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258</w:t>
            </w:r>
          </w:p>
        </w:tc>
        <w:tc>
          <w:tcPr>
            <w:tcW w:w="936" w:type="dxa"/>
            <w:shd w:val="clear" w:color="auto" w:fill="C6EFCE"/>
            <w:noWrap/>
          </w:tcPr>
          <w:p w14:paraId="051D7B8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C17.I1</w:t>
            </w:r>
          </w:p>
        </w:tc>
        <w:tc>
          <w:tcPr>
            <w:tcW w:w="941" w:type="dxa"/>
            <w:shd w:val="clear" w:color="auto" w:fill="C6EFCE"/>
            <w:noWrap/>
          </w:tcPr>
          <w:p w14:paraId="57188DB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1950" w:type="dxa"/>
            <w:shd w:val="clear" w:color="auto" w:fill="C6EFCE"/>
            <w:noWrap/>
          </w:tcPr>
          <w:p w14:paraId="64014446"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 Tudományügyi és Innovációs Minisztérium által az autonóm közösségekkel aláírt, a „kiegészítő K+F tervek” végrehajtására vonatkozó megállapodások. </w:t>
            </w:r>
          </w:p>
        </w:tc>
        <w:tc>
          <w:tcPr>
            <w:tcW w:w="951" w:type="dxa"/>
            <w:shd w:val="clear" w:color="auto" w:fill="C6EFCE"/>
            <w:noWrap/>
          </w:tcPr>
          <w:p w14:paraId="1FA5245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815" w:type="dxa"/>
            <w:shd w:val="clear" w:color="auto" w:fill="C6EFCE"/>
            <w:noWrap/>
          </w:tcPr>
          <w:p w14:paraId="1D711C6B"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Szám</w:t>
            </w:r>
          </w:p>
        </w:tc>
        <w:tc>
          <w:tcPr>
            <w:tcW w:w="950" w:type="dxa"/>
            <w:shd w:val="clear" w:color="auto" w:fill="C6EFCE"/>
          </w:tcPr>
          <w:p w14:paraId="325FD8D3" w14:textId="77777777" w:rsidR="00D65CB4" w:rsidRPr="00BC4EE7" w:rsidRDefault="00D65CB4">
            <w:pPr>
              <w:spacing w:after="0" w:line="240" w:lineRule="auto"/>
              <w:rPr>
                <w:rFonts w:ascii="Times New Roman" w:hAnsi="Times New Roman" w:cs="Times New Roman"/>
                <w:noProof/>
                <w:sz w:val="18"/>
              </w:rPr>
            </w:pPr>
          </w:p>
        </w:tc>
        <w:tc>
          <w:tcPr>
            <w:tcW w:w="815" w:type="dxa"/>
            <w:shd w:val="clear" w:color="auto" w:fill="C6EFCE"/>
          </w:tcPr>
          <w:p w14:paraId="2F2FF6BF" w14:textId="017F2239" w:rsidR="00D65CB4" w:rsidRPr="00BC4EE7" w:rsidRDefault="00572307">
            <w:pPr>
              <w:pStyle w:val="P68B1DB1-Normal12"/>
              <w:spacing w:after="0" w:line="240" w:lineRule="auto"/>
              <w:jc w:val="center"/>
              <w:rPr>
                <w:rFonts w:cs="Times New Roman"/>
                <w:noProof/>
              </w:rPr>
            </w:pPr>
            <w:r w:rsidRPr="00BC4EE7">
              <w:rPr>
                <w:rFonts w:cs="Times New Roman"/>
                <w:noProof/>
              </w:rPr>
              <w:t>4</w:t>
            </w:r>
          </w:p>
        </w:tc>
        <w:tc>
          <w:tcPr>
            <w:tcW w:w="545" w:type="dxa"/>
            <w:shd w:val="clear" w:color="auto" w:fill="C6EFCE"/>
          </w:tcPr>
          <w:p w14:paraId="7821A49C" w14:textId="371802CB"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545" w:type="dxa"/>
            <w:shd w:val="clear" w:color="auto" w:fill="C6EFCE"/>
          </w:tcPr>
          <w:p w14:paraId="35111DCE" w14:textId="32113782" w:rsidR="00D65CB4" w:rsidRPr="00BC4EE7" w:rsidRDefault="00572307">
            <w:pPr>
              <w:pStyle w:val="P68B1DB1-Normal12"/>
              <w:spacing w:after="0" w:line="240" w:lineRule="auto"/>
              <w:jc w:val="center"/>
              <w:rPr>
                <w:rFonts w:cs="Times New Roman"/>
                <w:noProof/>
              </w:rPr>
            </w:pPr>
            <w:r w:rsidRPr="00BC4EE7">
              <w:rPr>
                <w:rFonts w:cs="Times New Roman"/>
                <w:noProof/>
              </w:rPr>
              <w:t>2021</w:t>
            </w:r>
          </w:p>
        </w:tc>
        <w:tc>
          <w:tcPr>
            <w:tcW w:w="5552" w:type="dxa"/>
            <w:shd w:val="clear" w:color="auto" w:fill="C6EFCE"/>
            <w:noWrap/>
          </w:tcPr>
          <w:p w14:paraId="4319A5BA"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 Tudományos és Innovációs Minisztérium által az autonóm közösségekkel aláírt négy megállapodás a „kiegészítő K+F tervek” végrehajtásáról, legalább 140 000 000 EUR értékben. A megállapodásoknak lehetővé kell tenniük a regionális és nemzeti intelligens szakosodási stratégiák közötti stratégiai koordinációt és szinergiákat. </w:t>
            </w:r>
          </w:p>
        </w:tc>
      </w:tr>
      <w:tr w:rsidR="00D65CB4" w:rsidRPr="00BC4EE7" w14:paraId="5E5DAD9C" w14:textId="77777777" w:rsidTr="00BC4EE7">
        <w:trPr>
          <w:trHeight w:val="309"/>
        </w:trPr>
        <w:tc>
          <w:tcPr>
            <w:tcW w:w="851" w:type="dxa"/>
            <w:shd w:val="clear" w:color="auto" w:fill="C6EFCE"/>
            <w:noWrap/>
          </w:tcPr>
          <w:p w14:paraId="3DE6C91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259</w:t>
            </w:r>
          </w:p>
        </w:tc>
        <w:tc>
          <w:tcPr>
            <w:tcW w:w="936" w:type="dxa"/>
            <w:shd w:val="clear" w:color="auto" w:fill="C6EFCE"/>
            <w:noWrap/>
          </w:tcPr>
          <w:p w14:paraId="59BD60A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C17.I2.</w:t>
            </w:r>
          </w:p>
        </w:tc>
        <w:tc>
          <w:tcPr>
            <w:tcW w:w="941" w:type="dxa"/>
            <w:shd w:val="clear" w:color="auto" w:fill="C6EFCE"/>
            <w:noWrap/>
          </w:tcPr>
          <w:p w14:paraId="5130E23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1950" w:type="dxa"/>
            <w:shd w:val="clear" w:color="auto" w:fill="C6EFCE"/>
            <w:noWrap/>
          </w:tcPr>
          <w:p w14:paraId="5B626C9B"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 nemzeti tudományos infrastruktúrákat és a spanyol tudományos technológiai és innovációs rendszer kapacitását javító projektek, valamint a nemzetközi szervezetekkel aláírt kétoldalú megállapodások és egyéb eszközök odaítélése az európai és nemzetközi infrastruktúra projektjeinek finanszírozására. </w:t>
            </w:r>
          </w:p>
        </w:tc>
        <w:tc>
          <w:tcPr>
            <w:tcW w:w="951" w:type="dxa"/>
            <w:shd w:val="clear" w:color="auto" w:fill="C6EFCE"/>
            <w:noWrap/>
          </w:tcPr>
          <w:p w14:paraId="69ED6B5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815" w:type="dxa"/>
            <w:shd w:val="clear" w:color="auto" w:fill="C6EFCE"/>
            <w:noWrap/>
          </w:tcPr>
          <w:p w14:paraId="543C048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Millió EUR</w:t>
            </w:r>
          </w:p>
        </w:tc>
        <w:tc>
          <w:tcPr>
            <w:tcW w:w="950" w:type="dxa"/>
            <w:shd w:val="clear" w:color="auto" w:fill="C6EFCE"/>
          </w:tcPr>
          <w:p w14:paraId="1397B7ED" w14:textId="77777777" w:rsidR="00D65CB4" w:rsidRPr="00BC4EE7" w:rsidRDefault="00D65CB4">
            <w:pPr>
              <w:spacing w:after="0" w:line="240" w:lineRule="auto"/>
              <w:rPr>
                <w:rFonts w:ascii="Times New Roman" w:hAnsi="Times New Roman" w:cs="Times New Roman"/>
                <w:noProof/>
                <w:sz w:val="18"/>
              </w:rPr>
            </w:pPr>
          </w:p>
        </w:tc>
        <w:tc>
          <w:tcPr>
            <w:tcW w:w="815" w:type="dxa"/>
            <w:shd w:val="clear" w:color="auto" w:fill="C6EFCE"/>
          </w:tcPr>
          <w:p w14:paraId="35F60C9E" w14:textId="51D3B5C0" w:rsidR="00D65CB4" w:rsidRPr="00BC4EE7" w:rsidRDefault="00572307">
            <w:pPr>
              <w:pStyle w:val="P68B1DB1-Normal12"/>
              <w:spacing w:after="0" w:line="240" w:lineRule="auto"/>
              <w:jc w:val="center"/>
              <w:rPr>
                <w:rFonts w:cs="Times New Roman"/>
                <w:noProof/>
              </w:rPr>
            </w:pPr>
            <w:r w:rsidRPr="00BC4EE7">
              <w:rPr>
                <w:rFonts w:cs="Times New Roman"/>
                <w:noProof/>
              </w:rPr>
              <w:t>300,2</w:t>
            </w:r>
          </w:p>
        </w:tc>
        <w:tc>
          <w:tcPr>
            <w:tcW w:w="545" w:type="dxa"/>
            <w:shd w:val="clear" w:color="auto" w:fill="C6EFCE"/>
          </w:tcPr>
          <w:p w14:paraId="474984C4" w14:textId="6D3F719A"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545" w:type="dxa"/>
            <w:shd w:val="clear" w:color="auto" w:fill="C6EFCE"/>
          </w:tcPr>
          <w:p w14:paraId="1C6A5AF1" w14:textId="4FEA7517" w:rsidR="00D65CB4" w:rsidRPr="00BC4EE7" w:rsidRDefault="00572307">
            <w:pPr>
              <w:pStyle w:val="P68B1DB1-Normal12"/>
              <w:spacing w:after="0" w:line="240" w:lineRule="auto"/>
              <w:jc w:val="center"/>
              <w:rPr>
                <w:rFonts w:cs="Times New Roman"/>
                <w:noProof/>
              </w:rPr>
            </w:pPr>
            <w:r w:rsidRPr="00BC4EE7">
              <w:rPr>
                <w:rFonts w:cs="Times New Roman"/>
                <w:noProof/>
              </w:rPr>
              <w:t>2022</w:t>
            </w:r>
          </w:p>
        </w:tc>
        <w:tc>
          <w:tcPr>
            <w:tcW w:w="5552" w:type="dxa"/>
            <w:shd w:val="clear" w:color="auto" w:fill="C6EFCE"/>
            <w:noWrap/>
          </w:tcPr>
          <w:p w14:paraId="47493406" w14:textId="77777777" w:rsidR="00D65CB4" w:rsidRPr="00BC4EE7" w:rsidRDefault="00572307">
            <w:pPr>
              <w:pStyle w:val="P68B1DB1-Normal12"/>
              <w:spacing w:after="0" w:line="240" w:lineRule="auto"/>
              <w:rPr>
                <w:rFonts w:cs="Times New Roman"/>
                <w:noProof/>
              </w:rPr>
            </w:pPr>
            <w:r w:rsidRPr="00BC4EE7">
              <w:rPr>
                <w:rFonts w:cs="Times New Roman"/>
                <w:noProof/>
              </w:rPr>
              <w:t>A nemzeti támogatási adatbázisban legalább 255 155 000 EUR összegű, a nemzeti tudományos infrastruktúrákat, a spanyol tudományos technológiai és innovációs rendszer kapacitását, valamint a nemzetközi szervezetekkel aláírt megállapodásokat és egyéb eszközöket az európai és nemzetközi infrastruktúra (CERN, DUNE, HKK, ESS-lund, Harmony és SKA) területén megvalósítandó projektek finanszírozására odaítélt legalább 255 155 000 EUR összeg közzététele.</w:t>
            </w:r>
          </w:p>
        </w:tc>
      </w:tr>
      <w:tr w:rsidR="00D65CB4" w:rsidRPr="00BC4EE7" w14:paraId="554E50C8" w14:textId="77777777" w:rsidTr="00BC4EE7">
        <w:trPr>
          <w:trHeight w:val="309"/>
        </w:trPr>
        <w:tc>
          <w:tcPr>
            <w:tcW w:w="851" w:type="dxa"/>
            <w:shd w:val="clear" w:color="auto" w:fill="C6EFCE"/>
            <w:noWrap/>
          </w:tcPr>
          <w:p w14:paraId="4ADA14E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260</w:t>
            </w:r>
          </w:p>
        </w:tc>
        <w:tc>
          <w:tcPr>
            <w:tcW w:w="936" w:type="dxa"/>
            <w:shd w:val="clear" w:color="auto" w:fill="C6EFCE"/>
            <w:noWrap/>
          </w:tcPr>
          <w:p w14:paraId="2B61F7C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C17.I2.</w:t>
            </w:r>
          </w:p>
        </w:tc>
        <w:tc>
          <w:tcPr>
            <w:tcW w:w="941" w:type="dxa"/>
            <w:shd w:val="clear" w:color="auto" w:fill="C6EFCE"/>
            <w:noWrap/>
          </w:tcPr>
          <w:p w14:paraId="686C71A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1950" w:type="dxa"/>
            <w:shd w:val="clear" w:color="auto" w:fill="C6EFCE"/>
            <w:noWrap/>
          </w:tcPr>
          <w:p w14:paraId="2350E903"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tudományos infrastruktúrát és a spanyol tudományos technológiai és innovációs rendszer kapacitását javító valamennyi projekt lezárása, beleértve az európai és nemzetközi infrastruktúrával kapcsolatos projekteket is.</w:t>
            </w:r>
          </w:p>
        </w:tc>
        <w:tc>
          <w:tcPr>
            <w:tcW w:w="951" w:type="dxa"/>
            <w:shd w:val="clear" w:color="auto" w:fill="C6EFCE"/>
            <w:noWrap/>
          </w:tcPr>
          <w:p w14:paraId="7207EDA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815" w:type="dxa"/>
            <w:shd w:val="clear" w:color="auto" w:fill="C6EFCE"/>
            <w:noWrap/>
          </w:tcPr>
          <w:p w14:paraId="3535308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50" w:type="dxa"/>
            <w:shd w:val="clear" w:color="auto" w:fill="C6EFCE"/>
          </w:tcPr>
          <w:p w14:paraId="15F26F47" w14:textId="77777777" w:rsidR="00D65CB4" w:rsidRPr="00BC4EE7" w:rsidRDefault="00D65CB4">
            <w:pPr>
              <w:spacing w:after="0" w:line="240" w:lineRule="auto"/>
              <w:rPr>
                <w:rFonts w:ascii="Times New Roman" w:hAnsi="Times New Roman" w:cs="Times New Roman"/>
                <w:noProof/>
                <w:sz w:val="18"/>
              </w:rPr>
            </w:pPr>
          </w:p>
        </w:tc>
        <w:tc>
          <w:tcPr>
            <w:tcW w:w="815" w:type="dxa"/>
            <w:shd w:val="clear" w:color="auto" w:fill="C6EFCE"/>
          </w:tcPr>
          <w:p w14:paraId="688175D1" w14:textId="46E5AF65" w:rsidR="00D65CB4" w:rsidRPr="00BC4EE7" w:rsidRDefault="00572307">
            <w:pPr>
              <w:pStyle w:val="P68B1DB1-Normal12"/>
              <w:spacing w:after="0" w:line="240" w:lineRule="auto"/>
              <w:jc w:val="center"/>
              <w:rPr>
                <w:rFonts w:cs="Times New Roman"/>
                <w:noProof/>
              </w:rPr>
            </w:pPr>
            <w:r w:rsidRPr="00BC4EE7">
              <w:rPr>
                <w:rFonts w:cs="Times New Roman"/>
                <w:noProof/>
              </w:rPr>
              <w:t>100</w:t>
            </w:r>
          </w:p>
        </w:tc>
        <w:tc>
          <w:tcPr>
            <w:tcW w:w="545" w:type="dxa"/>
            <w:shd w:val="clear" w:color="auto" w:fill="C6EFCE"/>
          </w:tcPr>
          <w:p w14:paraId="13C1BAB3" w14:textId="2ECC23AD" w:rsidR="00D65CB4" w:rsidRPr="00BC4EE7" w:rsidRDefault="00572307">
            <w:pPr>
              <w:pStyle w:val="P68B1DB1-Normal12"/>
              <w:spacing w:after="0" w:line="240" w:lineRule="auto"/>
              <w:jc w:val="center"/>
              <w:rPr>
                <w:rFonts w:cs="Times New Roman"/>
                <w:noProof/>
              </w:rPr>
            </w:pPr>
            <w:r w:rsidRPr="00BC4EE7">
              <w:rPr>
                <w:rFonts w:cs="Times New Roman"/>
                <w:noProof/>
              </w:rPr>
              <w:t>Q3</w:t>
            </w:r>
          </w:p>
        </w:tc>
        <w:tc>
          <w:tcPr>
            <w:tcW w:w="545" w:type="dxa"/>
            <w:shd w:val="clear" w:color="auto" w:fill="C6EFCE"/>
          </w:tcPr>
          <w:p w14:paraId="5F29CAD9" w14:textId="53C98133" w:rsidR="00D65CB4" w:rsidRPr="00BC4EE7" w:rsidRDefault="00572307">
            <w:pPr>
              <w:pStyle w:val="P68B1DB1-Normal12"/>
              <w:spacing w:after="0" w:line="240" w:lineRule="auto"/>
              <w:jc w:val="center"/>
              <w:rPr>
                <w:rFonts w:cs="Times New Roman"/>
                <w:noProof/>
              </w:rPr>
            </w:pPr>
            <w:r w:rsidRPr="00BC4EE7">
              <w:rPr>
                <w:rFonts w:cs="Times New Roman"/>
                <w:noProof/>
              </w:rPr>
              <w:t>2026</w:t>
            </w:r>
          </w:p>
        </w:tc>
        <w:tc>
          <w:tcPr>
            <w:tcW w:w="5552" w:type="dxa"/>
            <w:shd w:val="clear" w:color="auto" w:fill="C6EFCE"/>
            <w:noWrap/>
          </w:tcPr>
          <w:p w14:paraId="4F283A38" w14:textId="5A20DFA9" w:rsidR="00D65CB4" w:rsidRPr="00BC4EE7" w:rsidRDefault="00572307">
            <w:pPr>
              <w:pStyle w:val="P68B1DB1-Normal12"/>
              <w:spacing w:after="0" w:line="240" w:lineRule="auto"/>
              <w:rPr>
                <w:rFonts w:eastAsia="Times New Roman" w:cs="Times New Roman"/>
                <w:noProof/>
              </w:rPr>
            </w:pPr>
            <w:r w:rsidRPr="00BC4EE7">
              <w:rPr>
                <w:rFonts w:cs="Times New Roman"/>
                <w:noProof/>
              </w:rPr>
              <w:t>A kutatási és innovációs projektek 100%-a (legalább 676 000 000 EUR értékben) a spanyol tudományos technológiai és innovációs rendszer tudományos infrastruktúrájának és kapacitásának a tudományos berendezések felújítása, a BSL3 létesítmény korszerűsítése, egy új fitogén infrastruktúra létrehozása, a CIEMAT (Centro de</w:t>
            </w:r>
            <w:r w:rsidRPr="00BC4EE7">
              <w:rPr>
                <w:rFonts w:cs="Times New Roman"/>
                <w:i/>
                <w:noProof/>
              </w:rPr>
              <w:t>Investigaciones Energéticas, Medioambientales y Tecnológicas) felszerelése révén a megújuló energiával (beleértve a hidrogént és a tárolást) kapcsolatos kutatáshoz szükséges</w:t>
            </w:r>
            <w:r w:rsidRPr="00BC4EE7">
              <w:rPr>
                <w:rFonts w:cs="Times New Roman"/>
                <w:noProof/>
              </w:rPr>
              <w:t>infrastruktúrával összhangban, fejlett optikai és K+F infrastruktúra létrehozása a Planes Estratégicos</w:t>
            </w:r>
            <w:r w:rsidRPr="00BC4EE7">
              <w:rPr>
                <w:rFonts w:cs="Times New Roman"/>
                <w:i/>
                <w:noProof/>
              </w:rPr>
              <w:t>de Infrastructuras científicas y Técnicas Singulares (CERN, DUNE, HKK, ESS-lund, Harmony és SKA) európai és nemzetközi infrastruktúra (CERN, DUNE, HKK, ESS-lund, Harmony és SKA) támogatását célzó projektek</w:t>
            </w:r>
            <w:r w:rsidRPr="00BC4EE7">
              <w:rPr>
                <w:rFonts w:cs="Times New Roman"/>
                <w:noProof/>
              </w:rPr>
              <w:t>nyomán, valamint olyan beruházások révén, mint a tudományos berendezések beszerzése és felújítása, tiszta szobák építése a félvezetők és a mikro-nano technológia területén, valamint a kapacitások megerősítése a nagy teljesítményű számítástechnika és kommunikáció területén.</w:t>
            </w:r>
          </w:p>
        </w:tc>
      </w:tr>
      <w:tr w:rsidR="00D65CB4" w:rsidRPr="00BC4EE7" w14:paraId="15B94FC3" w14:textId="77777777" w:rsidTr="00BC4EE7">
        <w:trPr>
          <w:trHeight w:val="309"/>
        </w:trPr>
        <w:tc>
          <w:tcPr>
            <w:tcW w:w="851" w:type="dxa"/>
            <w:shd w:val="clear" w:color="auto" w:fill="C6EFCE"/>
            <w:noWrap/>
          </w:tcPr>
          <w:p w14:paraId="387DEBB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261</w:t>
            </w:r>
          </w:p>
        </w:tc>
        <w:tc>
          <w:tcPr>
            <w:tcW w:w="936" w:type="dxa"/>
            <w:shd w:val="clear" w:color="auto" w:fill="C6EFCE"/>
            <w:noWrap/>
          </w:tcPr>
          <w:p w14:paraId="51C883E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C17.I3</w:t>
            </w:r>
          </w:p>
        </w:tc>
        <w:tc>
          <w:tcPr>
            <w:tcW w:w="941" w:type="dxa"/>
            <w:shd w:val="clear" w:color="auto" w:fill="C6EFCE"/>
            <w:noWrap/>
          </w:tcPr>
          <w:p w14:paraId="1479062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1950" w:type="dxa"/>
            <w:shd w:val="clear" w:color="auto" w:fill="C6EFCE"/>
            <w:noWrap/>
          </w:tcPr>
          <w:p w14:paraId="01ED6906"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Új magán-, interdiszciplináris, állami K+F+I projektek odaítélése, koncepciótesztek, nemzetközi versenyfelhívások és a társadalmi kihívásoknak megfelelő, élvonalbeli K+F </w:t>
            </w:r>
          </w:p>
        </w:tc>
        <w:tc>
          <w:tcPr>
            <w:tcW w:w="951" w:type="dxa"/>
            <w:shd w:val="clear" w:color="auto" w:fill="C6EFCE"/>
            <w:noWrap/>
          </w:tcPr>
          <w:p w14:paraId="0BE2CBC5" w14:textId="77777777" w:rsidR="00D65CB4" w:rsidRPr="00BC4EE7" w:rsidRDefault="00D65CB4">
            <w:pPr>
              <w:spacing w:after="0" w:line="240" w:lineRule="auto"/>
              <w:jc w:val="center"/>
              <w:rPr>
                <w:rFonts w:ascii="Times New Roman" w:eastAsia="Times New Roman" w:hAnsi="Times New Roman" w:cs="Times New Roman"/>
                <w:noProof/>
                <w:sz w:val="18"/>
              </w:rPr>
            </w:pPr>
          </w:p>
        </w:tc>
        <w:tc>
          <w:tcPr>
            <w:tcW w:w="815" w:type="dxa"/>
            <w:shd w:val="clear" w:color="auto" w:fill="C6EFCE"/>
            <w:noWrap/>
          </w:tcPr>
          <w:p w14:paraId="16B00E14"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Millió EUR</w:t>
            </w:r>
          </w:p>
        </w:tc>
        <w:tc>
          <w:tcPr>
            <w:tcW w:w="950" w:type="dxa"/>
            <w:shd w:val="clear" w:color="auto" w:fill="C6EFCE"/>
          </w:tcPr>
          <w:p w14:paraId="25D58001" w14:textId="77777777" w:rsidR="00D65CB4" w:rsidRPr="00BC4EE7" w:rsidRDefault="00D65CB4">
            <w:pPr>
              <w:spacing w:after="0" w:line="240" w:lineRule="auto"/>
              <w:rPr>
                <w:rFonts w:ascii="Times New Roman" w:hAnsi="Times New Roman" w:cs="Times New Roman"/>
                <w:noProof/>
                <w:sz w:val="18"/>
              </w:rPr>
            </w:pPr>
          </w:p>
        </w:tc>
        <w:tc>
          <w:tcPr>
            <w:tcW w:w="815" w:type="dxa"/>
            <w:shd w:val="clear" w:color="auto" w:fill="C6EFCE"/>
          </w:tcPr>
          <w:p w14:paraId="61A565B7" w14:textId="4FA03F49" w:rsidR="00D65CB4" w:rsidRPr="00BC4EE7" w:rsidRDefault="00572307">
            <w:pPr>
              <w:pStyle w:val="P68B1DB1-Normal12"/>
              <w:spacing w:after="0" w:line="240" w:lineRule="auto"/>
              <w:jc w:val="center"/>
              <w:rPr>
                <w:rFonts w:cs="Times New Roman"/>
                <w:noProof/>
              </w:rPr>
            </w:pPr>
            <w:r w:rsidRPr="00BC4EE7">
              <w:rPr>
                <w:rFonts w:cs="Times New Roman"/>
                <w:noProof/>
              </w:rPr>
              <w:t>897</w:t>
            </w:r>
          </w:p>
        </w:tc>
        <w:tc>
          <w:tcPr>
            <w:tcW w:w="545" w:type="dxa"/>
            <w:shd w:val="clear" w:color="auto" w:fill="C6EFCE"/>
          </w:tcPr>
          <w:p w14:paraId="6598F3AB" w14:textId="08A94AC0"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545" w:type="dxa"/>
            <w:shd w:val="clear" w:color="auto" w:fill="C6EFCE"/>
          </w:tcPr>
          <w:p w14:paraId="67381AFA" w14:textId="4C62CC67" w:rsidR="00D65CB4" w:rsidRPr="00BC4EE7" w:rsidRDefault="00572307">
            <w:pPr>
              <w:pStyle w:val="P68B1DB1-Normal12"/>
              <w:spacing w:after="0" w:line="240" w:lineRule="auto"/>
              <w:jc w:val="center"/>
              <w:rPr>
                <w:rFonts w:cs="Times New Roman"/>
                <w:noProof/>
              </w:rPr>
            </w:pPr>
            <w:r w:rsidRPr="00BC4EE7">
              <w:rPr>
                <w:rFonts w:cs="Times New Roman"/>
                <w:noProof/>
              </w:rPr>
              <w:t>2022</w:t>
            </w:r>
          </w:p>
        </w:tc>
        <w:tc>
          <w:tcPr>
            <w:tcW w:w="5552" w:type="dxa"/>
            <w:shd w:val="clear" w:color="auto" w:fill="C6EFCE"/>
            <w:noWrap/>
          </w:tcPr>
          <w:p w14:paraId="283BB5C7" w14:textId="6E45DA6A" w:rsidR="00D65CB4" w:rsidRPr="00BC4EE7" w:rsidRDefault="00572307">
            <w:pPr>
              <w:pStyle w:val="P68B1DB1-Normal12"/>
              <w:spacing w:after="0" w:line="240" w:lineRule="auto"/>
              <w:jc w:val="both"/>
              <w:rPr>
                <w:rFonts w:eastAsia="Times New Roman" w:cs="Times New Roman"/>
                <w:noProof/>
              </w:rPr>
            </w:pPr>
            <w:r w:rsidRPr="00BC4EE7">
              <w:rPr>
                <w:rFonts w:cs="Times New Roman"/>
                <w:noProof/>
              </w:rPr>
              <w:t>Legalább 897 000 000 EUR odaítélésének közzététele a Hivatalos Lapban a következő felhívások keretében: pályázati felhívás koncepcióigazolási projektekre (80 000 000 EUR), felhívás interdiszciplináris projektekre a stratégiai sorokban (73 000 000 EUR), pályázati felhívás a zöld és digitális átálláshoz kapcsolódó K+F projektekre (296 000 000 EUR), felhívás köz-magán együttműködési projektekre (140 000 000 EUR), K+F felhívás a társadalmi kihívások kezelésére (230 000 000 EUR) és nemzetközi együttműködési projektekre (78 000 000 EUR). Az e beruházás keretében megvalósuló projektek értékelésének biztosítania kell a jelentős károkozás elkerülését célzó technikai iránymutatásnak (2021/C58/01) való megfelelést, az intézkedés leírásában meghatározottak szerint.</w:t>
            </w:r>
          </w:p>
        </w:tc>
      </w:tr>
      <w:tr w:rsidR="00D65CB4" w:rsidRPr="00BC4EE7" w14:paraId="26C43207" w14:textId="77777777" w:rsidTr="00BC4EE7">
        <w:trPr>
          <w:trHeight w:val="309"/>
        </w:trPr>
        <w:tc>
          <w:tcPr>
            <w:tcW w:w="851" w:type="dxa"/>
            <w:shd w:val="clear" w:color="auto" w:fill="C6EFCE"/>
            <w:noWrap/>
          </w:tcPr>
          <w:p w14:paraId="0135B5B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262</w:t>
            </w:r>
          </w:p>
        </w:tc>
        <w:tc>
          <w:tcPr>
            <w:tcW w:w="936" w:type="dxa"/>
            <w:shd w:val="clear" w:color="auto" w:fill="C6EFCE"/>
            <w:noWrap/>
          </w:tcPr>
          <w:p w14:paraId="0489316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C17.I3</w:t>
            </w:r>
          </w:p>
        </w:tc>
        <w:tc>
          <w:tcPr>
            <w:tcW w:w="941" w:type="dxa"/>
            <w:shd w:val="clear" w:color="auto" w:fill="C6EFCE"/>
            <w:noWrap/>
          </w:tcPr>
          <w:p w14:paraId="1E3A1DC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1950" w:type="dxa"/>
            <w:shd w:val="clear" w:color="auto" w:fill="C6EFCE"/>
            <w:noWrap/>
          </w:tcPr>
          <w:p w14:paraId="3695584F"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zöld és digitális átálláshoz kapcsolódó, legalább 35%-os K+I projektek jóváhagyása</w:t>
            </w:r>
          </w:p>
        </w:tc>
        <w:tc>
          <w:tcPr>
            <w:tcW w:w="951" w:type="dxa"/>
            <w:shd w:val="clear" w:color="auto" w:fill="C6EFCE"/>
            <w:noWrap/>
          </w:tcPr>
          <w:p w14:paraId="1A69904D"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815" w:type="dxa"/>
            <w:shd w:val="clear" w:color="auto" w:fill="C6EFCE"/>
            <w:noWrap/>
          </w:tcPr>
          <w:p w14:paraId="5ED1A19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Szám</w:t>
            </w:r>
          </w:p>
        </w:tc>
        <w:tc>
          <w:tcPr>
            <w:tcW w:w="950" w:type="dxa"/>
            <w:shd w:val="clear" w:color="auto" w:fill="C6EFCE"/>
          </w:tcPr>
          <w:p w14:paraId="32857A7F" w14:textId="77777777" w:rsidR="00D65CB4" w:rsidRPr="00BC4EE7" w:rsidRDefault="00D65CB4">
            <w:pPr>
              <w:spacing w:after="0" w:line="240" w:lineRule="auto"/>
              <w:rPr>
                <w:rFonts w:ascii="Times New Roman" w:hAnsi="Times New Roman" w:cs="Times New Roman"/>
                <w:noProof/>
                <w:sz w:val="18"/>
              </w:rPr>
            </w:pPr>
          </w:p>
        </w:tc>
        <w:tc>
          <w:tcPr>
            <w:tcW w:w="815" w:type="dxa"/>
            <w:shd w:val="clear" w:color="auto" w:fill="C6EFCE"/>
          </w:tcPr>
          <w:p w14:paraId="743DE6B5" w14:textId="17721044" w:rsidR="00D65CB4" w:rsidRPr="00BC4EE7" w:rsidRDefault="00572307">
            <w:pPr>
              <w:pStyle w:val="P68B1DB1-Normal12"/>
              <w:spacing w:after="0" w:line="240" w:lineRule="auto"/>
              <w:jc w:val="center"/>
              <w:rPr>
                <w:rFonts w:cs="Times New Roman"/>
                <w:noProof/>
              </w:rPr>
            </w:pPr>
            <w:r w:rsidRPr="00BC4EE7">
              <w:rPr>
                <w:rFonts w:cs="Times New Roman"/>
                <w:noProof/>
              </w:rPr>
              <w:t>3 110</w:t>
            </w:r>
          </w:p>
        </w:tc>
        <w:tc>
          <w:tcPr>
            <w:tcW w:w="545" w:type="dxa"/>
            <w:shd w:val="clear" w:color="auto" w:fill="C6EFCE"/>
          </w:tcPr>
          <w:p w14:paraId="5142FFD0" w14:textId="2437301F"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545" w:type="dxa"/>
            <w:shd w:val="clear" w:color="auto" w:fill="C6EFCE"/>
          </w:tcPr>
          <w:p w14:paraId="7602444A" w14:textId="43FCF6AF" w:rsidR="00D65CB4" w:rsidRPr="00BC4EE7" w:rsidRDefault="00572307">
            <w:pPr>
              <w:pStyle w:val="P68B1DB1-Normal12"/>
              <w:spacing w:after="0" w:line="240" w:lineRule="auto"/>
              <w:jc w:val="center"/>
              <w:rPr>
                <w:rFonts w:cs="Times New Roman"/>
                <w:noProof/>
              </w:rPr>
            </w:pPr>
            <w:r w:rsidRPr="00BC4EE7">
              <w:rPr>
                <w:rFonts w:cs="Times New Roman"/>
                <w:noProof/>
              </w:rPr>
              <w:t>2024</w:t>
            </w:r>
          </w:p>
        </w:tc>
        <w:tc>
          <w:tcPr>
            <w:tcW w:w="5552" w:type="dxa"/>
            <w:shd w:val="clear" w:color="auto" w:fill="C6EFCE"/>
            <w:noWrap/>
          </w:tcPr>
          <w:p w14:paraId="73DAAA4D" w14:textId="5C50FA90" w:rsidR="00D65CB4" w:rsidRPr="00BC4EE7" w:rsidRDefault="00572307">
            <w:pPr>
              <w:pStyle w:val="P68B1DB1-Normal12"/>
              <w:spacing w:after="0" w:line="240" w:lineRule="auto"/>
              <w:jc w:val="both"/>
              <w:rPr>
                <w:rFonts w:cs="Times New Roman"/>
                <w:noProof/>
              </w:rPr>
            </w:pPr>
            <w:r w:rsidRPr="00BC4EE7">
              <w:rPr>
                <w:rFonts w:cs="Times New Roman"/>
                <w:noProof/>
              </w:rPr>
              <w:t xml:space="preserve">Legalább 3110 K+I projektet hagytak jóvá, amelyek legalább 35%-a a zöld és digitális átálláshoz kapcsolódik, beleértve a PERTE Chip-hez kapcsolódó 110 projektet. Az e beruházás keretében megvalósuló projektek értékelésének biztosítania kell a jelentős károkozás elkerülését célzó technikai iránymutatásnak (2021/C58/01) való megfelelést, az intézkedés leírásában meghatározottak szerint. </w:t>
            </w:r>
          </w:p>
        </w:tc>
      </w:tr>
      <w:tr w:rsidR="00D65CB4" w:rsidRPr="00BC4EE7" w14:paraId="56BAA5EA" w14:textId="77777777" w:rsidTr="00BC4EE7">
        <w:trPr>
          <w:trHeight w:val="309"/>
        </w:trPr>
        <w:tc>
          <w:tcPr>
            <w:tcW w:w="851" w:type="dxa"/>
            <w:shd w:val="clear" w:color="auto" w:fill="C6EFCE"/>
            <w:noWrap/>
          </w:tcPr>
          <w:p w14:paraId="4FC0078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263</w:t>
            </w:r>
          </w:p>
        </w:tc>
        <w:tc>
          <w:tcPr>
            <w:tcW w:w="936" w:type="dxa"/>
            <w:shd w:val="clear" w:color="auto" w:fill="C6EFCE"/>
            <w:noWrap/>
          </w:tcPr>
          <w:p w14:paraId="14EE208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C17.I4</w:t>
            </w:r>
          </w:p>
        </w:tc>
        <w:tc>
          <w:tcPr>
            <w:tcW w:w="941" w:type="dxa"/>
            <w:shd w:val="clear" w:color="auto" w:fill="C6EFCE"/>
            <w:noWrap/>
          </w:tcPr>
          <w:p w14:paraId="0E62F4B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1950" w:type="dxa"/>
            <w:shd w:val="clear" w:color="auto" w:fill="C6EFCE"/>
            <w:noWrap/>
          </w:tcPr>
          <w:p w14:paraId="05532597"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 tudományos kutatói karrier támogatása ösztöndíjak és támogatások révén </w:t>
            </w:r>
          </w:p>
        </w:tc>
        <w:tc>
          <w:tcPr>
            <w:tcW w:w="951" w:type="dxa"/>
            <w:shd w:val="clear" w:color="auto" w:fill="C6EFCE"/>
            <w:noWrap/>
          </w:tcPr>
          <w:p w14:paraId="61D5D72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815" w:type="dxa"/>
            <w:shd w:val="clear" w:color="auto" w:fill="C6EFCE"/>
            <w:noWrap/>
          </w:tcPr>
          <w:p w14:paraId="63AC40C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Szám</w:t>
            </w:r>
          </w:p>
        </w:tc>
        <w:tc>
          <w:tcPr>
            <w:tcW w:w="950" w:type="dxa"/>
            <w:shd w:val="clear" w:color="auto" w:fill="C6EFCE"/>
          </w:tcPr>
          <w:p w14:paraId="328A2BD1" w14:textId="77777777" w:rsidR="00D65CB4" w:rsidRPr="00BC4EE7" w:rsidRDefault="00D65CB4">
            <w:pPr>
              <w:spacing w:after="0" w:line="240" w:lineRule="auto"/>
              <w:rPr>
                <w:rFonts w:ascii="Times New Roman" w:hAnsi="Times New Roman" w:cs="Times New Roman"/>
                <w:noProof/>
                <w:sz w:val="18"/>
              </w:rPr>
            </w:pPr>
          </w:p>
        </w:tc>
        <w:tc>
          <w:tcPr>
            <w:tcW w:w="815" w:type="dxa"/>
            <w:shd w:val="clear" w:color="auto" w:fill="C6EFCE"/>
          </w:tcPr>
          <w:p w14:paraId="48869387" w14:textId="594FE145" w:rsidR="00D65CB4" w:rsidRPr="00BC4EE7" w:rsidRDefault="00572307">
            <w:pPr>
              <w:pStyle w:val="P68B1DB1-Normal12"/>
              <w:spacing w:after="0" w:line="240" w:lineRule="auto"/>
              <w:jc w:val="center"/>
              <w:rPr>
                <w:rFonts w:cs="Times New Roman"/>
                <w:noProof/>
              </w:rPr>
            </w:pPr>
            <w:r w:rsidRPr="00BC4EE7">
              <w:rPr>
                <w:rFonts w:cs="Times New Roman"/>
                <w:noProof/>
              </w:rPr>
              <w:t>2 070</w:t>
            </w:r>
          </w:p>
        </w:tc>
        <w:tc>
          <w:tcPr>
            <w:tcW w:w="545" w:type="dxa"/>
            <w:shd w:val="clear" w:color="auto" w:fill="C6EFCE"/>
          </w:tcPr>
          <w:p w14:paraId="0A9B41BF" w14:textId="573FE023"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545" w:type="dxa"/>
            <w:shd w:val="clear" w:color="auto" w:fill="C6EFCE"/>
          </w:tcPr>
          <w:p w14:paraId="25BDE876" w14:textId="7421ECBE" w:rsidR="00D65CB4" w:rsidRPr="00BC4EE7" w:rsidRDefault="00572307">
            <w:pPr>
              <w:pStyle w:val="P68B1DB1-Normal12"/>
              <w:spacing w:after="0" w:line="240" w:lineRule="auto"/>
              <w:jc w:val="center"/>
              <w:rPr>
                <w:rFonts w:cs="Times New Roman"/>
                <w:noProof/>
              </w:rPr>
            </w:pPr>
            <w:r w:rsidRPr="00BC4EE7">
              <w:rPr>
                <w:rFonts w:cs="Times New Roman"/>
                <w:noProof/>
              </w:rPr>
              <w:t>2024</w:t>
            </w:r>
          </w:p>
        </w:tc>
        <w:tc>
          <w:tcPr>
            <w:tcW w:w="5552" w:type="dxa"/>
            <w:shd w:val="clear" w:color="auto" w:fill="C6EFCE"/>
            <w:noWrap/>
          </w:tcPr>
          <w:p w14:paraId="187EE241" w14:textId="29A9476C" w:rsidR="00D65CB4" w:rsidRPr="00BC4EE7" w:rsidRDefault="00572307">
            <w:pPr>
              <w:pStyle w:val="P68B1DB1-Normal12"/>
              <w:spacing w:after="0" w:line="240" w:lineRule="auto"/>
              <w:rPr>
                <w:rFonts w:cs="Times New Roman"/>
                <w:noProof/>
              </w:rPr>
            </w:pPr>
            <w:r w:rsidRPr="00BC4EE7">
              <w:rPr>
                <w:rFonts w:cs="Times New Roman"/>
                <w:noProof/>
              </w:rPr>
              <w:t xml:space="preserve">A spanyol tudományos kutatói karriert legalább 2070 kutatónak a Juan de la Cierva Incorporation program, a Juan de la Cierva képzési program, az ipari PhD-program és a Torres Quevedo program révén történő támogatása segíti. Ezenkívül legalább 775 kutató részesült „kutatásindítási csomagban” a Tenure Track-hoz hasonló stabil szerződés keretében, amelyből 25 kutató részesült CHIP induló kutatási csomagban. </w:t>
            </w:r>
          </w:p>
        </w:tc>
      </w:tr>
      <w:tr w:rsidR="00D65CB4" w:rsidRPr="00BC4EE7" w14:paraId="23DFE650" w14:textId="77777777" w:rsidTr="00BC4EE7">
        <w:trPr>
          <w:trHeight w:val="309"/>
        </w:trPr>
        <w:tc>
          <w:tcPr>
            <w:tcW w:w="851" w:type="dxa"/>
            <w:shd w:val="clear" w:color="auto" w:fill="C6EFCE"/>
            <w:noWrap/>
          </w:tcPr>
          <w:p w14:paraId="517BD4B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264</w:t>
            </w:r>
          </w:p>
        </w:tc>
        <w:tc>
          <w:tcPr>
            <w:tcW w:w="936" w:type="dxa"/>
            <w:shd w:val="clear" w:color="auto" w:fill="C6EFCE"/>
            <w:noWrap/>
          </w:tcPr>
          <w:p w14:paraId="169CD1CB"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C17.I4</w:t>
            </w:r>
          </w:p>
        </w:tc>
        <w:tc>
          <w:tcPr>
            <w:tcW w:w="941" w:type="dxa"/>
            <w:shd w:val="clear" w:color="auto" w:fill="C6EFCE"/>
            <w:noWrap/>
          </w:tcPr>
          <w:p w14:paraId="192913A4"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1950" w:type="dxa"/>
            <w:shd w:val="clear" w:color="auto" w:fill="C6EFCE"/>
            <w:noWrap/>
          </w:tcPr>
          <w:p w14:paraId="57E34B93"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 spanyol tudományos kutatói karriert támogató ösztöndíjak és ösztöndíjak befejezése </w:t>
            </w:r>
          </w:p>
        </w:tc>
        <w:tc>
          <w:tcPr>
            <w:tcW w:w="951" w:type="dxa"/>
            <w:shd w:val="clear" w:color="auto" w:fill="C6EFCE"/>
            <w:noWrap/>
          </w:tcPr>
          <w:p w14:paraId="45D72DC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815" w:type="dxa"/>
            <w:shd w:val="clear" w:color="auto" w:fill="C6EFCE"/>
            <w:noWrap/>
          </w:tcPr>
          <w:p w14:paraId="6B0504C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Szám</w:t>
            </w:r>
          </w:p>
        </w:tc>
        <w:tc>
          <w:tcPr>
            <w:tcW w:w="950" w:type="dxa"/>
            <w:shd w:val="clear" w:color="auto" w:fill="C6EFCE"/>
          </w:tcPr>
          <w:p w14:paraId="4F3DF13E" w14:textId="77777777" w:rsidR="00D65CB4" w:rsidRPr="00BC4EE7" w:rsidRDefault="00D65CB4">
            <w:pPr>
              <w:spacing w:after="0" w:line="240" w:lineRule="auto"/>
              <w:jc w:val="both"/>
              <w:rPr>
                <w:rFonts w:ascii="Times New Roman" w:hAnsi="Times New Roman" w:cs="Times New Roman"/>
                <w:noProof/>
                <w:sz w:val="18"/>
              </w:rPr>
            </w:pPr>
          </w:p>
        </w:tc>
        <w:tc>
          <w:tcPr>
            <w:tcW w:w="815" w:type="dxa"/>
            <w:shd w:val="clear" w:color="auto" w:fill="C6EFCE"/>
          </w:tcPr>
          <w:p w14:paraId="6B8F9956" w14:textId="0CF29B72" w:rsidR="00D65CB4" w:rsidRPr="00BC4EE7" w:rsidRDefault="00572307">
            <w:pPr>
              <w:pStyle w:val="P68B1DB1-Normal12"/>
              <w:spacing w:after="0" w:line="240" w:lineRule="auto"/>
              <w:jc w:val="center"/>
              <w:rPr>
                <w:rFonts w:cs="Times New Roman"/>
                <w:noProof/>
              </w:rPr>
            </w:pPr>
            <w:r w:rsidRPr="00BC4EE7">
              <w:rPr>
                <w:rFonts w:cs="Times New Roman"/>
                <w:noProof/>
              </w:rPr>
              <w:t>2 070</w:t>
            </w:r>
          </w:p>
        </w:tc>
        <w:tc>
          <w:tcPr>
            <w:tcW w:w="545" w:type="dxa"/>
            <w:shd w:val="clear" w:color="auto" w:fill="C6EFCE"/>
          </w:tcPr>
          <w:p w14:paraId="2A94C885" w14:textId="77574F71"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545" w:type="dxa"/>
            <w:shd w:val="clear" w:color="auto" w:fill="C6EFCE"/>
          </w:tcPr>
          <w:p w14:paraId="5F928F85" w14:textId="6F11C2C8" w:rsidR="00D65CB4" w:rsidRPr="00BC4EE7" w:rsidRDefault="00572307">
            <w:pPr>
              <w:pStyle w:val="P68B1DB1-Normal12"/>
              <w:spacing w:after="0" w:line="240" w:lineRule="auto"/>
              <w:jc w:val="center"/>
              <w:rPr>
                <w:rFonts w:cs="Times New Roman"/>
                <w:noProof/>
              </w:rPr>
            </w:pPr>
            <w:r w:rsidRPr="00BC4EE7">
              <w:rPr>
                <w:rFonts w:cs="Times New Roman"/>
                <w:noProof/>
              </w:rPr>
              <w:t>2026</w:t>
            </w:r>
          </w:p>
        </w:tc>
        <w:tc>
          <w:tcPr>
            <w:tcW w:w="5552" w:type="dxa"/>
            <w:shd w:val="clear" w:color="auto" w:fill="C6EFCE"/>
            <w:noWrap/>
          </w:tcPr>
          <w:p w14:paraId="7C820AA9" w14:textId="77777777" w:rsidR="00D65CB4" w:rsidRPr="00BC4EE7" w:rsidRDefault="00572307">
            <w:pPr>
              <w:pStyle w:val="P68B1DB1-Normal12"/>
              <w:spacing w:after="0" w:line="240" w:lineRule="auto"/>
              <w:jc w:val="both"/>
              <w:rPr>
                <w:rFonts w:eastAsia="Times New Roman" w:cs="Times New Roman"/>
                <w:noProof/>
              </w:rPr>
            </w:pPr>
            <w:r w:rsidRPr="00BC4EE7">
              <w:rPr>
                <w:rFonts w:cs="Times New Roman"/>
                <w:noProof/>
              </w:rPr>
              <w:t xml:space="preserve">A spanyol tudományos kutatói karriert legalább 2070 kutató segíti, akik elvégezték a Juan de la Cierva Incorporation programot, a Juan de la Cierva képzési programot, az Industrial PhD programot és a Torres Quevedo programot. </w:t>
            </w:r>
          </w:p>
        </w:tc>
      </w:tr>
      <w:tr w:rsidR="00D65CB4" w:rsidRPr="00BC4EE7" w14:paraId="66E00197" w14:textId="77777777" w:rsidTr="00BC4EE7">
        <w:trPr>
          <w:trHeight w:val="309"/>
        </w:trPr>
        <w:tc>
          <w:tcPr>
            <w:tcW w:w="851" w:type="dxa"/>
            <w:shd w:val="clear" w:color="auto" w:fill="C6EFCE"/>
            <w:noWrap/>
          </w:tcPr>
          <w:p w14:paraId="5F935AB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265</w:t>
            </w:r>
          </w:p>
        </w:tc>
        <w:tc>
          <w:tcPr>
            <w:tcW w:w="936" w:type="dxa"/>
            <w:shd w:val="clear" w:color="auto" w:fill="C6EFCE"/>
            <w:noWrap/>
          </w:tcPr>
          <w:p w14:paraId="330BD52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C17.I5</w:t>
            </w:r>
          </w:p>
        </w:tc>
        <w:tc>
          <w:tcPr>
            <w:tcW w:w="941" w:type="dxa"/>
            <w:shd w:val="clear" w:color="auto" w:fill="C6EFCE"/>
            <w:noWrap/>
          </w:tcPr>
          <w:p w14:paraId="67FE101D"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1950" w:type="dxa"/>
            <w:shd w:val="clear" w:color="auto" w:fill="C6EFCE"/>
            <w:noWrap/>
          </w:tcPr>
          <w:p w14:paraId="18BD108A"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Az innovatív és technológiaalapú vállalatok tőkét kaptak az INNVIERTE program keretében, hogy már korai szakaszban megerősítsék kutatási tevékenységeiket </w:t>
            </w:r>
          </w:p>
        </w:tc>
        <w:tc>
          <w:tcPr>
            <w:tcW w:w="951" w:type="dxa"/>
            <w:shd w:val="clear" w:color="auto" w:fill="C6EFCE"/>
            <w:noWrap/>
          </w:tcPr>
          <w:p w14:paraId="2830361B"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815" w:type="dxa"/>
            <w:shd w:val="clear" w:color="auto" w:fill="C6EFCE"/>
            <w:noWrap/>
          </w:tcPr>
          <w:p w14:paraId="5C98779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Szám</w:t>
            </w:r>
          </w:p>
        </w:tc>
        <w:tc>
          <w:tcPr>
            <w:tcW w:w="950" w:type="dxa"/>
            <w:shd w:val="clear" w:color="auto" w:fill="C6EFCE"/>
          </w:tcPr>
          <w:p w14:paraId="172177B1" w14:textId="77777777" w:rsidR="00D65CB4" w:rsidRPr="00BC4EE7" w:rsidRDefault="00D65CB4">
            <w:pPr>
              <w:spacing w:after="0" w:line="240" w:lineRule="auto"/>
              <w:rPr>
                <w:rFonts w:ascii="Times New Roman" w:hAnsi="Times New Roman" w:cs="Times New Roman"/>
                <w:noProof/>
                <w:sz w:val="18"/>
              </w:rPr>
            </w:pPr>
          </w:p>
        </w:tc>
        <w:tc>
          <w:tcPr>
            <w:tcW w:w="815" w:type="dxa"/>
            <w:shd w:val="clear" w:color="auto" w:fill="C6EFCE"/>
          </w:tcPr>
          <w:p w14:paraId="1505199E" w14:textId="2DC4C9A5" w:rsidR="00D65CB4" w:rsidRPr="00BC4EE7" w:rsidRDefault="00572307">
            <w:pPr>
              <w:pStyle w:val="P68B1DB1-Normal12"/>
              <w:spacing w:after="0" w:line="240" w:lineRule="auto"/>
              <w:jc w:val="center"/>
              <w:rPr>
                <w:rFonts w:cs="Times New Roman"/>
                <w:noProof/>
              </w:rPr>
            </w:pPr>
            <w:r w:rsidRPr="00BC4EE7">
              <w:rPr>
                <w:rFonts w:cs="Times New Roman"/>
                <w:noProof/>
              </w:rPr>
              <w:t>45</w:t>
            </w:r>
          </w:p>
        </w:tc>
        <w:tc>
          <w:tcPr>
            <w:tcW w:w="545" w:type="dxa"/>
            <w:shd w:val="clear" w:color="auto" w:fill="C6EFCE"/>
          </w:tcPr>
          <w:p w14:paraId="2198998B" w14:textId="65DAC6AF"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545" w:type="dxa"/>
            <w:shd w:val="clear" w:color="auto" w:fill="C6EFCE"/>
          </w:tcPr>
          <w:p w14:paraId="68A86E05" w14:textId="65CE8165" w:rsidR="00D65CB4" w:rsidRPr="00BC4EE7" w:rsidRDefault="00572307">
            <w:pPr>
              <w:pStyle w:val="P68B1DB1-Normal12"/>
              <w:spacing w:after="0" w:line="240" w:lineRule="auto"/>
              <w:jc w:val="center"/>
              <w:rPr>
                <w:rFonts w:cs="Times New Roman"/>
                <w:noProof/>
              </w:rPr>
            </w:pPr>
            <w:r w:rsidRPr="00BC4EE7">
              <w:rPr>
                <w:rFonts w:cs="Times New Roman"/>
                <w:noProof/>
              </w:rPr>
              <w:t>2023</w:t>
            </w:r>
          </w:p>
        </w:tc>
        <w:tc>
          <w:tcPr>
            <w:tcW w:w="5552" w:type="dxa"/>
            <w:shd w:val="clear" w:color="auto" w:fill="C6EFCE"/>
            <w:noWrap/>
          </w:tcPr>
          <w:p w14:paraId="2FBFA9C0" w14:textId="4C99CB1C" w:rsidR="00D65CB4" w:rsidRPr="00BC4EE7" w:rsidRDefault="00572307">
            <w:pPr>
              <w:pStyle w:val="P68B1DB1-Normal12"/>
              <w:spacing w:after="0" w:line="240" w:lineRule="auto"/>
              <w:jc w:val="both"/>
              <w:rPr>
                <w:rFonts w:eastAsia="Times New Roman" w:cs="Times New Roman"/>
                <w:noProof/>
              </w:rPr>
            </w:pPr>
            <w:r w:rsidRPr="00BC4EE7">
              <w:rPr>
                <w:rFonts w:cs="Times New Roman"/>
                <w:noProof/>
              </w:rPr>
              <w:t xml:space="preserve">A technológiatranszfer előmozdítása és az innovatív technológiákon alapuló innovatív üzleti szerkezet létrehozásának elősegítése érdekében legalább 45 innovatív és technológiaalapú vállalat kapott tőkét az INNVIERTE program keretében, hogy már korai szakaszban megerősítse kutatási tevékenységét. Mindezek a vállalatok a magánszektorból is részesültek beruházásokban. Az e beruházás keretében megvalósuló projektek értékelésének biztosítania kell a jelentős károkozás elkerülését célzó technikai iránymutatásnak (2021/C58/01) való megfelelést, az intézkedés leírásában meghatározottak szerint. </w:t>
            </w:r>
          </w:p>
        </w:tc>
      </w:tr>
      <w:tr w:rsidR="00D65CB4" w:rsidRPr="00BC4EE7" w14:paraId="3868A5CA" w14:textId="77777777" w:rsidTr="00BC4EE7">
        <w:trPr>
          <w:trHeight w:val="309"/>
        </w:trPr>
        <w:tc>
          <w:tcPr>
            <w:tcW w:w="851" w:type="dxa"/>
            <w:shd w:val="clear" w:color="auto" w:fill="C6EFCE"/>
            <w:noWrap/>
          </w:tcPr>
          <w:p w14:paraId="3AA9EBB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266</w:t>
            </w:r>
          </w:p>
        </w:tc>
        <w:tc>
          <w:tcPr>
            <w:tcW w:w="936" w:type="dxa"/>
            <w:shd w:val="clear" w:color="auto" w:fill="C6EFCE"/>
            <w:noWrap/>
          </w:tcPr>
          <w:p w14:paraId="23C416C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C17.I5</w:t>
            </w:r>
          </w:p>
        </w:tc>
        <w:tc>
          <w:tcPr>
            <w:tcW w:w="941" w:type="dxa"/>
            <w:shd w:val="clear" w:color="auto" w:fill="C6EFCE"/>
            <w:noWrap/>
          </w:tcPr>
          <w:p w14:paraId="34ABC27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1950" w:type="dxa"/>
            <w:shd w:val="clear" w:color="auto" w:fill="C6EFCE"/>
            <w:noWrap/>
          </w:tcPr>
          <w:p w14:paraId="3C4F2837"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Támogatás a technológiaalapú fiatal cégek számára üzleti tervük folytatásához.</w:t>
            </w:r>
          </w:p>
        </w:tc>
        <w:tc>
          <w:tcPr>
            <w:tcW w:w="951" w:type="dxa"/>
            <w:shd w:val="clear" w:color="auto" w:fill="C6EFCE"/>
            <w:noWrap/>
          </w:tcPr>
          <w:p w14:paraId="43C6A48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815" w:type="dxa"/>
            <w:shd w:val="clear" w:color="auto" w:fill="C6EFCE"/>
            <w:noWrap/>
          </w:tcPr>
          <w:p w14:paraId="36A324D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Szám</w:t>
            </w:r>
          </w:p>
        </w:tc>
        <w:tc>
          <w:tcPr>
            <w:tcW w:w="950" w:type="dxa"/>
            <w:shd w:val="clear" w:color="auto" w:fill="C6EFCE"/>
          </w:tcPr>
          <w:p w14:paraId="3C75576E" w14:textId="77777777" w:rsidR="00D65CB4" w:rsidRPr="00BC4EE7" w:rsidRDefault="00D65CB4">
            <w:pPr>
              <w:spacing w:after="0" w:line="240" w:lineRule="auto"/>
              <w:rPr>
                <w:rFonts w:ascii="Times New Roman" w:hAnsi="Times New Roman" w:cs="Times New Roman"/>
                <w:noProof/>
                <w:sz w:val="18"/>
              </w:rPr>
            </w:pPr>
          </w:p>
        </w:tc>
        <w:tc>
          <w:tcPr>
            <w:tcW w:w="815" w:type="dxa"/>
            <w:shd w:val="clear" w:color="auto" w:fill="C6EFCE"/>
          </w:tcPr>
          <w:p w14:paraId="7C2BD86B" w14:textId="1DAD3CA5" w:rsidR="00D65CB4" w:rsidRPr="00BC4EE7" w:rsidRDefault="00572307">
            <w:pPr>
              <w:pStyle w:val="P68B1DB1-Normal12"/>
              <w:spacing w:after="0" w:line="240" w:lineRule="auto"/>
              <w:jc w:val="center"/>
              <w:rPr>
                <w:rFonts w:cs="Times New Roman"/>
                <w:noProof/>
              </w:rPr>
            </w:pPr>
            <w:r w:rsidRPr="00BC4EE7">
              <w:rPr>
                <w:rFonts w:cs="Times New Roman"/>
                <w:noProof/>
              </w:rPr>
              <w:t>348</w:t>
            </w:r>
          </w:p>
        </w:tc>
        <w:tc>
          <w:tcPr>
            <w:tcW w:w="545" w:type="dxa"/>
            <w:shd w:val="clear" w:color="auto" w:fill="C6EFCE"/>
          </w:tcPr>
          <w:p w14:paraId="2FFFD9F5" w14:textId="74084429"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545" w:type="dxa"/>
            <w:shd w:val="clear" w:color="auto" w:fill="C6EFCE"/>
          </w:tcPr>
          <w:p w14:paraId="35565D59" w14:textId="40A3961A" w:rsidR="00D65CB4" w:rsidRPr="00BC4EE7" w:rsidRDefault="00572307">
            <w:pPr>
              <w:pStyle w:val="P68B1DB1-Normal12"/>
              <w:spacing w:after="0" w:line="240" w:lineRule="auto"/>
              <w:jc w:val="center"/>
              <w:rPr>
                <w:rFonts w:cs="Times New Roman"/>
                <w:noProof/>
              </w:rPr>
            </w:pPr>
            <w:r w:rsidRPr="00BC4EE7">
              <w:rPr>
                <w:rFonts w:cs="Times New Roman"/>
                <w:noProof/>
              </w:rPr>
              <w:t>2024</w:t>
            </w:r>
          </w:p>
        </w:tc>
        <w:tc>
          <w:tcPr>
            <w:tcW w:w="5552" w:type="dxa"/>
            <w:shd w:val="clear" w:color="auto" w:fill="C6EFCE"/>
            <w:noWrap/>
          </w:tcPr>
          <w:p w14:paraId="56488D7C" w14:textId="68BB7485" w:rsidR="00D65CB4" w:rsidRPr="00BC4EE7" w:rsidRDefault="00572307">
            <w:pPr>
              <w:pStyle w:val="P68B1DB1-Normal12"/>
              <w:spacing w:after="0" w:line="240" w:lineRule="auto"/>
              <w:jc w:val="both"/>
              <w:rPr>
                <w:rFonts w:eastAsia="Times New Roman" w:cs="Times New Roman"/>
                <w:noProof/>
              </w:rPr>
            </w:pPr>
            <w:r w:rsidRPr="00BC4EE7">
              <w:rPr>
                <w:rFonts w:cs="Times New Roman"/>
                <w:noProof/>
              </w:rPr>
              <w:t>A NEOTEC-támogatásokra vonatkozó felhívások révén a technológiatranszfer előmozdítása és az innovatív technológiákon alapuló új vállalkozások létrehozásának elősegítése érdekében:  Legalább 348 új, technológiaalapú vállalkozás, amelyet üzleti tervük folytatására engedélyeztek. Ezeknek a vállalatoknak három vagy annál fiatalabbnak kell lenniük, és az általános csoportmentességi rendeletben meghatározott innovatív vállalkozásoknak kell lenniük. Az e beruházás keretében megvalósuló projektek értékelésének biztosítania kell a jelentős károkozás elkerülését célzó technikai iránymutatásnak (2021/C58/01) való megfelelést, az intézkedés leírásában meghatározottak szerint.</w:t>
            </w:r>
          </w:p>
        </w:tc>
      </w:tr>
      <w:tr w:rsidR="00D65CB4" w:rsidRPr="00BC4EE7" w14:paraId="50F6ED81" w14:textId="77777777" w:rsidTr="00BC4EE7">
        <w:trPr>
          <w:trHeight w:val="309"/>
        </w:trPr>
        <w:tc>
          <w:tcPr>
            <w:tcW w:w="851" w:type="dxa"/>
            <w:shd w:val="clear" w:color="auto" w:fill="C6EFCE"/>
            <w:noWrap/>
          </w:tcPr>
          <w:p w14:paraId="6124DB9E" w14:textId="7ADA6A8E" w:rsidR="00D65CB4" w:rsidRPr="00BC4EE7" w:rsidRDefault="00572307">
            <w:pPr>
              <w:pStyle w:val="P68B1DB1-Normal12"/>
              <w:spacing w:after="0" w:line="240" w:lineRule="auto"/>
              <w:jc w:val="center"/>
              <w:rPr>
                <w:rFonts w:cs="Times New Roman"/>
                <w:noProof/>
              </w:rPr>
            </w:pPr>
            <w:r w:rsidRPr="00BC4EE7">
              <w:rPr>
                <w:rFonts w:cs="Times New Roman"/>
                <w:noProof/>
              </w:rPr>
              <w:t>459</w:t>
            </w:r>
          </w:p>
        </w:tc>
        <w:tc>
          <w:tcPr>
            <w:tcW w:w="936" w:type="dxa"/>
            <w:shd w:val="clear" w:color="auto" w:fill="C6EFCE"/>
            <w:noWrap/>
          </w:tcPr>
          <w:p w14:paraId="5E0A2E70" w14:textId="2836B5B6" w:rsidR="00D65CB4" w:rsidRPr="00BC4EE7" w:rsidRDefault="00572307">
            <w:pPr>
              <w:pStyle w:val="P68B1DB1-Normal12"/>
              <w:spacing w:after="0" w:line="240" w:lineRule="auto"/>
              <w:jc w:val="center"/>
              <w:rPr>
                <w:rFonts w:cs="Times New Roman"/>
                <w:noProof/>
              </w:rPr>
            </w:pPr>
            <w:r w:rsidRPr="00BC4EE7">
              <w:rPr>
                <w:rFonts w:cs="Times New Roman"/>
                <w:noProof/>
              </w:rPr>
              <w:t>C17.I5</w:t>
            </w:r>
          </w:p>
        </w:tc>
        <w:tc>
          <w:tcPr>
            <w:tcW w:w="941" w:type="dxa"/>
            <w:shd w:val="clear" w:color="auto" w:fill="C6EFCE"/>
            <w:noWrap/>
          </w:tcPr>
          <w:p w14:paraId="47A46A0F" w14:textId="55E5BECA"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1950" w:type="dxa"/>
            <w:shd w:val="clear" w:color="auto" w:fill="C6EFCE"/>
            <w:noWrap/>
          </w:tcPr>
          <w:p w14:paraId="0985A675" w14:textId="69D523A5" w:rsidR="00D65CB4" w:rsidRPr="00BC4EE7" w:rsidRDefault="00572307">
            <w:pPr>
              <w:pStyle w:val="P68B1DB1-Normal12"/>
              <w:spacing w:after="0" w:line="240" w:lineRule="auto"/>
              <w:rPr>
                <w:rFonts w:cs="Times New Roman"/>
                <w:noProof/>
              </w:rPr>
            </w:pPr>
            <w:r w:rsidRPr="00BC4EE7">
              <w:rPr>
                <w:rFonts w:cs="Times New Roman"/>
                <w:noProof/>
              </w:rPr>
              <w:t>A technológiatranszfer előmozdítását és az innovatív technológiákkal kapcsolatos kutatási eredmények átadását támogató projektek lezárása</w:t>
            </w:r>
          </w:p>
        </w:tc>
        <w:tc>
          <w:tcPr>
            <w:tcW w:w="951" w:type="dxa"/>
            <w:shd w:val="clear" w:color="auto" w:fill="C6EFCE"/>
            <w:noWrap/>
          </w:tcPr>
          <w:p w14:paraId="674F8448" w14:textId="30C57019" w:rsidR="00D65CB4" w:rsidRPr="00BC4EE7" w:rsidRDefault="00572307">
            <w:pPr>
              <w:pStyle w:val="P68B1DB1-Normal12"/>
              <w:spacing w:after="0" w:line="240" w:lineRule="auto"/>
              <w:jc w:val="center"/>
              <w:rPr>
                <w:rFonts w:cs="Times New Roman"/>
                <w:noProof/>
              </w:rPr>
            </w:pPr>
            <w:r w:rsidRPr="00BC4EE7">
              <w:rPr>
                <w:rFonts w:cs="Times New Roman"/>
                <w:noProof/>
              </w:rPr>
              <w:t>–</w:t>
            </w:r>
          </w:p>
        </w:tc>
        <w:tc>
          <w:tcPr>
            <w:tcW w:w="815" w:type="dxa"/>
            <w:shd w:val="clear" w:color="auto" w:fill="C6EFCE"/>
            <w:noWrap/>
          </w:tcPr>
          <w:p w14:paraId="7092BDAE" w14:textId="216A2BED" w:rsidR="00D65CB4" w:rsidRPr="00BC4EE7" w:rsidRDefault="00572307">
            <w:pPr>
              <w:pStyle w:val="P68B1DB1-Normal12"/>
              <w:spacing w:after="0" w:line="240" w:lineRule="auto"/>
              <w:jc w:val="center"/>
              <w:rPr>
                <w:rFonts w:cs="Times New Roman"/>
                <w:noProof/>
              </w:rPr>
            </w:pPr>
            <w:r w:rsidRPr="00BC4EE7">
              <w:rPr>
                <w:rFonts w:cs="Times New Roman"/>
                <w:noProof/>
              </w:rPr>
              <w:t>Millió EUR</w:t>
            </w:r>
          </w:p>
        </w:tc>
        <w:tc>
          <w:tcPr>
            <w:tcW w:w="950" w:type="dxa"/>
            <w:shd w:val="clear" w:color="auto" w:fill="C6EFCE"/>
          </w:tcPr>
          <w:p w14:paraId="4883C242" w14:textId="77777777" w:rsidR="00D65CB4" w:rsidRPr="00BC4EE7" w:rsidRDefault="00D65CB4">
            <w:pPr>
              <w:spacing w:after="0" w:line="240" w:lineRule="auto"/>
              <w:rPr>
                <w:rFonts w:ascii="Times New Roman" w:hAnsi="Times New Roman" w:cs="Times New Roman"/>
                <w:noProof/>
                <w:sz w:val="18"/>
              </w:rPr>
            </w:pPr>
          </w:p>
        </w:tc>
        <w:tc>
          <w:tcPr>
            <w:tcW w:w="815" w:type="dxa"/>
            <w:shd w:val="clear" w:color="auto" w:fill="C6EFCE"/>
          </w:tcPr>
          <w:p w14:paraId="01C0362C" w14:textId="1155E9B3" w:rsidR="00D65CB4" w:rsidRPr="00BC4EE7" w:rsidRDefault="00572307">
            <w:pPr>
              <w:pStyle w:val="P68B1DB1-Normal12"/>
              <w:spacing w:after="0" w:line="240" w:lineRule="auto"/>
              <w:jc w:val="center"/>
              <w:rPr>
                <w:rFonts w:cs="Times New Roman"/>
                <w:noProof/>
              </w:rPr>
            </w:pPr>
            <w:r w:rsidRPr="00BC4EE7">
              <w:rPr>
                <w:rFonts w:cs="Times New Roman"/>
                <w:noProof/>
              </w:rPr>
              <w:t>118.8</w:t>
            </w:r>
          </w:p>
        </w:tc>
        <w:tc>
          <w:tcPr>
            <w:tcW w:w="545" w:type="dxa"/>
            <w:shd w:val="clear" w:color="auto" w:fill="C6EFCE"/>
          </w:tcPr>
          <w:p w14:paraId="45EAE171" w14:textId="59BFF67C" w:rsidR="00D65CB4" w:rsidRPr="00BC4EE7" w:rsidRDefault="00572307">
            <w:pPr>
              <w:pStyle w:val="P68B1DB1-Normal12"/>
              <w:spacing w:after="0" w:line="240" w:lineRule="auto"/>
              <w:jc w:val="center"/>
              <w:rPr>
                <w:rFonts w:cs="Times New Roman"/>
                <w:noProof/>
              </w:rPr>
            </w:pPr>
            <w:r w:rsidRPr="00BC4EE7">
              <w:rPr>
                <w:rFonts w:cs="Times New Roman"/>
                <w:noProof/>
              </w:rPr>
              <w:t>Q3</w:t>
            </w:r>
          </w:p>
        </w:tc>
        <w:tc>
          <w:tcPr>
            <w:tcW w:w="545" w:type="dxa"/>
            <w:shd w:val="clear" w:color="auto" w:fill="C6EFCE"/>
          </w:tcPr>
          <w:p w14:paraId="5ED79361" w14:textId="345FC9BE" w:rsidR="00D65CB4" w:rsidRPr="00BC4EE7" w:rsidRDefault="00572307">
            <w:pPr>
              <w:pStyle w:val="P68B1DB1-Normal12"/>
              <w:spacing w:after="0" w:line="240" w:lineRule="auto"/>
              <w:jc w:val="center"/>
              <w:rPr>
                <w:rFonts w:cs="Times New Roman"/>
                <w:noProof/>
              </w:rPr>
            </w:pPr>
            <w:r w:rsidRPr="00BC4EE7">
              <w:rPr>
                <w:rFonts w:cs="Times New Roman"/>
                <w:noProof/>
              </w:rPr>
              <w:t>2026</w:t>
            </w:r>
          </w:p>
        </w:tc>
        <w:tc>
          <w:tcPr>
            <w:tcW w:w="5552" w:type="dxa"/>
            <w:shd w:val="clear" w:color="auto" w:fill="C6EFCE"/>
            <w:noWrap/>
          </w:tcPr>
          <w:p w14:paraId="59CB4308"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következő projektek lezárása összesen 118 800 000 EUR összegben.</w:t>
            </w:r>
          </w:p>
          <w:p w14:paraId="65D76EE8" w14:textId="38F5443A" w:rsidR="00D65CB4" w:rsidRPr="00BC4EE7" w:rsidRDefault="00572307">
            <w:pPr>
              <w:pStyle w:val="P68B1DB1-Normal12"/>
              <w:spacing w:after="0" w:line="240" w:lineRule="auto"/>
              <w:rPr>
                <w:rFonts w:eastAsia="Times New Roman" w:cs="Times New Roman"/>
                <w:noProof/>
              </w:rPr>
            </w:pPr>
            <w:r w:rsidRPr="00BC4EE7">
              <w:rPr>
                <w:rFonts w:cs="Times New Roman"/>
                <w:noProof/>
              </w:rPr>
              <w:t>Az odaítélt projektek a következőket foglalják magukban:</w:t>
            </w:r>
          </w:p>
          <w:p w14:paraId="14C6B4CB"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Felhívás a Cervera kiválósági hálózatokon alapuló innovációs ökoszisztémák kialakítására</w:t>
            </w:r>
          </w:p>
          <w:p w14:paraId="2612828D" w14:textId="34472DE7" w:rsidR="00D65CB4" w:rsidRPr="00BC4EE7" w:rsidRDefault="00572307">
            <w:pPr>
              <w:pStyle w:val="P68B1DB1-Normal12"/>
              <w:spacing w:after="0" w:line="240" w:lineRule="auto"/>
              <w:rPr>
                <w:rFonts w:eastAsia="Times New Roman" w:cs="Times New Roman"/>
                <w:noProof/>
              </w:rPr>
            </w:pPr>
            <w:r w:rsidRPr="00BC4EE7">
              <w:rPr>
                <w:rFonts w:cs="Times New Roman"/>
                <w:noProof/>
              </w:rPr>
              <w:t>A kutatási eredményátadási hivatalok kapacitásainak és orientációjának javítása</w:t>
            </w:r>
          </w:p>
          <w:p w14:paraId="2F27148B" w14:textId="29B8BFAD" w:rsidR="00D65CB4" w:rsidRPr="00BC4EE7" w:rsidRDefault="00572307">
            <w:pPr>
              <w:pStyle w:val="P68B1DB1-Normal12"/>
              <w:spacing w:after="0" w:line="240" w:lineRule="auto"/>
              <w:rPr>
                <w:rFonts w:eastAsia="Times New Roman" w:cs="Times New Roman"/>
                <w:noProof/>
              </w:rPr>
            </w:pPr>
            <w:r w:rsidRPr="00BC4EE7">
              <w:rPr>
                <w:rFonts w:cs="Times New Roman"/>
                <w:noProof/>
              </w:rPr>
              <w:t>Felhívás a technológiai központoknak, kutatóközpontoknak, kkv-knak és közepes piaci tőkeértékű vállalatoknak nyújtott Cervera-támogatások kiemelt technológiákkal kapcsolatos kutatás-fejlesztés céljából</w:t>
            </w:r>
          </w:p>
          <w:p w14:paraId="0F3DCD3A" w14:textId="094BF09E" w:rsidR="00D65CB4" w:rsidRPr="00BC4EE7" w:rsidRDefault="00572307">
            <w:pPr>
              <w:pStyle w:val="P68B1DB1-Normal12"/>
              <w:spacing w:after="0" w:line="240" w:lineRule="auto"/>
              <w:jc w:val="both"/>
              <w:rPr>
                <w:rFonts w:cs="Times New Roman"/>
                <w:noProof/>
              </w:rPr>
            </w:pPr>
            <w:r w:rsidRPr="00BC4EE7">
              <w:rPr>
                <w:rFonts w:cs="Times New Roman"/>
                <w:noProof/>
              </w:rPr>
              <w:t>Felhívás a spanyol kkv-k támogatására az európai kiválósági pecséttel</w:t>
            </w:r>
          </w:p>
        </w:tc>
      </w:tr>
      <w:tr w:rsidR="00D65CB4" w:rsidRPr="00BC4EE7" w14:paraId="28CC9AE4" w14:textId="77777777" w:rsidTr="00BC4EE7">
        <w:trPr>
          <w:trHeight w:val="309"/>
        </w:trPr>
        <w:tc>
          <w:tcPr>
            <w:tcW w:w="851" w:type="dxa"/>
            <w:shd w:val="clear" w:color="auto" w:fill="C6EFCE"/>
            <w:noWrap/>
          </w:tcPr>
          <w:p w14:paraId="21AD04C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267</w:t>
            </w:r>
          </w:p>
        </w:tc>
        <w:tc>
          <w:tcPr>
            <w:tcW w:w="936" w:type="dxa"/>
            <w:shd w:val="clear" w:color="auto" w:fill="C6EFCE"/>
            <w:noWrap/>
          </w:tcPr>
          <w:p w14:paraId="059C602B"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C17.I6</w:t>
            </w:r>
          </w:p>
        </w:tc>
        <w:tc>
          <w:tcPr>
            <w:tcW w:w="941" w:type="dxa"/>
            <w:shd w:val="clear" w:color="auto" w:fill="C6EFCE"/>
            <w:noWrap/>
          </w:tcPr>
          <w:p w14:paraId="5B22155B"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1950" w:type="dxa"/>
            <w:shd w:val="clear" w:color="auto" w:fill="C6EFCE"/>
            <w:noWrap/>
          </w:tcPr>
          <w:p w14:paraId="459A25B1"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nemzeti egészségügyi rendszer stratégiai kapacitásainak megerősítésére és nemzetközivé tételére irányuló projektek, a precíziós, személyre szabott orvoslási stratégiához kapcsolódó projektek, valamint a fejlett terápiákra irányuló köz-magánbefektetési eszközhöz való hozzájárulás.</w:t>
            </w:r>
          </w:p>
        </w:tc>
        <w:tc>
          <w:tcPr>
            <w:tcW w:w="951" w:type="dxa"/>
            <w:shd w:val="clear" w:color="auto" w:fill="C6EFCE"/>
            <w:noWrap/>
          </w:tcPr>
          <w:p w14:paraId="45A4C4C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815" w:type="dxa"/>
            <w:shd w:val="clear" w:color="auto" w:fill="C6EFCE"/>
            <w:noWrap/>
          </w:tcPr>
          <w:p w14:paraId="5D1DD91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Millió EUR</w:t>
            </w:r>
          </w:p>
        </w:tc>
        <w:tc>
          <w:tcPr>
            <w:tcW w:w="950" w:type="dxa"/>
            <w:shd w:val="clear" w:color="auto" w:fill="C6EFCE"/>
          </w:tcPr>
          <w:p w14:paraId="46CB8396" w14:textId="77777777" w:rsidR="00D65CB4" w:rsidRPr="00BC4EE7" w:rsidRDefault="00D65CB4">
            <w:pPr>
              <w:spacing w:after="0" w:line="240" w:lineRule="auto"/>
              <w:rPr>
                <w:rFonts w:ascii="Times New Roman" w:hAnsi="Times New Roman" w:cs="Times New Roman"/>
                <w:noProof/>
                <w:sz w:val="18"/>
              </w:rPr>
            </w:pPr>
          </w:p>
        </w:tc>
        <w:tc>
          <w:tcPr>
            <w:tcW w:w="815" w:type="dxa"/>
            <w:shd w:val="clear" w:color="auto" w:fill="C6EFCE"/>
          </w:tcPr>
          <w:p w14:paraId="65511315" w14:textId="7F0B684E" w:rsidR="00D65CB4" w:rsidRPr="00BC4EE7" w:rsidRDefault="00572307">
            <w:pPr>
              <w:pStyle w:val="P68B1DB1-Normal12"/>
              <w:spacing w:after="0" w:line="240" w:lineRule="auto"/>
              <w:jc w:val="center"/>
              <w:rPr>
                <w:rFonts w:cs="Times New Roman"/>
                <w:noProof/>
              </w:rPr>
            </w:pPr>
            <w:r w:rsidRPr="00BC4EE7">
              <w:rPr>
                <w:rFonts w:cs="Times New Roman"/>
                <w:noProof/>
              </w:rPr>
              <w:t>436.2</w:t>
            </w:r>
          </w:p>
        </w:tc>
        <w:tc>
          <w:tcPr>
            <w:tcW w:w="545" w:type="dxa"/>
            <w:shd w:val="clear" w:color="auto" w:fill="C6EFCE"/>
          </w:tcPr>
          <w:p w14:paraId="4B134831" w14:textId="5F1FE2EA" w:rsidR="00D65CB4" w:rsidRPr="00BC4EE7" w:rsidRDefault="00572307">
            <w:pPr>
              <w:pStyle w:val="P68B1DB1-Normal12"/>
              <w:spacing w:after="0" w:line="240" w:lineRule="auto"/>
              <w:jc w:val="center"/>
              <w:rPr>
                <w:rFonts w:cs="Times New Roman"/>
                <w:noProof/>
              </w:rPr>
            </w:pPr>
            <w:r w:rsidRPr="00BC4EE7">
              <w:rPr>
                <w:rFonts w:cs="Times New Roman"/>
                <w:noProof/>
              </w:rPr>
              <w:t>Q1</w:t>
            </w:r>
          </w:p>
        </w:tc>
        <w:tc>
          <w:tcPr>
            <w:tcW w:w="545" w:type="dxa"/>
            <w:shd w:val="clear" w:color="auto" w:fill="C6EFCE"/>
          </w:tcPr>
          <w:p w14:paraId="5316A6CE" w14:textId="5D094771" w:rsidR="00D65CB4" w:rsidRPr="00BC4EE7" w:rsidRDefault="00572307">
            <w:pPr>
              <w:pStyle w:val="P68B1DB1-Normal12"/>
              <w:spacing w:after="0" w:line="240" w:lineRule="auto"/>
              <w:jc w:val="center"/>
              <w:rPr>
                <w:rFonts w:cs="Times New Roman"/>
                <w:noProof/>
              </w:rPr>
            </w:pPr>
            <w:r w:rsidRPr="00BC4EE7">
              <w:rPr>
                <w:rFonts w:cs="Times New Roman"/>
                <w:noProof/>
              </w:rPr>
              <w:t>2024</w:t>
            </w:r>
          </w:p>
        </w:tc>
        <w:tc>
          <w:tcPr>
            <w:tcW w:w="5552" w:type="dxa"/>
            <w:shd w:val="clear" w:color="auto" w:fill="C6EFCE"/>
            <w:noWrap/>
          </w:tcPr>
          <w:p w14:paraId="662CDB46" w14:textId="64C5C285" w:rsidR="00D65CB4" w:rsidRPr="00BC4EE7" w:rsidRDefault="00572307">
            <w:pPr>
              <w:spacing w:after="0" w:line="240" w:lineRule="auto"/>
              <w:rPr>
                <w:rFonts w:ascii="Times New Roman" w:hAnsi="Times New Roman" w:cs="Times New Roman"/>
                <w:noProof/>
                <w:sz w:val="18"/>
              </w:rPr>
            </w:pPr>
            <w:r w:rsidRPr="00BC4EE7">
              <w:rPr>
                <w:rFonts w:ascii="Times New Roman" w:hAnsi="Times New Roman" w:cs="Times New Roman"/>
                <w:noProof/>
                <w:sz w:val="18"/>
              </w:rPr>
              <w:t>A Hivatalos Lapban való közzététel legalább 436 185 000 EUR-t:</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 174 000 000 EUR a nemzeti egészségügyi rendszer stratégiai kapacitásainak és nemzetköziesítésének megerősítésére irányuló projektekre, beleértve a következőket:  </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80 000 000 EUR az egészségügyre vonatkozó stratégiai fellépés odaítélésére </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xml:space="preserve">– 75 000 000 EUR vissza nem térítendő támogatás a nemzeti egészségügyi rendszerhez kapcsolódó kutatóközpontok tudományos kapacitásainak növelésére, valamint a tudományos és műszaki berendezések finanszírozásához – beleértve a tudományos-műszaki berendezések megújítását – kapcsolódó pályázatokra, </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6 000 000 EUR az Instituto de Salud Carlos III kiválósági pecsét támogatására,</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13 000 000 EUR támogatás a köz- és magánszféra közötti partnerségek számára a GMP/LPG környezetnek az SNS-kutatócsoportokba történő beépítéséhez, azaz a nemzeti egészségügyi rendszer nemzetközivé válásához nyújtott támogatás</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140 500 000 EUR a személyre szabott gyógyszerstratégiához kapcsolódó projektekre, beleértve a következőket:</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29 500 000 EUR összegű általános pályázati felhívás személyre szabott gyógyszerekre</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91 500 000 EUR összegű pályázati felhívás a személyre szabott gyógyszerekre vonatkozó egyedi programokra</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15 000 000 EUR összegű felhívás a személyre szabott és fejlett terápiákra vonatkozó tervre</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4 500 000 EUR összegű felhívás a személyre szabott orvostudományok spanyol nemzetközivé tételére</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Az egészségügyi rendszer nemzetközivé tételét célzó intézkedéseknek támogatniuk kell Spanyolország helyzetét az európai egészségügyi ágazatban azáltal, hogy ösztönzik Spanyolország részvételét az EU HEALTH programban és a Horizont Európa programban. Lehetővé teszi a Horizont Európa és a Horizont 2020 partnerségek által finanszírozásra kiválasztott közös, határokon átnyúló programozási projektek részét képező kutatási és innovációs klaszterek finanszírozását, mint például az ERA-Net társfinanszírozása, az európai közös programozási kezdeményezések vagy a nemzetközi közös programozási kezdeményezések, az Európai Unió működéséről szóló szerződés (EUMSZ) 187. és 185. cikke alapján létrehozott kezdeményezések, valamint a Horizont Európa keretprogram keretében létrehozott partnerségek.</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*És legalább egy 36 685 000 EUR összegű hozzájárulás egy fejlett terápiákra irányuló köz-magán befektetési eszközhöz.</w:t>
            </w:r>
          </w:p>
          <w:p w14:paraId="61E4FD0C"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85 000 000 EUR a PERTE keretében a járőrök egészségével kapcsolatos tevékenységekre: i. felhívás az Egészségügyi Minisztérium és a Tudományügyi és Innovációs Minisztérium ritka betegségekkel kapcsolatos közös küldetéseire; ii. felhívás az Egészségügyi Minisztérium és a Tudományügyi és Innovációs Minisztérium közös küldetéseire a precíziós orvoslás megvalósítása terén; iii. beruházási felhívás a betegorientált klinikai kutatási egységek képzésébe, továbbfejlesztett infrastruktúrájába, tervezésébe és kutatási kapacitásaihoz szükséges berendezésekbe.</w:t>
            </w:r>
            <w:r w:rsidRPr="00BC4EE7">
              <w:rPr>
                <w:rFonts w:cs="Times New Roman"/>
                <w:noProof/>
                <w:shd w:val="clear" w:color="auto" w:fill="E6E6E6"/>
              </w:rPr>
              <w:t xml:space="preserve"> </w:t>
            </w:r>
          </w:p>
        </w:tc>
      </w:tr>
      <w:tr w:rsidR="00D65CB4" w:rsidRPr="00BC4EE7" w14:paraId="6A9143EA" w14:textId="77777777" w:rsidTr="00BC4EE7">
        <w:trPr>
          <w:trHeight w:val="309"/>
        </w:trPr>
        <w:tc>
          <w:tcPr>
            <w:tcW w:w="851" w:type="dxa"/>
            <w:shd w:val="clear" w:color="auto" w:fill="C6EFCE"/>
            <w:noWrap/>
          </w:tcPr>
          <w:p w14:paraId="4C5ED50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268</w:t>
            </w:r>
          </w:p>
        </w:tc>
        <w:tc>
          <w:tcPr>
            <w:tcW w:w="936" w:type="dxa"/>
            <w:shd w:val="clear" w:color="auto" w:fill="C6EFCE"/>
            <w:noWrap/>
          </w:tcPr>
          <w:p w14:paraId="6D1F29D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C17.I6</w:t>
            </w:r>
          </w:p>
        </w:tc>
        <w:tc>
          <w:tcPr>
            <w:tcW w:w="941" w:type="dxa"/>
            <w:shd w:val="clear" w:color="auto" w:fill="C6EFCE"/>
            <w:noWrap/>
          </w:tcPr>
          <w:p w14:paraId="5F95BF3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1950" w:type="dxa"/>
            <w:shd w:val="clear" w:color="auto" w:fill="C6EFCE"/>
            <w:noWrap/>
          </w:tcPr>
          <w:p w14:paraId="0ED5F9E7"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Az egészségügyi ágazatban a kutatásfejlesztés és az innováció megerősítését célzó valamennyi projekt lezárása. </w:t>
            </w:r>
          </w:p>
        </w:tc>
        <w:tc>
          <w:tcPr>
            <w:tcW w:w="951" w:type="dxa"/>
            <w:shd w:val="clear" w:color="auto" w:fill="C6EFCE"/>
            <w:noWrap/>
          </w:tcPr>
          <w:p w14:paraId="41E0C0A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815" w:type="dxa"/>
            <w:shd w:val="clear" w:color="auto" w:fill="C6EFCE"/>
            <w:noWrap/>
          </w:tcPr>
          <w:p w14:paraId="664A8C5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50" w:type="dxa"/>
            <w:shd w:val="clear" w:color="auto" w:fill="C6EFCE"/>
          </w:tcPr>
          <w:p w14:paraId="0515E4BE" w14:textId="77777777" w:rsidR="00D65CB4" w:rsidRPr="00BC4EE7" w:rsidRDefault="00D65CB4">
            <w:pPr>
              <w:spacing w:after="0" w:line="240" w:lineRule="auto"/>
              <w:rPr>
                <w:rFonts w:ascii="Times New Roman" w:hAnsi="Times New Roman" w:cs="Times New Roman"/>
                <w:noProof/>
                <w:sz w:val="18"/>
              </w:rPr>
            </w:pPr>
          </w:p>
        </w:tc>
        <w:tc>
          <w:tcPr>
            <w:tcW w:w="815" w:type="dxa"/>
            <w:shd w:val="clear" w:color="auto" w:fill="C6EFCE"/>
          </w:tcPr>
          <w:p w14:paraId="3B6F4AD7" w14:textId="29C5D2B2" w:rsidR="00D65CB4" w:rsidRPr="00BC4EE7" w:rsidRDefault="00572307">
            <w:pPr>
              <w:pStyle w:val="P68B1DB1-Normal12"/>
              <w:spacing w:after="0" w:line="240" w:lineRule="auto"/>
              <w:jc w:val="center"/>
              <w:rPr>
                <w:rFonts w:cs="Times New Roman"/>
                <w:noProof/>
              </w:rPr>
            </w:pPr>
            <w:r w:rsidRPr="00BC4EE7">
              <w:rPr>
                <w:rFonts w:cs="Times New Roman"/>
                <w:noProof/>
              </w:rPr>
              <w:t>100</w:t>
            </w:r>
          </w:p>
        </w:tc>
        <w:tc>
          <w:tcPr>
            <w:tcW w:w="545" w:type="dxa"/>
            <w:shd w:val="clear" w:color="auto" w:fill="C6EFCE"/>
          </w:tcPr>
          <w:p w14:paraId="60466CD6" w14:textId="3A0A6271"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545" w:type="dxa"/>
            <w:shd w:val="clear" w:color="auto" w:fill="C6EFCE"/>
          </w:tcPr>
          <w:p w14:paraId="0F1A0D18" w14:textId="14C1893B" w:rsidR="00D65CB4" w:rsidRPr="00BC4EE7" w:rsidRDefault="00572307">
            <w:pPr>
              <w:pStyle w:val="P68B1DB1-Normal12"/>
              <w:spacing w:after="0" w:line="240" w:lineRule="auto"/>
              <w:jc w:val="center"/>
              <w:rPr>
                <w:rFonts w:cs="Times New Roman"/>
                <w:noProof/>
              </w:rPr>
            </w:pPr>
            <w:r w:rsidRPr="00BC4EE7">
              <w:rPr>
                <w:rFonts w:cs="Times New Roman"/>
                <w:noProof/>
              </w:rPr>
              <w:t>2026</w:t>
            </w:r>
          </w:p>
        </w:tc>
        <w:tc>
          <w:tcPr>
            <w:tcW w:w="5552" w:type="dxa"/>
            <w:shd w:val="clear" w:color="auto" w:fill="C6EFCE"/>
            <w:noWrap/>
          </w:tcPr>
          <w:p w14:paraId="45396BF5" w14:textId="77777777" w:rsidR="00D65CB4" w:rsidRPr="00BC4EE7" w:rsidRDefault="00572307">
            <w:pPr>
              <w:spacing w:after="0" w:line="240" w:lineRule="auto"/>
              <w:rPr>
                <w:rFonts w:ascii="Times New Roman" w:eastAsia="Times New Roman" w:hAnsi="Times New Roman" w:cs="Times New Roman"/>
                <w:noProof/>
                <w:sz w:val="18"/>
              </w:rPr>
            </w:pPr>
            <w:r w:rsidRPr="00BC4EE7">
              <w:rPr>
                <w:rFonts w:ascii="Times New Roman" w:hAnsi="Times New Roman" w:cs="Times New Roman"/>
                <w:noProof/>
                <w:sz w:val="18"/>
              </w:rPr>
              <w:t>Az összes projekt lezárása összesen 527 126 000 EUR összegben.</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Az odaítélt projektek, beleértve a következő pályázati felhívásokat:</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 A nemzeti egészségügyi rendszer stratégiai kapacitásainak megerősítése és nemzetközivé tétele tekintetében: </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 az egészségügyre vonatkozó stratégiai fellépés </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xml:space="preserve"> – a nemzeti egészségügyi rendszerhez kapcsolódó kutatóközpontok tudományos kapacitásainak növelésére irányuló projektek, </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xml:space="preserve"> – a tudományos és műszaki berendezések finanszírozásához kapcsolódó javaslatok, beleértve a tudományos-műszaki berendezések elavulás esetén történő megújítását, </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xml:space="preserve"> – az Instituto de Salud Carlos III kiválósági pecséttel kapcsolatos projektek; és </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xml:space="preserve"> – a köz- és magánszféra közötti partnerségek a GMP/LPG környezetnek az SNS-kutatócsoportokba történő integrálására.</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A személyre szabott orvoslásra vonatkozó stratégia tekintetében:</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 – a személyre szabott gyógyszerekre vonatkozó általános pályázati felhívás projektjei</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xml:space="preserve"> – a személyre szabott és fejlett terápiákra vonatkozó tervre vonatkozó pályázati felhívás projektjei</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xml:space="preserve"> – a személyre szabott orvostudományra vonatkozó spanyol nemzetköziesítési felhívás projektjei</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Legalább 2 tőkeemelés a fejlett terápiák gyógyszereivel kapcsolatos klinikai vizsgálatok (II. és III. szakasz) elvégzése céljából</w:t>
            </w:r>
          </w:p>
          <w:p w14:paraId="46EF6F65" w14:textId="77777777" w:rsidR="00D65CB4" w:rsidRPr="00BC4EE7" w:rsidRDefault="00D65CB4">
            <w:pPr>
              <w:spacing w:after="0" w:line="240" w:lineRule="auto"/>
              <w:rPr>
                <w:rFonts w:ascii="Times New Roman" w:hAnsi="Times New Roman" w:cs="Times New Roman"/>
                <w:noProof/>
                <w:sz w:val="18"/>
              </w:rPr>
            </w:pPr>
          </w:p>
        </w:tc>
      </w:tr>
      <w:tr w:rsidR="00D65CB4" w:rsidRPr="00BC4EE7" w14:paraId="7DE39A3A" w14:textId="77777777" w:rsidTr="00BC4EE7">
        <w:trPr>
          <w:trHeight w:val="309"/>
        </w:trPr>
        <w:tc>
          <w:tcPr>
            <w:tcW w:w="851" w:type="dxa"/>
            <w:shd w:val="clear" w:color="auto" w:fill="C6EFCE"/>
            <w:noWrap/>
          </w:tcPr>
          <w:p w14:paraId="3CCF428E" w14:textId="0B61B297" w:rsidR="00D65CB4" w:rsidRPr="00BC4EE7" w:rsidRDefault="00572307">
            <w:pPr>
              <w:pStyle w:val="P68B1DB1-Normal12"/>
              <w:spacing w:after="0" w:line="240" w:lineRule="auto"/>
              <w:jc w:val="center"/>
              <w:rPr>
                <w:rFonts w:cs="Times New Roman"/>
                <w:noProof/>
              </w:rPr>
            </w:pPr>
            <w:r w:rsidRPr="00BC4EE7">
              <w:rPr>
                <w:rFonts w:cs="Times New Roman"/>
                <w:noProof/>
              </w:rPr>
              <w:t>460</w:t>
            </w:r>
          </w:p>
        </w:tc>
        <w:tc>
          <w:tcPr>
            <w:tcW w:w="936" w:type="dxa"/>
            <w:shd w:val="clear" w:color="auto" w:fill="C6EFCE"/>
            <w:noWrap/>
          </w:tcPr>
          <w:p w14:paraId="76390B63" w14:textId="3E0CF364" w:rsidR="00D65CB4" w:rsidRPr="00BC4EE7" w:rsidRDefault="00572307">
            <w:pPr>
              <w:pStyle w:val="P68B1DB1-Normal12"/>
              <w:spacing w:after="0" w:line="240" w:lineRule="auto"/>
              <w:jc w:val="center"/>
              <w:rPr>
                <w:rFonts w:cs="Times New Roman"/>
                <w:noProof/>
              </w:rPr>
            </w:pPr>
            <w:r w:rsidRPr="00BC4EE7">
              <w:rPr>
                <w:rFonts w:cs="Times New Roman"/>
                <w:noProof/>
              </w:rPr>
              <w:t>C17.I6</w:t>
            </w:r>
          </w:p>
        </w:tc>
        <w:tc>
          <w:tcPr>
            <w:tcW w:w="941" w:type="dxa"/>
            <w:shd w:val="clear" w:color="auto" w:fill="C6EFCE"/>
            <w:noWrap/>
          </w:tcPr>
          <w:p w14:paraId="0576D1F3" w14:textId="11E2276F"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1950" w:type="dxa"/>
            <w:shd w:val="clear" w:color="auto" w:fill="C6EFCE"/>
            <w:noWrap/>
          </w:tcPr>
          <w:p w14:paraId="3A6109DB" w14:textId="2C0F9A94" w:rsidR="00D65CB4" w:rsidRPr="00BC4EE7" w:rsidRDefault="00572307">
            <w:pPr>
              <w:pStyle w:val="P68B1DB1-Normal12"/>
              <w:spacing w:after="0" w:line="240" w:lineRule="auto"/>
              <w:rPr>
                <w:rFonts w:cs="Times New Roman"/>
                <w:noProof/>
              </w:rPr>
            </w:pPr>
            <w:r w:rsidRPr="00BC4EE7">
              <w:rPr>
                <w:rFonts w:cs="Times New Roman"/>
                <w:noProof/>
              </w:rPr>
              <w:t xml:space="preserve">Pénzeszközök folyósítása K+F projektekhez a PERTE Health keretében  </w:t>
            </w:r>
          </w:p>
        </w:tc>
        <w:tc>
          <w:tcPr>
            <w:tcW w:w="951" w:type="dxa"/>
            <w:shd w:val="clear" w:color="auto" w:fill="C6EFCE"/>
            <w:noWrap/>
          </w:tcPr>
          <w:p w14:paraId="37C3E156" w14:textId="6DA9DDA7" w:rsidR="00D65CB4" w:rsidRPr="00BC4EE7" w:rsidRDefault="00572307">
            <w:pPr>
              <w:pStyle w:val="P68B1DB1-Normal12"/>
              <w:spacing w:after="0" w:line="240" w:lineRule="auto"/>
              <w:jc w:val="center"/>
              <w:rPr>
                <w:rFonts w:cs="Times New Roman"/>
                <w:noProof/>
              </w:rPr>
            </w:pPr>
            <w:r w:rsidRPr="00BC4EE7">
              <w:rPr>
                <w:rFonts w:cs="Times New Roman"/>
                <w:noProof/>
              </w:rPr>
              <w:t>–</w:t>
            </w:r>
          </w:p>
        </w:tc>
        <w:tc>
          <w:tcPr>
            <w:tcW w:w="815" w:type="dxa"/>
            <w:shd w:val="clear" w:color="auto" w:fill="C6EFCE"/>
            <w:noWrap/>
          </w:tcPr>
          <w:p w14:paraId="70A884B8" w14:textId="28A95139" w:rsidR="00D65CB4" w:rsidRPr="00BC4EE7" w:rsidRDefault="00572307">
            <w:pPr>
              <w:pStyle w:val="P68B1DB1-Normal12"/>
              <w:spacing w:after="0" w:line="240" w:lineRule="auto"/>
              <w:jc w:val="center"/>
              <w:rPr>
                <w:rFonts w:cs="Times New Roman"/>
                <w:noProof/>
              </w:rPr>
            </w:pPr>
            <w:r w:rsidRPr="00BC4EE7">
              <w:rPr>
                <w:rFonts w:cs="Times New Roman"/>
                <w:noProof/>
              </w:rPr>
              <w:t>Millió EUR</w:t>
            </w:r>
          </w:p>
        </w:tc>
        <w:tc>
          <w:tcPr>
            <w:tcW w:w="950" w:type="dxa"/>
            <w:shd w:val="clear" w:color="auto" w:fill="C6EFCE"/>
          </w:tcPr>
          <w:p w14:paraId="0BF876F1" w14:textId="77777777" w:rsidR="00D65CB4" w:rsidRPr="00BC4EE7" w:rsidRDefault="00D65CB4">
            <w:pPr>
              <w:spacing w:after="0" w:line="240" w:lineRule="auto"/>
              <w:rPr>
                <w:rFonts w:ascii="Times New Roman" w:hAnsi="Times New Roman" w:cs="Times New Roman"/>
                <w:noProof/>
                <w:sz w:val="18"/>
              </w:rPr>
            </w:pPr>
          </w:p>
        </w:tc>
        <w:tc>
          <w:tcPr>
            <w:tcW w:w="815" w:type="dxa"/>
            <w:shd w:val="clear" w:color="auto" w:fill="C6EFCE"/>
          </w:tcPr>
          <w:p w14:paraId="55F7A4D6" w14:textId="029DAD6F" w:rsidR="00D65CB4" w:rsidRPr="00BC4EE7" w:rsidRDefault="00572307">
            <w:pPr>
              <w:pStyle w:val="P68B1DB1-Normal12"/>
              <w:spacing w:after="0" w:line="240" w:lineRule="auto"/>
              <w:jc w:val="center"/>
              <w:rPr>
                <w:rFonts w:cs="Times New Roman"/>
                <w:noProof/>
              </w:rPr>
            </w:pPr>
            <w:r w:rsidRPr="00BC4EE7">
              <w:rPr>
                <w:rFonts w:cs="Times New Roman"/>
                <w:noProof/>
              </w:rPr>
              <w:t>243</w:t>
            </w:r>
          </w:p>
        </w:tc>
        <w:tc>
          <w:tcPr>
            <w:tcW w:w="545" w:type="dxa"/>
            <w:shd w:val="clear" w:color="auto" w:fill="C6EFCE"/>
          </w:tcPr>
          <w:p w14:paraId="187B82CE" w14:textId="761337DD" w:rsidR="00D65CB4" w:rsidRPr="00BC4EE7" w:rsidRDefault="00572307">
            <w:pPr>
              <w:pStyle w:val="P68B1DB1-Normal12"/>
              <w:spacing w:after="0" w:line="240" w:lineRule="auto"/>
              <w:jc w:val="center"/>
              <w:rPr>
                <w:rFonts w:cs="Times New Roman"/>
                <w:noProof/>
              </w:rPr>
            </w:pPr>
            <w:r w:rsidRPr="00BC4EE7">
              <w:rPr>
                <w:rFonts w:cs="Times New Roman"/>
                <w:noProof/>
              </w:rPr>
              <w:t>Q3</w:t>
            </w:r>
          </w:p>
        </w:tc>
        <w:tc>
          <w:tcPr>
            <w:tcW w:w="545" w:type="dxa"/>
            <w:shd w:val="clear" w:color="auto" w:fill="C6EFCE"/>
          </w:tcPr>
          <w:p w14:paraId="5555E33D" w14:textId="5A53107F" w:rsidR="00D65CB4" w:rsidRPr="00BC4EE7" w:rsidRDefault="00572307">
            <w:pPr>
              <w:pStyle w:val="P68B1DB1-Normal12"/>
              <w:spacing w:after="0" w:line="240" w:lineRule="auto"/>
              <w:jc w:val="center"/>
              <w:rPr>
                <w:rFonts w:cs="Times New Roman"/>
                <w:noProof/>
              </w:rPr>
            </w:pPr>
            <w:r w:rsidRPr="00BC4EE7">
              <w:rPr>
                <w:rFonts w:cs="Times New Roman"/>
                <w:noProof/>
              </w:rPr>
              <w:t>2026</w:t>
            </w:r>
          </w:p>
        </w:tc>
        <w:tc>
          <w:tcPr>
            <w:tcW w:w="5552" w:type="dxa"/>
            <w:shd w:val="clear" w:color="auto" w:fill="C6EFCE"/>
            <w:noWrap/>
          </w:tcPr>
          <w:p w14:paraId="3FACC89B"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 PERTE Health program keretében 243 000 000 EUR-t folyósítottak a következő K+F projektekre: </w:t>
            </w:r>
          </w:p>
          <w:p w14:paraId="6298AE6F"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az egészségügyi ágazat ipari kapacitásainak megerősítésére és nemzetközivé tételére irányuló projektek, </w:t>
            </w:r>
          </w:p>
          <w:p w14:paraId="1668C725"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 ritka betegségekkel, többek között az ALS-sel és a neuromuszkuláris betegségekkel kapcsolatos közös küldetésekre irányuló projektek, </w:t>
            </w:r>
          </w:p>
          <w:p w14:paraId="4CACA2B8"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 a precíziós gyógyászatra irányuló közös küldetésre irányuló projektek, </w:t>
            </w:r>
          </w:p>
          <w:p w14:paraId="15EB433D"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 Proteomics and Metabolomics Platform létrehozása az Instituto de Salud Carlos III-on (ISCIII), </w:t>
            </w:r>
          </w:p>
          <w:p w14:paraId="7D7F3F31"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az ISCIII humán biomonitoring infrastruktúrájának korszerűsítésére irányuló projektek; és</w:t>
            </w:r>
          </w:p>
          <w:p w14:paraId="5AFB8329" w14:textId="15A8384F" w:rsidR="00D65CB4" w:rsidRPr="00BC4EE7" w:rsidRDefault="00572307">
            <w:pPr>
              <w:pStyle w:val="P68B1DB1-Normal12"/>
              <w:spacing w:after="0" w:line="240" w:lineRule="auto"/>
              <w:rPr>
                <w:rFonts w:cs="Times New Roman"/>
                <w:noProof/>
              </w:rPr>
            </w:pPr>
            <w:r w:rsidRPr="00BC4EE7">
              <w:rPr>
                <w:rFonts w:cs="Times New Roman"/>
                <w:noProof/>
              </w:rPr>
              <w:t>– a betegorientált klinikai kutatási egységek korszerűsítésére irányuló projektek infrastruktúrájuk, tervezésük vagy felszerelésük kutatási kapacitásuknak megfelelő fejlesztése, klinikai kutatással kapcsolatos képzés vagy kifejlesztett klinikai kutatási ellenőrző irodák fejlesztése érdekében.</w:t>
            </w:r>
          </w:p>
        </w:tc>
      </w:tr>
      <w:tr w:rsidR="00D65CB4" w:rsidRPr="00BC4EE7" w14:paraId="4F8BD98F" w14:textId="77777777" w:rsidTr="00BC4EE7">
        <w:trPr>
          <w:trHeight w:val="309"/>
        </w:trPr>
        <w:tc>
          <w:tcPr>
            <w:tcW w:w="851" w:type="dxa"/>
            <w:shd w:val="clear" w:color="auto" w:fill="C6EFCE"/>
            <w:noWrap/>
          </w:tcPr>
          <w:p w14:paraId="61E75A1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269</w:t>
            </w:r>
          </w:p>
        </w:tc>
        <w:tc>
          <w:tcPr>
            <w:tcW w:w="936" w:type="dxa"/>
            <w:shd w:val="clear" w:color="auto" w:fill="C6EFCE"/>
            <w:noWrap/>
          </w:tcPr>
          <w:p w14:paraId="0379499B"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C17.I7</w:t>
            </w:r>
          </w:p>
        </w:tc>
        <w:tc>
          <w:tcPr>
            <w:tcW w:w="941" w:type="dxa"/>
            <w:shd w:val="clear" w:color="auto" w:fill="C6EFCE"/>
            <w:noWrap/>
          </w:tcPr>
          <w:p w14:paraId="5F0979D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1950" w:type="dxa"/>
            <w:shd w:val="clear" w:color="auto" w:fill="C6EFCE"/>
            <w:noWrap/>
          </w:tcPr>
          <w:p w14:paraId="09938E8A"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Energiatárolási K+F központ </w:t>
            </w:r>
          </w:p>
        </w:tc>
        <w:tc>
          <w:tcPr>
            <w:tcW w:w="951" w:type="dxa"/>
            <w:shd w:val="clear" w:color="auto" w:fill="C6EFCE"/>
            <w:noWrap/>
          </w:tcPr>
          <w:p w14:paraId="7CCFF36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Megépített és felszerelt központ</w:t>
            </w:r>
          </w:p>
        </w:tc>
        <w:tc>
          <w:tcPr>
            <w:tcW w:w="815" w:type="dxa"/>
            <w:shd w:val="clear" w:color="auto" w:fill="C6EFCE"/>
            <w:noWrap/>
          </w:tcPr>
          <w:p w14:paraId="50B9F49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50" w:type="dxa"/>
            <w:shd w:val="clear" w:color="auto" w:fill="C6EFCE"/>
          </w:tcPr>
          <w:p w14:paraId="06C75B4D" w14:textId="77777777" w:rsidR="00D65CB4" w:rsidRPr="00BC4EE7" w:rsidRDefault="00D65CB4">
            <w:pPr>
              <w:spacing w:after="0" w:line="240" w:lineRule="auto"/>
              <w:rPr>
                <w:rFonts w:ascii="Times New Roman" w:hAnsi="Times New Roman" w:cs="Times New Roman"/>
                <w:noProof/>
                <w:sz w:val="18"/>
              </w:rPr>
            </w:pPr>
          </w:p>
        </w:tc>
        <w:tc>
          <w:tcPr>
            <w:tcW w:w="815" w:type="dxa"/>
            <w:shd w:val="clear" w:color="auto" w:fill="C6EFCE"/>
          </w:tcPr>
          <w:p w14:paraId="55DFB964" w14:textId="69AC01A1" w:rsidR="00D65CB4" w:rsidRPr="00BC4EE7" w:rsidRDefault="00D65CB4">
            <w:pPr>
              <w:spacing w:after="0" w:line="240" w:lineRule="auto"/>
              <w:jc w:val="center"/>
              <w:rPr>
                <w:rFonts w:ascii="Times New Roman" w:hAnsi="Times New Roman" w:cs="Times New Roman"/>
                <w:noProof/>
                <w:sz w:val="18"/>
              </w:rPr>
            </w:pPr>
          </w:p>
        </w:tc>
        <w:tc>
          <w:tcPr>
            <w:tcW w:w="545" w:type="dxa"/>
            <w:shd w:val="clear" w:color="auto" w:fill="C6EFCE"/>
          </w:tcPr>
          <w:p w14:paraId="08EEE167" w14:textId="13D7B8F8"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545" w:type="dxa"/>
            <w:shd w:val="clear" w:color="auto" w:fill="C6EFCE"/>
          </w:tcPr>
          <w:p w14:paraId="6BCAE143" w14:textId="28E2E7BE" w:rsidR="00D65CB4" w:rsidRPr="00BC4EE7" w:rsidRDefault="00572307">
            <w:pPr>
              <w:pStyle w:val="P68B1DB1-Normal12"/>
              <w:spacing w:after="0" w:line="240" w:lineRule="auto"/>
              <w:jc w:val="center"/>
              <w:rPr>
                <w:rFonts w:cs="Times New Roman"/>
                <w:noProof/>
              </w:rPr>
            </w:pPr>
            <w:r w:rsidRPr="00BC4EE7">
              <w:rPr>
                <w:rFonts w:cs="Times New Roman"/>
                <w:noProof/>
              </w:rPr>
              <w:t>2026</w:t>
            </w:r>
          </w:p>
        </w:tc>
        <w:tc>
          <w:tcPr>
            <w:tcW w:w="5552" w:type="dxa"/>
            <w:shd w:val="clear" w:color="auto" w:fill="C6EFCE"/>
            <w:noWrap/>
          </w:tcPr>
          <w:p w14:paraId="6A177C83" w14:textId="77777777" w:rsidR="00D65CB4" w:rsidRPr="00BC4EE7" w:rsidRDefault="00572307">
            <w:pPr>
              <w:pStyle w:val="P68B1DB1-Normal12"/>
              <w:spacing w:after="0" w:line="240" w:lineRule="auto"/>
              <w:rPr>
                <w:rFonts w:cs="Times New Roman"/>
                <w:noProof/>
              </w:rPr>
            </w:pPr>
            <w:r w:rsidRPr="00BC4EE7">
              <w:rPr>
                <w:rFonts w:cs="Times New Roman"/>
                <w:noProof/>
              </w:rPr>
              <w:t xml:space="preserve">Extremadurában energiatárolási K+F központ épül és van felszerelve azzal a céllal, hogy technológiai és tudományos választ adjon a zöld energiatermelés irányítására, különös tekintettel az ipari hidrogénalkalmazásokra, valamint a zöld hidrogén előállítására, tárolására és szállítására. A központ az energiatároló megoldások tesztelésére és validálására szolgáló kísérleti demonstrációs létesítményeket is magában foglal. Fel kell szerelni a szükséges tudományos és műszaki felszerelésekkel. </w:t>
            </w:r>
          </w:p>
          <w:p w14:paraId="22109D16" w14:textId="77777777" w:rsidR="00D65CB4" w:rsidRPr="00BC4EE7" w:rsidRDefault="00D65CB4">
            <w:pPr>
              <w:spacing w:after="0" w:line="240" w:lineRule="auto"/>
              <w:rPr>
                <w:rFonts w:ascii="Times New Roman" w:hAnsi="Times New Roman" w:cs="Times New Roman"/>
                <w:noProof/>
                <w:sz w:val="18"/>
              </w:rPr>
            </w:pPr>
          </w:p>
          <w:p w14:paraId="72671341" w14:textId="77777777" w:rsidR="00D65CB4" w:rsidRPr="00BC4EE7" w:rsidRDefault="00572307">
            <w:pPr>
              <w:pStyle w:val="P68B1DB1-Normal12"/>
              <w:spacing w:after="0" w:line="240" w:lineRule="auto"/>
              <w:rPr>
                <w:rFonts w:cs="Times New Roman"/>
                <w:noProof/>
              </w:rPr>
            </w:pPr>
            <w:r w:rsidRPr="00BC4EE7">
              <w:rPr>
                <w:rFonts w:cs="Times New Roman"/>
                <w:noProof/>
              </w:rPr>
              <w:t>A Consejo Superior de Investigaciones Científicas a következő beruházásokat valósítja meg:</w:t>
            </w:r>
          </w:p>
          <w:p w14:paraId="775AA2A4" w14:textId="77777777" w:rsidR="00D65CB4" w:rsidRPr="00BC4EE7" w:rsidRDefault="00572307">
            <w:pPr>
              <w:spacing w:after="0" w:line="240" w:lineRule="auto"/>
              <w:rPr>
                <w:rFonts w:ascii="Times New Roman" w:hAnsi="Times New Roman" w:cs="Times New Roman"/>
                <w:noProof/>
                <w:sz w:val="18"/>
              </w:rPr>
            </w:pPr>
            <w:r w:rsidRPr="00BC4EE7">
              <w:rPr>
                <w:rFonts w:ascii="Times New Roman" w:hAnsi="Times New Roman" w:cs="Times New Roman"/>
                <w:noProof/>
                <w:sz w:val="18"/>
              </w:rPr>
              <w:t>A körforgásos gazdaságban a fenntartható műanyagokkal és a gyártással kapcsolatos K+F+I projektek</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  alternatív műanyagok és a műanyaghulladék fenntartható kezelése </w:t>
            </w:r>
          </w:p>
          <w:p w14:paraId="6B1E5B7F" w14:textId="77777777" w:rsidR="00D65CB4" w:rsidRPr="00BC4EE7" w:rsidRDefault="00572307">
            <w:pPr>
              <w:pStyle w:val="P68B1DB1-Normal12"/>
              <w:spacing w:after="0" w:line="240" w:lineRule="auto"/>
              <w:rPr>
                <w:rFonts w:cs="Times New Roman"/>
                <w:noProof/>
              </w:rPr>
            </w:pPr>
            <w:r w:rsidRPr="00BC4EE7">
              <w:rPr>
                <w:rFonts w:cs="Times New Roman"/>
                <w:noProof/>
              </w:rPr>
              <w:t xml:space="preserve">az éghajlatváltozásról és a vízkészletekre gyakorolt hatásról szóló projekt </w:t>
            </w:r>
          </w:p>
          <w:p w14:paraId="06A902F6" w14:textId="5E17601F" w:rsidR="00D65CB4" w:rsidRPr="00BC4EE7" w:rsidRDefault="00572307">
            <w:pPr>
              <w:pStyle w:val="P68B1DB1-Normal12"/>
              <w:spacing w:after="0" w:line="240" w:lineRule="auto"/>
              <w:rPr>
                <w:rFonts w:cs="Times New Roman"/>
                <w:noProof/>
              </w:rPr>
            </w:pPr>
            <w:r w:rsidRPr="00BC4EE7">
              <w:rPr>
                <w:rFonts w:cs="Times New Roman"/>
                <w:noProof/>
              </w:rPr>
              <w:t>az energetikai átállásban részt vevő csúcstechnológiai alkatrészekre vonatkozó projekt, különös tekintettel az energiatárolásra és az energiaigényes iparágakban az ipari folyamatokból származó szén-dioxid-leválasztást végző létesítményeknek a CSIC által történő fejlesztésére,</w:t>
            </w:r>
          </w:p>
          <w:p w14:paraId="1CE35988" w14:textId="77777777" w:rsidR="00D65CB4" w:rsidRPr="00BC4EE7" w:rsidRDefault="00572307">
            <w:pPr>
              <w:pStyle w:val="P68B1DB1-Normal12"/>
              <w:spacing w:after="0" w:line="240" w:lineRule="auto"/>
              <w:rPr>
                <w:rFonts w:cs="Times New Roman"/>
                <w:noProof/>
              </w:rPr>
            </w:pPr>
            <w:r w:rsidRPr="00BC4EE7">
              <w:rPr>
                <w:rFonts w:cs="Times New Roman"/>
                <w:noProof/>
              </w:rPr>
              <w:t>kutatási projekt az energetikai átállás stratégiai fémeiről</w:t>
            </w:r>
          </w:p>
          <w:p w14:paraId="58EE78CB" w14:textId="77777777" w:rsidR="00D65CB4" w:rsidRPr="00BC4EE7" w:rsidRDefault="00D65CB4">
            <w:pPr>
              <w:spacing w:after="0" w:line="240" w:lineRule="auto"/>
              <w:rPr>
                <w:rFonts w:ascii="Times New Roman" w:hAnsi="Times New Roman" w:cs="Times New Roman"/>
                <w:noProof/>
                <w:sz w:val="18"/>
              </w:rPr>
            </w:pPr>
          </w:p>
          <w:p w14:paraId="4F9CDB09" w14:textId="2CFBF02D"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Az e beruházás keretében megvalósuló projektek értékelésének biztosítania kell a jelentős károkozás elkerülését célzó technikai iránymutatásnak (2021/C58/01) való megfelelést, az intézkedés leírásában meghatározottak szerint. </w:t>
            </w:r>
          </w:p>
        </w:tc>
      </w:tr>
      <w:tr w:rsidR="00D65CB4" w:rsidRPr="00BC4EE7" w14:paraId="22A99613" w14:textId="77777777" w:rsidTr="00BC4EE7">
        <w:trPr>
          <w:trHeight w:val="309"/>
        </w:trPr>
        <w:tc>
          <w:tcPr>
            <w:tcW w:w="851" w:type="dxa"/>
            <w:shd w:val="clear" w:color="auto" w:fill="C6EFCE"/>
            <w:noWrap/>
          </w:tcPr>
          <w:p w14:paraId="4326355D"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270</w:t>
            </w:r>
          </w:p>
        </w:tc>
        <w:tc>
          <w:tcPr>
            <w:tcW w:w="936" w:type="dxa"/>
            <w:shd w:val="clear" w:color="auto" w:fill="C6EFCE"/>
            <w:noWrap/>
          </w:tcPr>
          <w:p w14:paraId="2BDA18A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C17.I8</w:t>
            </w:r>
          </w:p>
        </w:tc>
        <w:tc>
          <w:tcPr>
            <w:tcW w:w="941" w:type="dxa"/>
            <w:shd w:val="clear" w:color="auto" w:fill="C6EFCE"/>
            <w:noWrap/>
          </w:tcPr>
          <w:p w14:paraId="68EFF59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1950" w:type="dxa"/>
            <w:shd w:val="clear" w:color="auto" w:fill="C6EFCE"/>
            <w:noWrap/>
          </w:tcPr>
          <w:p w14:paraId="58AE5E0D"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 fenntartható autóiparral kapcsolatos K+F+I projektek támogatása </w:t>
            </w:r>
          </w:p>
        </w:tc>
        <w:tc>
          <w:tcPr>
            <w:tcW w:w="951" w:type="dxa"/>
            <w:shd w:val="clear" w:color="auto" w:fill="C6EFCE"/>
            <w:noWrap/>
          </w:tcPr>
          <w:p w14:paraId="345B06A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815" w:type="dxa"/>
            <w:shd w:val="clear" w:color="auto" w:fill="C6EFCE"/>
            <w:noWrap/>
          </w:tcPr>
          <w:p w14:paraId="231AAD54"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Szám</w:t>
            </w:r>
          </w:p>
        </w:tc>
        <w:tc>
          <w:tcPr>
            <w:tcW w:w="950" w:type="dxa"/>
            <w:shd w:val="clear" w:color="auto" w:fill="C6EFCE"/>
          </w:tcPr>
          <w:p w14:paraId="3101FCE9" w14:textId="77777777" w:rsidR="00D65CB4" w:rsidRPr="00BC4EE7" w:rsidRDefault="00D65CB4">
            <w:pPr>
              <w:spacing w:after="0" w:line="240" w:lineRule="auto"/>
              <w:rPr>
                <w:rFonts w:ascii="Times New Roman" w:hAnsi="Times New Roman" w:cs="Times New Roman"/>
                <w:noProof/>
                <w:sz w:val="18"/>
              </w:rPr>
            </w:pPr>
          </w:p>
        </w:tc>
        <w:tc>
          <w:tcPr>
            <w:tcW w:w="815" w:type="dxa"/>
            <w:shd w:val="clear" w:color="auto" w:fill="C6EFCE"/>
          </w:tcPr>
          <w:p w14:paraId="3B5047B7" w14:textId="34861055" w:rsidR="00D65CB4" w:rsidRPr="00BC4EE7" w:rsidRDefault="00572307">
            <w:pPr>
              <w:pStyle w:val="P68B1DB1-Normal12"/>
              <w:spacing w:after="0" w:line="240" w:lineRule="auto"/>
              <w:jc w:val="center"/>
              <w:rPr>
                <w:rFonts w:cs="Times New Roman"/>
                <w:noProof/>
              </w:rPr>
            </w:pPr>
            <w:r w:rsidRPr="00BC4EE7">
              <w:rPr>
                <w:rFonts w:cs="Times New Roman"/>
                <w:noProof/>
              </w:rPr>
              <w:t>35</w:t>
            </w:r>
          </w:p>
        </w:tc>
        <w:tc>
          <w:tcPr>
            <w:tcW w:w="545" w:type="dxa"/>
            <w:shd w:val="clear" w:color="auto" w:fill="C6EFCE"/>
          </w:tcPr>
          <w:p w14:paraId="61C962B4" w14:textId="70EFD1CB"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545" w:type="dxa"/>
            <w:shd w:val="clear" w:color="auto" w:fill="C6EFCE"/>
          </w:tcPr>
          <w:p w14:paraId="55FD75BF" w14:textId="3E51702F" w:rsidR="00D65CB4" w:rsidRPr="00BC4EE7" w:rsidRDefault="00572307">
            <w:pPr>
              <w:pStyle w:val="P68B1DB1-Normal12"/>
              <w:spacing w:after="0" w:line="240" w:lineRule="auto"/>
              <w:jc w:val="center"/>
              <w:rPr>
                <w:rFonts w:cs="Times New Roman"/>
                <w:noProof/>
              </w:rPr>
            </w:pPr>
            <w:r w:rsidRPr="00BC4EE7">
              <w:rPr>
                <w:rFonts w:cs="Times New Roman"/>
                <w:noProof/>
              </w:rPr>
              <w:t>2022</w:t>
            </w:r>
          </w:p>
        </w:tc>
        <w:tc>
          <w:tcPr>
            <w:tcW w:w="5552" w:type="dxa"/>
            <w:shd w:val="clear" w:color="auto" w:fill="C6EFCE"/>
            <w:noWrap/>
          </w:tcPr>
          <w:p w14:paraId="4C52E1B4" w14:textId="77777777" w:rsidR="00D65CB4" w:rsidRPr="00BC4EE7" w:rsidRDefault="00572307">
            <w:pPr>
              <w:spacing w:after="0" w:line="240" w:lineRule="auto"/>
              <w:rPr>
                <w:rFonts w:ascii="Times New Roman" w:eastAsia="Times New Roman" w:hAnsi="Times New Roman" w:cs="Times New Roman"/>
                <w:noProof/>
                <w:sz w:val="18"/>
              </w:rPr>
            </w:pPr>
            <w:r w:rsidRPr="00BC4EE7">
              <w:rPr>
                <w:rFonts w:ascii="Times New Roman" w:hAnsi="Times New Roman" w:cs="Times New Roman"/>
                <w:noProof/>
                <w:sz w:val="18"/>
              </w:rPr>
              <w:t>Legalább 35 olyan vállalat nyert el K+F+I projekteket a fenntartható gépjárműiparban, amelyek célja a vállalatok technológiai kapacitásának növelése a nagyon alacsony kibocsátású és nagy újrafeldolgozhatóságú energiatároló rendszerek, a nagy hatékonyságú hidrogénmobilitási rendszerek, az önvezető vezetés és az összekapcsolt mobilitás, illetve az intelligens gyártási környezetben az ember-gép interakciót lehetővé tevő biztonságos és megbízható rendszerekkel rendelkező termelési környezetek átalakítása terén. A projekteknek biztosítaniuk kell a jelentős károkozás elkerülését célzó technikai iránymutatásnak (2021/C58/01), a nem kiválasztott és nem finanszírozott tevékenységeknek, valamint a vonatkozó uniós és nemzeti környezetvédelmi jogszabályoknak való megfelelést. A projektek a következők:</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elektromos, hálózatról tölthető hibrid és hidrogénüzemű járművek alkatrészeinek és peronjainak fejlesztése</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xml:space="preserve">önvezető és összekapcsolt mobilitás, új hardver- és szoftveres járművek architektúrájának kifejlesztése </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az elektromos, hálózatról tölthető hibrid és hidrogénüzemű járművek alkatrészeinek és rendszereinek gyártási területeinek átalakítása.</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 projekteket három-nyolc vállalkozásból (legalább egy kkv-ból) álló üzleti konzorciumok hajtják végre, amelyek időtartama legfeljebb három év, és minimális költségvetése 5 000 000 EUR.</w:t>
            </w:r>
          </w:p>
        </w:tc>
      </w:tr>
      <w:tr w:rsidR="00D65CB4" w:rsidRPr="00BC4EE7" w14:paraId="7E794B6F" w14:textId="77777777" w:rsidTr="00BC4EE7">
        <w:trPr>
          <w:trHeight w:val="309"/>
        </w:trPr>
        <w:tc>
          <w:tcPr>
            <w:tcW w:w="851" w:type="dxa"/>
            <w:shd w:val="clear" w:color="auto" w:fill="C6EFCE"/>
            <w:noWrap/>
          </w:tcPr>
          <w:p w14:paraId="44CD1635" w14:textId="370ADEC1" w:rsidR="00D65CB4" w:rsidRPr="00BC4EE7" w:rsidRDefault="00572307">
            <w:pPr>
              <w:pStyle w:val="P68B1DB1-Normal12"/>
              <w:spacing w:after="0" w:line="240" w:lineRule="auto"/>
              <w:jc w:val="center"/>
              <w:rPr>
                <w:rFonts w:cs="Times New Roman"/>
                <w:noProof/>
              </w:rPr>
            </w:pPr>
            <w:r w:rsidRPr="00BC4EE7">
              <w:rPr>
                <w:rFonts w:cs="Times New Roman"/>
                <w:noProof/>
              </w:rPr>
              <w:t>461</w:t>
            </w:r>
          </w:p>
        </w:tc>
        <w:tc>
          <w:tcPr>
            <w:tcW w:w="936" w:type="dxa"/>
            <w:shd w:val="clear" w:color="auto" w:fill="C6EFCE"/>
            <w:noWrap/>
          </w:tcPr>
          <w:p w14:paraId="0AD9C0DB" w14:textId="371062F6" w:rsidR="00D65CB4" w:rsidRPr="00BC4EE7" w:rsidRDefault="00572307">
            <w:pPr>
              <w:pStyle w:val="P68B1DB1-Normal12"/>
              <w:spacing w:after="0" w:line="240" w:lineRule="auto"/>
              <w:jc w:val="center"/>
              <w:rPr>
                <w:rFonts w:cs="Times New Roman"/>
                <w:noProof/>
              </w:rPr>
            </w:pPr>
            <w:r w:rsidRPr="00BC4EE7">
              <w:rPr>
                <w:rFonts w:cs="Times New Roman"/>
                <w:noProof/>
              </w:rPr>
              <w:t>C17.I9</w:t>
            </w:r>
          </w:p>
        </w:tc>
        <w:tc>
          <w:tcPr>
            <w:tcW w:w="941" w:type="dxa"/>
            <w:shd w:val="clear" w:color="auto" w:fill="C6EFCE"/>
            <w:noWrap/>
          </w:tcPr>
          <w:p w14:paraId="5EC83D9D" w14:textId="0AB150D6" w:rsidR="00D65CB4" w:rsidRPr="00BC4EE7" w:rsidRDefault="00572307">
            <w:pPr>
              <w:pStyle w:val="P68B1DB1-Normal12"/>
              <w:spacing w:after="0" w:line="240" w:lineRule="auto"/>
              <w:jc w:val="center"/>
              <w:rPr>
                <w:rFonts w:cs="Times New Roman"/>
                <w:noProof/>
              </w:rPr>
            </w:pPr>
            <w:r w:rsidRPr="00BC4EE7">
              <w:rPr>
                <w:rFonts w:cs="Times New Roman"/>
                <w:noProof/>
              </w:rPr>
              <w:t>M</w:t>
            </w:r>
          </w:p>
        </w:tc>
        <w:tc>
          <w:tcPr>
            <w:tcW w:w="1950" w:type="dxa"/>
            <w:shd w:val="clear" w:color="auto" w:fill="C6EFCE"/>
            <w:noWrap/>
          </w:tcPr>
          <w:p w14:paraId="42F0A8BF" w14:textId="4F76D092" w:rsidR="00D65CB4" w:rsidRPr="00BC4EE7" w:rsidRDefault="00572307">
            <w:pPr>
              <w:pStyle w:val="P68B1DB1-Normal12"/>
              <w:spacing w:after="0" w:line="240" w:lineRule="auto"/>
              <w:rPr>
                <w:rFonts w:cs="Times New Roman"/>
                <w:noProof/>
              </w:rPr>
            </w:pPr>
            <w:r w:rsidRPr="00BC4EE7">
              <w:rPr>
                <w:rFonts w:cs="Times New Roman"/>
                <w:noProof/>
              </w:rPr>
              <w:t xml:space="preserve">A repülés- és űrkutatási ágazatban kiírt K+F+I pályázati felhívások közzététele. </w:t>
            </w:r>
          </w:p>
        </w:tc>
        <w:tc>
          <w:tcPr>
            <w:tcW w:w="951" w:type="dxa"/>
            <w:shd w:val="clear" w:color="auto" w:fill="C6EFCE"/>
            <w:noWrap/>
          </w:tcPr>
          <w:p w14:paraId="258672C4" w14:textId="1C2C5F09" w:rsidR="00D65CB4" w:rsidRPr="00BC4EE7" w:rsidRDefault="00572307">
            <w:pPr>
              <w:pStyle w:val="P68B1DB1-Normal12"/>
              <w:spacing w:after="0" w:line="240" w:lineRule="auto"/>
              <w:jc w:val="center"/>
              <w:rPr>
                <w:rFonts w:cs="Times New Roman"/>
                <w:noProof/>
              </w:rPr>
            </w:pPr>
            <w:r w:rsidRPr="00BC4EE7">
              <w:rPr>
                <w:rFonts w:cs="Times New Roman"/>
                <w:noProof/>
              </w:rPr>
              <w:t>Közzététel a HL-ben</w:t>
            </w:r>
          </w:p>
        </w:tc>
        <w:tc>
          <w:tcPr>
            <w:tcW w:w="815" w:type="dxa"/>
            <w:shd w:val="clear" w:color="auto" w:fill="C6EFCE"/>
            <w:noWrap/>
          </w:tcPr>
          <w:p w14:paraId="31ED98B4" w14:textId="77777777" w:rsidR="00D65CB4" w:rsidRPr="00BC4EE7" w:rsidRDefault="00D65CB4">
            <w:pPr>
              <w:spacing w:after="0" w:line="240" w:lineRule="auto"/>
              <w:jc w:val="center"/>
              <w:rPr>
                <w:rFonts w:ascii="Times New Roman" w:hAnsi="Times New Roman" w:cs="Times New Roman"/>
                <w:noProof/>
                <w:sz w:val="18"/>
              </w:rPr>
            </w:pPr>
          </w:p>
        </w:tc>
        <w:tc>
          <w:tcPr>
            <w:tcW w:w="950" w:type="dxa"/>
            <w:shd w:val="clear" w:color="auto" w:fill="C6EFCE"/>
          </w:tcPr>
          <w:p w14:paraId="03080085" w14:textId="77777777" w:rsidR="00D65CB4" w:rsidRPr="00BC4EE7" w:rsidRDefault="00D65CB4">
            <w:pPr>
              <w:spacing w:after="0" w:line="240" w:lineRule="auto"/>
              <w:rPr>
                <w:rFonts w:ascii="Times New Roman" w:hAnsi="Times New Roman" w:cs="Times New Roman"/>
                <w:noProof/>
                <w:sz w:val="18"/>
              </w:rPr>
            </w:pPr>
          </w:p>
        </w:tc>
        <w:tc>
          <w:tcPr>
            <w:tcW w:w="815" w:type="dxa"/>
            <w:shd w:val="clear" w:color="auto" w:fill="C6EFCE"/>
          </w:tcPr>
          <w:p w14:paraId="65089A99" w14:textId="77777777" w:rsidR="00D65CB4" w:rsidRPr="00BC4EE7" w:rsidRDefault="00D65CB4">
            <w:pPr>
              <w:spacing w:after="0" w:line="240" w:lineRule="auto"/>
              <w:jc w:val="center"/>
              <w:rPr>
                <w:rFonts w:ascii="Times New Roman" w:hAnsi="Times New Roman" w:cs="Times New Roman"/>
                <w:noProof/>
                <w:sz w:val="18"/>
              </w:rPr>
            </w:pPr>
          </w:p>
        </w:tc>
        <w:tc>
          <w:tcPr>
            <w:tcW w:w="545" w:type="dxa"/>
            <w:shd w:val="clear" w:color="auto" w:fill="C6EFCE"/>
          </w:tcPr>
          <w:p w14:paraId="161FC6D7" w14:textId="6D46A89E"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545" w:type="dxa"/>
            <w:shd w:val="clear" w:color="auto" w:fill="C6EFCE"/>
          </w:tcPr>
          <w:p w14:paraId="5C1BD5C2" w14:textId="4ABFB91F" w:rsidR="00D65CB4" w:rsidRPr="00BC4EE7" w:rsidRDefault="00572307">
            <w:pPr>
              <w:pStyle w:val="P68B1DB1-Normal12"/>
              <w:spacing w:after="0" w:line="240" w:lineRule="auto"/>
              <w:jc w:val="center"/>
              <w:rPr>
                <w:rFonts w:cs="Times New Roman"/>
                <w:noProof/>
              </w:rPr>
            </w:pPr>
            <w:r w:rsidRPr="00BC4EE7">
              <w:rPr>
                <w:rFonts w:cs="Times New Roman"/>
                <w:noProof/>
              </w:rPr>
              <w:t>2024</w:t>
            </w:r>
          </w:p>
        </w:tc>
        <w:tc>
          <w:tcPr>
            <w:tcW w:w="5552" w:type="dxa"/>
            <w:shd w:val="clear" w:color="auto" w:fill="C6EFCE"/>
            <w:noWrap/>
          </w:tcPr>
          <w:p w14:paraId="32E46166" w14:textId="03DCF3FE" w:rsidR="00D65CB4" w:rsidRPr="00BC4EE7" w:rsidRDefault="00572307">
            <w:pPr>
              <w:pStyle w:val="P68B1DB1-Normal12"/>
              <w:spacing w:after="0" w:line="240" w:lineRule="auto"/>
              <w:rPr>
                <w:rFonts w:cs="Times New Roman"/>
                <w:noProof/>
              </w:rPr>
            </w:pPr>
            <w:r w:rsidRPr="00BC4EE7">
              <w:rPr>
                <w:rFonts w:cs="Times New Roman"/>
                <w:noProof/>
              </w:rPr>
              <w:t>70 000 000 EUR odaítélésének közzététele a Hivatalos Lapban az űrtechnológiai terv keretében az űrkutatási K+F+I projektekre vonatkozó felhívások keretében. Az e beruházás keretében megvalósuló projektek értékelésének biztosítania kell a jelentős károkozás elkerülését célzó technikai iránymutatásnak (2021/C58/01) való megfelelést, az intézkedés leírásában meghatározottak szerint.</w:t>
            </w:r>
          </w:p>
        </w:tc>
      </w:tr>
      <w:tr w:rsidR="00D65CB4" w:rsidRPr="00BC4EE7" w14:paraId="4C91D304" w14:textId="77777777" w:rsidTr="00BC4EE7">
        <w:trPr>
          <w:trHeight w:val="309"/>
        </w:trPr>
        <w:tc>
          <w:tcPr>
            <w:tcW w:w="851" w:type="dxa"/>
            <w:shd w:val="clear" w:color="auto" w:fill="C6EFCE"/>
            <w:noWrap/>
          </w:tcPr>
          <w:p w14:paraId="5EEF2F04"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271</w:t>
            </w:r>
          </w:p>
        </w:tc>
        <w:tc>
          <w:tcPr>
            <w:tcW w:w="936" w:type="dxa"/>
            <w:shd w:val="clear" w:color="auto" w:fill="C6EFCE"/>
            <w:noWrap/>
          </w:tcPr>
          <w:p w14:paraId="18EB9DA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C17.I9</w:t>
            </w:r>
          </w:p>
        </w:tc>
        <w:tc>
          <w:tcPr>
            <w:tcW w:w="941" w:type="dxa"/>
            <w:shd w:val="clear" w:color="auto" w:fill="C6EFCE"/>
            <w:noWrap/>
          </w:tcPr>
          <w:p w14:paraId="220C949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1950" w:type="dxa"/>
            <w:shd w:val="clear" w:color="auto" w:fill="C6EFCE"/>
            <w:noWrap/>
          </w:tcPr>
          <w:p w14:paraId="57AC6AA5"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K+F+Innovációs projektek támogatása az űrrepülés területén, különös tekintettel az alacsony és nulla kibocsátásra  </w:t>
            </w:r>
          </w:p>
        </w:tc>
        <w:tc>
          <w:tcPr>
            <w:tcW w:w="951" w:type="dxa"/>
            <w:shd w:val="clear" w:color="auto" w:fill="C6EFCE"/>
            <w:noWrap/>
          </w:tcPr>
          <w:p w14:paraId="0C84325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815" w:type="dxa"/>
            <w:shd w:val="clear" w:color="auto" w:fill="C6EFCE"/>
            <w:noWrap/>
          </w:tcPr>
          <w:p w14:paraId="468B9A0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Szám</w:t>
            </w:r>
          </w:p>
        </w:tc>
        <w:tc>
          <w:tcPr>
            <w:tcW w:w="950" w:type="dxa"/>
            <w:shd w:val="clear" w:color="auto" w:fill="C6EFCE"/>
          </w:tcPr>
          <w:p w14:paraId="7D27FAE7" w14:textId="77777777" w:rsidR="00D65CB4" w:rsidRPr="00BC4EE7" w:rsidRDefault="00D65CB4">
            <w:pPr>
              <w:spacing w:after="0" w:line="240" w:lineRule="auto"/>
              <w:rPr>
                <w:rFonts w:ascii="Times New Roman" w:hAnsi="Times New Roman" w:cs="Times New Roman"/>
                <w:noProof/>
                <w:sz w:val="18"/>
              </w:rPr>
            </w:pPr>
          </w:p>
        </w:tc>
        <w:tc>
          <w:tcPr>
            <w:tcW w:w="815" w:type="dxa"/>
            <w:shd w:val="clear" w:color="auto" w:fill="C6EFCE"/>
          </w:tcPr>
          <w:p w14:paraId="4F61836B" w14:textId="08600B21" w:rsidR="00D65CB4" w:rsidRPr="00BC4EE7" w:rsidRDefault="00572307">
            <w:pPr>
              <w:pStyle w:val="P68B1DB1-Normal12"/>
              <w:spacing w:after="0" w:line="240" w:lineRule="auto"/>
              <w:jc w:val="center"/>
              <w:rPr>
                <w:rFonts w:cs="Times New Roman"/>
                <w:noProof/>
              </w:rPr>
            </w:pPr>
            <w:r w:rsidRPr="00BC4EE7">
              <w:rPr>
                <w:rFonts w:cs="Times New Roman"/>
                <w:noProof/>
              </w:rPr>
              <w:t>65</w:t>
            </w:r>
          </w:p>
        </w:tc>
        <w:tc>
          <w:tcPr>
            <w:tcW w:w="545" w:type="dxa"/>
            <w:shd w:val="clear" w:color="auto" w:fill="C6EFCE"/>
          </w:tcPr>
          <w:p w14:paraId="04249646" w14:textId="703C2B99"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545" w:type="dxa"/>
            <w:shd w:val="clear" w:color="auto" w:fill="C6EFCE"/>
          </w:tcPr>
          <w:p w14:paraId="62B80835" w14:textId="02A36987" w:rsidR="00D65CB4" w:rsidRPr="00BC4EE7" w:rsidRDefault="00572307">
            <w:pPr>
              <w:pStyle w:val="P68B1DB1-Normal12"/>
              <w:spacing w:after="0" w:line="240" w:lineRule="auto"/>
              <w:jc w:val="center"/>
              <w:rPr>
                <w:rFonts w:cs="Times New Roman"/>
                <w:noProof/>
              </w:rPr>
            </w:pPr>
            <w:r w:rsidRPr="00BC4EE7">
              <w:rPr>
                <w:rFonts w:cs="Times New Roman"/>
                <w:noProof/>
              </w:rPr>
              <w:t>2023</w:t>
            </w:r>
          </w:p>
        </w:tc>
        <w:tc>
          <w:tcPr>
            <w:tcW w:w="5552" w:type="dxa"/>
            <w:shd w:val="clear" w:color="auto" w:fill="C6EFCE"/>
            <w:noWrap/>
          </w:tcPr>
          <w:p w14:paraId="037C2486" w14:textId="3C2608BA"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Az </w:t>
            </w:r>
            <w:r w:rsidRPr="00BC4EE7">
              <w:rPr>
                <w:rFonts w:cs="Times New Roman"/>
                <w:i/>
                <w:noProof/>
              </w:rPr>
              <w:t>Aeronáutica</w:t>
            </w:r>
            <w:r w:rsidRPr="00BC4EE7">
              <w:rPr>
                <w:rFonts w:cs="Times New Roman"/>
                <w:noProof/>
              </w:rPr>
              <w:t xml:space="preserve"> -terv támogatásával legalább 65 vállalat részesült K+F+I projektben az űrrepülés területén, amelyek középpontjában az alacsony és nulla kibocsátás áll, beleértve az űrtechnológiai és repüléstechnikai beruházásokat is. A projekteket 3–6 vállalkozásból (legalább egy kkv-ból) álló üzleti konzorciumok hajtják végre, amelyek időtartama legfeljebb 3 év. Az e beruházás keretében megvalósuló projektek értékelésének biztosítania kell a jelentős károkozás elkerülését célzó technikai iránymutatásnak (2021/C58/01) való megfelelést, az intézkedés leírásában meghatározottak szerint.</w:t>
            </w:r>
          </w:p>
        </w:tc>
      </w:tr>
      <w:tr w:rsidR="00D65CB4" w:rsidRPr="00BC4EE7" w14:paraId="3331D4F9" w14:textId="77777777" w:rsidTr="00BC4EE7">
        <w:trPr>
          <w:trHeight w:val="309"/>
        </w:trPr>
        <w:tc>
          <w:tcPr>
            <w:tcW w:w="851" w:type="dxa"/>
            <w:shd w:val="clear" w:color="auto" w:fill="C6EFCE"/>
            <w:noWrap/>
          </w:tcPr>
          <w:p w14:paraId="11590BF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272</w:t>
            </w:r>
          </w:p>
        </w:tc>
        <w:tc>
          <w:tcPr>
            <w:tcW w:w="936" w:type="dxa"/>
            <w:shd w:val="clear" w:color="auto" w:fill="C6EFCE"/>
            <w:noWrap/>
          </w:tcPr>
          <w:p w14:paraId="202D799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C17.I9</w:t>
            </w:r>
          </w:p>
        </w:tc>
        <w:tc>
          <w:tcPr>
            <w:tcW w:w="941" w:type="dxa"/>
            <w:shd w:val="clear" w:color="auto" w:fill="C6EFCE"/>
            <w:noWrap/>
          </w:tcPr>
          <w:p w14:paraId="0B9F8FA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1950" w:type="dxa"/>
            <w:shd w:val="clear" w:color="auto" w:fill="C6EFCE"/>
            <w:noWrap/>
          </w:tcPr>
          <w:p w14:paraId="03568057" w14:textId="77777777" w:rsidR="00D65CB4" w:rsidRPr="00BC4EE7" w:rsidRDefault="00572307">
            <w:pPr>
              <w:pStyle w:val="P68B1DB1-Normal12"/>
              <w:spacing w:after="0" w:line="240" w:lineRule="auto"/>
              <w:rPr>
                <w:rFonts w:cs="Times New Roman"/>
                <w:noProof/>
              </w:rPr>
            </w:pPr>
            <w:r w:rsidRPr="00BC4EE7">
              <w:rPr>
                <w:rFonts w:cs="Times New Roman"/>
                <w:noProof/>
              </w:rPr>
              <w:t xml:space="preserve">K+F+Innovációs projektek lezárása az űrrepülés területén, különös tekintettel az alacsony és nulla kibocsátásra </w:t>
            </w:r>
          </w:p>
        </w:tc>
        <w:tc>
          <w:tcPr>
            <w:tcW w:w="951" w:type="dxa"/>
            <w:shd w:val="clear" w:color="auto" w:fill="C6EFCE"/>
            <w:noWrap/>
          </w:tcPr>
          <w:p w14:paraId="28864374"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815" w:type="dxa"/>
            <w:shd w:val="clear" w:color="auto" w:fill="C6EFCE"/>
            <w:noWrap/>
          </w:tcPr>
          <w:p w14:paraId="41D6754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Szám</w:t>
            </w:r>
          </w:p>
        </w:tc>
        <w:tc>
          <w:tcPr>
            <w:tcW w:w="950" w:type="dxa"/>
            <w:shd w:val="clear" w:color="auto" w:fill="C6EFCE"/>
          </w:tcPr>
          <w:p w14:paraId="7A188D08" w14:textId="77777777" w:rsidR="00D65CB4" w:rsidRPr="00BC4EE7" w:rsidRDefault="00D65CB4">
            <w:pPr>
              <w:spacing w:after="0" w:line="240" w:lineRule="auto"/>
              <w:rPr>
                <w:rFonts w:ascii="Times New Roman" w:hAnsi="Times New Roman" w:cs="Times New Roman"/>
                <w:noProof/>
                <w:sz w:val="18"/>
              </w:rPr>
            </w:pPr>
          </w:p>
        </w:tc>
        <w:tc>
          <w:tcPr>
            <w:tcW w:w="815" w:type="dxa"/>
            <w:shd w:val="clear" w:color="auto" w:fill="C6EFCE"/>
          </w:tcPr>
          <w:p w14:paraId="4E5254D1" w14:textId="1DEAB3CF" w:rsidR="00D65CB4" w:rsidRPr="00BC4EE7" w:rsidRDefault="00572307">
            <w:pPr>
              <w:pStyle w:val="P68B1DB1-Normal12"/>
              <w:spacing w:after="0" w:line="240" w:lineRule="auto"/>
              <w:jc w:val="center"/>
              <w:rPr>
                <w:rFonts w:cs="Times New Roman"/>
                <w:noProof/>
              </w:rPr>
            </w:pPr>
            <w:r w:rsidRPr="00BC4EE7">
              <w:rPr>
                <w:rFonts w:cs="Times New Roman"/>
                <w:noProof/>
              </w:rPr>
              <w:t>81</w:t>
            </w:r>
          </w:p>
        </w:tc>
        <w:tc>
          <w:tcPr>
            <w:tcW w:w="545" w:type="dxa"/>
            <w:shd w:val="clear" w:color="auto" w:fill="C6EFCE"/>
          </w:tcPr>
          <w:p w14:paraId="5BA7434F" w14:textId="4F06AE1C" w:rsidR="00D65CB4" w:rsidRPr="00BC4EE7" w:rsidRDefault="00572307">
            <w:pPr>
              <w:pStyle w:val="P68B1DB1-Normal12"/>
              <w:spacing w:after="0" w:line="240" w:lineRule="auto"/>
              <w:jc w:val="center"/>
              <w:rPr>
                <w:rFonts w:cs="Times New Roman"/>
                <w:noProof/>
              </w:rPr>
            </w:pPr>
            <w:r w:rsidRPr="00BC4EE7">
              <w:rPr>
                <w:rFonts w:cs="Times New Roman"/>
                <w:noProof/>
              </w:rPr>
              <w:t>Q3</w:t>
            </w:r>
          </w:p>
        </w:tc>
        <w:tc>
          <w:tcPr>
            <w:tcW w:w="545" w:type="dxa"/>
            <w:shd w:val="clear" w:color="auto" w:fill="C6EFCE"/>
          </w:tcPr>
          <w:p w14:paraId="1B7F1029" w14:textId="69430FB6" w:rsidR="00D65CB4" w:rsidRPr="00BC4EE7" w:rsidRDefault="00572307">
            <w:pPr>
              <w:pStyle w:val="P68B1DB1-Normal12"/>
              <w:spacing w:after="0" w:line="240" w:lineRule="auto"/>
              <w:jc w:val="center"/>
              <w:rPr>
                <w:rFonts w:cs="Times New Roman"/>
                <w:noProof/>
              </w:rPr>
            </w:pPr>
            <w:r w:rsidRPr="00BC4EE7">
              <w:rPr>
                <w:rFonts w:cs="Times New Roman"/>
                <w:noProof/>
              </w:rPr>
              <w:t>2026</w:t>
            </w:r>
          </w:p>
        </w:tc>
        <w:tc>
          <w:tcPr>
            <w:tcW w:w="5552" w:type="dxa"/>
            <w:shd w:val="clear" w:color="auto" w:fill="C6EFCE"/>
            <w:noWrap/>
          </w:tcPr>
          <w:p w14:paraId="30908457" w14:textId="40DCAE5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Az </w:t>
            </w:r>
            <w:r w:rsidRPr="00BC4EE7">
              <w:rPr>
                <w:rFonts w:cs="Times New Roman"/>
                <w:i/>
                <w:noProof/>
              </w:rPr>
              <w:t>Aeronáutica</w:t>
            </w:r>
            <w:r w:rsidRPr="00BC4EE7">
              <w:rPr>
                <w:rFonts w:cs="Times New Roman"/>
                <w:noProof/>
              </w:rPr>
              <w:t xml:space="preserve"> -terv támogatásával legalább 81 vállalat fejezte be K+F+I projektjeit az űrrepülés területén, különös tekintettel az alacsony és nulla kibocsátásra, beleértve az űrtechnológiai és repüléstechnikával kapcsolatos beruházásokat is, valamint kereskedelmi hasznosítást megelőző közbeszerzést hajt végre a Föld-megfigyelési műholdak területén a technológia és az innováció fejlesztése érdekében. Az e beruházás keretében megvalósuló projektek értékelésének biztosítania kell a jelentős károkozás elkerülését célzó technikai iránymutatásnak (2021/C58/01) való megfelelést, az intézkedés leírásában meghatározottak szerint.</w:t>
            </w:r>
          </w:p>
        </w:tc>
      </w:tr>
      <w:tr w:rsidR="00D65CB4" w:rsidRPr="00BC4EE7" w14:paraId="4BB88DF9" w14:textId="77777777" w:rsidTr="00BC4EE7">
        <w:trPr>
          <w:trHeight w:val="309"/>
        </w:trPr>
        <w:tc>
          <w:tcPr>
            <w:tcW w:w="851" w:type="dxa"/>
            <w:shd w:val="clear" w:color="auto" w:fill="C6EFCE"/>
            <w:noWrap/>
          </w:tcPr>
          <w:p w14:paraId="48198A8D" w14:textId="16E612B0" w:rsidR="00D65CB4" w:rsidRPr="00BC4EE7" w:rsidRDefault="00572307">
            <w:pPr>
              <w:pStyle w:val="P68B1DB1-Normal12"/>
              <w:spacing w:after="0" w:line="240" w:lineRule="auto"/>
              <w:jc w:val="center"/>
              <w:rPr>
                <w:rFonts w:cs="Times New Roman"/>
                <w:noProof/>
              </w:rPr>
            </w:pPr>
            <w:r w:rsidRPr="00BC4EE7">
              <w:rPr>
                <w:rFonts w:cs="Times New Roman"/>
                <w:noProof/>
              </w:rPr>
              <w:t>462</w:t>
            </w:r>
          </w:p>
        </w:tc>
        <w:tc>
          <w:tcPr>
            <w:tcW w:w="936" w:type="dxa"/>
            <w:shd w:val="clear" w:color="auto" w:fill="C6EFCE"/>
            <w:noWrap/>
          </w:tcPr>
          <w:p w14:paraId="16E5289A"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C17.I9</w:t>
            </w:r>
          </w:p>
        </w:tc>
        <w:tc>
          <w:tcPr>
            <w:tcW w:w="941" w:type="dxa"/>
            <w:shd w:val="clear" w:color="auto" w:fill="C6EFCE"/>
            <w:noWrap/>
          </w:tcPr>
          <w:p w14:paraId="70536C91"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1950" w:type="dxa"/>
            <w:shd w:val="clear" w:color="auto" w:fill="C6EFCE"/>
            <w:noWrap/>
          </w:tcPr>
          <w:p w14:paraId="4B78E199" w14:textId="77777777" w:rsidR="00D65CB4" w:rsidRPr="00BC4EE7" w:rsidRDefault="00572307">
            <w:pPr>
              <w:pStyle w:val="P68B1DB1-Normal12"/>
              <w:spacing w:after="0" w:line="240" w:lineRule="auto"/>
              <w:rPr>
                <w:rFonts w:cs="Times New Roman"/>
                <w:noProof/>
              </w:rPr>
            </w:pPr>
            <w:r w:rsidRPr="00BC4EE7">
              <w:rPr>
                <w:rFonts w:cs="Times New Roman"/>
                <w:noProof/>
              </w:rPr>
              <w:t>Pénzeszközök folyósítása a PERTE Aerospace keretében megvalósuló projektekhez.</w:t>
            </w:r>
          </w:p>
        </w:tc>
        <w:tc>
          <w:tcPr>
            <w:tcW w:w="951" w:type="dxa"/>
            <w:shd w:val="clear" w:color="auto" w:fill="C6EFCE"/>
            <w:noWrap/>
          </w:tcPr>
          <w:p w14:paraId="77738C36"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w:t>
            </w:r>
          </w:p>
        </w:tc>
        <w:tc>
          <w:tcPr>
            <w:tcW w:w="815" w:type="dxa"/>
            <w:shd w:val="clear" w:color="auto" w:fill="C6EFCE"/>
            <w:noWrap/>
          </w:tcPr>
          <w:p w14:paraId="26D6E775"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Millió EUR</w:t>
            </w:r>
          </w:p>
        </w:tc>
        <w:tc>
          <w:tcPr>
            <w:tcW w:w="950" w:type="dxa"/>
            <w:shd w:val="clear" w:color="auto" w:fill="C6EFCE"/>
          </w:tcPr>
          <w:p w14:paraId="17EB82ED" w14:textId="77777777" w:rsidR="00D65CB4" w:rsidRPr="00BC4EE7" w:rsidRDefault="00D65CB4">
            <w:pPr>
              <w:spacing w:after="0" w:line="240" w:lineRule="auto"/>
              <w:rPr>
                <w:rFonts w:ascii="Times New Roman" w:hAnsi="Times New Roman" w:cs="Times New Roman"/>
                <w:noProof/>
                <w:sz w:val="18"/>
              </w:rPr>
            </w:pPr>
          </w:p>
        </w:tc>
        <w:tc>
          <w:tcPr>
            <w:tcW w:w="815" w:type="dxa"/>
            <w:shd w:val="clear" w:color="auto" w:fill="C6EFCE"/>
          </w:tcPr>
          <w:p w14:paraId="53D0F647" w14:textId="4568353C" w:rsidR="00D65CB4" w:rsidRPr="00BC4EE7" w:rsidRDefault="00572307">
            <w:pPr>
              <w:pStyle w:val="P68B1DB1-Normal12"/>
              <w:spacing w:after="0" w:line="240" w:lineRule="auto"/>
              <w:jc w:val="center"/>
              <w:rPr>
                <w:rFonts w:cs="Times New Roman"/>
                <w:noProof/>
              </w:rPr>
            </w:pPr>
            <w:r w:rsidRPr="00BC4EE7">
              <w:rPr>
                <w:rFonts w:cs="Times New Roman"/>
                <w:noProof/>
              </w:rPr>
              <w:t>90</w:t>
            </w:r>
          </w:p>
        </w:tc>
        <w:tc>
          <w:tcPr>
            <w:tcW w:w="545" w:type="dxa"/>
            <w:shd w:val="clear" w:color="auto" w:fill="C6EFCE"/>
          </w:tcPr>
          <w:p w14:paraId="4F60E5C8" w14:textId="09105D1E"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Q3</w:t>
            </w:r>
          </w:p>
        </w:tc>
        <w:tc>
          <w:tcPr>
            <w:tcW w:w="545" w:type="dxa"/>
            <w:shd w:val="clear" w:color="auto" w:fill="C6EFCE"/>
          </w:tcPr>
          <w:p w14:paraId="7B76BA95" w14:textId="326D268E"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2026</w:t>
            </w:r>
          </w:p>
        </w:tc>
        <w:tc>
          <w:tcPr>
            <w:tcW w:w="5552" w:type="dxa"/>
            <w:shd w:val="clear" w:color="auto" w:fill="C6EFCE"/>
            <w:noWrap/>
          </w:tcPr>
          <w:p w14:paraId="1B815578" w14:textId="3E1966CD" w:rsidR="00D65CB4" w:rsidRPr="00BC4EE7" w:rsidRDefault="00572307">
            <w:pPr>
              <w:pStyle w:val="P68B1DB1-Normal12"/>
              <w:spacing w:after="0" w:line="240" w:lineRule="auto"/>
              <w:rPr>
                <w:rFonts w:eastAsia="Times New Roman" w:cs="Times New Roman"/>
                <w:noProof/>
              </w:rPr>
            </w:pPr>
            <w:r w:rsidRPr="00BC4EE7">
              <w:rPr>
                <w:rFonts w:cs="Times New Roman"/>
                <w:noProof/>
              </w:rPr>
              <w:t>Az űrtechnológiai program keretében legalább 90 000 000 EUR vissza nem térítendő támogatás és vissza nem térítendő hitel kifizetése K+F+innovációs projektekhez. Az e beruházás keretében megvalósuló projektek értékelésének biztosítania kell a jelentős károkozás elkerülését célzó technikai iránymutatásnak (2021/C58/01) való megfelelést, az intézkedés leírásában meghatározottak szerint.</w:t>
            </w:r>
          </w:p>
        </w:tc>
      </w:tr>
    </w:tbl>
    <w:p w14:paraId="022B57D6" w14:textId="77777777" w:rsidR="00D65CB4" w:rsidRPr="00BC4EE7" w:rsidRDefault="00D65CB4">
      <w:pPr>
        <w:rPr>
          <w:rFonts w:ascii="Times New Roman" w:hAnsi="Times New Roman" w:cs="Times New Roman"/>
          <w:noProof/>
        </w:rPr>
        <w:sectPr w:rsidR="00D65CB4" w:rsidRPr="00BC4EE7" w:rsidSect="00B511EF">
          <w:headerReference w:type="even" r:id="rId363"/>
          <w:headerReference w:type="default" r:id="rId364"/>
          <w:footerReference w:type="even" r:id="rId365"/>
          <w:footerReference w:type="default" r:id="rId366"/>
          <w:headerReference w:type="first" r:id="rId367"/>
          <w:footerReference w:type="first" r:id="rId368"/>
          <w:pgSz w:w="16839" w:h="11907" w:orient="landscape"/>
          <w:pgMar w:top="1134" w:right="1134" w:bottom="1134" w:left="1134" w:header="567" w:footer="567" w:gutter="0"/>
          <w:cols w:space="720"/>
          <w:docGrid w:linePitch="360"/>
        </w:sectPr>
      </w:pPr>
    </w:p>
    <w:p w14:paraId="3BD35647" w14:textId="77777777" w:rsidR="00D65CB4" w:rsidRPr="00BC4EE7" w:rsidRDefault="00572307">
      <w:pPr>
        <w:ind w:firstLine="720"/>
        <w:rPr>
          <w:rFonts w:ascii="Times New Roman" w:eastAsia="Times New Roman" w:hAnsi="Times New Roman" w:cs="Times New Roman"/>
          <w:noProof/>
          <w:sz w:val="24"/>
        </w:rPr>
      </w:pPr>
      <w:r w:rsidRPr="00BC4EE7">
        <w:rPr>
          <w:rFonts w:ascii="Times New Roman" w:hAnsi="Times New Roman" w:cs="Times New Roman"/>
          <w:b/>
          <w:noProof/>
          <w:sz w:val="24"/>
          <w:u w:val="single"/>
        </w:rPr>
        <w:t>KÉRDÉS</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A hiteltámogatásra irányuló beruházások ismertetése</w:t>
      </w:r>
      <w:r w:rsidRPr="00BC4EE7">
        <w:rPr>
          <w:rFonts w:ascii="Times New Roman" w:hAnsi="Times New Roman" w:cs="Times New Roman"/>
          <w:b/>
          <w:noProof/>
          <w:sz w:val="24"/>
        </w:rPr>
        <w:t xml:space="preserve"> </w:t>
      </w:r>
      <w:r w:rsidRPr="00BC4EE7">
        <w:rPr>
          <w:rFonts w:ascii="Times New Roman" w:hAnsi="Times New Roman" w:cs="Times New Roman"/>
          <w:noProof/>
          <w:sz w:val="24"/>
        </w:rPr>
        <w:t xml:space="preserve"> </w:t>
      </w:r>
    </w:p>
    <w:p w14:paraId="35A1B411" w14:textId="16BD840E" w:rsidR="00D65CB4" w:rsidRPr="00BC4EE7" w:rsidRDefault="00572307">
      <w:pPr>
        <w:pStyle w:val="P68B1DB1-Normal5"/>
        <w:spacing w:before="120" w:after="120" w:line="240" w:lineRule="auto"/>
        <w:jc w:val="both"/>
        <w:rPr>
          <w:rFonts w:eastAsia="Times New Roman" w:cs="Times New Roman"/>
          <w:noProof/>
        </w:rPr>
      </w:pPr>
      <w:r w:rsidRPr="00BC4EE7">
        <w:rPr>
          <w:rFonts w:cs="Times New Roman"/>
          <w:noProof/>
        </w:rPr>
        <w:t>Beruházás (C17.I10) – Hiteltámogatás a PERTE Health and PERTE Aerospace keretében</w:t>
      </w:r>
    </w:p>
    <w:p w14:paraId="1785B497" w14:textId="77777777" w:rsidR="00D65CB4" w:rsidRPr="00BC4EE7" w:rsidRDefault="00572307">
      <w:pPr>
        <w:pStyle w:val="P68B1DB1-Normal4"/>
        <w:spacing w:after="0" w:line="240" w:lineRule="auto"/>
        <w:jc w:val="both"/>
        <w:rPr>
          <w:rFonts w:eastAsia="Times New Roman" w:cs="Times New Roman"/>
          <w:noProof/>
        </w:rPr>
      </w:pPr>
      <w:r w:rsidRPr="00BC4EE7">
        <w:rPr>
          <w:rFonts w:cs="Times New Roman"/>
          <w:noProof/>
        </w:rPr>
        <w:t>A beruházás a Helyreállítási és Rezilienciaépítési Eszköz keretében nyújtott hiteltámogatásnak a PERTE Health és a PERTE Aerospace keretében az egészségügyi és űrrepülési ágazatban végrehajtott magánberuházások előmozdítására irányul.</w:t>
      </w:r>
    </w:p>
    <w:p w14:paraId="7F6DB21C" w14:textId="77777777" w:rsidR="00D65CB4" w:rsidRPr="00BC4EE7" w:rsidRDefault="00D65CB4">
      <w:pPr>
        <w:spacing w:after="0" w:line="240" w:lineRule="auto"/>
        <w:jc w:val="both"/>
        <w:rPr>
          <w:rFonts w:ascii="Times New Roman" w:eastAsia="Times New Roman" w:hAnsi="Times New Roman" w:cs="Times New Roman"/>
          <w:noProof/>
          <w:sz w:val="24"/>
        </w:rPr>
      </w:pPr>
    </w:p>
    <w:p w14:paraId="2E56D149" w14:textId="3F173DF2" w:rsidR="00D65CB4" w:rsidRPr="00BC4EE7" w:rsidRDefault="00572307">
      <w:pPr>
        <w:pStyle w:val="P68B1DB1-Normal4"/>
        <w:spacing w:after="0" w:line="240" w:lineRule="auto"/>
        <w:jc w:val="both"/>
        <w:rPr>
          <w:rFonts w:eastAsia="Times New Roman" w:cs="Times New Roman"/>
          <w:noProof/>
        </w:rPr>
      </w:pPr>
      <w:r w:rsidRPr="00BC4EE7">
        <w:rPr>
          <w:rFonts w:cs="Times New Roman"/>
          <w:noProof/>
        </w:rPr>
        <w:t>A „PERTE az egészségügyért” program keretében az intézkedés célja az egészségügyi ágazat tudományos, technológiai és innovációs kapacitásainak megerősítése. Az intézkedés különösen az alábbiak révén támogatja a beruházásokat: 1. az egészségügyi ágazatban működő vállalkozásoknak nyújtott hitelek olyan tevékenységek támogatására, mint a K+F+I, az ipari méretezés, a gyártási folyamatok korszerűsítése és korszerűsítése, valamint a fenntartható folyamatok fejlesztése és végrehajtása; Az INNVIERTE beruházása az egészségügyi ágazatban működő technológiai és innovatív spanyol vállalatokba; valamint 3) kölcsönök a nemzeti egészségügyi rendszer kutatóközpontjainak kutatási és technológiafejlesztési kapacitásaik bővítése érdekében.</w:t>
      </w:r>
    </w:p>
    <w:p w14:paraId="53A7B3C3" w14:textId="77777777" w:rsidR="00D65CB4" w:rsidRPr="00BC4EE7" w:rsidRDefault="00D65CB4">
      <w:pPr>
        <w:spacing w:after="0" w:line="240" w:lineRule="auto"/>
        <w:jc w:val="both"/>
        <w:rPr>
          <w:rFonts w:ascii="Times New Roman" w:eastAsia="Times New Roman" w:hAnsi="Times New Roman" w:cs="Times New Roman"/>
          <w:noProof/>
          <w:sz w:val="24"/>
        </w:rPr>
      </w:pPr>
    </w:p>
    <w:p w14:paraId="63A81C4D" w14:textId="77777777" w:rsidR="00D65CB4" w:rsidRPr="00BC4EE7" w:rsidRDefault="00572307">
      <w:pPr>
        <w:pStyle w:val="P68B1DB1-Normal4"/>
        <w:spacing w:after="0" w:line="240" w:lineRule="auto"/>
        <w:jc w:val="both"/>
        <w:rPr>
          <w:rFonts w:eastAsia="Times New Roman" w:cs="Times New Roman"/>
          <w:noProof/>
        </w:rPr>
      </w:pPr>
      <w:r w:rsidRPr="00BC4EE7">
        <w:rPr>
          <w:rFonts w:cs="Times New Roman"/>
          <w:noProof/>
        </w:rPr>
        <w:t xml:space="preserve">A PERTE Aerospace program keretében az intézkedés célja a tudományos, technológiai és innovációs kapacitások megerősítése az űrrepülési ágazatban. Az intézkedésnek támogatnia kell a repülés- és űrrepülési ágazatban működő vállalatoknak olyan tevékenységekhez nyújtott hitelek révén megvalósuló beruházásokat, mint a K+F+I, az ipari méretezés, a gyártási folyamatok korszerűsítése és korszerűsítése, a digitalizáció és a technológiai korszerűsítés, valamint a fenntartható folyamatok fejlesztése és végrehajtása. </w:t>
      </w:r>
    </w:p>
    <w:p w14:paraId="4352955B" w14:textId="77777777" w:rsidR="00D65CB4" w:rsidRPr="00BC4EE7" w:rsidRDefault="00D65CB4">
      <w:pPr>
        <w:spacing w:after="0" w:line="240" w:lineRule="auto"/>
        <w:jc w:val="both"/>
        <w:rPr>
          <w:rFonts w:ascii="Times New Roman" w:eastAsia="Times New Roman" w:hAnsi="Times New Roman" w:cs="Times New Roman"/>
          <w:noProof/>
          <w:sz w:val="24"/>
        </w:rPr>
      </w:pPr>
    </w:p>
    <w:p w14:paraId="5238A6AA" w14:textId="33555794" w:rsidR="00D65CB4" w:rsidRPr="00BC4EE7" w:rsidRDefault="00572307">
      <w:pPr>
        <w:pStyle w:val="P68B1DB1-Normal4"/>
        <w:spacing w:after="0" w:line="240" w:lineRule="auto"/>
        <w:jc w:val="both"/>
        <w:rPr>
          <w:rFonts w:eastAsia="Times New Roman" w:cs="Times New Roman"/>
          <w:noProof/>
        </w:rPr>
      </w:pPr>
      <w:bookmarkStart w:id="56" w:name="_Hlk145665981"/>
      <w:r w:rsidRPr="00BC4EE7">
        <w:rPr>
          <w:rFonts w:cs="Times New Roman"/>
          <w:noProof/>
        </w:rPr>
        <w:t xml:space="preserve">A pénzügyi műveletekhez kapcsolódó visszaáramlásokat a Helyreállítási és Rezilienciaépítési Eszköz keretében nyújtott hitel visszafizetésének kezelésére kell felhasználni. </w:t>
      </w:r>
    </w:p>
    <w:bookmarkEnd w:id="56"/>
    <w:p w14:paraId="625EA318" w14:textId="77777777" w:rsidR="00D65CB4" w:rsidRPr="00BC4EE7" w:rsidRDefault="00D65CB4">
      <w:pPr>
        <w:spacing w:after="0" w:line="240" w:lineRule="auto"/>
        <w:jc w:val="both"/>
        <w:rPr>
          <w:rFonts w:ascii="Times New Roman" w:eastAsia="Times New Roman" w:hAnsi="Times New Roman" w:cs="Times New Roman"/>
          <w:noProof/>
          <w:sz w:val="24"/>
        </w:rPr>
      </w:pPr>
    </w:p>
    <w:p w14:paraId="63A3B9AA" w14:textId="77777777" w:rsidR="00D65CB4" w:rsidRPr="00BC4EE7" w:rsidRDefault="00572307">
      <w:pPr>
        <w:pStyle w:val="P68B1DB1-Normal4"/>
        <w:spacing w:after="0" w:line="240" w:lineRule="auto"/>
        <w:jc w:val="both"/>
        <w:rPr>
          <w:rFonts w:eastAsia="Times New Roman" w:cs="Times New Roman"/>
          <w:noProof/>
        </w:rPr>
      </w:pPr>
      <w:r w:rsidRPr="00BC4EE7">
        <w:rPr>
          <w:rFonts w:cs="Times New Roman"/>
          <w:noProof/>
        </w:rPr>
        <w:t>Annak biztosítása érdekében, hogy az intézkedés megfeleljen a jelentős károkozás elkerülését célzó elvnek a Helyreállítási és Rezilienciaépítési Eszköz keretében a DNSH technikai iránymutatásban (2021/C58/01) meghatározottak szerint, a végrehajtó szervezet és a nyertes szervezet közötti jogi megállapodás(ok) és a pénzügyi eszköz későbbi befektetési politikája: </w:t>
      </w:r>
    </w:p>
    <w:p w14:paraId="5ECB9EFD" w14:textId="63425485" w:rsidR="00D65CB4" w:rsidRPr="00BC4EE7" w:rsidRDefault="00572307">
      <w:pPr>
        <w:pStyle w:val="ListParagraph"/>
        <w:numPr>
          <w:ilvl w:val="0"/>
          <w:numId w:val="338"/>
        </w:numPr>
        <w:spacing w:before="120" w:after="120" w:line="240" w:lineRule="auto"/>
        <w:jc w:val="both"/>
        <w:rPr>
          <w:rFonts w:ascii="Times New Roman" w:eastAsia="Times New Roman" w:hAnsi="Times New Roman" w:cs="Times New Roman"/>
          <w:noProof/>
          <w:sz w:val="24"/>
        </w:rPr>
      </w:pPr>
      <w:r w:rsidRPr="00BC4EE7">
        <w:rPr>
          <w:rFonts w:ascii="Times New Roman" w:hAnsi="Times New Roman" w:cs="Times New Roman"/>
          <w:noProof/>
        </w:rPr>
        <w:t>Kölcsönök és garanciák</w:t>
      </w:r>
      <w:r w:rsidRPr="00BC4EE7">
        <w:rPr>
          <w:rFonts w:ascii="Times New Roman" w:hAnsi="Times New Roman" w:cs="Times New Roman"/>
          <w:noProof/>
          <w:sz w:val="24"/>
        </w:rPr>
        <w:t>esetében: a tevékenységek és eszközök alábbi listájának kizárása a támogathatóság köréből: a fosszilis tüzelőanyagokhoz kapcsolódó tevékenységek és eszközök, beleértve a downstream felhasználást is</w:t>
      </w:r>
      <w:r w:rsidRPr="00BC4EE7">
        <w:rPr>
          <w:rStyle w:val="FootnoteReference"/>
          <w:rFonts w:ascii="Times New Roman" w:hAnsi="Times New Roman" w:cs="Times New Roman"/>
          <w:noProof/>
          <w:sz w:val="24"/>
        </w:rPr>
        <w:footnoteReference w:id="183"/>
      </w:r>
      <w:r w:rsidRPr="00BC4EE7">
        <w:rPr>
          <w:rStyle w:val="normaltextrun"/>
          <w:rFonts w:ascii="Times New Roman" w:hAnsi="Times New Roman" w:cs="Times New Roman"/>
          <w:noProof/>
          <w:sz w:val="24"/>
        </w:rPr>
        <w:t>; ii. az uniós kibocsátáskereskedelmi rendszer (ETS) keretében végzett olyan tevékenységek és eszközök, amelyek elérik a vonatkozó referenciaértékeket meg nem haladó, előre jelzett üvegházhatásúgáz-kibocsátást</w:t>
      </w:r>
      <w:r w:rsidRPr="00BC4EE7">
        <w:rPr>
          <w:rStyle w:val="FootnoteReference"/>
          <w:rFonts w:ascii="Times New Roman" w:hAnsi="Times New Roman" w:cs="Times New Roman"/>
          <w:noProof/>
          <w:sz w:val="24"/>
        </w:rPr>
        <w:footnoteReference w:id="184"/>
      </w:r>
      <w:r w:rsidRPr="00BC4EE7">
        <w:rPr>
          <w:rStyle w:val="normaltextrun"/>
          <w:rFonts w:ascii="Times New Roman" w:hAnsi="Times New Roman" w:cs="Times New Roman"/>
          <w:noProof/>
          <w:sz w:val="24"/>
        </w:rPr>
        <w:t>; hulladéklerakókkal, hulladékégetőkkel és mechanikai-biológiai hulladékkezelő létesítményekkel kapcsolatos tevékenységek</w:t>
      </w:r>
      <w:r w:rsidRPr="00BC4EE7">
        <w:rPr>
          <w:rStyle w:val="FootnoteReference"/>
          <w:rFonts w:ascii="Times New Roman" w:hAnsi="Times New Roman" w:cs="Times New Roman"/>
          <w:noProof/>
          <w:sz w:val="24"/>
        </w:rPr>
        <w:footnoteReference w:id="185"/>
      </w:r>
      <w:r w:rsidRPr="00BC4EE7">
        <w:rPr>
          <w:noProof/>
        </w:rPr>
        <w:fldChar w:fldCharType="begin"/>
      </w:r>
      <w:r w:rsidRPr="00BC4EE7">
        <w:rPr>
          <w:noProof/>
        </w:rPr>
        <w:fldChar w:fldCharType="separate"/>
      </w:r>
      <w:r w:rsidRPr="00BC4EE7">
        <w:rPr>
          <w:rStyle w:val="normaltextrun"/>
          <w:rFonts w:ascii="Times New Roman" w:hAnsi="Times New Roman" w:cs="Times New Roman"/>
          <w:b/>
          <w:noProof/>
          <w:sz w:val="24"/>
          <w:vertAlign w:val="superscript"/>
        </w:rPr>
        <w:t>]</w:t>
      </w:r>
      <w:r w:rsidRPr="00BC4EE7">
        <w:rPr>
          <w:rStyle w:val="FootnoteReference"/>
          <w:rFonts w:ascii="Times New Roman" w:hAnsi="Times New Roman" w:cs="Times New Roman"/>
          <w:noProof/>
          <w:sz w:val="24"/>
        </w:rPr>
        <w:footnoteReference w:id="186"/>
      </w:r>
      <w:r w:rsidRPr="00BC4EE7">
        <w:rPr>
          <w:rStyle w:val="FootnoteReference"/>
          <w:rFonts w:ascii="Times New Roman" w:hAnsi="Times New Roman" w:cs="Times New Roman"/>
          <w:noProof/>
          <w:sz w:val="24"/>
        </w:rPr>
        <w:fldChar w:fldCharType="end"/>
      </w:r>
      <w:r w:rsidRPr="00BC4EE7">
        <w:rPr>
          <w:rStyle w:val="normaltextrun"/>
          <w:rFonts w:ascii="Times New Roman" w:hAnsi="Times New Roman" w:cs="Times New Roman"/>
          <w:noProof/>
          <w:sz w:val="24"/>
        </w:rPr>
        <w:t xml:space="preserve"> és eszközök</w:t>
      </w:r>
      <w:r w:rsidRPr="00BC4EE7">
        <w:rPr>
          <w:rStyle w:val="FootnoteReference"/>
          <w:rFonts w:ascii="Times New Roman" w:hAnsi="Times New Roman" w:cs="Times New Roman"/>
          <w:noProof/>
          <w:sz w:val="24"/>
        </w:rPr>
        <w:footnoteReference w:id="187"/>
      </w:r>
      <w:r w:rsidRPr="00BC4EE7">
        <w:rPr>
          <w:rFonts w:ascii="Times New Roman" w:hAnsi="Times New Roman" w:cs="Times New Roman"/>
          <w:noProof/>
        </w:rPr>
        <w:t>.</w:t>
      </w:r>
      <w:r w:rsidRPr="00BC4EE7">
        <w:rPr>
          <w:rStyle w:val="eop"/>
          <w:rFonts w:ascii="Times New Roman" w:hAnsi="Times New Roman" w:cs="Times New Roman"/>
          <w:noProof/>
          <w:sz w:val="24"/>
        </w:rPr>
        <w:t xml:space="preserve"> Az e beruházás keretében végrehajtott következő K+F+I tevékenységeket úgy kell tekinteni, hogy megfelelnek a jelentős károkozás elkerülését célzó technikai iránymutatásnak (2021/C58/01): i. az e beruházás keretében megvalósuló K+F+I tevékenységek, amelyek alkalmazásuk szintjén technológiailag semleges eredményekhez vezetnek; ii. az e beruházás keretében megvalósuló K+F+I tevékenységek, amelyek olyan, alacsony környezeti hatással járó alternatívákat támogatnak, amelyek esetében léteznek ilyenek; vagy iii. az e beruházás keretében megvalósuló azon K+F+I tevékenységek, amelyek elsősorban az ágazatban a lehető legkisebb környezeti hatással járó alternatívák kifejlesztésére összpontosítanak azon tevékenységek esetében, amelyek esetében nincs technológiai és gazdasági szempontból megvalósítható, alacsony hatású alternatíva.</w:t>
      </w:r>
    </w:p>
    <w:p w14:paraId="449F25C7" w14:textId="780E6382" w:rsidR="00D65CB4" w:rsidRPr="00BC4EE7" w:rsidRDefault="00572307">
      <w:pPr>
        <w:pStyle w:val="ListParagraph"/>
        <w:numPr>
          <w:ilvl w:val="0"/>
          <w:numId w:val="338"/>
        </w:numPr>
        <w:spacing w:before="120" w:after="120" w:line="240" w:lineRule="auto"/>
        <w:jc w:val="both"/>
        <w:rPr>
          <w:rFonts w:ascii="Times New Roman" w:eastAsia="Times New Roman" w:hAnsi="Times New Roman" w:cs="Times New Roman"/>
          <w:noProof/>
          <w:sz w:val="24"/>
        </w:rPr>
      </w:pPr>
      <w:r w:rsidRPr="00BC4EE7">
        <w:rPr>
          <w:rFonts w:ascii="Times New Roman" w:hAnsi="Times New Roman" w:cs="Times New Roman"/>
          <w:noProof/>
          <w:sz w:val="24"/>
        </w:rPr>
        <w:t>Kockázati tőkeinstrumentumok esetében: előírják a vállalatok számára, hogy az (EU) 2022/2464 irányelvvel módosított 2013/34/EU irányelv 19a. cikke (2) bekezdése a) pontjának iii. alpontjában foglalt fogalommeghatározással összhangban zöld átállási terveket fogadjanak el, ha az előző pénzügyi év közvetlen bevételeinek több mint 50%-a a tevékenységek és eszközök alábbi listájából származik: a fosszilis tüzelőanyagokhoz kapcsolódó tevékenységek és eszközök, beleértve a továbbfelhasználást is; ii. az uniós kibocsátáskereskedelmi rendszer (ETS) keretében végzett olyan tevékenységek és eszközök, amelyek elérik a vonatkozó referenciaértékeket meg nem haladó, előre jelzett üvegházhatásúgáz-kibocsátást</w:t>
      </w:r>
      <w:r w:rsidRPr="00BC4EE7">
        <w:rPr>
          <w:rStyle w:val="FootnoteReference"/>
          <w:rFonts w:ascii="Times New Roman" w:hAnsi="Times New Roman" w:cs="Times New Roman"/>
          <w:noProof/>
          <w:sz w:val="24"/>
        </w:rPr>
        <w:footnoteReference w:id="188"/>
      </w:r>
      <w:r w:rsidRPr="00BC4EE7">
        <w:rPr>
          <w:rStyle w:val="normaltextrun"/>
          <w:rFonts w:ascii="Times New Roman" w:hAnsi="Times New Roman" w:cs="Times New Roman"/>
          <w:noProof/>
          <w:sz w:val="24"/>
        </w:rPr>
        <w:t>; III. hulladéklerakókkal, hulladékégetőkkel és mechanikai-biológiai hulladékkezelő</w:t>
      </w:r>
      <w:hyperlink r:id="rId369" w:anchor="_ftn3" w:tgtFrame="_blank" w:history="1">
        <w:r w:rsidRPr="00BC4EE7">
          <w:rPr>
            <w:rStyle w:val="normaltextrun"/>
            <w:rFonts w:ascii="Times New Roman" w:hAnsi="Times New Roman" w:cs="Times New Roman"/>
            <w:b/>
            <w:noProof/>
            <w:sz w:val="24"/>
            <w:vertAlign w:val="superscript"/>
          </w:rPr>
          <w:t>létesítményekkel</w:t>
        </w:r>
      </w:hyperlink>
      <w:r w:rsidRPr="00BC4EE7">
        <w:rPr>
          <w:rStyle w:val="normaltextrun"/>
          <w:rFonts w:ascii="Times New Roman" w:hAnsi="Times New Roman" w:cs="Times New Roman"/>
          <w:noProof/>
          <w:sz w:val="24"/>
        </w:rPr>
        <w:t xml:space="preserve"> kapcsolatos tevékenységek</w:t>
      </w:r>
      <w:r w:rsidRPr="00BC4EE7">
        <w:rPr>
          <w:rStyle w:val="FootnoteReference"/>
          <w:rFonts w:ascii="Times New Roman" w:hAnsi="Times New Roman" w:cs="Times New Roman"/>
          <w:noProof/>
          <w:sz w:val="24"/>
        </w:rPr>
        <w:footnoteReference w:id="189"/>
      </w:r>
      <w:r w:rsidRPr="00BC4EE7">
        <w:rPr>
          <w:rStyle w:val="normaltextrun"/>
          <w:rFonts w:ascii="Times New Roman" w:hAnsi="Times New Roman" w:cs="Times New Roman"/>
          <w:noProof/>
          <w:sz w:val="24"/>
        </w:rPr>
        <w:t>és eszközök</w:t>
      </w:r>
      <w:r w:rsidRPr="00BC4EE7">
        <w:rPr>
          <w:rStyle w:val="FootnoteReference"/>
          <w:rFonts w:ascii="Times New Roman" w:hAnsi="Times New Roman" w:cs="Times New Roman"/>
          <w:noProof/>
          <w:sz w:val="24"/>
        </w:rPr>
        <w:footnoteReference w:id="190"/>
      </w:r>
      <w:r w:rsidRPr="00BC4EE7">
        <w:rPr>
          <w:rFonts w:ascii="Times New Roman" w:hAnsi="Times New Roman" w:cs="Times New Roman"/>
          <w:noProof/>
        </w:rPr>
        <w:t>.</w:t>
      </w:r>
    </w:p>
    <w:p w14:paraId="28792347" w14:textId="77777777" w:rsidR="00D65CB4" w:rsidRPr="00BC4EE7" w:rsidRDefault="00572307">
      <w:pPr>
        <w:pStyle w:val="P68B1DB1-ListParagraph6"/>
        <w:numPr>
          <w:ilvl w:val="0"/>
          <w:numId w:val="338"/>
        </w:numPr>
        <w:spacing w:before="120" w:after="120" w:line="240" w:lineRule="auto"/>
        <w:jc w:val="both"/>
        <w:rPr>
          <w:rFonts w:eastAsia="Times New Roman" w:cs="Times New Roman"/>
          <w:noProof/>
        </w:rPr>
      </w:pPr>
      <w:r w:rsidRPr="00BC4EE7">
        <w:rPr>
          <w:rFonts w:cs="Times New Roman"/>
          <w:noProof/>
        </w:rPr>
        <w:t>A végrehajtó szervezetnek meg kell követelnie a kedvezményezett vonatkozó uniós és nemzeti környezetvédelmi jogszabályainak való megfelelést.</w:t>
      </w:r>
    </w:p>
    <w:p w14:paraId="68C50DE4" w14:textId="36854A44" w:rsidR="00D65CB4" w:rsidRPr="00BC4EE7" w:rsidRDefault="00572307">
      <w:pPr>
        <w:pStyle w:val="P68B1DB1-Normal4"/>
        <w:spacing w:before="120" w:after="120" w:line="240" w:lineRule="auto"/>
        <w:jc w:val="both"/>
        <w:rPr>
          <w:rFonts w:eastAsia="Times New Roman" w:cs="Times New Roman"/>
          <w:noProof/>
        </w:rPr>
      </w:pPr>
      <w:r w:rsidRPr="00BC4EE7">
        <w:rPr>
          <w:rFonts w:cs="Times New Roman"/>
          <w:noProof/>
        </w:rPr>
        <w:t>Az intézkedés végrehajtását 2026. augusztus 31-ig be kell fejezni.</w:t>
      </w:r>
    </w:p>
    <w:p w14:paraId="248959D3" w14:textId="41CF7129" w:rsidR="00D65CB4" w:rsidRPr="00BC4EE7" w:rsidRDefault="00572307">
      <w:pPr>
        <w:ind w:left="720"/>
        <w:rPr>
          <w:rFonts w:ascii="Times New Roman" w:eastAsia="Times New Roman" w:hAnsi="Times New Roman" w:cs="Times New Roman"/>
          <w:noProof/>
          <w:sz w:val="24"/>
        </w:rPr>
      </w:pPr>
      <w:r w:rsidRPr="00BC4EE7">
        <w:rPr>
          <w:rFonts w:ascii="Times New Roman" w:hAnsi="Times New Roman" w:cs="Times New Roman"/>
          <w:b/>
          <w:noProof/>
          <w:sz w:val="24"/>
          <w:u w:val="single"/>
        </w:rPr>
        <w:t>KÉRDÉS</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A hiteltámogatás nyomon követésére és végrehajtására vonatkozó mérföldkövek, célok, mutatók és ütemterv</w:t>
      </w:r>
      <w:r w:rsidRPr="00BC4EE7">
        <w:rPr>
          <w:rFonts w:ascii="Times New Roman" w:hAnsi="Times New Roman" w:cs="Times New Roman"/>
          <w:b/>
          <w:noProof/>
          <w:sz w:val="24"/>
        </w:rPr>
        <w:t xml:space="preserve"> </w:t>
      </w:r>
      <w:r w:rsidRPr="00BC4EE7">
        <w:rPr>
          <w:rFonts w:ascii="Times New Roman" w:hAnsi="Times New Roman" w:cs="Times New Roman"/>
          <w:noProof/>
          <w:sz w:val="24"/>
        </w:rPr>
        <w:t xml:space="preserve"> </w:t>
      </w:r>
    </w:p>
    <w:p w14:paraId="7D98F7ED" w14:textId="27FDC719" w:rsidR="00D65CB4" w:rsidRPr="00BC4EE7" w:rsidRDefault="00572307">
      <w:pPr>
        <w:pStyle w:val="P68B1DB1-Normal17"/>
        <w:rPr>
          <w:rFonts w:cs="Times New Roman"/>
          <w:noProof/>
        </w:rPr>
      </w:pPr>
      <w:r w:rsidRPr="00BC4EE7">
        <w:rPr>
          <w:rFonts w:cs="Times New Roman"/>
          <w:noProof/>
        </w:rPr>
        <w:t>Táblázat alább. Az összes mutató esetében a kiindulási időpont a tevékenység kezdete, kivéve, ha a tevékenység leírása ettől eltérően rendelkezik. A táblázatban szereplő összegek nem tartalmazzák a héát.</w:t>
      </w:r>
    </w:p>
    <w:p w14:paraId="6AB2C1B6" w14:textId="77777777" w:rsidR="00D65CB4" w:rsidRPr="00BC4EE7" w:rsidRDefault="00D65CB4">
      <w:pPr>
        <w:spacing w:before="120" w:after="120" w:line="240" w:lineRule="auto"/>
        <w:rPr>
          <w:rFonts w:ascii="Times New Roman" w:hAnsi="Times New Roman" w:cs="Times New Roman"/>
          <w:noProof/>
        </w:rPr>
        <w:sectPr w:rsidR="00D65CB4" w:rsidRPr="00BC4EE7" w:rsidSect="00B511EF">
          <w:headerReference w:type="even" r:id="rId370"/>
          <w:headerReference w:type="default" r:id="rId371"/>
          <w:footerReference w:type="even" r:id="rId372"/>
          <w:footerReference w:type="default" r:id="rId373"/>
          <w:headerReference w:type="first" r:id="rId374"/>
          <w:footerReference w:type="first" r:id="rId375"/>
          <w:pgSz w:w="11907" w:h="16839"/>
          <w:pgMar w:top="1134" w:right="1134" w:bottom="1134" w:left="1134" w:header="567" w:footer="567" w:gutter="0"/>
          <w:cols w:space="720"/>
          <w:docGrid w:linePitch="360"/>
        </w:sectPr>
      </w:pPr>
    </w:p>
    <w:tbl>
      <w:tblPr>
        <w:tblW w:w="14675"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1036"/>
        <w:gridCol w:w="1036"/>
        <w:gridCol w:w="2160"/>
        <w:gridCol w:w="1286"/>
        <w:gridCol w:w="875"/>
        <w:gridCol w:w="1017"/>
        <w:gridCol w:w="638"/>
        <w:gridCol w:w="512"/>
        <w:gridCol w:w="681"/>
        <w:gridCol w:w="4610"/>
      </w:tblGrid>
      <w:tr w:rsidR="00D65CB4" w:rsidRPr="00BC4EE7" w14:paraId="756B1323" w14:textId="77777777">
        <w:trPr>
          <w:trHeight w:val="309"/>
          <w:tblHeader/>
        </w:trPr>
        <w:tc>
          <w:tcPr>
            <w:tcW w:w="857" w:type="dxa"/>
            <w:tcBorders>
              <w:bottom w:val="nil"/>
            </w:tcBorders>
            <w:shd w:val="clear" w:color="auto" w:fill="C6D9F1" w:themeFill="text2" w:themeFillTint="33"/>
          </w:tcPr>
          <w:p w14:paraId="66BE53CF"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Szám</w:t>
            </w:r>
          </w:p>
        </w:tc>
        <w:tc>
          <w:tcPr>
            <w:tcW w:w="886" w:type="dxa"/>
            <w:tcBorders>
              <w:bottom w:val="nil"/>
            </w:tcBorders>
            <w:shd w:val="clear" w:color="auto" w:fill="C6D9F1" w:themeFill="text2" w:themeFillTint="33"/>
          </w:tcPr>
          <w:p w14:paraId="2EA20D3C"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Intézkedés</w:t>
            </w:r>
          </w:p>
        </w:tc>
        <w:tc>
          <w:tcPr>
            <w:tcW w:w="966" w:type="dxa"/>
            <w:tcBorders>
              <w:bottom w:val="nil"/>
            </w:tcBorders>
            <w:shd w:val="clear" w:color="auto" w:fill="C6D9F1" w:themeFill="text2" w:themeFillTint="33"/>
          </w:tcPr>
          <w:p w14:paraId="19E272E4" w14:textId="77777777" w:rsidR="00D65CB4" w:rsidRPr="00BC4EE7" w:rsidRDefault="00572307">
            <w:pPr>
              <w:spacing w:after="0" w:line="240" w:lineRule="auto"/>
              <w:jc w:val="center"/>
              <w:rPr>
                <w:rFonts w:ascii="Times New Roman" w:hAnsi="Times New Roman" w:cs="Times New Roman"/>
                <w:b/>
                <w:noProof/>
                <w:sz w:val="18"/>
              </w:rPr>
            </w:pPr>
            <w:r w:rsidRPr="00BC4EE7">
              <w:rPr>
                <w:rFonts w:ascii="Times New Roman" w:hAnsi="Times New Roman" w:cs="Times New Roman"/>
                <w:b/>
                <w:noProof/>
                <w:sz w:val="18"/>
              </w:rPr>
              <w:t>Mérföldkő</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b/>
                <w:noProof/>
                <w:sz w:val="18"/>
              </w:rPr>
              <w:t xml:space="preserve"> /Cél</w:t>
            </w:r>
          </w:p>
        </w:tc>
        <w:tc>
          <w:tcPr>
            <w:tcW w:w="2227" w:type="dxa"/>
            <w:tcBorders>
              <w:bottom w:val="nil"/>
            </w:tcBorders>
            <w:shd w:val="clear" w:color="auto" w:fill="C6D9F1" w:themeFill="text2" w:themeFillTint="33"/>
          </w:tcPr>
          <w:p w14:paraId="1F5E623B"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Név</w:t>
            </w:r>
          </w:p>
        </w:tc>
        <w:tc>
          <w:tcPr>
            <w:tcW w:w="1226" w:type="dxa"/>
            <w:tcBorders>
              <w:bottom w:val="nil"/>
            </w:tcBorders>
            <w:shd w:val="clear" w:color="auto" w:fill="C6D9F1" w:themeFill="text2" w:themeFillTint="33"/>
          </w:tcPr>
          <w:p w14:paraId="02EB3D44"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mérföldkövek minőségi mutatója</w:t>
            </w:r>
          </w:p>
        </w:tc>
        <w:tc>
          <w:tcPr>
            <w:tcW w:w="2173" w:type="dxa"/>
            <w:gridSpan w:val="3"/>
            <w:shd w:val="clear" w:color="auto" w:fill="C6D9F1" w:themeFill="text2" w:themeFillTint="33"/>
          </w:tcPr>
          <w:p w14:paraId="159A064A"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célérték mennyiségi mutatója</w:t>
            </w:r>
          </w:p>
        </w:tc>
        <w:tc>
          <w:tcPr>
            <w:tcW w:w="1226" w:type="dxa"/>
            <w:gridSpan w:val="2"/>
            <w:shd w:val="clear" w:color="auto" w:fill="C6D9F1" w:themeFill="text2" w:themeFillTint="33"/>
          </w:tcPr>
          <w:p w14:paraId="50EFFB48"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Idő</w:t>
            </w:r>
          </w:p>
        </w:tc>
        <w:tc>
          <w:tcPr>
            <w:tcW w:w="5114" w:type="dxa"/>
            <w:tcBorders>
              <w:bottom w:val="nil"/>
            </w:tcBorders>
            <w:shd w:val="clear" w:color="auto" w:fill="C6D9F1" w:themeFill="text2" w:themeFillTint="33"/>
          </w:tcPr>
          <w:p w14:paraId="2187E50E"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Az egyes mérföldkövek és célértékek leírása</w:t>
            </w:r>
          </w:p>
        </w:tc>
      </w:tr>
      <w:tr w:rsidR="00D65CB4" w:rsidRPr="00BC4EE7" w14:paraId="6F872CCE" w14:textId="77777777">
        <w:trPr>
          <w:trHeight w:val="309"/>
          <w:tblHeader/>
        </w:trPr>
        <w:tc>
          <w:tcPr>
            <w:tcW w:w="857" w:type="dxa"/>
            <w:tcBorders>
              <w:top w:val="nil"/>
            </w:tcBorders>
            <w:shd w:val="clear" w:color="auto" w:fill="C6D9F1" w:themeFill="text2" w:themeFillTint="33"/>
          </w:tcPr>
          <w:p w14:paraId="27CA29BE" w14:textId="77777777" w:rsidR="00D65CB4" w:rsidRPr="00BC4EE7" w:rsidRDefault="00D65CB4">
            <w:pPr>
              <w:spacing w:after="0" w:line="240" w:lineRule="auto"/>
              <w:jc w:val="center"/>
              <w:rPr>
                <w:rFonts w:ascii="Times New Roman" w:hAnsi="Times New Roman" w:cs="Times New Roman"/>
                <w:b/>
                <w:noProof/>
                <w:sz w:val="18"/>
              </w:rPr>
            </w:pPr>
          </w:p>
        </w:tc>
        <w:tc>
          <w:tcPr>
            <w:tcW w:w="886" w:type="dxa"/>
            <w:tcBorders>
              <w:top w:val="nil"/>
            </w:tcBorders>
            <w:shd w:val="clear" w:color="auto" w:fill="C6D9F1" w:themeFill="text2" w:themeFillTint="33"/>
          </w:tcPr>
          <w:p w14:paraId="11B0139A" w14:textId="77777777" w:rsidR="00D65CB4" w:rsidRPr="00BC4EE7" w:rsidRDefault="00D65CB4">
            <w:pPr>
              <w:spacing w:after="0" w:line="240" w:lineRule="auto"/>
              <w:jc w:val="center"/>
              <w:rPr>
                <w:rFonts w:ascii="Times New Roman" w:hAnsi="Times New Roman" w:cs="Times New Roman"/>
                <w:b/>
                <w:noProof/>
                <w:sz w:val="18"/>
              </w:rPr>
            </w:pPr>
          </w:p>
        </w:tc>
        <w:tc>
          <w:tcPr>
            <w:tcW w:w="966" w:type="dxa"/>
            <w:tcBorders>
              <w:top w:val="nil"/>
            </w:tcBorders>
            <w:shd w:val="clear" w:color="auto" w:fill="C6D9F1" w:themeFill="text2" w:themeFillTint="33"/>
          </w:tcPr>
          <w:p w14:paraId="2AECA98D" w14:textId="77777777" w:rsidR="00D65CB4" w:rsidRPr="00BC4EE7" w:rsidRDefault="00D65CB4">
            <w:pPr>
              <w:spacing w:after="0" w:line="240" w:lineRule="auto"/>
              <w:jc w:val="center"/>
              <w:rPr>
                <w:rFonts w:ascii="Times New Roman" w:hAnsi="Times New Roman" w:cs="Times New Roman"/>
                <w:b/>
                <w:noProof/>
                <w:sz w:val="18"/>
              </w:rPr>
            </w:pPr>
          </w:p>
        </w:tc>
        <w:tc>
          <w:tcPr>
            <w:tcW w:w="2227" w:type="dxa"/>
            <w:tcBorders>
              <w:top w:val="nil"/>
            </w:tcBorders>
            <w:shd w:val="clear" w:color="auto" w:fill="C6D9F1" w:themeFill="text2" w:themeFillTint="33"/>
          </w:tcPr>
          <w:p w14:paraId="54315F50" w14:textId="77777777" w:rsidR="00D65CB4" w:rsidRPr="00BC4EE7" w:rsidRDefault="00D65CB4">
            <w:pPr>
              <w:spacing w:after="0" w:line="240" w:lineRule="auto"/>
              <w:rPr>
                <w:rFonts w:ascii="Times New Roman" w:hAnsi="Times New Roman" w:cs="Times New Roman"/>
                <w:b/>
                <w:noProof/>
                <w:sz w:val="18"/>
              </w:rPr>
            </w:pPr>
          </w:p>
        </w:tc>
        <w:tc>
          <w:tcPr>
            <w:tcW w:w="1226" w:type="dxa"/>
            <w:tcBorders>
              <w:top w:val="nil"/>
            </w:tcBorders>
            <w:shd w:val="clear" w:color="auto" w:fill="C6D9F1" w:themeFill="text2" w:themeFillTint="33"/>
          </w:tcPr>
          <w:p w14:paraId="052258C8" w14:textId="77777777" w:rsidR="00D65CB4" w:rsidRPr="00BC4EE7" w:rsidRDefault="00D65CB4">
            <w:pPr>
              <w:spacing w:after="0" w:line="240" w:lineRule="auto"/>
              <w:jc w:val="center"/>
              <w:rPr>
                <w:rFonts w:ascii="Times New Roman" w:hAnsi="Times New Roman" w:cs="Times New Roman"/>
                <w:b/>
                <w:noProof/>
                <w:sz w:val="18"/>
              </w:rPr>
            </w:pPr>
          </w:p>
        </w:tc>
        <w:tc>
          <w:tcPr>
            <w:tcW w:w="896" w:type="dxa"/>
            <w:shd w:val="clear" w:color="auto" w:fill="C6D9F1" w:themeFill="text2" w:themeFillTint="33"/>
          </w:tcPr>
          <w:p w14:paraId="11B4A688"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Egység</w:t>
            </w:r>
          </w:p>
        </w:tc>
        <w:tc>
          <w:tcPr>
            <w:tcW w:w="964" w:type="dxa"/>
            <w:shd w:val="clear" w:color="auto" w:fill="C6D9F1" w:themeFill="text2" w:themeFillTint="33"/>
          </w:tcPr>
          <w:p w14:paraId="5A6579E2" w14:textId="5AA718F5" w:rsidR="00D65CB4" w:rsidRPr="00BC4EE7" w:rsidRDefault="00572307">
            <w:pPr>
              <w:pStyle w:val="P68B1DB1-Normal8"/>
              <w:spacing w:after="0" w:line="240" w:lineRule="auto"/>
              <w:jc w:val="center"/>
              <w:rPr>
                <w:rFonts w:cs="Times New Roman"/>
                <w:noProof/>
              </w:rPr>
            </w:pPr>
            <w:r w:rsidRPr="00BC4EE7">
              <w:rPr>
                <w:rFonts w:cs="Times New Roman"/>
                <w:noProof/>
              </w:rPr>
              <w:t>Kiindulási</w:t>
            </w:r>
          </w:p>
        </w:tc>
        <w:tc>
          <w:tcPr>
            <w:tcW w:w="641" w:type="dxa"/>
            <w:shd w:val="clear" w:color="auto" w:fill="C6D9F1" w:themeFill="text2" w:themeFillTint="33"/>
          </w:tcPr>
          <w:p w14:paraId="0201C213"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Cél</w:t>
            </w:r>
          </w:p>
        </w:tc>
        <w:tc>
          <w:tcPr>
            <w:tcW w:w="526" w:type="dxa"/>
            <w:shd w:val="clear" w:color="auto" w:fill="C6D9F1" w:themeFill="text2" w:themeFillTint="33"/>
          </w:tcPr>
          <w:p w14:paraId="187F06C1"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Q</w:t>
            </w:r>
          </w:p>
        </w:tc>
        <w:tc>
          <w:tcPr>
            <w:tcW w:w="700" w:type="dxa"/>
            <w:shd w:val="clear" w:color="auto" w:fill="C6D9F1" w:themeFill="text2" w:themeFillTint="33"/>
          </w:tcPr>
          <w:p w14:paraId="5C32E844"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Éve</w:t>
            </w:r>
          </w:p>
        </w:tc>
        <w:tc>
          <w:tcPr>
            <w:tcW w:w="5114" w:type="dxa"/>
            <w:tcBorders>
              <w:top w:val="nil"/>
            </w:tcBorders>
            <w:shd w:val="clear" w:color="auto" w:fill="C6D9F1" w:themeFill="text2" w:themeFillTint="33"/>
          </w:tcPr>
          <w:p w14:paraId="2805547E" w14:textId="77777777" w:rsidR="00D65CB4" w:rsidRPr="00BC4EE7" w:rsidRDefault="00D65CB4">
            <w:pPr>
              <w:spacing w:after="0" w:line="240" w:lineRule="auto"/>
              <w:rPr>
                <w:rFonts w:ascii="Times New Roman" w:hAnsi="Times New Roman" w:cs="Times New Roman"/>
                <w:b/>
                <w:noProof/>
                <w:sz w:val="18"/>
              </w:rPr>
            </w:pPr>
          </w:p>
        </w:tc>
      </w:tr>
      <w:tr w:rsidR="00D65CB4" w:rsidRPr="00BC4EE7" w14:paraId="40CAD2F4" w14:textId="77777777">
        <w:trPr>
          <w:trHeight w:val="309"/>
        </w:trPr>
        <w:tc>
          <w:tcPr>
            <w:tcW w:w="857" w:type="dxa"/>
            <w:shd w:val="clear" w:color="auto" w:fill="C6EFCE"/>
          </w:tcPr>
          <w:p w14:paraId="2FCEBC2B" w14:textId="24EC0CB9" w:rsidR="00D65CB4" w:rsidRPr="00BC4EE7" w:rsidRDefault="00572307">
            <w:pPr>
              <w:pStyle w:val="P68B1DB1-Normal12"/>
              <w:spacing w:after="0" w:line="240" w:lineRule="auto"/>
              <w:jc w:val="center"/>
              <w:rPr>
                <w:rFonts w:cs="Times New Roman"/>
                <w:noProof/>
              </w:rPr>
            </w:pPr>
            <w:r w:rsidRPr="00BC4EE7">
              <w:rPr>
                <w:rFonts w:cs="Times New Roman"/>
                <w:noProof/>
              </w:rPr>
              <w:t>L67</w:t>
            </w:r>
          </w:p>
        </w:tc>
        <w:tc>
          <w:tcPr>
            <w:tcW w:w="886" w:type="dxa"/>
            <w:shd w:val="clear" w:color="auto" w:fill="C6EFCE"/>
          </w:tcPr>
          <w:p w14:paraId="291595AA"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C17.I10</w:t>
            </w:r>
          </w:p>
        </w:tc>
        <w:tc>
          <w:tcPr>
            <w:tcW w:w="966" w:type="dxa"/>
            <w:shd w:val="clear" w:color="auto" w:fill="C6EFCE"/>
          </w:tcPr>
          <w:p w14:paraId="3C1B5EA5"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2227" w:type="dxa"/>
            <w:shd w:val="clear" w:color="auto" w:fill="C6EFCE"/>
          </w:tcPr>
          <w:p w14:paraId="010AA927" w14:textId="77777777" w:rsidR="00D65CB4" w:rsidRPr="00BC4EE7" w:rsidRDefault="00572307">
            <w:pPr>
              <w:pStyle w:val="P68B1DB1-Normal12"/>
              <w:spacing w:after="0" w:line="240" w:lineRule="auto"/>
              <w:rPr>
                <w:rFonts w:cs="Times New Roman"/>
                <w:noProof/>
              </w:rPr>
            </w:pPr>
            <w:r w:rsidRPr="00BC4EE7">
              <w:rPr>
                <w:rFonts w:cs="Times New Roman"/>
                <w:noProof/>
              </w:rPr>
              <w:t>Tőketámogatásba való beruházás az egészségügyi ágazatban</w:t>
            </w:r>
          </w:p>
        </w:tc>
        <w:tc>
          <w:tcPr>
            <w:tcW w:w="1226" w:type="dxa"/>
            <w:shd w:val="clear" w:color="auto" w:fill="C6EFCE"/>
          </w:tcPr>
          <w:p w14:paraId="1107DC0B" w14:textId="77777777" w:rsidR="00D65CB4" w:rsidRPr="00BC4EE7" w:rsidRDefault="00D65CB4">
            <w:pPr>
              <w:spacing w:after="0" w:line="240" w:lineRule="auto"/>
              <w:jc w:val="center"/>
              <w:rPr>
                <w:rFonts w:ascii="Times New Roman" w:hAnsi="Times New Roman" w:cs="Times New Roman"/>
                <w:noProof/>
                <w:sz w:val="18"/>
              </w:rPr>
            </w:pPr>
          </w:p>
        </w:tc>
        <w:tc>
          <w:tcPr>
            <w:tcW w:w="896" w:type="dxa"/>
            <w:shd w:val="clear" w:color="auto" w:fill="C6EFCE"/>
          </w:tcPr>
          <w:p w14:paraId="75913F2D"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Millió EUR</w:t>
            </w:r>
          </w:p>
          <w:p w14:paraId="60319AFE" w14:textId="77777777" w:rsidR="00D65CB4" w:rsidRPr="00BC4EE7" w:rsidRDefault="00D65CB4">
            <w:pPr>
              <w:spacing w:after="0" w:line="240" w:lineRule="auto"/>
              <w:jc w:val="center"/>
              <w:rPr>
                <w:rFonts w:ascii="Times New Roman" w:hAnsi="Times New Roman" w:cs="Times New Roman"/>
                <w:noProof/>
                <w:sz w:val="18"/>
              </w:rPr>
            </w:pPr>
          </w:p>
        </w:tc>
        <w:tc>
          <w:tcPr>
            <w:tcW w:w="964" w:type="dxa"/>
            <w:shd w:val="clear" w:color="auto" w:fill="C6EFCE"/>
          </w:tcPr>
          <w:p w14:paraId="6A13EB3F"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0</w:t>
            </w:r>
          </w:p>
        </w:tc>
        <w:tc>
          <w:tcPr>
            <w:tcW w:w="641" w:type="dxa"/>
            <w:shd w:val="clear" w:color="auto" w:fill="C6EFCE"/>
          </w:tcPr>
          <w:p w14:paraId="1934BC16"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27</w:t>
            </w:r>
          </w:p>
        </w:tc>
        <w:tc>
          <w:tcPr>
            <w:tcW w:w="526" w:type="dxa"/>
            <w:shd w:val="clear" w:color="auto" w:fill="C6EFCE"/>
          </w:tcPr>
          <w:p w14:paraId="1720568F" w14:textId="61FE3413" w:rsidR="00D65CB4" w:rsidRPr="00BC4EE7" w:rsidRDefault="00572307">
            <w:pPr>
              <w:pStyle w:val="P68B1DB1-Normal12"/>
              <w:spacing w:after="0" w:line="240" w:lineRule="auto"/>
              <w:jc w:val="center"/>
              <w:rPr>
                <w:rFonts w:cs="Times New Roman"/>
                <w:noProof/>
              </w:rPr>
            </w:pPr>
            <w:r w:rsidRPr="00BC4EE7">
              <w:rPr>
                <w:rFonts w:cs="Times New Roman"/>
                <w:noProof/>
              </w:rPr>
              <w:t xml:space="preserve">Q3 </w:t>
            </w:r>
          </w:p>
        </w:tc>
        <w:tc>
          <w:tcPr>
            <w:tcW w:w="700" w:type="dxa"/>
            <w:shd w:val="clear" w:color="auto" w:fill="C6EFCE"/>
          </w:tcPr>
          <w:p w14:paraId="4EA57920"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2026</w:t>
            </w:r>
          </w:p>
        </w:tc>
        <w:tc>
          <w:tcPr>
            <w:tcW w:w="5114" w:type="dxa"/>
            <w:shd w:val="clear" w:color="auto" w:fill="C6EFCE"/>
          </w:tcPr>
          <w:p w14:paraId="3D249DE9" w14:textId="4E34FAF3" w:rsidR="00D65CB4" w:rsidRPr="00BC4EE7" w:rsidRDefault="00572307">
            <w:pPr>
              <w:pStyle w:val="P68B1DB1-Normal12"/>
              <w:spacing w:after="0" w:line="240" w:lineRule="auto"/>
              <w:rPr>
                <w:rFonts w:eastAsia="Times New Roman" w:cs="Times New Roman"/>
                <w:noProof/>
              </w:rPr>
            </w:pPr>
            <w:r w:rsidRPr="00BC4EE7">
              <w:rPr>
                <w:rFonts w:cs="Times New Roman"/>
                <w:noProof/>
              </w:rPr>
              <w:t>27 000 000 EUR kifizetése az Innvierte által az egészségügyi ágazatban működő innovatív és technológiai vállalatokban saját tőkeként vagy kvázi-sajáttőkeként. Az e beruházás keretében megvalósuló projektek értékelésének biztosítania kell a jelentős károkozás elkerülését célzó technikai iránymutatásnak (2021/C58/01) való megfelelést, az intézkedés leírásában meghatározottak szerint.</w:t>
            </w:r>
          </w:p>
        </w:tc>
      </w:tr>
      <w:tr w:rsidR="00D65CB4" w:rsidRPr="00BC4EE7" w14:paraId="1F35E81E" w14:textId="77777777">
        <w:trPr>
          <w:trHeight w:val="309"/>
        </w:trPr>
        <w:tc>
          <w:tcPr>
            <w:tcW w:w="857" w:type="dxa"/>
            <w:shd w:val="clear" w:color="auto" w:fill="C6EFCE"/>
          </w:tcPr>
          <w:p w14:paraId="400BB647" w14:textId="559EBCA0" w:rsidR="00D65CB4" w:rsidRPr="00BC4EE7" w:rsidRDefault="00572307">
            <w:pPr>
              <w:pStyle w:val="P68B1DB1-Normal12"/>
              <w:spacing w:after="0" w:line="240" w:lineRule="auto"/>
              <w:jc w:val="center"/>
              <w:rPr>
                <w:rFonts w:cs="Times New Roman"/>
                <w:noProof/>
              </w:rPr>
            </w:pPr>
            <w:r w:rsidRPr="00BC4EE7">
              <w:rPr>
                <w:rFonts w:cs="Times New Roman"/>
                <w:noProof/>
              </w:rPr>
              <w:t>L68</w:t>
            </w:r>
          </w:p>
        </w:tc>
        <w:tc>
          <w:tcPr>
            <w:tcW w:w="886" w:type="dxa"/>
            <w:shd w:val="clear" w:color="auto" w:fill="C6EFCE"/>
          </w:tcPr>
          <w:p w14:paraId="1C5CA141"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C17.I10</w:t>
            </w:r>
          </w:p>
        </w:tc>
        <w:tc>
          <w:tcPr>
            <w:tcW w:w="966" w:type="dxa"/>
            <w:shd w:val="clear" w:color="auto" w:fill="C6EFCE"/>
          </w:tcPr>
          <w:p w14:paraId="28A2FDD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2227" w:type="dxa"/>
            <w:shd w:val="clear" w:color="auto" w:fill="C6EFCE"/>
          </w:tcPr>
          <w:p w14:paraId="0FF05EDF" w14:textId="327EDD1C" w:rsidR="00D65CB4" w:rsidRPr="00BC4EE7" w:rsidRDefault="00572307">
            <w:pPr>
              <w:pStyle w:val="P68B1DB1-Normal12"/>
              <w:spacing w:after="0" w:line="240" w:lineRule="auto"/>
              <w:rPr>
                <w:rFonts w:cs="Times New Roman"/>
                <w:noProof/>
              </w:rPr>
            </w:pPr>
            <w:r w:rsidRPr="00BC4EE7">
              <w:rPr>
                <w:rFonts w:cs="Times New Roman"/>
                <w:noProof/>
              </w:rPr>
              <w:t>Pénzeszközök kötelezettségvállalása hitelek formájában az egészségügyi és az űrrepülési ágazat támogatására</w:t>
            </w:r>
          </w:p>
        </w:tc>
        <w:tc>
          <w:tcPr>
            <w:tcW w:w="1226" w:type="dxa"/>
            <w:shd w:val="clear" w:color="auto" w:fill="C6EFCE"/>
          </w:tcPr>
          <w:p w14:paraId="137454FA" w14:textId="77777777" w:rsidR="00D65CB4" w:rsidRPr="00BC4EE7" w:rsidRDefault="00D65CB4">
            <w:pPr>
              <w:spacing w:after="0" w:line="240" w:lineRule="auto"/>
              <w:jc w:val="center"/>
              <w:rPr>
                <w:rFonts w:ascii="Times New Roman" w:hAnsi="Times New Roman" w:cs="Times New Roman"/>
                <w:noProof/>
                <w:sz w:val="18"/>
              </w:rPr>
            </w:pPr>
          </w:p>
        </w:tc>
        <w:tc>
          <w:tcPr>
            <w:tcW w:w="896" w:type="dxa"/>
            <w:shd w:val="clear" w:color="auto" w:fill="C6EFCE"/>
          </w:tcPr>
          <w:p w14:paraId="70ECA4A1"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Millió EUR</w:t>
            </w:r>
          </w:p>
        </w:tc>
        <w:tc>
          <w:tcPr>
            <w:tcW w:w="964" w:type="dxa"/>
            <w:shd w:val="clear" w:color="auto" w:fill="C6EFCE"/>
          </w:tcPr>
          <w:p w14:paraId="41749BF7"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0</w:t>
            </w:r>
          </w:p>
        </w:tc>
        <w:tc>
          <w:tcPr>
            <w:tcW w:w="641" w:type="dxa"/>
            <w:shd w:val="clear" w:color="auto" w:fill="C6EFCE"/>
          </w:tcPr>
          <w:p w14:paraId="319026BA" w14:textId="7020A308" w:rsidR="00D65CB4" w:rsidRPr="00BC4EE7" w:rsidRDefault="00572307">
            <w:pPr>
              <w:pStyle w:val="P68B1DB1-Normal12"/>
              <w:spacing w:after="0" w:line="240" w:lineRule="auto"/>
              <w:jc w:val="right"/>
              <w:rPr>
                <w:rFonts w:cs="Times New Roman"/>
                <w:noProof/>
              </w:rPr>
            </w:pPr>
            <w:r w:rsidRPr="00BC4EE7">
              <w:rPr>
                <w:rFonts w:cs="Times New Roman"/>
                <w:noProof/>
              </w:rPr>
              <w:t>181.6</w:t>
            </w:r>
          </w:p>
        </w:tc>
        <w:tc>
          <w:tcPr>
            <w:tcW w:w="526" w:type="dxa"/>
            <w:shd w:val="clear" w:color="auto" w:fill="C6EFCE"/>
          </w:tcPr>
          <w:p w14:paraId="022A78CD"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700" w:type="dxa"/>
            <w:shd w:val="clear" w:color="auto" w:fill="C6EFCE"/>
          </w:tcPr>
          <w:p w14:paraId="32691209"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2024</w:t>
            </w:r>
          </w:p>
        </w:tc>
        <w:tc>
          <w:tcPr>
            <w:tcW w:w="5114" w:type="dxa"/>
            <w:shd w:val="clear" w:color="auto" w:fill="C6EFCE"/>
          </w:tcPr>
          <w:p w14:paraId="03E5BAA4" w14:textId="2BC9BC85" w:rsidR="00D65CB4" w:rsidRPr="00BC4EE7" w:rsidRDefault="00572307">
            <w:pPr>
              <w:pStyle w:val="P68B1DB1-Normal12"/>
              <w:spacing w:after="0" w:line="240" w:lineRule="auto"/>
              <w:rPr>
                <w:rFonts w:cs="Times New Roman"/>
                <w:noProof/>
              </w:rPr>
            </w:pPr>
            <w:r w:rsidRPr="00BC4EE7">
              <w:rPr>
                <w:rFonts w:cs="Times New Roman"/>
                <w:noProof/>
              </w:rPr>
              <w:t>A CDTI 181 600 000 EUR összegű kötelezettségvállalása a K+F+I-be, az ipari méretezésbe, a gyártási folyamatok korszerűsítésébe, valamint a zöld technológiák egészségügyi és űrrepülési ágazatban történő bevezetésébe történő beruházásokhoz.</w:t>
            </w:r>
          </w:p>
        </w:tc>
      </w:tr>
      <w:tr w:rsidR="00D65CB4" w:rsidRPr="00BC4EE7" w14:paraId="7D44448D" w14:textId="77777777">
        <w:trPr>
          <w:trHeight w:val="309"/>
        </w:trPr>
        <w:tc>
          <w:tcPr>
            <w:tcW w:w="857" w:type="dxa"/>
            <w:shd w:val="clear" w:color="auto" w:fill="C6EFCE"/>
          </w:tcPr>
          <w:p w14:paraId="721685C3" w14:textId="1D1E5160" w:rsidR="00D65CB4" w:rsidRPr="00BC4EE7" w:rsidRDefault="00572307">
            <w:pPr>
              <w:pStyle w:val="P68B1DB1-Normal12"/>
              <w:spacing w:after="0" w:line="240" w:lineRule="auto"/>
              <w:jc w:val="center"/>
              <w:rPr>
                <w:rFonts w:cs="Times New Roman"/>
                <w:noProof/>
              </w:rPr>
            </w:pPr>
            <w:r w:rsidRPr="00BC4EE7">
              <w:rPr>
                <w:rFonts w:cs="Times New Roman"/>
                <w:noProof/>
              </w:rPr>
              <w:t>L69</w:t>
            </w:r>
          </w:p>
        </w:tc>
        <w:tc>
          <w:tcPr>
            <w:tcW w:w="886" w:type="dxa"/>
            <w:shd w:val="clear" w:color="auto" w:fill="C6EFCE"/>
          </w:tcPr>
          <w:p w14:paraId="651672E3"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C17.I10</w:t>
            </w:r>
          </w:p>
        </w:tc>
        <w:tc>
          <w:tcPr>
            <w:tcW w:w="966" w:type="dxa"/>
            <w:shd w:val="clear" w:color="auto" w:fill="C6EFCE"/>
          </w:tcPr>
          <w:p w14:paraId="294261C8"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2227" w:type="dxa"/>
            <w:shd w:val="clear" w:color="auto" w:fill="C6EFCE"/>
          </w:tcPr>
          <w:p w14:paraId="72ADFE09" w14:textId="77777777" w:rsidR="00D65CB4" w:rsidRPr="00BC4EE7" w:rsidRDefault="00572307">
            <w:pPr>
              <w:pStyle w:val="P68B1DB1-Normal12"/>
              <w:spacing w:after="0" w:line="240" w:lineRule="auto"/>
              <w:rPr>
                <w:rFonts w:cs="Times New Roman"/>
                <w:noProof/>
              </w:rPr>
            </w:pPr>
            <w:r w:rsidRPr="00BC4EE7">
              <w:rPr>
                <w:rFonts w:cs="Times New Roman"/>
                <w:noProof/>
              </w:rPr>
              <w:t>Pénzeszközök folyósítása hitelek formájában az egészségügyi és az űrrepülési ágazat támogatására</w:t>
            </w:r>
          </w:p>
        </w:tc>
        <w:tc>
          <w:tcPr>
            <w:tcW w:w="1226" w:type="dxa"/>
            <w:shd w:val="clear" w:color="auto" w:fill="C6EFCE"/>
          </w:tcPr>
          <w:p w14:paraId="17F78AF2" w14:textId="77777777" w:rsidR="00D65CB4" w:rsidRPr="00BC4EE7" w:rsidRDefault="00D65CB4">
            <w:pPr>
              <w:spacing w:after="0" w:line="240" w:lineRule="auto"/>
              <w:jc w:val="center"/>
              <w:rPr>
                <w:rFonts w:ascii="Times New Roman" w:hAnsi="Times New Roman" w:cs="Times New Roman"/>
                <w:noProof/>
                <w:sz w:val="18"/>
              </w:rPr>
            </w:pPr>
          </w:p>
        </w:tc>
        <w:tc>
          <w:tcPr>
            <w:tcW w:w="896" w:type="dxa"/>
            <w:shd w:val="clear" w:color="auto" w:fill="C6EFCE"/>
          </w:tcPr>
          <w:p w14:paraId="0E9A1A24"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Millió EUR</w:t>
            </w:r>
          </w:p>
        </w:tc>
        <w:tc>
          <w:tcPr>
            <w:tcW w:w="964" w:type="dxa"/>
            <w:shd w:val="clear" w:color="auto" w:fill="C6EFCE"/>
          </w:tcPr>
          <w:p w14:paraId="48E9A1B5"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0</w:t>
            </w:r>
          </w:p>
        </w:tc>
        <w:tc>
          <w:tcPr>
            <w:tcW w:w="641" w:type="dxa"/>
            <w:shd w:val="clear" w:color="auto" w:fill="C6EFCE"/>
          </w:tcPr>
          <w:p w14:paraId="45ED734C" w14:textId="7E85DADE" w:rsidR="00D65CB4" w:rsidRPr="00BC4EE7" w:rsidRDefault="00572307">
            <w:pPr>
              <w:pStyle w:val="P68B1DB1-Normal12"/>
              <w:spacing w:after="0" w:line="240" w:lineRule="auto"/>
              <w:jc w:val="right"/>
              <w:rPr>
                <w:rFonts w:cs="Times New Roman"/>
                <w:noProof/>
              </w:rPr>
            </w:pPr>
            <w:r w:rsidRPr="00BC4EE7">
              <w:rPr>
                <w:rFonts w:cs="Times New Roman"/>
                <w:noProof/>
              </w:rPr>
              <w:t>461.7</w:t>
            </w:r>
          </w:p>
        </w:tc>
        <w:tc>
          <w:tcPr>
            <w:tcW w:w="526" w:type="dxa"/>
            <w:shd w:val="clear" w:color="auto" w:fill="C6EFCE"/>
          </w:tcPr>
          <w:p w14:paraId="416CFC95" w14:textId="702A6278" w:rsidR="00D65CB4" w:rsidRPr="00BC4EE7" w:rsidRDefault="00572307">
            <w:pPr>
              <w:pStyle w:val="P68B1DB1-Normal12"/>
              <w:spacing w:after="0" w:line="240" w:lineRule="auto"/>
              <w:jc w:val="center"/>
              <w:rPr>
                <w:rFonts w:cs="Times New Roman"/>
                <w:noProof/>
              </w:rPr>
            </w:pPr>
            <w:r w:rsidRPr="00BC4EE7">
              <w:rPr>
                <w:rFonts w:cs="Times New Roman"/>
                <w:noProof/>
              </w:rPr>
              <w:t>Q3</w:t>
            </w:r>
          </w:p>
        </w:tc>
        <w:tc>
          <w:tcPr>
            <w:tcW w:w="700" w:type="dxa"/>
            <w:shd w:val="clear" w:color="auto" w:fill="C6EFCE"/>
          </w:tcPr>
          <w:p w14:paraId="0D22AF08"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2026</w:t>
            </w:r>
          </w:p>
        </w:tc>
        <w:tc>
          <w:tcPr>
            <w:tcW w:w="5114" w:type="dxa"/>
            <w:shd w:val="clear" w:color="auto" w:fill="C6EFCE"/>
          </w:tcPr>
          <w:p w14:paraId="06A183A7" w14:textId="5AE6F075" w:rsidR="00D65CB4" w:rsidRPr="00BC4EE7" w:rsidRDefault="00572307">
            <w:pPr>
              <w:pStyle w:val="P68B1DB1-Normal12"/>
              <w:spacing w:after="0" w:line="240" w:lineRule="auto"/>
              <w:rPr>
                <w:rFonts w:cs="Times New Roman"/>
                <w:noProof/>
              </w:rPr>
            </w:pPr>
            <w:r w:rsidRPr="00BC4EE7">
              <w:rPr>
                <w:rFonts w:cs="Times New Roman"/>
                <w:noProof/>
              </w:rPr>
              <w:t>A CDTI által 461 700 000 EUR összegű hitel folyósítása a K+F+I-be, az ipari méretezésbe, a gyártási folyamatok korszerűsítésébe, valamint a zöld technológiák egészségügyi és űrrepülési ágazatban történő bevezetésébe történő beruházásokhoz.</w:t>
            </w:r>
          </w:p>
        </w:tc>
      </w:tr>
      <w:tr w:rsidR="00D65CB4" w:rsidRPr="00BC4EE7" w14:paraId="3E768C38" w14:textId="77777777">
        <w:trPr>
          <w:trHeight w:val="309"/>
        </w:trPr>
        <w:tc>
          <w:tcPr>
            <w:tcW w:w="857" w:type="dxa"/>
            <w:shd w:val="clear" w:color="auto" w:fill="C6EFCE"/>
          </w:tcPr>
          <w:p w14:paraId="3F06DFD7" w14:textId="3E8A1D3E" w:rsidR="00D65CB4" w:rsidRPr="00BC4EE7" w:rsidRDefault="00572307">
            <w:pPr>
              <w:pStyle w:val="P68B1DB1-Normal12"/>
              <w:spacing w:after="0" w:line="240" w:lineRule="auto"/>
              <w:jc w:val="center"/>
              <w:rPr>
                <w:rFonts w:cs="Times New Roman"/>
                <w:noProof/>
              </w:rPr>
            </w:pPr>
            <w:r w:rsidRPr="00BC4EE7">
              <w:rPr>
                <w:rFonts w:cs="Times New Roman"/>
                <w:noProof/>
              </w:rPr>
              <w:t>L70</w:t>
            </w:r>
          </w:p>
        </w:tc>
        <w:tc>
          <w:tcPr>
            <w:tcW w:w="886" w:type="dxa"/>
            <w:shd w:val="clear" w:color="auto" w:fill="C6EFCE"/>
          </w:tcPr>
          <w:p w14:paraId="05C61672"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C17.I10</w:t>
            </w:r>
          </w:p>
        </w:tc>
        <w:tc>
          <w:tcPr>
            <w:tcW w:w="966" w:type="dxa"/>
            <w:shd w:val="clear" w:color="auto" w:fill="C6EFCE"/>
          </w:tcPr>
          <w:p w14:paraId="1B57D700"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2227" w:type="dxa"/>
            <w:shd w:val="clear" w:color="auto" w:fill="C6EFCE"/>
          </w:tcPr>
          <w:p w14:paraId="13DFEEB3" w14:textId="77777777" w:rsidR="00D65CB4" w:rsidRPr="00BC4EE7" w:rsidRDefault="00572307">
            <w:pPr>
              <w:pStyle w:val="P68B1DB1-Normal12"/>
              <w:spacing w:after="0" w:line="240" w:lineRule="auto"/>
              <w:rPr>
                <w:rFonts w:cs="Times New Roman"/>
                <w:noProof/>
              </w:rPr>
            </w:pPr>
            <w:r w:rsidRPr="00BC4EE7">
              <w:rPr>
                <w:rFonts w:cs="Times New Roman"/>
                <w:noProof/>
              </w:rPr>
              <w:t>A nemzeti egészségügyi rendszer K+F kapacitásainak javítása.</w:t>
            </w:r>
          </w:p>
        </w:tc>
        <w:tc>
          <w:tcPr>
            <w:tcW w:w="1226" w:type="dxa"/>
            <w:shd w:val="clear" w:color="auto" w:fill="C6EFCE"/>
          </w:tcPr>
          <w:p w14:paraId="10D4F863" w14:textId="77777777" w:rsidR="00D65CB4" w:rsidRPr="00BC4EE7" w:rsidRDefault="00D65CB4">
            <w:pPr>
              <w:spacing w:after="0" w:line="240" w:lineRule="auto"/>
              <w:jc w:val="center"/>
              <w:rPr>
                <w:rFonts w:ascii="Times New Roman" w:hAnsi="Times New Roman" w:cs="Times New Roman"/>
                <w:noProof/>
                <w:sz w:val="18"/>
              </w:rPr>
            </w:pPr>
          </w:p>
        </w:tc>
        <w:tc>
          <w:tcPr>
            <w:tcW w:w="896" w:type="dxa"/>
            <w:shd w:val="clear" w:color="auto" w:fill="C6EFCE"/>
          </w:tcPr>
          <w:p w14:paraId="554999A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Szám</w:t>
            </w:r>
          </w:p>
        </w:tc>
        <w:tc>
          <w:tcPr>
            <w:tcW w:w="964" w:type="dxa"/>
            <w:shd w:val="clear" w:color="auto" w:fill="C6EFCE"/>
          </w:tcPr>
          <w:p w14:paraId="03984B2D"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0</w:t>
            </w:r>
          </w:p>
        </w:tc>
        <w:tc>
          <w:tcPr>
            <w:tcW w:w="641" w:type="dxa"/>
            <w:shd w:val="clear" w:color="auto" w:fill="C6EFCE"/>
          </w:tcPr>
          <w:p w14:paraId="0488B6F9"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4</w:t>
            </w:r>
          </w:p>
        </w:tc>
        <w:tc>
          <w:tcPr>
            <w:tcW w:w="526" w:type="dxa"/>
            <w:shd w:val="clear" w:color="auto" w:fill="C6EFCE"/>
          </w:tcPr>
          <w:p w14:paraId="0BE015B9" w14:textId="25107E1F" w:rsidR="00D65CB4" w:rsidRPr="00BC4EE7" w:rsidRDefault="00572307">
            <w:pPr>
              <w:pStyle w:val="P68B1DB1-Normal12"/>
              <w:spacing w:after="0" w:line="240" w:lineRule="auto"/>
              <w:jc w:val="center"/>
              <w:rPr>
                <w:rFonts w:cs="Times New Roman"/>
                <w:noProof/>
              </w:rPr>
            </w:pPr>
            <w:r w:rsidRPr="00BC4EE7">
              <w:rPr>
                <w:rFonts w:cs="Times New Roman"/>
                <w:noProof/>
              </w:rPr>
              <w:t>Q3</w:t>
            </w:r>
          </w:p>
        </w:tc>
        <w:tc>
          <w:tcPr>
            <w:tcW w:w="700" w:type="dxa"/>
            <w:shd w:val="clear" w:color="auto" w:fill="C6EFCE"/>
          </w:tcPr>
          <w:p w14:paraId="2EAE1494"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2026</w:t>
            </w:r>
          </w:p>
        </w:tc>
        <w:tc>
          <w:tcPr>
            <w:tcW w:w="5114" w:type="dxa"/>
            <w:shd w:val="clear" w:color="auto" w:fill="C6EFCE"/>
          </w:tcPr>
          <w:p w14:paraId="67583859" w14:textId="77777777" w:rsidR="00D65CB4" w:rsidRPr="00BC4EE7" w:rsidRDefault="00572307">
            <w:pPr>
              <w:pStyle w:val="P68B1DB1-Normal12"/>
              <w:spacing w:after="0" w:line="240" w:lineRule="auto"/>
              <w:rPr>
                <w:rFonts w:cs="Times New Roman"/>
                <w:noProof/>
              </w:rPr>
            </w:pPr>
            <w:r w:rsidRPr="00BC4EE7">
              <w:rPr>
                <w:rFonts w:cs="Times New Roman"/>
                <w:noProof/>
              </w:rPr>
              <w:t>A nemzeti egészségügyi rendszer legalább négy kutatóközpontja kutatási és technológiafejlesztési kapacitásának fejlesztésére irányuló beruházási projektek véglegesítése.</w:t>
            </w:r>
          </w:p>
        </w:tc>
      </w:tr>
    </w:tbl>
    <w:p w14:paraId="64EE0AAC" w14:textId="77777777" w:rsidR="00D65CB4" w:rsidRPr="00BC4EE7" w:rsidRDefault="00D65CB4">
      <w:pPr>
        <w:spacing w:before="120" w:after="120" w:line="240" w:lineRule="auto"/>
        <w:rPr>
          <w:rFonts w:ascii="Times New Roman" w:hAnsi="Times New Roman" w:cs="Times New Roman"/>
          <w:noProof/>
        </w:rPr>
        <w:sectPr w:rsidR="00D65CB4" w:rsidRPr="00BC4EE7" w:rsidSect="00B511EF">
          <w:headerReference w:type="even" r:id="rId376"/>
          <w:headerReference w:type="default" r:id="rId377"/>
          <w:footerReference w:type="even" r:id="rId378"/>
          <w:footerReference w:type="default" r:id="rId379"/>
          <w:headerReference w:type="first" r:id="rId380"/>
          <w:footerReference w:type="first" r:id="rId381"/>
          <w:pgSz w:w="16839" w:h="11907" w:orient="landscape"/>
          <w:pgMar w:top="1134" w:right="1134" w:bottom="1134" w:left="1134" w:header="567" w:footer="567" w:gutter="0"/>
          <w:cols w:space="720"/>
          <w:docGrid w:linePitch="360"/>
        </w:sectPr>
      </w:pPr>
    </w:p>
    <w:p w14:paraId="1B1C4985" w14:textId="77777777" w:rsidR="00D65CB4" w:rsidRPr="00BC4EE7" w:rsidRDefault="00572307">
      <w:pPr>
        <w:pStyle w:val="P68B1DB1-Heading12"/>
        <w:rPr>
          <w:rFonts w:cs="Times New Roman"/>
          <w:noProof/>
        </w:rPr>
      </w:pPr>
      <w:r w:rsidRPr="00BC4EE7">
        <w:rPr>
          <w:rFonts w:cs="Times New Roman"/>
          <w:noProof/>
        </w:rPr>
        <w:t>R. 18. KOMPONENS: A nemzeti egészségügyi rendszer kapacitásainak felújítása és bővítése</w:t>
      </w:r>
    </w:p>
    <w:p w14:paraId="273D2F69"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Az egészségügyi válság megmutatta a spanyol nemzeti egészségügyi rendszer erejét, de rávilágított azokra a nehézségekre is, amelyekkel az előrejelzést, gyors reagálást és koordinációt igénylő helyzetek kezelése során szembesül, valamint arra is, hogy a demográfiai, társadalmi, technológiai vagy gazdasági tendenciákhoz kapcsolódó strukturális problémákat orvosolni kell. A spanyol helyreállítási és rezilienciaépítési terv ezen komponense a következő kihívásokkal foglalkozik: i. a globális egészségügyi válsággal szembeni sebezhetőség, ii. az egészségügyi rendszernek a népesség elöregedése miatti átalakítása, iii. a nemek közötti egyenlőség és iv. a rendszer hosszú távú fenntarthatósága és rezilienciája.</w:t>
      </w:r>
    </w:p>
    <w:p w14:paraId="71509C8B"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 komponens célkitűzései a következők: </w:t>
      </w:r>
    </w:p>
    <w:p w14:paraId="3C9272B0" w14:textId="77777777" w:rsidR="00D65CB4" w:rsidRPr="00BC4EE7" w:rsidRDefault="00572307">
      <w:pPr>
        <w:pStyle w:val="P68B1DB1-Normal4"/>
        <w:numPr>
          <w:ilvl w:val="0"/>
          <w:numId w:val="66"/>
        </w:numPr>
        <w:spacing w:before="120" w:after="120" w:line="240" w:lineRule="auto"/>
        <w:ind w:left="993" w:hanging="284"/>
        <w:jc w:val="both"/>
        <w:rPr>
          <w:rFonts w:cs="Times New Roman"/>
          <w:noProof/>
        </w:rPr>
      </w:pPr>
      <w:r w:rsidRPr="00BC4EE7">
        <w:rPr>
          <w:rFonts w:cs="Times New Roman"/>
          <w:noProof/>
        </w:rPr>
        <w:t>Az egészségügyi rendszer felkészítése az olyan potenciális globális egészségügyi veszélyek megelőzésére és kezelésére, mint a jelenlegi Covid19-világjárvány, a népegészségügyi kapacitások és a járványügyi felügyeleti rendszerek növelése révén.</w:t>
      </w:r>
    </w:p>
    <w:p w14:paraId="59469CE2" w14:textId="77777777" w:rsidR="00D65CB4" w:rsidRPr="00BC4EE7" w:rsidRDefault="00572307">
      <w:pPr>
        <w:pStyle w:val="P68B1DB1-Normal4"/>
        <w:numPr>
          <w:ilvl w:val="0"/>
          <w:numId w:val="66"/>
        </w:numPr>
        <w:spacing w:before="120" w:after="120" w:line="240" w:lineRule="auto"/>
        <w:ind w:left="993" w:hanging="284"/>
        <w:jc w:val="both"/>
        <w:rPr>
          <w:rFonts w:cs="Times New Roman"/>
          <w:noProof/>
        </w:rPr>
      </w:pPr>
      <w:r w:rsidRPr="00BC4EE7">
        <w:rPr>
          <w:rFonts w:cs="Times New Roman"/>
          <w:noProof/>
        </w:rPr>
        <w:t>A leggyorsabb, minőségű és biztonságos egészségügyi szolgáltatás nyújtása, függetlenül a betegek erőforrásaitól, lakóhelyétől, nemétől, származásától vagy életkorától.</w:t>
      </w:r>
    </w:p>
    <w:p w14:paraId="04FD66DE" w14:textId="77777777" w:rsidR="00D65CB4" w:rsidRPr="00BC4EE7" w:rsidRDefault="00572307">
      <w:pPr>
        <w:pStyle w:val="P68B1DB1-Normal4"/>
        <w:numPr>
          <w:ilvl w:val="0"/>
          <w:numId w:val="66"/>
        </w:numPr>
        <w:spacing w:before="120" w:after="120" w:line="240" w:lineRule="auto"/>
        <w:ind w:left="993" w:hanging="284"/>
        <w:jc w:val="both"/>
        <w:rPr>
          <w:rFonts w:cs="Times New Roman"/>
          <w:noProof/>
        </w:rPr>
      </w:pPr>
      <w:r w:rsidRPr="00BC4EE7">
        <w:rPr>
          <w:rFonts w:cs="Times New Roman"/>
          <w:noProof/>
        </w:rPr>
        <w:t xml:space="preserve">Az embereknek az egészségügyi rendszer középpontjába helyezése, részvételük javítása, valamint az egészségügyi ellátásnak az emberek és a közösségek igényeihez való igazítása. </w:t>
      </w:r>
    </w:p>
    <w:p w14:paraId="0860012F" w14:textId="77777777" w:rsidR="00D65CB4" w:rsidRPr="00BC4EE7" w:rsidRDefault="00572307">
      <w:pPr>
        <w:pStyle w:val="P68B1DB1-Normal4"/>
        <w:numPr>
          <w:ilvl w:val="0"/>
          <w:numId w:val="66"/>
        </w:numPr>
        <w:spacing w:before="120" w:after="120" w:line="240" w:lineRule="auto"/>
        <w:ind w:left="993" w:hanging="284"/>
        <w:jc w:val="both"/>
        <w:rPr>
          <w:rFonts w:cs="Times New Roman"/>
          <w:noProof/>
        </w:rPr>
      </w:pPr>
      <w:r w:rsidRPr="00BC4EE7">
        <w:rPr>
          <w:rFonts w:cs="Times New Roman"/>
          <w:noProof/>
        </w:rPr>
        <w:t>Olyan információs rendszerek biztosítása, amelyek nemcsak a tevékenységet, hanem a végső egészségügyi eredményeket is mérik.</w:t>
      </w:r>
    </w:p>
    <w:p w14:paraId="661A13D5" w14:textId="77777777" w:rsidR="00D65CB4" w:rsidRPr="00BC4EE7" w:rsidRDefault="00572307">
      <w:pPr>
        <w:pStyle w:val="P68B1DB1-Normal4"/>
        <w:numPr>
          <w:ilvl w:val="0"/>
          <w:numId w:val="66"/>
        </w:numPr>
        <w:spacing w:before="120" w:after="120" w:line="240" w:lineRule="auto"/>
        <w:ind w:left="993" w:hanging="284"/>
        <w:jc w:val="both"/>
        <w:rPr>
          <w:rFonts w:cs="Times New Roman"/>
          <w:noProof/>
        </w:rPr>
      </w:pPr>
      <w:r w:rsidRPr="00BC4EE7">
        <w:rPr>
          <w:rFonts w:cs="Times New Roman"/>
          <w:noProof/>
        </w:rPr>
        <w:t>Az egészség és a jóllét aktív előmozdítása, valamint a betegségek és a függőség megelőzése egész életen át.</w:t>
      </w:r>
    </w:p>
    <w:p w14:paraId="1177AF38" w14:textId="77777777" w:rsidR="00D65CB4" w:rsidRPr="00BC4EE7" w:rsidRDefault="00572307">
      <w:pPr>
        <w:pStyle w:val="P68B1DB1-Normal4"/>
        <w:numPr>
          <w:ilvl w:val="0"/>
          <w:numId w:val="66"/>
        </w:numPr>
        <w:spacing w:before="120" w:after="120" w:line="240" w:lineRule="auto"/>
        <w:ind w:left="993" w:hanging="284"/>
        <w:jc w:val="both"/>
        <w:rPr>
          <w:rFonts w:cs="Times New Roman"/>
          <w:noProof/>
        </w:rPr>
      </w:pPr>
      <w:r w:rsidRPr="00BC4EE7">
        <w:rPr>
          <w:rFonts w:cs="Times New Roman"/>
          <w:noProof/>
        </w:rPr>
        <w:t>Vonzza és megtartsa a legjobb szakembereket, akik egyéni és kollektív fejlődési lehetőségeket kínálnak számukra.</w:t>
      </w:r>
    </w:p>
    <w:p w14:paraId="3789ACD8" w14:textId="77777777" w:rsidR="00D65CB4" w:rsidRPr="00BC4EE7" w:rsidRDefault="00572307">
      <w:pPr>
        <w:pStyle w:val="P68B1DB1-Normal4"/>
        <w:numPr>
          <w:ilvl w:val="0"/>
          <w:numId w:val="66"/>
        </w:numPr>
        <w:spacing w:before="120" w:after="120" w:line="240" w:lineRule="auto"/>
        <w:ind w:left="993" w:hanging="284"/>
        <w:jc w:val="both"/>
        <w:rPr>
          <w:rFonts w:cs="Times New Roman"/>
          <w:noProof/>
        </w:rPr>
      </w:pPr>
      <w:r w:rsidRPr="00BC4EE7">
        <w:rPr>
          <w:rFonts w:cs="Times New Roman"/>
          <w:noProof/>
        </w:rPr>
        <w:t>Lépéseket kell tenni egy olyan digitalizált nemzeti egészségügyi rendszer felé, amely információkat és ismereteket generál, és fokozza az egészségügyi kutatást és innovációt, ami a munkahelyteremtés, a növekedés, a termelékenység és az innováció motorja.</w:t>
      </w:r>
    </w:p>
    <w:p w14:paraId="37B8A878" w14:textId="77777777" w:rsidR="00D65CB4" w:rsidRPr="00BC4EE7" w:rsidRDefault="00572307">
      <w:pPr>
        <w:pStyle w:val="P68B1DB1-Normal4"/>
        <w:numPr>
          <w:ilvl w:val="0"/>
          <w:numId w:val="66"/>
        </w:numPr>
        <w:spacing w:before="120" w:after="120" w:line="240" w:lineRule="auto"/>
        <w:ind w:left="993" w:hanging="284"/>
        <w:jc w:val="both"/>
        <w:rPr>
          <w:rFonts w:cs="Times New Roman"/>
          <w:noProof/>
        </w:rPr>
      </w:pPr>
      <w:r w:rsidRPr="00BC4EE7">
        <w:rPr>
          <w:rFonts w:cs="Times New Roman"/>
          <w:noProof/>
        </w:rPr>
        <w:t>Elegendő és fenntartható finanszírozás biztosítása a modern és fejlett társadalom új egészségügyi kihívásainak kezeléséhez, valamint a kiadások hatékonyságának biztosítása.</w:t>
      </w:r>
    </w:p>
    <w:p w14:paraId="4223E0CE" w14:textId="77777777" w:rsidR="00D65CB4" w:rsidRPr="00BC4EE7" w:rsidRDefault="00572307">
      <w:pPr>
        <w:pStyle w:val="P68B1DB1-Normal4"/>
        <w:numPr>
          <w:ilvl w:val="0"/>
          <w:numId w:val="66"/>
        </w:numPr>
        <w:spacing w:before="120" w:after="120" w:line="240" w:lineRule="auto"/>
        <w:ind w:left="993" w:hanging="284"/>
        <w:jc w:val="both"/>
        <w:rPr>
          <w:rFonts w:cs="Times New Roman"/>
          <w:noProof/>
        </w:rPr>
      </w:pPr>
      <w:r w:rsidRPr="00BC4EE7">
        <w:rPr>
          <w:rFonts w:cs="Times New Roman"/>
          <w:noProof/>
        </w:rPr>
        <w:t>A koordináció és a többszintű kormányzás megerősítése és fejlesztése a nemzeti egészségügyi rendszer irányításában, valamint a területi kohézió erősítése. Aktívan mozdítsa elő az egészségügyi rendszerben a nemek közötti egyenlőség megvalósítására irányuló stratégiákat.</w:t>
      </w:r>
    </w:p>
    <w:p w14:paraId="7574172C"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spanyol helyreállítási és rezilienciaépítési terv ezen komponense támogatja a világjárvány elleni hatékony küzdelemre, valamint az egészségügyi rendszer kapacitásának és rezilienciájának megerősítésére vonatkozó országspecifikus ajánlások végrehajtását az egészségügyi dolgozók, az alapvető egészségügyi termékek és infrastruktúra tekintetében (2020. évi 1. országspecifikus ajánlás), valamint a munkahelyek megőrzésére, a hatékony munkaerő-felvételi ösztönzőkre és a készségfejlesztésre irányuló intézkedések révén a foglalkoztatás támogatására (2020. évi 2. országspecifikus ajánlás).</w:t>
      </w:r>
    </w:p>
    <w:p w14:paraId="01A9F91C"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jelentős károkozás elkerülését célzó elvről szóló technikai iránymutatásnak (2021/C58/01) megfelelően a helyreállítási és rezilienciaépítési tervben meghatározott intézkedések leírását és a helyreállítási és rezilienciaépítési tervben meghatározott enyhítő lépéseket figyelembe véve ebben a komponensben várhatóan egyetlen intézkedés sem sérti jelentős mértékben az (EU) 2020/852 rendelet 17. cikke szerinti környezeti célkitűzéseket.</w:t>
      </w:r>
    </w:p>
    <w:p w14:paraId="70C6600A" w14:textId="77777777" w:rsidR="00D65CB4" w:rsidRPr="00BC4EE7" w:rsidRDefault="00572307">
      <w:pPr>
        <w:keepNext/>
        <w:spacing w:before="120" w:after="120" w:line="240" w:lineRule="auto"/>
        <w:jc w:val="both"/>
        <w:rPr>
          <w:rFonts w:ascii="Times New Roman" w:hAnsi="Times New Roman" w:cs="Times New Roman"/>
          <w:b/>
          <w:i/>
          <w:noProof/>
          <w:sz w:val="24"/>
        </w:rPr>
      </w:pPr>
      <w:r w:rsidRPr="00BC4EE7">
        <w:rPr>
          <w:rFonts w:ascii="Times New Roman" w:hAnsi="Times New Roman" w:cs="Times New Roman"/>
          <w:b/>
          <w:noProof/>
          <w:sz w:val="24"/>
          <w:u w:val="single"/>
        </w:rPr>
        <w:t xml:space="preserve">R.1.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Vissza nem térítendő pénzügyi támogatás – a reformok és beruházások ismertetése</w:t>
      </w:r>
    </w:p>
    <w:p w14:paraId="055F5AAC" w14:textId="77777777" w:rsidR="00D65CB4" w:rsidRPr="00BC4EE7" w:rsidRDefault="00572307">
      <w:pPr>
        <w:pStyle w:val="P68B1DB1-Normal5"/>
        <w:keepNext/>
        <w:spacing w:before="120" w:after="120" w:line="240" w:lineRule="auto"/>
        <w:jc w:val="both"/>
        <w:rPr>
          <w:rFonts w:cs="Times New Roman"/>
          <w:noProof/>
        </w:rPr>
      </w:pPr>
      <w:r w:rsidRPr="00BC4EE7">
        <w:rPr>
          <w:rFonts w:cs="Times New Roman"/>
          <w:noProof/>
        </w:rPr>
        <w:t>Reform (C18.R1) – Az alapellátás és a közösségi ellátás megerősítése</w:t>
      </w:r>
    </w:p>
    <w:p w14:paraId="36261AE1" w14:textId="77777777" w:rsidR="00D65CB4" w:rsidRPr="00BC4EE7" w:rsidRDefault="00572307">
      <w:pPr>
        <w:pStyle w:val="P68B1DB1-Normal4"/>
        <w:keepNext/>
        <w:spacing w:before="120" w:after="120" w:line="240" w:lineRule="auto"/>
        <w:jc w:val="both"/>
        <w:rPr>
          <w:rFonts w:cs="Times New Roman"/>
          <w:noProof/>
        </w:rPr>
      </w:pPr>
      <w:r w:rsidRPr="00BC4EE7">
        <w:rPr>
          <w:rFonts w:cs="Times New Roman"/>
          <w:noProof/>
        </w:rPr>
        <w:t>Az alapellátás megerősítése az elkövetkező években Spanyolország előtt álló egyik legfontosabb egészségügyi kihívás. E reform célja, hogy jobb válaszokat adjon az újonnan felmerülő egészségügyi problémákra, javítsa az ellátással kapcsolatos egyéni tapasztalatokat mindenki számára, megelőzze a betegségeket és növelje az alapellátás szerepét.</w:t>
      </w:r>
    </w:p>
    <w:p w14:paraId="6EE1EB86"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reform a központi kormány és az autonóm közösségek által 2019-ben elfogadott, az elsődleges és közösségi ellátás megerősítésére irányuló stratégiai keret kidolgozására irányuló cselekvési terv előkészítéséből és végrehajtásából áll. A cselekvési tervnek olyan cselekvési irányvonalak köré kell épülnie, amelyek keretében a projektek regionális végrehajtásának kereteit kell meghatározni. Ez magában foglalja a klinikai irányítási folyamatok javítását, az egészségügyi központok diagnosztikai berendezéseinek bővítését és megújítását, az informatikai fejlesztést, a szakemberek képzését vagy az egészségügyi központok, valamint az egészségügyi és sürgősségi szolgálatok infrastruktúrájának fejlesztését.  A cselekvési tervet a területközi tanács hagyja jóvá. Végrehajtását nem a helyreállítási és rezilienciaépítési terv finanszírozza. </w:t>
      </w:r>
    </w:p>
    <w:p w14:paraId="6C155FF3"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Az intézkedés végrehajtását 2023. december 31-ig be kell fejezni. </w:t>
      </w:r>
    </w:p>
    <w:p w14:paraId="0B0ED941"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Reform (C18.R2) – A közegészségügyi rendszer reformja</w:t>
      </w:r>
    </w:p>
    <w:p w14:paraId="53B13C59"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reform célja a közegészségügy általános és integrált keretének létrehozása. Célja egy ambiciózusabb, integráltabb és jobban kidolgozott közegészségügyi rendszer kialakítása a következő intézkedések révén:</w:t>
      </w:r>
    </w:p>
    <w:p w14:paraId="516502D7" w14:textId="77777777" w:rsidR="00D65CB4" w:rsidRPr="00BC4EE7" w:rsidRDefault="00572307">
      <w:pPr>
        <w:spacing w:before="120" w:after="120" w:line="240" w:lineRule="auto"/>
        <w:ind w:left="850" w:hanging="425"/>
        <w:jc w:val="both"/>
        <w:rPr>
          <w:rFonts w:ascii="Times New Roman" w:hAnsi="Times New Roman" w:cs="Times New Roman"/>
          <w:noProof/>
          <w:sz w:val="24"/>
        </w:rPr>
      </w:pPr>
      <w:r w:rsidRPr="00BC4EE7">
        <w:rPr>
          <w:rFonts w:ascii="Times New Roman" w:hAnsi="Times New Roman" w:cs="Times New Roman"/>
          <w:noProof/>
          <w:sz w:val="24"/>
        </w:rPr>
        <w:t>-</w:t>
      </w:r>
      <w:r w:rsidRPr="00BC4EE7">
        <w:rPr>
          <w:rFonts w:ascii="Times New Roman" w:hAnsi="Times New Roman" w:cs="Times New Roman"/>
          <w:noProof/>
        </w:rPr>
        <w:t xml:space="preserve"> </w:t>
      </w:r>
      <w:r w:rsidRPr="00BC4EE7">
        <w:rPr>
          <w:rFonts w:ascii="Times New Roman" w:hAnsi="Times New Roman" w:cs="Times New Roman"/>
          <w:noProof/>
          <w:sz w:val="24"/>
        </w:rPr>
        <w:t>Közegészségügyi stratégia, amely olyan általános és integrált keretet hoz létre, amelyet valamennyi közegészségügyi politikában figyelembe vesznek, és ötéves időtartamra szól, és amelynek keretében kétévente időközi értékeléseket kell végezni, amelyekben elemezni kell a végrehajtás mértékét.</w:t>
      </w:r>
      <w:r w:rsidRPr="00BC4EE7">
        <w:rPr>
          <w:rFonts w:ascii="Times New Roman" w:hAnsi="Times New Roman" w:cs="Times New Roman"/>
          <w:noProof/>
          <w:sz w:val="18"/>
        </w:rPr>
        <w:t xml:space="preserve"> </w:t>
      </w:r>
      <w:r w:rsidRPr="00BC4EE7">
        <w:rPr>
          <w:rFonts w:ascii="Times New Roman" w:hAnsi="Times New Roman" w:cs="Times New Roman"/>
          <w:noProof/>
          <w:sz w:val="24"/>
        </w:rPr>
        <w:t>A stratégiát a nemzeti egészségügyi rendszer területközi tanácsának egyetértésével kell jóváhagyni.</w:t>
      </w:r>
    </w:p>
    <w:p w14:paraId="2B2ACA26" w14:textId="77777777" w:rsidR="00D65CB4" w:rsidRPr="00BC4EE7" w:rsidRDefault="00572307">
      <w:pPr>
        <w:spacing w:before="120" w:after="120" w:line="240" w:lineRule="auto"/>
        <w:ind w:left="850" w:hanging="425"/>
        <w:jc w:val="both"/>
        <w:rPr>
          <w:rFonts w:ascii="Times New Roman" w:hAnsi="Times New Roman" w:cs="Times New Roman"/>
          <w:noProof/>
          <w:sz w:val="24"/>
        </w:rPr>
      </w:pPr>
      <w:r w:rsidRPr="00BC4EE7">
        <w:rPr>
          <w:rFonts w:ascii="Times New Roman" w:hAnsi="Times New Roman" w:cs="Times New Roman"/>
          <w:noProof/>
          <w:sz w:val="24"/>
        </w:rPr>
        <w:t>-</w:t>
      </w:r>
      <w:r w:rsidRPr="00BC4EE7">
        <w:rPr>
          <w:rFonts w:ascii="Times New Roman" w:hAnsi="Times New Roman" w:cs="Times New Roman"/>
          <w:noProof/>
        </w:rPr>
        <w:t xml:space="preserve"> </w:t>
      </w:r>
      <w:r w:rsidRPr="00BC4EE7">
        <w:rPr>
          <w:rFonts w:ascii="Times New Roman" w:hAnsi="Times New Roman" w:cs="Times New Roman"/>
          <w:noProof/>
          <w:sz w:val="24"/>
        </w:rPr>
        <w:t>Közegészségügyi felügyeleti hálózat és egy új állami közegészségügyi központ, amelyet törvény vagy királyi rendelet hoz létre.</w:t>
      </w:r>
    </w:p>
    <w:p w14:paraId="2399D7B1"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Az intézkedés végrehajtását 2023. december 31-ig be kell fejezni.</w:t>
      </w:r>
    </w:p>
    <w:p w14:paraId="5FF46A81"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Reform (C18.) R3 – A kohézió, a méltányosság és az egyetemesség megerősítése</w:t>
      </w:r>
    </w:p>
    <w:p w14:paraId="3EA6C276"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 reform célja, hogy tovább erősítse az egyetemes egészségügyi ellátáshoz való hozzáférést Spanyolországban, az egészségügyi ellátáshoz való hozzáférés egyenlőségét és az egészségügyi ellátás kohézióját az ország különböző területei között. A reform három pillérből áll:</w:t>
      </w:r>
    </w:p>
    <w:p w14:paraId="1E7EFC6A" w14:textId="77777777" w:rsidR="00D65CB4" w:rsidRPr="00BC4EE7" w:rsidRDefault="00572307">
      <w:pPr>
        <w:spacing w:before="120" w:after="120" w:line="240" w:lineRule="auto"/>
        <w:ind w:left="850" w:hanging="425"/>
        <w:jc w:val="both"/>
        <w:rPr>
          <w:rFonts w:ascii="Times New Roman" w:hAnsi="Times New Roman" w:cs="Times New Roman"/>
          <w:noProof/>
          <w:sz w:val="24"/>
        </w:rPr>
      </w:pPr>
      <w:r w:rsidRPr="00BC4EE7">
        <w:rPr>
          <w:rFonts w:ascii="Times New Roman" w:hAnsi="Times New Roman" w:cs="Times New Roman"/>
          <w:noProof/>
          <w:sz w:val="24"/>
        </w:rPr>
        <w:t>-</w:t>
      </w:r>
      <w:r w:rsidRPr="00BC4EE7">
        <w:rPr>
          <w:rFonts w:ascii="Times New Roman" w:hAnsi="Times New Roman" w:cs="Times New Roman"/>
          <w:noProof/>
        </w:rPr>
        <w:t xml:space="preserve"> </w:t>
      </w:r>
      <w:r w:rsidRPr="00BC4EE7">
        <w:rPr>
          <w:rFonts w:ascii="Times New Roman" w:hAnsi="Times New Roman" w:cs="Times New Roman"/>
          <w:noProof/>
          <w:sz w:val="24"/>
        </w:rPr>
        <w:t>A nemzeti egészségügyi rendszer méltányosságáról, egyetemességéről és kohéziójáról szóló törvény. A törvény céljai a következők: i) az egészségügyi ellátáshoz való hozzáférés biztosítása mindenki számára, ii. a betegek képviselőinek integrálása a spanyol nemzeti egészségügyi rendszer irányító szerveibe, iii. az új hozzájárulások alkalmazásának korlátozása, iv. a szociális és egészségügyi előnyök fogalommeghatározásának megváltoztatása a nemzeti egészségügyi rendszer szolgáltatási portfóliójában, v. az egészségügyi és szociális hatóságok közötti koordináció biztosítása, vi. a terület valamennyi szabályozási változására vonatkozó hatásvizsgálat bevezetése, valamint vii. a gyógyszerek használatának reformja a nemzeti egészségügyi rendszerben. Ezt a törvényt részletes hatásvizsgálatnak kell kísérnie, amely megvizsgálja annak az államháztartás hosszú távú fenntarthatóságára gyakorolt hatásait is, és azt nyilvánosságra kell hozni.</w:t>
      </w:r>
    </w:p>
    <w:p w14:paraId="08A6364B" w14:textId="77777777" w:rsidR="00D65CB4" w:rsidRPr="00BC4EE7" w:rsidRDefault="00572307">
      <w:pPr>
        <w:spacing w:before="120" w:after="120" w:line="240" w:lineRule="auto"/>
        <w:ind w:left="850" w:hanging="425"/>
        <w:jc w:val="both"/>
        <w:rPr>
          <w:rFonts w:ascii="Times New Roman" w:hAnsi="Times New Roman" w:cs="Times New Roman"/>
          <w:noProof/>
          <w:sz w:val="24"/>
        </w:rPr>
      </w:pPr>
      <w:r w:rsidRPr="00BC4EE7">
        <w:rPr>
          <w:rFonts w:ascii="Times New Roman" w:hAnsi="Times New Roman" w:cs="Times New Roman"/>
          <w:noProof/>
          <w:sz w:val="24"/>
        </w:rPr>
        <w:t>-</w:t>
      </w:r>
      <w:r w:rsidRPr="00BC4EE7">
        <w:rPr>
          <w:rFonts w:ascii="Times New Roman" w:hAnsi="Times New Roman" w:cs="Times New Roman"/>
          <w:noProof/>
        </w:rPr>
        <w:t xml:space="preserve"> </w:t>
      </w:r>
      <w:r w:rsidRPr="00BC4EE7">
        <w:rPr>
          <w:rFonts w:ascii="Times New Roman" w:hAnsi="Times New Roman" w:cs="Times New Roman"/>
          <w:noProof/>
          <w:sz w:val="24"/>
        </w:rPr>
        <w:t xml:space="preserve">Az egészségügyi rendszerben a rendkívül összetett ellátás orientációja a kapcsolattartó pontok hálózatának (CSUR) megszilárdítása és fejlesztése, valamint a rendkívül összetett, nem a CSUR-ellátás átszervezése révén. </w:t>
      </w:r>
    </w:p>
    <w:p w14:paraId="6B7D8F2B" w14:textId="77777777" w:rsidR="00D65CB4" w:rsidRPr="00BC4EE7" w:rsidRDefault="00572307">
      <w:pPr>
        <w:spacing w:before="120" w:after="120" w:line="240" w:lineRule="auto"/>
        <w:ind w:left="850" w:hanging="425"/>
        <w:jc w:val="both"/>
        <w:rPr>
          <w:rFonts w:ascii="Times New Roman" w:hAnsi="Times New Roman" w:cs="Times New Roman"/>
          <w:noProof/>
          <w:sz w:val="24"/>
        </w:rPr>
      </w:pPr>
      <w:r w:rsidRPr="00BC4EE7">
        <w:rPr>
          <w:rFonts w:ascii="Times New Roman" w:hAnsi="Times New Roman" w:cs="Times New Roman"/>
          <w:noProof/>
          <w:sz w:val="24"/>
        </w:rPr>
        <w:t>-</w:t>
      </w:r>
      <w:r w:rsidRPr="00BC4EE7">
        <w:rPr>
          <w:rFonts w:ascii="Times New Roman" w:hAnsi="Times New Roman" w:cs="Times New Roman"/>
          <w:noProof/>
        </w:rPr>
        <w:t xml:space="preserve"> </w:t>
      </w:r>
      <w:r w:rsidRPr="00BC4EE7">
        <w:rPr>
          <w:rFonts w:ascii="Times New Roman" w:hAnsi="Times New Roman" w:cs="Times New Roman"/>
          <w:noProof/>
          <w:sz w:val="24"/>
        </w:rPr>
        <w:t>A közegészségügyi szolgáltatások közös portfóliójának bővítése. E reformnak ki kell terjesztenie és javítania kell a közös portfólió szolgáltatásait a fogorvosi ellátás, a genomikus orvoslás, az ortopédiai és protézisgondozás, valamint a megelőző ellátás terén.</w:t>
      </w:r>
    </w:p>
    <w:p w14:paraId="4AEA601A"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Az intézkedés végrehajtását 2023. december 31-ig be kell fejezni. </w:t>
      </w:r>
    </w:p>
    <w:p w14:paraId="1C75AC79"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Reform (C18.) R4) – A szakmai készségek megerősítése és az ideiglenes foglalkoztatás csökkentése</w:t>
      </w:r>
    </w:p>
    <w:p w14:paraId="69666E6E"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reform célja az ápolók és orvosok hiányának kezelése, az ideiglenes szerződések alkalmazásának csökkentése, a munkakörülmények javítása, valamint a képzés és a szakmai fejlődés javítása. </w:t>
      </w:r>
    </w:p>
    <w:p w14:paraId="19A74EF3"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reform két területre terjed ki:</w:t>
      </w:r>
    </w:p>
    <w:p w14:paraId="5AEB2DA0" w14:textId="18D87F40" w:rsidR="00D65CB4" w:rsidRPr="00BC4EE7" w:rsidRDefault="00572307">
      <w:pPr>
        <w:pStyle w:val="P68B1DB1-Normal4"/>
        <w:numPr>
          <w:ilvl w:val="0"/>
          <w:numId w:val="130"/>
        </w:numPr>
        <w:spacing w:before="120" w:after="160" w:line="259" w:lineRule="auto"/>
        <w:ind w:left="1134" w:hanging="425"/>
        <w:jc w:val="both"/>
        <w:rPr>
          <w:rFonts w:cs="Times New Roman"/>
          <w:noProof/>
        </w:rPr>
      </w:pPr>
      <w:r w:rsidRPr="00BC4EE7">
        <w:rPr>
          <w:rFonts w:cs="Times New Roman"/>
          <w:noProof/>
        </w:rPr>
        <w:t>Az egészségügyi dolgozókra vonatkozó spanyol törvény (az egészségügyi szolgálatok törvényes alkalmazottaira vonatkozó keretszabályzat) módosítása az ideiglenes foglalkoztatás csökkentése érdekében.  A törvénymódosítás során jelentést kell készíteni a törvény gazdasági hatásáról, és különösen az államháztartás fenntarthatóságáról szóló törvény hosszú távú hatásairól. A módosítást egyéb, jogilag kötelező erejű szabályokkal és kísérő intézkedésekkel kell kiegészíteni a következők érdekében:</w:t>
      </w:r>
    </w:p>
    <w:p w14:paraId="25ABDE0A" w14:textId="5EA1AB79" w:rsidR="00D65CB4" w:rsidRPr="00BC4EE7" w:rsidRDefault="00572307">
      <w:pPr>
        <w:pStyle w:val="P68B1DB1-Normal4"/>
        <w:numPr>
          <w:ilvl w:val="8"/>
          <w:numId w:val="130"/>
        </w:numPr>
        <w:spacing w:before="120" w:after="160" w:line="259" w:lineRule="auto"/>
        <w:jc w:val="both"/>
        <w:rPr>
          <w:rFonts w:cs="Times New Roman"/>
          <w:noProof/>
        </w:rPr>
      </w:pPr>
      <w:r w:rsidRPr="00BC4EE7">
        <w:rPr>
          <w:rFonts w:cs="Times New Roman"/>
          <w:noProof/>
        </w:rPr>
        <w:t xml:space="preserve">Annak biztosítása, hogy a szakemberek kiküldése bizonyos földrajzi területeken ösztönző intézkedések révén nem volt kellően kiszolgálva. </w:t>
      </w:r>
    </w:p>
    <w:p w14:paraId="428C83B7" w14:textId="600D2F0B" w:rsidR="00D65CB4" w:rsidRPr="00BC4EE7" w:rsidRDefault="00572307">
      <w:pPr>
        <w:pStyle w:val="P68B1DB1-Normal4"/>
        <w:numPr>
          <w:ilvl w:val="8"/>
          <w:numId w:val="130"/>
        </w:numPr>
        <w:spacing w:before="120" w:after="160" w:line="259" w:lineRule="auto"/>
        <w:jc w:val="both"/>
        <w:rPr>
          <w:rFonts w:cs="Times New Roman"/>
          <w:noProof/>
        </w:rPr>
      </w:pPr>
      <w:r w:rsidRPr="00BC4EE7">
        <w:rPr>
          <w:rFonts w:cs="Times New Roman"/>
          <w:noProof/>
        </w:rPr>
        <w:t xml:space="preserve">A környezet és a munkakörülmények javítása olyan intézkedések révén, amelyek hozzájárulnak a szakmai fejlődéshez és megőrzik a tehetségeket a spanyol rendszerben, nemcsak a gazdasági feltételek javulásával, hanem azáltal is, hogy lehetőségeket nyitnak meg az egészségügy, az oktatás és a kutatás területén. </w:t>
      </w:r>
    </w:p>
    <w:p w14:paraId="23A5C93E" w14:textId="5E610F2E" w:rsidR="00D65CB4" w:rsidRPr="00BC4EE7" w:rsidRDefault="00572307">
      <w:pPr>
        <w:pStyle w:val="P68B1DB1-Normal4"/>
        <w:numPr>
          <w:ilvl w:val="0"/>
          <w:numId w:val="130"/>
        </w:numPr>
        <w:spacing w:before="120" w:after="160" w:line="259" w:lineRule="auto"/>
        <w:ind w:left="1134" w:hanging="425"/>
        <w:contextualSpacing/>
        <w:jc w:val="both"/>
        <w:rPr>
          <w:rFonts w:cs="Times New Roman"/>
          <w:noProof/>
        </w:rPr>
      </w:pPr>
      <w:r w:rsidRPr="00BC4EE7">
        <w:rPr>
          <w:rFonts w:cs="Times New Roman"/>
          <w:noProof/>
        </w:rPr>
        <w:t>A speciális egészségügyi képzési rendszer javítását célzó királyi rendelet hatálybalépése. A királyi rendelet szabályozza a több területet érintő egészségtudományi szakképzést, a speciális képzési területeket, valamint az egészségtudományi szakképesítések érvényesítési és elismerési eljárását.</w:t>
      </w:r>
    </w:p>
    <w:p w14:paraId="2A26071F" w14:textId="77777777" w:rsidR="00D65CB4" w:rsidRPr="00BC4EE7" w:rsidRDefault="00D65CB4">
      <w:pPr>
        <w:spacing w:before="120" w:after="160" w:line="259" w:lineRule="auto"/>
        <w:ind w:left="1134"/>
        <w:contextualSpacing/>
        <w:jc w:val="both"/>
        <w:rPr>
          <w:rFonts w:ascii="Times New Roman" w:hAnsi="Times New Roman" w:cs="Times New Roman"/>
          <w:noProof/>
        </w:rPr>
      </w:pPr>
    </w:p>
    <w:p w14:paraId="0FEC0190"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Ez a reform a 11. komponens 1. reformjához kapcsolódik (C11.R1). </w:t>
      </w:r>
    </w:p>
    <w:p w14:paraId="6C04A7DC"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Az intézkedés végrehajtását 2023. december 31-ig be kell fejezni.</w:t>
      </w:r>
    </w:p>
    <w:p w14:paraId="09A885C2"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Reform (C18.R5) – A gyógyszerek szabályozásának reformja és a gyógyszerekhez való hozzáférés javítása</w:t>
      </w:r>
    </w:p>
    <w:p w14:paraId="21200712"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 reform fő célja a gyógyszerekre és orvostechnikai eszközökre vonatkozó spanyol szabályozási keret naprakésszé tétele a gyógyszerek és orvostechnikai eszközök garanciáiról és racionális használatáról szóló törvény (a július 24-i 1/2015. sz. királyi törvényerejű rendelet) módosítása révén, amely jelenleg a releváns spanyolországi szabályozási keretet létrehozó jogszabály.  A rendszert különösen úgy kell kiigazítani, hogy megbirkózzon az új, diszruptív tudományos fejleményekkel, elmélyítse a gyógyszerészeti kiadások racionalizálására, a gyógyszerek észszerű használatának ösztönzésére és a világjárvány során szerzett tapasztalatokra tekintettel változtatásokra irányuló intézkedéseket. A törvény kidolgozása során jelentést kell készíteni a törvény gazdasági hatásáról, és különösen az államháztartás fenntarthatóságáról szóló törvény hosszú távú hatásairól. </w:t>
      </w:r>
    </w:p>
    <w:p w14:paraId="64BBFBBA" w14:textId="04C32DBA" w:rsidR="00D65CB4" w:rsidRPr="00BC4EE7" w:rsidRDefault="00572307">
      <w:pPr>
        <w:pStyle w:val="P68B1DB1-Normal4"/>
        <w:spacing w:before="120" w:after="120" w:line="240" w:lineRule="auto"/>
        <w:jc w:val="both"/>
        <w:rPr>
          <w:rFonts w:cs="Times New Roman"/>
          <w:noProof/>
        </w:rPr>
      </w:pPr>
      <w:r w:rsidRPr="00BC4EE7">
        <w:rPr>
          <w:rFonts w:cs="Times New Roman"/>
          <w:noProof/>
        </w:rPr>
        <w:t>Az intézkedés végrehajtását 2023. december 31-ig be kell fejezni.</w:t>
      </w:r>
    </w:p>
    <w:p w14:paraId="1AB505A2" w14:textId="77777777" w:rsidR="00D65CB4" w:rsidRPr="00BC4EE7" w:rsidRDefault="00572307">
      <w:pPr>
        <w:pStyle w:val="P68B1DB1-Normal5"/>
        <w:keepNext/>
        <w:spacing w:before="120" w:after="120" w:line="240" w:lineRule="auto"/>
        <w:jc w:val="both"/>
        <w:rPr>
          <w:rFonts w:cs="Times New Roman"/>
          <w:noProof/>
        </w:rPr>
      </w:pPr>
      <w:r w:rsidRPr="00BC4EE7">
        <w:rPr>
          <w:rFonts w:cs="Times New Roman"/>
          <w:noProof/>
        </w:rPr>
        <w:t>Beruházás (C18.I1) – A csúcstechnológiai berendezésekre vonatkozó beruházási terv a nemzeti egészségügyi rendszerben</w:t>
      </w:r>
    </w:p>
    <w:p w14:paraId="2DA5E361" w14:textId="77777777" w:rsidR="00D65CB4" w:rsidRPr="00BC4EE7" w:rsidRDefault="00572307">
      <w:pPr>
        <w:pStyle w:val="P68B1DB1-Normal4"/>
        <w:keepNext/>
        <w:spacing w:before="120" w:after="120" w:line="240" w:lineRule="auto"/>
        <w:jc w:val="both"/>
        <w:rPr>
          <w:rFonts w:cs="Times New Roman"/>
          <w:noProof/>
        </w:rPr>
      </w:pPr>
      <w:r w:rsidRPr="00BC4EE7">
        <w:rPr>
          <w:rFonts w:cs="Times New Roman"/>
          <w:noProof/>
        </w:rPr>
        <w:t>Spanyolországban a berendezések elavulása meghaladja az európai átlagot, és alacsonyabb az egy lakosra jutó eszközsűrűség, néhány kivételtől eltekintve, mint például az MRI-szkennerek. A berendezések földrajzi eloszlása is kiegyensúlyozatlan. E beruházás célja a meglévő berendezések megújítása és további csúcstechnológiai orvosi berendezések biztosítása Spanyolország számára.</w:t>
      </w:r>
    </w:p>
    <w:p w14:paraId="5010DDAC"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beruházás a következőkre terjed ki:</w:t>
      </w:r>
    </w:p>
    <w:p w14:paraId="3214FCBB" w14:textId="77777777" w:rsidR="00D65CB4" w:rsidRPr="00BC4EE7" w:rsidRDefault="00572307">
      <w:pPr>
        <w:spacing w:before="120" w:after="120" w:line="240" w:lineRule="auto"/>
        <w:ind w:left="709"/>
        <w:jc w:val="both"/>
        <w:rPr>
          <w:rFonts w:ascii="Times New Roman" w:hAnsi="Times New Roman" w:cs="Times New Roman"/>
          <w:noProof/>
          <w:sz w:val="24"/>
        </w:rPr>
      </w:pPr>
      <w:r w:rsidRPr="00BC4EE7">
        <w:rPr>
          <w:rFonts w:ascii="Times New Roman" w:hAnsi="Times New Roman" w:cs="Times New Roman"/>
          <w:noProof/>
          <w:sz w:val="24"/>
        </w:rPr>
        <w:t>-</w:t>
      </w:r>
      <w:r w:rsidRPr="00BC4EE7">
        <w:rPr>
          <w:rFonts w:ascii="Times New Roman" w:hAnsi="Times New Roman" w:cs="Times New Roman"/>
          <w:noProof/>
        </w:rPr>
        <w:t xml:space="preserve"> </w:t>
      </w:r>
      <w:r w:rsidRPr="00BC4EE7">
        <w:rPr>
          <w:rFonts w:ascii="Times New Roman" w:hAnsi="Times New Roman" w:cs="Times New Roman"/>
          <w:noProof/>
          <w:sz w:val="24"/>
        </w:rPr>
        <w:t>Berendezések felújítása elavulás miatt.</w:t>
      </w:r>
    </w:p>
    <w:p w14:paraId="6A306554" w14:textId="77777777" w:rsidR="00D65CB4" w:rsidRPr="00BC4EE7" w:rsidRDefault="00572307">
      <w:pPr>
        <w:spacing w:before="120" w:after="120" w:line="240" w:lineRule="auto"/>
        <w:ind w:left="1418" w:hanging="709"/>
        <w:jc w:val="both"/>
        <w:rPr>
          <w:rFonts w:ascii="Times New Roman" w:hAnsi="Times New Roman" w:cs="Times New Roman"/>
          <w:noProof/>
          <w:sz w:val="24"/>
        </w:rPr>
      </w:pPr>
      <w:r w:rsidRPr="00BC4EE7">
        <w:rPr>
          <w:rFonts w:ascii="Times New Roman" w:hAnsi="Times New Roman" w:cs="Times New Roman"/>
          <w:noProof/>
          <w:sz w:val="24"/>
        </w:rPr>
        <w:t>-</w:t>
      </w:r>
      <w:r w:rsidRPr="00BC4EE7">
        <w:rPr>
          <w:rFonts w:ascii="Times New Roman" w:hAnsi="Times New Roman" w:cs="Times New Roman"/>
          <w:noProof/>
        </w:rPr>
        <w:t xml:space="preserve"> </w:t>
      </w:r>
      <w:r w:rsidRPr="00BC4EE7">
        <w:rPr>
          <w:rFonts w:ascii="Times New Roman" w:hAnsi="Times New Roman" w:cs="Times New Roman"/>
          <w:noProof/>
          <w:sz w:val="24"/>
        </w:rPr>
        <w:t>A felszerelésállomány bővítése a régióközi különbségek kiegyenlítése és az egymillió lakosra jutó európai uniós átlag fokozatos elérése érdekében, különös tekintettel a spanyol területek azon területeire, amelyek egy lakosra jutó száma a nemzeti átlaghoz képest alulszolgált.</w:t>
      </w:r>
    </w:p>
    <w:p w14:paraId="5DAC27B9" w14:textId="618C19F0" w:rsidR="00D65CB4" w:rsidRPr="00BC4EE7" w:rsidRDefault="00572307">
      <w:pPr>
        <w:pStyle w:val="P68B1DB1-Normal4"/>
        <w:spacing w:before="120" w:after="120" w:line="240" w:lineRule="auto"/>
        <w:jc w:val="both"/>
        <w:rPr>
          <w:rFonts w:cs="Times New Roman"/>
          <w:noProof/>
        </w:rPr>
      </w:pPr>
      <w:r w:rsidRPr="00BC4EE7">
        <w:rPr>
          <w:rFonts w:cs="Times New Roman"/>
          <w:noProof/>
        </w:rPr>
        <w:t>A tervnek a következő típusú berendezéseket kell tartalmaznia: lineáris gyorsítók, számítógépes axiális tomográfia (CAT), beleértve a tervezési gyorsítókat is; mágneses rezonancia, pozitron emissziós tomográfia (PET), pozitronmissziós tomográfia és CAT (PET-CAT), gammakamra, digitális braquiterápiás berendezések, érrendszeri angiográfia, neurorradiológiai angiográfia és hemodinamikai helyiségek.</w:t>
      </w:r>
    </w:p>
    <w:p w14:paraId="307CC6BD"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beruházás végrehajtását 2023. december 31-ig be kell fejezni.</w:t>
      </w:r>
    </w:p>
    <w:p w14:paraId="3DE11508"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(C18.I2) – A megelőzést és az egészségfejlesztést erősítő intézkedések</w:t>
      </w:r>
    </w:p>
    <w:p w14:paraId="7EF09B9C"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 beruházás célja a megelőző ellátás megerősítése. Különösen az egészséges életmód és környezet előmozdítására összpontosít. Olyan területekre kell kiterjednie, mint például: a dohányzás elleni küzdelem, az alkoholfogyasztás megelőzése, a mentális egészség előmozdítása, az egészséges életkörnyezet és életmód előmozdítása, az antimikrobiális rezisztencia terve és a rák megelőzése, beleértve a rák elleni európai kódex terjesztését.</w:t>
      </w:r>
    </w:p>
    <w:p w14:paraId="6F8EA95A"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beruházás végrehajtását 2023. december 31-ig be kell fejezni.</w:t>
      </w:r>
    </w:p>
    <w:p w14:paraId="4F03E14C"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(C18.I3) – Az egészségügyi válságokra való reagálási képességek növelése</w:t>
      </w:r>
    </w:p>
    <w:p w14:paraId="62E70756"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világjárvány rávilágított arra, hogy meg kell erősíteni a kritikus helyzetek felügyeletére, korai észlelésére és az azokra való gyors reagálásra irányuló kapacitásokat, valamint hogy meg kell erősíteni a laboratóriumok és az egészségügyi intézmények kapacitásait. Ez a beruházás a jövőbeli egészségügyi válságokra való reagálási képesség növelését célzó intézkedéscsomagból áll:</w:t>
      </w:r>
    </w:p>
    <w:p w14:paraId="54114934" w14:textId="77777777" w:rsidR="00D65CB4" w:rsidRPr="00BC4EE7" w:rsidRDefault="00572307">
      <w:pPr>
        <w:pStyle w:val="P68B1DB1-Normal4"/>
        <w:spacing w:before="120" w:after="120" w:line="240" w:lineRule="auto"/>
        <w:ind w:left="720"/>
        <w:jc w:val="both"/>
        <w:rPr>
          <w:rFonts w:cs="Times New Roman"/>
          <w:noProof/>
        </w:rPr>
      </w:pPr>
      <w:r w:rsidRPr="00BC4EE7">
        <w:rPr>
          <w:rFonts w:cs="Times New Roman"/>
          <w:noProof/>
        </w:rPr>
        <w:t>1. Az új állami közegészségügyi központ felszerelése;</w:t>
      </w:r>
    </w:p>
    <w:p w14:paraId="36323D5D" w14:textId="77777777" w:rsidR="00D65CB4" w:rsidRPr="00BC4EE7" w:rsidRDefault="00572307">
      <w:pPr>
        <w:pStyle w:val="P68B1DB1-Normal4"/>
        <w:spacing w:before="120" w:after="120" w:line="240" w:lineRule="auto"/>
        <w:ind w:left="720"/>
        <w:jc w:val="both"/>
        <w:rPr>
          <w:rFonts w:cs="Times New Roman"/>
          <w:noProof/>
        </w:rPr>
      </w:pPr>
      <w:r w:rsidRPr="00BC4EE7">
        <w:rPr>
          <w:rFonts w:cs="Times New Roman"/>
          <w:noProof/>
        </w:rPr>
        <w:t>2. Közegészségügyi felügyeleti információs rendszer, amely kibővíti, javítja és integrálja a spanyolországi fertőző és nem fertőző betegségekre vonatkozó meglévő információs rendszereket;</w:t>
      </w:r>
    </w:p>
    <w:p w14:paraId="4068DAB9" w14:textId="77777777" w:rsidR="00D65CB4" w:rsidRPr="00BC4EE7" w:rsidRDefault="00572307">
      <w:pPr>
        <w:pStyle w:val="P68B1DB1-Normal4"/>
        <w:spacing w:before="120" w:after="120" w:line="240" w:lineRule="auto"/>
        <w:ind w:left="720"/>
        <w:jc w:val="both"/>
        <w:rPr>
          <w:rFonts w:cs="Times New Roman"/>
          <w:noProof/>
        </w:rPr>
      </w:pPr>
      <w:r w:rsidRPr="00BC4EE7">
        <w:rPr>
          <w:rFonts w:cs="Times New Roman"/>
          <w:noProof/>
        </w:rPr>
        <w:t>3. A Melillai Egyetemi Kórház befejezése és a Nemzeti Dozimetriai Központ új épületének építése;</w:t>
      </w:r>
    </w:p>
    <w:p w14:paraId="119BBF0E" w14:textId="56CBE7F9" w:rsidR="00D65CB4" w:rsidRPr="00BC4EE7" w:rsidRDefault="00572307">
      <w:pPr>
        <w:pStyle w:val="P68B1DB1-Normal4"/>
        <w:spacing w:before="120" w:after="120" w:line="240" w:lineRule="auto"/>
        <w:ind w:left="720"/>
        <w:jc w:val="both"/>
        <w:rPr>
          <w:rFonts w:cs="Times New Roman"/>
          <w:noProof/>
        </w:rPr>
      </w:pPr>
      <w:r w:rsidRPr="00BC4EE7">
        <w:rPr>
          <w:rFonts w:cs="Times New Roman"/>
          <w:noProof/>
        </w:rPr>
        <w:t>4. Az Országos Munkahelyi Biztonsági és Egészségvédelmi Intézet egyéni védőeszközöket vizsgáló laboratóriuma kapacitásának növelése;</w:t>
      </w:r>
    </w:p>
    <w:p w14:paraId="1EFD3961" w14:textId="4EBDF077" w:rsidR="00D65CB4" w:rsidRPr="00BC4EE7" w:rsidRDefault="00572307">
      <w:pPr>
        <w:pStyle w:val="P68B1DB1-Normal4"/>
        <w:spacing w:before="120" w:after="120" w:line="240" w:lineRule="auto"/>
        <w:ind w:left="720"/>
        <w:jc w:val="both"/>
        <w:rPr>
          <w:rFonts w:cs="Times New Roman"/>
          <w:noProof/>
        </w:rPr>
      </w:pPr>
      <w:r w:rsidRPr="00BC4EE7">
        <w:rPr>
          <w:rFonts w:cs="Times New Roman"/>
          <w:noProof/>
        </w:rPr>
        <w:t>5. A Nemzeti Élelmiszerközpont megerősítése;</w:t>
      </w:r>
    </w:p>
    <w:p w14:paraId="738F080A" w14:textId="77777777" w:rsidR="00D65CB4" w:rsidRPr="00BC4EE7" w:rsidRDefault="00572307">
      <w:pPr>
        <w:pStyle w:val="P68B1DB1-Normal4"/>
        <w:spacing w:before="120" w:after="120" w:line="240" w:lineRule="auto"/>
        <w:ind w:left="720"/>
        <w:jc w:val="both"/>
        <w:rPr>
          <w:rFonts w:cs="Times New Roman"/>
          <w:noProof/>
        </w:rPr>
      </w:pPr>
      <w:r w:rsidRPr="00BC4EE7">
        <w:rPr>
          <w:rFonts w:cs="Times New Roman"/>
          <w:noProof/>
        </w:rPr>
        <w:t>6. Technológiai beruházások a Gyógyszerügynökségnél és a Nemzeti Transzplantációs Szervezetnél;</w:t>
      </w:r>
    </w:p>
    <w:p w14:paraId="5134649D" w14:textId="77777777" w:rsidR="00D65CB4" w:rsidRPr="00BC4EE7" w:rsidRDefault="00572307">
      <w:pPr>
        <w:pStyle w:val="P68B1DB1-Normal4"/>
        <w:spacing w:before="120" w:after="120" w:line="240" w:lineRule="auto"/>
        <w:ind w:left="720"/>
        <w:jc w:val="both"/>
        <w:rPr>
          <w:rFonts w:cs="Times New Roman"/>
          <w:noProof/>
        </w:rPr>
      </w:pPr>
      <w:r w:rsidRPr="00BC4EE7">
        <w:rPr>
          <w:rFonts w:cs="Times New Roman"/>
          <w:noProof/>
        </w:rPr>
        <w:t>7. A nemzeti egészségügyi rendszer világjárvány alatti teljesítményének értékelése.</w:t>
      </w:r>
    </w:p>
    <w:p w14:paraId="69794899" w14:textId="236625D9"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beruházás végrehajtását 2025. december 31-ig be kell fejezni. </w:t>
      </w:r>
    </w:p>
    <w:p w14:paraId="6CE2FA0F" w14:textId="77777777" w:rsidR="00D65CB4" w:rsidRPr="00BC4EE7" w:rsidRDefault="00572307">
      <w:pPr>
        <w:keepNext/>
        <w:spacing w:before="120" w:after="120" w:line="240" w:lineRule="auto"/>
        <w:jc w:val="both"/>
        <w:rPr>
          <w:rFonts w:ascii="Times New Roman" w:hAnsi="Times New Roman" w:cs="Times New Roman"/>
          <w:noProof/>
          <w:sz w:val="24"/>
          <w:u w:val="single"/>
        </w:rPr>
      </w:pPr>
      <w:r w:rsidRPr="00BC4EE7">
        <w:rPr>
          <w:rFonts w:ascii="Times New Roman" w:hAnsi="Times New Roman" w:cs="Times New Roman"/>
          <w:noProof/>
          <w:sz w:val="24"/>
          <w:u w:val="single"/>
        </w:rPr>
        <w:t>Beruházás (C18.I4) – Egészségügyi szakemberek és erőforrások képzése az ismeretek megosztása és aritka betegségekben szenvedő betegek kezelésének javítása</w:t>
      </w:r>
      <w:r w:rsidRPr="00BC4EE7">
        <w:rPr>
          <w:rFonts w:ascii="Times New Roman" w:hAnsi="Times New Roman" w:cs="Times New Roman"/>
          <w:noProof/>
        </w:rPr>
        <w:t xml:space="preserve"> érdekében</w:t>
      </w:r>
    </w:p>
    <w:p w14:paraId="5AA0018A" w14:textId="77777777" w:rsidR="00D65CB4" w:rsidRPr="00BC4EE7" w:rsidRDefault="00572307">
      <w:pPr>
        <w:pStyle w:val="P68B1DB1-Normal4"/>
        <w:keepNext/>
        <w:tabs>
          <w:tab w:val="left" w:pos="1560"/>
        </w:tabs>
        <w:spacing w:before="120" w:after="120" w:line="240" w:lineRule="auto"/>
        <w:jc w:val="both"/>
        <w:rPr>
          <w:rFonts w:cs="Times New Roman"/>
          <w:noProof/>
        </w:rPr>
      </w:pPr>
      <w:r w:rsidRPr="00BC4EE7">
        <w:rPr>
          <w:rFonts w:cs="Times New Roman"/>
          <w:noProof/>
        </w:rPr>
        <w:t xml:space="preserve">E beruházás célja az egészségügyi szakemberek készségeinek és kompetenciáinak megerősítése, különös tekintettel a spanyol helyreállítási és rezilienciaépítési terv ezen komponenséhez kapcsolódó reformokhoz és beruházásokhoz kapcsolódó képzésre. Célja továbbá olyan eszközök előmozdítása, amelyek lehetővé teszik az egészségügyi szakemberek számára az ismeretek megosztását az egészségügyi ellátás koordinációjának és minőségének javítása érdekében, többek között az ezen alkotóelem hatálya alá tartozó kiemelt területeken. Célja továbbá a ritka betegségekben szenvedő betegek kezelésének javítása. </w:t>
      </w:r>
    </w:p>
    <w:p w14:paraId="47680125" w14:textId="20C6B3CD" w:rsidR="00D65CB4" w:rsidRPr="00BC4EE7" w:rsidRDefault="00572307">
      <w:pPr>
        <w:pStyle w:val="P68B1DB1-Normal4"/>
        <w:keepNext/>
        <w:tabs>
          <w:tab w:val="left" w:pos="1560"/>
        </w:tabs>
        <w:spacing w:before="120" w:after="120" w:line="240" w:lineRule="auto"/>
        <w:jc w:val="both"/>
        <w:rPr>
          <w:rFonts w:cs="Times New Roman"/>
          <w:noProof/>
        </w:rPr>
      </w:pPr>
      <w:r w:rsidRPr="00BC4EE7">
        <w:rPr>
          <w:rFonts w:cs="Times New Roman"/>
          <w:noProof/>
        </w:rPr>
        <w:t>A beruházás öt területre terjed ki:</w:t>
      </w:r>
    </w:p>
    <w:p w14:paraId="7C00C580" w14:textId="77777777" w:rsidR="00D65CB4" w:rsidRPr="00BC4EE7" w:rsidRDefault="00572307">
      <w:pPr>
        <w:pStyle w:val="P68B1DB1-Normal4"/>
        <w:numPr>
          <w:ilvl w:val="0"/>
          <w:numId w:val="131"/>
        </w:numPr>
        <w:spacing w:before="120" w:after="160" w:line="259" w:lineRule="auto"/>
        <w:contextualSpacing/>
        <w:jc w:val="both"/>
        <w:rPr>
          <w:rFonts w:cs="Times New Roman"/>
          <w:noProof/>
        </w:rPr>
      </w:pPr>
      <w:r w:rsidRPr="00BC4EE7">
        <w:rPr>
          <w:rFonts w:cs="Times New Roman"/>
          <w:noProof/>
        </w:rPr>
        <w:t>Folyamatos képzés a következő területeken: az egészségügyi technológiák és információs rendszerek használata, a közegészségügy és az epidemiológia felügyelete, a beteg- és szakmai biztonság, a diagnosztikai és terápiás erőforrások észszerű felhasználása, a rák korai felismerése, a mentális egészség, a környezeti egészség, a kockázati tényezők megelőzése, a nemi alapú erőszak korai felismerése, a gyermekbántalmazás korai felismerése, bioetika, életciklus végi ellátás, klinikai kommunikáció, bizonyítékokon alapuló orvostudomány, csapatmunka, kutatási módszertan, az egészségügyi központokért felelős személyek vezetői készségeinek fejlesztése, speciális egészségügyi képzés oktatóinak képzése és továbbképzés a folyamatos oktatás értékelői számára.</w:t>
      </w:r>
    </w:p>
    <w:p w14:paraId="44A5B044" w14:textId="77777777" w:rsidR="00D65CB4" w:rsidRPr="00BC4EE7" w:rsidRDefault="00572307">
      <w:pPr>
        <w:pStyle w:val="P68B1DB1-Normal4"/>
        <w:numPr>
          <w:ilvl w:val="0"/>
          <w:numId w:val="131"/>
        </w:numPr>
        <w:spacing w:before="120" w:after="160" w:line="259" w:lineRule="auto"/>
        <w:contextualSpacing/>
        <w:jc w:val="both"/>
        <w:rPr>
          <w:rFonts w:cs="Times New Roman"/>
          <w:noProof/>
        </w:rPr>
      </w:pPr>
      <w:r w:rsidRPr="00BC4EE7">
        <w:rPr>
          <w:rFonts w:cs="Times New Roman"/>
          <w:noProof/>
        </w:rPr>
        <w:t>A nemzeti egészségügyi rendszer szakemberei által elsajátított, nem szabályozott készségek értékelésére és akkreditálására szolgáló rendszer létrehozása</w:t>
      </w:r>
    </w:p>
    <w:p w14:paraId="69259F98" w14:textId="01EC7B45" w:rsidR="00D65CB4" w:rsidRPr="00BC4EE7" w:rsidRDefault="00572307">
      <w:pPr>
        <w:pStyle w:val="P68B1DB1-Normal4"/>
        <w:numPr>
          <w:ilvl w:val="0"/>
          <w:numId w:val="131"/>
        </w:numPr>
        <w:spacing w:before="120" w:after="160" w:line="259" w:lineRule="auto"/>
        <w:contextualSpacing/>
        <w:jc w:val="both"/>
        <w:rPr>
          <w:rFonts w:cs="Times New Roman"/>
          <w:noProof/>
        </w:rPr>
      </w:pPr>
      <w:r w:rsidRPr="00BC4EE7">
        <w:rPr>
          <w:rFonts w:cs="Times New Roman"/>
          <w:noProof/>
        </w:rPr>
        <w:t xml:space="preserve">Együttműködési eszközök a rendkívül összetett körülmények kezelésére. </w:t>
      </w:r>
    </w:p>
    <w:p w14:paraId="3A263ED7" w14:textId="3C2D1E89" w:rsidR="00D65CB4" w:rsidRPr="00BC4EE7" w:rsidRDefault="00572307">
      <w:pPr>
        <w:pStyle w:val="P68B1DB1-Normal4"/>
        <w:numPr>
          <w:ilvl w:val="0"/>
          <w:numId w:val="131"/>
        </w:numPr>
        <w:spacing w:before="120" w:after="160" w:line="259" w:lineRule="auto"/>
        <w:contextualSpacing/>
        <w:jc w:val="both"/>
        <w:rPr>
          <w:rFonts w:cs="Times New Roman"/>
          <w:noProof/>
        </w:rPr>
      </w:pPr>
      <w:r w:rsidRPr="00BC4EE7">
        <w:rPr>
          <w:rFonts w:cs="Times New Roman"/>
          <w:noProof/>
        </w:rPr>
        <w:t xml:space="preserve">Számítógépes feltérképezés kidolgozása a korai ellátás és a genomikus gyógyszerek közös erőforrásainak és szolgáltatásainak megjelenítése érdekében Spanyolországban. </w:t>
      </w:r>
    </w:p>
    <w:p w14:paraId="68459F49" w14:textId="652616A6" w:rsidR="00D65CB4" w:rsidRPr="00BC4EE7" w:rsidRDefault="00572307">
      <w:pPr>
        <w:pStyle w:val="P68B1DB1-Normal4"/>
        <w:numPr>
          <w:ilvl w:val="0"/>
          <w:numId w:val="131"/>
        </w:numPr>
        <w:spacing w:before="120" w:after="160" w:line="259" w:lineRule="auto"/>
        <w:contextualSpacing/>
        <w:jc w:val="both"/>
        <w:rPr>
          <w:rFonts w:cs="Times New Roman"/>
          <w:noProof/>
        </w:rPr>
      </w:pPr>
      <w:r w:rsidRPr="00BC4EE7">
        <w:rPr>
          <w:rFonts w:cs="Times New Roman"/>
          <w:noProof/>
        </w:rPr>
        <w:t>A nemzeti egészségügyi rendszer interoperábilis kapacitásokkal, infrastruktúrával, berendezésekkel és információs rendszerekkel való ellátására irányuló kísérleti projektek lezárása a ritka betegségekben szenvedő betegek egészségügyi ellátásának javítása érdekében.</w:t>
      </w:r>
    </w:p>
    <w:p w14:paraId="64290D2A" w14:textId="77777777" w:rsidR="00D65CB4" w:rsidRPr="00BC4EE7" w:rsidRDefault="00D65CB4">
      <w:pPr>
        <w:spacing w:before="120" w:after="160" w:line="259" w:lineRule="auto"/>
        <w:ind w:left="720"/>
        <w:contextualSpacing/>
        <w:jc w:val="both"/>
        <w:rPr>
          <w:rFonts w:ascii="Times New Roman" w:hAnsi="Times New Roman" w:cs="Times New Roman"/>
          <w:noProof/>
          <w:sz w:val="24"/>
        </w:rPr>
      </w:pPr>
    </w:p>
    <w:p w14:paraId="15EAF733" w14:textId="2E759F62"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beruházás végrehajtását 2026. június 30-ig be kell fejezni. </w:t>
      </w:r>
    </w:p>
    <w:p w14:paraId="721A2B6D" w14:textId="76DB5867"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(C18.I5) – Terv a gyógyszerfogyasztás racionalizálására és a fenntarthatóság előmozdítására, valamint a nemzeti egészségügyi rendszerben a genomikai szolgáltatások portfóliójának bővítésére</w:t>
      </w:r>
    </w:p>
    <w:p w14:paraId="7100F4DF"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Ez a beruházás a gyógyszerek és orvostechnikai eszközök használatának racionalizálására irányuló terv végrehajtásából áll. A terv célja a következő célkitűzések elérése:</w:t>
      </w:r>
    </w:p>
    <w:p w14:paraId="4CBF0E04" w14:textId="77777777" w:rsidR="00D65CB4" w:rsidRPr="00BC4EE7" w:rsidRDefault="00572307">
      <w:pPr>
        <w:pStyle w:val="P68B1DB1-Normal4"/>
        <w:numPr>
          <w:ilvl w:val="0"/>
          <w:numId w:val="132"/>
        </w:numPr>
        <w:spacing w:before="120" w:after="120" w:line="259" w:lineRule="auto"/>
        <w:ind w:left="714" w:hanging="357"/>
        <w:contextualSpacing/>
        <w:jc w:val="both"/>
        <w:rPr>
          <w:rFonts w:cs="Times New Roman"/>
          <w:noProof/>
        </w:rPr>
      </w:pPr>
      <w:r w:rsidRPr="00BC4EE7">
        <w:rPr>
          <w:rFonts w:cs="Times New Roman"/>
          <w:noProof/>
        </w:rPr>
        <w:t>csak szükség esetén használjon gyógyászati termékeket, és használat esetén a legköltséghatékonyabbakat használja;</w:t>
      </w:r>
    </w:p>
    <w:p w14:paraId="2EB85BAE" w14:textId="71704731" w:rsidR="00D65CB4" w:rsidRPr="00BC4EE7" w:rsidRDefault="00572307">
      <w:pPr>
        <w:pStyle w:val="P68B1DB1-Normal4"/>
        <w:numPr>
          <w:ilvl w:val="0"/>
          <w:numId w:val="132"/>
        </w:numPr>
        <w:spacing w:before="120" w:after="120" w:line="259" w:lineRule="auto"/>
        <w:ind w:left="714" w:hanging="357"/>
        <w:contextualSpacing/>
        <w:jc w:val="both"/>
        <w:rPr>
          <w:rFonts w:cs="Times New Roman"/>
          <w:noProof/>
        </w:rPr>
      </w:pPr>
      <w:r w:rsidRPr="00BC4EE7">
        <w:rPr>
          <w:rFonts w:cs="Times New Roman"/>
          <w:noProof/>
        </w:rPr>
        <w:t xml:space="preserve">a polifarmakonómia (több mint öt gyógyszer) és a gyógyszerek szükségtelen alkalmazásának csökkentése;  </w:t>
      </w:r>
    </w:p>
    <w:p w14:paraId="6B0DB5E6" w14:textId="7B6825C6" w:rsidR="00D65CB4" w:rsidRPr="00BC4EE7" w:rsidRDefault="00572307">
      <w:pPr>
        <w:pStyle w:val="P68B1DB1-Normal4"/>
        <w:numPr>
          <w:ilvl w:val="0"/>
          <w:numId w:val="132"/>
        </w:numPr>
        <w:spacing w:before="120" w:after="120" w:line="259" w:lineRule="auto"/>
        <w:ind w:left="714" w:hanging="357"/>
        <w:contextualSpacing/>
        <w:jc w:val="both"/>
        <w:rPr>
          <w:rFonts w:cs="Times New Roman"/>
          <w:noProof/>
        </w:rPr>
      </w:pPr>
      <w:r w:rsidRPr="00BC4EE7">
        <w:rPr>
          <w:rFonts w:cs="Times New Roman"/>
          <w:noProof/>
        </w:rPr>
        <w:t>csökkentse az új gyógyszerekkel kapcsolatos klinikai bizonytalanságot a tudományos ismeretek bővítése, a rendelkezésre álló információk javítása és a pénzügyi bizonytalanság csökkentése révén.</w:t>
      </w:r>
    </w:p>
    <w:p w14:paraId="0DB07811" w14:textId="2250D2DE" w:rsidR="00D65CB4" w:rsidRPr="00BC4EE7" w:rsidRDefault="00572307">
      <w:pPr>
        <w:pStyle w:val="P68B1DB1-ListParagraph6"/>
        <w:numPr>
          <w:ilvl w:val="0"/>
          <w:numId w:val="132"/>
        </w:numPr>
        <w:spacing w:before="120" w:after="120"/>
        <w:ind w:left="714" w:hanging="357"/>
        <w:jc w:val="both"/>
        <w:rPr>
          <w:rFonts w:cs="Times New Roman"/>
          <w:noProof/>
        </w:rPr>
      </w:pPr>
      <w:r w:rsidRPr="00BC4EE7">
        <w:rPr>
          <w:rFonts w:cs="Times New Roman"/>
          <w:noProof/>
        </w:rPr>
        <w:t>a genomikai szolgáltatások portfóliójának bővítése a nemzeti egészségügyi rendszerben</w:t>
      </w:r>
    </w:p>
    <w:p w14:paraId="45FAD8ED"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terv három rendszer létrehozását vagy továbbfejlesztését tartalmazza a kábítószerek és az egészségügyi technológiák értékelésének javítása érdekében Spanyolországban:</w:t>
      </w:r>
    </w:p>
    <w:p w14:paraId="4360D124" w14:textId="77777777" w:rsidR="00D65CB4" w:rsidRPr="00BC4EE7" w:rsidRDefault="00572307">
      <w:pPr>
        <w:pStyle w:val="P68B1DB1-Normal4"/>
        <w:numPr>
          <w:ilvl w:val="0"/>
          <w:numId w:val="134"/>
        </w:numPr>
        <w:spacing w:before="120" w:after="160" w:line="259" w:lineRule="auto"/>
        <w:contextualSpacing/>
        <w:jc w:val="both"/>
        <w:rPr>
          <w:rFonts w:cs="Times New Roman"/>
          <w:noProof/>
        </w:rPr>
      </w:pPr>
      <w:r w:rsidRPr="00BC4EE7">
        <w:rPr>
          <w:rFonts w:cs="Times New Roman"/>
          <w:noProof/>
        </w:rPr>
        <w:t>A nemzeti egészségügyi rendszerben a gyógyszerek értékelésével foglalkozó hálózat létrehozása: Ki kell dolgozni egy technológiai platformot a gyógyszerértékelési és -pozicionálási jelentések kezelésére és megosztására (amelyek az új gyógyszerek hozzáadott értékét azok költséghatékonysága alapján elemzik) a fejlesztés különböző szakaszaiban.</w:t>
      </w:r>
    </w:p>
    <w:p w14:paraId="74443222" w14:textId="77777777" w:rsidR="00D65CB4" w:rsidRPr="00BC4EE7" w:rsidRDefault="00572307">
      <w:pPr>
        <w:pStyle w:val="P68B1DB1-Normal4"/>
        <w:numPr>
          <w:ilvl w:val="0"/>
          <w:numId w:val="134"/>
        </w:numPr>
        <w:spacing w:before="120" w:after="160" w:line="259" w:lineRule="auto"/>
        <w:contextualSpacing/>
        <w:jc w:val="both"/>
        <w:rPr>
          <w:rFonts w:cs="Times New Roman"/>
          <w:noProof/>
        </w:rPr>
      </w:pPr>
      <w:r w:rsidRPr="00BC4EE7">
        <w:rPr>
          <w:rFonts w:cs="Times New Roman"/>
          <w:noProof/>
        </w:rPr>
        <w:t>A nagy hatású gyógyszerek rendszerének (VALTERMED) bővítése. Ez az eszköz az adminisztratív, klinikai és terápiás adatok nyilvántartásán alapul, amelynek célja a betegek kezdeti állapotának és alakulásának nyomon követése és elemzése a farmakológiai kezelés megkezdése után. Ezen új eszköz célját integrálni kell az autonóm közösségek információs rendszereibe, és tartalmaznia kell a gyógyszereknek a betegek életminőségére gyakorolt hatásával kapcsolatos információkat.</w:t>
      </w:r>
    </w:p>
    <w:p w14:paraId="77443D4E" w14:textId="77777777" w:rsidR="00D65CB4" w:rsidRPr="00BC4EE7" w:rsidRDefault="00572307">
      <w:pPr>
        <w:pStyle w:val="P68B1DB1-Normal4"/>
        <w:numPr>
          <w:ilvl w:val="0"/>
          <w:numId w:val="134"/>
        </w:numPr>
        <w:spacing w:before="120" w:after="160" w:line="240" w:lineRule="auto"/>
        <w:contextualSpacing/>
        <w:jc w:val="both"/>
        <w:rPr>
          <w:rFonts w:cs="Times New Roman"/>
          <w:noProof/>
        </w:rPr>
      </w:pPr>
      <w:r w:rsidRPr="00BC4EE7">
        <w:rPr>
          <w:rFonts w:cs="Times New Roman"/>
          <w:noProof/>
        </w:rPr>
        <w:t>Az egészségügyi technológiák és ellátás spanyol hálózatának (RedETS) létrehozása. Ez a hálózat kulcsszerepet játszik az egészségügyi technológiáknak és szolgáltatásoknak az állami finanszírozásba való beépítésével kapcsolatos döntéshozatalhoz szükséges tudományos és technikai tanácsadásban. A technológiai platform lehetővé teszi a különböző RedETS-termékek kezelését és megosztását azok különböző fejlettségi szakaszaiban a hálózat ügynökségei/egységei között, valamint az egyes szakaszokra meghatározott határidők betartásának ellenőrzését.</w:t>
      </w:r>
    </w:p>
    <w:p w14:paraId="26438FF8" w14:textId="2197C04D" w:rsidR="00D65CB4" w:rsidRPr="00BC4EE7" w:rsidRDefault="00572307">
      <w:pPr>
        <w:spacing w:before="120" w:after="120" w:line="240" w:lineRule="auto"/>
        <w:contextualSpacing/>
        <w:jc w:val="both"/>
        <w:rPr>
          <w:rFonts w:ascii="Times New Roman" w:hAnsi="Times New Roman" w:cs="Times New Roman"/>
          <w:noProof/>
          <w:sz w:val="24"/>
        </w:rPr>
      </w:pPr>
      <w:r w:rsidRPr="00BC4EE7">
        <w:rPr>
          <w:rFonts w:ascii="Times New Roman" w:hAnsi="Times New Roman" w:cs="Times New Roman"/>
          <w:noProof/>
          <w:sz w:val="24"/>
        </w:rPr>
        <w:t xml:space="preserve">A beruházás magában </w:t>
      </w:r>
      <w:r w:rsidRPr="00BC4EE7">
        <w:rPr>
          <w:rFonts w:ascii="Times New Roman" w:hAnsi="Times New Roman" w:cs="Times New Roman"/>
          <w:noProof/>
        </w:rPr>
        <w:t>foglalja</w:t>
      </w:r>
      <w:r w:rsidRPr="00BC4EE7">
        <w:rPr>
          <w:rFonts w:ascii="Times New Roman" w:hAnsi="Times New Roman" w:cs="Times New Roman"/>
          <w:noProof/>
          <w:sz w:val="24"/>
        </w:rPr>
        <w:t>a következőkkel kapcsolatos projekteket: a generikus és biohasonló gyógyszerek használatának előmozdítása, ortopédiai és protézises szolgáltatások és termékek fejlesztése és korszerűsítése, egészségügyi szakemberek képzése a gyógyszerek észszerű használatáról, valamint a gyógyszerekkel kapcsolatos innovációk fellendítését célzó megoldások.</w:t>
      </w:r>
    </w:p>
    <w:p w14:paraId="08F6D3F2" w14:textId="77C6FB3F" w:rsidR="00D65CB4" w:rsidRPr="00BC4EE7" w:rsidRDefault="00572307">
      <w:pPr>
        <w:pStyle w:val="ListParagraph"/>
        <w:spacing w:before="120" w:after="120" w:line="240" w:lineRule="auto"/>
        <w:ind w:left="0"/>
        <w:jc w:val="both"/>
        <w:rPr>
          <w:rFonts w:ascii="Times New Roman" w:hAnsi="Times New Roman" w:cs="Times New Roman"/>
          <w:noProof/>
          <w:sz w:val="24"/>
        </w:rPr>
      </w:pPr>
      <w:r w:rsidRPr="00BC4EE7">
        <w:rPr>
          <w:rFonts w:ascii="Times New Roman" w:hAnsi="Times New Roman" w:cs="Times New Roman"/>
          <w:noProof/>
          <w:sz w:val="24"/>
        </w:rPr>
        <w:t>A beruházásnak ki kell bővítenie a nemzeti egészségügyi rendszer genetikai tesztelési katalógusát a szükséges berendezések beszerzése, valamint a genomikai információk nemzeti szintű integrálására szolgáló információs rendszer létrehozása révén.</w:t>
      </w:r>
    </w:p>
    <w:p w14:paraId="002D9CE5" w14:textId="77777777" w:rsidR="00D65CB4" w:rsidRPr="00BC4EE7" w:rsidRDefault="00D65CB4">
      <w:pPr>
        <w:pStyle w:val="ListParagraph"/>
        <w:spacing w:before="120" w:after="120" w:line="240" w:lineRule="auto"/>
        <w:ind w:left="0"/>
        <w:jc w:val="both"/>
        <w:rPr>
          <w:rFonts w:ascii="Times New Roman" w:hAnsi="Times New Roman" w:cs="Times New Roman"/>
          <w:noProof/>
          <w:sz w:val="24"/>
        </w:rPr>
      </w:pPr>
    </w:p>
    <w:p w14:paraId="70E8B695" w14:textId="7AD8693D" w:rsidR="00D65CB4" w:rsidRPr="00BC4EE7" w:rsidRDefault="00572307">
      <w:pPr>
        <w:pStyle w:val="P68B1DB1-ListParagraph6"/>
        <w:spacing w:before="120" w:after="120" w:line="240" w:lineRule="auto"/>
        <w:ind w:left="0"/>
        <w:jc w:val="both"/>
        <w:rPr>
          <w:rFonts w:cs="Times New Roman"/>
          <w:noProof/>
        </w:rPr>
      </w:pPr>
      <w:r w:rsidRPr="00BC4EE7">
        <w:rPr>
          <w:rFonts w:cs="Times New Roman"/>
          <w:noProof/>
        </w:rPr>
        <w:t>A beruházás végrehajtását 2026. június 30-ig be kell fejezni.</w:t>
      </w:r>
    </w:p>
    <w:p w14:paraId="2AB17794"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(C18.I6) – Egészségügyi adattava</w:t>
      </w:r>
    </w:p>
    <w:p w14:paraId="75453DF5" w14:textId="678F28DA" w:rsidR="00D65CB4" w:rsidRPr="00BC4EE7" w:rsidRDefault="00572307">
      <w:pPr>
        <w:pStyle w:val="P68B1DB1-Normal4"/>
        <w:spacing w:before="120" w:after="120" w:line="240" w:lineRule="auto"/>
        <w:jc w:val="both"/>
        <w:rPr>
          <w:rFonts w:cs="Times New Roman"/>
          <w:noProof/>
        </w:rPr>
      </w:pPr>
      <w:r w:rsidRPr="00BC4EE7">
        <w:rPr>
          <w:rFonts w:cs="Times New Roman"/>
          <w:noProof/>
        </w:rPr>
        <w:t>Ez a beruházás egy egészségügyi adattava létrehozásából áll, amely különböző információs rendszerekből, többek között regionális rendszerekből gyűjt információkat azzal a céllal, hogy megkönnyítse a valós idejű tömegelemzést a diagnosztika és a kezelés támogatása és javítása, a kockázati tényezők azonosítása, a trendelemzés, a minták azonosítása, az egészségügyi kockázati helyzetek előrejelzése és a kezelésükhöz szükséges erőforrások programozása érdekében, beleértve a mesterségesintelligencia-algoritmusokat, valamint az új méretezhető rendszerarchitektúrákat és a modellek feldolgozására és azonosítására szolgáló új eszközöket.</w:t>
      </w:r>
    </w:p>
    <w:p w14:paraId="7C66CDFF" w14:textId="7BFFB978" w:rsidR="00D65CB4" w:rsidRPr="00BC4EE7" w:rsidRDefault="00572307">
      <w:pPr>
        <w:pStyle w:val="P68B1DB1-Normal4"/>
        <w:spacing w:before="120" w:after="120" w:line="240" w:lineRule="auto"/>
        <w:jc w:val="both"/>
        <w:rPr>
          <w:rFonts w:cs="Times New Roman"/>
          <w:noProof/>
        </w:rPr>
      </w:pPr>
      <w:r w:rsidRPr="00BC4EE7">
        <w:rPr>
          <w:rFonts w:cs="Times New Roman"/>
          <w:noProof/>
        </w:rPr>
        <w:t>A beruházás végrehajtását 2025. december 31-ig be kell fejezni.</w:t>
      </w:r>
    </w:p>
    <w:p w14:paraId="0EF9A25B" w14:textId="77777777" w:rsidR="00D65CB4" w:rsidRPr="00BC4EE7" w:rsidRDefault="00572307">
      <w:pPr>
        <w:spacing w:before="120" w:after="120" w:line="240" w:lineRule="auto"/>
        <w:ind w:left="709"/>
        <w:jc w:val="both"/>
        <w:rPr>
          <w:rFonts w:ascii="Times New Roman" w:hAnsi="Times New Roman" w:cs="Times New Roman"/>
          <w:b/>
          <w:noProof/>
          <w:sz w:val="24"/>
          <w:u w:val="single"/>
        </w:rPr>
      </w:pPr>
      <w:r w:rsidRPr="00BC4EE7">
        <w:rPr>
          <w:rFonts w:ascii="Times New Roman" w:hAnsi="Times New Roman" w:cs="Times New Roman"/>
          <w:b/>
          <w:noProof/>
          <w:sz w:val="24"/>
          <w:u w:val="single"/>
        </w:rPr>
        <w:t xml:space="preserve">R.2.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Vissza nem térítendő pénzügyi támogatás – a végrehajtáshoz és a nyomon követéshez kapcsolódó mérföldkövek, célok, mutatók és ütemterv</w:t>
      </w:r>
    </w:p>
    <w:p w14:paraId="19D63422" w14:textId="77777777" w:rsidR="00D65CB4" w:rsidRPr="00BC4EE7" w:rsidRDefault="00572307">
      <w:pPr>
        <w:pStyle w:val="P68B1DB1-Normal4"/>
        <w:spacing w:before="120" w:after="120" w:line="240" w:lineRule="auto"/>
        <w:jc w:val="both"/>
        <w:rPr>
          <w:rFonts w:cs="Times New Roman"/>
          <w:noProof/>
        </w:rPr>
      </w:pPr>
      <w:r w:rsidRPr="00BC4EE7">
        <w:rPr>
          <w:rFonts w:cs="Times New Roman"/>
          <w:i/>
          <w:noProof/>
        </w:rPr>
        <w:t>Táblázat alább.</w:t>
      </w:r>
      <w:r w:rsidRPr="00BC4EE7">
        <w:rPr>
          <w:rFonts w:cs="Times New Roman"/>
          <w:noProof/>
        </w:rPr>
        <w:t xml:space="preserve"> </w:t>
      </w:r>
      <w:r w:rsidRPr="00BC4EE7">
        <w:rPr>
          <w:rFonts w:cs="Times New Roman"/>
          <w:i/>
          <w:noProof/>
        </w:rPr>
        <w:t>Az összes mutató esetében a kiindulási időpont 2020. február 1., kivéve, ha az intézkedés leírása másként jelzi. A táblázatban szereplő összegek nem tartalmazzák a héát.</w:t>
      </w:r>
    </w:p>
    <w:p w14:paraId="499AC33C" w14:textId="77777777" w:rsidR="00D65CB4" w:rsidRPr="00BC4EE7" w:rsidRDefault="00D65CB4">
      <w:pPr>
        <w:spacing w:before="120" w:after="120" w:line="240" w:lineRule="auto"/>
        <w:jc w:val="both"/>
        <w:rPr>
          <w:rFonts w:ascii="Times New Roman" w:hAnsi="Times New Roman" w:cs="Times New Roman"/>
          <w:noProof/>
          <w:sz w:val="24"/>
        </w:rPr>
        <w:sectPr w:rsidR="00D65CB4" w:rsidRPr="00BC4EE7" w:rsidSect="00B511EF">
          <w:headerReference w:type="even" r:id="rId382"/>
          <w:headerReference w:type="default" r:id="rId383"/>
          <w:footerReference w:type="even" r:id="rId384"/>
          <w:footerReference w:type="default" r:id="rId385"/>
          <w:headerReference w:type="first" r:id="rId386"/>
          <w:footerReference w:type="first" r:id="rId387"/>
          <w:pgSz w:w="11907" w:h="16839"/>
          <w:pgMar w:top="1134" w:right="1134" w:bottom="1134" w:left="1134" w:header="567" w:footer="567" w:gutter="0"/>
          <w:cols w:space="720"/>
          <w:docGrid w:linePitch="360"/>
        </w:sectPr>
      </w:pPr>
    </w:p>
    <w:tbl>
      <w:tblPr>
        <w:tblW w:w="15286"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10"/>
        <w:gridCol w:w="955"/>
        <w:gridCol w:w="887"/>
        <w:gridCol w:w="2660"/>
        <w:gridCol w:w="1241"/>
        <w:gridCol w:w="691"/>
        <w:gridCol w:w="966"/>
        <w:gridCol w:w="553"/>
        <w:gridCol w:w="553"/>
        <w:gridCol w:w="553"/>
        <w:gridCol w:w="5517"/>
      </w:tblGrid>
      <w:tr w:rsidR="00D65CB4" w:rsidRPr="00BC4EE7" w14:paraId="62D43E99" w14:textId="77777777" w:rsidTr="00BC4EE7">
        <w:trPr>
          <w:trHeight w:val="309"/>
          <w:tblHeader/>
        </w:trPr>
        <w:tc>
          <w:tcPr>
            <w:tcW w:w="710" w:type="dxa"/>
            <w:tcBorders>
              <w:bottom w:val="nil"/>
            </w:tcBorders>
            <w:shd w:val="clear" w:color="auto" w:fill="C6D9F1" w:themeFill="text2" w:themeFillTint="33"/>
            <w:noWrap/>
            <w:vAlign w:val="center"/>
          </w:tcPr>
          <w:p w14:paraId="5140A831" w14:textId="4C2C83B0" w:rsidR="00D65CB4" w:rsidRPr="00BC4EE7" w:rsidRDefault="00572307">
            <w:pPr>
              <w:pStyle w:val="P68B1DB1-Normal8"/>
              <w:spacing w:after="0" w:line="240" w:lineRule="auto"/>
              <w:jc w:val="center"/>
              <w:rPr>
                <w:rFonts w:cs="Times New Roman"/>
                <w:noProof/>
              </w:rPr>
            </w:pPr>
            <w:r w:rsidRPr="00BC4EE7">
              <w:rPr>
                <w:rFonts w:cs="Times New Roman"/>
                <w:noProof/>
              </w:rPr>
              <w:t>Szám</w:t>
            </w:r>
          </w:p>
        </w:tc>
        <w:tc>
          <w:tcPr>
            <w:tcW w:w="955" w:type="dxa"/>
            <w:tcBorders>
              <w:bottom w:val="nil"/>
            </w:tcBorders>
            <w:shd w:val="clear" w:color="auto" w:fill="C6D9F1" w:themeFill="text2" w:themeFillTint="33"/>
            <w:noWrap/>
            <w:vAlign w:val="center"/>
          </w:tcPr>
          <w:p w14:paraId="38814002" w14:textId="62C4C95B" w:rsidR="00D65CB4" w:rsidRPr="00BC4EE7" w:rsidRDefault="00572307">
            <w:pPr>
              <w:pStyle w:val="P68B1DB1-Normal8"/>
              <w:spacing w:after="0" w:line="240" w:lineRule="auto"/>
              <w:jc w:val="center"/>
              <w:rPr>
                <w:rFonts w:cs="Times New Roman"/>
                <w:noProof/>
              </w:rPr>
            </w:pPr>
            <w:r w:rsidRPr="00BC4EE7">
              <w:rPr>
                <w:rFonts w:cs="Times New Roman"/>
                <w:noProof/>
              </w:rPr>
              <w:t>Intézkedés</w:t>
            </w:r>
          </w:p>
        </w:tc>
        <w:tc>
          <w:tcPr>
            <w:tcW w:w="887" w:type="dxa"/>
            <w:tcBorders>
              <w:bottom w:val="nil"/>
            </w:tcBorders>
            <w:shd w:val="clear" w:color="auto" w:fill="C6D9F1" w:themeFill="text2" w:themeFillTint="33"/>
            <w:noWrap/>
            <w:vAlign w:val="center"/>
          </w:tcPr>
          <w:p w14:paraId="51816F42" w14:textId="326DA0C5" w:rsidR="00D65CB4" w:rsidRPr="00BC4EE7" w:rsidRDefault="00572307">
            <w:pPr>
              <w:spacing w:after="0" w:line="240" w:lineRule="auto"/>
              <w:jc w:val="center"/>
              <w:rPr>
                <w:rFonts w:ascii="Times New Roman" w:hAnsi="Times New Roman" w:cs="Times New Roman"/>
                <w:b/>
                <w:noProof/>
                <w:sz w:val="18"/>
              </w:rPr>
            </w:pPr>
            <w:r w:rsidRPr="00BC4EE7">
              <w:rPr>
                <w:rFonts w:ascii="Times New Roman" w:hAnsi="Times New Roman" w:cs="Times New Roman"/>
                <w:b/>
                <w:noProof/>
                <w:sz w:val="18"/>
              </w:rPr>
              <w:t>Mérföldkő</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b/>
                <w:noProof/>
                <w:sz w:val="18"/>
              </w:rPr>
              <w:t xml:space="preserve"> /Cél</w:t>
            </w:r>
          </w:p>
        </w:tc>
        <w:tc>
          <w:tcPr>
            <w:tcW w:w="2660" w:type="dxa"/>
            <w:tcBorders>
              <w:bottom w:val="nil"/>
            </w:tcBorders>
            <w:shd w:val="clear" w:color="auto" w:fill="C6D9F1" w:themeFill="text2" w:themeFillTint="33"/>
            <w:noWrap/>
            <w:vAlign w:val="center"/>
          </w:tcPr>
          <w:p w14:paraId="6D960B58" w14:textId="32BD70F2" w:rsidR="00D65CB4" w:rsidRPr="00BC4EE7" w:rsidRDefault="00572307">
            <w:pPr>
              <w:pStyle w:val="P68B1DB1-Normal8"/>
              <w:spacing w:after="0" w:line="240" w:lineRule="auto"/>
              <w:jc w:val="center"/>
              <w:rPr>
                <w:rFonts w:cs="Times New Roman"/>
                <w:noProof/>
              </w:rPr>
            </w:pPr>
            <w:r w:rsidRPr="00BC4EE7">
              <w:rPr>
                <w:rFonts w:cs="Times New Roman"/>
                <w:noProof/>
              </w:rPr>
              <w:t>Név</w:t>
            </w:r>
          </w:p>
        </w:tc>
        <w:tc>
          <w:tcPr>
            <w:tcW w:w="1241" w:type="dxa"/>
            <w:tcBorders>
              <w:bottom w:val="nil"/>
            </w:tcBorders>
            <w:shd w:val="clear" w:color="auto" w:fill="C6D9F1" w:themeFill="text2" w:themeFillTint="33"/>
            <w:noWrap/>
            <w:vAlign w:val="center"/>
          </w:tcPr>
          <w:p w14:paraId="303E1D0A" w14:textId="28A2C36A" w:rsidR="00D65CB4" w:rsidRPr="00BC4EE7" w:rsidRDefault="00572307">
            <w:pPr>
              <w:pStyle w:val="P68B1DB1-Normal8"/>
              <w:spacing w:after="0" w:line="240" w:lineRule="auto"/>
              <w:jc w:val="center"/>
              <w:rPr>
                <w:rFonts w:cs="Times New Roman"/>
                <w:noProof/>
              </w:rPr>
            </w:pPr>
            <w:r w:rsidRPr="00BC4EE7">
              <w:rPr>
                <w:rFonts w:cs="Times New Roman"/>
                <w:noProof/>
              </w:rPr>
              <w:t>A mérföldkövek minőségi mutatója</w:t>
            </w:r>
          </w:p>
        </w:tc>
        <w:tc>
          <w:tcPr>
            <w:tcW w:w="2210" w:type="dxa"/>
            <w:gridSpan w:val="3"/>
            <w:shd w:val="clear" w:color="auto" w:fill="C6D9F1" w:themeFill="text2" w:themeFillTint="33"/>
            <w:noWrap/>
            <w:vAlign w:val="center"/>
          </w:tcPr>
          <w:p w14:paraId="59ECDC07" w14:textId="072F88A3" w:rsidR="00D65CB4" w:rsidRPr="00BC4EE7" w:rsidRDefault="00572307">
            <w:pPr>
              <w:pStyle w:val="P68B1DB1-Normal8"/>
              <w:spacing w:after="0" w:line="240" w:lineRule="auto"/>
              <w:jc w:val="center"/>
              <w:rPr>
                <w:rFonts w:cs="Times New Roman"/>
                <w:noProof/>
              </w:rPr>
            </w:pPr>
            <w:r w:rsidRPr="00BC4EE7">
              <w:rPr>
                <w:rFonts w:cs="Times New Roman"/>
                <w:noProof/>
              </w:rPr>
              <w:t>A célérték mennyiségi mutatója</w:t>
            </w:r>
          </w:p>
        </w:tc>
        <w:tc>
          <w:tcPr>
            <w:tcW w:w="1106" w:type="dxa"/>
            <w:gridSpan w:val="2"/>
            <w:shd w:val="clear" w:color="auto" w:fill="C6D9F1" w:themeFill="text2" w:themeFillTint="33"/>
            <w:noWrap/>
            <w:vAlign w:val="center"/>
          </w:tcPr>
          <w:p w14:paraId="6EC1D8C0" w14:textId="4599817F" w:rsidR="00D65CB4" w:rsidRPr="00BC4EE7" w:rsidRDefault="00572307">
            <w:pPr>
              <w:pStyle w:val="P68B1DB1-Normal8"/>
              <w:spacing w:after="0" w:line="240" w:lineRule="auto"/>
              <w:jc w:val="center"/>
              <w:rPr>
                <w:rFonts w:cs="Times New Roman"/>
                <w:noProof/>
              </w:rPr>
            </w:pPr>
            <w:r w:rsidRPr="00BC4EE7">
              <w:rPr>
                <w:rFonts w:cs="Times New Roman"/>
                <w:noProof/>
              </w:rPr>
              <w:t>Idő</w:t>
            </w:r>
          </w:p>
        </w:tc>
        <w:tc>
          <w:tcPr>
            <w:tcW w:w="5517" w:type="dxa"/>
            <w:tcBorders>
              <w:bottom w:val="nil"/>
            </w:tcBorders>
            <w:shd w:val="clear" w:color="auto" w:fill="C6D9F1" w:themeFill="text2" w:themeFillTint="33"/>
            <w:noWrap/>
            <w:vAlign w:val="center"/>
          </w:tcPr>
          <w:p w14:paraId="1DA52048" w14:textId="2D09CC64" w:rsidR="00D65CB4" w:rsidRPr="00BC4EE7" w:rsidRDefault="00572307">
            <w:pPr>
              <w:pStyle w:val="P68B1DB1-Normal8"/>
              <w:spacing w:after="0" w:line="240" w:lineRule="auto"/>
              <w:jc w:val="center"/>
              <w:rPr>
                <w:rFonts w:cs="Times New Roman"/>
                <w:noProof/>
              </w:rPr>
            </w:pPr>
            <w:r w:rsidRPr="00BC4EE7">
              <w:rPr>
                <w:rFonts w:cs="Times New Roman"/>
                <w:noProof/>
              </w:rPr>
              <w:t>Az egyes mérföldkövek és célértékek leírása</w:t>
            </w:r>
          </w:p>
        </w:tc>
      </w:tr>
      <w:tr w:rsidR="00D65CB4" w:rsidRPr="00BC4EE7" w14:paraId="612D5620" w14:textId="77777777" w:rsidTr="00BC4EE7">
        <w:trPr>
          <w:trHeight w:val="309"/>
          <w:tblHeader/>
        </w:trPr>
        <w:tc>
          <w:tcPr>
            <w:tcW w:w="710" w:type="dxa"/>
            <w:tcBorders>
              <w:top w:val="nil"/>
              <w:left w:val="single" w:sz="4" w:space="0" w:color="auto"/>
              <w:bottom w:val="single" w:sz="4" w:space="0" w:color="auto"/>
              <w:right w:val="single" w:sz="4" w:space="0" w:color="auto"/>
            </w:tcBorders>
            <w:shd w:val="clear" w:color="auto" w:fill="C6D9F1" w:themeFill="text2" w:themeFillTint="33"/>
            <w:noWrap/>
          </w:tcPr>
          <w:p w14:paraId="037268A0" w14:textId="77777777" w:rsidR="00D65CB4" w:rsidRPr="00BC4EE7" w:rsidRDefault="00D65CB4">
            <w:pPr>
              <w:spacing w:after="0" w:line="240" w:lineRule="auto"/>
              <w:jc w:val="center"/>
              <w:rPr>
                <w:rFonts w:ascii="Times New Roman" w:hAnsi="Times New Roman" w:cs="Times New Roman"/>
                <w:b/>
                <w:noProof/>
                <w:sz w:val="18"/>
              </w:rPr>
            </w:pPr>
          </w:p>
        </w:tc>
        <w:tc>
          <w:tcPr>
            <w:tcW w:w="955" w:type="dxa"/>
            <w:tcBorders>
              <w:top w:val="nil"/>
              <w:left w:val="single" w:sz="4" w:space="0" w:color="auto"/>
              <w:bottom w:val="single" w:sz="4" w:space="0" w:color="auto"/>
              <w:right w:val="single" w:sz="4" w:space="0" w:color="auto"/>
            </w:tcBorders>
            <w:shd w:val="clear" w:color="auto" w:fill="C6D9F1" w:themeFill="text2" w:themeFillTint="33"/>
            <w:noWrap/>
          </w:tcPr>
          <w:p w14:paraId="57246AF6" w14:textId="77777777" w:rsidR="00D65CB4" w:rsidRPr="00BC4EE7" w:rsidRDefault="00D65CB4">
            <w:pPr>
              <w:spacing w:after="0" w:line="240" w:lineRule="auto"/>
              <w:jc w:val="center"/>
              <w:rPr>
                <w:rFonts w:ascii="Times New Roman" w:hAnsi="Times New Roman" w:cs="Times New Roman"/>
                <w:b/>
                <w:noProof/>
                <w:sz w:val="18"/>
              </w:rPr>
            </w:pPr>
          </w:p>
        </w:tc>
        <w:tc>
          <w:tcPr>
            <w:tcW w:w="887" w:type="dxa"/>
            <w:tcBorders>
              <w:top w:val="nil"/>
              <w:left w:val="single" w:sz="4" w:space="0" w:color="auto"/>
              <w:bottom w:val="single" w:sz="4" w:space="0" w:color="auto"/>
              <w:right w:val="single" w:sz="4" w:space="0" w:color="auto"/>
            </w:tcBorders>
            <w:shd w:val="clear" w:color="auto" w:fill="C6D9F1" w:themeFill="text2" w:themeFillTint="33"/>
            <w:noWrap/>
          </w:tcPr>
          <w:p w14:paraId="2B2838FC" w14:textId="77777777" w:rsidR="00D65CB4" w:rsidRPr="00BC4EE7" w:rsidRDefault="00D65CB4">
            <w:pPr>
              <w:spacing w:after="0" w:line="240" w:lineRule="auto"/>
              <w:jc w:val="center"/>
              <w:rPr>
                <w:rFonts w:ascii="Times New Roman" w:hAnsi="Times New Roman" w:cs="Times New Roman"/>
                <w:b/>
                <w:noProof/>
                <w:sz w:val="18"/>
              </w:rPr>
            </w:pPr>
          </w:p>
        </w:tc>
        <w:tc>
          <w:tcPr>
            <w:tcW w:w="2660" w:type="dxa"/>
            <w:tcBorders>
              <w:top w:val="nil"/>
              <w:left w:val="single" w:sz="4" w:space="0" w:color="auto"/>
              <w:bottom w:val="single" w:sz="4" w:space="0" w:color="auto"/>
              <w:right w:val="single" w:sz="4" w:space="0" w:color="auto"/>
            </w:tcBorders>
            <w:shd w:val="clear" w:color="auto" w:fill="C6D9F1" w:themeFill="text2" w:themeFillTint="33"/>
            <w:noWrap/>
          </w:tcPr>
          <w:p w14:paraId="411ED850" w14:textId="77777777" w:rsidR="00D65CB4" w:rsidRPr="00BC4EE7" w:rsidRDefault="00D65CB4">
            <w:pPr>
              <w:spacing w:after="0" w:line="240" w:lineRule="auto"/>
              <w:rPr>
                <w:rFonts w:ascii="Times New Roman" w:hAnsi="Times New Roman" w:cs="Times New Roman"/>
                <w:b/>
                <w:noProof/>
                <w:sz w:val="18"/>
              </w:rPr>
            </w:pPr>
          </w:p>
        </w:tc>
        <w:tc>
          <w:tcPr>
            <w:tcW w:w="1241" w:type="dxa"/>
            <w:tcBorders>
              <w:top w:val="nil"/>
              <w:left w:val="single" w:sz="4" w:space="0" w:color="auto"/>
              <w:bottom w:val="single" w:sz="4" w:space="0" w:color="auto"/>
              <w:right w:val="single" w:sz="4" w:space="0" w:color="auto"/>
            </w:tcBorders>
            <w:shd w:val="clear" w:color="auto" w:fill="C6D9F1" w:themeFill="text2" w:themeFillTint="33"/>
            <w:noWrap/>
          </w:tcPr>
          <w:p w14:paraId="575D5AD0" w14:textId="77777777" w:rsidR="00D65CB4" w:rsidRPr="00BC4EE7" w:rsidRDefault="00D65CB4">
            <w:pPr>
              <w:spacing w:after="0" w:line="240" w:lineRule="auto"/>
              <w:jc w:val="center"/>
              <w:rPr>
                <w:rFonts w:ascii="Times New Roman" w:hAnsi="Times New Roman" w:cs="Times New Roman"/>
                <w:b/>
                <w:noProof/>
                <w:sz w:val="18"/>
              </w:rPr>
            </w:pPr>
          </w:p>
        </w:tc>
        <w:tc>
          <w:tcPr>
            <w:tcW w:w="691"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14:paraId="3371D107" w14:textId="6BF2D757" w:rsidR="00D65CB4" w:rsidRPr="00BC4EE7" w:rsidRDefault="00572307">
            <w:pPr>
              <w:pStyle w:val="P68B1DB1-Normal8"/>
              <w:spacing w:after="0" w:line="240" w:lineRule="auto"/>
              <w:jc w:val="center"/>
              <w:rPr>
                <w:rFonts w:cs="Times New Roman"/>
                <w:noProof/>
              </w:rPr>
            </w:pPr>
            <w:r w:rsidRPr="00BC4EE7">
              <w:rPr>
                <w:rFonts w:cs="Times New Roman"/>
                <w:noProof/>
              </w:rPr>
              <w:t>Egység</w:t>
            </w:r>
          </w:p>
        </w:tc>
        <w:tc>
          <w:tcPr>
            <w:tcW w:w="966"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14:paraId="306CCFDD" w14:textId="20E6FDB2" w:rsidR="00D65CB4" w:rsidRPr="00BC4EE7" w:rsidRDefault="00572307">
            <w:pPr>
              <w:pStyle w:val="P68B1DB1-Normal8"/>
              <w:spacing w:after="0" w:line="240" w:lineRule="auto"/>
              <w:jc w:val="center"/>
              <w:rPr>
                <w:rFonts w:cs="Times New Roman"/>
                <w:noProof/>
              </w:rPr>
            </w:pPr>
            <w:r w:rsidRPr="00BC4EE7">
              <w:rPr>
                <w:rFonts w:cs="Times New Roman"/>
                <w:noProof/>
              </w:rPr>
              <w:t>Kiindulási</w:t>
            </w:r>
          </w:p>
        </w:tc>
        <w:tc>
          <w:tcPr>
            <w:tcW w:w="553"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14:paraId="596F0E5A" w14:textId="42FB5AC7" w:rsidR="00D65CB4" w:rsidRPr="00BC4EE7" w:rsidRDefault="00572307">
            <w:pPr>
              <w:pStyle w:val="P68B1DB1-Normal8"/>
              <w:spacing w:after="0" w:line="240" w:lineRule="auto"/>
              <w:jc w:val="center"/>
              <w:rPr>
                <w:rFonts w:cs="Times New Roman"/>
                <w:noProof/>
              </w:rPr>
            </w:pPr>
            <w:r w:rsidRPr="00BC4EE7">
              <w:rPr>
                <w:rFonts w:cs="Times New Roman"/>
                <w:noProof/>
              </w:rPr>
              <w:t>Cél</w:t>
            </w:r>
          </w:p>
        </w:tc>
        <w:tc>
          <w:tcPr>
            <w:tcW w:w="553"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14:paraId="14866DF6" w14:textId="3FD665DA" w:rsidR="00D65CB4" w:rsidRPr="00BC4EE7" w:rsidRDefault="00D65CB4">
            <w:pPr>
              <w:spacing w:after="0" w:line="240" w:lineRule="auto"/>
              <w:jc w:val="center"/>
              <w:rPr>
                <w:rFonts w:ascii="Times New Roman" w:hAnsi="Times New Roman" w:cs="Times New Roman"/>
                <w:b/>
                <w:noProof/>
                <w:sz w:val="18"/>
              </w:rPr>
            </w:pPr>
          </w:p>
        </w:tc>
        <w:tc>
          <w:tcPr>
            <w:tcW w:w="553"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14:paraId="043532FD" w14:textId="1F0E22B5" w:rsidR="00D65CB4" w:rsidRPr="00BC4EE7" w:rsidRDefault="00D65CB4">
            <w:pPr>
              <w:spacing w:after="0" w:line="240" w:lineRule="auto"/>
              <w:jc w:val="center"/>
              <w:rPr>
                <w:rFonts w:ascii="Times New Roman" w:hAnsi="Times New Roman" w:cs="Times New Roman"/>
                <w:b/>
                <w:noProof/>
                <w:sz w:val="18"/>
              </w:rPr>
            </w:pPr>
          </w:p>
        </w:tc>
        <w:tc>
          <w:tcPr>
            <w:tcW w:w="5517" w:type="dxa"/>
            <w:tcBorders>
              <w:top w:val="nil"/>
              <w:left w:val="single" w:sz="4" w:space="0" w:color="auto"/>
              <w:bottom w:val="single" w:sz="4" w:space="0" w:color="auto"/>
              <w:right w:val="single" w:sz="4" w:space="0" w:color="auto"/>
            </w:tcBorders>
            <w:shd w:val="clear" w:color="auto" w:fill="C6D9F1" w:themeFill="text2" w:themeFillTint="33"/>
            <w:noWrap/>
          </w:tcPr>
          <w:p w14:paraId="07F1C55E" w14:textId="77777777" w:rsidR="00D65CB4" w:rsidRPr="00BC4EE7" w:rsidRDefault="00D65CB4">
            <w:pPr>
              <w:spacing w:after="0" w:line="240" w:lineRule="auto"/>
              <w:rPr>
                <w:rFonts w:ascii="Times New Roman" w:hAnsi="Times New Roman" w:cs="Times New Roman"/>
                <w:b/>
                <w:noProof/>
                <w:sz w:val="18"/>
              </w:rPr>
            </w:pPr>
          </w:p>
        </w:tc>
      </w:tr>
      <w:tr w:rsidR="00D65CB4" w:rsidRPr="00BC4EE7" w14:paraId="16052931" w14:textId="77777777" w:rsidTr="00BC4EE7">
        <w:trPr>
          <w:trHeight w:val="309"/>
        </w:trPr>
        <w:tc>
          <w:tcPr>
            <w:tcW w:w="710" w:type="dxa"/>
            <w:tcBorders>
              <w:top w:val="single" w:sz="4" w:space="0" w:color="auto"/>
              <w:left w:val="single" w:sz="4" w:space="0" w:color="auto"/>
              <w:bottom w:val="single" w:sz="4" w:space="0" w:color="auto"/>
              <w:right w:val="single" w:sz="4" w:space="0" w:color="auto"/>
            </w:tcBorders>
            <w:shd w:val="clear" w:color="auto" w:fill="C6EFCE"/>
            <w:noWrap/>
          </w:tcPr>
          <w:p w14:paraId="234E058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273</w:t>
            </w:r>
          </w:p>
        </w:tc>
        <w:tc>
          <w:tcPr>
            <w:tcW w:w="955" w:type="dxa"/>
            <w:tcBorders>
              <w:top w:val="single" w:sz="4" w:space="0" w:color="auto"/>
              <w:left w:val="single" w:sz="4" w:space="0" w:color="auto"/>
              <w:bottom w:val="single" w:sz="4" w:space="0" w:color="auto"/>
              <w:right w:val="single" w:sz="4" w:space="0" w:color="auto"/>
            </w:tcBorders>
            <w:shd w:val="clear" w:color="auto" w:fill="C6EFCE"/>
            <w:noWrap/>
          </w:tcPr>
          <w:p w14:paraId="0338031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C18.R1</w:t>
            </w:r>
          </w:p>
        </w:tc>
        <w:tc>
          <w:tcPr>
            <w:tcW w:w="887" w:type="dxa"/>
            <w:tcBorders>
              <w:top w:val="single" w:sz="4" w:space="0" w:color="auto"/>
              <w:left w:val="single" w:sz="4" w:space="0" w:color="auto"/>
              <w:bottom w:val="single" w:sz="4" w:space="0" w:color="auto"/>
              <w:right w:val="single" w:sz="4" w:space="0" w:color="auto"/>
            </w:tcBorders>
            <w:shd w:val="clear" w:color="auto" w:fill="C6EFCE"/>
            <w:noWrap/>
          </w:tcPr>
          <w:p w14:paraId="16DA349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2660" w:type="dxa"/>
            <w:tcBorders>
              <w:top w:val="single" w:sz="4" w:space="0" w:color="auto"/>
              <w:left w:val="single" w:sz="4" w:space="0" w:color="auto"/>
              <w:bottom w:val="single" w:sz="4" w:space="0" w:color="auto"/>
              <w:right w:val="single" w:sz="4" w:space="0" w:color="auto"/>
            </w:tcBorders>
            <w:shd w:val="clear" w:color="auto" w:fill="C6EFCE"/>
            <w:noWrap/>
          </w:tcPr>
          <w:p w14:paraId="4C1F312F" w14:textId="77777777" w:rsidR="00D65CB4" w:rsidRPr="00BC4EE7" w:rsidRDefault="00572307">
            <w:pPr>
              <w:pStyle w:val="P68B1DB1-Normal12"/>
              <w:spacing w:after="0" w:line="240" w:lineRule="auto"/>
              <w:rPr>
                <w:rFonts w:cs="Times New Roman"/>
                <w:noProof/>
              </w:rPr>
            </w:pPr>
            <w:r w:rsidRPr="00BC4EE7">
              <w:rPr>
                <w:rFonts w:cs="Times New Roman"/>
                <w:noProof/>
              </w:rPr>
              <w:t>Az alapellátásra és a közösségi ellátásra vonatkozó cselekvési terv</w:t>
            </w:r>
          </w:p>
        </w:tc>
        <w:tc>
          <w:tcPr>
            <w:tcW w:w="1241" w:type="dxa"/>
            <w:tcBorders>
              <w:top w:val="single" w:sz="4" w:space="0" w:color="auto"/>
              <w:left w:val="single" w:sz="4" w:space="0" w:color="auto"/>
              <w:bottom w:val="single" w:sz="4" w:space="0" w:color="auto"/>
              <w:right w:val="single" w:sz="4" w:space="0" w:color="auto"/>
            </w:tcBorders>
            <w:shd w:val="clear" w:color="auto" w:fill="C6EFCE"/>
            <w:noWrap/>
          </w:tcPr>
          <w:p w14:paraId="63AEC3B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A Consejo Interterritorial általi jóváhagyás </w:t>
            </w:r>
          </w:p>
        </w:tc>
        <w:tc>
          <w:tcPr>
            <w:tcW w:w="691" w:type="dxa"/>
            <w:tcBorders>
              <w:top w:val="single" w:sz="4" w:space="0" w:color="auto"/>
              <w:left w:val="single" w:sz="4" w:space="0" w:color="auto"/>
              <w:bottom w:val="single" w:sz="4" w:space="0" w:color="auto"/>
              <w:right w:val="single" w:sz="4" w:space="0" w:color="auto"/>
            </w:tcBorders>
            <w:shd w:val="clear" w:color="auto" w:fill="C6EFCE"/>
            <w:noWrap/>
          </w:tcPr>
          <w:p w14:paraId="429850E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66" w:type="dxa"/>
            <w:tcBorders>
              <w:top w:val="single" w:sz="4" w:space="0" w:color="auto"/>
              <w:left w:val="single" w:sz="4" w:space="0" w:color="auto"/>
              <w:bottom w:val="single" w:sz="4" w:space="0" w:color="auto"/>
              <w:right w:val="single" w:sz="4" w:space="0" w:color="auto"/>
            </w:tcBorders>
            <w:shd w:val="clear" w:color="auto" w:fill="C6EFCE"/>
            <w:noWrap/>
          </w:tcPr>
          <w:p w14:paraId="68647193"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7066156D"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1750EE9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16DCB67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2021</w:t>
            </w:r>
          </w:p>
        </w:tc>
        <w:tc>
          <w:tcPr>
            <w:tcW w:w="5517" w:type="dxa"/>
            <w:tcBorders>
              <w:top w:val="single" w:sz="4" w:space="0" w:color="auto"/>
              <w:left w:val="single" w:sz="4" w:space="0" w:color="auto"/>
              <w:bottom w:val="single" w:sz="4" w:space="0" w:color="auto"/>
              <w:right w:val="single" w:sz="4" w:space="0" w:color="auto"/>
            </w:tcBorders>
            <w:shd w:val="clear" w:color="auto" w:fill="C6EFCE"/>
            <w:noWrap/>
          </w:tcPr>
          <w:p w14:paraId="2C500CBB"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cselekvési terv fő célja az elsődleges ellátás megerősítése a nemzeti egészségügyi rendszerben annak érdekében, hogy jobb válaszokat kínáljon az újonnan felmerülő egészségügyi problémákra, javítsa az ellátással kapcsolatos egyéni tapasztalatokat mindenki számára, megelőzze a betegségeket, és növelje az elsődleges ellátás képességét az egészségügyi problémák megoldására.</w:t>
            </w:r>
          </w:p>
        </w:tc>
      </w:tr>
      <w:tr w:rsidR="00D65CB4" w:rsidRPr="00BC4EE7" w14:paraId="311F85DC" w14:textId="77777777" w:rsidTr="00BC4EE7">
        <w:trPr>
          <w:trHeight w:val="309"/>
        </w:trPr>
        <w:tc>
          <w:tcPr>
            <w:tcW w:w="710" w:type="dxa"/>
            <w:tcBorders>
              <w:top w:val="single" w:sz="4" w:space="0" w:color="auto"/>
              <w:left w:val="single" w:sz="4" w:space="0" w:color="auto"/>
              <w:bottom w:val="single" w:sz="4" w:space="0" w:color="auto"/>
              <w:right w:val="single" w:sz="4" w:space="0" w:color="auto"/>
            </w:tcBorders>
            <w:shd w:val="clear" w:color="auto" w:fill="C6EFCE"/>
            <w:noWrap/>
          </w:tcPr>
          <w:p w14:paraId="5F0A0CA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274</w:t>
            </w:r>
          </w:p>
        </w:tc>
        <w:tc>
          <w:tcPr>
            <w:tcW w:w="955" w:type="dxa"/>
            <w:tcBorders>
              <w:top w:val="single" w:sz="4" w:space="0" w:color="auto"/>
              <w:left w:val="single" w:sz="4" w:space="0" w:color="auto"/>
              <w:bottom w:val="single" w:sz="4" w:space="0" w:color="auto"/>
              <w:right w:val="single" w:sz="4" w:space="0" w:color="auto"/>
            </w:tcBorders>
            <w:shd w:val="clear" w:color="auto" w:fill="C6EFCE"/>
            <w:noWrap/>
          </w:tcPr>
          <w:p w14:paraId="1F951474"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C18.R2</w:t>
            </w:r>
          </w:p>
        </w:tc>
        <w:tc>
          <w:tcPr>
            <w:tcW w:w="887" w:type="dxa"/>
            <w:tcBorders>
              <w:top w:val="single" w:sz="4" w:space="0" w:color="auto"/>
              <w:left w:val="single" w:sz="4" w:space="0" w:color="auto"/>
              <w:bottom w:val="single" w:sz="4" w:space="0" w:color="auto"/>
              <w:right w:val="single" w:sz="4" w:space="0" w:color="auto"/>
            </w:tcBorders>
            <w:shd w:val="clear" w:color="auto" w:fill="C6EFCE"/>
            <w:noWrap/>
          </w:tcPr>
          <w:p w14:paraId="353E642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2660" w:type="dxa"/>
            <w:tcBorders>
              <w:top w:val="single" w:sz="4" w:space="0" w:color="auto"/>
              <w:left w:val="single" w:sz="4" w:space="0" w:color="auto"/>
              <w:bottom w:val="single" w:sz="4" w:space="0" w:color="auto"/>
              <w:right w:val="single" w:sz="4" w:space="0" w:color="auto"/>
            </w:tcBorders>
            <w:shd w:val="clear" w:color="auto" w:fill="C6EFCE"/>
            <w:noWrap/>
          </w:tcPr>
          <w:p w14:paraId="359621D6"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 spanyol közegészségügyi stratégia jóváhagyása </w:t>
            </w:r>
          </w:p>
        </w:tc>
        <w:tc>
          <w:tcPr>
            <w:tcW w:w="1241" w:type="dxa"/>
            <w:tcBorders>
              <w:top w:val="single" w:sz="4" w:space="0" w:color="auto"/>
              <w:left w:val="single" w:sz="4" w:space="0" w:color="auto"/>
              <w:bottom w:val="single" w:sz="4" w:space="0" w:color="auto"/>
              <w:right w:val="single" w:sz="4" w:space="0" w:color="auto"/>
            </w:tcBorders>
            <w:shd w:val="clear" w:color="auto" w:fill="C6EFCE"/>
            <w:noWrap/>
          </w:tcPr>
          <w:p w14:paraId="5B9CE28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A </w:t>
            </w:r>
            <w:r w:rsidRPr="00BC4EE7">
              <w:rPr>
                <w:rFonts w:cs="Times New Roman"/>
                <w:i/>
                <w:noProof/>
              </w:rPr>
              <w:t>Consejo Interterritorial Sanidad</w:t>
            </w:r>
            <w:r w:rsidRPr="00BC4EE7">
              <w:rPr>
                <w:rFonts w:cs="Times New Roman"/>
                <w:noProof/>
              </w:rPr>
              <w:t>jóváhagyása</w:t>
            </w:r>
          </w:p>
        </w:tc>
        <w:tc>
          <w:tcPr>
            <w:tcW w:w="691" w:type="dxa"/>
            <w:tcBorders>
              <w:top w:val="single" w:sz="4" w:space="0" w:color="auto"/>
              <w:left w:val="single" w:sz="4" w:space="0" w:color="auto"/>
              <w:bottom w:val="single" w:sz="4" w:space="0" w:color="auto"/>
              <w:right w:val="single" w:sz="4" w:space="0" w:color="auto"/>
            </w:tcBorders>
            <w:shd w:val="clear" w:color="auto" w:fill="C6EFCE"/>
            <w:noWrap/>
          </w:tcPr>
          <w:p w14:paraId="2CAA984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66" w:type="dxa"/>
            <w:tcBorders>
              <w:top w:val="single" w:sz="4" w:space="0" w:color="auto"/>
              <w:left w:val="single" w:sz="4" w:space="0" w:color="auto"/>
              <w:bottom w:val="single" w:sz="4" w:space="0" w:color="auto"/>
              <w:right w:val="single" w:sz="4" w:space="0" w:color="auto"/>
            </w:tcBorders>
            <w:shd w:val="clear" w:color="auto" w:fill="C6EFCE"/>
            <w:noWrap/>
          </w:tcPr>
          <w:p w14:paraId="27A0A9B8"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599BCE16"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493DFE74"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Q2</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6A57878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2022</w:t>
            </w:r>
          </w:p>
        </w:tc>
        <w:tc>
          <w:tcPr>
            <w:tcW w:w="5517" w:type="dxa"/>
            <w:tcBorders>
              <w:top w:val="single" w:sz="4" w:space="0" w:color="auto"/>
              <w:left w:val="single" w:sz="4" w:space="0" w:color="auto"/>
              <w:bottom w:val="single" w:sz="4" w:space="0" w:color="auto"/>
              <w:right w:val="single" w:sz="4" w:space="0" w:color="auto"/>
            </w:tcBorders>
            <w:shd w:val="clear" w:color="auto" w:fill="C6EFCE"/>
            <w:noWrap/>
          </w:tcPr>
          <w:p w14:paraId="3AF70249"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 közegészségügyi stratégia meghatározza a spanyolországi közegészségügyi intézkedésekre vonatkozó stratégiai iránymutatásokat. A stratégia célja, hogy javítsa a spanyol lakosság egészségét azáltal, hogy meghatározza azokat az alapvető irányvonalakat és prioritásokat, amelyeket az egészségügyi hatóságoknak követniük kell a közegészségügy előmozdítására, megelőzésére és védelmére irányuló politikáikban, a célcsoportokra irányuló fellépésekben, a polgárok tájékoztatásában, a szakemberek képzésében és szükségleteik kielégítésében. A stratégia biztosítja, hogy a közegészségügyet és az egészségügyi ellátáshoz való egyenlő hozzáférést valamennyi közpolitikában figyelembe vegyék, és elősegíti az ágazatközi fellépést ezen a területen. Időtartama öt év, és kétévente időközi értékeléseket kell végezni, amelyek során elemezni kell a végrehajtás mértékét. A stratégia magában foglalja a közegészségügy valamennyi területéhez kapcsolódó intézkedéseket és fellépéseket, amelyeket a stratégia időtartama alatt, a stratégiában meghatározott határidőkön belül végre kell hajtani Spanyolország valamennyi egészségügyi közigazgatási szervének politikáiban, terveiben és programjaiban.  </w:t>
            </w:r>
          </w:p>
        </w:tc>
      </w:tr>
      <w:tr w:rsidR="00D65CB4" w:rsidRPr="00BC4EE7" w14:paraId="3EB075B5" w14:textId="77777777" w:rsidTr="00BC4EE7">
        <w:trPr>
          <w:trHeight w:val="309"/>
        </w:trPr>
        <w:tc>
          <w:tcPr>
            <w:tcW w:w="710" w:type="dxa"/>
            <w:tcBorders>
              <w:top w:val="single" w:sz="4" w:space="0" w:color="auto"/>
              <w:left w:val="single" w:sz="4" w:space="0" w:color="auto"/>
              <w:bottom w:val="single" w:sz="4" w:space="0" w:color="auto"/>
              <w:right w:val="single" w:sz="4" w:space="0" w:color="auto"/>
            </w:tcBorders>
            <w:shd w:val="clear" w:color="auto" w:fill="C6EFCE"/>
            <w:noWrap/>
          </w:tcPr>
          <w:p w14:paraId="215F0C8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275</w:t>
            </w:r>
          </w:p>
        </w:tc>
        <w:tc>
          <w:tcPr>
            <w:tcW w:w="955" w:type="dxa"/>
            <w:tcBorders>
              <w:top w:val="single" w:sz="4" w:space="0" w:color="auto"/>
              <w:left w:val="single" w:sz="4" w:space="0" w:color="auto"/>
              <w:bottom w:val="single" w:sz="4" w:space="0" w:color="auto"/>
              <w:right w:val="single" w:sz="4" w:space="0" w:color="auto"/>
            </w:tcBorders>
            <w:shd w:val="clear" w:color="auto" w:fill="C6EFCE"/>
            <w:noWrap/>
          </w:tcPr>
          <w:p w14:paraId="566FAAE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C18.R3</w:t>
            </w:r>
          </w:p>
        </w:tc>
        <w:tc>
          <w:tcPr>
            <w:tcW w:w="887" w:type="dxa"/>
            <w:tcBorders>
              <w:top w:val="single" w:sz="4" w:space="0" w:color="auto"/>
              <w:left w:val="single" w:sz="4" w:space="0" w:color="auto"/>
              <w:bottom w:val="single" w:sz="4" w:space="0" w:color="auto"/>
              <w:right w:val="single" w:sz="4" w:space="0" w:color="auto"/>
            </w:tcBorders>
            <w:shd w:val="clear" w:color="auto" w:fill="C6EFCE"/>
            <w:noWrap/>
          </w:tcPr>
          <w:p w14:paraId="14FCF57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2660" w:type="dxa"/>
            <w:tcBorders>
              <w:top w:val="single" w:sz="4" w:space="0" w:color="auto"/>
              <w:left w:val="single" w:sz="4" w:space="0" w:color="auto"/>
              <w:bottom w:val="single" w:sz="4" w:space="0" w:color="auto"/>
              <w:right w:val="single" w:sz="4" w:space="0" w:color="auto"/>
            </w:tcBorders>
            <w:shd w:val="clear" w:color="auto" w:fill="C6EFCE"/>
            <w:noWrap/>
          </w:tcPr>
          <w:p w14:paraId="47613530"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nemzeti egészségügyi rendszer méltányosságáról, egyetemességéről és kohéziójáról szóló törvény, valamint a rendkívül összetett ellátás átirányítása és a közös szolgáltatásportfólió növekedése</w:t>
            </w:r>
          </w:p>
        </w:tc>
        <w:tc>
          <w:tcPr>
            <w:tcW w:w="1241" w:type="dxa"/>
            <w:tcBorders>
              <w:top w:val="single" w:sz="4" w:space="0" w:color="auto"/>
              <w:left w:val="single" w:sz="4" w:space="0" w:color="auto"/>
              <w:bottom w:val="single" w:sz="4" w:space="0" w:color="auto"/>
              <w:right w:val="single" w:sz="4" w:space="0" w:color="auto"/>
            </w:tcBorders>
            <w:shd w:val="clear" w:color="auto" w:fill="C6EFCE"/>
            <w:noWrap/>
          </w:tcPr>
          <w:p w14:paraId="7742484D"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A törvény hatálybalépése és a </w:t>
            </w:r>
            <w:r w:rsidRPr="00BC4EE7">
              <w:rPr>
                <w:rFonts w:cs="Times New Roman"/>
                <w:i/>
                <w:noProof/>
              </w:rPr>
              <w:t>Consejo Interterritorial Sanidad általi</w:t>
            </w:r>
            <w:r w:rsidRPr="00BC4EE7">
              <w:rPr>
                <w:rFonts w:cs="Times New Roman"/>
                <w:noProof/>
              </w:rPr>
              <w:t xml:space="preserve">jóváhagyások </w:t>
            </w:r>
          </w:p>
        </w:tc>
        <w:tc>
          <w:tcPr>
            <w:tcW w:w="691" w:type="dxa"/>
            <w:tcBorders>
              <w:top w:val="single" w:sz="4" w:space="0" w:color="auto"/>
              <w:left w:val="single" w:sz="4" w:space="0" w:color="auto"/>
              <w:bottom w:val="single" w:sz="4" w:space="0" w:color="auto"/>
              <w:right w:val="single" w:sz="4" w:space="0" w:color="auto"/>
            </w:tcBorders>
            <w:shd w:val="clear" w:color="auto" w:fill="C6EFCE"/>
            <w:noWrap/>
          </w:tcPr>
          <w:p w14:paraId="44DCB85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66" w:type="dxa"/>
            <w:tcBorders>
              <w:top w:val="single" w:sz="4" w:space="0" w:color="auto"/>
              <w:left w:val="single" w:sz="4" w:space="0" w:color="auto"/>
              <w:bottom w:val="single" w:sz="4" w:space="0" w:color="auto"/>
              <w:right w:val="single" w:sz="4" w:space="0" w:color="auto"/>
            </w:tcBorders>
            <w:shd w:val="clear" w:color="auto" w:fill="C6EFCE"/>
            <w:noWrap/>
          </w:tcPr>
          <w:p w14:paraId="6297EF7D"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79CB761C"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0D7EF90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5B232CF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2023</w:t>
            </w:r>
          </w:p>
        </w:tc>
        <w:tc>
          <w:tcPr>
            <w:tcW w:w="5517" w:type="dxa"/>
            <w:tcBorders>
              <w:top w:val="single" w:sz="4" w:space="0" w:color="auto"/>
              <w:left w:val="single" w:sz="4" w:space="0" w:color="auto"/>
              <w:bottom w:val="single" w:sz="4" w:space="0" w:color="auto"/>
              <w:right w:val="single" w:sz="4" w:space="0" w:color="auto"/>
            </w:tcBorders>
            <w:shd w:val="clear" w:color="auto" w:fill="C6EFCE"/>
            <w:noWrap/>
          </w:tcPr>
          <w:p w14:paraId="6F811A3B" w14:textId="77777777" w:rsidR="00D65CB4" w:rsidRPr="00BC4EE7" w:rsidRDefault="00572307">
            <w:pPr>
              <w:pStyle w:val="P68B1DB1-Normal12"/>
              <w:spacing w:after="0" w:line="240" w:lineRule="auto"/>
              <w:rPr>
                <w:rFonts w:cs="Times New Roman"/>
                <w:noProof/>
              </w:rPr>
            </w:pPr>
            <w:r w:rsidRPr="00BC4EE7">
              <w:rPr>
                <w:rFonts w:cs="Times New Roman"/>
                <w:noProof/>
              </w:rPr>
              <w:t xml:space="preserve">A törvény célkitűzései és építőkövei a következők: Az egészségügyi ellátáshoz való hozzáférés biztosítása mindenki számára, a betegek képviselőinek integrálása a spanyol nemzeti egészségügyi rendszer irányító szerveibe, az új hozzájárulások alkalmazásának korlátozása, a szociális és egészségügyi előnyök fogalommeghatározásának megváltoztatása a nemzeti egészségügyi rendszer portfóliójában, az egészségügyi és szociális hatóságok közötti koordináció biztosítása, a terület valamennyi szabályozási változására vonatkozó hatásvizsgálat bevezetése, végül pedig a gyógyszerek nemzeti egészségügyi rendszerben való alkalmazásának reformja. Ezt a törvényt részletes hatásvizsgálatnak kell kísérnie, amelyet szintén közzé kell tenni, megvizsgálva annak az államháztartás hosszú távú fenntarthatóságára gyakorolt hatásait is. </w:t>
            </w:r>
          </w:p>
          <w:p w14:paraId="46D8381A" w14:textId="77777777" w:rsidR="00D65CB4" w:rsidRPr="00BC4EE7" w:rsidRDefault="00D65CB4">
            <w:pPr>
              <w:spacing w:after="0" w:line="240" w:lineRule="auto"/>
              <w:rPr>
                <w:rFonts w:ascii="Times New Roman" w:hAnsi="Times New Roman" w:cs="Times New Roman"/>
                <w:noProof/>
                <w:sz w:val="18"/>
              </w:rPr>
            </w:pPr>
          </w:p>
          <w:p w14:paraId="6FED2239" w14:textId="5AFA5792" w:rsidR="00D65CB4" w:rsidRPr="00BC4EE7" w:rsidRDefault="00572307">
            <w:pPr>
              <w:pStyle w:val="P68B1DB1-Normal12"/>
              <w:spacing w:after="0" w:line="240" w:lineRule="auto"/>
              <w:rPr>
                <w:rFonts w:cs="Times New Roman"/>
                <w:noProof/>
              </w:rPr>
            </w:pPr>
            <w:r w:rsidRPr="00BC4EE7">
              <w:rPr>
                <w:rFonts w:cs="Times New Roman"/>
                <w:noProof/>
              </w:rPr>
              <w:t xml:space="preserve">A </w:t>
            </w:r>
            <w:r w:rsidRPr="00BC4EE7">
              <w:rPr>
                <w:rFonts w:cs="Times New Roman"/>
                <w:i/>
                <w:noProof/>
              </w:rPr>
              <w:t>Consejo Interterritorial Sanidad</w:t>
            </w:r>
            <w:r w:rsidRPr="00BC4EE7">
              <w:rPr>
                <w:rFonts w:cs="Times New Roman"/>
                <w:noProof/>
              </w:rPr>
              <w:t xml:space="preserve"> megállapodását követően miniszteri rendelet lépett hatályba, amely a közegészségügyi szolgáltatások közös portfólióját legalább a fogápolással, a genomikus gyógyászattal, az ortopédiai és protézises ellátással, valamint a megelőző ellátással kapcsolatos szolgáltatások bővítésével és javításával bővíti. </w:t>
            </w:r>
          </w:p>
          <w:p w14:paraId="7746CA4F" w14:textId="77777777" w:rsidR="00D65CB4" w:rsidRPr="00BC4EE7" w:rsidRDefault="00D65CB4">
            <w:pPr>
              <w:spacing w:after="0" w:line="240" w:lineRule="auto"/>
              <w:rPr>
                <w:rFonts w:ascii="Times New Roman" w:hAnsi="Times New Roman" w:cs="Times New Roman"/>
                <w:noProof/>
                <w:sz w:val="18"/>
              </w:rPr>
            </w:pPr>
          </w:p>
          <w:p w14:paraId="71CC1E39" w14:textId="7C562A4E"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 </w:t>
            </w:r>
            <w:r w:rsidRPr="00BC4EE7">
              <w:rPr>
                <w:rFonts w:cs="Times New Roman"/>
                <w:i/>
                <w:noProof/>
              </w:rPr>
              <w:t>Consejo Interterritorial Sanidad</w:t>
            </w:r>
            <w:r w:rsidRPr="00BC4EE7">
              <w:rPr>
                <w:rFonts w:cs="Times New Roman"/>
                <w:noProof/>
              </w:rPr>
              <w:t xml:space="preserve"> jóváhagyása a kapcsolattartó pontok hálózata megszilárdításának és fejlesztésének, valamint a nem az említett központok, szolgálatok és referenciaegységek (CSUR) által igazgatott ellátás átszervezésének</w:t>
            </w:r>
          </w:p>
        </w:tc>
      </w:tr>
      <w:tr w:rsidR="00D65CB4" w:rsidRPr="00BC4EE7" w14:paraId="2A694D2D" w14:textId="77777777" w:rsidTr="00BC4EE7">
        <w:trPr>
          <w:trHeight w:val="309"/>
        </w:trPr>
        <w:tc>
          <w:tcPr>
            <w:tcW w:w="710" w:type="dxa"/>
            <w:tcBorders>
              <w:top w:val="single" w:sz="4" w:space="0" w:color="auto"/>
              <w:left w:val="single" w:sz="4" w:space="0" w:color="auto"/>
              <w:bottom w:val="single" w:sz="4" w:space="0" w:color="auto"/>
              <w:right w:val="single" w:sz="4" w:space="0" w:color="auto"/>
            </w:tcBorders>
            <w:shd w:val="clear" w:color="auto" w:fill="C6EFCE"/>
            <w:noWrap/>
          </w:tcPr>
          <w:p w14:paraId="12A0641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276</w:t>
            </w:r>
          </w:p>
        </w:tc>
        <w:tc>
          <w:tcPr>
            <w:tcW w:w="955" w:type="dxa"/>
            <w:tcBorders>
              <w:top w:val="single" w:sz="4" w:space="0" w:color="auto"/>
              <w:left w:val="single" w:sz="4" w:space="0" w:color="auto"/>
              <w:bottom w:val="single" w:sz="4" w:space="0" w:color="auto"/>
              <w:right w:val="single" w:sz="4" w:space="0" w:color="auto"/>
            </w:tcBorders>
            <w:shd w:val="clear" w:color="auto" w:fill="C6EFCE"/>
            <w:noWrap/>
          </w:tcPr>
          <w:p w14:paraId="2E2D91B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C18.R4</w:t>
            </w:r>
          </w:p>
        </w:tc>
        <w:tc>
          <w:tcPr>
            <w:tcW w:w="887" w:type="dxa"/>
            <w:tcBorders>
              <w:top w:val="single" w:sz="4" w:space="0" w:color="auto"/>
              <w:left w:val="single" w:sz="4" w:space="0" w:color="auto"/>
              <w:bottom w:val="single" w:sz="4" w:space="0" w:color="auto"/>
              <w:right w:val="single" w:sz="4" w:space="0" w:color="auto"/>
            </w:tcBorders>
            <w:shd w:val="clear" w:color="auto" w:fill="C6EFCE"/>
            <w:noWrap/>
          </w:tcPr>
          <w:p w14:paraId="253AEF0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2660" w:type="dxa"/>
            <w:tcBorders>
              <w:top w:val="single" w:sz="4" w:space="0" w:color="auto"/>
              <w:left w:val="single" w:sz="4" w:space="0" w:color="auto"/>
              <w:bottom w:val="single" w:sz="4" w:space="0" w:color="auto"/>
              <w:right w:val="single" w:sz="4" w:space="0" w:color="auto"/>
            </w:tcBorders>
            <w:shd w:val="clear" w:color="auto" w:fill="C6EFCE"/>
            <w:noWrap/>
          </w:tcPr>
          <w:p w14:paraId="60F063BD" w14:textId="2B4C6ABE" w:rsidR="00D65CB4" w:rsidRPr="00BC4EE7" w:rsidRDefault="00572307">
            <w:pPr>
              <w:pStyle w:val="P68B1DB1-Normal12"/>
              <w:spacing w:after="0" w:line="240" w:lineRule="auto"/>
              <w:rPr>
                <w:rFonts w:eastAsia="Times New Roman" w:cs="Times New Roman"/>
                <w:noProof/>
              </w:rPr>
            </w:pPr>
            <w:r w:rsidRPr="00BC4EE7">
              <w:rPr>
                <w:rFonts w:cs="Times New Roman"/>
                <w:noProof/>
              </w:rPr>
              <w:t>A törvény által előírt egészségügyi szolgálatok személyi állományának keretszabályzatáról szóló törvény, egyéb kiegészítő intézkedések és a szakorvosi képzési rendszer fejlesztése</w:t>
            </w:r>
          </w:p>
        </w:tc>
        <w:tc>
          <w:tcPr>
            <w:tcW w:w="1241" w:type="dxa"/>
            <w:tcBorders>
              <w:top w:val="single" w:sz="4" w:space="0" w:color="auto"/>
              <w:left w:val="single" w:sz="4" w:space="0" w:color="auto"/>
              <w:bottom w:val="single" w:sz="4" w:space="0" w:color="auto"/>
              <w:right w:val="single" w:sz="4" w:space="0" w:color="auto"/>
            </w:tcBorders>
            <w:shd w:val="clear" w:color="auto" w:fill="C6EFCE"/>
            <w:noWrap/>
          </w:tcPr>
          <w:p w14:paraId="012F2A1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A törvénymódosítás hatálybalépése és a királyi rendelet hatálybalépése</w:t>
            </w:r>
          </w:p>
        </w:tc>
        <w:tc>
          <w:tcPr>
            <w:tcW w:w="691" w:type="dxa"/>
            <w:tcBorders>
              <w:top w:val="single" w:sz="4" w:space="0" w:color="auto"/>
              <w:left w:val="single" w:sz="4" w:space="0" w:color="auto"/>
              <w:bottom w:val="single" w:sz="4" w:space="0" w:color="auto"/>
              <w:right w:val="single" w:sz="4" w:space="0" w:color="auto"/>
            </w:tcBorders>
            <w:shd w:val="clear" w:color="auto" w:fill="C6EFCE"/>
            <w:noWrap/>
          </w:tcPr>
          <w:p w14:paraId="096EABCB"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66" w:type="dxa"/>
            <w:tcBorders>
              <w:top w:val="single" w:sz="4" w:space="0" w:color="auto"/>
              <w:left w:val="single" w:sz="4" w:space="0" w:color="auto"/>
              <w:bottom w:val="single" w:sz="4" w:space="0" w:color="auto"/>
              <w:right w:val="single" w:sz="4" w:space="0" w:color="auto"/>
            </w:tcBorders>
            <w:shd w:val="clear" w:color="auto" w:fill="C6EFCE"/>
            <w:noWrap/>
          </w:tcPr>
          <w:p w14:paraId="75C152C0"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14908A73"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081C0ED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3772C06D"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2023</w:t>
            </w:r>
          </w:p>
        </w:tc>
        <w:tc>
          <w:tcPr>
            <w:tcW w:w="5517" w:type="dxa"/>
            <w:tcBorders>
              <w:top w:val="single" w:sz="4" w:space="0" w:color="auto"/>
              <w:left w:val="single" w:sz="4" w:space="0" w:color="auto"/>
              <w:bottom w:val="single" w:sz="4" w:space="0" w:color="auto"/>
              <w:right w:val="single" w:sz="4" w:space="0" w:color="auto"/>
            </w:tcBorders>
            <w:shd w:val="clear" w:color="auto" w:fill="C6EFCE"/>
            <w:noWrap/>
          </w:tcPr>
          <w:p w14:paraId="5950B7B8" w14:textId="58322BE4" w:rsidR="00D65CB4" w:rsidRPr="00BC4EE7" w:rsidRDefault="00572307">
            <w:pPr>
              <w:pStyle w:val="P68B1DB1-Normal12"/>
              <w:spacing w:after="0" w:line="240" w:lineRule="auto"/>
              <w:rPr>
                <w:rFonts w:cs="Times New Roman"/>
                <w:noProof/>
              </w:rPr>
            </w:pPr>
            <w:r w:rsidRPr="00BC4EE7">
              <w:rPr>
                <w:rFonts w:cs="Times New Roman"/>
                <w:noProof/>
              </w:rPr>
              <w:t>A keretszabályzat az egészségügyi tisztviselői jogálláshoz való hozzáférést szabályozó alapvető norma, amely az állások biztosítását, az előléptetést, a mobilitást és a munkakörülményeket szabályozza.</w:t>
            </w:r>
          </w:p>
          <w:p w14:paraId="5451E507" w14:textId="77777777" w:rsidR="00D65CB4" w:rsidRPr="00BC4EE7" w:rsidRDefault="00572307">
            <w:pPr>
              <w:spacing w:after="0" w:line="240" w:lineRule="auto"/>
              <w:rPr>
                <w:rFonts w:ascii="Times New Roman" w:hAnsi="Times New Roman" w:cs="Times New Roman"/>
                <w:noProof/>
                <w:sz w:val="18"/>
              </w:rPr>
            </w:pPr>
            <w:r w:rsidRPr="00BC4EE7">
              <w:rPr>
                <w:rFonts w:ascii="Times New Roman" w:hAnsi="Times New Roman" w:cs="Times New Roman"/>
                <w:noProof/>
                <w:sz w:val="18"/>
              </w:rPr>
              <w:t xml:space="preserve">A módosítás közvetlen célkitűzései a következők: </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A határozott idejű szerződések számának csökkentése.</w:t>
            </w:r>
          </w:p>
          <w:p w14:paraId="0BF6442E" w14:textId="77DED138" w:rsidR="00D65CB4" w:rsidRPr="00BC4EE7" w:rsidRDefault="00572307">
            <w:pPr>
              <w:pStyle w:val="P68B1DB1-Normal12"/>
              <w:spacing w:after="0" w:line="240" w:lineRule="auto"/>
              <w:rPr>
                <w:rFonts w:cs="Times New Roman"/>
                <w:noProof/>
              </w:rPr>
            </w:pPr>
            <w:r w:rsidRPr="00BC4EE7">
              <w:rPr>
                <w:rFonts w:cs="Times New Roman"/>
                <w:noProof/>
              </w:rPr>
              <w:t>Ezt a törvényt mélyreható hatásvizsgálatnak kell kísérnie, amely megvizsgálja annak az államháztartás hosszú távú fenntarthatóságára gyakorolt hatásait is.</w:t>
            </w:r>
          </w:p>
          <w:p w14:paraId="79EBE2C4" w14:textId="3A0D56DE" w:rsidR="00D65CB4" w:rsidRPr="00BC4EE7" w:rsidRDefault="00572307">
            <w:pPr>
              <w:pStyle w:val="P68B1DB1-Normal12"/>
              <w:spacing w:after="0" w:line="240" w:lineRule="auto"/>
              <w:rPr>
                <w:rFonts w:eastAsia="Times New Roman" w:cs="Times New Roman"/>
                <w:noProof/>
              </w:rPr>
            </w:pPr>
            <w:r w:rsidRPr="00BC4EE7">
              <w:rPr>
                <w:rFonts w:cs="Times New Roman"/>
                <w:noProof/>
              </w:rPr>
              <w:t>A módosítást egyéb, jogilag kötelező erejű szabályokkal és kísérő intézkedésekkel kell kiegészíteni a következők érdekében:</w:t>
            </w:r>
          </w:p>
          <w:p w14:paraId="473D5362" w14:textId="4AAB8FB2" w:rsidR="00D65CB4" w:rsidRPr="00BC4EE7" w:rsidRDefault="00572307">
            <w:pPr>
              <w:spacing w:after="0" w:line="240" w:lineRule="auto"/>
              <w:rPr>
                <w:rFonts w:ascii="Times New Roman" w:hAnsi="Times New Roman" w:cs="Times New Roman"/>
                <w:noProof/>
                <w:sz w:val="18"/>
              </w:rPr>
            </w:pPr>
            <w:r w:rsidRPr="00BC4EE7">
              <w:rPr>
                <w:rFonts w:ascii="Times New Roman" w:hAnsi="Times New Roman" w:cs="Times New Roman"/>
                <w:noProof/>
                <w:sz w:val="18"/>
              </w:rPr>
              <w:t xml:space="preserve">Annak biztosítása, hogy a szakemberek bizonyos földrajzi területeken való alkalmazása ösztönző intézkedések révén nem volt kellően kiszolgálva. </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 A környezet és a munkakörülmények javítása olyan intézkedések révén, amelyek hozzájárulnak a szakmai fejlődéshez és megőrzik a tehetségeket a spanyol rendszerben, nemcsak a gazdasági feltételek javulásával, hanem azáltal is, hogy lehetőségeket nyitnak meg az egészségügy, az oktatás és a kutatás területén. </w:t>
            </w:r>
            <w:r w:rsidRPr="00BC4EE7">
              <w:rPr>
                <w:rFonts w:ascii="Times New Roman" w:hAnsi="Times New Roman" w:cs="Times New Roman"/>
                <w:noProof/>
              </w:rPr>
              <w:t xml:space="preserve"> </w:t>
            </w:r>
            <w:r w:rsidRPr="00BC4EE7">
              <w:rPr>
                <w:rFonts w:ascii="Times New Roman" w:hAnsi="Times New Roman" w:cs="Times New Roman"/>
                <w:noProof/>
              </w:rPr>
              <w:br/>
            </w:r>
          </w:p>
          <w:p w14:paraId="16B49FF6"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szakorvosi képzési rendszer javításáról szóló királyi rendelet hatálybalépése</w:t>
            </w:r>
          </w:p>
        </w:tc>
      </w:tr>
      <w:tr w:rsidR="00D65CB4" w:rsidRPr="00BC4EE7" w14:paraId="573ABAC6" w14:textId="77777777" w:rsidTr="00BC4EE7">
        <w:trPr>
          <w:trHeight w:val="309"/>
        </w:trPr>
        <w:tc>
          <w:tcPr>
            <w:tcW w:w="710" w:type="dxa"/>
            <w:tcBorders>
              <w:top w:val="single" w:sz="4" w:space="0" w:color="auto"/>
              <w:left w:val="single" w:sz="4" w:space="0" w:color="auto"/>
              <w:bottom w:val="single" w:sz="4" w:space="0" w:color="auto"/>
              <w:right w:val="single" w:sz="4" w:space="0" w:color="auto"/>
            </w:tcBorders>
            <w:shd w:val="clear" w:color="auto" w:fill="C6EFCE"/>
            <w:noWrap/>
          </w:tcPr>
          <w:p w14:paraId="24C282A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277</w:t>
            </w:r>
          </w:p>
        </w:tc>
        <w:tc>
          <w:tcPr>
            <w:tcW w:w="955" w:type="dxa"/>
            <w:tcBorders>
              <w:top w:val="single" w:sz="4" w:space="0" w:color="auto"/>
              <w:left w:val="single" w:sz="4" w:space="0" w:color="auto"/>
              <w:bottom w:val="single" w:sz="4" w:space="0" w:color="auto"/>
              <w:right w:val="single" w:sz="4" w:space="0" w:color="auto"/>
            </w:tcBorders>
            <w:shd w:val="clear" w:color="auto" w:fill="C6EFCE"/>
            <w:noWrap/>
          </w:tcPr>
          <w:p w14:paraId="551B093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C18.R5</w:t>
            </w:r>
          </w:p>
        </w:tc>
        <w:tc>
          <w:tcPr>
            <w:tcW w:w="887" w:type="dxa"/>
            <w:tcBorders>
              <w:top w:val="single" w:sz="4" w:space="0" w:color="auto"/>
              <w:left w:val="single" w:sz="4" w:space="0" w:color="auto"/>
              <w:bottom w:val="single" w:sz="4" w:space="0" w:color="auto"/>
              <w:right w:val="single" w:sz="4" w:space="0" w:color="auto"/>
            </w:tcBorders>
            <w:shd w:val="clear" w:color="auto" w:fill="C6EFCE"/>
            <w:noWrap/>
          </w:tcPr>
          <w:p w14:paraId="093CBCC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2660" w:type="dxa"/>
            <w:tcBorders>
              <w:top w:val="single" w:sz="4" w:space="0" w:color="auto"/>
              <w:left w:val="single" w:sz="4" w:space="0" w:color="auto"/>
              <w:bottom w:val="single" w:sz="4" w:space="0" w:color="auto"/>
              <w:right w:val="single" w:sz="4" w:space="0" w:color="auto"/>
            </w:tcBorders>
            <w:shd w:val="clear" w:color="auto" w:fill="C6EFCE"/>
            <w:noWrap/>
          </w:tcPr>
          <w:p w14:paraId="7A22CA33" w14:textId="77777777" w:rsidR="00D65CB4" w:rsidRPr="00BC4EE7" w:rsidRDefault="00572307">
            <w:pPr>
              <w:pStyle w:val="P68B1DB1-Normal12"/>
              <w:spacing w:after="0" w:line="240" w:lineRule="auto"/>
              <w:rPr>
                <w:rFonts w:cs="Times New Roman"/>
                <w:noProof/>
              </w:rPr>
            </w:pPr>
            <w:r w:rsidRPr="00BC4EE7">
              <w:rPr>
                <w:rFonts w:cs="Times New Roman"/>
                <w:noProof/>
              </w:rPr>
              <w:t xml:space="preserve">Az orvosi termékek garanciáiról és racionális használatáról szóló törvény </w:t>
            </w:r>
          </w:p>
        </w:tc>
        <w:tc>
          <w:tcPr>
            <w:tcW w:w="1241" w:type="dxa"/>
            <w:tcBorders>
              <w:top w:val="single" w:sz="4" w:space="0" w:color="auto"/>
              <w:left w:val="single" w:sz="4" w:space="0" w:color="auto"/>
              <w:bottom w:val="single" w:sz="4" w:space="0" w:color="auto"/>
              <w:right w:val="single" w:sz="4" w:space="0" w:color="auto"/>
            </w:tcBorders>
            <w:shd w:val="clear" w:color="auto" w:fill="C6EFCE"/>
            <w:noWrap/>
          </w:tcPr>
          <w:p w14:paraId="23B3F14D"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A törvény hatálybalépése</w:t>
            </w:r>
          </w:p>
        </w:tc>
        <w:tc>
          <w:tcPr>
            <w:tcW w:w="691" w:type="dxa"/>
            <w:tcBorders>
              <w:top w:val="single" w:sz="4" w:space="0" w:color="auto"/>
              <w:left w:val="single" w:sz="4" w:space="0" w:color="auto"/>
              <w:bottom w:val="single" w:sz="4" w:space="0" w:color="auto"/>
              <w:right w:val="single" w:sz="4" w:space="0" w:color="auto"/>
            </w:tcBorders>
            <w:shd w:val="clear" w:color="auto" w:fill="C6EFCE"/>
            <w:noWrap/>
          </w:tcPr>
          <w:p w14:paraId="493CEAAB"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66" w:type="dxa"/>
            <w:tcBorders>
              <w:top w:val="single" w:sz="4" w:space="0" w:color="auto"/>
              <w:left w:val="single" w:sz="4" w:space="0" w:color="auto"/>
              <w:bottom w:val="single" w:sz="4" w:space="0" w:color="auto"/>
              <w:right w:val="single" w:sz="4" w:space="0" w:color="auto"/>
            </w:tcBorders>
            <w:shd w:val="clear" w:color="auto" w:fill="C6EFCE"/>
            <w:noWrap/>
          </w:tcPr>
          <w:p w14:paraId="410377D7"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3D194527"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0D7EBF0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52739C4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2023</w:t>
            </w:r>
          </w:p>
        </w:tc>
        <w:tc>
          <w:tcPr>
            <w:tcW w:w="5517" w:type="dxa"/>
            <w:tcBorders>
              <w:top w:val="single" w:sz="4" w:space="0" w:color="auto"/>
              <w:left w:val="single" w:sz="4" w:space="0" w:color="auto"/>
              <w:bottom w:val="single" w:sz="4" w:space="0" w:color="auto"/>
              <w:right w:val="single" w:sz="4" w:space="0" w:color="auto"/>
            </w:tcBorders>
            <w:shd w:val="clear" w:color="auto" w:fill="C6EFCE"/>
            <w:noWrap/>
          </w:tcPr>
          <w:p w14:paraId="383E373D" w14:textId="77777777" w:rsidR="00D65CB4" w:rsidRPr="00BC4EE7" w:rsidRDefault="00572307">
            <w:pPr>
              <w:spacing w:after="0" w:line="240" w:lineRule="auto"/>
              <w:rPr>
                <w:rFonts w:ascii="Times New Roman" w:eastAsia="Times New Roman" w:hAnsi="Times New Roman" w:cs="Times New Roman"/>
                <w:noProof/>
                <w:sz w:val="18"/>
              </w:rPr>
            </w:pPr>
            <w:r w:rsidRPr="00BC4EE7">
              <w:rPr>
                <w:rFonts w:ascii="Times New Roman" w:hAnsi="Times New Roman" w:cs="Times New Roman"/>
                <w:noProof/>
                <w:sz w:val="18"/>
              </w:rPr>
              <w:t>A garanciákról és a gyógyászati termékek észszerű használatáról szóló törvény hatálybalépése. E jogi reform fő célkitűzései a következők:</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 Módosítsa a referenciaár-rendszert a versenyt fokozó elemek bevezetésével. </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 A gyógyszerek távkiadásának megszilárdítása. </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 Annak lehetővé tétele, hogy a szociális-egészségügyi központok gyógyszerraktárai kapcsolódjanak az alapellátást biztosító gyógyszertári szolgáltatásokhoz. </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Módosítsa a rendszert annak érdekében, hogy kiszámítsa az állami forrásokból finanszírozott gyógyszerek és egészségügyi termékek gyártói, importőrei és szállítói által a nemzeti egészségügyi rendszerhez nyújtott negyedéves hozzájárulást.</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 – A kábítószer-reklámok ellenőrzésével kapcsolatos hatáskörök tisztázása.</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 – Az Orvosi Ügynökség által alkalmazott díjak módosítása. </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A szankcionálási eljárás és a jogsértések módosítása és aktualizálása. </w:t>
            </w:r>
          </w:p>
          <w:p w14:paraId="45D9FFE4" w14:textId="2E2D7D8A" w:rsidR="00D65CB4" w:rsidRPr="00BC4EE7" w:rsidRDefault="00572307">
            <w:pPr>
              <w:spacing w:after="0" w:line="240" w:lineRule="auto"/>
              <w:rPr>
                <w:rFonts w:ascii="Times New Roman" w:eastAsia="Times New Roman" w:hAnsi="Times New Roman" w:cs="Times New Roman"/>
                <w:noProof/>
                <w:sz w:val="18"/>
              </w:rPr>
            </w:pP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Ezt a törvényt mélyreható hatásvizsgálatnak kell kísérnie, amely megvizsgálja annak az államháztartás hosszú távú fenntarthatóságára gyakorolt hatásait is.</w:t>
            </w:r>
          </w:p>
        </w:tc>
      </w:tr>
      <w:tr w:rsidR="00D65CB4" w:rsidRPr="00BC4EE7" w14:paraId="19EFCCE4" w14:textId="77777777" w:rsidTr="00BC4EE7">
        <w:trPr>
          <w:trHeight w:val="309"/>
        </w:trPr>
        <w:tc>
          <w:tcPr>
            <w:tcW w:w="710" w:type="dxa"/>
            <w:tcBorders>
              <w:top w:val="single" w:sz="4" w:space="0" w:color="auto"/>
              <w:left w:val="single" w:sz="4" w:space="0" w:color="auto"/>
              <w:bottom w:val="single" w:sz="4" w:space="0" w:color="auto"/>
              <w:right w:val="single" w:sz="4" w:space="0" w:color="auto"/>
            </w:tcBorders>
            <w:shd w:val="clear" w:color="auto" w:fill="C6EFCE"/>
            <w:noWrap/>
          </w:tcPr>
          <w:p w14:paraId="031C1BD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278</w:t>
            </w:r>
          </w:p>
        </w:tc>
        <w:tc>
          <w:tcPr>
            <w:tcW w:w="955" w:type="dxa"/>
            <w:tcBorders>
              <w:top w:val="single" w:sz="4" w:space="0" w:color="auto"/>
              <w:left w:val="single" w:sz="4" w:space="0" w:color="auto"/>
              <w:bottom w:val="single" w:sz="4" w:space="0" w:color="auto"/>
              <w:right w:val="single" w:sz="4" w:space="0" w:color="auto"/>
            </w:tcBorders>
            <w:shd w:val="clear" w:color="auto" w:fill="C6EFCE"/>
            <w:noWrap/>
          </w:tcPr>
          <w:p w14:paraId="6863EB4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C18.I1</w:t>
            </w:r>
          </w:p>
        </w:tc>
        <w:tc>
          <w:tcPr>
            <w:tcW w:w="887" w:type="dxa"/>
            <w:tcBorders>
              <w:top w:val="single" w:sz="4" w:space="0" w:color="auto"/>
              <w:left w:val="single" w:sz="4" w:space="0" w:color="auto"/>
              <w:bottom w:val="single" w:sz="4" w:space="0" w:color="auto"/>
              <w:right w:val="single" w:sz="4" w:space="0" w:color="auto"/>
            </w:tcBorders>
            <w:shd w:val="clear" w:color="auto" w:fill="C6EFCE"/>
            <w:noWrap/>
          </w:tcPr>
          <w:p w14:paraId="5C44FDA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2660" w:type="dxa"/>
            <w:tcBorders>
              <w:top w:val="single" w:sz="4" w:space="0" w:color="auto"/>
              <w:left w:val="single" w:sz="4" w:space="0" w:color="auto"/>
              <w:bottom w:val="single" w:sz="4" w:space="0" w:color="auto"/>
              <w:right w:val="single" w:sz="4" w:space="0" w:color="auto"/>
            </w:tcBorders>
            <w:shd w:val="clear" w:color="auto" w:fill="C6EFCE"/>
            <w:noWrap/>
          </w:tcPr>
          <w:p w14:paraId="5DC39C66"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 berendezésekre vonatkozó beruházási terv jóváhagyása és a források elosztása </w:t>
            </w:r>
          </w:p>
        </w:tc>
        <w:tc>
          <w:tcPr>
            <w:tcW w:w="1241" w:type="dxa"/>
            <w:tcBorders>
              <w:top w:val="single" w:sz="4" w:space="0" w:color="auto"/>
              <w:left w:val="single" w:sz="4" w:space="0" w:color="auto"/>
              <w:bottom w:val="single" w:sz="4" w:space="0" w:color="auto"/>
              <w:right w:val="single" w:sz="4" w:space="0" w:color="auto"/>
            </w:tcBorders>
            <w:shd w:val="clear" w:color="auto" w:fill="C6EFCE"/>
            <w:noWrap/>
          </w:tcPr>
          <w:p w14:paraId="3453DFC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A </w:t>
            </w:r>
            <w:r w:rsidRPr="00BC4EE7">
              <w:rPr>
                <w:rFonts w:cs="Times New Roman"/>
                <w:i/>
                <w:noProof/>
              </w:rPr>
              <w:t>Consejo Interterritorial Sanidad</w:t>
            </w:r>
            <w:r w:rsidRPr="00BC4EE7">
              <w:rPr>
                <w:rFonts w:cs="Times New Roman"/>
                <w:noProof/>
              </w:rPr>
              <w:t>jóváhagyása</w:t>
            </w:r>
          </w:p>
        </w:tc>
        <w:tc>
          <w:tcPr>
            <w:tcW w:w="691" w:type="dxa"/>
            <w:tcBorders>
              <w:top w:val="single" w:sz="4" w:space="0" w:color="auto"/>
              <w:left w:val="single" w:sz="4" w:space="0" w:color="auto"/>
              <w:bottom w:val="single" w:sz="4" w:space="0" w:color="auto"/>
              <w:right w:val="single" w:sz="4" w:space="0" w:color="auto"/>
            </w:tcBorders>
            <w:shd w:val="clear" w:color="auto" w:fill="C6EFCE"/>
            <w:noWrap/>
          </w:tcPr>
          <w:p w14:paraId="10BBBBC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66" w:type="dxa"/>
            <w:tcBorders>
              <w:top w:val="single" w:sz="4" w:space="0" w:color="auto"/>
              <w:left w:val="single" w:sz="4" w:space="0" w:color="auto"/>
              <w:bottom w:val="single" w:sz="4" w:space="0" w:color="auto"/>
              <w:right w:val="single" w:sz="4" w:space="0" w:color="auto"/>
            </w:tcBorders>
            <w:shd w:val="clear" w:color="auto" w:fill="C6EFCE"/>
            <w:noWrap/>
          </w:tcPr>
          <w:p w14:paraId="0D1F2114"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7E44ABB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2B7BA4A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416978F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2021</w:t>
            </w:r>
          </w:p>
        </w:tc>
        <w:tc>
          <w:tcPr>
            <w:tcW w:w="5517" w:type="dxa"/>
            <w:tcBorders>
              <w:top w:val="single" w:sz="4" w:space="0" w:color="auto"/>
              <w:left w:val="single" w:sz="4" w:space="0" w:color="auto"/>
              <w:bottom w:val="single" w:sz="4" w:space="0" w:color="auto"/>
              <w:right w:val="single" w:sz="4" w:space="0" w:color="auto"/>
            </w:tcBorders>
            <w:shd w:val="clear" w:color="auto" w:fill="C6EFCE"/>
            <w:noWrap/>
          </w:tcPr>
          <w:p w14:paraId="06522F5E" w14:textId="77777777" w:rsidR="00D65CB4" w:rsidRPr="00BC4EE7" w:rsidRDefault="00572307">
            <w:pPr>
              <w:pStyle w:val="P68B1DB1-Normal12"/>
              <w:spacing w:after="0" w:line="240" w:lineRule="auto"/>
              <w:rPr>
                <w:rFonts w:cs="Times New Roman"/>
                <w:noProof/>
              </w:rPr>
            </w:pPr>
            <w:r w:rsidRPr="00BC4EE7">
              <w:rPr>
                <w:rFonts w:cs="Times New Roman"/>
                <w:noProof/>
              </w:rPr>
              <w:t xml:space="preserve">A </w:t>
            </w:r>
            <w:r w:rsidRPr="00BC4EE7">
              <w:rPr>
                <w:rFonts w:cs="Times New Roman"/>
                <w:i/>
                <w:noProof/>
              </w:rPr>
              <w:t>Consejo Interterritorial által</w:t>
            </w:r>
            <w:r w:rsidRPr="00BC4EE7">
              <w:rPr>
                <w:rFonts w:cs="Times New Roman"/>
                <w:noProof/>
              </w:rPr>
              <w:t xml:space="preserve"> jóváhagyott terv és a pénzeszközök elosztása, amely 796 100 000 euró támogatás odaítélésére szolgáló mechanizmusokat határoz meg. </w:t>
            </w:r>
          </w:p>
        </w:tc>
      </w:tr>
      <w:tr w:rsidR="00D65CB4" w:rsidRPr="00BC4EE7" w14:paraId="42CB8BE0" w14:textId="77777777" w:rsidTr="00BC4EE7">
        <w:trPr>
          <w:trHeight w:val="309"/>
        </w:trPr>
        <w:tc>
          <w:tcPr>
            <w:tcW w:w="710" w:type="dxa"/>
            <w:tcBorders>
              <w:top w:val="single" w:sz="4" w:space="0" w:color="auto"/>
              <w:left w:val="single" w:sz="4" w:space="0" w:color="auto"/>
              <w:bottom w:val="single" w:sz="4" w:space="0" w:color="auto"/>
              <w:right w:val="single" w:sz="4" w:space="0" w:color="auto"/>
            </w:tcBorders>
            <w:shd w:val="clear" w:color="auto" w:fill="C6EFCE"/>
            <w:noWrap/>
          </w:tcPr>
          <w:p w14:paraId="1F9412F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279</w:t>
            </w:r>
          </w:p>
        </w:tc>
        <w:tc>
          <w:tcPr>
            <w:tcW w:w="955" w:type="dxa"/>
            <w:tcBorders>
              <w:top w:val="single" w:sz="4" w:space="0" w:color="auto"/>
              <w:left w:val="single" w:sz="4" w:space="0" w:color="auto"/>
              <w:bottom w:val="single" w:sz="4" w:space="0" w:color="auto"/>
              <w:right w:val="single" w:sz="4" w:space="0" w:color="auto"/>
            </w:tcBorders>
            <w:shd w:val="clear" w:color="auto" w:fill="C6EFCE"/>
            <w:noWrap/>
          </w:tcPr>
          <w:p w14:paraId="0EA8097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C18.I1</w:t>
            </w:r>
          </w:p>
        </w:tc>
        <w:tc>
          <w:tcPr>
            <w:tcW w:w="887" w:type="dxa"/>
            <w:tcBorders>
              <w:top w:val="single" w:sz="4" w:space="0" w:color="auto"/>
              <w:left w:val="single" w:sz="4" w:space="0" w:color="auto"/>
              <w:bottom w:val="single" w:sz="4" w:space="0" w:color="auto"/>
              <w:right w:val="single" w:sz="4" w:space="0" w:color="auto"/>
            </w:tcBorders>
            <w:shd w:val="clear" w:color="auto" w:fill="C6EFCE"/>
            <w:noWrap/>
          </w:tcPr>
          <w:p w14:paraId="5F7FC02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2660" w:type="dxa"/>
            <w:tcBorders>
              <w:top w:val="single" w:sz="4" w:space="0" w:color="auto"/>
              <w:left w:val="single" w:sz="4" w:space="0" w:color="auto"/>
              <w:bottom w:val="single" w:sz="4" w:space="0" w:color="auto"/>
              <w:right w:val="single" w:sz="4" w:space="0" w:color="auto"/>
            </w:tcBorders>
            <w:shd w:val="clear" w:color="auto" w:fill="C6EFCE"/>
            <w:noWrap/>
          </w:tcPr>
          <w:p w14:paraId="42FB21D5"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Berendezések telepítése/megújítása/bővítése </w:t>
            </w:r>
          </w:p>
        </w:tc>
        <w:tc>
          <w:tcPr>
            <w:tcW w:w="1241" w:type="dxa"/>
            <w:tcBorders>
              <w:top w:val="single" w:sz="4" w:space="0" w:color="auto"/>
              <w:left w:val="single" w:sz="4" w:space="0" w:color="auto"/>
              <w:bottom w:val="single" w:sz="4" w:space="0" w:color="auto"/>
              <w:right w:val="single" w:sz="4" w:space="0" w:color="auto"/>
            </w:tcBorders>
            <w:shd w:val="clear" w:color="auto" w:fill="C6EFCE"/>
            <w:noWrap/>
          </w:tcPr>
          <w:p w14:paraId="374DD2C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691" w:type="dxa"/>
            <w:tcBorders>
              <w:top w:val="single" w:sz="4" w:space="0" w:color="auto"/>
              <w:left w:val="single" w:sz="4" w:space="0" w:color="auto"/>
              <w:bottom w:val="single" w:sz="4" w:space="0" w:color="auto"/>
              <w:right w:val="single" w:sz="4" w:space="0" w:color="auto"/>
            </w:tcBorders>
            <w:shd w:val="clear" w:color="auto" w:fill="C6EFCE"/>
            <w:noWrap/>
          </w:tcPr>
          <w:p w14:paraId="3F9BF36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Szám</w:t>
            </w:r>
          </w:p>
        </w:tc>
        <w:tc>
          <w:tcPr>
            <w:tcW w:w="966" w:type="dxa"/>
            <w:tcBorders>
              <w:top w:val="single" w:sz="4" w:space="0" w:color="auto"/>
              <w:left w:val="single" w:sz="4" w:space="0" w:color="auto"/>
              <w:bottom w:val="single" w:sz="4" w:space="0" w:color="auto"/>
              <w:right w:val="single" w:sz="4" w:space="0" w:color="auto"/>
            </w:tcBorders>
            <w:shd w:val="clear" w:color="auto" w:fill="C6EFCE"/>
            <w:noWrap/>
          </w:tcPr>
          <w:p w14:paraId="5CD6CCAD"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0</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37770382"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750</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6BCE52F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6551A52B"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2023</w:t>
            </w:r>
          </w:p>
        </w:tc>
        <w:tc>
          <w:tcPr>
            <w:tcW w:w="5517" w:type="dxa"/>
            <w:tcBorders>
              <w:top w:val="single" w:sz="4" w:space="0" w:color="auto"/>
              <w:left w:val="single" w:sz="4" w:space="0" w:color="auto"/>
              <w:bottom w:val="single" w:sz="4" w:space="0" w:color="auto"/>
              <w:right w:val="single" w:sz="4" w:space="0" w:color="auto"/>
            </w:tcBorders>
            <w:shd w:val="clear" w:color="auto" w:fill="C6EFCE"/>
            <w:noWrap/>
          </w:tcPr>
          <w:p w14:paraId="083A61EE"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Az ország egész területén legalább 750 új berendezést kell üzembe helyezni felújítások, bővítések vagy új berendezések révén.</w:t>
            </w:r>
          </w:p>
        </w:tc>
      </w:tr>
      <w:tr w:rsidR="00D65CB4" w:rsidRPr="00BC4EE7" w14:paraId="3164ED5A" w14:textId="77777777" w:rsidTr="00BC4EE7">
        <w:trPr>
          <w:trHeight w:val="309"/>
        </w:trPr>
        <w:tc>
          <w:tcPr>
            <w:tcW w:w="710" w:type="dxa"/>
            <w:tcBorders>
              <w:top w:val="single" w:sz="4" w:space="0" w:color="auto"/>
              <w:left w:val="single" w:sz="4" w:space="0" w:color="auto"/>
              <w:bottom w:val="single" w:sz="4" w:space="0" w:color="auto"/>
              <w:right w:val="single" w:sz="4" w:space="0" w:color="auto"/>
            </w:tcBorders>
            <w:shd w:val="clear" w:color="auto" w:fill="C6EFCE"/>
            <w:noWrap/>
          </w:tcPr>
          <w:p w14:paraId="15C1F4DB"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280</w:t>
            </w:r>
          </w:p>
        </w:tc>
        <w:tc>
          <w:tcPr>
            <w:tcW w:w="955" w:type="dxa"/>
            <w:tcBorders>
              <w:top w:val="single" w:sz="4" w:space="0" w:color="auto"/>
              <w:left w:val="single" w:sz="4" w:space="0" w:color="auto"/>
              <w:bottom w:val="single" w:sz="4" w:space="0" w:color="auto"/>
              <w:right w:val="single" w:sz="4" w:space="0" w:color="auto"/>
            </w:tcBorders>
            <w:shd w:val="clear" w:color="auto" w:fill="C6EFCE"/>
            <w:noWrap/>
          </w:tcPr>
          <w:p w14:paraId="4CDB3F4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C18.I2</w:t>
            </w:r>
          </w:p>
        </w:tc>
        <w:tc>
          <w:tcPr>
            <w:tcW w:w="887" w:type="dxa"/>
            <w:tcBorders>
              <w:top w:val="single" w:sz="4" w:space="0" w:color="auto"/>
              <w:left w:val="single" w:sz="4" w:space="0" w:color="auto"/>
              <w:bottom w:val="single" w:sz="4" w:space="0" w:color="auto"/>
              <w:right w:val="single" w:sz="4" w:space="0" w:color="auto"/>
            </w:tcBorders>
            <w:shd w:val="clear" w:color="auto" w:fill="C6EFCE"/>
            <w:noWrap/>
          </w:tcPr>
          <w:p w14:paraId="1217C98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2660" w:type="dxa"/>
            <w:tcBorders>
              <w:top w:val="single" w:sz="4" w:space="0" w:color="auto"/>
              <w:left w:val="single" w:sz="4" w:space="0" w:color="auto"/>
              <w:bottom w:val="single" w:sz="4" w:space="0" w:color="auto"/>
              <w:right w:val="single" w:sz="4" w:space="0" w:color="auto"/>
            </w:tcBorders>
            <w:shd w:val="clear" w:color="auto" w:fill="C6EFCE"/>
            <w:noWrap/>
          </w:tcPr>
          <w:p w14:paraId="359B4378"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Közegészségügyi kampányok és intézkedések</w:t>
            </w:r>
          </w:p>
        </w:tc>
        <w:tc>
          <w:tcPr>
            <w:tcW w:w="1241" w:type="dxa"/>
            <w:tcBorders>
              <w:top w:val="single" w:sz="4" w:space="0" w:color="auto"/>
              <w:left w:val="single" w:sz="4" w:space="0" w:color="auto"/>
              <w:bottom w:val="single" w:sz="4" w:space="0" w:color="auto"/>
              <w:right w:val="single" w:sz="4" w:space="0" w:color="auto"/>
            </w:tcBorders>
            <w:shd w:val="clear" w:color="auto" w:fill="C6EFCE"/>
            <w:noWrap/>
          </w:tcPr>
          <w:p w14:paraId="20781D0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691" w:type="dxa"/>
            <w:tcBorders>
              <w:top w:val="single" w:sz="4" w:space="0" w:color="auto"/>
              <w:left w:val="single" w:sz="4" w:space="0" w:color="auto"/>
              <w:bottom w:val="single" w:sz="4" w:space="0" w:color="auto"/>
              <w:right w:val="single" w:sz="4" w:space="0" w:color="auto"/>
            </w:tcBorders>
            <w:shd w:val="clear" w:color="auto" w:fill="C6EFCE"/>
            <w:noWrap/>
          </w:tcPr>
          <w:p w14:paraId="3AFD4AA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Szám</w:t>
            </w:r>
          </w:p>
        </w:tc>
        <w:tc>
          <w:tcPr>
            <w:tcW w:w="966" w:type="dxa"/>
            <w:tcBorders>
              <w:top w:val="single" w:sz="4" w:space="0" w:color="auto"/>
              <w:left w:val="single" w:sz="4" w:space="0" w:color="auto"/>
              <w:bottom w:val="single" w:sz="4" w:space="0" w:color="auto"/>
              <w:right w:val="single" w:sz="4" w:space="0" w:color="auto"/>
            </w:tcBorders>
            <w:shd w:val="clear" w:color="auto" w:fill="C6EFCE"/>
            <w:noWrap/>
          </w:tcPr>
          <w:p w14:paraId="22252D8D"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0</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07514801"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11</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5443F04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4D66C50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2023</w:t>
            </w:r>
          </w:p>
        </w:tc>
        <w:tc>
          <w:tcPr>
            <w:tcW w:w="5517" w:type="dxa"/>
            <w:tcBorders>
              <w:top w:val="single" w:sz="4" w:space="0" w:color="auto"/>
              <w:left w:val="single" w:sz="4" w:space="0" w:color="auto"/>
              <w:bottom w:val="single" w:sz="4" w:space="0" w:color="auto"/>
              <w:right w:val="single" w:sz="4" w:space="0" w:color="auto"/>
            </w:tcBorders>
            <w:shd w:val="clear" w:color="auto" w:fill="C6EFCE"/>
            <w:noWrap/>
          </w:tcPr>
          <w:p w14:paraId="7AA1EF44"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Legalább 11 közegészségügyi terjesztési vagy szűrési kampányra került sor az alábbi területeken: a dohányzás elleni küzdelem, az alkoholfogyasztás megelőzése, a mentális egészség előmozdítása, az egészséges életkörnyezet és életmód előmozdítása, az antimikrobiális rezisztencia terve és a rák megelőzése, beleértve a rák elleni európai kódex terjesztését.  A kampányoknak országosnak kell lenniük. A terjesztés rádión, nyomtatott médián, interneten, közvetlen üzletszerzésen és kültéri tevékenységeken keresztül történik.</w:t>
            </w:r>
          </w:p>
        </w:tc>
      </w:tr>
      <w:tr w:rsidR="00D65CB4" w:rsidRPr="00BC4EE7" w14:paraId="09954089" w14:textId="77777777" w:rsidTr="00BC4EE7">
        <w:trPr>
          <w:trHeight w:val="309"/>
        </w:trPr>
        <w:tc>
          <w:tcPr>
            <w:tcW w:w="710" w:type="dxa"/>
            <w:tcBorders>
              <w:top w:val="single" w:sz="4" w:space="0" w:color="auto"/>
              <w:left w:val="single" w:sz="4" w:space="0" w:color="auto"/>
              <w:bottom w:val="single" w:sz="4" w:space="0" w:color="auto"/>
              <w:right w:val="single" w:sz="4" w:space="0" w:color="auto"/>
            </w:tcBorders>
            <w:shd w:val="clear" w:color="auto" w:fill="C6EFCE"/>
            <w:noWrap/>
          </w:tcPr>
          <w:p w14:paraId="07F2740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281</w:t>
            </w:r>
          </w:p>
        </w:tc>
        <w:tc>
          <w:tcPr>
            <w:tcW w:w="955" w:type="dxa"/>
            <w:tcBorders>
              <w:top w:val="single" w:sz="4" w:space="0" w:color="auto"/>
              <w:left w:val="single" w:sz="4" w:space="0" w:color="auto"/>
              <w:bottom w:val="single" w:sz="4" w:space="0" w:color="auto"/>
              <w:right w:val="single" w:sz="4" w:space="0" w:color="auto"/>
            </w:tcBorders>
            <w:shd w:val="clear" w:color="auto" w:fill="C6EFCE"/>
            <w:noWrap/>
          </w:tcPr>
          <w:p w14:paraId="7B5A24A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C18.I3</w:t>
            </w:r>
          </w:p>
        </w:tc>
        <w:tc>
          <w:tcPr>
            <w:tcW w:w="887" w:type="dxa"/>
            <w:tcBorders>
              <w:top w:val="single" w:sz="4" w:space="0" w:color="auto"/>
              <w:left w:val="single" w:sz="4" w:space="0" w:color="auto"/>
              <w:bottom w:val="single" w:sz="4" w:space="0" w:color="auto"/>
              <w:right w:val="single" w:sz="4" w:space="0" w:color="auto"/>
            </w:tcBorders>
            <w:shd w:val="clear" w:color="auto" w:fill="C6EFCE"/>
            <w:noWrap/>
          </w:tcPr>
          <w:p w14:paraId="4C3E15E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2660" w:type="dxa"/>
            <w:tcBorders>
              <w:top w:val="single" w:sz="4" w:space="0" w:color="auto"/>
              <w:left w:val="single" w:sz="4" w:space="0" w:color="auto"/>
              <w:bottom w:val="single" w:sz="4" w:space="0" w:color="auto"/>
              <w:right w:val="single" w:sz="4" w:space="0" w:color="auto"/>
            </w:tcBorders>
            <w:shd w:val="clear" w:color="auto" w:fill="C6EFCE"/>
            <w:noWrap/>
          </w:tcPr>
          <w:p w14:paraId="04DA3D85"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Közegészségügyi felügyeleti hálózati információs rendszer</w:t>
            </w:r>
          </w:p>
        </w:tc>
        <w:tc>
          <w:tcPr>
            <w:tcW w:w="1241" w:type="dxa"/>
            <w:tcBorders>
              <w:top w:val="single" w:sz="4" w:space="0" w:color="auto"/>
              <w:left w:val="single" w:sz="4" w:space="0" w:color="auto"/>
              <w:bottom w:val="single" w:sz="4" w:space="0" w:color="auto"/>
              <w:right w:val="single" w:sz="4" w:space="0" w:color="auto"/>
            </w:tcBorders>
            <w:shd w:val="clear" w:color="auto" w:fill="C6EFCE"/>
            <w:noWrap/>
          </w:tcPr>
          <w:p w14:paraId="4376D68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Üzembe helyezési igazolás</w:t>
            </w:r>
          </w:p>
        </w:tc>
        <w:tc>
          <w:tcPr>
            <w:tcW w:w="691" w:type="dxa"/>
            <w:tcBorders>
              <w:top w:val="single" w:sz="4" w:space="0" w:color="auto"/>
              <w:left w:val="single" w:sz="4" w:space="0" w:color="auto"/>
              <w:bottom w:val="single" w:sz="4" w:space="0" w:color="auto"/>
              <w:right w:val="single" w:sz="4" w:space="0" w:color="auto"/>
            </w:tcBorders>
            <w:shd w:val="clear" w:color="auto" w:fill="C6EFCE"/>
            <w:noWrap/>
          </w:tcPr>
          <w:p w14:paraId="4111EB1D"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66" w:type="dxa"/>
            <w:tcBorders>
              <w:top w:val="single" w:sz="4" w:space="0" w:color="auto"/>
              <w:left w:val="single" w:sz="4" w:space="0" w:color="auto"/>
              <w:bottom w:val="single" w:sz="4" w:space="0" w:color="auto"/>
              <w:right w:val="single" w:sz="4" w:space="0" w:color="auto"/>
            </w:tcBorders>
            <w:shd w:val="clear" w:color="auto" w:fill="C6EFCE"/>
            <w:noWrap/>
          </w:tcPr>
          <w:p w14:paraId="67759618"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250BF967"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576BA05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56F3CF40" w14:textId="2235DDB8" w:rsidR="00D65CB4" w:rsidRPr="00BC4EE7" w:rsidRDefault="00572307">
            <w:pPr>
              <w:pStyle w:val="P68B1DB1-Normal12"/>
              <w:spacing w:after="0" w:line="240" w:lineRule="auto"/>
              <w:rPr>
                <w:rFonts w:eastAsia="Times New Roman" w:cs="Times New Roman"/>
                <w:noProof/>
              </w:rPr>
            </w:pPr>
            <w:r w:rsidRPr="00BC4EE7">
              <w:rPr>
                <w:rFonts w:cs="Times New Roman"/>
                <w:noProof/>
              </w:rPr>
              <w:t>2025</w:t>
            </w:r>
          </w:p>
        </w:tc>
        <w:tc>
          <w:tcPr>
            <w:tcW w:w="5517" w:type="dxa"/>
            <w:tcBorders>
              <w:top w:val="single" w:sz="4" w:space="0" w:color="auto"/>
              <w:left w:val="single" w:sz="4" w:space="0" w:color="auto"/>
              <w:bottom w:val="single" w:sz="4" w:space="0" w:color="auto"/>
              <w:right w:val="single" w:sz="4" w:space="0" w:color="auto"/>
            </w:tcBorders>
            <w:shd w:val="clear" w:color="auto" w:fill="C6EFCE"/>
            <w:noWrap/>
          </w:tcPr>
          <w:p w14:paraId="62629E51" w14:textId="77777777" w:rsidR="00D65CB4" w:rsidRPr="00BC4EE7" w:rsidRDefault="00572307">
            <w:pPr>
              <w:pStyle w:val="P68B1DB1-Normal12"/>
              <w:spacing w:after="0" w:line="240" w:lineRule="auto"/>
              <w:rPr>
                <w:rFonts w:cs="Times New Roman"/>
                <w:noProof/>
              </w:rPr>
            </w:pPr>
            <w:r w:rsidRPr="00BC4EE7">
              <w:rPr>
                <w:rFonts w:cs="Times New Roman"/>
                <w:noProof/>
              </w:rPr>
              <w:t>Az állam és az autonóm közösségek monitoringrendszere (közegészségügyi felügyeleti hálózati információs rendszer) működik, hogy lehetővé tegye a korai előrejelzést és a gyors reagálást az esetlegesen egészségügyi kockázatot jelentő problémák észlelése, az illetékes hatóságoktól származó információk terjesztése és az ellenőrző intézkedések végrehajtásának megkönnyítése érdekében.</w:t>
            </w:r>
          </w:p>
          <w:p w14:paraId="7C6081FB" w14:textId="77777777" w:rsidR="00D65CB4" w:rsidRPr="00BC4EE7" w:rsidRDefault="00D65CB4">
            <w:pPr>
              <w:spacing w:after="0" w:line="240" w:lineRule="auto"/>
              <w:rPr>
                <w:rFonts w:ascii="Times New Roman" w:hAnsi="Times New Roman" w:cs="Times New Roman"/>
                <w:noProof/>
                <w:sz w:val="18"/>
              </w:rPr>
            </w:pPr>
          </w:p>
          <w:p w14:paraId="1D67845B" w14:textId="7A1F1486" w:rsidR="00D65CB4" w:rsidRPr="00BC4EE7" w:rsidRDefault="00572307">
            <w:pPr>
              <w:pStyle w:val="P68B1DB1-Normal12"/>
              <w:spacing w:after="0" w:line="240" w:lineRule="auto"/>
              <w:rPr>
                <w:rFonts w:cs="Times New Roman"/>
                <w:noProof/>
              </w:rPr>
            </w:pPr>
            <w:r w:rsidRPr="00BC4EE7">
              <w:rPr>
                <w:rFonts w:cs="Times New Roman"/>
                <w:noProof/>
              </w:rPr>
              <w:t>Az új állami közegészségügyi központ berendezéseit összesen legalább 9,45 millió EUR értékben kell beszerezni.</w:t>
            </w:r>
          </w:p>
          <w:p w14:paraId="5AE0BF10" w14:textId="77777777" w:rsidR="00D65CB4" w:rsidRPr="00BC4EE7" w:rsidRDefault="00D65CB4">
            <w:pPr>
              <w:spacing w:after="0" w:line="240" w:lineRule="auto"/>
              <w:rPr>
                <w:rFonts w:ascii="Times New Roman" w:hAnsi="Times New Roman" w:cs="Times New Roman"/>
                <w:noProof/>
                <w:sz w:val="18"/>
              </w:rPr>
            </w:pPr>
          </w:p>
          <w:p w14:paraId="7B0EA280" w14:textId="6F3798CB" w:rsidR="00D65CB4" w:rsidRPr="00BC4EE7" w:rsidRDefault="00572307">
            <w:pPr>
              <w:pStyle w:val="P68B1DB1-Normal12"/>
              <w:spacing w:after="0" w:line="240" w:lineRule="auto"/>
              <w:rPr>
                <w:rFonts w:cs="Times New Roman"/>
                <w:noProof/>
              </w:rPr>
            </w:pPr>
            <w:r w:rsidRPr="00BC4EE7">
              <w:rPr>
                <w:rFonts w:cs="Times New Roman"/>
                <w:noProof/>
              </w:rPr>
              <w:t>Be kell fejezni a Melillai Egyetemi Kórház berendezéseinek beszerzését és a Nemzeti Dozimetriai Központ új épületének megépítését, valamint az Országos Munkahelyi Biztonsági és Egészségvédelmi Intézet, az Országos Élelmiszerügyi Központ, a Gyógyszer- és Egészségügyi Termékügynökség és a Nemzeti Transzplantációs Szervezet vizsgálólaboratóriuma kapacitásának növelését szolgáló rendszerek és infrastruktúra felszereléseinek és megvalósításának a beszerzését, összesen legalább 44 millió EUR értékben.</w:t>
            </w:r>
          </w:p>
          <w:p w14:paraId="7B7CF298" w14:textId="77777777" w:rsidR="00D65CB4" w:rsidRPr="00BC4EE7" w:rsidRDefault="00D65CB4">
            <w:pPr>
              <w:spacing w:after="0" w:line="240" w:lineRule="auto"/>
              <w:rPr>
                <w:rFonts w:ascii="Times New Roman" w:hAnsi="Times New Roman" w:cs="Times New Roman"/>
                <w:noProof/>
                <w:sz w:val="18"/>
              </w:rPr>
            </w:pPr>
          </w:p>
          <w:p w14:paraId="0373B938"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nemzeti egészségügyi rendszer világjárvány alatti teljesítményének értékelését le kell zárni és közzé kell tenni.</w:t>
            </w:r>
          </w:p>
        </w:tc>
      </w:tr>
      <w:tr w:rsidR="00D65CB4" w:rsidRPr="00BC4EE7" w14:paraId="7B849F40" w14:textId="77777777" w:rsidTr="00BC4EE7">
        <w:trPr>
          <w:trHeight w:val="309"/>
        </w:trPr>
        <w:tc>
          <w:tcPr>
            <w:tcW w:w="710" w:type="dxa"/>
            <w:tcBorders>
              <w:top w:val="single" w:sz="4" w:space="0" w:color="auto"/>
              <w:left w:val="single" w:sz="4" w:space="0" w:color="auto"/>
              <w:bottom w:val="single" w:sz="4" w:space="0" w:color="auto"/>
              <w:right w:val="single" w:sz="4" w:space="0" w:color="auto"/>
            </w:tcBorders>
            <w:shd w:val="clear" w:color="auto" w:fill="C6EFCE"/>
            <w:noWrap/>
          </w:tcPr>
          <w:p w14:paraId="3DD97B2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282</w:t>
            </w:r>
          </w:p>
        </w:tc>
        <w:tc>
          <w:tcPr>
            <w:tcW w:w="955" w:type="dxa"/>
            <w:tcBorders>
              <w:top w:val="single" w:sz="4" w:space="0" w:color="auto"/>
              <w:left w:val="single" w:sz="4" w:space="0" w:color="auto"/>
              <w:bottom w:val="single" w:sz="4" w:space="0" w:color="auto"/>
              <w:right w:val="single" w:sz="4" w:space="0" w:color="auto"/>
            </w:tcBorders>
            <w:shd w:val="clear" w:color="auto" w:fill="C6EFCE"/>
            <w:noWrap/>
          </w:tcPr>
          <w:p w14:paraId="5B5711B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C18.I4</w:t>
            </w:r>
          </w:p>
        </w:tc>
        <w:tc>
          <w:tcPr>
            <w:tcW w:w="887" w:type="dxa"/>
            <w:tcBorders>
              <w:top w:val="single" w:sz="4" w:space="0" w:color="auto"/>
              <w:left w:val="single" w:sz="4" w:space="0" w:color="auto"/>
              <w:bottom w:val="single" w:sz="4" w:space="0" w:color="auto"/>
              <w:right w:val="single" w:sz="4" w:space="0" w:color="auto"/>
            </w:tcBorders>
            <w:shd w:val="clear" w:color="auto" w:fill="C6EFCE"/>
            <w:noWrap/>
          </w:tcPr>
          <w:p w14:paraId="364E6A7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2660" w:type="dxa"/>
            <w:tcBorders>
              <w:top w:val="single" w:sz="4" w:space="0" w:color="auto"/>
              <w:left w:val="single" w:sz="4" w:space="0" w:color="auto"/>
              <w:bottom w:val="single" w:sz="4" w:space="0" w:color="auto"/>
              <w:right w:val="single" w:sz="4" w:space="0" w:color="auto"/>
            </w:tcBorders>
            <w:shd w:val="clear" w:color="auto" w:fill="C6EFCE"/>
            <w:noWrap/>
          </w:tcPr>
          <w:p w14:paraId="79568BA0"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 továbbképzési tervek keretében képzett egészségügyi szakemberek </w:t>
            </w:r>
          </w:p>
        </w:tc>
        <w:tc>
          <w:tcPr>
            <w:tcW w:w="1241" w:type="dxa"/>
            <w:tcBorders>
              <w:top w:val="single" w:sz="4" w:space="0" w:color="auto"/>
              <w:left w:val="single" w:sz="4" w:space="0" w:color="auto"/>
              <w:bottom w:val="single" w:sz="4" w:space="0" w:color="auto"/>
              <w:right w:val="single" w:sz="4" w:space="0" w:color="auto"/>
            </w:tcBorders>
            <w:shd w:val="clear" w:color="auto" w:fill="C6EFCE"/>
            <w:noWrap/>
          </w:tcPr>
          <w:p w14:paraId="08376EC4"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691" w:type="dxa"/>
            <w:tcBorders>
              <w:top w:val="single" w:sz="4" w:space="0" w:color="auto"/>
              <w:left w:val="single" w:sz="4" w:space="0" w:color="auto"/>
              <w:bottom w:val="single" w:sz="4" w:space="0" w:color="auto"/>
              <w:right w:val="single" w:sz="4" w:space="0" w:color="auto"/>
            </w:tcBorders>
            <w:shd w:val="clear" w:color="auto" w:fill="C6EFCE"/>
            <w:noWrap/>
          </w:tcPr>
          <w:p w14:paraId="51A10F9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Szám</w:t>
            </w:r>
          </w:p>
        </w:tc>
        <w:tc>
          <w:tcPr>
            <w:tcW w:w="966" w:type="dxa"/>
            <w:tcBorders>
              <w:top w:val="single" w:sz="4" w:space="0" w:color="auto"/>
              <w:left w:val="single" w:sz="4" w:space="0" w:color="auto"/>
              <w:bottom w:val="single" w:sz="4" w:space="0" w:color="auto"/>
              <w:right w:val="single" w:sz="4" w:space="0" w:color="auto"/>
            </w:tcBorders>
            <w:shd w:val="clear" w:color="auto" w:fill="C6EFCE"/>
            <w:noWrap/>
          </w:tcPr>
          <w:p w14:paraId="2ADF40FD"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0</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51CCE16E"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90 000</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3BF129A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2DD7CCB4"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2023</w:t>
            </w:r>
          </w:p>
        </w:tc>
        <w:tc>
          <w:tcPr>
            <w:tcW w:w="5517" w:type="dxa"/>
            <w:tcBorders>
              <w:top w:val="single" w:sz="4" w:space="0" w:color="auto"/>
              <w:left w:val="single" w:sz="4" w:space="0" w:color="auto"/>
              <w:bottom w:val="single" w:sz="4" w:space="0" w:color="auto"/>
              <w:right w:val="single" w:sz="4" w:space="0" w:color="auto"/>
            </w:tcBorders>
            <w:shd w:val="clear" w:color="auto" w:fill="C6EFCE"/>
            <w:noWrap/>
          </w:tcPr>
          <w:p w14:paraId="6C75BA9A" w14:textId="51F87FE8" w:rsidR="00D65CB4" w:rsidRPr="00BC4EE7" w:rsidRDefault="00572307">
            <w:pPr>
              <w:pStyle w:val="P68B1DB1-Normal12"/>
              <w:spacing w:after="0" w:line="240" w:lineRule="auto"/>
              <w:rPr>
                <w:rFonts w:cs="Times New Roman"/>
                <w:noProof/>
              </w:rPr>
            </w:pPr>
            <w:r w:rsidRPr="00BC4EE7">
              <w:rPr>
                <w:rFonts w:cs="Times New Roman"/>
                <w:noProof/>
              </w:rPr>
              <w:t>Legalább 90000 egészségügyi szakember szerzett összesen 360000 továbbképzési kreditet (CEC), ami összesen 3,6 millió óra képzésnek felel meg a C18.I4 meghatározásban meghatározott prioritásokkal összhangban kidolgozott továbbképzési tervek keretében. A képzések a következőkre terjednek ki: Az egészségügyi technológiák és információs rendszerek használata, közegészségügyi felügyelet és epidemiológia, beteg- és szakmai biztonság, a diagnosztikai és terápiás erőforrások észszerű felhasználása, a rák korai felismerése, a mentális egészség, a környezeti egészség, a kockázati tényezők megelőzése, a nemi alapú erőszak korai felismerése, a gyermekbántalmazás korai felismerése, bioetika, klinikai kommunikáció, bizonyítékokon alapuló orvoslás, másokkal való együttműködés, vizsgálati módszerek, az egészségügyi intézmények vezetőinek irányítási kompetenciáinak fejlesztése, valamint mentorok képzése az egészségügyi szakképzésben. A képzéseket osztálytermi képzésként, online és vegyes tanulási formában biztosították, és azokat képesített egészségügyi szakemberek és a szakmai képzés egészségügyi területén tevékenykedő szakemberek végezték el.</w:t>
            </w:r>
          </w:p>
        </w:tc>
      </w:tr>
      <w:tr w:rsidR="00D65CB4" w:rsidRPr="00BC4EE7" w14:paraId="1FDFAA19" w14:textId="77777777" w:rsidTr="00BC4EE7">
        <w:trPr>
          <w:trHeight w:val="309"/>
        </w:trPr>
        <w:tc>
          <w:tcPr>
            <w:tcW w:w="710" w:type="dxa"/>
            <w:tcBorders>
              <w:top w:val="single" w:sz="4" w:space="0" w:color="auto"/>
              <w:left w:val="single" w:sz="4" w:space="0" w:color="auto"/>
              <w:bottom w:val="single" w:sz="4" w:space="0" w:color="auto"/>
              <w:right w:val="single" w:sz="4" w:space="0" w:color="auto"/>
            </w:tcBorders>
            <w:shd w:val="clear" w:color="auto" w:fill="C6EFCE"/>
            <w:noWrap/>
          </w:tcPr>
          <w:p w14:paraId="29DE5D73" w14:textId="4A62D41B" w:rsidR="00D65CB4" w:rsidRPr="00BC4EE7" w:rsidRDefault="00572307">
            <w:pPr>
              <w:pStyle w:val="P68B1DB1-Normal12"/>
              <w:spacing w:after="0" w:line="240" w:lineRule="auto"/>
              <w:jc w:val="center"/>
              <w:rPr>
                <w:rFonts w:cs="Times New Roman"/>
                <w:noProof/>
              </w:rPr>
            </w:pPr>
            <w:r w:rsidRPr="00BC4EE7">
              <w:rPr>
                <w:rFonts w:cs="Times New Roman"/>
                <w:noProof/>
              </w:rPr>
              <w:t>463</w:t>
            </w:r>
          </w:p>
        </w:tc>
        <w:tc>
          <w:tcPr>
            <w:tcW w:w="955" w:type="dxa"/>
            <w:tcBorders>
              <w:top w:val="single" w:sz="4" w:space="0" w:color="auto"/>
              <w:left w:val="single" w:sz="4" w:space="0" w:color="auto"/>
              <w:bottom w:val="single" w:sz="4" w:space="0" w:color="auto"/>
              <w:right w:val="single" w:sz="4" w:space="0" w:color="auto"/>
            </w:tcBorders>
            <w:shd w:val="clear" w:color="auto" w:fill="C6EFCE"/>
            <w:noWrap/>
          </w:tcPr>
          <w:p w14:paraId="52B3E0B7"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C18.I4</w:t>
            </w:r>
          </w:p>
        </w:tc>
        <w:tc>
          <w:tcPr>
            <w:tcW w:w="887" w:type="dxa"/>
            <w:tcBorders>
              <w:top w:val="single" w:sz="4" w:space="0" w:color="auto"/>
              <w:left w:val="single" w:sz="4" w:space="0" w:color="auto"/>
              <w:bottom w:val="single" w:sz="4" w:space="0" w:color="auto"/>
              <w:right w:val="single" w:sz="4" w:space="0" w:color="auto"/>
            </w:tcBorders>
            <w:shd w:val="clear" w:color="auto" w:fill="C6EFCE"/>
            <w:noWrap/>
          </w:tcPr>
          <w:p w14:paraId="59C0A173"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2660" w:type="dxa"/>
            <w:tcBorders>
              <w:top w:val="single" w:sz="4" w:space="0" w:color="auto"/>
              <w:left w:val="single" w:sz="4" w:space="0" w:color="auto"/>
              <w:bottom w:val="single" w:sz="4" w:space="0" w:color="auto"/>
              <w:right w:val="single" w:sz="4" w:space="0" w:color="auto"/>
            </w:tcBorders>
            <w:shd w:val="clear" w:color="auto" w:fill="C6EFCE"/>
            <w:noWrap/>
          </w:tcPr>
          <w:p w14:paraId="4DFE91DE" w14:textId="77777777" w:rsidR="00D65CB4" w:rsidRPr="00BC4EE7" w:rsidRDefault="00572307">
            <w:pPr>
              <w:pStyle w:val="P68B1DB1-Normal12"/>
              <w:spacing w:after="0" w:line="240" w:lineRule="auto"/>
              <w:rPr>
                <w:rFonts w:cs="Times New Roman"/>
                <w:noProof/>
              </w:rPr>
            </w:pPr>
            <w:r w:rsidRPr="00BC4EE7">
              <w:rPr>
                <w:rFonts w:cs="Times New Roman"/>
                <w:noProof/>
              </w:rPr>
              <w:t>Az egészségügyi szakemberek képzése és a tudásmegosztáshoz szükséges erőforrások</w:t>
            </w:r>
          </w:p>
        </w:tc>
        <w:tc>
          <w:tcPr>
            <w:tcW w:w="1241" w:type="dxa"/>
            <w:tcBorders>
              <w:top w:val="single" w:sz="4" w:space="0" w:color="auto"/>
              <w:left w:val="single" w:sz="4" w:space="0" w:color="auto"/>
              <w:bottom w:val="single" w:sz="4" w:space="0" w:color="auto"/>
              <w:right w:val="single" w:sz="4" w:space="0" w:color="auto"/>
            </w:tcBorders>
            <w:shd w:val="clear" w:color="auto" w:fill="C6EFCE"/>
            <w:noWrap/>
          </w:tcPr>
          <w:p w14:paraId="3A2ECA5D" w14:textId="77777777" w:rsidR="00D65CB4" w:rsidRPr="00BC4EE7" w:rsidRDefault="00D65CB4">
            <w:pPr>
              <w:spacing w:after="0" w:line="240" w:lineRule="auto"/>
              <w:jc w:val="center"/>
              <w:rPr>
                <w:rFonts w:ascii="Times New Roman" w:hAnsi="Times New Roman" w:cs="Times New Roman"/>
                <w:noProof/>
                <w:sz w:val="18"/>
              </w:rPr>
            </w:pPr>
          </w:p>
        </w:tc>
        <w:tc>
          <w:tcPr>
            <w:tcW w:w="691" w:type="dxa"/>
            <w:tcBorders>
              <w:top w:val="single" w:sz="4" w:space="0" w:color="auto"/>
              <w:left w:val="single" w:sz="4" w:space="0" w:color="auto"/>
              <w:bottom w:val="single" w:sz="4" w:space="0" w:color="auto"/>
              <w:right w:val="single" w:sz="4" w:space="0" w:color="auto"/>
            </w:tcBorders>
            <w:shd w:val="clear" w:color="auto" w:fill="C6EFCE"/>
            <w:noWrap/>
          </w:tcPr>
          <w:p w14:paraId="30162E06" w14:textId="77777777" w:rsidR="00D65CB4" w:rsidRPr="00BC4EE7" w:rsidRDefault="00D65CB4">
            <w:pPr>
              <w:spacing w:after="0" w:line="240" w:lineRule="auto"/>
              <w:jc w:val="center"/>
              <w:rPr>
                <w:rFonts w:ascii="Times New Roman" w:hAnsi="Times New Roman" w:cs="Times New Roman"/>
                <w:noProof/>
                <w:sz w:val="18"/>
              </w:rPr>
            </w:pPr>
          </w:p>
        </w:tc>
        <w:tc>
          <w:tcPr>
            <w:tcW w:w="966" w:type="dxa"/>
            <w:tcBorders>
              <w:top w:val="single" w:sz="4" w:space="0" w:color="auto"/>
              <w:left w:val="single" w:sz="4" w:space="0" w:color="auto"/>
              <w:bottom w:val="single" w:sz="4" w:space="0" w:color="auto"/>
              <w:right w:val="single" w:sz="4" w:space="0" w:color="auto"/>
            </w:tcBorders>
            <w:shd w:val="clear" w:color="auto" w:fill="C6EFCE"/>
            <w:noWrap/>
          </w:tcPr>
          <w:p w14:paraId="5DF066A8" w14:textId="77777777" w:rsidR="00D65CB4" w:rsidRPr="00BC4EE7" w:rsidRDefault="00D65CB4">
            <w:pPr>
              <w:spacing w:after="0" w:line="240" w:lineRule="auto"/>
              <w:jc w:val="right"/>
              <w:rPr>
                <w:rFonts w:ascii="Times New Roman" w:hAnsi="Times New Roman" w:cs="Times New Roman"/>
                <w:noProof/>
                <w:sz w:val="18"/>
              </w:rPr>
            </w:pP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6A9F29FF" w14:textId="77777777" w:rsidR="00D65CB4" w:rsidRPr="00BC4EE7" w:rsidRDefault="00D65CB4">
            <w:pPr>
              <w:spacing w:after="0" w:line="240" w:lineRule="auto"/>
              <w:jc w:val="right"/>
              <w:rPr>
                <w:rFonts w:ascii="Times New Roman" w:hAnsi="Times New Roman" w:cs="Times New Roman"/>
                <w:noProof/>
                <w:sz w:val="18"/>
              </w:rPr>
            </w:pP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771B1C36"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66163821"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2026</w:t>
            </w:r>
          </w:p>
        </w:tc>
        <w:tc>
          <w:tcPr>
            <w:tcW w:w="5517" w:type="dxa"/>
            <w:tcBorders>
              <w:top w:val="single" w:sz="4" w:space="0" w:color="auto"/>
              <w:left w:val="single" w:sz="4" w:space="0" w:color="auto"/>
              <w:bottom w:val="single" w:sz="4" w:space="0" w:color="auto"/>
              <w:right w:val="single" w:sz="4" w:space="0" w:color="auto"/>
            </w:tcBorders>
            <w:shd w:val="clear" w:color="auto" w:fill="C6EFCE"/>
            <w:noWrap/>
          </w:tcPr>
          <w:p w14:paraId="7D743535" w14:textId="2FE0690C" w:rsidR="00D65CB4" w:rsidRPr="00BC4EE7" w:rsidRDefault="00572307">
            <w:pPr>
              <w:pStyle w:val="P68B1DB1-Normal12"/>
              <w:spacing w:after="0" w:line="240" w:lineRule="auto"/>
              <w:rPr>
                <w:rFonts w:cs="Times New Roman"/>
                <w:noProof/>
              </w:rPr>
            </w:pPr>
            <w:r w:rsidRPr="00BC4EE7">
              <w:rPr>
                <w:rFonts w:cs="Times New Roman"/>
                <w:noProof/>
              </w:rPr>
              <w:t>Legalább 1300 egészségügyi ellátást kell kiképezni az egészségügyi szakmai készségek értékelésére és akkreditálására vonatkozó nemzetközi modellekről (egészségügyi szakemberek újratanúsítási modelljei). A nem szabályozott készségek értékelésére és akkreditálására a következő informatikai alkalmazásokat is ki kell fejleszteni:</w:t>
            </w:r>
          </w:p>
          <w:p w14:paraId="6E2A2FAE" w14:textId="77777777" w:rsidR="00D65CB4" w:rsidRPr="00BC4EE7" w:rsidRDefault="00572307">
            <w:pPr>
              <w:pStyle w:val="P68B1DB1-ListParagraph13"/>
              <w:numPr>
                <w:ilvl w:val="0"/>
                <w:numId w:val="625"/>
              </w:numPr>
              <w:spacing w:after="0" w:line="240" w:lineRule="auto"/>
              <w:rPr>
                <w:rFonts w:eastAsia="Times New Roman" w:cs="Times New Roman"/>
                <w:noProof/>
              </w:rPr>
            </w:pPr>
            <w:r w:rsidRPr="00BC4EE7">
              <w:rPr>
                <w:rFonts w:cs="Times New Roman"/>
                <w:noProof/>
              </w:rPr>
              <w:t xml:space="preserve">Webes alkalmazás újratanúsításra </w:t>
            </w:r>
          </w:p>
          <w:p w14:paraId="6374291C" w14:textId="77777777" w:rsidR="00D65CB4" w:rsidRPr="00BC4EE7" w:rsidRDefault="00572307">
            <w:pPr>
              <w:pStyle w:val="P68B1DB1-ListParagraph13"/>
              <w:numPr>
                <w:ilvl w:val="0"/>
                <w:numId w:val="625"/>
              </w:numPr>
              <w:spacing w:after="0" w:line="240" w:lineRule="auto"/>
              <w:rPr>
                <w:rFonts w:eastAsia="Times New Roman" w:cs="Times New Roman"/>
                <w:noProof/>
              </w:rPr>
            </w:pPr>
            <w:r w:rsidRPr="00BC4EE7">
              <w:rPr>
                <w:rFonts w:cs="Times New Roman"/>
                <w:noProof/>
              </w:rPr>
              <w:t>A szakmai újratanúsítási adatok integrálása a REPS-portálba</w:t>
            </w:r>
          </w:p>
          <w:p w14:paraId="7A59FD98" w14:textId="77777777" w:rsidR="00D65CB4" w:rsidRPr="00BC4EE7" w:rsidRDefault="00D65CB4">
            <w:pPr>
              <w:spacing w:after="0" w:line="240" w:lineRule="auto"/>
              <w:rPr>
                <w:rFonts w:ascii="Times New Roman" w:eastAsia="Times New Roman" w:hAnsi="Times New Roman" w:cs="Times New Roman"/>
                <w:noProof/>
                <w:sz w:val="18"/>
              </w:rPr>
            </w:pPr>
          </w:p>
          <w:p w14:paraId="6962BC08" w14:textId="77777777" w:rsidR="00D65CB4" w:rsidRPr="00BC4EE7" w:rsidRDefault="00572307">
            <w:pPr>
              <w:pStyle w:val="P68B1DB1-Normal12"/>
              <w:spacing w:after="0" w:line="240" w:lineRule="auto"/>
              <w:rPr>
                <w:rFonts w:cs="Times New Roman"/>
                <w:noProof/>
              </w:rPr>
            </w:pPr>
            <w:r w:rsidRPr="00BC4EE7">
              <w:rPr>
                <w:rFonts w:cs="Times New Roman"/>
                <w:noProof/>
              </w:rPr>
              <w:t>A rendkívül összetett körülmények kezelésére szolgáló együttműködési eszközöket kell beszerezni vagy kifejleszteni. Az együttműködési eszközök legalább a következő funkciókat foglalják magukban:</w:t>
            </w:r>
          </w:p>
          <w:p w14:paraId="0BD47D04" w14:textId="77777777" w:rsidR="00D65CB4" w:rsidRPr="00BC4EE7" w:rsidRDefault="00572307">
            <w:pPr>
              <w:pStyle w:val="P68B1DB1-ListParagraph13"/>
              <w:numPr>
                <w:ilvl w:val="0"/>
                <w:numId w:val="632"/>
              </w:numPr>
              <w:spacing w:after="0" w:line="240" w:lineRule="auto"/>
              <w:rPr>
                <w:rFonts w:cs="Times New Roman"/>
                <w:noProof/>
              </w:rPr>
            </w:pPr>
            <w:r w:rsidRPr="00BC4EE7">
              <w:rPr>
                <w:rFonts w:cs="Times New Roman"/>
                <w:noProof/>
              </w:rPr>
              <w:t>A betegmenedzsmentre vonatkozó közös klinikai folyamatok.</w:t>
            </w:r>
          </w:p>
          <w:p w14:paraId="71CCAA76" w14:textId="77777777" w:rsidR="00D65CB4" w:rsidRPr="00BC4EE7" w:rsidRDefault="00572307">
            <w:pPr>
              <w:pStyle w:val="P68B1DB1-ListParagraph13"/>
              <w:numPr>
                <w:ilvl w:val="0"/>
                <w:numId w:val="632"/>
              </w:numPr>
              <w:spacing w:after="0" w:line="240" w:lineRule="auto"/>
              <w:rPr>
                <w:rFonts w:cs="Times New Roman"/>
                <w:noProof/>
              </w:rPr>
            </w:pPr>
            <w:r w:rsidRPr="00BC4EE7">
              <w:rPr>
                <w:rFonts w:cs="Times New Roman"/>
                <w:noProof/>
              </w:rPr>
              <w:t xml:space="preserve">Szakemberek közötti kommunikáció. </w:t>
            </w:r>
          </w:p>
          <w:p w14:paraId="53B470EB" w14:textId="77777777" w:rsidR="00D65CB4" w:rsidRPr="00BC4EE7" w:rsidRDefault="00D65CB4">
            <w:pPr>
              <w:spacing w:after="0" w:line="240" w:lineRule="auto"/>
              <w:rPr>
                <w:rFonts w:ascii="Times New Roman" w:hAnsi="Times New Roman" w:cs="Times New Roman"/>
                <w:noProof/>
                <w:sz w:val="18"/>
              </w:rPr>
            </w:pPr>
          </w:p>
          <w:p w14:paraId="4C5CD18B" w14:textId="77777777" w:rsidR="00D65CB4" w:rsidRPr="00BC4EE7" w:rsidRDefault="00572307">
            <w:pPr>
              <w:pStyle w:val="P68B1DB1-Normal12"/>
              <w:spacing w:after="0" w:line="240" w:lineRule="auto"/>
              <w:rPr>
                <w:rFonts w:cs="Times New Roman"/>
                <w:noProof/>
              </w:rPr>
            </w:pPr>
            <w:r w:rsidRPr="00BC4EE7">
              <w:rPr>
                <w:rFonts w:cs="Times New Roman"/>
                <w:noProof/>
              </w:rPr>
              <w:t>Számítógépes feltérképezést kell végezni a korai ellátással és a genomikus gyógyszerekkel kapcsolatos megosztott erőforrások és szolgáltatások megjelenítése érdekében.</w:t>
            </w:r>
          </w:p>
        </w:tc>
      </w:tr>
      <w:tr w:rsidR="00D65CB4" w:rsidRPr="00BC4EE7" w14:paraId="7C41C0DC" w14:textId="77777777" w:rsidTr="00BC4EE7">
        <w:trPr>
          <w:trHeight w:val="309"/>
        </w:trPr>
        <w:tc>
          <w:tcPr>
            <w:tcW w:w="710" w:type="dxa"/>
            <w:tcBorders>
              <w:top w:val="single" w:sz="4" w:space="0" w:color="auto"/>
              <w:left w:val="single" w:sz="4" w:space="0" w:color="auto"/>
              <w:bottom w:val="single" w:sz="4" w:space="0" w:color="auto"/>
              <w:right w:val="single" w:sz="4" w:space="0" w:color="auto"/>
            </w:tcBorders>
            <w:shd w:val="clear" w:color="auto" w:fill="C6EFCE"/>
            <w:noWrap/>
          </w:tcPr>
          <w:p w14:paraId="016F2368" w14:textId="77777777" w:rsidR="00D65CB4" w:rsidRPr="00BC4EE7" w:rsidRDefault="00572307">
            <w:pPr>
              <w:pStyle w:val="P68B1DB1-Normal12"/>
              <w:jc w:val="center"/>
              <w:rPr>
                <w:rFonts w:eastAsia="Times New Roman" w:cs="Times New Roman"/>
                <w:noProof/>
              </w:rPr>
            </w:pPr>
            <w:r w:rsidRPr="00BC4EE7">
              <w:rPr>
                <w:rFonts w:cs="Times New Roman"/>
                <w:noProof/>
              </w:rPr>
              <w:t>283</w:t>
            </w:r>
          </w:p>
        </w:tc>
        <w:tc>
          <w:tcPr>
            <w:tcW w:w="955" w:type="dxa"/>
            <w:tcBorders>
              <w:top w:val="single" w:sz="4" w:space="0" w:color="auto"/>
              <w:left w:val="single" w:sz="4" w:space="0" w:color="auto"/>
              <w:bottom w:val="single" w:sz="4" w:space="0" w:color="auto"/>
              <w:right w:val="single" w:sz="4" w:space="0" w:color="auto"/>
            </w:tcBorders>
            <w:shd w:val="clear" w:color="auto" w:fill="C6EFCE"/>
            <w:noWrap/>
          </w:tcPr>
          <w:p w14:paraId="1FADF40C" w14:textId="77777777" w:rsidR="00D65CB4" w:rsidRPr="00BC4EE7" w:rsidRDefault="00572307">
            <w:pPr>
              <w:pStyle w:val="P68B1DB1-Normal12"/>
              <w:jc w:val="center"/>
              <w:rPr>
                <w:rFonts w:eastAsia="Times New Roman" w:cs="Times New Roman"/>
                <w:noProof/>
              </w:rPr>
            </w:pPr>
            <w:r w:rsidRPr="00BC4EE7">
              <w:rPr>
                <w:rFonts w:cs="Times New Roman"/>
                <w:noProof/>
              </w:rPr>
              <w:t>C18.I5</w:t>
            </w:r>
          </w:p>
        </w:tc>
        <w:tc>
          <w:tcPr>
            <w:tcW w:w="887" w:type="dxa"/>
            <w:tcBorders>
              <w:top w:val="single" w:sz="4" w:space="0" w:color="auto"/>
              <w:left w:val="single" w:sz="4" w:space="0" w:color="auto"/>
              <w:bottom w:val="single" w:sz="4" w:space="0" w:color="auto"/>
              <w:right w:val="single" w:sz="4" w:space="0" w:color="auto"/>
            </w:tcBorders>
            <w:shd w:val="clear" w:color="auto" w:fill="C6EFCE"/>
            <w:noWrap/>
          </w:tcPr>
          <w:p w14:paraId="6F782ABA" w14:textId="77777777" w:rsidR="00D65CB4" w:rsidRPr="00BC4EE7" w:rsidRDefault="00572307">
            <w:pPr>
              <w:pStyle w:val="P68B1DB1-Normal12"/>
              <w:jc w:val="center"/>
              <w:rPr>
                <w:rFonts w:eastAsia="Times New Roman" w:cs="Times New Roman"/>
                <w:noProof/>
              </w:rPr>
            </w:pPr>
            <w:r w:rsidRPr="00BC4EE7">
              <w:rPr>
                <w:rFonts w:cs="Times New Roman"/>
                <w:noProof/>
              </w:rPr>
              <w:t>M</w:t>
            </w:r>
          </w:p>
        </w:tc>
        <w:tc>
          <w:tcPr>
            <w:tcW w:w="2660" w:type="dxa"/>
            <w:tcBorders>
              <w:top w:val="single" w:sz="4" w:space="0" w:color="auto"/>
              <w:left w:val="single" w:sz="4" w:space="0" w:color="auto"/>
              <w:bottom w:val="single" w:sz="4" w:space="0" w:color="auto"/>
              <w:right w:val="single" w:sz="4" w:space="0" w:color="auto"/>
            </w:tcBorders>
            <w:shd w:val="clear" w:color="auto" w:fill="C6EFCE"/>
            <w:noWrap/>
          </w:tcPr>
          <w:p w14:paraId="700C1A04" w14:textId="77777777" w:rsidR="00D65CB4" w:rsidRPr="00BC4EE7" w:rsidRDefault="00572307">
            <w:pPr>
              <w:pStyle w:val="P68B1DB1-Normal12"/>
              <w:rPr>
                <w:rFonts w:eastAsia="Times New Roman" w:cs="Times New Roman"/>
                <w:noProof/>
              </w:rPr>
            </w:pPr>
            <w:r w:rsidRPr="00BC4EE7">
              <w:rPr>
                <w:rFonts w:cs="Times New Roman"/>
                <w:noProof/>
              </w:rPr>
              <w:t>VALTERM ED rendszer és platform a nemzeti egészségügyi rendszer egészségügyi technológiáinak és előnyeinek értékelésére</w:t>
            </w:r>
          </w:p>
        </w:tc>
        <w:tc>
          <w:tcPr>
            <w:tcW w:w="1241" w:type="dxa"/>
            <w:tcBorders>
              <w:top w:val="single" w:sz="4" w:space="0" w:color="auto"/>
              <w:left w:val="single" w:sz="4" w:space="0" w:color="auto"/>
              <w:bottom w:val="single" w:sz="4" w:space="0" w:color="auto"/>
              <w:right w:val="single" w:sz="4" w:space="0" w:color="auto"/>
            </w:tcBorders>
            <w:shd w:val="clear" w:color="auto" w:fill="C6EFCE"/>
            <w:noWrap/>
          </w:tcPr>
          <w:p w14:paraId="1B4EF807" w14:textId="77777777" w:rsidR="00D65CB4" w:rsidRPr="00BC4EE7" w:rsidRDefault="00572307">
            <w:pPr>
              <w:pStyle w:val="P68B1DB1-Normal12"/>
              <w:jc w:val="center"/>
              <w:rPr>
                <w:rFonts w:eastAsia="Times New Roman" w:cs="Times New Roman"/>
                <w:noProof/>
              </w:rPr>
            </w:pPr>
            <w:r w:rsidRPr="00BC4EE7">
              <w:rPr>
                <w:rFonts w:cs="Times New Roman"/>
                <w:noProof/>
              </w:rPr>
              <w:t>Üzembe helyezési igazolás</w:t>
            </w:r>
          </w:p>
        </w:tc>
        <w:tc>
          <w:tcPr>
            <w:tcW w:w="691" w:type="dxa"/>
            <w:tcBorders>
              <w:top w:val="single" w:sz="4" w:space="0" w:color="auto"/>
              <w:left w:val="single" w:sz="4" w:space="0" w:color="auto"/>
              <w:bottom w:val="single" w:sz="4" w:space="0" w:color="auto"/>
              <w:right w:val="single" w:sz="4" w:space="0" w:color="auto"/>
            </w:tcBorders>
            <w:shd w:val="clear" w:color="auto" w:fill="C6EFCE"/>
            <w:noWrap/>
          </w:tcPr>
          <w:p w14:paraId="3F8DDFA9" w14:textId="77777777" w:rsidR="00D65CB4" w:rsidRPr="00BC4EE7" w:rsidRDefault="00D65CB4">
            <w:pPr>
              <w:jc w:val="center"/>
              <w:rPr>
                <w:rFonts w:ascii="Times New Roman" w:eastAsia="Times New Roman" w:hAnsi="Times New Roman" w:cs="Times New Roman"/>
                <w:noProof/>
                <w:sz w:val="18"/>
              </w:rPr>
            </w:pPr>
          </w:p>
        </w:tc>
        <w:tc>
          <w:tcPr>
            <w:tcW w:w="966" w:type="dxa"/>
            <w:tcBorders>
              <w:top w:val="single" w:sz="4" w:space="0" w:color="auto"/>
              <w:left w:val="single" w:sz="4" w:space="0" w:color="auto"/>
              <w:bottom w:val="single" w:sz="4" w:space="0" w:color="auto"/>
              <w:right w:val="single" w:sz="4" w:space="0" w:color="auto"/>
            </w:tcBorders>
            <w:shd w:val="clear" w:color="auto" w:fill="C6EFCE"/>
            <w:noWrap/>
          </w:tcPr>
          <w:p w14:paraId="40CA3C4C" w14:textId="77777777" w:rsidR="00D65CB4" w:rsidRPr="00BC4EE7" w:rsidRDefault="00D65CB4">
            <w:pPr>
              <w:jc w:val="right"/>
              <w:rPr>
                <w:rFonts w:ascii="Times New Roman" w:eastAsia="Times New Roman" w:hAnsi="Times New Roman" w:cs="Times New Roman"/>
                <w:noProof/>
                <w:sz w:val="18"/>
              </w:rPr>
            </w:pP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29780AA6" w14:textId="77777777" w:rsidR="00D65CB4" w:rsidRPr="00BC4EE7" w:rsidRDefault="00D65CB4">
            <w:pPr>
              <w:jc w:val="right"/>
              <w:rPr>
                <w:rFonts w:ascii="Times New Roman" w:eastAsia="Times New Roman" w:hAnsi="Times New Roman" w:cs="Times New Roman"/>
                <w:noProof/>
                <w:sz w:val="18"/>
              </w:rPr>
            </w:pP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7D3D5060" w14:textId="77777777" w:rsidR="00D65CB4" w:rsidRPr="00BC4EE7" w:rsidRDefault="00572307">
            <w:pPr>
              <w:pStyle w:val="P68B1DB1-Normal12"/>
              <w:jc w:val="center"/>
              <w:rPr>
                <w:rFonts w:eastAsia="Times New Roman" w:cs="Times New Roman"/>
                <w:noProof/>
              </w:rPr>
            </w:pPr>
            <w:r w:rsidRPr="00BC4EE7">
              <w:rPr>
                <w:rFonts w:cs="Times New Roman"/>
                <w:noProof/>
              </w:rPr>
              <w:t>Q4</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34417D6B" w14:textId="77777777" w:rsidR="00D65CB4" w:rsidRPr="00BC4EE7" w:rsidRDefault="00572307">
            <w:pPr>
              <w:pStyle w:val="P68B1DB1-Normal12"/>
              <w:jc w:val="center"/>
              <w:rPr>
                <w:rFonts w:eastAsia="Times New Roman" w:cs="Times New Roman"/>
                <w:noProof/>
              </w:rPr>
            </w:pPr>
            <w:r w:rsidRPr="00BC4EE7">
              <w:rPr>
                <w:rFonts w:cs="Times New Roman"/>
                <w:noProof/>
              </w:rPr>
              <w:t>2023</w:t>
            </w:r>
          </w:p>
        </w:tc>
        <w:tc>
          <w:tcPr>
            <w:tcW w:w="5517" w:type="dxa"/>
            <w:tcBorders>
              <w:top w:val="single" w:sz="4" w:space="0" w:color="auto"/>
              <w:left w:val="single" w:sz="4" w:space="0" w:color="auto"/>
              <w:bottom w:val="single" w:sz="4" w:space="0" w:color="auto"/>
              <w:right w:val="single" w:sz="4" w:space="0" w:color="auto"/>
            </w:tcBorders>
            <w:shd w:val="clear" w:color="auto" w:fill="C6EFCE"/>
            <w:noWrap/>
          </w:tcPr>
          <w:p w14:paraId="4F75462A" w14:textId="77777777" w:rsidR="00D65CB4" w:rsidRPr="00BC4EE7" w:rsidRDefault="00572307">
            <w:pPr>
              <w:pStyle w:val="P68B1DB1-Normal12"/>
              <w:rPr>
                <w:rFonts w:eastAsia="Times New Roman" w:cs="Times New Roman"/>
                <w:noProof/>
              </w:rPr>
            </w:pPr>
            <w:r w:rsidRPr="00BC4EE7">
              <w:rPr>
                <w:rFonts w:cs="Times New Roman"/>
                <w:noProof/>
              </w:rPr>
              <w:t>Az M Inistry of Health és az autonóm régiók gyógyszerértékelési hálózata működik, a VALTERM ED rendszer működik, és létrehoztak egy platformot a nemzeti egészségügyi rendszer egészségügyi technológiáinak és előnyeinek értékelésével foglalkozó ügynökségek spanyol hálózata számára (SNS REDETS).</w:t>
            </w:r>
          </w:p>
          <w:p w14:paraId="6111A05C" w14:textId="77777777" w:rsidR="00D65CB4" w:rsidRPr="00BC4EE7" w:rsidRDefault="00D65CB4">
            <w:pPr>
              <w:rPr>
                <w:rFonts w:ascii="Times New Roman" w:eastAsia="Times New Roman" w:hAnsi="Times New Roman" w:cs="Times New Roman"/>
                <w:noProof/>
                <w:sz w:val="18"/>
              </w:rPr>
            </w:pPr>
          </w:p>
        </w:tc>
      </w:tr>
      <w:tr w:rsidR="00D65CB4" w:rsidRPr="00BC4EE7" w14:paraId="2A1543F9" w14:textId="77777777" w:rsidTr="00BC4EE7">
        <w:trPr>
          <w:trHeight w:val="309"/>
        </w:trPr>
        <w:tc>
          <w:tcPr>
            <w:tcW w:w="710" w:type="dxa"/>
            <w:tcBorders>
              <w:top w:val="single" w:sz="4" w:space="0" w:color="auto"/>
              <w:left w:val="single" w:sz="4" w:space="0" w:color="auto"/>
              <w:bottom w:val="single" w:sz="4" w:space="0" w:color="auto"/>
              <w:right w:val="single" w:sz="4" w:space="0" w:color="auto"/>
            </w:tcBorders>
            <w:shd w:val="clear" w:color="auto" w:fill="C6EFCE"/>
            <w:noWrap/>
          </w:tcPr>
          <w:p w14:paraId="0190B727" w14:textId="6F94BB42" w:rsidR="00D65CB4" w:rsidRPr="00BC4EE7" w:rsidRDefault="00572307">
            <w:pPr>
              <w:pStyle w:val="P68B1DB1-Normal12"/>
              <w:jc w:val="center"/>
              <w:rPr>
                <w:rFonts w:eastAsia="Times New Roman" w:cs="Times New Roman"/>
                <w:noProof/>
              </w:rPr>
            </w:pPr>
            <w:r w:rsidRPr="00BC4EE7">
              <w:rPr>
                <w:rFonts w:cs="Times New Roman"/>
                <w:noProof/>
              </w:rPr>
              <w:t>464</w:t>
            </w:r>
          </w:p>
        </w:tc>
        <w:tc>
          <w:tcPr>
            <w:tcW w:w="955" w:type="dxa"/>
            <w:tcBorders>
              <w:top w:val="single" w:sz="4" w:space="0" w:color="auto"/>
              <w:left w:val="single" w:sz="4" w:space="0" w:color="auto"/>
              <w:bottom w:val="single" w:sz="4" w:space="0" w:color="auto"/>
              <w:right w:val="single" w:sz="4" w:space="0" w:color="auto"/>
            </w:tcBorders>
            <w:shd w:val="clear" w:color="auto" w:fill="C6EFCE"/>
            <w:noWrap/>
          </w:tcPr>
          <w:p w14:paraId="27CF1721" w14:textId="77777777" w:rsidR="00D65CB4" w:rsidRPr="00BC4EE7" w:rsidRDefault="00572307">
            <w:pPr>
              <w:pStyle w:val="P68B1DB1-Normal12"/>
              <w:jc w:val="center"/>
              <w:rPr>
                <w:rFonts w:eastAsia="Times New Roman" w:cs="Times New Roman"/>
                <w:noProof/>
              </w:rPr>
            </w:pPr>
            <w:r w:rsidRPr="00BC4EE7">
              <w:rPr>
                <w:rFonts w:cs="Times New Roman"/>
                <w:noProof/>
              </w:rPr>
              <w:t>C18.I5</w:t>
            </w:r>
          </w:p>
        </w:tc>
        <w:tc>
          <w:tcPr>
            <w:tcW w:w="887" w:type="dxa"/>
            <w:tcBorders>
              <w:top w:val="single" w:sz="4" w:space="0" w:color="auto"/>
              <w:left w:val="single" w:sz="4" w:space="0" w:color="auto"/>
              <w:bottom w:val="single" w:sz="4" w:space="0" w:color="auto"/>
              <w:right w:val="single" w:sz="4" w:space="0" w:color="auto"/>
            </w:tcBorders>
            <w:shd w:val="clear" w:color="auto" w:fill="C6EFCE"/>
            <w:noWrap/>
          </w:tcPr>
          <w:p w14:paraId="4EB71D2A" w14:textId="77777777" w:rsidR="00D65CB4" w:rsidRPr="00BC4EE7" w:rsidRDefault="00572307">
            <w:pPr>
              <w:pStyle w:val="P68B1DB1-Normal12"/>
              <w:jc w:val="center"/>
              <w:rPr>
                <w:rFonts w:eastAsia="Times New Roman" w:cs="Times New Roman"/>
                <w:noProof/>
              </w:rPr>
            </w:pPr>
            <w:r w:rsidRPr="00BC4EE7">
              <w:rPr>
                <w:rFonts w:cs="Times New Roman"/>
                <w:noProof/>
              </w:rPr>
              <w:t>T</w:t>
            </w:r>
          </w:p>
        </w:tc>
        <w:tc>
          <w:tcPr>
            <w:tcW w:w="2660" w:type="dxa"/>
            <w:tcBorders>
              <w:top w:val="single" w:sz="4" w:space="0" w:color="auto"/>
              <w:left w:val="single" w:sz="4" w:space="0" w:color="auto"/>
              <w:bottom w:val="single" w:sz="4" w:space="0" w:color="auto"/>
              <w:right w:val="single" w:sz="4" w:space="0" w:color="auto"/>
            </w:tcBorders>
            <w:shd w:val="clear" w:color="auto" w:fill="C6EFCE"/>
            <w:noWrap/>
          </w:tcPr>
          <w:p w14:paraId="61E6A0DF" w14:textId="77777777" w:rsidR="00D65CB4" w:rsidRPr="00BC4EE7" w:rsidRDefault="00572307">
            <w:pPr>
              <w:pStyle w:val="P68B1DB1-Normal12"/>
              <w:rPr>
                <w:rFonts w:eastAsia="Times New Roman" w:cs="Times New Roman"/>
                <w:noProof/>
              </w:rPr>
            </w:pPr>
            <w:r w:rsidRPr="00BC4EE7">
              <w:rPr>
                <w:rFonts w:cs="Times New Roman"/>
                <w:noProof/>
              </w:rPr>
              <w:t>Terv a gyógyszerfogyasztás racionalizálására és a fenntarthatóság előmozdítására</w:t>
            </w:r>
          </w:p>
        </w:tc>
        <w:tc>
          <w:tcPr>
            <w:tcW w:w="1241" w:type="dxa"/>
            <w:tcBorders>
              <w:top w:val="single" w:sz="4" w:space="0" w:color="auto"/>
              <w:left w:val="single" w:sz="4" w:space="0" w:color="auto"/>
              <w:bottom w:val="single" w:sz="4" w:space="0" w:color="auto"/>
              <w:right w:val="single" w:sz="4" w:space="0" w:color="auto"/>
            </w:tcBorders>
            <w:shd w:val="clear" w:color="auto" w:fill="C6EFCE"/>
            <w:noWrap/>
          </w:tcPr>
          <w:p w14:paraId="67B66D9E" w14:textId="77777777" w:rsidR="00D65CB4" w:rsidRPr="00BC4EE7" w:rsidRDefault="00D65CB4">
            <w:pPr>
              <w:jc w:val="center"/>
              <w:rPr>
                <w:rFonts w:ascii="Times New Roman" w:eastAsia="Times New Roman" w:hAnsi="Times New Roman" w:cs="Times New Roman"/>
                <w:noProof/>
                <w:sz w:val="18"/>
              </w:rPr>
            </w:pPr>
          </w:p>
        </w:tc>
        <w:tc>
          <w:tcPr>
            <w:tcW w:w="691" w:type="dxa"/>
            <w:tcBorders>
              <w:top w:val="single" w:sz="4" w:space="0" w:color="auto"/>
              <w:left w:val="single" w:sz="4" w:space="0" w:color="auto"/>
              <w:bottom w:val="single" w:sz="4" w:space="0" w:color="auto"/>
              <w:right w:val="single" w:sz="4" w:space="0" w:color="auto"/>
            </w:tcBorders>
            <w:shd w:val="clear" w:color="auto" w:fill="C6EFCE"/>
            <w:noWrap/>
          </w:tcPr>
          <w:p w14:paraId="5C9821BC" w14:textId="77777777" w:rsidR="00D65CB4" w:rsidRPr="00BC4EE7" w:rsidRDefault="00D65CB4">
            <w:pPr>
              <w:jc w:val="center"/>
              <w:rPr>
                <w:rFonts w:ascii="Times New Roman" w:eastAsia="Times New Roman" w:hAnsi="Times New Roman" w:cs="Times New Roman"/>
                <w:noProof/>
                <w:sz w:val="18"/>
              </w:rPr>
            </w:pPr>
          </w:p>
        </w:tc>
        <w:tc>
          <w:tcPr>
            <w:tcW w:w="966" w:type="dxa"/>
            <w:tcBorders>
              <w:top w:val="single" w:sz="4" w:space="0" w:color="auto"/>
              <w:left w:val="single" w:sz="4" w:space="0" w:color="auto"/>
              <w:bottom w:val="single" w:sz="4" w:space="0" w:color="auto"/>
              <w:right w:val="single" w:sz="4" w:space="0" w:color="auto"/>
            </w:tcBorders>
            <w:shd w:val="clear" w:color="auto" w:fill="C6EFCE"/>
            <w:noWrap/>
          </w:tcPr>
          <w:p w14:paraId="5353133F" w14:textId="77777777" w:rsidR="00D65CB4" w:rsidRPr="00BC4EE7" w:rsidRDefault="00D65CB4">
            <w:pPr>
              <w:jc w:val="right"/>
              <w:rPr>
                <w:rFonts w:ascii="Times New Roman" w:eastAsia="Times New Roman" w:hAnsi="Times New Roman" w:cs="Times New Roman"/>
                <w:noProof/>
                <w:sz w:val="18"/>
              </w:rPr>
            </w:pP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35162B95" w14:textId="77777777" w:rsidR="00D65CB4" w:rsidRPr="00BC4EE7" w:rsidRDefault="00D65CB4">
            <w:pPr>
              <w:jc w:val="right"/>
              <w:rPr>
                <w:rFonts w:ascii="Times New Roman" w:eastAsia="Times New Roman" w:hAnsi="Times New Roman" w:cs="Times New Roman"/>
                <w:noProof/>
                <w:sz w:val="18"/>
              </w:rPr>
            </w:pP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2E92C8D9" w14:textId="77777777" w:rsidR="00D65CB4" w:rsidRPr="00BC4EE7" w:rsidRDefault="00572307">
            <w:pPr>
              <w:pStyle w:val="P68B1DB1-Normal12"/>
              <w:jc w:val="center"/>
              <w:rPr>
                <w:rFonts w:eastAsia="Times New Roman" w:cs="Times New Roman"/>
                <w:noProof/>
              </w:rPr>
            </w:pPr>
            <w:r w:rsidRPr="00BC4EE7">
              <w:rPr>
                <w:rFonts w:cs="Times New Roman"/>
                <w:noProof/>
              </w:rPr>
              <w:t>Q2</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502FFEE1" w14:textId="77777777" w:rsidR="00D65CB4" w:rsidRPr="00BC4EE7" w:rsidRDefault="00572307">
            <w:pPr>
              <w:pStyle w:val="P68B1DB1-Normal12"/>
              <w:jc w:val="center"/>
              <w:rPr>
                <w:rFonts w:eastAsia="Times New Roman" w:cs="Times New Roman"/>
                <w:noProof/>
              </w:rPr>
            </w:pPr>
            <w:r w:rsidRPr="00BC4EE7">
              <w:rPr>
                <w:rFonts w:cs="Times New Roman"/>
                <w:noProof/>
              </w:rPr>
              <w:t>2026</w:t>
            </w:r>
          </w:p>
        </w:tc>
        <w:tc>
          <w:tcPr>
            <w:tcW w:w="5517" w:type="dxa"/>
            <w:tcBorders>
              <w:top w:val="single" w:sz="4" w:space="0" w:color="auto"/>
              <w:left w:val="single" w:sz="4" w:space="0" w:color="auto"/>
              <w:bottom w:val="single" w:sz="4" w:space="0" w:color="auto"/>
              <w:right w:val="single" w:sz="4" w:space="0" w:color="auto"/>
            </w:tcBorders>
            <w:shd w:val="clear" w:color="auto" w:fill="C6EFCE"/>
            <w:noWrap/>
          </w:tcPr>
          <w:p w14:paraId="5C51D39B" w14:textId="77777777" w:rsidR="00D65CB4" w:rsidRPr="00BC4EE7" w:rsidRDefault="00572307">
            <w:pPr>
              <w:pStyle w:val="P68B1DB1-Normal12"/>
              <w:rPr>
                <w:rFonts w:eastAsia="Times New Roman" w:cs="Times New Roman"/>
                <w:noProof/>
              </w:rPr>
            </w:pPr>
            <w:r w:rsidRPr="00BC4EE7">
              <w:rPr>
                <w:rFonts w:cs="Times New Roman"/>
                <w:noProof/>
              </w:rPr>
              <w:t>Kampányt kell folytatni a generikus és biohasonló gyógyszerek használatának előmozdítására.</w:t>
            </w:r>
          </w:p>
          <w:p w14:paraId="4A2FC14B" w14:textId="42ED86BA" w:rsidR="00D65CB4" w:rsidRPr="00BC4EE7" w:rsidRDefault="00572307">
            <w:pPr>
              <w:pStyle w:val="P68B1DB1-Normal12"/>
              <w:rPr>
                <w:rFonts w:eastAsia="Times New Roman" w:cs="Times New Roman"/>
                <w:noProof/>
              </w:rPr>
            </w:pPr>
            <w:r w:rsidRPr="00BC4EE7">
              <w:rPr>
                <w:rFonts w:cs="Times New Roman"/>
                <w:noProof/>
              </w:rPr>
              <w:t>Létre kell hozni az ortopédiai és protézisi szolgáltatások felírásának kezelésére szolgáló információs rendszert.</w:t>
            </w:r>
          </w:p>
          <w:p w14:paraId="251727E0" w14:textId="2D566576" w:rsidR="00D65CB4" w:rsidRPr="00BC4EE7" w:rsidRDefault="00572307">
            <w:pPr>
              <w:pStyle w:val="P68B1DB1-Normal12"/>
              <w:rPr>
                <w:rFonts w:eastAsia="Times New Roman" w:cs="Times New Roman"/>
                <w:noProof/>
              </w:rPr>
            </w:pPr>
            <w:r w:rsidRPr="00BC4EE7">
              <w:rPr>
                <w:rFonts w:cs="Times New Roman"/>
                <w:noProof/>
              </w:rPr>
              <w:t>Legalább 46300 egészségügyi szakember részesül képzésben a gyógyszerek észszerű használatáról, a tudományos ismeretek klinikai tevékenység céljából történő felhasználásáról és a tudományos szakirodalom kritikai olvasási készségeinek fejlesztéséről.</w:t>
            </w:r>
          </w:p>
          <w:p w14:paraId="046176C0" w14:textId="77777777" w:rsidR="00D65CB4" w:rsidRPr="00BC4EE7" w:rsidRDefault="00572307">
            <w:pPr>
              <w:pStyle w:val="P68B1DB1-Normal12"/>
              <w:rPr>
                <w:rFonts w:eastAsia="Times New Roman" w:cs="Times New Roman"/>
                <w:noProof/>
              </w:rPr>
            </w:pPr>
            <w:r w:rsidRPr="00BC4EE7">
              <w:rPr>
                <w:rFonts w:cs="Times New Roman"/>
                <w:noProof/>
              </w:rPr>
              <w:t>A gyógyszerek és az egészségügyi technológiák értékelésének értékeléséről okleveles tanfolyamot kell létrehozni.</w:t>
            </w:r>
          </w:p>
        </w:tc>
      </w:tr>
      <w:tr w:rsidR="00D65CB4" w:rsidRPr="00BC4EE7" w14:paraId="69CDC385" w14:textId="77777777" w:rsidTr="00BC4EE7">
        <w:trPr>
          <w:trHeight w:val="309"/>
        </w:trPr>
        <w:tc>
          <w:tcPr>
            <w:tcW w:w="710" w:type="dxa"/>
            <w:tcBorders>
              <w:top w:val="single" w:sz="4" w:space="0" w:color="auto"/>
              <w:left w:val="single" w:sz="4" w:space="0" w:color="auto"/>
              <w:bottom w:val="single" w:sz="4" w:space="0" w:color="auto"/>
              <w:right w:val="single" w:sz="4" w:space="0" w:color="auto"/>
            </w:tcBorders>
            <w:shd w:val="clear" w:color="auto" w:fill="C6EFCE"/>
            <w:noWrap/>
          </w:tcPr>
          <w:p w14:paraId="6687D72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284</w:t>
            </w:r>
          </w:p>
        </w:tc>
        <w:tc>
          <w:tcPr>
            <w:tcW w:w="955" w:type="dxa"/>
            <w:tcBorders>
              <w:top w:val="single" w:sz="4" w:space="0" w:color="auto"/>
              <w:left w:val="single" w:sz="4" w:space="0" w:color="auto"/>
              <w:bottom w:val="single" w:sz="4" w:space="0" w:color="auto"/>
              <w:right w:val="single" w:sz="4" w:space="0" w:color="auto"/>
            </w:tcBorders>
            <w:shd w:val="clear" w:color="auto" w:fill="C6EFCE"/>
            <w:noWrap/>
          </w:tcPr>
          <w:p w14:paraId="04552E5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C18.I6</w:t>
            </w:r>
          </w:p>
        </w:tc>
        <w:tc>
          <w:tcPr>
            <w:tcW w:w="887" w:type="dxa"/>
            <w:tcBorders>
              <w:top w:val="single" w:sz="4" w:space="0" w:color="auto"/>
              <w:left w:val="single" w:sz="4" w:space="0" w:color="auto"/>
              <w:bottom w:val="single" w:sz="4" w:space="0" w:color="auto"/>
              <w:right w:val="single" w:sz="4" w:space="0" w:color="auto"/>
            </w:tcBorders>
            <w:shd w:val="clear" w:color="auto" w:fill="C6EFCE"/>
            <w:noWrap/>
          </w:tcPr>
          <w:p w14:paraId="52DE694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2660" w:type="dxa"/>
            <w:tcBorders>
              <w:top w:val="single" w:sz="4" w:space="0" w:color="auto"/>
              <w:left w:val="single" w:sz="4" w:space="0" w:color="auto"/>
              <w:bottom w:val="single" w:sz="4" w:space="0" w:color="auto"/>
              <w:right w:val="single" w:sz="4" w:space="0" w:color="auto"/>
            </w:tcBorders>
            <w:shd w:val="clear" w:color="auto" w:fill="C6EFCE"/>
            <w:noWrap/>
          </w:tcPr>
          <w:p w14:paraId="397AE905"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Az egészségügyi adattava működtetése </w:t>
            </w:r>
          </w:p>
        </w:tc>
        <w:tc>
          <w:tcPr>
            <w:tcW w:w="1241" w:type="dxa"/>
            <w:tcBorders>
              <w:top w:val="single" w:sz="4" w:space="0" w:color="auto"/>
              <w:left w:val="single" w:sz="4" w:space="0" w:color="auto"/>
              <w:bottom w:val="single" w:sz="4" w:space="0" w:color="auto"/>
              <w:right w:val="single" w:sz="4" w:space="0" w:color="auto"/>
            </w:tcBorders>
            <w:shd w:val="clear" w:color="auto" w:fill="C6EFCE"/>
            <w:noWrap/>
          </w:tcPr>
          <w:p w14:paraId="3B4A3F2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691" w:type="dxa"/>
            <w:tcBorders>
              <w:top w:val="single" w:sz="4" w:space="0" w:color="auto"/>
              <w:left w:val="single" w:sz="4" w:space="0" w:color="auto"/>
              <w:bottom w:val="single" w:sz="4" w:space="0" w:color="auto"/>
              <w:right w:val="single" w:sz="4" w:space="0" w:color="auto"/>
            </w:tcBorders>
            <w:shd w:val="clear" w:color="auto" w:fill="C6EFCE"/>
            <w:noWrap/>
          </w:tcPr>
          <w:p w14:paraId="2A66A3CD"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Szám</w:t>
            </w:r>
          </w:p>
        </w:tc>
        <w:tc>
          <w:tcPr>
            <w:tcW w:w="966" w:type="dxa"/>
            <w:tcBorders>
              <w:top w:val="single" w:sz="4" w:space="0" w:color="auto"/>
              <w:left w:val="single" w:sz="4" w:space="0" w:color="auto"/>
              <w:bottom w:val="single" w:sz="4" w:space="0" w:color="auto"/>
              <w:right w:val="single" w:sz="4" w:space="0" w:color="auto"/>
            </w:tcBorders>
            <w:shd w:val="clear" w:color="auto" w:fill="C6EFCE"/>
            <w:noWrap/>
          </w:tcPr>
          <w:p w14:paraId="3EA6AC04"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0</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1B21E64E"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17</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7E8CF16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00172AE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2023</w:t>
            </w:r>
          </w:p>
        </w:tc>
        <w:tc>
          <w:tcPr>
            <w:tcW w:w="5517" w:type="dxa"/>
            <w:tcBorders>
              <w:top w:val="single" w:sz="4" w:space="0" w:color="auto"/>
              <w:left w:val="single" w:sz="4" w:space="0" w:color="auto"/>
              <w:bottom w:val="single" w:sz="4" w:space="0" w:color="auto"/>
              <w:right w:val="single" w:sz="4" w:space="0" w:color="auto"/>
            </w:tcBorders>
            <w:shd w:val="clear" w:color="auto" w:fill="C6EFCE"/>
            <w:noWrap/>
          </w:tcPr>
          <w:p w14:paraId="13D4E7D0"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Az egészségügyi adattavaknak az állam számára működőképesnek kell lenniük, és legalább 17 autonóm régiót vagy várost kell magukban foglalniuk azzal a céllal, hogy lehetővé tegyék a tömeges adatelemzést a diagnózis és a kezelések azonosítása és javítása céljából.</w:t>
            </w:r>
          </w:p>
        </w:tc>
      </w:tr>
      <w:tr w:rsidR="00D65CB4" w:rsidRPr="00BC4EE7" w14:paraId="36323961" w14:textId="77777777" w:rsidTr="00BC4EE7">
        <w:trPr>
          <w:trHeight w:val="309"/>
        </w:trPr>
        <w:tc>
          <w:tcPr>
            <w:tcW w:w="710" w:type="dxa"/>
            <w:shd w:val="clear" w:color="auto" w:fill="C6EFCE"/>
            <w:noWrap/>
          </w:tcPr>
          <w:p w14:paraId="15D2AC37" w14:textId="5B8A585D" w:rsidR="00D65CB4" w:rsidRPr="00BC4EE7" w:rsidRDefault="00572307">
            <w:pPr>
              <w:pStyle w:val="P68B1DB1-Normal12"/>
              <w:spacing w:after="0" w:line="240" w:lineRule="auto"/>
              <w:jc w:val="center"/>
              <w:rPr>
                <w:rFonts w:cs="Times New Roman"/>
                <w:noProof/>
              </w:rPr>
            </w:pPr>
            <w:r w:rsidRPr="00BC4EE7">
              <w:rPr>
                <w:rFonts w:cs="Times New Roman"/>
                <w:noProof/>
              </w:rPr>
              <w:t>465</w:t>
            </w:r>
          </w:p>
        </w:tc>
        <w:tc>
          <w:tcPr>
            <w:tcW w:w="955" w:type="dxa"/>
            <w:shd w:val="clear" w:color="auto" w:fill="C6EFCE"/>
            <w:noWrap/>
          </w:tcPr>
          <w:p w14:paraId="4E2574A6"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C18.I4</w:t>
            </w:r>
          </w:p>
        </w:tc>
        <w:tc>
          <w:tcPr>
            <w:tcW w:w="887" w:type="dxa"/>
            <w:shd w:val="clear" w:color="auto" w:fill="C6EFCE"/>
            <w:noWrap/>
          </w:tcPr>
          <w:p w14:paraId="0DF8E6C4"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2660" w:type="dxa"/>
            <w:shd w:val="clear" w:color="auto" w:fill="C6EFCE"/>
            <w:noWrap/>
          </w:tcPr>
          <w:p w14:paraId="20B9943E" w14:textId="6C3315D1"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 ritka betegségekben szenvedő betegek egészségügyi ellátásának javítását célzó projektek lezárása </w:t>
            </w:r>
          </w:p>
        </w:tc>
        <w:tc>
          <w:tcPr>
            <w:tcW w:w="1241" w:type="dxa"/>
            <w:shd w:val="clear" w:color="auto" w:fill="C6EFCE"/>
            <w:noWrap/>
          </w:tcPr>
          <w:p w14:paraId="0A78DA5B" w14:textId="77777777" w:rsidR="00D65CB4" w:rsidRPr="00BC4EE7" w:rsidRDefault="00D65CB4">
            <w:pPr>
              <w:spacing w:after="0" w:line="240" w:lineRule="auto"/>
              <w:jc w:val="center"/>
              <w:rPr>
                <w:rFonts w:ascii="Times New Roman" w:hAnsi="Times New Roman" w:cs="Times New Roman"/>
                <w:noProof/>
                <w:sz w:val="18"/>
              </w:rPr>
            </w:pPr>
          </w:p>
        </w:tc>
        <w:tc>
          <w:tcPr>
            <w:tcW w:w="691" w:type="dxa"/>
            <w:shd w:val="clear" w:color="auto" w:fill="C6EFCE"/>
            <w:noWrap/>
          </w:tcPr>
          <w:p w14:paraId="595D81A4" w14:textId="79DA9C70" w:rsidR="00D65CB4" w:rsidRPr="00BC4EE7" w:rsidRDefault="00572307">
            <w:pPr>
              <w:pStyle w:val="P68B1DB1-Normal12"/>
              <w:spacing w:after="0" w:line="240" w:lineRule="auto"/>
              <w:jc w:val="center"/>
              <w:rPr>
                <w:rFonts w:cs="Times New Roman"/>
                <w:noProof/>
              </w:rPr>
            </w:pPr>
            <w:r w:rsidRPr="00BC4EE7">
              <w:rPr>
                <w:rFonts w:cs="Times New Roman"/>
                <w:noProof/>
              </w:rPr>
              <w:t xml:space="preserve">Millió EUR </w:t>
            </w:r>
          </w:p>
        </w:tc>
        <w:tc>
          <w:tcPr>
            <w:tcW w:w="966" w:type="dxa"/>
            <w:shd w:val="clear" w:color="auto" w:fill="C6EFCE"/>
            <w:noWrap/>
          </w:tcPr>
          <w:p w14:paraId="73434D56"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0</w:t>
            </w:r>
          </w:p>
        </w:tc>
        <w:tc>
          <w:tcPr>
            <w:tcW w:w="553" w:type="dxa"/>
            <w:shd w:val="clear" w:color="auto" w:fill="C6EFCE"/>
            <w:noWrap/>
          </w:tcPr>
          <w:p w14:paraId="77FAD77F"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50</w:t>
            </w:r>
          </w:p>
        </w:tc>
        <w:tc>
          <w:tcPr>
            <w:tcW w:w="553" w:type="dxa"/>
            <w:shd w:val="clear" w:color="auto" w:fill="C6EFCE"/>
            <w:noWrap/>
          </w:tcPr>
          <w:p w14:paraId="6D2A1BB2" w14:textId="52B062C2"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553" w:type="dxa"/>
            <w:shd w:val="clear" w:color="auto" w:fill="C6EFCE"/>
            <w:noWrap/>
          </w:tcPr>
          <w:p w14:paraId="03755F8C" w14:textId="743B6E37" w:rsidR="00D65CB4" w:rsidRPr="00BC4EE7" w:rsidRDefault="00572307">
            <w:pPr>
              <w:pStyle w:val="P68B1DB1-Normal12"/>
              <w:spacing w:after="0" w:line="240" w:lineRule="auto"/>
              <w:jc w:val="center"/>
              <w:rPr>
                <w:rFonts w:cs="Times New Roman"/>
                <w:noProof/>
              </w:rPr>
            </w:pPr>
            <w:r w:rsidRPr="00BC4EE7">
              <w:rPr>
                <w:rFonts w:cs="Times New Roman"/>
                <w:noProof/>
              </w:rPr>
              <w:t>2026</w:t>
            </w:r>
          </w:p>
        </w:tc>
        <w:tc>
          <w:tcPr>
            <w:tcW w:w="5517" w:type="dxa"/>
            <w:shd w:val="clear" w:color="auto" w:fill="C6EFCE"/>
            <w:noWrap/>
          </w:tcPr>
          <w:p w14:paraId="48DF3648" w14:textId="4F2C31D2" w:rsidR="00D65CB4" w:rsidRPr="00BC4EE7" w:rsidRDefault="00572307">
            <w:pPr>
              <w:pStyle w:val="P68B1DB1-Normal12"/>
              <w:spacing w:after="0" w:line="240" w:lineRule="auto"/>
              <w:rPr>
                <w:rFonts w:eastAsia="Times New Roman" w:cs="Times New Roman"/>
                <w:noProof/>
              </w:rPr>
            </w:pPr>
            <w:r w:rsidRPr="00BC4EE7">
              <w:rPr>
                <w:rFonts w:cs="Times New Roman"/>
                <w:noProof/>
              </w:rPr>
              <w:t>Legalább 50 millió EUR értékű kísérleti projektek lezárása a nemzeti egészségügyi rendszer (SNS) olyan interoperábilis kapacitásokkal, infrastruktúrával, berendezésekkel és információs rendszerekkel való ellátására, amelyek elősegítik a ritka betegségekben szenvedő betegek egészségügyi ellátásának javítását</w:t>
            </w:r>
          </w:p>
        </w:tc>
      </w:tr>
      <w:tr w:rsidR="00D65CB4" w:rsidRPr="00BC4EE7" w14:paraId="0A1EAE17" w14:textId="77777777" w:rsidTr="00BC4EE7">
        <w:trPr>
          <w:trHeight w:val="309"/>
        </w:trPr>
        <w:tc>
          <w:tcPr>
            <w:tcW w:w="710" w:type="dxa"/>
            <w:shd w:val="clear" w:color="auto" w:fill="C6EFCE"/>
            <w:noWrap/>
          </w:tcPr>
          <w:p w14:paraId="48D0ABBD" w14:textId="3408C95B"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466</w:t>
            </w:r>
          </w:p>
        </w:tc>
        <w:tc>
          <w:tcPr>
            <w:tcW w:w="955" w:type="dxa"/>
            <w:shd w:val="clear" w:color="auto" w:fill="C6EFCE"/>
            <w:noWrap/>
          </w:tcPr>
          <w:p w14:paraId="08593F24" w14:textId="50218951"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C18.I5</w:t>
            </w:r>
          </w:p>
        </w:tc>
        <w:tc>
          <w:tcPr>
            <w:tcW w:w="887" w:type="dxa"/>
            <w:shd w:val="clear" w:color="auto" w:fill="C6EFCE"/>
            <w:noWrap/>
          </w:tcPr>
          <w:p w14:paraId="62D7F482" w14:textId="319DB96D"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2660" w:type="dxa"/>
            <w:shd w:val="clear" w:color="auto" w:fill="C6EFCE"/>
            <w:noWrap/>
          </w:tcPr>
          <w:p w14:paraId="11CC146B" w14:textId="0ADF4BA4" w:rsidR="00D65CB4" w:rsidRPr="00BC4EE7" w:rsidRDefault="00572307">
            <w:pPr>
              <w:pStyle w:val="P68B1DB1-Normal12"/>
              <w:spacing w:after="0" w:line="240" w:lineRule="auto"/>
              <w:rPr>
                <w:rFonts w:eastAsia="Times New Roman" w:cs="Times New Roman"/>
                <w:noProof/>
              </w:rPr>
            </w:pPr>
            <w:r w:rsidRPr="00BC4EE7">
              <w:rPr>
                <w:rFonts w:cs="Times New Roman"/>
                <w:noProof/>
              </w:rPr>
              <w:t>A genomikai szolgáltatások bővítése a nemzeti egészségügyi rendszerben</w:t>
            </w:r>
          </w:p>
        </w:tc>
        <w:tc>
          <w:tcPr>
            <w:tcW w:w="1241" w:type="dxa"/>
            <w:shd w:val="clear" w:color="auto" w:fill="C6EFCE"/>
            <w:noWrap/>
          </w:tcPr>
          <w:p w14:paraId="5D3803A4" w14:textId="3365792B" w:rsidR="00D65CB4" w:rsidRPr="00BC4EE7" w:rsidRDefault="00572307">
            <w:pPr>
              <w:pStyle w:val="P68B1DB1-Normal12"/>
              <w:spacing w:after="0" w:line="240" w:lineRule="auto"/>
              <w:jc w:val="center"/>
              <w:rPr>
                <w:rFonts w:cs="Times New Roman"/>
                <w:noProof/>
              </w:rPr>
            </w:pPr>
            <w:r w:rsidRPr="00BC4EE7">
              <w:rPr>
                <w:rFonts w:cs="Times New Roman"/>
                <w:noProof/>
              </w:rPr>
              <w:t xml:space="preserve"> </w:t>
            </w:r>
          </w:p>
        </w:tc>
        <w:tc>
          <w:tcPr>
            <w:tcW w:w="691" w:type="dxa"/>
            <w:shd w:val="clear" w:color="auto" w:fill="C6EFCE"/>
            <w:noWrap/>
          </w:tcPr>
          <w:p w14:paraId="48F0A250" w14:textId="56E62F00"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Millió EUR </w:t>
            </w:r>
          </w:p>
        </w:tc>
        <w:tc>
          <w:tcPr>
            <w:tcW w:w="966" w:type="dxa"/>
            <w:shd w:val="clear" w:color="auto" w:fill="C6EFCE"/>
            <w:noWrap/>
          </w:tcPr>
          <w:p w14:paraId="528FBAF1" w14:textId="153C087C"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0</w:t>
            </w:r>
          </w:p>
        </w:tc>
        <w:tc>
          <w:tcPr>
            <w:tcW w:w="553" w:type="dxa"/>
            <w:shd w:val="clear" w:color="auto" w:fill="C6EFCE"/>
            <w:noWrap/>
          </w:tcPr>
          <w:p w14:paraId="6F038E42" w14:textId="3B1E3DA3"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23</w:t>
            </w:r>
          </w:p>
        </w:tc>
        <w:tc>
          <w:tcPr>
            <w:tcW w:w="553" w:type="dxa"/>
            <w:shd w:val="clear" w:color="auto" w:fill="C6EFCE"/>
            <w:noWrap/>
          </w:tcPr>
          <w:p w14:paraId="76756A97" w14:textId="122F5FB9"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Q2</w:t>
            </w:r>
          </w:p>
        </w:tc>
        <w:tc>
          <w:tcPr>
            <w:tcW w:w="553" w:type="dxa"/>
            <w:shd w:val="clear" w:color="auto" w:fill="C6EFCE"/>
            <w:noWrap/>
          </w:tcPr>
          <w:p w14:paraId="1187235C" w14:textId="3E77F6F4"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2026</w:t>
            </w:r>
          </w:p>
        </w:tc>
        <w:tc>
          <w:tcPr>
            <w:tcW w:w="5517" w:type="dxa"/>
            <w:shd w:val="clear" w:color="auto" w:fill="C6EFCE"/>
            <w:noWrap/>
          </w:tcPr>
          <w:p w14:paraId="086447AF" w14:textId="1B49B1B4" w:rsidR="00D65CB4" w:rsidRPr="00BC4EE7" w:rsidRDefault="00572307">
            <w:pPr>
              <w:pStyle w:val="P68B1DB1-Normal12"/>
              <w:spacing w:after="0" w:line="240" w:lineRule="auto"/>
              <w:rPr>
                <w:rFonts w:eastAsia="Times New Roman" w:cs="Times New Roman"/>
                <w:noProof/>
              </w:rPr>
            </w:pPr>
            <w:r w:rsidRPr="00BC4EE7">
              <w:rPr>
                <w:rFonts w:cs="Times New Roman"/>
                <w:noProof/>
              </w:rPr>
              <w:t>A genetikai vizsgálatok kibővített katalógusának végrehajtásához szükséges, legalább 23 000 000 EUR értékű berendezéseket kell beszerezni, és a genomikai információk nemzeti szintű integrálására szolgáló információs rendszert kell működtetni.</w:t>
            </w:r>
          </w:p>
        </w:tc>
      </w:tr>
      <w:tr w:rsidR="00D65CB4" w:rsidRPr="00BC4EE7" w14:paraId="0BAA2D52" w14:textId="77777777" w:rsidTr="00BC4EE7">
        <w:trPr>
          <w:trHeight w:val="309"/>
        </w:trPr>
        <w:tc>
          <w:tcPr>
            <w:tcW w:w="710" w:type="dxa"/>
            <w:shd w:val="clear" w:color="auto" w:fill="C6EFCE"/>
            <w:noWrap/>
          </w:tcPr>
          <w:p w14:paraId="3FD0142E" w14:textId="04899C00" w:rsidR="00D65CB4" w:rsidRPr="00BC4EE7" w:rsidRDefault="00572307">
            <w:pPr>
              <w:pStyle w:val="P68B1DB1-Normal12"/>
              <w:spacing w:after="0" w:line="240" w:lineRule="auto"/>
              <w:jc w:val="center"/>
              <w:rPr>
                <w:rFonts w:cs="Times New Roman"/>
                <w:noProof/>
              </w:rPr>
            </w:pPr>
            <w:r w:rsidRPr="00BC4EE7">
              <w:rPr>
                <w:rFonts w:cs="Times New Roman"/>
                <w:noProof/>
              </w:rPr>
              <w:t>466a</w:t>
            </w:r>
          </w:p>
        </w:tc>
        <w:tc>
          <w:tcPr>
            <w:tcW w:w="955" w:type="dxa"/>
            <w:shd w:val="clear" w:color="auto" w:fill="C6EFCE"/>
            <w:noWrap/>
          </w:tcPr>
          <w:p w14:paraId="2CA30FAA" w14:textId="667F3C2D" w:rsidR="00D65CB4" w:rsidRPr="00BC4EE7" w:rsidRDefault="00572307">
            <w:pPr>
              <w:pStyle w:val="P68B1DB1-Normal12"/>
              <w:spacing w:after="0" w:line="240" w:lineRule="auto"/>
              <w:jc w:val="center"/>
              <w:rPr>
                <w:rFonts w:cs="Times New Roman"/>
                <w:noProof/>
              </w:rPr>
            </w:pPr>
            <w:r w:rsidRPr="00BC4EE7">
              <w:rPr>
                <w:rFonts w:cs="Times New Roman"/>
                <w:noProof/>
              </w:rPr>
              <w:t>C18.I6</w:t>
            </w:r>
          </w:p>
        </w:tc>
        <w:tc>
          <w:tcPr>
            <w:tcW w:w="887" w:type="dxa"/>
            <w:shd w:val="clear" w:color="auto" w:fill="C6EFCE"/>
            <w:noWrap/>
          </w:tcPr>
          <w:p w14:paraId="069CB644" w14:textId="294A3F74"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2660" w:type="dxa"/>
            <w:shd w:val="clear" w:color="auto" w:fill="C6EFCE"/>
            <w:noWrap/>
          </w:tcPr>
          <w:p w14:paraId="45090972" w14:textId="62CF638A" w:rsidR="00D65CB4" w:rsidRPr="00BC4EE7" w:rsidRDefault="00572307">
            <w:pPr>
              <w:pStyle w:val="P68B1DB1-Normal12"/>
              <w:spacing w:after="0" w:line="240" w:lineRule="auto"/>
              <w:rPr>
                <w:rFonts w:eastAsia="Times New Roman" w:cs="Times New Roman"/>
                <w:noProof/>
              </w:rPr>
            </w:pPr>
            <w:r w:rsidRPr="00BC4EE7">
              <w:rPr>
                <w:rFonts w:cs="Times New Roman"/>
                <w:noProof/>
              </w:rPr>
              <w:t>Tömeges adatfeldolgozási projektek</w:t>
            </w:r>
          </w:p>
        </w:tc>
        <w:tc>
          <w:tcPr>
            <w:tcW w:w="1241" w:type="dxa"/>
            <w:shd w:val="clear" w:color="auto" w:fill="C6EFCE"/>
            <w:noWrap/>
          </w:tcPr>
          <w:p w14:paraId="06BC43D8" w14:textId="6C040902" w:rsidR="00D65CB4" w:rsidRPr="00BC4EE7" w:rsidRDefault="00D65CB4">
            <w:pPr>
              <w:spacing w:after="0" w:line="240" w:lineRule="auto"/>
              <w:jc w:val="center"/>
              <w:rPr>
                <w:rFonts w:ascii="Times New Roman" w:hAnsi="Times New Roman" w:cs="Times New Roman"/>
                <w:noProof/>
                <w:sz w:val="18"/>
              </w:rPr>
            </w:pPr>
          </w:p>
        </w:tc>
        <w:tc>
          <w:tcPr>
            <w:tcW w:w="691" w:type="dxa"/>
            <w:shd w:val="clear" w:color="auto" w:fill="C6EFCE"/>
            <w:noWrap/>
          </w:tcPr>
          <w:p w14:paraId="7F835862" w14:textId="0F05C931" w:rsidR="00D65CB4" w:rsidRPr="00BC4EE7" w:rsidRDefault="00D65CB4">
            <w:pPr>
              <w:spacing w:after="0" w:line="240" w:lineRule="auto"/>
              <w:jc w:val="center"/>
              <w:rPr>
                <w:rFonts w:ascii="Times New Roman" w:hAnsi="Times New Roman" w:cs="Times New Roman"/>
                <w:noProof/>
                <w:sz w:val="18"/>
              </w:rPr>
            </w:pPr>
          </w:p>
        </w:tc>
        <w:tc>
          <w:tcPr>
            <w:tcW w:w="966" w:type="dxa"/>
            <w:shd w:val="clear" w:color="auto" w:fill="C6EFCE"/>
            <w:noWrap/>
          </w:tcPr>
          <w:p w14:paraId="6CE29A2A" w14:textId="420D3061" w:rsidR="00D65CB4" w:rsidRPr="00BC4EE7" w:rsidRDefault="00D65CB4">
            <w:pPr>
              <w:spacing w:after="0" w:line="240" w:lineRule="auto"/>
              <w:jc w:val="right"/>
              <w:rPr>
                <w:rFonts w:ascii="Times New Roman" w:hAnsi="Times New Roman" w:cs="Times New Roman"/>
                <w:noProof/>
                <w:sz w:val="18"/>
              </w:rPr>
            </w:pPr>
          </w:p>
        </w:tc>
        <w:tc>
          <w:tcPr>
            <w:tcW w:w="553" w:type="dxa"/>
            <w:shd w:val="clear" w:color="auto" w:fill="C6EFCE"/>
            <w:noWrap/>
          </w:tcPr>
          <w:p w14:paraId="4C41331F" w14:textId="4EEBA05E" w:rsidR="00D65CB4" w:rsidRPr="00BC4EE7" w:rsidRDefault="00572307">
            <w:pPr>
              <w:pStyle w:val="P68B1DB1-Normal12"/>
              <w:spacing w:after="0" w:line="240" w:lineRule="auto"/>
              <w:jc w:val="right"/>
              <w:rPr>
                <w:rFonts w:cs="Times New Roman"/>
                <w:noProof/>
              </w:rPr>
            </w:pPr>
            <w:r w:rsidRPr="00BC4EE7">
              <w:rPr>
                <w:rFonts w:cs="Times New Roman"/>
                <w:noProof/>
              </w:rPr>
              <w:t>2</w:t>
            </w:r>
          </w:p>
        </w:tc>
        <w:tc>
          <w:tcPr>
            <w:tcW w:w="553" w:type="dxa"/>
            <w:shd w:val="clear" w:color="auto" w:fill="C6EFCE"/>
            <w:noWrap/>
          </w:tcPr>
          <w:p w14:paraId="7C52FB75" w14:textId="58DE1D6F"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553" w:type="dxa"/>
            <w:shd w:val="clear" w:color="auto" w:fill="C6EFCE"/>
            <w:noWrap/>
          </w:tcPr>
          <w:p w14:paraId="1685B77C" w14:textId="415DF8CE" w:rsidR="00D65CB4" w:rsidRPr="00BC4EE7" w:rsidRDefault="00572307">
            <w:pPr>
              <w:pStyle w:val="P68B1DB1-Normal12"/>
              <w:spacing w:after="0" w:line="240" w:lineRule="auto"/>
              <w:jc w:val="center"/>
              <w:rPr>
                <w:rFonts w:cs="Times New Roman"/>
                <w:noProof/>
              </w:rPr>
            </w:pPr>
            <w:r w:rsidRPr="00BC4EE7">
              <w:rPr>
                <w:rFonts w:cs="Times New Roman"/>
                <w:noProof/>
              </w:rPr>
              <w:t>2025</w:t>
            </w:r>
          </w:p>
        </w:tc>
        <w:tc>
          <w:tcPr>
            <w:tcW w:w="5517" w:type="dxa"/>
            <w:shd w:val="clear" w:color="auto" w:fill="C6EFCE"/>
            <w:noWrap/>
          </w:tcPr>
          <w:p w14:paraId="22DCCCD1" w14:textId="28DF8296" w:rsidR="00D65CB4" w:rsidRPr="00BC4EE7" w:rsidRDefault="00572307">
            <w:pPr>
              <w:pStyle w:val="P68B1DB1-Normal12"/>
              <w:spacing w:after="0" w:line="240" w:lineRule="auto"/>
              <w:rPr>
                <w:rFonts w:eastAsia="Times New Roman" w:cs="Times New Roman"/>
                <w:noProof/>
              </w:rPr>
            </w:pPr>
            <w:r w:rsidRPr="00BC4EE7">
              <w:rPr>
                <w:rFonts w:cs="Times New Roman"/>
                <w:noProof/>
              </w:rPr>
              <w:t>Az egészségügyi adattavi beruházás részeként legalább két tömeges adatfeldolgozási projektet kell végrehajtani.</w:t>
            </w:r>
          </w:p>
        </w:tc>
      </w:tr>
    </w:tbl>
    <w:p w14:paraId="6CEA137B" w14:textId="77777777" w:rsidR="00D65CB4" w:rsidRPr="00BC4EE7" w:rsidRDefault="00D65CB4">
      <w:pPr>
        <w:rPr>
          <w:rFonts w:ascii="Times New Roman" w:hAnsi="Times New Roman" w:cs="Times New Roman"/>
          <w:noProof/>
        </w:rPr>
      </w:pPr>
    </w:p>
    <w:p w14:paraId="6AFA53DC" w14:textId="77777777" w:rsidR="00D65CB4" w:rsidRPr="00BC4EE7" w:rsidRDefault="00D65CB4">
      <w:pPr>
        <w:spacing w:before="120" w:after="120" w:line="240" w:lineRule="auto"/>
        <w:ind w:left="709"/>
        <w:jc w:val="both"/>
        <w:rPr>
          <w:rFonts w:ascii="Times New Roman" w:hAnsi="Times New Roman" w:cs="Times New Roman"/>
          <w:noProof/>
          <w:sz w:val="24"/>
        </w:rPr>
        <w:sectPr w:rsidR="00D65CB4" w:rsidRPr="00BC4EE7" w:rsidSect="00B511EF">
          <w:headerReference w:type="even" r:id="rId388"/>
          <w:headerReference w:type="default" r:id="rId389"/>
          <w:footerReference w:type="even" r:id="rId390"/>
          <w:footerReference w:type="default" r:id="rId391"/>
          <w:headerReference w:type="first" r:id="rId392"/>
          <w:footerReference w:type="first" r:id="rId393"/>
          <w:pgSz w:w="16839" w:h="11907" w:orient="landscape"/>
          <w:pgMar w:top="1134" w:right="1134" w:bottom="1134" w:left="1134" w:header="567" w:footer="567" w:gutter="0"/>
          <w:cols w:space="720"/>
          <w:docGrid w:linePitch="360"/>
        </w:sectPr>
      </w:pPr>
    </w:p>
    <w:p w14:paraId="20701AA1" w14:textId="77777777" w:rsidR="00D65CB4" w:rsidRPr="00BC4EE7" w:rsidRDefault="00572307">
      <w:pPr>
        <w:pStyle w:val="P68B1DB1-Heading12"/>
        <w:rPr>
          <w:rFonts w:cs="Times New Roman"/>
          <w:noProof/>
        </w:rPr>
      </w:pPr>
      <w:r w:rsidRPr="00BC4EE7">
        <w:rPr>
          <w:rFonts w:cs="Times New Roman"/>
          <w:noProof/>
        </w:rPr>
        <w:t>S. KOMPONENS: Digitális készségek</w:t>
      </w:r>
    </w:p>
    <w:p w14:paraId="07BA6823"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spanyol helyreállítási és rezilienciaépítési terv e komponensének fő célkitűzése a digitális készségek (alap- és haladó szintű) szintjének növelése a lakosság különböző csoportjainak címzett intézkedések révén. E készségek megszerzése kulcsfontosságú ahhoz, hogy Spanyolország kihasználhassa a gazdaság és a társadalom fokozott digitalizációja által kínált lehetőségeket. </w:t>
      </w:r>
    </w:p>
    <w:p w14:paraId="1539AB6F"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kkv-k digitalizálására irányuló célzott intézkedések kiegészítik a terv 13. komponensében (A kkv-k támogatása) előirányzott intézkedéseket. A 15. komponens (Digitális összeköttetések) keretében az IKT-kiegészítő intézkedések terén magasan képzett személyek számának növelését célzó intézkedések. Végezetül, az iskolák digitalizálására irányuló intézkedéseknek meg kell erősíteniük a 21. komponens (Oktatás) intézkedéseit, és növelniük kell a 23. komponensben (Munkaerőpiac) előirányzott intézkedések hatását. </w:t>
      </w:r>
    </w:p>
    <w:p w14:paraId="607274F3"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komponens az innováció előmozdításáról (2019. évi 3. országspecifikus ajánlás), a digitális tanuláshoz való hozzáférésről (2020. évi 2. országspecifikus ajánlás) és a kiforrott közberuházási projektek előreütemezéséről, a gazdasági helyreállítást elősegítő magánberuházások előmozdításáról, valamint a beruházásoknak a zöld és digitális átállásra való összpontosításáról szóló országspecifikus ajánlásokkal foglalkozik (2020. évi 3. országspecifikus ajánlás).</w:t>
      </w:r>
    </w:p>
    <w:p w14:paraId="21FD6DE3"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jelentős károkozás elkerülését célzó elvről szóló technikai iránymutatásnak (2021/C58/01) megfelelően a helyreállítási és rezilienciaépítési tervben meghatározott intézkedések leírását és a helyreállítási és rezilienciaépítési tervben meghatározott enyhítő lépéseket figyelembe véve ebben a komponensben várhatóan egyetlen intézkedés sem sérti jelentős mértékben az (EU) 2020/852 rendelet 17. cikke szerinti környezeti célkitűzéseket.</w:t>
      </w:r>
    </w:p>
    <w:p w14:paraId="126D6E9E" w14:textId="77777777" w:rsidR="00D65CB4" w:rsidRPr="00BC4EE7" w:rsidRDefault="00572307">
      <w:pPr>
        <w:spacing w:before="120" w:after="120" w:line="240" w:lineRule="auto"/>
        <w:ind w:left="709"/>
        <w:jc w:val="both"/>
        <w:rPr>
          <w:rFonts w:ascii="Times New Roman" w:hAnsi="Times New Roman" w:cs="Times New Roman"/>
          <w:b/>
          <w:i/>
          <w:noProof/>
          <w:sz w:val="24"/>
        </w:rPr>
      </w:pPr>
      <w:r w:rsidRPr="00BC4EE7">
        <w:rPr>
          <w:rFonts w:ascii="Times New Roman" w:hAnsi="Times New Roman" w:cs="Times New Roman"/>
          <w:b/>
          <w:noProof/>
          <w:sz w:val="24"/>
          <w:u w:val="single"/>
        </w:rPr>
        <w:t xml:space="preserve">S.1.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Vissza nem térítendő pénzügyi támogatás – a reformok és beruházások ismertetése</w:t>
      </w:r>
    </w:p>
    <w:p w14:paraId="0B394C03"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Reform (C19.R1) – Nemzeti digitális kompetenciaterv</w:t>
      </w:r>
    </w:p>
    <w:p w14:paraId="3025D3CD"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Ez az intézkedés egy stratégiai tervből áll, amelynek célkitűzései a következők: i. digitális készségekkel kapcsolatos képzés biztosítása a lakosság számára; a nemek közötti digitális szakadék áthidalása; iii. az oktatási rendszer digitalizálása és a tanuláshoz szükséges digitális készségek fejlesztése; iv. digitális készségek biztosítása a magánmunkások és a munkanélküliek jobb foglalkoztathatósága érdekében, v. a közalkalmazottak digitális készségeinek támogatása; a digitális készségek fejlesztése a kkv-kban; és vii. az IKT-szakemberek számának növelése. Az alkotóelembe történő beruházásoknak hozzá kell járulniuk a stratégiai terv célkitűzéseinek megvalósításához.</w:t>
      </w:r>
    </w:p>
    <w:p w14:paraId="363B289B"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Az intézkedés végrehajtását 2021. január 31-ig be kell fejezni.</w:t>
      </w:r>
    </w:p>
    <w:p w14:paraId="16918094"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 xml:space="preserve">Beruházás (C19.) Transzverzális digitális készségek </w:t>
      </w:r>
    </w:p>
    <w:p w14:paraId="66FE5F11"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Ezen intézkedés célja a lakosság digitális készségeinek javítása. Az intézkedés a következőket irányozza elő: a) az alap- és a fejlett digitális készségek képzését támogató központok hálózatának kialakítása, b) az e-integrációs intézkedések az idősek szerepvállalásának növelése vagy a kiszolgáltatott gyermekek képzésének megkönnyítése céljából, c) különböző figyelemfelkeltő kampányok, d) a lakosság digitális képességeinek növelésére irányuló tevékenységek, valamint e) a spanyol nyelv terjesztésére és oktatására szolgáló digitális erőforrások fejlesztése. Az intézkedésnek elő kell mozdítania továbbá a nők digitális szerepvállalását, és elő kell mozdítania a tudományos és technológiai készségeket az iskolákban. </w:t>
      </w:r>
    </w:p>
    <w:p w14:paraId="4791FCF2" w14:textId="3534EE53" w:rsidR="00D65CB4" w:rsidRPr="00BC4EE7" w:rsidRDefault="00572307">
      <w:pPr>
        <w:pStyle w:val="P68B1DB1-Normal4"/>
        <w:spacing w:before="120" w:after="120" w:line="240" w:lineRule="auto"/>
        <w:jc w:val="both"/>
        <w:rPr>
          <w:rFonts w:cs="Times New Roman"/>
          <w:noProof/>
          <w:u w:val="single"/>
        </w:rPr>
      </w:pPr>
      <w:r w:rsidRPr="00BC4EE7">
        <w:rPr>
          <w:rFonts w:cs="Times New Roman"/>
          <w:noProof/>
        </w:rPr>
        <w:t xml:space="preserve">Az intézkedés végrehajtásának határideje 2026. június 30. </w:t>
      </w:r>
    </w:p>
    <w:p w14:paraId="46A1ADB9"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(C19.) I2) – Az oktatás digitális átalakítása</w:t>
      </w:r>
    </w:p>
    <w:p w14:paraId="43927BEE"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Ezen intézkedés célja, hogy javítsa a digitális tanuláshoz való hozzáférést azáltal, hogy az állami vagy államilag támogatott iskolákban legalább 300000, kiszolgáltatott csoportokból származó diák számára hordozható eszközöket biztosít. A távoktatás és a vegyes tanulás lehetővé tétele érdekében interaktív digitális rendszereket (IDS) is telepít, frissít és tart fenn legalább 240000 osztályteremben állami és államilag támogatott iskolákban. Az intézkedésnek támogatnia kell továbbá a digitális stratégia előkészítését vagy felülvizsgálatát legalább 22000 állami és államilag támogatott iskolaközpontban, és magában kell foglalnia 700000 tanár digitális képzését.</w:t>
      </w:r>
    </w:p>
    <w:p w14:paraId="65A93E9D" w14:textId="4AA7B068" w:rsidR="00D65CB4" w:rsidRPr="00BC4EE7" w:rsidRDefault="00572307">
      <w:pPr>
        <w:pStyle w:val="P68B1DB1-Normal4"/>
        <w:spacing w:before="120" w:after="120" w:line="240" w:lineRule="auto"/>
        <w:jc w:val="both"/>
        <w:rPr>
          <w:rFonts w:cs="Times New Roman"/>
          <w:noProof/>
        </w:rPr>
      </w:pPr>
      <w:r w:rsidRPr="00BC4EE7">
        <w:rPr>
          <w:rFonts w:cs="Times New Roman"/>
          <w:noProof/>
        </w:rPr>
        <w:t>Ez az intézkedés a digitális szakképzési terv végrehajtását is támogatja. Ezt a munkatapasztalat révén megszerzett szakmai készségek digitális akkreditáció-menedzsment eszközével, valamint a nemzeti képesítési katalógussal és a szakmai képzési élet nyilvántartásával összhangban a foglalkoztatáshoz szükséges digitális szakképzési irányítási eszközök létrehozásával kell elérni. Végezetül az intézkedésnek támogatnia kell szimulátorok, digitális ikrek és technológiai csomópontok létrehozását.</w:t>
      </w:r>
    </w:p>
    <w:p w14:paraId="28D3EF1E" w14:textId="77777777" w:rsidR="00D65CB4" w:rsidRPr="00BC4EE7" w:rsidRDefault="00572307">
      <w:pPr>
        <w:pStyle w:val="P68B1DB1-Normal4"/>
        <w:spacing w:before="120" w:after="120" w:line="240" w:lineRule="auto"/>
        <w:jc w:val="both"/>
        <w:rPr>
          <w:rFonts w:cs="Times New Roman"/>
          <w:noProof/>
          <w:u w:val="single"/>
        </w:rPr>
      </w:pPr>
      <w:r w:rsidRPr="00BC4EE7">
        <w:rPr>
          <w:rFonts w:cs="Times New Roman"/>
          <w:noProof/>
        </w:rPr>
        <w:t xml:space="preserve">Az intézkedés végrehajtását 2025. december 31-ig be kell fejezni. </w:t>
      </w:r>
    </w:p>
    <w:p w14:paraId="658922D2"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(C19.) I3) – A foglalkoztatáshoz szükséges digitális készségek</w:t>
      </w:r>
    </w:p>
    <w:p w14:paraId="5909B2B8"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Ezen intézkedés célja a foglalkoztatottak és a munkanélküliek – különösen a fiatalok – digitális készségeinek megerősítése foglalkoztathatóságuk javítása érdekében. A képzésnek a közigazgatást is meg kell céloznia (többek között egészségügyi szakembereket, a fegyveres erők csapatait és tengerészeit, a különleges rendelkezésre állású tartalékosokat, a társadalombiztosítás és a pénzügyek területén dolgozó személyzetet). Végezetül az intézkedésnek támogatnia kell a kkv-k digitalizálását a gazdaság meghatározott ágazataira irányuló intézkedések, valamint az olyan személyek – többek között a vállalkozások szakértői és vezetői – képzése révén, akik a változás katalizátoraként működhetnek. </w:t>
      </w:r>
    </w:p>
    <w:p w14:paraId="5C547629" w14:textId="5534DE9D"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Az intézkedés végrehajtásának határideje 2026. június 30. </w:t>
      </w:r>
    </w:p>
    <w:p w14:paraId="2F45F217"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(C19.) I4) – Digitális szakemberek</w:t>
      </w:r>
    </w:p>
    <w:p w14:paraId="2965251D"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Ezen intézkedés célja a fejlett digitális készségekre vonatkozó meglévő szakképzési kínálat kiigazítása, valamint a tehetségek odavonzása és megtartása ezeken a területeken. Emellett nyitott oktatási segédanyagokat hoz létre a mesterséges intelligenciával és a kiberbiztonsággal kapcsolatos digitális oktatás számára különböző szinteken.</w:t>
      </w:r>
    </w:p>
    <w:p w14:paraId="284D8B53"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Az intézkedés keretében mintegy 20000 informatikai szakértőnek szóló speciális képzésekre kerül sor, különös tekintettel a kiberbiztonságra, valamint négyéves ösztöndíjak finanszírozására, amelyek célja a tehetségek vonzása és megtartása a fejlett digitális készségek terén. </w:t>
      </w:r>
    </w:p>
    <w:p w14:paraId="41E6B510" w14:textId="77777777" w:rsidR="00D65CB4" w:rsidRPr="00BC4EE7" w:rsidRDefault="00572307">
      <w:pPr>
        <w:pStyle w:val="P68B1DB1-Normal4"/>
        <w:spacing w:before="120" w:after="120" w:line="240" w:lineRule="auto"/>
        <w:jc w:val="both"/>
        <w:rPr>
          <w:rFonts w:cs="Times New Roman"/>
          <w:b/>
          <w:noProof/>
          <w:u w:val="single"/>
        </w:rPr>
      </w:pPr>
      <w:r w:rsidRPr="00BC4EE7">
        <w:rPr>
          <w:rFonts w:cs="Times New Roman"/>
          <w:noProof/>
        </w:rPr>
        <w:t xml:space="preserve">Az intézkedés végrehajtását 2025. december 31-ig be kell fejezni. </w:t>
      </w:r>
    </w:p>
    <w:p w14:paraId="4ABCEC58" w14:textId="77777777" w:rsidR="00D65CB4" w:rsidRPr="00BC4EE7" w:rsidRDefault="00572307">
      <w:pPr>
        <w:spacing w:before="120" w:after="120" w:line="240" w:lineRule="auto"/>
        <w:jc w:val="both"/>
        <w:rPr>
          <w:rFonts w:ascii="Times New Roman" w:hAnsi="Times New Roman" w:cs="Times New Roman"/>
          <w:b/>
          <w:noProof/>
          <w:sz w:val="24"/>
          <w:u w:val="single"/>
        </w:rPr>
      </w:pPr>
      <w:r w:rsidRPr="00BC4EE7">
        <w:rPr>
          <w:rFonts w:ascii="Times New Roman" w:hAnsi="Times New Roman" w:cs="Times New Roman"/>
          <w:b/>
          <w:noProof/>
          <w:sz w:val="24"/>
          <w:u w:val="single"/>
        </w:rPr>
        <w:t xml:space="preserve">S.2.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Vissza nem térítendő pénzügyi támogatás – a végrehajtáshoz és a nyomon követéshez kapcsolódó mérföldkövek, célok, mutatók és ütemterv</w:t>
      </w:r>
    </w:p>
    <w:p w14:paraId="4CC3DB63" w14:textId="77777777" w:rsidR="00D65CB4" w:rsidRPr="00BC4EE7" w:rsidRDefault="00572307">
      <w:pPr>
        <w:pStyle w:val="P68B1DB1-Normal4"/>
        <w:spacing w:before="120" w:after="120" w:line="240" w:lineRule="auto"/>
        <w:jc w:val="both"/>
        <w:rPr>
          <w:rFonts w:cs="Times New Roman"/>
          <w:noProof/>
        </w:rPr>
      </w:pPr>
      <w:r w:rsidRPr="00BC4EE7">
        <w:rPr>
          <w:rFonts w:cs="Times New Roman"/>
          <w:i/>
          <w:noProof/>
        </w:rPr>
        <w:t>Táblázat alább.</w:t>
      </w:r>
      <w:r w:rsidRPr="00BC4EE7">
        <w:rPr>
          <w:rFonts w:cs="Times New Roman"/>
          <w:noProof/>
        </w:rPr>
        <w:t xml:space="preserve"> </w:t>
      </w:r>
      <w:r w:rsidRPr="00BC4EE7">
        <w:rPr>
          <w:rFonts w:cs="Times New Roman"/>
          <w:i/>
          <w:noProof/>
        </w:rPr>
        <w:t>Az összes mutató esetében a kiindulási időpont a tevékenység kezdete, kivéve, ha a tevékenység leírása ettől eltérően rendelkezik. A táblázatban szereplő összegek nem tartalmazzák a héát.</w:t>
      </w:r>
    </w:p>
    <w:p w14:paraId="3C010B0A" w14:textId="77777777" w:rsidR="00D65CB4" w:rsidRPr="00BC4EE7" w:rsidRDefault="00D65CB4" w:rsidP="00862B13">
      <w:pPr>
        <w:spacing w:before="120" w:after="120" w:line="240" w:lineRule="auto"/>
        <w:jc w:val="both"/>
        <w:rPr>
          <w:rFonts w:ascii="Times New Roman" w:hAnsi="Times New Roman" w:cs="Times New Roman"/>
          <w:noProof/>
          <w:sz w:val="24"/>
        </w:rPr>
        <w:sectPr w:rsidR="00D65CB4" w:rsidRPr="00BC4EE7" w:rsidSect="00B511EF">
          <w:headerReference w:type="even" r:id="rId394"/>
          <w:headerReference w:type="default" r:id="rId395"/>
          <w:footerReference w:type="even" r:id="rId396"/>
          <w:footerReference w:type="default" r:id="rId397"/>
          <w:headerReference w:type="first" r:id="rId398"/>
          <w:footerReference w:type="first" r:id="rId399"/>
          <w:pgSz w:w="11907" w:h="16839"/>
          <w:pgMar w:top="1134" w:right="1134" w:bottom="1134" w:left="1134" w:header="567" w:footer="567" w:gutter="0"/>
          <w:cols w:space="720"/>
          <w:docGrid w:linePitch="360"/>
        </w:sectPr>
      </w:pPr>
    </w:p>
    <w:tbl>
      <w:tblPr>
        <w:tblW w:w="15594"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52"/>
        <w:gridCol w:w="922"/>
        <w:gridCol w:w="1062"/>
        <w:gridCol w:w="2393"/>
        <w:gridCol w:w="1382"/>
        <w:gridCol w:w="831"/>
        <w:gridCol w:w="966"/>
        <w:gridCol w:w="692"/>
        <w:gridCol w:w="417"/>
        <w:gridCol w:w="554"/>
        <w:gridCol w:w="5523"/>
      </w:tblGrid>
      <w:tr w:rsidR="00D65CB4" w:rsidRPr="00BC4EE7" w14:paraId="77F4444D" w14:textId="77777777" w:rsidTr="00862B13">
        <w:trPr>
          <w:trHeight w:val="309"/>
          <w:tblHeader/>
        </w:trPr>
        <w:tc>
          <w:tcPr>
            <w:tcW w:w="852" w:type="dxa"/>
            <w:tcBorders>
              <w:bottom w:val="nil"/>
            </w:tcBorders>
            <w:shd w:val="clear" w:color="auto" w:fill="C6D9F1" w:themeFill="text2" w:themeFillTint="33"/>
            <w:noWrap/>
          </w:tcPr>
          <w:p w14:paraId="0F115FF8"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Szám</w:t>
            </w:r>
          </w:p>
        </w:tc>
        <w:tc>
          <w:tcPr>
            <w:tcW w:w="922" w:type="dxa"/>
            <w:tcBorders>
              <w:bottom w:val="nil"/>
            </w:tcBorders>
            <w:shd w:val="clear" w:color="auto" w:fill="C6D9F1" w:themeFill="text2" w:themeFillTint="33"/>
            <w:noWrap/>
          </w:tcPr>
          <w:p w14:paraId="289B5EB3"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Intézkedés</w:t>
            </w:r>
          </w:p>
        </w:tc>
        <w:tc>
          <w:tcPr>
            <w:tcW w:w="1062" w:type="dxa"/>
            <w:tcBorders>
              <w:bottom w:val="nil"/>
            </w:tcBorders>
            <w:shd w:val="clear" w:color="auto" w:fill="C6D9F1" w:themeFill="text2" w:themeFillTint="33"/>
            <w:noWrap/>
          </w:tcPr>
          <w:p w14:paraId="6B8CB5F1" w14:textId="77777777" w:rsidR="00D65CB4" w:rsidRPr="00BC4EE7" w:rsidRDefault="00572307">
            <w:pPr>
              <w:spacing w:after="0" w:line="240" w:lineRule="auto"/>
              <w:jc w:val="center"/>
              <w:rPr>
                <w:rFonts w:ascii="Times New Roman" w:hAnsi="Times New Roman" w:cs="Times New Roman"/>
                <w:b/>
                <w:noProof/>
                <w:sz w:val="18"/>
              </w:rPr>
            </w:pPr>
            <w:r w:rsidRPr="00BC4EE7">
              <w:rPr>
                <w:rFonts w:ascii="Times New Roman" w:hAnsi="Times New Roman" w:cs="Times New Roman"/>
                <w:b/>
                <w:noProof/>
                <w:sz w:val="18"/>
              </w:rPr>
              <w:t>Mérföldkő</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b/>
                <w:noProof/>
                <w:sz w:val="18"/>
              </w:rPr>
              <w:t xml:space="preserve"> /Cél</w:t>
            </w:r>
          </w:p>
        </w:tc>
        <w:tc>
          <w:tcPr>
            <w:tcW w:w="2393" w:type="dxa"/>
            <w:tcBorders>
              <w:bottom w:val="nil"/>
            </w:tcBorders>
            <w:shd w:val="clear" w:color="auto" w:fill="C6D9F1" w:themeFill="text2" w:themeFillTint="33"/>
            <w:noWrap/>
          </w:tcPr>
          <w:p w14:paraId="102CD23E"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Név</w:t>
            </w:r>
          </w:p>
        </w:tc>
        <w:tc>
          <w:tcPr>
            <w:tcW w:w="1382" w:type="dxa"/>
            <w:tcBorders>
              <w:bottom w:val="nil"/>
            </w:tcBorders>
            <w:shd w:val="clear" w:color="auto" w:fill="C6D9F1" w:themeFill="text2" w:themeFillTint="33"/>
            <w:noWrap/>
          </w:tcPr>
          <w:p w14:paraId="228A5962"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mérföldkövek minőségi mutatója</w:t>
            </w:r>
          </w:p>
        </w:tc>
        <w:tc>
          <w:tcPr>
            <w:tcW w:w="2489" w:type="dxa"/>
            <w:gridSpan w:val="3"/>
            <w:shd w:val="clear" w:color="auto" w:fill="C6D9F1" w:themeFill="text2" w:themeFillTint="33"/>
            <w:noWrap/>
          </w:tcPr>
          <w:p w14:paraId="3093DBAB"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célérték mennyiségi mutatója</w:t>
            </w:r>
          </w:p>
        </w:tc>
        <w:tc>
          <w:tcPr>
            <w:tcW w:w="971" w:type="dxa"/>
            <w:gridSpan w:val="2"/>
            <w:shd w:val="clear" w:color="auto" w:fill="C6D9F1" w:themeFill="text2" w:themeFillTint="33"/>
            <w:noWrap/>
          </w:tcPr>
          <w:p w14:paraId="335F0B82"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Idő</w:t>
            </w:r>
          </w:p>
        </w:tc>
        <w:tc>
          <w:tcPr>
            <w:tcW w:w="5523" w:type="dxa"/>
            <w:tcBorders>
              <w:bottom w:val="nil"/>
            </w:tcBorders>
            <w:shd w:val="clear" w:color="auto" w:fill="C6D9F1" w:themeFill="text2" w:themeFillTint="33"/>
            <w:noWrap/>
          </w:tcPr>
          <w:p w14:paraId="604952A4"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Az egyes mérföldkövek és célértékek leírása</w:t>
            </w:r>
          </w:p>
        </w:tc>
      </w:tr>
      <w:tr w:rsidR="00D65CB4" w:rsidRPr="00BC4EE7" w14:paraId="2C9FF982" w14:textId="77777777" w:rsidTr="00862B13">
        <w:trPr>
          <w:trHeight w:val="309"/>
          <w:tblHeader/>
        </w:trPr>
        <w:tc>
          <w:tcPr>
            <w:tcW w:w="852" w:type="dxa"/>
            <w:tcBorders>
              <w:top w:val="nil"/>
            </w:tcBorders>
            <w:shd w:val="clear" w:color="auto" w:fill="C6D9F1" w:themeFill="text2" w:themeFillTint="33"/>
            <w:noWrap/>
          </w:tcPr>
          <w:p w14:paraId="70ED3F4C" w14:textId="77777777" w:rsidR="00D65CB4" w:rsidRPr="00BC4EE7" w:rsidRDefault="00D65CB4">
            <w:pPr>
              <w:spacing w:after="0" w:line="240" w:lineRule="auto"/>
              <w:jc w:val="center"/>
              <w:rPr>
                <w:rFonts w:ascii="Times New Roman" w:hAnsi="Times New Roman" w:cs="Times New Roman"/>
                <w:b/>
                <w:noProof/>
                <w:sz w:val="18"/>
              </w:rPr>
            </w:pPr>
          </w:p>
        </w:tc>
        <w:tc>
          <w:tcPr>
            <w:tcW w:w="922" w:type="dxa"/>
            <w:tcBorders>
              <w:top w:val="nil"/>
            </w:tcBorders>
            <w:shd w:val="clear" w:color="auto" w:fill="C6D9F1" w:themeFill="text2" w:themeFillTint="33"/>
            <w:noWrap/>
          </w:tcPr>
          <w:p w14:paraId="58A2343A" w14:textId="77777777" w:rsidR="00D65CB4" w:rsidRPr="00BC4EE7" w:rsidRDefault="00D65CB4">
            <w:pPr>
              <w:spacing w:after="0" w:line="240" w:lineRule="auto"/>
              <w:jc w:val="center"/>
              <w:rPr>
                <w:rFonts w:ascii="Times New Roman" w:hAnsi="Times New Roman" w:cs="Times New Roman"/>
                <w:b/>
                <w:noProof/>
                <w:sz w:val="18"/>
              </w:rPr>
            </w:pPr>
          </w:p>
        </w:tc>
        <w:tc>
          <w:tcPr>
            <w:tcW w:w="1062" w:type="dxa"/>
            <w:tcBorders>
              <w:top w:val="nil"/>
            </w:tcBorders>
            <w:shd w:val="clear" w:color="auto" w:fill="C6D9F1" w:themeFill="text2" w:themeFillTint="33"/>
            <w:noWrap/>
          </w:tcPr>
          <w:p w14:paraId="61BA8B61" w14:textId="77777777" w:rsidR="00D65CB4" w:rsidRPr="00BC4EE7" w:rsidRDefault="00D65CB4">
            <w:pPr>
              <w:spacing w:after="0" w:line="240" w:lineRule="auto"/>
              <w:jc w:val="center"/>
              <w:rPr>
                <w:rFonts w:ascii="Times New Roman" w:hAnsi="Times New Roman" w:cs="Times New Roman"/>
                <w:b/>
                <w:noProof/>
                <w:sz w:val="18"/>
              </w:rPr>
            </w:pPr>
          </w:p>
        </w:tc>
        <w:tc>
          <w:tcPr>
            <w:tcW w:w="2393" w:type="dxa"/>
            <w:tcBorders>
              <w:top w:val="nil"/>
            </w:tcBorders>
            <w:shd w:val="clear" w:color="auto" w:fill="C6D9F1" w:themeFill="text2" w:themeFillTint="33"/>
            <w:noWrap/>
          </w:tcPr>
          <w:p w14:paraId="4C82012C" w14:textId="77777777" w:rsidR="00D65CB4" w:rsidRPr="00BC4EE7" w:rsidRDefault="00D65CB4">
            <w:pPr>
              <w:spacing w:after="0" w:line="240" w:lineRule="auto"/>
              <w:rPr>
                <w:rFonts w:ascii="Times New Roman" w:hAnsi="Times New Roman" w:cs="Times New Roman"/>
                <w:b/>
                <w:noProof/>
                <w:sz w:val="18"/>
              </w:rPr>
            </w:pPr>
          </w:p>
        </w:tc>
        <w:tc>
          <w:tcPr>
            <w:tcW w:w="1382" w:type="dxa"/>
            <w:tcBorders>
              <w:top w:val="nil"/>
            </w:tcBorders>
            <w:shd w:val="clear" w:color="auto" w:fill="C6D9F1" w:themeFill="text2" w:themeFillTint="33"/>
            <w:noWrap/>
          </w:tcPr>
          <w:p w14:paraId="3273D545" w14:textId="77777777" w:rsidR="00D65CB4" w:rsidRPr="00BC4EE7" w:rsidRDefault="00D65CB4">
            <w:pPr>
              <w:spacing w:after="0" w:line="240" w:lineRule="auto"/>
              <w:jc w:val="center"/>
              <w:rPr>
                <w:rFonts w:ascii="Times New Roman" w:hAnsi="Times New Roman" w:cs="Times New Roman"/>
                <w:b/>
                <w:noProof/>
                <w:sz w:val="18"/>
              </w:rPr>
            </w:pPr>
          </w:p>
        </w:tc>
        <w:tc>
          <w:tcPr>
            <w:tcW w:w="831" w:type="dxa"/>
            <w:shd w:val="clear" w:color="auto" w:fill="C6D9F1" w:themeFill="text2" w:themeFillTint="33"/>
            <w:noWrap/>
          </w:tcPr>
          <w:p w14:paraId="20C97B34"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Egység</w:t>
            </w:r>
          </w:p>
        </w:tc>
        <w:tc>
          <w:tcPr>
            <w:tcW w:w="966" w:type="dxa"/>
            <w:shd w:val="clear" w:color="auto" w:fill="C6D9F1" w:themeFill="text2" w:themeFillTint="33"/>
            <w:noWrap/>
          </w:tcPr>
          <w:p w14:paraId="6C884A23" w14:textId="7AE92FCE" w:rsidR="00D65CB4" w:rsidRPr="00BC4EE7" w:rsidRDefault="00572307">
            <w:pPr>
              <w:pStyle w:val="P68B1DB1-Normal8"/>
              <w:spacing w:after="0" w:line="240" w:lineRule="auto"/>
              <w:jc w:val="center"/>
              <w:rPr>
                <w:rFonts w:cs="Times New Roman"/>
                <w:noProof/>
              </w:rPr>
            </w:pPr>
            <w:r w:rsidRPr="00BC4EE7">
              <w:rPr>
                <w:rFonts w:cs="Times New Roman"/>
                <w:noProof/>
              </w:rPr>
              <w:t>Kiindulási</w:t>
            </w:r>
          </w:p>
        </w:tc>
        <w:tc>
          <w:tcPr>
            <w:tcW w:w="692" w:type="dxa"/>
            <w:shd w:val="clear" w:color="auto" w:fill="C6D9F1" w:themeFill="text2" w:themeFillTint="33"/>
            <w:noWrap/>
          </w:tcPr>
          <w:p w14:paraId="43910F29"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Cél</w:t>
            </w:r>
          </w:p>
        </w:tc>
        <w:tc>
          <w:tcPr>
            <w:tcW w:w="417" w:type="dxa"/>
            <w:shd w:val="clear" w:color="auto" w:fill="C6D9F1" w:themeFill="text2" w:themeFillTint="33"/>
            <w:noWrap/>
          </w:tcPr>
          <w:p w14:paraId="2EFF67D8"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Q</w:t>
            </w:r>
          </w:p>
        </w:tc>
        <w:tc>
          <w:tcPr>
            <w:tcW w:w="554" w:type="dxa"/>
            <w:shd w:val="clear" w:color="auto" w:fill="C6D9F1" w:themeFill="text2" w:themeFillTint="33"/>
            <w:noWrap/>
          </w:tcPr>
          <w:p w14:paraId="173F9C0B"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Éve</w:t>
            </w:r>
          </w:p>
        </w:tc>
        <w:tc>
          <w:tcPr>
            <w:tcW w:w="5523" w:type="dxa"/>
            <w:tcBorders>
              <w:top w:val="nil"/>
            </w:tcBorders>
            <w:shd w:val="clear" w:color="auto" w:fill="C6D9F1" w:themeFill="text2" w:themeFillTint="33"/>
            <w:noWrap/>
          </w:tcPr>
          <w:p w14:paraId="7E520BEA" w14:textId="77777777" w:rsidR="00D65CB4" w:rsidRPr="00BC4EE7" w:rsidRDefault="00D65CB4">
            <w:pPr>
              <w:spacing w:after="0" w:line="240" w:lineRule="auto"/>
              <w:rPr>
                <w:rFonts w:ascii="Times New Roman" w:hAnsi="Times New Roman" w:cs="Times New Roman"/>
                <w:b/>
                <w:noProof/>
                <w:sz w:val="18"/>
              </w:rPr>
            </w:pPr>
          </w:p>
        </w:tc>
      </w:tr>
      <w:tr w:rsidR="00D65CB4" w:rsidRPr="00BC4EE7" w14:paraId="49645203" w14:textId="77777777" w:rsidTr="00862B13">
        <w:trPr>
          <w:trHeight w:val="309"/>
        </w:trPr>
        <w:tc>
          <w:tcPr>
            <w:tcW w:w="852" w:type="dxa"/>
            <w:shd w:val="clear" w:color="auto" w:fill="C6EFCE"/>
            <w:noWrap/>
          </w:tcPr>
          <w:p w14:paraId="1033C07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285</w:t>
            </w:r>
          </w:p>
        </w:tc>
        <w:tc>
          <w:tcPr>
            <w:tcW w:w="922" w:type="dxa"/>
            <w:shd w:val="clear" w:color="auto" w:fill="C6EFCE"/>
            <w:noWrap/>
          </w:tcPr>
          <w:p w14:paraId="2C6BD06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C19.R1</w:t>
            </w:r>
          </w:p>
        </w:tc>
        <w:tc>
          <w:tcPr>
            <w:tcW w:w="1062" w:type="dxa"/>
            <w:shd w:val="clear" w:color="auto" w:fill="C6EFCE"/>
            <w:noWrap/>
          </w:tcPr>
          <w:p w14:paraId="3F26CF3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2393" w:type="dxa"/>
            <w:shd w:val="clear" w:color="auto" w:fill="C6EFCE"/>
            <w:noWrap/>
          </w:tcPr>
          <w:p w14:paraId="4EE85BFA"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nemzeti digitális kompetenciaterv Minisztertanács általi jóváhagyása</w:t>
            </w:r>
          </w:p>
        </w:tc>
        <w:tc>
          <w:tcPr>
            <w:tcW w:w="1382" w:type="dxa"/>
            <w:shd w:val="clear" w:color="auto" w:fill="C6EFCE"/>
            <w:noWrap/>
          </w:tcPr>
          <w:p w14:paraId="431D6E5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A Miniszterek Tanácsának hivatkozása</w:t>
            </w:r>
          </w:p>
        </w:tc>
        <w:tc>
          <w:tcPr>
            <w:tcW w:w="831" w:type="dxa"/>
            <w:shd w:val="clear" w:color="auto" w:fill="C6EFCE"/>
            <w:noWrap/>
          </w:tcPr>
          <w:p w14:paraId="5B1F0EB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66" w:type="dxa"/>
            <w:shd w:val="clear" w:color="auto" w:fill="C6EFCE"/>
            <w:noWrap/>
          </w:tcPr>
          <w:p w14:paraId="51848022"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692" w:type="dxa"/>
            <w:shd w:val="clear" w:color="auto" w:fill="C6EFCE"/>
            <w:noWrap/>
          </w:tcPr>
          <w:p w14:paraId="633489A4"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417" w:type="dxa"/>
            <w:shd w:val="clear" w:color="auto" w:fill="C6EFCE"/>
            <w:noWrap/>
          </w:tcPr>
          <w:p w14:paraId="71914AF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Q1</w:t>
            </w:r>
          </w:p>
        </w:tc>
        <w:tc>
          <w:tcPr>
            <w:tcW w:w="554" w:type="dxa"/>
            <w:shd w:val="clear" w:color="auto" w:fill="C6EFCE"/>
            <w:noWrap/>
          </w:tcPr>
          <w:p w14:paraId="6DF6DA1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2021</w:t>
            </w:r>
          </w:p>
        </w:tc>
        <w:tc>
          <w:tcPr>
            <w:tcW w:w="5523" w:type="dxa"/>
            <w:shd w:val="clear" w:color="auto" w:fill="C6EFCE"/>
            <w:noWrap/>
          </w:tcPr>
          <w:p w14:paraId="321ACE2D"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nemzeti digitális kompetenciatervnek a Miniszterek Tanácsa általi jóváhagyása. A terv célkitűzései a következők: (1) digitális készségekkel kapcsolatos képzés biztosítása a lakosság számára; 2. a nemek közötti digitális szakadék áthidalása; 3. az oktatási rendszer digitalizálása és a tanuláshoz szükséges digitális készségek fejlesztése; (4, 5) digitális készségek biztosítása a magán- és állami munkavállalók jobb foglalkoztathatósága érdekében; 6. a digitális készségek fejlesztése a kkv-kban; valamint 7. az IKT-szakemberek számának növelése, ami nem kötelező a régiókra és a helyi szervezetekre nézve.</w:t>
            </w:r>
          </w:p>
        </w:tc>
      </w:tr>
      <w:tr w:rsidR="00D65CB4" w:rsidRPr="00BC4EE7" w14:paraId="7F43154E" w14:textId="77777777" w:rsidTr="00862B13">
        <w:trPr>
          <w:trHeight w:val="309"/>
        </w:trPr>
        <w:tc>
          <w:tcPr>
            <w:tcW w:w="852" w:type="dxa"/>
            <w:shd w:val="clear" w:color="auto" w:fill="C6EFCE"/>
            <w:noWrap/>
          </w:tcPr>
          <w:p w14:paraId="28AB29BD"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286</w:t>
            </w:r>
          </w:p>
        </w:tc>
        <w:tc>
          <w:tcPr>
            <w:tcW w:w="922" w:type="dxa"/>
            <w:shd w:val="clear" w:color="auto" w:fill="C6EFCE"/>
            <w:noWrap/>
          </w:tcPr>
          <w:p w14:paraId="496CF9A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C19.I1</w:t>
            </w:r>
          </w:p>
        </w:tc>
        <w:tc>
          <w:tcPr>
            <w:tcW w:w="1062" w:type="dxa"/>
            <w:shd w:val="clear" w:color="auto" w:fill="C6EFCE"/>
            <w:noWrap/>
          </w:tcPr>
          <w:p w14:paraId="74B3164B"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2393" w:type="dxa"/>
            <w:shd w:val="clear" w:color="auto" w:fill="C6EFCE"/>
            <w:noWrap/>
          </w:tcPr>
          <w:p w14:paraId="156B4125"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polgárok digitális készségekkel kapcsolatos képzése.</w:t>
            </w:r>
          </w:p>
        </w:tc>
        <w:tc>
          <w:tcPr>
            <w:tcW w:w="1382" w:type="dxa"/>
            <w:shd w:val="clear" w:color="auto" w:fill="C6EFCE"/>
            <w:noWrap/>
          </w:tcPr>
          <w:p w14:paraId="4EAEF2B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831" w:type="dxa"/>
            <w:shd w:val="clear" w:color="auto" w:fill="C6EFCE"/>
            <w:noWrap/>
          </w:tcPr>
          <w:p w14:paraId="28A170BB"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66" w:type="dxa"/>
            <w:shd w:val="clear" w:color="auto" w:fill="C6EFCE"/>
            <w:noWrap/>
          </w:tcPr>
          <w:p w14:paraId="546E7625"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0</w:t>
            </w:r>
          </w:p>
        </w:tc>
        <w:tc>
          <w:tcPr>
            <w:tcW w:w="692" w:type="dxa"/>
            <w:shd w:val="clear" w:color="auto" w:fill="C6EFCE"/>
            <w:noWrap/>
          </w:tcPr>
          <w:p w14:paraId="2CB75CD5"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75</w:t>
            </w:r>
          </w:p>
        </w:tc>
        <w:tc>
          <w:tcPr>
            <w:tcW w:w="417" w:type="dxa"/>
            <w:shd w:val="clear" w:color="auto" w:fill="C6EFCE"/>
            <w:noWrap/>
          </w:tcPr>
          <w:p w14:paraId="117126BB"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54" w:type="dxa"/>
            <w:shd w:val="clear" w:color="auto" w:fill="C6EFCE"/>
            <w:noWrap/>
          </w:tcPr>
          <w:p w14:paraId="3CE7951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2023</w:t>
            </w:r>
          </w:p>
        </w:tc>
        <w:tc>
          <w:tcPr>
            <w:tcW w:w="5523" w:type="dxa"/>
            <w:shd w:val="clear" w:color="auto" w:fill="C6EFCE"/>
            <w:noWrap/>
          </w:tcPr>
          <w:p w14:paraId="1B50A127"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költségvetés legalább 75%-át olyan intézkedésekre kell lekötni, amelyek célja a polgárok digitális készségekre való képzése.</w:t>
            </w:r>
          </w:p>
        </w:tc>
      </w:tr>
      <w:tr w:rsidR="00D65CB4" w:rsidRPr="00BC4EE7" w14:paraId="0513FA74" w14:textId="77777777" w:rsidTr="00862B13">
        <w:trPr>
          <w:trHeight w:val="309"/>
        </w:trPr>
        <w:tc>
          <w:tcPr>
            <w:tcW w:w="852" w:type="dxa"/>
            <w:shd w:val="clear" w:color="auto" w:fill="C6EFCE"/>
            <w:noWrap/>
          </w:tcPr>
          <w:p w14:paraId="4B953DC2"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287</w:t>
            </w:r>
          </w:p>
        </w:tc>
        <w:tc>
          <w:tcPr>
            <w:tcW w:w="922" w:type="dxa"/>
            <w:shd w:val="clear" w:color="auto" w:fill="C6EFCE"/>
            <w:noWrap/>
          </w:tcPr>
          <w:p w14:paraId="376F0F06"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C19.I1</w:t>
            </w:r>
          </w:p>
        </w:tc>
        <w:tc>
          <w:tcPr>
            <w:tcW w:w="1062" w:type="dxa"/>
            <w:shd w:val="clear" w:color="auto" w:fill="C6EFCE"/>
            <w:noWrap/>
          </w:tcPr>
          <w:p w14:paraId="3AA020F6"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2393" w:type="dxa"/>
            <w:shd w:val="clear" w:color="auto" w:fill="C6EFCE"/>
            <w:noWrap/>
          </w:tcPr>
          <w:p w14:paraId="2C1D57A8" w14:textId="77777777" w:rsidR="00D65CB4" w:rsidRPr="00BC4EE7" w:rsidRDefault="00572307">
            <w:pPr>
              <w:pStyle w:val="P68B1DB1-Normal12"/>
              <w:spacing w:after="0"/>
              <w:rPr>
                <w:rFonts w:eastAsia="Times New Roman" w:cs="Times New Roman"/>
                <w:noProof/>
              </w:rPr>
            </w:pPr>
            <w:r w:rsidRPr="00BC4EE7">
              <w:rPr>
                <w:rFonts w:cs="Times New Roman"/>
                <w:noProof/>
              </w:rPr>
              <w:t>A digitális képességek fejlesztését célzó intézkedések lezárása</w:t>
            </w:r>
          </w:p>
        </w:tc>
        <w:tc>
          <w:tcPr>
            <w:tcW w:w="1382" w:type="dxa"/>
            <w:shd w:val="clear" w:color="auto" w:fill="C6EFCE"/>
            <w:noWrap/>
          </w:tcPr>
          <w:p w14:paraId="7CB89D25"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A nemzeti digitális képzési központok képesítési bizonyítványa</w:t>
            </w:r>
          </w:p>
        </w:tc>
        <w:tc>
          <w:tcPr>
            <w:tcW w:w="831" w:type="dxa"/>
            <w:shd w:val="clear" w:color="auto" w:fill="C6EFCE"/>
            <w:noWrap/>
          </w:tcPr>
          <w:p w14:paraId="5171A1D5"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 </w:t>
            </w:r>
          </w:p>
        </w:tc>
        <w:tc>
          <w:tcPr>
            <w:tcW w:w="966" w:type="dxa"/>
            <w:shd w:val="clear" w:color="auto" w:fill="C6EFCE"/>
            <w:noWrap/>
          </w:tcPr>
          <w:p w14:paraId="0F5A38EE"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692" w:type="dxa"/>
            <w:shd w:val="clear" w:color="auto" w:fill="C6EFCE"/>
            <w:noWrap/>
          </w:tcPr>
          <w:p w14:paraId="1346C00E"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417" w:type="dxa"/>
            <w:shd w:val="clear" w:color="auto" w:fill="C6EFCE"/>
            <w:noWrap/>
          </w:tcPr>
          <w:p w14:paraId="1C429867"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Q4</w:t>
            </w:r>
          </w:p>
        </w:tc>
        <w:tc>
          <w:tcPr>
            <w:tcW w:w="554" w:type="dxa"/>
            <w:shd w:val="clear" w:color="auto" w:fill="C6EFCE"/>
            <w:noWrap/>
          </w:tcPr>
          <w:p w14:paraId="41DD6D8D"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2024</w:t>
            </w:r>
          </w:p>
        </w:tc>
        <w:tc>
          <w:tcPr>
            <w:tcW w:w="5523" w:type="dxa"/>
            <w:shd w:val="clear" w:color="auto" w:fill="C6EFCE"/>
            <w:noWrap/>
          </w:tcPr>
          <w:p w14:paraId="66C094A9" w14:textId="77777777" w:rsidR="00D65CB4" w:rsidRPr="00BC4EE7" w:rsidRDefault="00572307">
            <w:pPr>
              <w:pStyle w:val="P68B1DB1-Normal12"/>
              <w:spacing w:after="0"/>
              <w:rPr>
                <w:rFonts w:eastAsia="Times New Roman" w:cs="Times New Roman"/>
                <w:noProof/>
              </w:rPr>
            </w:pPr>
            <w:r w:rsidRPr="00BC4EE7">
              <w:rPr>
                <w:rFonts w:cs="Times New Roman"/>
                <w:noProof/>
              </w:rPr>
              <w:t>A digitális készségek nemzeti hálózatának létrehozása (beleértve 1500 szakmai képzési központ reformját), valamint figyelemfelhívó kampányok és kommunikációs tervek végrehajtása</w:t>
            </w:r>
          </w:p>
        </w:tc>
      </w:tr>
      <w:tr w:rsidR="00D65CB4" w:rsidRPr="00BC4EE7" w14:paraId="48159E20" w14:textId="77777777" w:rsidTr="00862B13">
        <w:trPr>
          <w:trHeight w:val="309"/>
        </w:trPr>
        <w:tc>
          <w:tcPr>
            <w:tcW w:w="852" w:type="dxa"/>
            <w:shd w:val="clear" w:color="auto" w:fill="C6EFCE"/>
            <w:noWrap/>
          </w:tcPr>
          <w:p w14:paraId="6A7BEC8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288</w:t>
            </w:r>
          </w:p>
        </w:tc>
        <w:tc>
          <w:tcPr>
            <w:tcW w:w="922" w:type="dxa"/>
            <w:shd w:val="clear" w:color="auto" w:fill="C6EFCE"/>
            <w:noWrap/>
          </w:tcPr>
          <w:p w14:paraId="2F2F218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C19.I1</w:t>
            </w:r>
          </w:p>
        </w:tc>
        <w:tc>
          <w:tcPr>
            <w:tcW w:w="1062" w:type="dxa"/>
            <w:shd w:val="clear" w:color="auto" w:fill="C6EFCE"/>
            <w:noWrap/>
          </w:tcPr>
          <w:p w14:paraId="3E265AB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2393" w:type="dxa"/>
            <w:shd w:val="clear" w:color="auto" w:fill="C6EFCE"/>
            <w:noWrap/>
          </w:tcPr>
          <w:p w14:paraId="6072DF11"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polgárok digitális készségekkel kapcsolatos képzése.</w:t>
            </w:r>
          </w:p>
        </w:tc>
        <w:tc>
          <w:tcPr>
            <w:tcW w:w="1382" w:type="dxa"/>
            <w:shd w:val="clear" w:color="auto" w:fill="C6EFCE"/>
            <w:noWrap/>
          </w:tcPr>
          <w:p w14:paraId="31E47F0B"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831" w:type="dxa"/>
            <w:shd w:val="clear" w:color="auto" w:fill="C6EFCE"/>
            <w:noWrap/>
          </w:tcPr>
          <w:p w14:paraId="25EAAA1B"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Szám</w:t>
            </w:r>
          </w:p>
        </w:tc>
        <w:tc>
          <w:tcPr>
            <w:tcW w:w="966" w:type="dxa"/>
            <w:shd w:val="clear" w:color="auto" w:fill="C6EFCE"/>
            <w:noWrap/>
          </w:tcPr>
          <w:p w14:paraId="368C90DF"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0</w:t>
            </w:r>
          </w:p>
        </w:tc>
        <w:tc>
          <w:tcPr>
            <w:tcW w:w="692" w:type="dxa"/>
            <w:shd w:val="clear" w:color="auto" w:fill="C6EFCE"/>
            <w:noWrap/>
          </w:tcPr>
          <w:p w14:paraId="499E844B"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2 600 000 </w:t>
            </w:r>
          </w:p>
        </w:tc>
        <w:tc>
          <w:tcPr>
            <w:tcW w:w="417" w:type="dxa"/>
            <w:shd w:val="clear" w:color="auto" w:fill="C6EFCE"/>
            <w:noWrap/>
          </w:tcPr>
          <w:p w14:paraId="6145FD72" w14:textId="684D0812" w:rsidR="00D65CB4" w:rsidRPr="00BC4EE7" w:rsidRDefault="00572307">
            <w:pPr>
              <w:pStyle w:val="P68B1DB1-Normal12"/>
              <w:rPr>
                <w:rFonts w:cs="Times New Roman"/>
                <w:noProof/>
              </w:rPr>
            </w:pPr>
            <w:r w:rsidRPr="00BC4EE7">
              <w:rPr>
                <w:rFonts w:cs="Times New Roman"/>
                <w:noProof/>
              </w:rPr>
              <w:t>Q2</w:t>
            </w:r>
          </w:p>
        </w:tc>
        <w:tc>
          <w:tcPr>
            <w:tcW w:w="554" w:type="dxa"/>
            <w:shd w:val="clear" w:color="auto" w:fill="C6EFCE"/>
            <w:noWrap/>
          </w:tcPr>
          <w:p w14:paraId="5518F433" w14:textId="6E3B8EFA"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2026</w:t>
            </w:r>
          </w:p>
        </w:tc>
        <w:tc>
          <w:tcPr>
            <w:tcW w:w="5523" w:type="dxa"/>
            <w:shd w:val="clear" w:color="auto" w:fill="C6EFCE"/>
            <w:noWrap/>
          </w:tcPr>
          <w:p w14:paraId="395D370C" w14:textId="7DE8F0FF"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Az intézkedés keretében végrehajtott intézkedések szerint 2600000 polgár részesült digitális készségek elsajátításában. A képzéseknek legalább 7,5 órásnak kell lenniük. </w:t>
            </w:r>
          </w:p>
        </w:tc>
      </w:tr>
      <w:tr w:rsidR="00D65CB4" w:rsidRPr="00BC4EE7" w14:paraId="0525C8BE" w14:textId="77777777" w:rsidTr="00862B13">
        <w:trPr>
          <w:trHeight w:val="309"/>
        </w:trPr>
        <w:tc>
          <w:tcPr>
            <w:tcW w:w="852" w:type="dxa"/>
            <w:shd w:val="clear" w:color="auto" w:fill="C6EFCE"/>
            <w:noWrap/>
          </w:tcPr>
          <w:p w14:paraId="0060188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289</w:t>
            </w:r>
          </w:p>
        </w:tc>
        <w:tc>
          <w:tcPr>
            <w:tcW w:w="922" w:type="dxa"/>
            <w:shd w:val="clear" w:color="auto" w:fill="C6EFCE"/>
            <w:noWrap/>
          </w:tcPr>
          <w:p w14:paraId="0198CF6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C19.I2</w:t>
            </w:r>
          </w:p>
        </w:tc>
        <w:tc>
          <w:tcPr>
            <w:tcW w:w="1062" w:type="dxa"/>
            <w:shd w:val="clear" w:color="auto" w:fill="C6EFCE"/>
            <w:noWrap/>
          </w:tcPr>
          <w:p w14:paraId="5E59614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2393" w:type="dxa"/>
            <w:shd w:val="clear" w:color="auto" w:fill="C6EFCE"/>
            <w:noWrap/>
          </w:tcPr>
          <w:p w14:paraId="25F5FE95"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Az állami és államilag támogatott iskolák digitális eszközökkel való ellátására irányuló program</w:t>
            </w:r>
          </w:p>
        </w:tc>
        <w:tc>
          <w:tcPr>
            <w:tcW w:w="1382" w:type="dxa"/>
            <w:shd w:val="clear" w:color="auto" w:fill="C6EFCE"/>
            <w:noWrap/>
          </w:tcPr>
          <w:p w14:paraId="693456B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Közzététel a Hivatalos Lapban</w:t>
            </w:r>
          </w:p>
        </w:tc>
        <w:tc>
          <w:tcPr>
            <w:tcW w:w="831" w:type="dxa"/>
            <w:shd w:val="clear" w:color="auto" w:fill="C6EFCE"/>
            <w:noWrap/>
          </w:tcPr>
          <w:p w14:paraId="17F0B53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66" w:type="dxa"/>
            <w:shd w:val="clear" w:color="auto" w:fill="C6EFCE"/>
            <w:noWrap/>
          </w:tcPr>
          <w:p w14:paraId="0864613D"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692" w:type="dxa"/>
            <w:shd w:val="clear" w:color="auto" w:fill="C6EFCE"/>
            <w:noWrap/>
          </w:tcPr>
          <w:p w14:paraId="0DF3105E"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 </w:t>
            </w:r>
          </w:p>
        </w:tc>
        <w:tc>
          <w:tcPr>
            <w:tcW w:w="417" w:type="dxa"/>
            <w:shd w:val="clear" w:color="auto" w:fill="C6EFCE"/>
            <w:noWrap/>
          </w:tcPr>
          <w:p w14:paraId="40C7AA4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54" w:type="dxa"/>
            <w:shd w:val="clear" w:color="auto" w:fill="C6EFCE"/>
            <w:noWrap/>
          </w:tcPr>
          <w:p w14:paraId="46DB841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2021</w:t>
            </w:r>
          </w:p>
        </w:tc>
        <w:tc>
          <w:tcPr>
            <w:tcW w:w="5523" w:type="dxa"/>
            <w:shd w:val="clear" w:color="auto" w:fill="C6EFCE"/>
            <w:noWrap/>
          </w:tcPr>
          <w:p w14:paraId="6E671F39"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legalább 240000 osztályterem felszerelésére, 700000 tanár képzésére, valamint legalább 22000 állami és államilag támogatott iskolaközpont digitális stratégiájának előkészítésére vagy felülvizsgálatára, valamint 300000 összekapcsolt digitális eszköz (laptop, táblagép) biztosítására irányuló program jóváhagyása az autonóm közösségekkel együttműködésben az állami és államilag támogatott iskolákban. A program kötelező az autonóm közösségekre nézve.</w:t>
            </w:r>
          </w:p>
        </w:tc>
      </w:tr>
      <w:tr w:rsidR="00D65CB4" w:rsidRPr="00BC4EE7" w14:paraId="035D1F4E" w14:textId="77777777" w:rsidTr="00862B13">
        <w:trPr>
          <w:trHeight w:val="309"/>
        </w:trPr>
        <w:tc>
          <w:tcPr>
            <w:tcW w:w="852" w:type="dxa"/>
            <w:shd w:val="clear" w:color="auto" w:fill="C6EFCE"/>
            <w:noWrap/>
          </w:tcPr>
          <w:p w14:paraId="1592DE6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290</w:t>
            </w:r>
          </w:p>
        </w:tc>
        <w:tc>
          <w:tcPr>
            <w:tcW w:w="922" w:type="dxa"/>
            <w:shd w:val="clear" w:color="auto" w:fill="C6EFCE"/>
            <w:noWrap/>
          </w:tcPr>
          <w:p w14:paraId="3E6A731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C19.I2</w:t>
            </w:r>
          </w:p>
        </w:tc>
        <w:tc>
          <w:tcPr>
            <w:tcW w:w="1062" w:type="dxa"/>
            <w:shd w:val="clear" w:color="auto" w:fill="C6EFCE"/>
            <w:noWrap/>
          </w:tcPr>
          <w:p w14:paraId="14CE7EF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2393" w:type="dxa"/>
            <w:shd w:val="clear" w:color="auto" w:fill="C6EFCE"/>
            <w:noWrap/>
          </w:tcPr>
          <w:p w14:paraId="50E8BCDD"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Az oktatás digitális átalakítására irányuló intézkedések lezárása</w:t>
            </w:r>
          </w:p>
        </w:tc>
        <w:tc>
          <w:tcPr>
            <w:tcW w:w="1382" w:type="dxa"/>
            <w:shd w:val="clear" w:color="auto" w:fill="C6EFCE"/>
            <w:noWrap/>
          </w:tcPr>
          <w:p w14:paraId="0BA257E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Az állami és regionális közigazgatás tanúsítása</w:t>
            </w:r>
          </w:p>
        </w:tc>
        <w:tc>
          <w:tcPr>
            <w:tcW w:w="831" w:type="dxa"/>
            <w:shd w:val="clear" w:color="auto" w:fill="C6EFCE"/>
            <w:noWrap/>
          </w:tcPr>
          <w:p w14:paraId="6E132F2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66" w:type="dxa"/>
            <w:shd w:val="clear" w:color="auto" w:fill="C6EFCE"/>
            <w:noWrap/>
          </w:tcPr>
          <w:p w14:paraId="7104DD22"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692" w:type="dxa"/>
            <w:shd w:val="clear" w:color="auto" w:fill="C6EFCE"/>
            <w:noWrap/>
          </w:tcPr>
          <w:p w14:paraId="62A445D4"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417" w:type="dxa"/>
            <w:shd w:val="clear" w:color="auto" w:fill="C6EFCE"/>
            <w:noWrap/>
          </w:tcPr>
          <w:p w14:paraId="5317C62F" w14:textId="6C72614B"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54" w:type="dxa"/>
            <w:shd w:val="clear" w:color="auto" w:fill="C6EFCE"/>
            <w:noWrap/>
          </w:tcPr>
          <w:p w14:paraId="521ACFB1" w14:textId="7B0B616B"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2025</w:t>
            </w:r>
          </w:p>
        </w:tc>
        <w:tc>
          <w:tcPr>
            <w:tcW w:w="5523" w:type="dxa"/>
            <w:shd w:val="clear" w:color="auto" w:fill="C6EFCE"/>
            <w:noWrap/>
          </w:tcPr>
          <w:p w14:paraId="699E923D"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Az oktatás digitális átalakítására irányuló intézkedések befejezése, beleértve a digitális készségek terén képzett 700000 tanár legalább 80%-ának digitális készségekre vonatkozó tanúsítását; és legalább 22000 központot támogattak digitális stratégiáik előkészítésében és felülvizsgálatában. </w:t>
            </w:r>
          </w:p>
        </w:tc>
      </w:tr>
      <w:tr w:rsidR="00D65CB4" w:rsidRPr="00BC4EE7" w14:paraId="72B5444C" w14:textId="77777777" w:rsidTr="00862B13">
        <w:trPr>
          <w:trHeight w:val="309"/>
        </w:trPr>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2686B174"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291</w:t>
            </w:r>
          </w:p>
        </w:tc>
        <w:tc>
          <w:tcPr>
            <w:tcW w:w="922" w:type="dxa"/>
            <w:tcBorders>
              <w:top w:val="single" w:sz="4" w:space="0" w:color="auto"/>
              <w:left w:val="single" w:sz="4" w:space="0" w:color="auto"/>
              <w:bottom w:val="single" w:sz="4" w:space="0" w:color="auto"/>
              <w:right w:val="single" w:sz="4" w:space="0" w:color="auto"/>
            </w:tcBorders>
            <w:shd w:val="clear" w:color="auto" w:fill="C6EFCE"/>
            <w:noWrap/>
          </w:tcPr>
          <w:p w14:paraId="185278DF"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C19.I2</w:t>
            </w:r>
          </w:p>
        </w:tc>
        <w:tc>
          <w:tcPr>
            <w:tcW w:w="1062" w:type="dxa"/>
            <w:tcBorders>
              <w:top w:val="single" w:sz="4" w:space="0" w:color="auto"/>
              <w:left w:val="single" w:sz="4" w:space="0" w:color="auto"/>
              <w:bottom w:val="single" w:sz="4" w:space="0" w:color="auto"/>
              <w:right w:val="single" w:sz="4" w:space="0" w:color="auto"/>
            </w:tcBorders>
            <w:shd w:val="clear" w:color="auto" w:fill="C6EFCE"/>
            <w:noWrap/>
          </w:tcPr>
          <w:p w14:paraId="2EF3D2A9"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2393" w:type="dxa"/>
            <w:tcBorders>
              <w:top w:val="single" w:sz="4" w:space="0" w:color="auto"/>
              <w:left w:val="single" w:sz="4" w:space="0" w:color="auto"/>
              <w:bottom w:val="single" w:sz="4" w:space="0" w:color="auto"/>
              <w:right w:val="single" w:sz="4" w:space="0" w:color="auto"/>
            </w:tcBorders>
            <w:shd w:val="clear" w:color="auto" w:fill="C6EFCE"/>
            <w:noWrap/>
          </w:tcPr>
          <w:p w14:paraId="5AE57A74" w14:textId="77777777" w:rsidR="00D65CB4" w:rsidRPr="00BC4EE7" w:rsidRDefault="00572307">
            <w:pPr>
              <w:pStyle w:val="P68B1DB1-Normal12"/>
              <w:spacing w:after="0" w:line="240" w:lineRule="auto"/>
              <w:rPr>
                <w:rFonts w:cs="Times New Roman"/>
                <w:noProof/>
              </w:rPr>
            </w:pPr>
            <w:r w:rsidRPr="00BC4EE7">
              <w:rPr>
                <w:rFonts w:cs="Times New Roman"/>
                <w:noProof/>
              </w:rPr>
              <w:t>Csatlakoztatott digitális eszközök biztosítása állami és államilag támogatott iskolákban a „digitális szakadék” áthidalása és legalább 240000 osztályterem felszerelése érdekében</w:t>
            </w:r>
          </w:p>
        </w:tc>
        <w:tc>
          <w:tcPr>
            <w:tcW w:w="1382" w:type="dxa"/>
            <w:tcBorders>
              <w:top w:val="single" w:sz="4" w:space="0" w:color="auto"/>
              <w:left w:val="single" w:sz="4" w:space="0" w:color="auto"/>
              <w:bottom w:val="single" w:sz="4" w:space="0" w:color="auto"/>
              <w:right w:val="single" w:sz="4" w:space="0" w:color="auto"/>
            </w:tcBorders>
            <w:shd w:val="clear" w:color="auto" w:fill="C6EFCE"/>
            <w:noWrap/>
          </w:tcPr>
          <w:p w14:paraId="3097A4E9"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w:t>
            </w:r>
          </w:p>
        </w:tc>
        <w:tc>
          <w:tcPr>
            <w:tcW w:w="831" w:type="dxa"/>
            <w:tcBorders>
              <w:top w:val="single" w:sz="4" w:space="0" w:color="auto"/>
              <w:left w:val="single" w:sz="4" w:space="0" w:color="auto"/>
              <w:bottom w:val="single" w:sz="4" w:space="0" w:color="auto"/>
              <w:right w:val="single" w:sz="4" w:space="0" w:color="auto"/>
            </w:tcBorders>
            <w:shd w:val="clear" w:color="auto" w:fill="C6EFCE"/>
            <w:noWrap/>
          </w:tcPr>
          <w:p w14:paraId="449E4048"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Szám</w:t>
            </w:r>
          </w:p>
        </w:tc>
        <w:tc>
          <w:tcPr>
            <w:tcW w:w="966" w:type="dxa"/>
            <w:tcBorders>
              <w:top w:val="single" w:sz="4" w:space="0" w:color="auto"/>
              <w:left w:val="single" w:sz="4" w:space="0" w:color="auto"/>
              <w:bottom w:val="single" w:sz="4" w:space="0" w:color="auto"/>
              <w:right w:val="single" w:sz="4" w:space="0" w:color="auto"/>
            </w:tcBorders>
            <w:shd w:val="clear" w:color="auto" w:fill="C6EFCE"/>
            <w:noWrap/>
          </w:tcPr>
          <w:p w14:paraId="0614E87F"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0</w:t>
            </w:r>
          </w:p>
        </w:tc>
        <w:tc>
          <w:tcPr>
            <w:tcW w:w="692" w:type="dxa"/>
            <w:tcBorders>
              <w:top w:val="single" w:sz="4" w:space="0" w:color="auto"/>
              <w:left w:val="single" w:sz="4" w:space="0" w:color="auto"/>
              <w:bottom w:val="single" w:sz="4" w:space="0" w:color="auto"/>
              <w:right w:val="single" w:sz="4" w:space="0" w:color="auto"/>
            </w:tcBorders>
            <w:shd w:val="clear" w:color="auto" w:fill="C6EFCE"/>
            <w:noWrap/>
          </w:tcPr>
          <w:p w14:paraId="6B27F78C"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540 000</w:t>
            </w:r>
          </w:p>
        </w:tc>
        <w:tc>
          <w:tcPr>
            <w:tcW w:w="417" w:type="dxa"/>
            <w:tcBorders>
              <w:top w:val="single" w:sz="4" w:space="0" w:color="auto"/>
              <w:left w:val="single" w:sz="4" w:space="0" w:color="auto"/>
              <w:bottom w:val="single" w:sz="4" w:space="0" w:color="auto"/>
              <w:right w:val="single" w:sz="4" w:space="0" w:color="auto"/>
            </w:tcBorders>
            <w:shd w:val="clear" w:color="auto" w:fill="C6EFCE"/>
            <w:noWrap/>
          </w:tcPr>
          <w:p w14:paraId="7750A487"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554" w:type="dxa"/>
            <w:tcBorders>
              <w:top w:val="single" w:sz="4" w:space="0" w:color="auto"/>
              <w:left w:val="single" w:sz="4" w:space="0" w:color="auto"/>
              <w:bottom w:val="single" w:sz="4" w:space="0" w:color="auto"/>
              <w:right w:val="single" w:sz="4" w:space="0" w:color="auto"/>
            </w:tcBorders>
            <w:shd w:val="clear" w:color="auto" w:fill="C6EFCE"/>
            <w:noWrap/>
          </w:tcPr>
          <w:p w14:paraId="6BC4B3D2"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2025</w:t>
            </w:r>
          </w:p>
        </w:tc>
        <w:tc>
          <w:tcPr>
            <w:tcW w:w="5523" w:type="dxa"/>
            <w:tcBorders>
              <w:top w:val="single" w:sz="4" w:space="0" w:color="auto"/>
              <w:left w:val="single" w:sz="4" w:space="0" w:color="auto"/>
              <w:bottom w:val="single" w:sz="4" w:space="0" w:color="auto"/>
              <w:right w:val="single" w:sz="4" w:space="0" w:color="auto"/>
            </w:tcBorders>
            <w:shd w:val="clear" w:color="auto" w:fill="C6EFCE"/>
            <w:noWrap/>
          </w:tcPr>
          <w:p w14:paraId="743364F7" w14:textId="77777777" w:rsidR="00D65CB4" w:rsidRPr="00BC4EE7" w:rsidRDefault="00572307">
            <w:pPr>
              <w:pStyle w:val="P68B1DB1-Normal12"/>
              <w:spacing w:after="0" w:line="240" w:lineRule="auto"/>
              <w:rPr>
                <w:rFonts w:cs="Times New Roman"/>
                <w:noProof/>
              </w:rPr>
            </w:pPr>
            <w:r w:rsidRPr="00BC4EE7">
              <w:rPr>
                <w:rFonts w:cs="Times New Roman"/>
                <w:noProof/>
              </w:rPr>
              <w:t>Összekapcsolt és interaktív digitális eszközök biztosítása legalább 300000 diák számára, valamint legalább 240000 tantermi berendezés biztosítása állami és államilag támogatott iskolákban a „digitális szakadék” áthidalása érdekében. Az állami és regionális közigazgatási szervek igazolásai a berendezések beszerzéséről és szállításáról.</w:t>
            </w:r>
          </w:p>
        </w:tc>
      </w:tr>
      <w:tr w:rsidR="00D65CB4" w:rsidRPr="00BC4EE7" w14:paraId="39A90A99" w14:textId="77777777" w:rsidTr="00862B13">
        <w:trPr>
          <w:trHeight w:val="309"/>
        </w:trPr>
        <w:tc>
          <w:tcPr>
            <w:tcW w:w="852" w:type="dxa"/>
            <w:shd w:val="clear" w:color="auto" w:fill="C6EFCE"/>
            <w:noWrap/>
          </w:tcPr>
          <w:p w14:paraId="2F0A1F75"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292</w:t>
            </w:r>
          </w:p>
        </w:tc>
        <w:tc>
          <w:tcPr>
            <w:tcW w:w="922" w:type="dxa"/>
            <w:shd w:val="clear" w:color="auto" w:fill="C6EFCE"/>
            <w:noWrap/>
          </w:tcPr>
          <w:p w14:paraId="32658B1F"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C19.I3</w:t>
            </w:r>
          </w:p>
        </w:tc>
        <w:tc>
          <w:tcPr>
            <w:tcW w:w="1062" w:type="dxa"/>
            <w:shd w:val="clear" w:color="auto" w:fill="C6EFCE"/>
            <w:noWrap/>
          </w:tcPr>
          <w:p w14:paraId="7C96DFE7"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T</w:t>
            </w:r>
          </w:p>
        </w:tc>
        <w:tc>
          <w:tcPr>
            <w:tcW w:w="2393" w:type="dxa"/>
            <w:shd w:val="clear" w:color="auto" w:fill="C6EFCE"/>
            <w:noWrap/>
          </w:tcPr>
          <w:p w14:paraId="4318913C" w14:textId="77777777" w:rsidR="00D65CB4" w:rsidRPr="00BC4EE7" w:rsidRDefault="00572307">
            <w:pPr>
              <w:pStyle w:val="P68B1DB1-Normal12"/>
              <w:spacing w:after="0"/>
              <w:rPr>
                <w:rFonts w:eastAsia="Times New Roman" w:cs="Times New Roman"/>
                <w:noProof/>
              </w:rPr>
            </w:pPr>
            <w:r w:rsidRPr="00BC4EE7">
              <w:rPr>
                <w:rFonts w:cs="Times New Roman"/>
                <w:noProof/>
              </w:rPr>
              <w:t>Digitális képzés a foglalkoztatásért</w:t>
            </w:r>
          </w:p>
        </w:tc>
        <w:tc>
          <w:tcPr>
            <w:tcW w:w="1382" w:type="dxa"/>
            <w:shd w:val="clear" w:color="auto" w:fill="C6EFCE"/>
            <w:noWrap/>
          </w:tcPr>
          <w:p w14:paraId="20888F6E"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w:t>
            </w:r>
          </w:p>
        </w:tc>
        <w:tc>
          <w:tcPr>
            <w:tcW w:w="831" w:type="dxa"/>
            <w:shd w:val="clear" w:color="auto" w:fill="C6EFCE"/>
            <w:noWrap/>
          </w:tcPr>
          <w:p w14:paraId="31F32044"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Szám</w:t>
            </w:r>
          </w:p>
        </w:tc>
        <w:tc>
          <w:tcPr>
            <w:tcW w:w="966" w:type="dxa"/>
            <w:shd w:val="clear" w:color="auto" w:fill="C6EFCE"/>
            <w:noWrap/>
          </w:tcPr>
          <w:p w14:paraId="5729981C"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0</w:t>
            </w:r>
          </w:p>
        </w:tc>
        <w:tc>
          <w:tcPr>
            <w:tcW w:w="692" w:type="dxa"/>
            <w:shd w:val="clear" w:color="auto" w:fill="C6EFCE"/>
            <w:noWrap/>
          </w:tcPr>
          <w:p w14:paraId="71BD47FB" w14:textId="3A348229" w:rsidR="00D65CB4" w:rsidRPr="00BC4EE7" w:rsidRDefault="00572307">
            <w:pPr>
              <w:pStyle w:val="P68B1DB1-Normal12"/>
              <w:spacing w:after="0"/>
              <w:jc w:val="center"/>
              <w:rPr>
                <w:rFonts w:eastAsia="Times New Roman" w:cs="Times New Roman"/>
                <w:noProof/>
              </w:rPr>
            </w:pPr>
            <w:r w:rsidRPr="00BC4EE7">
              <w:rPr>
                <w:rFonts w:cs="Times New Roman"/>
                <w:noProof/>
              </w:rPr>
              <w:t>300 000</w:t>
            </w:r>
          </w:p>
        </w:tc>
        <w:tc>
          <w:tcPr>
            <w:tcW w:w="417" w:type="dxa"/>
            <w:shd w:val="clear" w:color="auto" w:fill="C6EFCE"/>
            <w:noWrap/>
          </w:tcPr>
          <w:p w14:paraId="057F51E9" w14:textId="7EA54AB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Q2</w:t>
            </w:r>
          </w:p>
        </w:tc>
        <w:tc>
          <w:tcPr>
            <w:tcW w:w="554" w:type="dxa"/>
            <w:shd w:val="clear" w:color="auto" w:fill="C6EFCE"/>
            <w:noWrap/>
          </w:tcPr>
          <w:p w14:paraId="00761683" w14:textId="263050A2" w:rsidR="00D65CB4" w:rsidRPr="00BC4EE7" w:rsidRDefault="00572307">
            <w:pPr>
              <w:pStyle w:val="P68B1DB1-Normal12"/>
              <w:spacing w:after="0"/>
              <w:jc w:val="center"/>
              <w:rPr>
                <w:rFonts w:eastAsia="Times New Roman" w:cs="Times New Roman"/>
                <w:noProof/>
              </w:rPr>
            </w:pPr>
            <w:r w:rsidRPr="00BC4EE7">
              <w:rPr>
                <w:rFonts w:cs="Times New Roman"/>
                <w:noProof/>
              </w:rPr>
              <w:t>2026</w:t>
            </w:r>
          </w:p>
        </w:tc>
        <w:tc>
          <w:tcPr>
            <w:tcW w:w="5523" w:type="dxa"/>
            <w:shd w:val="clear" w:color="auto" w:fill="C6EFCE"/>
            <w:noWrap/>
          </w:tcPr>
          <w:p w14:paraId="4D4A6247" w14:textId="0B722362" w:rsidR="00D65CB4" w:rsidRPr="00BC4EE7" w:rsidRDefault="00572307">
            <w:pPr>
              <w:pStyle w:val="P68B1DB1-Normal12"/>
              <w:spacing w:after="0"/>
              <w:rPr>
                <w:rFonts w:eastAsia="Times New Roman" w:cs="Times New Roman"/>
                <w:noProof/>
              </w:rPr>
            </w:pPr>
            <w:r w:rsidRPr="00BC4EE7">
              <w:rPr>
                <w:rFonts w:cs="Times New Roman"/>
                <w:noProof/>
              </w:rPr>
              <w:t xml:space="preserve">Legalább 300000 ember vett részt digitális készségekkel kapcsolatos képzéseken. Minden képzésnek legalább 150 órát kell tartania. </w:t>
            </w:r>
          </w:p>
        </w:tc>
      </w:tr>
      <w:tr w:rsidR="00D65CB4" w:rsidRPr="00BC4EE7" w14:paraId="62860367" w14:textId="77777777" w:rsidTr="00862B13">
        <w:trPr>
          <w:trHeight w:val="309"/>
        </w:trPr>
        <w:tc>
          <w:tcPr>
            <w:tcW w:w="852" w:type="dxa"/>
            <w:shd w:val="clear" w:color="auto" w:fill="C6EFCE"/>
            <w:noWrap/>
          </w:tcPr>
          <w:p w14:paraId="757A7A19" w14:textId="05E6CA17" w:rsidR="00D65CB4" w:rsidRPr="00BC4EE7" w:rsidRDefault="00572307">
            <w:pPr>
              <w:pStyle w:val="P68B1DB1-Normal12"/>
              <w:spacing w:after="0"/>
              <w:jc w:val="center"/>
              <w:rPr>
                <w:rFonts w:cs="Times New Roman"/>
                <w:noProof/>
              </w:rPr>
            </w:pPr>
            <w:r w:rsidRPr="00BC4EE7">
              <w:rPr>
                <w:rFonts w:cs="Times New Roman"/>
                <w:noProof/>
              </w:rPr>
              <w:t>292a</w:t>
            </w:r>
          </w:p>
        </w:tc>
        <w:tc>
          <w:tcPr>
            <w:tcW w:w="922" w:type="dxa"/>
            <w:shd w:val="clear" w:color="auto" w:fill="C6EFCE"/>
            <w:noWrap/>
          </w:tcPr>
          <w:p w14:paraId="76AB10C2" w14:textId="4FA785CB" w:rsidR="00D65CB4" w:rsidRPr="00BC4EE7" w:rsidRDefault="00572307">
            <w:pPr>
              <w:pStyle w:val="P68B1DB1-Normal12"/>
              <w:spacing w:after="0"/>
              <w:jc w:val="center"/>
              <w:rPr>
                <w:rFonts w:cs="Times New Roman"/>
                <w:noProof/>
              </w:rPr>
            </w:pPr>
            <w:r w:rsidRPr="00BC4EE7">
              <w:rPr>
                <w:rFonts w:cs="Times New Roman"/>
                <w:noProof/>
              </w:rPr>
              <w:t>C19.I3</w:t>
            </w:r>
          </w:p>
        </w:tc>
        <w:tc>
          <w:tcPr>
            <w:tcW w:w="1062" w:type="dxa"/>
            <w:shd w:val="clear" w:color="auto" w:fill="C6EFCE"/>
            <w:noWrap/>
          </w:tcPr>
          <w:p w14:paraId="1BAED019" w14:textId="68C4AB0A" w:rsidR="00D65CB4" w:rsidRPr="00BC4EE7" w:rsidRDefault="00572307">
            <w:pPr>
              <w:pStyle w:val="P68B1DB1-Normal12"/>
              <w:spacing w:after="0"/>
              <w:jc w:val="center"/>
              <w:rPr>
                <w:rFonts w:cs="Times New Roman"/>
                <w:noProof/>
              </w:rPr>
            </w:pPr>
            <w:r w:rsidRPr="00BC4EE7">
              <w:rPr>
                <w:rFonts w:cs="Times New Roman"/>
                <w:noProof/>
              </w:rPr>
              <w:t>T</w:t>
            </w:r>
          </w:p>
        </w:tc>
        <w:tc>
          <w:tcPr>
            <w:tcW w:w="2393" w:type="dxa"/>
            <w:shd w:val="clear" w:color="auto" w:fill="C6EFCE"/>
            <w:noWrap/>
          </w:tcPr>
          <w:p w14:paraId="1C721F08" w14:textId="62137FC0" w:rsidR="00D65CB4" w:rsidRPr="00BC4EE7" w:rsidRDefault="00572307">
            <w:pPr>
              <w:pStyle w:val="P68B1DB1-Normal12"/>
              <w:spacing w:after="0"/>
              <w:rPr>
                <w:rFonts w:cs="Times New Roman"/>
                <w:noProof/>
              </w:rPr>
            </w:pPr>
            <w:r w:rsidRPr="00BC4EE7">
              <w:rPr>
                <w:rFonts w:cs="Times New Roman"/>
                <w:noProof/>
              </w:rPr>
              <w:t>Digitális képzés a munkakörnyezetben</w:t>
            </w:r>
          </w:p>
        </w:tc>
        <w:tc>
          <w:tcPr>
            <w:tcW w:w="1382" w:type="dxa"/>
            <w:shd w:val="clear" w:color="auto" w:fill="C6EFCE"/>
            <w:noWrap/>
          </w:tcPr>
          <w:p w14:paraId="611D487A" w14:textId="5D31B60C" w:rsidR="00D65CB4" w:rsidRPr="00BC4EE7" w:rsidRDefault="00572307">
            <w:pPr>
              <w:pStyle w:val="P68B1DB1-Normal12"/>
              <w:spacing w:after="0"/>
              <w:jc w:val="center"/>
              <w:rPr>
                <w:rFonts w:cs="Times New Roman"/>
                <w:noProof/>
              </w:rPr>
            </w:pPr>
            <w:r w:rsidRPr="00BC4EE7">
              <w:rPr>
                <w:rFonts w:cs="Times New Roman"/>
                <w:noProof/>
              </w:rPr>
              <w:t>–</w:t>
            </w:r>
          </w:p>
        </w:tc>
        <w:tc>
          <w:tcPr>
            <w:tcW w:w="831" w:type="dxa"/>
            <w:shd w:val="clear" w:color="auto" w:fill="C6EFCE"/>
            <w:noWrap/>
          </w:tcPr>
          <w:p w14:paraId="3B72509B" w14:textId="4E11529E" w:rsidR="00D65CB4" w:rsidRPr="00BC4EE7" w:rsidRDefault="00572307">
            <w:pPr>
              <w:pStyle w:val="P68B1DB1-Normal12"/>
              <w:spacing w:after="0"/>
              <w:jc w:val="center"/>
              <w:rPr>
                <w:rFonts w:cs="Times New Roman"/>
                <w:noProof/>
              </w:rPr>
            </w:pPr>
            <w:r w:rsidRPr="00BC4EE7">
              <w:rPr>
                <w:rFonts w:cs="Times New Roman"/>
                <w:noProof/>
              </w:rPr>
              <w:t>Millió EUR</w:t>
            </w:r>
          </w:p>
        </w:tc>
        <w:tc>
          <w:tcPr>
            <w:tcW w:w="966" w:type="dxa"/>
            <w:shd w:val="clear" w:color="auto" w:fill="C6EFCE"/>
            <w:noWrap/>
          </w:tcPr>
          <w:p w14:paraId="2B8B0D72" w14:textId="4CE8B428" w:rsidR="00D65CB4" w:rsidRPr="00BC4EE7" w:rsidRDefault="00572307">
            <w:pPr>
              <w:pStyle w:val="P68B1DB1-Normal12"/>
              <w:spacing w:after="0"/>
              <w:jc w:val="center"/>
              <w:rPr>
                <w:rFonts w:cs="Times New Roman"/>
                <w:noProof/>
              </w:rPr>
            </w:pPr>
            <w:r w:rsidRPr="00BC4EE7">
              <w:rPr>
                <w:rFonts w:cs="Times New Roman"/>
                <w:noProof/>
              </w:rPr>
              <w:t>0</w:t>
            </w:r>
          </w:p>
        </w:tc>
        <w:tc>
          <w:tcPr>
            <w:tcW w:w="692" w:type="dxa"/>
            <w:shd w:val="clear" w:color="auto" w:fill="C6EFCE"/>
            <w:noWrap/>
          </w:tcPr>
          <w:p w14:paraId="108F9EAA" w14:textId="0DA11FBA" w:rsidR="00D65CB4" w:rsidRPr="00BC4EE7" w:rsidRDefault="00572307">
            <w:pPr>
              <w:pStyle w:val="P68B1DB1-Normal12"/>
              <w:spacing w:after="0"/>
              <w:jc w:val="center"/>
              <w:rPr>
                <w:rFonts w:cs="Times New Roman"/>
                <w:noProof/>
              </w:rPr>
            </w:pPr>
            <w:r w:rsidRPr="00BC4EE7">
              <w:rPr>
                <w:rFonts w:cs="Times New Roman"/>
                <w:noProof/>
              </w:rPr>
              <w:t>310</w:t>
            </w:r>
          </w:p>
        </w:tc>
        <w:tc>
          <w:tcPr>
            <w:tcW w:w="417" w:type="dxa"/>
            <w:shd w:val="clear" w:color="auto" w:fill="C6EFCE"/>
            <w:noWrap/>
          </w:tcPr>
          <w:p w14:paraId="70C6A7D6" w14:textId="10AEB1EA"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554" w:type="dxa"/>
            <w:shd w:val="clear" w:color="auto" w:fill="C6EFCE"/>
            <w:noWrap/>
          </w:tcPr>
          <w:p w14:paraId="1021B2E8" w14:textId="0F50FBF7" w:rsidR="00D65CB4" w:rsidRPr="00BC4EE7" w:rsidRDefault="00572307">
            <w:pPr>
              <w:pStyle w:val="P68B1DB1-Normal12"/>
              <w:spacing w:after="0"/>
              <w:jc w:val="center"/>
              <w:rPr>
                <w:rFonts w:cs="Times New Roman"/>
                <w:noProof/>
              </w:rPr>
            </w:pPr>
            <w:r w:rsidRPr="00BC4EE7">
              <w:rPr>
                <w:rFonts w:cs="Times New Roman"/>
                <w:noProof/>
              </w:rPr>
              <w:t>2026</w:t>
            </w:r>
          </w:p>
        </w:tc>
        <w:tc>
          <w:tcPr>
            <w:tcW w:w="5523" w:type="dxa"/>
            <w:shd w:val="clear" w:color="auto" w:fill="C6EFCE"/>
            <w:noWrap/>
          </w:tcPr>
          <w:p w14:paraId="77D932FD" w14:textId="06EAB83D" w:rsidR="00D65CB4" w:rsidRPr="00BC4EE7" w:rsidRDefault="00572307">
            <w:pPr>
              <w:pStyle w:val="P68B1DB1-Normal12"/>
              <w:spacing w:after="0"/>
              <w:rPr>
                <w:rFonts w:cs="Times New Roman"/>
                <w:noProof/>
              </w:rPr>
            </w:pPr>
            <w:r w:rsidRPr="00BC4EE7">
              <w:rPr>
                <w:rFonts w:cs="Times New Roman"/>
                <w:noProof/>
              </w:rPr>
              <w:t>A munkakörnyezetben a digitális készségekről szóló képzések elvégzése, valamint az azok megvalósítását támogató képzési tartalmak elvégzése, ami összesen legalább 310 millió EUR költségvetésnek felel meg. Minden képzésnek legalább 25 órásnak kell lennie.</w:t>
            </w:r>
          </w:p>
        </w:tc>
      </w:tr>
      <w:tr w:rsidR="00D65CB4" w:rsidRPr="00BC4EE7" w14:paraId="3813BF75" w14:textId="77777777" w:rsidTr="00862B13">
        <w:trPr>
          <w:trHeight w:val="309"/>
        </w:trPr>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2508557E"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293</w:t>
            </w:r>
          </w:p>
        </w:tc>
        <w:tc>
          <w:tcPr>
            <w:tcW w:w="922" w:type="dxa"/>
            <w:tcBorders>
              <w:top w:val="single" w:sz="4" w:space="0" w:color="auto"/>
              <w:left w:val="single" w:sz="4" w:space="0" w:color="auto"/>
              <w:bottom w:val="single" w:sz="4" w:space="0" w:color="auto"/>
              <w:right w:val="single" w:sz="4" w:space="0" w:color="auto"/>
            </w:tcBorders>
            <w:shd w:val="clear" w:color="auto" w:fill="C6EFCE"/>
            <w:noWrap/>
          </w:tcPr>
          <w:p w14:paraId="4BC4884E"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C19.I4</w:t>
            </w:r>
          </w:p>
        </w:tc>
        <w:tc>
          <w:tcPr>
            <w:tcW w:w="1062" w:type="dxa"/>
            <w:tcBorders>
              <w:top w:val="single" w:sz="4" w:space="0" w:color="auto"/>
              <w:left w:val="single" w:sz="4" w:space="0" w:color="auto"/>
              <w:bottom w:val="single" w:sz="4" w:space="0" w:color="auto"/>
              <w:right w:val="single" w:sz="4" w:space="0" w:color="auto"/>
            </w:tcBorders>
            <w:shd w:val="clear" w:color="auto" w:fill="C6EFCE"/>
            <w:noWrap/>
          </w:tcPr>
          <w:p w14:paraId="4DAE07C1"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2393" w:type="dxa"/>
            <w:tcBorders>
              <w:top w:val="single" w:sz="4" w:space="0" w:color="auto"/>
              <w:left w:val="single" w:sz="4" w:space="0" w:color="auto"/>
              <w:bottom w:val="single" w:sz="4" w:space="0" w:color="auto"/>
              <w:right w:val="single" w:sz="4" w:space="0" w:color="auto"/>
            </w:tcBorders>
            <w:shd w:val="clear" w:color="auto" w:fill="C6EFCE"/>
            <w:noWrap/>
          </w:tcPr>
          <w:p w14:paraId="286C54C7" w14:textId="77777777" w:rsidR="00D65CB4" w:rsidRPr="00BC4EE7" w:rsidRDefault="00572307">
            <w:pPr>
              <w:pStyle w:val="P68B1DB1-Normal12"/>
              <w:spacing w:after="0" w:line="240" w:lineRule="auto"/>
              <w:rPr>
                <w:rFonts w:cs="Times New Roman"/>
                <w:noProof/>
              </w:rPr>
            </w:pPr>
            <w:r w:rsidRPr="00BC4EE7">
              <w:rPr>
                <w:rFonts w:cs="Times New Roman"/>
                <w:noProof/>
              </w:rPr>
              <w:t xml:space="preserve">Ösztöndíjprogramok a digitális tehetségek számára </w:t>
            </w:r>
          </w:p>
        </w:tc>
        <w:tc>
          <w:tcPr>
            <w:tcW w:w="1382" w:type="dxa"/>
            <w:tcBorders>
              <w:top w:val="single" w:sz="4" w:space="0" w:color="auto"/>
              <w:left w:val="single" w:sz="4" w:space="0" w:color="auto"/>
              <w:bottom w:val="single" w:sz="4" w:space="0" w:color="auto"/>
              <w:right w:val="single" w:sz="4" w:space="0" w:color="auto"/>
            </w:tcBorders>
            <w:shd w:val="clear" w:color="auto" w:fill="C6EFCE"/>
            <w:noWrap/>
          </w:tcPr>
          <w:p w14:paraId="5EFD0BB7"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w:t>
            </w:r>
          </w:p>
        </w:tc>
        <w:tc>
          <w:tcPr>
            <w:tcW w:w="831" w:type="dxa"/>
            <w:tcBorders>
              <w:top w:val="single" w:sz="4" w:space="0" w:color="auto"/>
              <w:left w:val="single" w:sz="4" w:space="0" w:color="auto"/>
              <w:bottom w:val="single" w:sz="4" w:space="0" w:color="auto"/>
              <w:right w:val="single" w:sz="4" w:space="0" w:color="auto"/>
            </w:tcBorders>
            <w:shd w:val="clear" w:color="auto" w:fill="C6EFCE"/>
            <w:noWrap/>
          </w:tcPr>
          <w:p w14:paraId="2CB758E1"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Szám</w:t>
            </w:r>
          </w:p>
        </w:tc>
        <w:tc>
          <w:tcPr>
            <w:tcW w:w="966" w:type="dxa"/>
            <w:tcBorders>
              <w:top w:val="single" w:sz="4" w:space="0" w:color="auto"/>
              <w:left w:val="single" w:sz="4" w:space="0" w:color="auto"/>
              <w:bottom w:val="single" w:sz="4" w:space="0" w:color="auto"/>
              <w:right w:val="single" w:sz="4" w:space="0" w:color="auto"/>
            </w:tcBorders>
            <w:shd w:val="clear" w:color="auto" w:fill="C6EFCE"/>
            <w:noWrap/>
          </w:tcPr>
          <w:p w14:paraId="10D96AB6"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0</w:t>
            </w:r>
          </w:p>
        </w:tc>
        <w:tc>
          <w:tcPr>
            <w:tcW w:w="692" w:type="dxa"/>
            <w:tcBorders>
              <w:top w:val="single" w:sz="4" w:space="0" w:color="auto"/>
              <w:left w:val="single" w:sz="4" w:space="0" w:color="auto"/>
              <w:bottom w:val="single" w:sz="4" w:space="0" w:color="auto"/>
              <w:right w:val="single" w:sz="4" w:space="0" w:color="auto"/>
            </w:tcBorders>
            <w:shd w:val="clear" w:color="auto" w:fill="C6EFCE"/>
            <w:noWrap/>
          </w:tcPr>
          <w:p w14:paraId="7FDF79B7"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300</w:t>
            </w:r>
          </w:p>
        </w:tc>
        <w:tc>
          <w:tcPr>
            <w:tcW w:w="417" w:type="dxa"/>
            <w:tcBorders>
              <w:top w:val="single" w:sz="4" w:space="0" w:color="auto"/>
              <w:left w:val="single" w:sz="4" w:space="0" w:color="auto"/>
              <w:bottom w:val="single" w:sz="4" w:space="0" w:color="auto"/>
              <w:right w:val="single" w:sz="4" w:space="0" w:color="auto"/>
            </w:tcBorders>
            <w:shd w:val="clear" w:color="auto" w:fill="C6EFCE"/>
            <w:noWrap/>
          </w:tcPr>
          <w:p w14:paraId="3B4D6B20"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554" w:type="dxa"/>
            <w:tcBorders>
              <w:top w:val="single" w:sz="4" w:space="0" w:color="auto"/>
              <w:left w:val="single" w:sz="4" w:space="0" w:color="auto"/>
              <w:bottom w:val="single" w:sz="4" w:space="0" w:color="auto"/>
              <w:right w:val="single" w:sz="4" w:space="0" w:color="auto"/>
            </w:tcBorders>
            <w:shd w:val="clear" w:color="auto" w:fill="C6EFCE"/>
            <w:noWrap/>
          </w:tcPr>
          <w:p w14:paraId="24137807"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2024</w:t>
            </w:r>
          </w:p>
        </w:tc>
        <w:tc>
          <w:tcPr>
            <w:tcW w:w="5523" w:type="dxa"/>
            <w:tcBorders>
              <w:top w:val="single" w:sz="4" w:space="0" w:color="auto"/>
              <w:left w:val="single" w:sz="4" w:space="0" w:color="auto"/>
              <w:bottom w:val="single" w:sz="4" w:space="0" w:color="auto"/>
              <w:right w:val="single" w:sz="4" w:space="0" w:color="auto"/>
            </w:tcBorders>
            <w:shd w:val="clear" w:color="auto" w:fill="C6EFCE"/>
            <w:noWrap/>
          </w:tcPr>
          <w:p w14:paraId="19F07060" w14:textId="77777777" w:rsidR="00D65CB4" w:rsidRPr="00BC4EE7" w:rsidRDefault="00572307">
            <w:pPr>
              <w:pStyle w:val="P68B1DB1-Normal12"/>
              <w:spacing w:after="0" w:line="240" w:lineRule="auto"/>
              <w:rPr>
                <w:rFonts w:cs="Times New Roman"/>
                <w:noProof/>
              </w:rPr>
            </w:pPr>
            <w:r w:rsidRPr="00BC4EE7">
              <w:rPr>
                <w:rFonts w:cs="Times New Roman"/>
                <w:noProof/>
              </w:rPr>
              <w:t>Legalább 300 kedvezményezett kapott ösztöndíjprogramot a digitális tehetségek vonzására és megtartására (2021–2024). Minden program legalább 240 ECTS-rel rendelkezik.</w:t>
            </w:r>
          </w:p>
        </w:tc>
      </w:tr>
      <w:tr w:rsidR="00D65CB4" w:rsidRPr="00BC4EE7" w14:paraId="3139313E" w14:textId="77777777" w:rsidTr="00862B13">
        <w:trPr>
          <w:trHeight w:val="309"/>
        </w:trPr>
        <w:tc>
          <w:tcPr>
            <w:tcW w:w="852" w:type="dxa"/>
            <w:shd w:val="clear" w:color="auto" w:fill="C6EFCE"/>
            <w:noWrap/>
          </w:tcPr>
          <w:p w14:paraId="68A4C843"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294</w:t>
            </w:r>
          </w:p>
        </w:tc>
        <w:tc>
          <w:tcPr>
            <w:tcW w:w="922" w:type="dxa"/>
            <w:shd w:val="clear" w:color="auto" w:fill="C6EFCE"/>
            <w:noWrap/>
          </w:tcPr>
          <w:p w14:paraId="14A3AD9A"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C19.I4</w:t>
            </w:r>
          </w:p>
        </w:tc>
        <w:tc>
          <w:tcPr>
            <w:tcW w:w="1062" w:type="dxa"/>
            <w:shd w:val="clear" w:color="auto" w:fill="C6EFCE"/>
            <w:noWrap/>
          </w:tcPr>
          <w:p w14:paraId="664798B4"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2393" w:type="dxa"/>
            <w:shd w:val="clear" w:color="auto" w:fill="C6EFCE"/>
            <w:noWrap/>
          </w:tcPr>
          <w:p w14:paraId="63BA0E3A" w14:textId="77777777" w:rsidR="00D65CB4" w:rsidRPr="00BC4EE7" w:rsidRDefault="00572307">
            <w:pPr>
              <w:pStyle w:val="P68B1DB1-Normal12"/>
              <w:spacing w:after="0" w:line="240" w:lineRule="auto"/>
              <w:rPr>
                <w:rFonts w:cs="Times New Roman"/>
                <w:noProof/>
              </w:rPr>
            </w:pPr>
            <w:r w:rsidRPr="00BC4EE7">
              <w:rPr>
                <w:rFonts w:cs="Times New Roman"/>
                <w:noProof/>
              </w:rPr>
              <w:t>Informatikai szakemberek képzése</w:t>
            </w:r>
          </w:p>
        </w:tc>
        <w:tc>
          <w:tcPr>
            <w:tcW w:w="1382" w:type="dxa"/>
            <w:shd w:val="clear" w:color="auto" w:fill="C6EFCE"/>
            <w:noWrap/>
          </w:tcPr>
          <w:p w14:paraId="73C0A2EE"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 xml:space="preserve"> </w:t>
            </w:r>
          </w:p>
        </w:tc>
        <w:tc>
          <w:tcPr>
            <w:tcW w:w="831" w:type="dxa"/>
            <w:shd w:val="clear" w:color="auto" w:fill="C6EFCE"/>
            <w:noWrap/>
          </w:tcPr>
          <w:p w14:paraId="403778D3"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Szám</w:t>
            </w:r>
          </w:p>
        </w:tc>
        <w:tc>
          <w:tcPr>
            <w:tcW w:w="966" w:type="dxa"/>
            <w:shd w:val="clear" w:color="auto" w:fill="C6EFCE"/>
            <w:noWrap/>
          </w:tcPr>
          <w:p w14:paraId="2B2313F1"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0</w:t>
            </w:r>
          </w:p>
        </w:tc>
        <w:tc>
          <w:tcPr>
            <w:tcW w:w="692" w:type="dxa"/>
            <w:shd w:val="clear" w:color="auto" w:fill="C6EFCE"/>
            <w:noWrap/>
          </w:tcPr>
          <w:p w14:paraId="7BC0BD7E"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18 000</w:t>
            </w:r>
          </w:p>
        </w:tc>
        <w:tc>
          <w:tcPr>
            <w:tcW w:w="417" w:type="dxa"/>
            <w:shd w:val="clear" w:color="auto" w:fill="C6EFCE"/>
            <w:noWrap/>
          </w:tcPr>
          <w:p w14:paraId="2C328CC7"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554" w:type="dxa"/>
            <w:shd w:val="clear" w:color="auto" w:fill="C6EFCE"/>
            <w:noWrap/>
          </w:tcPr>
          <w:p w14:paraId="2A4F6777"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2025</w:t>
            </w:r>
          </w:p>
        </w:tc>
        <w:tc>
          <w:tcPr>
            <w:tcW w:w="5523" w:type="dxa"/>
            <w:shd w:val="clear" w:color="auto" w:fill="C6EFCE"/>
            <w:noWrap/>
          </w:tcPr>
          <w:p w14:paraId="43410A69" w14:textId="77777777" w:rsidR="00D65CB4" w:rsidRPr="00BC4EE7" w:rsidRDefault="00572307">
            <w:pPr>
              <w:pStyle w:val="P68B1DB1-Normal12"/>
              <w:spacing w:after="0" w:line="240" w:lineRule="auto"/>
              <w:rPr>
                <w:rFonts w:cs="Times New Roman"/>
                <w:noProof/>
              </w:rPr>
            </w:pPr>
            <w:r w:rsidRPr="00BC4EE7">
              <w:rPr>
                <w:rFonts w:cs="Times New Roman"/>
                <w:noProof/>
              </w:rPr>
              <w:t xml:space="preserve">Legalább 18000, egyenként legalább 250 órás szaktanfolyamon képzett informatikai szakember. </w:t>
            </w:r>
          </w:p>
        </w:tc>
      </w:tr>
    </w:tbl>
    <w:p w14:paraId="7A22DBDB" w14:textId="77777777" w:rsidR="00D65CB4" w:rsidRPr="00BC4EE7" w:rsidRDefault="00D65CB4">
      <w:pPr>
        <w:spacing w:before="120" w:after="120" w:line="240" w:lineRule="auto"/>
        <w:ind w:left="709"/>
        <w:jc w:val="both"/>
        <w:rPr>
          <w:rFonts w:ascii="Times New Roman" w:hAnsi="Times New Roman" w:cs="Times New Roman"/>
          <w:noProof/>
          <w:sz w:val="24"/>
        </w:rPr>
      </w:pPr>
    </w:p>
    <w:p w14:paraId="26595393" w14:textId="77777777" w:rsidR="00D65CB4" w:rsidRPr="00BC4EE7" w:rsidRDefault="00D65CB4">
      <w:pPr>
        <w:spacing w:before="120" w:after="120" w:line="240" w:lineRule="auto"/>
        <w:ind w:left="709"/>
        <w:jc w:val="both"/>
        <w:rPr>
          <w:rFonts w:ascii="Times New Roman" w:hAnsi="Times New Roman" w:cs="Times New Roman"/>
          <w:noProof/>
          <w:sz w:val="24"/>
        </w:rPr>
      </w:pPr>
    </w:p>
    <w:p w14:paraId="4BE80159" w14:textId="77777777" w:rsidR="00D65CB4" w:rsidRPr="00BC4EE7" w:rsidRDefault="00D65CB4">
      <w:pPr>
        <w:spacing w:before="120" w:after="120" w:line="240" w:lineRule="auto"/>
        <w:ind w:left="709"/>
        <w:jc w:val="both"/>
        <w:rPr>
          <w:rFonts w:ascii="Times New Roman" w:hAnsi="Times New Roman" w:cs="Times New Roman"/>
          <w:noProof/>
          <w:sz w:val="24"/>
        </w:rPr>
      </w:pPr>
    </w:p>
    <w:p w14:paraId="1E889018" w14:textId="77777777" w:rsidR="00D65CB4" w:rsidRPr="00BC4EE7" w:rsidRDefault="00D65CB4">
      <w:pPr>
        <w:spacing w:before="120" w:after="120" w:line="240" w:lineRule="auto"/>
        <w:ind w:left="709"/>
        <w:jc w:val="both"/>
        <w:rPr>
          <w:rFonts w:ascii="Times New Roman" w:hAnsi="Times New Roman" w:cs="Times New Roman"/>
          <w:noProof/>
          <w:sz w:val="24"/>
        </w:rPr>
        <w:sectPr w:rsidR="00D65CB4" w:rsidRPr="00BC4EE7" w:rsidSect="00B511EF">
          <w:headerReference w:type="even" r:id="rId400"/>
          <w:headerReference w:type="default" r:id="rId401"/>
          <w:footerReference w:type="even" r:id="rId402"/>
          <w:footerReference w:type="default" r:id="rId403"/>
          <w:headerReference w:type="first" r:id="rId404"/>
          <w:footerReference w:type="first" r:id="rId405"/>
          <w:pgSz w:w="16839" w:h="11907" w:orient="landscape"/>
          <w:pgMar w:top="1134" w:right="1134" w:bottom="1134" w:left="1134" w:header="567" w:footer="567" w:gutter="0"/>
          <w:cols w:space="720"/>
          <w:docGrid w:linePitch="360"/>
        </w:sectPr>
      </w:pPr>
    </w:p>
    <w:p w14:paraId="780CBD9C" w14:textId="77777777" w:rsidR="00D65CB4" w:rsidRPr="00BC4EE7" w:rsidRDefault="00572307">
      <w:pPr>
        <w:pStyle w:val="P68B1DB1-Heading12"/>
        <w:rPr>
          <w:rFonts w:cs="Times New Roman"/>
          <w:noProof/>
        </w:rPr>
      </w:pPr>
      <w:r w:rsidRPr="00BC4EE7">
        <w:rPr>
          <w:rFonts w:cs="Times New Roman"/>
          <w:noProof/>
        </w:rPr>
        <w:t>T. 20. KOMPONENS: Stratégiai terv a szakképzés fellendítésére</w:t>
      </w:r>
    </w:p>
    <w:p w14:paraId="1BD30229"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spanyol helyreállítási és rezilienciaépítési terv komponense a szakoktatási és -képzési rendszer átalakítását és korszerűsítését célozza, hozzáigazítva azt a gazdaság termelő ágazataiban bekövetkezett változásokhoz. E célból a komponens arra törekszik, hogy hozzájáruljon a munkavállalók foglalkoztathatóságának és foglalkoztatási mobilitásának javításához, és ezáltal növelje a termelékenységet és a versenyképességet. </w:t>
      </w:r>
    </w:p>
    <w:p w14:paraId="0906955F"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meglévő készségkereslet és -kínálat közötti eltérésekkel foglalkozni kell a lakosság oktatási és képzési szintje és a munkaerőpiaci igények közötti egyensúly javítása érdekében, különösen az alacsonyan képzettek továbbképzésének a köztes készségek felé történő támogatása és az átképzés támogatása révén.  Különös figyelmet kell fordítani a műszaki és digitális készségekre, kezelve a nemek közötti készséghiányt és növelve a magasabb szintű szakképzési programok vonzerejét a beiratkozás javítása érdekében. A komponens a meglévő készségek elismeréséről is rendelkezik annak érdekében, hogy új képzési lehetőségekhez és új képesítésekhez férhessen hozzá egy olyan integráltabb szakképzési rendszerben, amely a kötelező oktatásban részt vevő személyeket – hozzájárulva a korai iskolaelhagyás csökkentéséhez –, valamint a munkával töltött életszakasz során végig kíséri. </w:t>
      </w:r>
    </w:p>
    <w:p w14:paraId="5C9D1302" w14:textId="77777777" w:rsidR="00D65CB4" w:rsidRPr="00BC4EE7" w:rsidRDefault="00572307">
      <w:pPr>
        <w:pStyle w:val="P68B1DB1-Normal4"/>
        <w:spacing w:before="120" w:after="120" w:line="240" w:lineRule="auto"/>
        <w:jc w:val="both"/>
        <w:textAlignment w:val="baseline"/>
        <w:rPr>
          <w:rFonts w:eastAsia="Times New Roman" w:cs="Times New Roman"/>
          <w:noProof/>
        </w:rPr>
      </w:pPr>
      <w:r w:rsidRPr="00BC4EE7">
        <w:rPr>
          <w:rFonts w:cs="Times New Roman"/>
          <w:noProof/>
        </w:rPr>
        <w:t>A komponens hozzájárul a korai iskolaelhagyás csökkentésére vonatkozó országspecifikus ajánlások végrehajtásához (2019. évi 2. országspecifikus ajánlás); az oktatás és a vállalkozások közötti együttműködés fokozása a munkaerőpiac szempontjából releváns készségek és képesítések biztosításának javítása céljából, különösen az információs és kommunikációs technológiák terén (2019. évi 2. országspecifikus ajánlás); a foglalkoztatás támogatása a munkahelyek megőrzését célzó intézkedések, valamint a munkaerő-felvétel és a készségfejlesztés hatékony ösztönzése révén (2020. évi 2. országspecifikus ajánlás); a digitális tanuláshoz való hozzáférés javítása (2020. évi 2. országspecifikus ajánlás).</w:t>
      </w:r>
    </w:p>
    <w:p w14:paraId="10EF2818" w14:textId="77777777" w:rsidR="00D65CB4" w:rsidRPr="00BC4EE7" w:rsidRDefault="00572307">
      <w:pPr>
        <w:pStyle w:val="P68B1DB1-Normal4"/>
        <w:spacing w:before="120" w:after="120" w:line="240" w:lineRule="auto"/>
        <w:jc w:val="both"/>
        <w:textAlignment w:val="baseline"/>
        <w:rPr>
          <w:rFonts w:eastAsia="Times New Roman" w:cs="Times New Roman"/>
          <w:noProof/>
        </w:rPr>
      </w:pPr>
      <w:r w:rsidRPr="00BC4EE7">
        <w:rPr>
          <w:rFonts w:cs="Times New Roman"/>
          <w:noProof/>
        </w:rPr>
        <w:t>A jelentős károkozás elkerülését célzó elvről szóló technikai iránymutatásnak (2021/C58/01) megfelelően a helyreállítási és rezilienciaépítési tervben meghatározott intézkedések leírását és a helyreállítási és rezilienciaépítési tervben meghatározott enyhítő lépéseket figyelembe véve ebben a komponensben várhatóan egyetlen intézkedés sem sérti jelentős mértékben az (EU) 2020/852 rendelet 17. cikke szerinti környezeti célkitűzéseket.</w:t>
      </w:r>
    </w:p>
    <w:p w14:paraId="41E1D791" w14:textId="77777777" w:rsidR="00D65CB4" w:rsidRPr="00BC4EE7" w:rsidRDefault="00572307">
      <w:pPr>
        <w:spacing w:before="120" w:after="120" w:line="240" w:lineRule="auto"/>
        <w:ind w:left="709"/>
        <w:jc w:val="both"/>
        <w:rPr>
          <w:rFonts w:ascii="Times New Roman" w:hAnsi="Times New Roman" w:cs="Times New Roman"/>
          <w:b/>
          <w:i/>
          <w:noProof/>
          <w:sz w:val="24"/>
        </w:rPr>
      </w:pPr>
      <w:r w:rsidRPr="00BC4EE7">
        <w:rPr>
          <w:rFonts w:ascii="Times New Roman" w:hAnsi="Times New Roman" w:cs="Times New Roman"/>
          <w:b/>
          <w:noProof/>
          <w:sz w:val="24"/>
          <w:u w:val="single"/>
        </w:rPr>
        <w:t xml:space="preserve">T.1.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Vissza nem térítendő pénzügyi támogatás – a reformok és beruházások ismertetése</w:t>
      </w:r>
    </w:p>
    <w:p w14:paraId="1017AE05" w14:textId="77777777" w:rsidR="00D65CB4" w:rsidRPr="00BC4EE7" w:rsidRDefault="00572307">
      <w:pPr>
        <w:pStyle w:val="P68B1DB1-Normal22"/>
        <w:spacing w:before="120" w:after="120" w:line="240" w:lineRule="auto"/>
        <w:jc w:val="both"/>
        <w:rPr>
          <w:rFonts w:cs="Times New Roman"/>
          <w:noProof/>
        </w:rPr>
      </w:pPr>
      <w:r w:rsidRPr="00BC4EE7">
        <w:rPr>
          <w:rFonts w:cs="Times New Roman"/>
          <w:noProof/>
        </w:rPr>
        <w:t xml:space="preserve">Reform (C20.R1) – Terv a szakképzés korszerűsítésére </w:t>
      </w:r>
    </w:p>
    <w:p w14:paraId="777BAF35"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shd w:val="clear" w:color="auto" w:fill="FFFFFF"/>
        </w:rPr>
        <w:t xml:space="preserve">Ez a reform a szakképzés korszerűsítésére vonatkozó terv elfogadását és végrehajtását foglalja magában. A tervet 2020. július 22-én terjesztették elő. Célja annak biztosítása, hogy a szakképzési rendszer </w:t>
      </w:r>
      <w:r w:rsidRPr="00BC4EE7">
        <w:rPr>
          <w:rFonts w:cs="Times New Roman"/>
          <w:noProof/>
        </w:rPr>
        <w:t xml:space="preserve">megfeleljen a középfokú végzettséget igénylő munkaerőpiacnak, ezáltal kielégítse a termelő ágazat (különösen a </w:t>
      </w:r>
      <w:r w:rsidRPr="00BC4EE7">
        <w:rPr>
          <w:rFonts w:cs="Times New Roman"/>
          <w:noProof/>
          <w:shd w:val="clear" w:color="auto" w:fill="FFFFFF"/>
        </w:rPr>
        <w:t xml:space="preserve">technikusok/vezető technikusok) </w:t>
      </w:r>
      <w:r w:rsidRPr="00BC4EE7">
        <w:rPr>
          <w:rFonts w:cs="Times New Roman"/>
          <w:noProof/>
        </w:rPr>
        <w:t xml:space="preserve">igényeit, és biztosítsa, hogy a szakképzés és a képesítések javítsák a foglalkoztathatóság kilátásait. </w:t>
      </w:r>
      <w:r w:rsidRPr="00BC4EE7">
        <w:rPr>
          <w:rFonts w:cs="Times New Roman"/>
          <w:noProof/>
          <w:shd w:val="clear" w:color="auto" w:fill="FFFFFF"/>
        </w:rPr>
        <w:t>A szakképzést a világjárványt követő gazdasági és társadalmi hajtóerő fellendítésének kulcsfontosságú elemeként kell meghatároznia.</w:t>
      </w:r>
    </w:p>
    <w:p w14:paraId="5EFD89B3" w14:textId="77777777" w:rsidR="00D65CB4" w:rsidRPr="00BC4EE7" w:rsidRDefault="00572307">
      <w:pPr>
        <w:pStyle w:val="P68B1DB1-Normal4"/>
        <w:spacing w:before="120" w:after="120" w:line="240" w:lineRule="auto"/>
        <w:jc w:val="both"/>
        <w:rPr>
          <w:rFonts w:cs="Times New Roman"/>
          <w:noProof/>
          <w:shd w:val="clear" w:color="auto" w:fill="FFFFFF"/>
        </w:rPr>
      </w:pPr>
      <w:r w:rsidRPr="00BC4EE7">
        <w:rPr>
          <w:rFonts w:cs="Times New Roman"/>
          <w:noProof/>
          <w:shd w:val="clear" w:color="auto" w:fill="FFFFFF"/>
        </w:rPr>
        <w:t>A tervnek egyetlen integrált szakképzési rendszer létrehozására kell összpontosítania</w:t>
      </w:r>
      <w:r w:rsidRPr="00BC4EE7">
        <w:rPr>
          <w:rFonts w:cs="Times New Roman"/>
          <w:noProof/>
        </w:rPr>
        <w:t>, amely a teljes lakosság számára képzést és szakmai képesítéseket biztosít, beleértve az oktatási rendszerben részt vevő szakképzésben részt vevő hallgatókat és a foglalkoztatásra irányuló szakképzést is.</w:t>
      </w:r>
      <w:r w:rsidRPr="00BC4EE7">
        <w:rPr>
          <w:rFonts w:cs="Times New Roman"/>
          <w:noProof/>
          <w:shd w:val="clear" w:color="auto" w:fill="FFFFFF"/>
        </w:rPr>
        <w:t xml:space="preserve"> </w:t>
      </w:r>
      <w:r w:rsidRPr="00BC4EE7">
        <w:rPr>
          <w:rFonts w:cs="Times New Roman"/>
          <w:noProof/>
        </w:rPr>
        <w:t>A szakoktatást és -képzést a szakmai fejlődés szokásos visszatérő elemeként kell elhelyeznie valamennyi munkavállaló számára a munkával töltött életszakasz során.</w:t>
      </w:r>
    </w:p>
    <w:p w14:paraId="3F988533" w14:textId="77777777" w:rsidR="00D65CB4" w:rsidRPr="00BC4EE7" w:rsidRDefault="00572307">
      <w:pPr>
        <w:pStyle w:val="P68B1DB1-Normal21"/>
        <w:spacing w:before="120" w:after="120" w:line="240" w:lineRule="auto"/>
        <w:jc w:val="both"/>
        <w:rPr>
          <w:rFonts w:cs="Times New Roman"/>
          <w:noProof/>
        </w:rPr>
      </w:pPr>
      <w:r w:rsidRPr="00BC4EE7">
        <w:rPr>
          <w:rFonts w:cs="Times New Roman"/>
          <w:noProof/>
        </w:rPr>
        <w:t>V fő eszköze a szakmai képesítések nemzeti katalógusa, amelyet felül kell vizsgálni és aktualizálni kell, többek között a digitális és zöld átállás alkalmazásának integrálása révén. Magában foglalja az új szakképzési képesítések kialakítását valamennyi ágazatban, de arra a tizenkét stratégiai ágazatra összpontosítva, amelyekben – a regionális igények figyelembevételével – fokozni kell a szakképzést.</w:t>
      </w:r>
    </w:p>
    <w:p w14:paraId="593AC1F4" w14:textId="77777777" w:rsidR="00D65CB4" w:rsidRPr="00BC4EE7" w:rsidRDefault="00572307">
      <w:pPr>
        <w:pStyle w:val="P68B1DB1-Normal4"/>
        <w:spacing w:before="120" w:after="120" w:line="240" w:lineRule="auto"/>
        <w:jc w:val="both"/>
        <w:rPr>
          <w:rFonts w:cs="Times New Roman"/>
          <w:noProof/>
          <w:shd w:val="clear" w:color="auto" w:fill="FFFFFF"/>
        </w:rPr>
      </w:pPr>
      <w:r w:rsidRPr="00BC4EE7">
        <w:rPr>
          <w:rFonts w:cs="Times New Roman"/>
          <w:noProof/>
          <w:shd w:val="clear" w:color="auto" w:fill="FFFFFF"/>
        </w:rPr>
        <w:t>A tervet több királyi törvényerejű rendelet elfogadásával kell végrehajtani</w:t>
      </w:r>
      <w:r w:rsidRPr="00BC4EE7">
        <w:rPr>
          <w:rFonts w:cs="Times New Roman"/>
          <w:noProof/>
        </w:rPr>
        <w:t>, amelyek új egyetemi tantervek meghatározásának felelnek meg.</w:t>
      </w:r>
      <w:r w:rsidRPr="00BC4EE7">
        <w:rPr>
          <w:rFonts w:cs="Times New Roman"/>
          <w:noProof/>
          <w:shd w:val="clear" w:color="auto" w:fill="FFFFFF"/>
        </w:rPr>
        <w:t xml:space="preserve"> A tervek szerint a 2021–2023-as időszakban fokozatosan mintegy 42 új diplomát hoznak létre, amelyek közép-, felsőfokú és szakirányú diplomákat foglalnak magukban. A reformnak magában kell foglalnia a szakképzési oklevelek rendszeres felülvizsgálatát, a termelő ágazatok igényeinek megfelelő új szakképzési fokozatok kialakítását, különös tekintettel a szakképzésre vonatkozó stratégiai tervben kiemelt ágazatokra. </w:t>
      </w:r>
    </w:p>
    <w:p w14:paraId="3E2F91F8" w14:textId="77777777" w:rsidR="00D65CB4" w:rsidRPr="00BC4EE7" w:rsidRDefault="00572307">
      <w:pPr>
        <w:pStyle w:val="P68B1DB1-Normal4"/>
        <w:spacing w:before="120" w:after="120" w:line="240" w:lineRule="auto"/>
        <w:jc w:val="both"/>
        <w:rPr>
          <w:rFonts w:cs="Times New Roman"/>
          <w:noProof/>
          <w:shd w:val="clear" w:color="auto" w:fill="FFFFFF"/>
        </w:rPr>
      </w:pPr>
      <w:r w:rsidRPr="00BC4EE7">
        <w:rPr>
          <w:rFonts w:cs="Times New Roman"/>
          <w:noProof/>
          <w:shd w:val="clear" w:color="auto" w:fill="FFFFFF"/>
        </w:rPr>
        <w:t xml:space="preserve">A terv egyéb kiemelt irányvonalai közé tartozik az innováció, az alkalmazott kutatás, a vállalkozói készség, a digitalizáció és a fenntarthatóság beépítése </w:t>
      </w:r>
      <w:r w:rsidRPr="00BC4EE7">
        <w:rPr>
          <w:rFonts w:cs="Times New Roman"/>
          <w:noProof/>
        </w:rPr>
        <w:t>a szakképzés alapvető elemei közé; valamint a vállalatok elhelyezkedése a szakképzés szerves részeként, valamint a köz- és magánszféra együttműködésének előmozdítása a rendszerben, különösen a szakképzés kettős jellegének előmozdítása révén. E célból a</w:t>
      </w:r>
      <w:r w:rsidRPr="00BC4EE7">
        <w:rPr>
          <w:rFonts w:cs="Times New Roman"/>
          <w:noProof/>
          <w:shd w:val="clear" w:color="auto" w:fill="FFFFFF"/>
        </w:rPr>
        <w:t>reform a minisztériumok, a vállalkozások és a szociális partnerek közös munkájára épül a gazdaság számára szükséges készségek azonosítása érdekében.</w:t>
      </w:r>
    </w:p>
    <w:p w14:paraId="41FFB940" w14:textId="77777777" w:rsidR="00D65CB4" w:rsidRPr="00BC4EE7" w:rsidRDefault="00572307">
      <w:pPr>
        <w:pStyle w:val="P68B1DB1-Normal21"/>
        <w:spacing w:before="120" w:after="120" w:line="240" w:lineRule="auto"/>
        <w:jc w:val="both"/>
        <w:rPr>
          <w:rFonts w:cs="Times New Roman"/>
          <w:noProof/>
        </w:rPr>
      </w:pPr>
      <w:r w:rsidRPr="00BC4EE7">
        <w:rPr>
          <w:rFonts w:cs="Times New Roman"/>
          <w:noProof/>
        </w:rPr>
        <w:t>Az intézkedés végrehajtását 2020. december 31-ig be kell fejezni.</w:t>
      </w:r>
    </w:p>
    <w:p w14:paraId="0A72A425" w14:textId="77777777" w:rsidR="00D65CB4" w:rsidRPr="00BC4EE7" w:rsidRDefault="00572307">
      <w:pPr>
        <w:pStyle w:val="P68B1DB1-Normal22"/>
        <w:spacing w:before="120" w:after="120" w:line="240" w:lineRule="auto"/>
        <w:jc w:val="both"/>
        <w:rPr>
          <w:rFonts w:cs="Times New Roman"/>
          <w:noProof/>
        </w:rPr>
      </w:pPr>
      <w:r w:rsidRPr="00BC4EE7">
        <w:rPr>
          <w:rFonts w:cs="Times New Roman"/>
          <w:noProof/>
        </w:rPr>
        <w:t xml:space="preserve">Reform (C20.R2) – A nemzeti képesítési rendszerhez kapcsolódó integrált szakképzési rendszert szabályozó törvény </w:t>
      </w:r>
    </w:p>
    <w:p w14:paraId="6B0FD563" w14:textId="77777777" w:rsidR="00D65CB4" w:rsidRPr="00BC4EE7" w:rsidRDefault="00572307">
      <w:pPr>
        <w:pStyle w:val="P68B1DB1-Normal4"/>
        <w:spacing w:before="120" w:after="120" w:line="240" w:lineRule="auto"/>
        <w:jc w:val="both"/>
        <w:rPr>
          <w:rFonts w:cs="Times New Roman"/>
          <w:noProof/>
          <w:shd w:val="clear" w:color="auto" w:fill="FFFFFF"/>
        </w:rPr>
      </w:pPr>
      <w:r w:rsidRPr="00BC4EE7">
        <w:rPr>
          <w:rFonts w:cs="Times New Roman"/>
          <w:noProof/>
        </w:rPr>
        <w:t xml:space="preserve">A szakképzési modernizációs terv céljaival és a nemzeti képesítési rendszer </w:t>
      </w:r>
      <w:r w:rsidRPr="00BC4EE7">
        <w:rPr>
          <w:rFonts w:cs="Times New Roman"/>
          <w:noProof/>
          <w:shd w:val="clear" w:color="auto" w:fill="FFFFFF"/>
        </w:rPr>
        <w:t xml:space="preserve">keretével összhangban Spanyolország az integrált szakképzési rendszert szabályozó törvényt terjeszt elő és fogad el. Az új törvény a jelenlegi két különálló szakképzési rendszert – az oktatási rendszerben és a foglalkoztatási képzésre irányuló rendszert – egyetlen rendszerbe foglalja össze. Meghatározza az egész életen át tartó tanulás integrált rendszerét a lakosság számára bármilyen életkorban, személyes vagy munkahelyi helyzetben, kiegészítő és kumulatív tanfolyamokat kínálva, amelyek új képesítésekhez vezetnek. Ezt egész életen át tartó orientációs folyamatnak kell </w:t>
      </w:r>
      <w:r w:rsidRPr="00BC4EE7">
        <w:rPr>
          <w:rFonts w:cs="Times New Roman"/>
          <w:noProof/>
        </w:rPr>
        <w:t xml:space="preserve">kísérnie. </w:t>
      </w:r>
    </w:p>
    <w:p w14:paraId="597A2EC6" w14:textId="77777777" w:rsidR="00D65CB4" w:rsidRPr="00BC4EE7" w:rsidRDefault="00572307">
      <w:pPr>
        <w:pStyle w:val="P68B1DB1-Normal4"/>
        <w:spacing w:before="120" w:after="120" w:line="240" w:lineRule="auto"/>
        <w:jc w:val="both"/>
        <w:rPr>
          <w:rFonts w:cs="Times New Roman"/>
          <w:noProof/>
          <w:shd w:val="clear" w:color="auto" w:fill="FFFFFF"/>
        </w:rPr>
      </w:pPr>
      <w:r w:rsidRPr="00BC4EE7">
        <w:rPr>
          <w:rFonts w:cs="Times New Roman"/>
          <w:noProof/>
        </w:rPr>
        <w:t xml:space="preserve">Az előkészítés első szakaszában az Oktatási és Szakképzési Minisztérium a szociális partnerek és a regionális kormányzatok egyetértésével törvénytervezetet készít. </w:t>
      </w:r>
      <w:r w:rsidRPr="00BC4EE7">
        <w:rPr>
          <w:rFonts w:cs="Times New Roman"/>
          <w:noProof/>
          <w:shd w:val="clear" w:color="auto" w:fill="FFFFFF"/>
        </w:rPr>
        <w:t>A Miniszterek Tanácsa várhatóan 2021. december 31. előtt hagyja jóvá a törvénytervezetet, a parlamentben pedig 2022. június 30-ig elfogadásra kerül.</w:t>
      </w:r>
    </w:p>
    <w:p w14:paraId="3F614CDA"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végül jóváhagyott és a korábban meglévő két szakképzési rendszert egyesítő törvény célja a rendszer korszerűsítése, különösen az alábbiak révén: </w:t>
      </w:r>
    </w:p>
    <w:p w14:paraId="12CE28C1" w14:textId="77777777" w:rsidR="00D65CB4" w:rsidRPr="00BC4EE7" w:rsidRDefault="00572307">
      <w:pPr>
        <w:pStyle w:val="P68B1DB1-Normal4"/>
        <w:numPr>
          <w:ilvl w:val="0"/>
          <w:numId w:val="135"/>
        </w:numPr>
        <w:spacing w:before="120" w:after="160" w:line="259" w:lineRule="auto"/>
        <w:contextualSpacing/>
        <w:jc w:val="both"/>
        <w:rPr>
          <w:rFonts w:cs="Times New Roman"/>
          <w:noProof/>
        </w:rPr>
      </w:pPr>
      <w:r w:rsidRPr="00BC4EE7">
        <w:rPr>
          <w:rFonts w:cs="Times New Roman"/>
          <w:noProof/>
        </w:rPr>
        <w:t xml:space="preserve">az alacsony képzettségűek továbbképzésére való összpontosítás és foglalkoztathatóságuk javítása; </w:t>
      </w:r>
    </w:p>
    <w:p w14:paraId="09FE3AA0" w14:textId="77777777" w:rsidR="00D65CB4" w:rsidRPr="00BC4EE7" w:rsidRDefault="00572307">
      <w:pPr>
        <w:pStyle w:val="P68B1DB1-Normal4"/>
        <w:numPr>
          <w:ilvl w:val="0"/>
          <w:numId w:val="135"/>
        </w:numPr>
        <w:spacing w:before="120" w:after="160" w:line="259" w:lineRule="auto"/>
        <w:contextualSpacing/>
        <w:jc w:val="both"/>
        <w:rPr>
          <w:rFonts w:cs="Times New Roman"/>
          <w:noProof/>
        </w:rPr>
      </w:pPr>
      <w:r w:rsidRPr="00BC4EE7">
        <w:rPr>
          <w:rFonts w:cs="Times New Roman"/>
          <w:noProof/>
        </w:rPr>
        <w:t xml:space="preserve">a készségkereslet és -kínálat közötti eltérések kezelése </w:t>
      </w:r>
    </w:p>
    <w:p w14:paraId="791BBCAD" w14:textId="77777777" w:rsidR="00D65CB4" w:rsidRPr="00BC4EE7" w:rsidRDefault="00572307">
      <w:pPr>
        <w:pStyle w:val="P68B1DB1-Normal4"/>
        <w:numPr>
          <w:ilvl w:val="0"/>
          <w:numId w:val="135"/>
        </w:numPr>
        <w:spacing w:before="120" w:after="160" w:line="259" w:lineRule="auto"/>
        <w:contextualSpacing/>
        <w:jc w:val="both"/>
        <w:rPr>
          <w:rFonts w:cs="Times New Roman"/>
          <w:noProof/>
        </w:rPr>
      </w:pPr>
      <w:r w:rsidRPr="00BC4EE7">
        <w:rPr>
          <w:rFonts w:cs="Times New Roman"/>
          <w:noProof/>
        </w:rPr>
        <w:t>a szakmai képesítések nemzeti katalógusának aktualizálása, hozzáigazítva azt a gazdaság jövőbeli igényeihez, beleértve a zöld és digitális átállás támogatását; és</w:t>
      </w:r>
    </w:p>
    <w:p w14:paraId="38222DA9" w14:textId="77777777" w:rsidR="00D65CB4" w:rsidRPr="00BC4EE7" w:rsidRDefault="00572307">
      <w:pPr>
        <w:pStyle w:val="P68B1DB1-Normal4"/>
        <w:numPr>
          <w:ilvl w:val="0"/>
          <w:numId w:val="135"/>
        </w:numPr>
        <w:spacing w:before="120" w:after="160" w:line="259" w:lineRule="auto"/>
        <w:contextualSpacing/>
        <w:jc w:val="both"/>
        <w:rPr>
          <w:rFonts w:cs="Times New Roman"/>
          <w:noProof/>
        </w:rPr>
      </w:pPr>
      <w:r w:rsidRPr="00BC4EE7">
        <w:rPr>
          <w:rFonts w:cs="Times New Roman"/>
          <w:noProof/>
        </w:rPr>
        <w:t>a magasabb szintű szakképzési programok vonzerejének növelése a beiratkozás javítása érdekében.</w:t>
      </w:r>
    </w:p>
    <w:p w14:paraId="123E8D21" w14:textId="77777777" w:rsidR="00D65CB4" w:rsidRPr="00BC4EE7" w:rsidRDefault="00572307">
      <w:pPr>
        <w:pStyle w:val="P68B1DB1-Normal21"/>
        <w:spacing w:before="120" w:after="120" w:line="240" w:lineRule="auto"/>
        <w:jc w:val="both"/>
        <w:rPr>
          <w:rFonts w:cs="Times New Roman"/>
          <w:noProof/>
          <w:u w:val="single"/>
        </w:rPr>
      </w:pPr>
      <w:r w:rsidRPr="00BC4EE7">
        <w:rPr>
          <w:rFonts w:cs="Times New Roman"/>
          <w:noProof/>
        </w:rPr>
        <w:t>Az intézkedés végrehajtását 2022. június 30-ig be kell fejezni.</w:t>
      </w:r>
    </w:p>
    <w:p w14:paraId="04B8F193" w14:textId="77777777" w:rsidR="00D65CB4" w:rsidRPr="00BC4EE7" w:rsidRDefault="00572307">
      <w:pPr>
        <w:pStyle w:val="P68B1DB1-Normal22"/>
        <w:spacing w:before="120" w:after="120" w:line="240" w:lineRule="auto"/>
        <w:jc w:val="both"/>
        <w:rPr>
          <w:rFonts w:cs="Times New Roman"/>
          <w:noProof/>
        </w:rPr>
      </w:pPr>
      <w:r w:rsidRPr="00BC4EE7">
        <w:rPr>
          <w:rFonts w:cs="Times New Roman"/>
          <w:noProof/>
        </w:rPr>
        <w:t xml:space="preserve">Beruházás (C20.I1) – A munkaerő szakmai képesítésekhez kapcsolódó átképzése és továbbképzése </w:t>
      </w:r>
    </w:p>
    <w:p w14:paraId="46184BED" w14:textId="77777777" w:rsidR="00D65CB4" w:rsidRPr="00BC4EE7" w:rsidRDefault="00572307">
      <w:pPr>
        <w:pStyle w:val="P68B1DB1-Normal21"/>
        <w:spacing w:before="120" w:after="120" w:line="240" w:lineRule="auto"/>
        <w:jc w:val="both"/>
        <w:rPr>
          <w:rFonts w:cs="Times New Roman"/>
          <w:noProof/>
        </w:rPr>
      </w:pPr>
      <w:r w:rsidRPr="00BC4EE7">
        <w:rPr>
          <w:rFonts w:cs="Times New Roman"/>
          <w:noProof/>
        </w:rPr>
        <w:t>Ez a beruházás négy olyan intézkedést foglal magában, amelyek célja a 16 évnél idősebb (foglalkoztatott vagy munkanélküli) aktív népesség szakmai készségeinek fenntartása és javítása:</w:t>
      </w:r>
    </w:p>
    <w:p w14:paraId="2D258D6E" w14:textId="5170A195" w:rsidR="00D65CB4" w:rsidRPr="00BC4EE7" w:rsidRDefault="00572307">
      <w:pPr>
        <w:pStyle w:val="P68B1DB1-Normal4"/>
        <w:numPr>
          <w:ilvl w:val="0"/>
          <w:numId w:val="136"/>
        </w:numPr>
        <w:spacing w:before="120" w:after="120" w:line="240" w:lineRule="auto"/>
        <w:jc w:val="both"/>
        <w:rPr>
          <w:rFonts w:cs="Times New Roman"/>
          <w:noProof/>
          <w:shd w:val="clear" w:color="auto" w:fill="FFFFFF"/>
        </w:rPr>
      </w:pPr>
      <w:r w:rsidRPr="00BC4EE7">
        <w:rPr>
          <w:rFonts w:cs="Times New Roman"/>
          <w:noProof/>
          <w:shd w:val="clear" w:color="auto" w:fill="FFFFFF"/>
        </w:rPr>
        <w:t>A munkatapasztalat és a nem formális képzés során megszerzett szakmai készségek értékelése és hivatalos akkreditációja. E célból biztosítani kívánja a meglévő készségek hivatalos elismerését, és hozzáférést biztosít a továbbképzéshez és az új képesítésekhez. A tervnek összesen 2000000 kompetenciaegység nyilvántartásba vételébe, értékelésébe és akkreditációjába kell beruháznia öt év alatt</w:t>
      </w:r>
      <w:r w:rsidRPr="00BC4EE7">
        <w:rPr>
          <w:rFonts w:cs="Times New Roman"/>
          <w:noProof/>
        </w:rPr>
        <w:t xml:space="preserve">.  </w:t>
      </w:r>
    </w:p>
    <w:p w14:paraId="14AF6FA2" w14:textId="77777777" w:rsidR="00D65CB4" w:rsidRPr="00BC4EE7" w:rsidRDefault="00572307">
      <w:pPr>
        <w:pStyle w:val="P68B1DB1-Normal4"/>
        <w:numPr>
          <w:ilvl w:val="0"/>
          <w:numId w:val="136"/>
        </w:numPr>
        <w:spacing w:before="120" w:after="120" w:line="240" w:lineRule="auto"/>
        <w:jc w:val="both"/>
        <w:rPr>
          <w:rFonts w:cs="Times New Roman"/>
          <w:noProof/>
          <w:shd w:val="clear" w:color="auto" w:fill="FFFFFF"/>
        </w:rPr>
      </w:pPr>
      <w:r w:rsidRPr="00BC4EE7">
        <w:rPr>
          <w:rFonts w:cs="Times New Roman"/>
          <w:noProof/>
          <w:shd w:val="clear" w:color="auto" w:fill="FFFFFF"/>
        </w:rPr>
        <w:t xml:space="preserve">D-Digital moduláris ajánlat a szakmai képesítések nemzeti katalógusában szereplő kompetenciaegységekkel kapcsolatban álló alkalmazottak számára. Az intézkedés a foglalkoztatott személyekre </w:t>
      </w:r>
      <w:r w:rsidRPr="00BC4EE7">
        <w:rPr>
          <w:rFonts w:cs="Times New Roman"/>
          <w:noProof/>
        </w:rPr>
        <w:t xml:space="preserve">irányul, és biztosítja, hogy legalább 300000 munkavállaló részesüljön a szakmai előmenetelhez szükséges digitális képzésben, amely lehetővé teszi számukra a magasabb szintű készségek elsajátítását. </w:t>
      </w:r>
      <w:r w:rsidRPr="00BC4EE7">
        <w:rPr>
          <w:rFonts w:cs="Times New Roman"/>
          <w:noProof/>
          <w:shd w:val="clear" w:color="auto" w:fill="FFFFFF"/>
        </w:rPr>
        <w:t xml:space="preserve"> </w:t>
      </w:r>
    </w:p>
    <w:p w14:paraId="295A55F2" w14:textId="68F3B515" w:rsidR="00D65CB4" w:rsidRPr="00BC4EE7" w:rsidRDefault="00572307">
      <w:pPr>
        <w:pStyle w:val="P68B1DB1-Normal21"/>
        <w:numPr>
          <w:ilvl w:val="0"/>
          <w:numId w:val="136"/>
        </w:numPr>
        <w:spacing w:before="120" w:after="120" w:line="240" w:lineRule="auto"/>
        <w:jc w:val="both"/>
        <w:rPr>
          <w:rFonts w:cs="Times New Roman"/>
          <w:noProof/>
        </w:rPr>
      </w:pPr>
      <w:r w:rsidRPr="00BC4EE7">
        <w:rPr>
          <w:rFonts w:cs="Times New Roman"/>
          <w:noProof/>
        </w:rPr>
        <w:t>A szakképzés rugalmasabbá és hozzáférhetőbbé tétele az „Aulas</w:t>
      </w:r>
      <w:r w:rsidRPr="00BC4EE7">
        <w:rPr>
          <w:rFonts w:cs="Times New Roman"/>
          <w:i/>
          <w:noProof/>
        </w:rPr>
        <w:t>Mentor”</w:t>
      </w:r>
      <w:r w:rsidRPr="00BC4EE7">
        <w:rPr>
          <w:rFonts w:cs="Times New Roman"/>
          <w:noProof/>
        </w:rPr>
        <w:t xml:space="preserve">létrehozásával. Az intézkedés nem formális képzést biztosít a vidéki térségekben élő vagy az elnéptelenedés kockázatának kitett személyek számára a szakmai képesítések nemzeti katalógusával összhangban. Különös figyelmet kell fordítani a nőkre annak érdekében, hogy a tanulás, a munkahelyteremtés és a helyi gazdaság fejlesztése új lehetőségeket nyithasson meg. </w:t>
      </w:r>
    </w:p>
    <w:p w14:paraId="099FF252" w14:textId="77777777" w:rsidR="00D65CB4" w:rsidRPr="00BC4EE7" w:rsidRDefault="00572307">
      <w:pPr>
        <w:pStyle w:val="P68B1DB1-Normal4"/>
        <w:numPr>
          <w:ilvl w:val="0"/>
          <w:numId w:val="136"/>
        </w:numPr>
        <w:spacing w:before="120" w:after="120" w:line="240" w:lineRule="auto"/>
        <w:jc w:val="both"/>
        <w:rPr>
          <w:rFonts w:cs="Times New Roman"/>
          <w:noProof/>
          <w:shd w:val="clear" w:color="auto" w:fill="FFFFFF"/>
        </w:rPr>
      </w:pPr>
      <w:r w:rsidRPr="00BC4EE7">
        <w:rPr>
          <w:rFonts w:cs="Times New Roman"/>
          <w:noProof/>
          <w:shd w:val="clear" w:color="auto" w:fill="FFFFFF"/>
        </w:rPr>
        <w:t xml:space="preserve">Moduláris továbbképzés és átképzés a foglalkoztatottak és a munkanélküliek számára. Az intézkedésnek képzést kell nyújtania a kialakulóban lévő és gyorsan fejlődő előretekintő készségekről, amelyek várhatóan munkahelyeket teremtenek a jövőben, beleértve a zöld átállást, az ápolási-gondozási gazdaságot és a modernizációs tervben meghatározott egyéb stratégiai ágazatokat. Elsőbbséget kell biztosítani a legkiszolgáltatottabb csoportoknak, amelyek legalább 700000 foglalkoztatott és munkanélküli átképzését és továbbképzését célzó </w:t>
      </w:r>
      <w:r w:rsidRPr="00BC4EE7">
        <w:rPr>
          <w:rFonts w:cs="Times New Roman"/>
          <w:noProof/>
        </w:rPr>
        <w:t>képzést kínálnak.</w:t>
      </w:r>
    </w:p>
    <w:p w14:paraId="581FD941" w14:textId="3088B8D5" w:rsidR="00D65CB4" w:rsidRPr="00BC4EE7" w:rsidRDefault="00572307">
      <w:pPr>
        <w:pStyle w:val="P68B1DB1-Normal21"/>
        <w:spacing w:before="120" w:after="120" w:line="240" w:lineRule="auto"/>
        <w:jc w:val="both"/>
        <w:rPr>
          <w:rFonts w:cs="Times New Roman"/>
          <w:noProof/>
        </w:rPr>
      </w:pPr>
      <w:r w:rsidRPr="00BC4EE7">
        <w:rPr>
          <w:rFonts w:cs="Times New Roman"/>
          <w:noProof/>
        </w:rPr>
        <w:t>Az intézkedés végrehajtását 2025. december 31-ig be kell fejezni.</w:t>
      </w:r>
    </w:p>
    <w:p w14:paraId="58DE658F" w14:textId="77777777" w:rsidR="00D65CB4" w:rsidRPr="00BC4EE7" w:rsidRDefault="00572307">
      <w:pPr>
        <w:pStyle w:val="P68B1DB1-Normal22"/>
        <w:spacing w:before="120" w:after="120" w:line="240" w:lineRule="auto"/>
        <w:jc w:val="both"/>
        <w:rPr>
          <w:rFonts w:cs="Times New Roman"/>
          <w:noProof/>
        </w:rPr>
      </w:pPr>
      <w:r w:rsidRPr="00BC4EE7">
        <w:rPr>
          <w:rFonts w:cs="Times New Roman"/>
          <w:noProof/>
        </w:rPr>
        <w:t>Beruházás (C20.I2): A szakképzés digitális átalakítása</w:t>
      </w:r>
    </w:p>
    <w:p w14:paraId="66EAFBB5" w14:textId="77777777" w:rsidR="00D65CB4" w:rsidRPr="00BC4EE7" w:rsidRDefault="00572307">
      <w:pPr>
        <w:pStyle w:val="P68B1DB1-Normal21"/>
        <w:spacing w:before="120" w:after="120" w:line="240" w:lineRule="auto"/>
        <w:jc w:val="both"/>
        <w:rPr>
          <w:rFonts w:cs="Times New Roman"/>
          <w:noProof/>
        </w:rPr>
      </w:pPr>
      <w:r w:rsidRPr="00BC4EE7">
        <w:rPr>
          <w:rFonts w:cs="Times New Roman"/>
          <w:noProof/>
        </w:rPr>
        <w:t xml:space="preserve">E beruházásnak a szakképzés átalakítására és korszerűsítésére kell irányulnia az egyes termelési ágazatok digitalizációjának támogatása érdekében, ugyanakkor prioritásként kell kezelnie a környezeti fenntarthatóságot mint kulcskompetenciát is. A program négy intézkedést foglal magában: </w:t>
      </w:r>
    </w:p>
    <w:p w14:paraId="5FC74A02" w14:textId="77777777" w:rsidR="00D65CB4" w:rsidRPr="00BC4EE7" w:rsidRDefault="00572307">
      <w:pPr>
        <w:pStyle w:val="P68B1DB1-Normal21"/>
        <w:numPr>
          <w:ilvl w:val="0"/>
          <w:numId w:val="137"/>
        </w:numPr>
        <w:spacing w:before="120" w:after="120" w:line="240" w:lineRule="auto"/>
        <w:jc w:val="both"/>
        <w:rPr>
          <w:rFonts w:cs="Times New Roman"/>
          <w:noProof/>
        </w:rPr>
      </w:pPr>
      <w:r w:rsidRPr="00BC4EE7">
        <w:rPr>
          <w:rFonts w:cs="Times New Roman"/>
          <w:noProof/>
        </w:rPr>
        <w:t xml:space="preserve">A szakképzésben részt vevő tanárok digitális és zöld képzése, amely lehetővé teszi számukra, hogy a képzési folyamat kulcsfontosságú pilléreként, valamint az adott termelő ágazatokban a szakképzésben alkalmazott digitális és ökológiai átállás ösztönzőiként működjenek. A hangsúly a tanárok műszaki, szakmai és pedagógiai készségeinek biztosítása az oktatási és képzési rendszer minőségének megerősítése érdekében. </w:t>
      </w:r>
    </w:p>
    <w:p w14:paraId="7B6F2735" w14:textId="4A59F168" w:rsidR="00D65CB4" w:rsidRPr="00BC4EE7" w:rsidRDefault="00572307">
      <w:pPr>
        <w:pStyle w:val="P68B1DB1-Normal7"/>
        <w:numPr>
          <w:ilvl w:val="0"/>
          <w:numId w:val="137"/>
        </w:numPr>
        <w:spacing w:before="120" w:after="120" w:line="240" w:lineRule="auto"/>
        <w:jc w:val="both"/>
        <w:rPr>
          <w:rFonts w:cs="Times New Roman"/>
          <w:noProof/>
          <w:sz w:val="24"/>
          <w:shd w:val="clear" w:color="auto" w:fill="FFFFFF"/>
        </w:rPr>
      </w:pPr>
      <w:r w:rsidRPr="00BC4EE7">
        <w:rPr>
          <w:rFonts w:cs="Times New Roman"/>
          <w:noProof/>
        </w:rPr>
        <w:t>Az</w:t>
      </w:r>
      <w:r w:rsidRPr="00BC4EE7">
        <w:rPr>
          <w:rFonts w:cs="Times New Roman"/>
          <w:noProof/>
          <w:sz w:val="24"/>
          <w:shd w:val="clear" w:color="auto" w:fill="FFFFFF"/>
        </w:rPr>
        <w:t>osztálytermek olyan alkalmazott technológiai terekké való átalakítása</w:t>
      </w:r>
      <w:r w:rsidRPr="00BC4EE7">
        <w:rPr>
          <w:rFonts w:cs="Times New Roman"/>
          <w:noProof/>
          <w:sz w:val="24"/>
        </w:rPr>
        <w:t>, amelyek technológiai erőforrások felhasználásával helyreállítják a munkakörnyezetet,</w:t>
      </w:r>
      <w:r w:rsidRPr="00BC4EE7">
        <w:rPr>
          <w:rFonts w:cs="Times New Roman"/>
          <w:noProof/>
          <w:sz w:val="24"/>
          <w:shd w:val="clear" w:color="auto" w:fill="FFFFFF" w:themeFill="background1"/>
        </w:rPr>
        <w:t>lehetővé teszik a diákok számára</w:t>
      </w:r>
      <w:r w:rsidRPr="00BC4EE7">
        <w:rPr>
          <w:rFonts w:cs="Times New Roman"/>
          <w:noProof/>
          <w:sz w:val="24"/>
        </w:rPr>
        <w:t xml:space="preserve">, hogy olyan technológiákat keressenek, amelyeket később a vállalatoknál találnak. A beruházásnak lehetővé kell tennie legalább 1253 </w:t>
      </w:r>
      <w:r w:rsidRPr="00BC4EE7">
        <w:rPr>
          <w:rFonts w:cs="Times New Roman"/>
          <w:noProof/>
          <w:sz w:val="24"/>
          <w:shd w:val="clear" w:color="auto" w:fill="FFFFFF"/>
        </w:rPr>
        <w:t>„technológiai</w:t>
      </w:r>
      <w:r w:rsidRPr="00BC4EE7">
        <w:rPr>
          <w:rFonts w:cs="Times New Roman"/>
          <w:noProof/>
        </w:rPr>
        <w:t xml:space="preserve">” osztályterem létrehozását. </w:t>
      </w:r>
    </w:p>
    <w:p w14:paraId="72401F73" w14:textId="77777777" w:rsidR="00D65CB4" w:rsidRPr="00BC4EE7" w:rsidRDefault="00572307">
      <w:pPr>
        <w:pStyle w:val="P68B1DB1-Normal4"/>
        <w:numPr>
          <w:ilvl w:val="0"/>
          <w:numId w:val="137"/>
        </w:numPr>
        <w:spacing w:before="120" w:after="120" w:line="240" w:lineRule="auto"/>
        <w:jc w:val="both"/>
        <w:rPr>
          <w:rFonts w:cs="Times New Roman"/>
          <w:noProof/>
          <w:shd w:val="clear" w:color="auto" w:fill="FFFFFF"/>
        </w:rPr>
      </w:pPr>
      <w:r w:rsidRPr="00BC4EE7">
        <w:rPr>
          <w:rFonts w:cs="Times New Roman"/>
          <w:noProof/>
        </w:rPr>
        <w:t>„Vállalkozói” osztálytermek létrehozása az állami szakképzési központokban, amelyek lehetővé teszik a diákok számára, hogy a vállalkozói készséget a szakmai alkalmasság szerves részeként értelmezzék, és megteremtsék a vállalkozásalapítást vagy vállalkozásalapítást. Spanyolországnak biztosítania kell, hogy az intézkedés a Helyreállítási és Rezilienciaépítési Eszköz lejárta után költségvetési szempontból fenntartható legyen, többek között más uniós finanszírozási forrásokra támaszkodva.</w:t>
      </w:r>
    </w:p>
    <w:p w14:paraId="21038114" w14:textId="77777777" w:rsidR="00D65CB4" w:rsidRPr="00BC4EE7" w:rsidRDefault="00572307">
      <w:pPr>
        <w:pStyle w:val="P68B1DB1-Normal4"/>
        <w:numPr>
          <w:ilvl w:val="0"/>
          <w:numId w:val="137"/>
        </w:numPr>
        <w:spacing w:before="120" w:after="120" w:line="240" w:lineRule="auto"/>
        <w:jc w:val="both"/>
        <w:rPr>
          <w:rFonts w:cs="Times New Roman"/>
          <w:noProof/>
          <w:shd w:val="clear" w:color="auto" w:fill="FFFFFF"/>
        </w:rPr>
      </w:pPr>
      <w:r w:rsidRPr="00BC4EE7">
        <w:rPr>
          <w:rFonts w:cs="Times New Roman"/>
          <w:noProof/>
        </w:rPr>
        <w:t>50 kiválósági központból álló hálózat létrehozása, amely ösztönzi a szakképzésben a kutatást és az innovációt.</w:t>
      </w:r>
    </w:p>
    <w:p w14:paraId="1E7BB150" w14:textId="77777777" w:rsidR="00D65CB4" w:rsidRPr="00BC4EE7" w:rsidRDefault="00572307">
      <w:pPr>
        <w:pStyle w:val="P68B1DB1-Normal21"/>
        <w:spacing w:before="120" w:after="120" w:line="240" w:lineRule="auto"/>
        <w:jc w:val="both"/>
        <w:rPr>
          <w:rFonts w:cs="Times New Roman"/>
          <w:noProof/>
        </w:rPr>
      </w:pPr>
      <w:r w:rsidRPr="00BC4EE7">
        <w:rPr>
          <w:rFonts w:cs="Times New Roman"/>
          <w:noProof/>
        </w:rPr>
        <w:t>A technológiai és vállalkozói osztályokba történő beruházásoknak, valamint a kutatásra és innovációra összpontosító kiválósági központoknak fontos szerepet kell játszaniuk az üzleti szerkezet korszerűsítésében, a gazdaság átalakításának támogatásában és a versenyképesség javításában. Emellett úgy tűnik, hogy hozzájárulnak a stratégiai ágazatokban a vállalkozásalapítás fellendítéséhez, valamint a kkv-k méretének és termelékenységének növeléséhez.</w:t>
      </w:r>
    </w:p>
    <w:p w14:paraId="0A4E03C3" w14:textId="14E885CD" w:rsidR="00D65CB4" w:rsidRPr="00BC4EE7" w:rsidRDefault="00572307">
      <w:pPr>
        <w:pStyle w:val="P68B1DB1-Normal21"/>
        <w:spacing w:before="120" w:after="120" w:line="240" w:lineRule="auto"/>
        <w:jc w:val="both"/>
        <w:rPr>
          <w:rFonts w:cs="Times New Roman"/>
          <w:noProof/>
          <w:u w:val="single"/>
        </w:rPr>
      </w:pPr>
      <w:r w:rsidRPr="00BC4EE7">
        <w:rPr>
          <w:rFonts w:cs="Times New Roman"/>
          <w:noProof/>
        </w:rPr>
        <w:t>Az intézkedés végrehajtását 2025. december 31-ig be kell fejezni.</w:t>
      </w:r>
    </w:p>
    <w:p w14:paraId="6DF2FE11" w14:textId="77777777" w:rsidR="00D65CB4" w:rsidRPr="00BC4EE7" w:rsidRDefault="00572307">
      <w:pPr>
        <w:pStyle w:val="P68B1DB1-Normal22"/>
        <w:keepNext/>
        <w:spacing w:before="120" w:after="120" w:line="240" w:lineRule="auto"/>
        <w:jc w:val="both"/>
        <w:rPr>
          <w:rFonts w:cs="Times New Roman"/>
          <w:noProof/>
        </w:rPr>
      </w:pPr>
      <w:r w:rsidRPr="00BC4EE7">
        <w:rPr>
          <w:rFonts w:cs="Times New Roman"/>
          <w:noProof/>
        </w:rPr>
        <w:t>Beruházás (C20.I3): Innováció és a szakképzés nemzetközivé tétele</w:t>
      </w:r>
    </w:p>
    <w:p w14:paraId="1E09D527" w14:textId="77ADBA22" w:rsidR="00D65CB4" w:rsidRPr="00BC4EE7" w:rsidRDefault="00572307">
      <w:pPr>
        <w:pStyle w:val="P68B1DB1-Normal4"/>
        <w:keepNext/>
        <w:spacing w:before="120" w:after="120" w:line="240" w:lineRule="auto"/>
        <w:jc w:val="both"/>
        <w:rPr>
          <w:rFonts w:cs="Times New Roman"/>
          <w:noProof/>
        </w:rPr>
      </w:pPr>
      <w:r w:rsidRPr="00BC4EE7">
        <w:rPr>
          <w:rFonts w:cs="Times New Roman"/>
          <w:noProof/>
          <w:shd w:val="clear" w:color="auto" w:fill="FFFFFF"/>
        </w:rPr>
        <w:t>E beruházás célja a szakképzés általános kínálatának növelése azáltal, hogy a 2019/2020-as tanévhez képest legalább 8252 új szakképzési csoportot hoz létre</w:t>
      </w:r>
      <w:r w:rsidRPr="00BC4EE7">
        <w:rPr>
          <w:rFonts w:cs="Times New Roman"/>
          <w:noProof/>
        </w:rPr>
        <w:t>, helyreállítja a kínálatot a vállalkozások igényeivel, és hatékonyan reagál a szakképzési modernizációs tervben felvázolt ágazati igényekre és a regionális hiányosságokra. A hangsúly a középszintű képesítések iránti munkaerőpiaci kereslet kielégítésén van. A szakképzési kínálat növelését célzó finanszírozás területi elosztásának igényfelmérésen kell alapulnia, és az érintett érdekelt felekkel folytatott megbeszéléseken kell alapulnia annak biztosítása érdekében, hogy a kínálat hatékonyan reagáljon a regionális hiányosságokra és az ágazati igényekre. Erről várhatóan az autonóm régiókkal tartott oktatási ágazati konferenciák keretében születik majd megállapodás.</w:t>
      </w:r>
    </w:p>
    <w:p w14:paraId="7A43001F" w14:textId="039F689F" w:rsidR="00D65CB4" w:rsidRPr="00BC4EE7" w:rsidRDefault="00572307">
      <w:pPr>
        <w:pStyle w:val="P68B1DB1-Normal4"/>
        <w:spacing w:before="120" w:after="120" w:line="240" w:lineRule="auto"/>
        <w:jc w:val="both"/>
        <w:rPr>
          <w:rFonts w:cs="Times New Roman"/>
          <w:noProof/>
        </w:rPr>
      </w:pPr>
      <w:r w:rsidRPr="00BC4EE7">
        <w:rPr>
          <w:rFonts w:cs="Times New Roman"/>
          <w:noProof/>
        </w:rPr>
        <w:t>Az idegen nyelven folytatott kommunikációnak mint a szakmai teljesítmény kulcsfontosságú elemének az előmozdítása érdekében a szakképzés területén stratégiai célkitűzésként elő kell mozdítani a kétnyelvűséget. A hangsúly mind a tanári, mind a tanulói oktatáson van egy idegen nyelven a formatív ciklus részeként, 3 700 ciklus kétnyelvű állásajánlattá alakítása révén.</w:t>
      </w:r>
    </w:p>
    <w:p w14:paraId="7768A5FC" w14:textId="77777777" w:rsidR="00D65CB4" w:rsidRPr="00BC4EE7" w:rsidRDefault="00572307">
      <w:pPr>
        <w:pStyle w:val="P68B1DB1-Normal21"/>
        <w:spacing w:before="120" w:after="120" w:line="240" w:lineRule="auto"/>
        <w:jc w:val="both"/>
        <w:rPr>
          <w:rFonts w:cs="Times New Roman"/>
          <w:noProof/>
        </w:rPr>
      </w:pPr>
      <w:r w:rsidRPr="00BC4EE7">
        <w:rPr>
          <w:rFonts w:cs="Times New Roman"/>
          <w:noProof/>
        </w:rPr>
        <w:t>A beruházás célja továbbá innovációs és tudásátadási projektek kidolgozása a szakképzési központok és a vállalkozások között annak érdekében, hogy azok az új szakképzési modell kulcsfontosságú elemévé váljanak. A beruházás célja továbbá, hogy a közép- és magas szintű képzési ciklusokat kétnyelvű ciklusokká alakítsa át, válaszul a vállalkozások fokozódó nemzetközivé válására és a gazdaságok globalizációjára.</w:t>
      </w:r>
    </w:p>
    <w:p w14:paraId="04B4B727"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Spanyolországnak biztosítania kell, hogy az intézkedés a Helyreállítási és Rezilienciaépítési Eszköz lejárta után költségvetési szempontból fenntartható legyen, többek között más uniós finanszírozási forrásokra támaszkodva.</w:t>
      </w:r>
    </w:p>
    <w:p w14:paraId="23E2F75C" w14:textId="20092706" w:rsidR="00D65CB4" w:rsidRPr="00BC4EE7" w:rsidRDefault="00572307">
      <w:pPr>
        <w:pStyle w:val="P68B1DB1-Normal21"/>
        <w:spacing w:before="120" w:after="120" w:line="240" w:lineRule="auto"/>
        <w:jc w:val="both"/>
        <w:rPr>
          <w:rFonts w:cs="Times New Roman"/>
          <w:noProof/>
        </w:rPr>
      </w:pPr>
      <w:r w:rsidRPr="00BC4EE7">
        <w:rPr>
          <w:rFonts w:cs="Times New Roman"/>
          <w:noProof/>
        </w:rPr>
        <w:t>Az intézkedés végrehajtását 2025. december 31-ig be kell fejezni.</w:t>
      </w:r>
    </w:p>
    <w:p w14:paraId="553853FF" w14:textId="77777777" w:rsidR="00D65CB4" w:rsidRPr="00BC4EE7" w:rsidRDefault="00572307">
      <w:pPr>
        <w:spacing w:before="120" w:after="120" w:line="240" w:lineRule="auto"/>
        <w:ind w:left="709"/>
        <w:jc w:val="both"/>
        <w:rPr>
          <w:rFonts w:ascii="Times New Roman" w:hAnsi="Times New Roman" w:cs="Times New Roman"/>
          <w:b/>
          <w:noProof/>
          <w:sz w:val="24"/>
          <w:u w:val="single"/>
        </w:rPr>
      </w:pPr>
      <w:r w:rsidRPr="00BC4EE7">
        <w:rPr>
          <w:rFonts w:ascii="Times New Roman" w:hAnsi="Times New Roman" w:cs="Times New Roman"/>
          <w:b/>
          <w:noProof/>
          <w:sz w:val="24"/>
          <w:u w:val="single"/>
        </w:rPr>
        <w:t xml:space="preserve">T.2.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Vissza nem térítendő pénzügyi támogatás – a végrehajtáshoz és a nyomon követéshez kapcsolódó mérföldkövek, célok, mutatók és ütemterv</w:t>
      </w:r>
    </w:p>
    <w:p w14:paraId="7418992F" w14:textId="2B84E655" w:rsidR="00D65CB4" w:rsidRPr="00BC4EE7" w:rsidRDefault="00572307">
      <w:pPr>
        <w:pStyle w:val="P68B1DB1-Normal4"/>
        <w:spacing w:before="120" w:after="120" w:line="240" w:lineRule="auto"/>
        <w:jc w:val="both"/>
        <w:rPr>
          <w:rFonts w:cs="Times New Roman"/>
          <w:noProof/>
        </w:rPr>
        <w:sectPr w:rsidR="00D65CB4" w:rsidRPr="00BC4EE7" w:rsidSect="00B511EF">
          <w:headerReference w:type="even" r:id="rId406"/>
          <w:headerReference w:type="default" r:id="rId407"/>
          <w:footerReference w:type="even" r:id="rId408"/>
          <w:footerReference w:type="default" r:id="rId409"/>
          <w:headerReference w:type="first" r:id="rId410"/>
          <w:footerReference w:type="first" r:id="rId411"/>
          <w:pgSz w:w="11907" w:h="16839"/>
          <w:pgMar w:top="1134" w:right="1134" w:bottom="1134" w:left="1134" w:header="567" w:footer="567" w:gutter="0"/>
          <w:cols w:space="720"/>
          <w:docGrid w:linePitch="360"/>
        </w:sectPr>
      </w:pPr>
      <w:r w:rsidRPr="00BC4EE7">
        <w:rPr>
          <w:rFonts w:cs="Times New Roman"/>
          <w:i/>
          <w:noProof/>
        </w:rPr>
        <w:t>Táblázat alább.</w:t>
      </w:r>
      <w:r w:rsidRPr="00BC4EE7">
        <w:rPr>
          <w:rFonts w:cs="Times New Roman"/>
          <w:noProof/>
        </w:rPr>
        <w:t xml:space="preserve"> </w:t>
      </w:r>
      <w:r w:rsidRPr="00BC4EE7">
        <w:rPr>
          <w:rFonts w:cs="Times New Roman"/>
          <w:i/>
          <w:noProof/>
        </w:rPr>
        <w:t>Az összes mutató esetében az alapforgatókönyv időpontja 2020. február 1., kivéve, ha az intézkedés leírása ettől eltérően rendelkezik. A táblázatban szereplő összegek nem tartalmazzák a héát.</w:t>
      </w:r>
    </w:p>
    <w:p w14:paraId="7BFC5B75" w14:textId="77777777" w:rsidR="00D65CB4" w:rsidRPr="00BC4EE7" w:rsidRDefault="00D65CB4">
      <w:pPr>
        <w:spacing w:before="120" w:after="120" w:line="240" w:lineRule="auto"/>
        <w:jc w:val="both"/>
        <w:rPr>
          <w:rFonts w:ascii="Times New Roman" w:hAnsi="Times New Roman" w:cs="Times New Roman"/>
          <w:b/>
          <w:noProof/>
          <w:sz w:val="24"/>
          <w:u w:val="single"/>
        </w:rPr>
      </w:pPr>
    </w:p>
    <w:tbl>
      <w:tblPr>
        <w:tblW w:w="1531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42"/>
        <w:gridCol w:w="960"/>
        <w:gridCol w:w="1025"/>
        <w:gridCol w:w="2518"/>
        <w:gridCol w:w="1418"/>
        <w:gridCol w:w="811"/>
        <w:gridCol w:w="984"/>
        <w:gridCol w:w="1040"/>
        <w:gridCol w:w="365"/>
        <w:gridCol w:w="627"/>
        <w:gridCol w:w="4820"/>
      </w:tblGrid>
      <w:tr w:rsidR="00D65CB4" w:rsidRPr="00BC4EE7" w14:paraId="03A88FCA" w14:textId="77777777" w:rsidTr="00862B13">
        <w:trPr>
          <w:trHeight w:val="309"/>
          <w:tblHeader/>
        </w:trPr>
        <w:tc>
          <w:tcPr>
            <w:tcW w:w="742" w:type="dxa"/>
            <w:vMerge w:val="restart"/>
            <w:shd w:val="clear" w:color="auto" w:fill="C6D9F1" w:themeFill="text2" w:themeFillTint="33"/>
            <w:noWrap/>
            <w:vAlign w:val="center"/>
          </w:tcPr>
          <w:p w14:paraId="7D977EB8" w14:textId="61433C83" w:rsidR="00D65CB4" w:rsidRPr="00BC4EE7" w:rsidRDefault="00572307">
            <w:pPr>
              <w:pStyle w:val="P68B1DB1-Normal8"/>
              <w:spacing w:after="0" w:line="240" w:lineRule="auto"/>
              <w:jc w:val="center"/>
              <w:rPr>
                <w:rFonts w:cs="Times New Roman"/>
                <w:noProof/>
              </w:rPr>
            </w:pPr>
            <w:r w:rsidRPr="00BC4EE7">
              <w:rPr>
                <w:rFonts w:cs="Times New Roman"/>
                <w:noProof/>
              </w:rPr>
              <w:t>Szám</w:t>
            </w:r>
          </w:p>
        </w:tc>
        <w:tc>
          <w:tcPr>
            <w:tcW w:w="960" w:type="dxa"/>
            <w:vMerge w:val="restart"/>
            <w:shd w:val="clear" w:color="auto" w:fill="C6D9F1" w:themeFill="text2" w:themeFillTint="33"/>
            <w:noWrap/>
            <w:vAlign w:val="center"/>
          </w:tcPr>
          <w:p w14:paraId="37E54185"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Intézkedés</w:t>
            </w:r>
          </w:p>
        </w:tc>
        <w:tc>
          <w:tcPr>
            <w:tcW w:w="1025" w:type="dxa"/>
            <w:vMerge w:val="restart"/>
            <w:shd w:val="clear" w:color="auto" w:fill="C6D9F1" w:themeFill="text2" w:themeFillTint="33"/>
            <w:noWrap/>
            <w:vAlign w:val="center"/>
          </w:tcPr>
          <w:p w14:paraId="710F5BB6" w14:textId="77777777" w:rsidR="00D65CB4" w:rsidRPr="00BC4EE7" w:rsidRDefault="00572307">
            <w:pPr>
              <w:spacing w:after="0" w:line="240" w:lineRule="auto"/>
              <w:jc w:val="center"/>
              <w:rPr>
                <w:rFonts w:ascii="Times New Roman" w:hAnsi="Times New Roman" w:cs="Times New Roman"/>
                <w:b/>
                <w:noProof/>
                <w:sz w:val="18"/>
              </w:rPr>
            </w:pPr>
            <w:r w:rsidRPr="00BC4EE7">
              <w:rPr>
                <w:rFonts w:ascii="Times New Roman" w:hAnsi="Times New Roman" w:cs="Times New Roman"/>
                <w:b/>
                <w:noProof/>
                <w:sz w:val="18"/>
              </w:rPr>
              <w:t>Mérföldkő</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b/>
                <w:noProof/>
                <w:sz w:val="18"/>
              </w:rPr>
              <w:t xml:space="preserve"> /Cél</w:t>
            </w:r>
          </w:p>
        </w:tc>
        <w:tc>
          <w:tcPr>
            <w:tcW w:w="2518" w:type="dxa"/>
            <w:vMerge w:val="restart"/>
            <w:shd w:val="clear" w:color="auto" w:fill="C6D9F1" w:themeFill="text2" w:themeFillTint="33"/>
            <w:noWrap/>
            <w:vAlign w:val="center"/>
          </w:tcPr>
          <w:p w14:paraId="753E517F"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Név</w:t>
            </w:r>
          </w:p>
        </w:tc>
        <w:tc>
          <w:tcPr>
            <w:tcW w:w="1418" w:type="dxa"/>
            <w:vMerge w:val="restart"/>
            <w:shd w:val="clear" w:color="auto" w:fill="C6D9F1" w:themeFill="text2" w:themeFillTint="33"/>
            <w:noWrap/>
            <w:vAlign w:val="center"/>
          </w:tcPr>
          <w:p w14:paraId="72C9630E"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mérföldkövek minőségi mutatója</w:t>
            </w:r>
          </w:p>
        </w:tc>
        <w:tc>
          <w:tcPr>
            <w:tcW w:w="2835" w:type="dxa"/>
            <w:gridSpan w:val="3"/>
            <w:shd w:val="clear" w:color="auto" w:fill="C6D9F1" w:themeFill="text2" w:themeFillTint="33"/>
            <w:noWrap/>
            <w:vAlign w:val="center"/>
          </w:tcPr>
          <w:p w14:paraId="32E9FBE9"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célérték mennyiségi mutatója</w:t>
            </w:r>
          </w:p>
        </w:tc>
        <w:tc>
          <w:tcPr>
            <w:tcW w:w="992" w:type="dxa"/>
            <w:gridSpan w:val="2"/>
            <w:shd w:val="clear" w:color="auto" w:fill="C6D9F1" w:themeFill="text2" w:themeFillTint="33"/>
            <w:noWrap/>
            <w:vAlign w:val="center"/>
          </w:tcPr>
          <w:p w14:paraId="5571DBCE"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Idő</w:t>
            </w:r>
          </w:p>
        </w:tc>
        <w:tc>
          <w:tcPr>
            <w:tcW w:w="4820" w:type="dxa"/>
            <w:vMerge w:val="restart"/>
            <w:shd w:val="clear" w:color="auto" w:fill="C6D9F1" w:themeFill="text2" w:themeFillTint="33"/>
            <w:noWrap/>
            <w:vAlign w:val="center"/>
          </w:tcPr>
          <w:p w14:paraId="0C0A5697"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Az egyes mérföldkövek és célértékek leírása</w:t>
            </w:r>
          </w:p>
        </w:tc>
      </w:tr>
      <w:tr w:rsidR="00D65CB4" w:rsidRPr="00BC4EE7" w14:paraId="119E1114" w14:textId="77777777" w:rsidTr="00862B13">
        <w:trPr>
          <w:trHeight w:val="587"/>
          <w:tblHeader/>
        </w:trPr>
        <w:tc>
          <w:tcPr>
            <w:tcW w:w="742" w:type="dxa"/>
            <w:vMerge/>
            <w:noWrap/>
          </w:tcPr>
          <w:p w14:paraId="74A0DCF2" w14:textId="77777777" w:rsidR="00D65CB4" w:rsidRPr="00BC4EE7" w:rsidRDefault="00D65CB4">
            <w:pPr>
              <w:spacing w:after="0" w:line="240" w:lineRule="auto"/>
              <w:jc w:val="center"/>
              <w:rPr>
                <w:rFonts w:ascii="Times New Roman" w:hAnsi="Times New Roman" w:cs="Times New Roman"/>
                <w:b/>
                <w:noProof/>
                <w:sz w:val="18"/>
              </w:rPr>
            </w:pPr>
          </w:p>
        </w:tc>
        <w:tc>
          <w:tcPr>
            <w:tcW w:w="960" w:type="dxa"/>
            <w:vMerge/>
            <w:noWrap/>
          </w:tcPr>
          <w:p w14:paraId="5A492254" w14:textId="77777777" w:rsidR="00D65CB4" w:rsidRPr="00BC4EE7" w:rsidRDefault="00D65CB4">
            <w:pPr>
              <w:spacing w:after="0" w:line="240" w:lineRule="auto"/>
              <w:jc w:val="center"/>
              <w:rPr>
                <w:rFonts w:ascii="Times New Roman" w:hAnsi="Times New Roman" w:cs="Times New Roman"/>
                <w:b/>
                <w:noProof/>
                <w:sz w:val="18"/>
              </w:rPr>
            </w:pPr>
          </w:p>
        </w:tc>
        <w:tc>
          <w:tcPr>
            <w:tcW w:w="1025" w:type="dxa"/>
            <w:vMerge/>
            <w:noWrap/>
          </w:tcPr>
          <w:p w14:paraId="42B6D871" w14:textId="77777777" w:rsidR="00D65CB4" w:rsidRPr="00BC4EE7" w:rsidRDefault="00D65CB4">
            <w:pPr>
              <w:spacing w:after="0" w:line="240" w:lineRule="auto"/>
              <w:jc w:val="center"/>
              <w:rPr>
                <w:rFonts w:ascii="Times New Roman" w:hAnsi="Times New Roman" w:cs="Times New Roman"/>
                <w:b/>
                <w:noProof/>
                <w:sz w:val="18"/>
              </w:rPr>
            </w:pPr>
          </w:p>
        </w:tc>
        <w:tc>
          <w:tcPr>
            <w:tcW w:w="2518" w:type="dxa"/>
            <w:vMerge/>
            <w:noWrap/>
          </w:tcPr>
          <w:p w14:paraId="7B9A3E6A" w14:textId="77777777" w:rsidR="00D65CB4" w:rsidRPr="00BC4EE7" w:rsidRDefault="00D65CB4">
            <w:pPr>
              <w:spacing w:after="0" w:line="240" w:lineRule="auto"/>
              <w:rPr>
                <w:rFonts w:ascii="Times New Roman" w:hAnsi="Times New Roman" w:cs="Times New Roman"/>
                <w:b/>
                <w:noProof/>
                <w:sz w:val="18"/>
              </w:rPr>
            </w:pPr>
          </w:p>
        </w:tc>
        <w:tc>
          <w:tcPr>
            <w:tcW w:w="1418" w:type="dxa"/>
            <w:vMerge/>
            <w:noWrap/>
          </w:tcPr>
          <w:p w14:paraId="675960C4" w14:textId="77777777" w:rsidR="00D65CB4" w:rsidRPr="00BC4EE7" w:rsidRDefault="00D65CB4">
            <w:pPr>
              <w:spacing w:after="0" w:line="240" w:lineRule="auto"/>
              <w:jc w:val="center"/>
              <w:rPr>
                <w:rFonts w:ascii="Times New Roman" w:hAnsi="Times New Roman" w:cs="Times New Roman"/>
                <w:b/>
                <w:noProof/>
                <w:sz w:val="18"/>
              </w:rPr>
            </w:pPr>
          </w:p>
        </w:tc>
        <w:tc>
          <w:tcPr>
            <w:tcW w:w="811" w:type="dxa"/>
            <w:shd w:val="clear" w:color="auto" w:fill="C6D9F1" w:themeFill="text2" w:themeFillTint="33"/>
            <w:noWrap/>
          </w:tcPr>
          <w:p w14:paraId="6AE22D92"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Egység</w:t>
            </w:r>
          </w:p>
        </w:tc>
        <w:tc>
          <w:tcPr>
            <w:tcW w:w="984" w:type="dxa"/>
            <w:shd w:val="clear" w:color="auto" w:fill="C6D9F1" w:themeFill="text2" w:themeFillTint="33"/>
            <w:noWrap/>
          </w:tcPr>
          <w:p w14:paraId="01FB293D"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Kiindulási</w:t>
            </w:r>
          </w:p>
        </w:tc>
        <w:tc>
          <w:tcPr>
            <w:tcW w:w="1040" w:type="dxa"/>
            <w:shd w:val="clear" w:color="auto" w:fill="C6D9F1" w:themeFill="text2" w:themeFillTint="33"/>
            <w:noWrap/>
          </w:tcPr>
          <w:p w14:paraId="1B69AB8E"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Cél</w:t>
            </w:r>
          </w:p>
        </w:tc>
        <w:tc>
          <w:tcPr>
            <w:tcW w:w="365" w:type="dxa"/>
            <w:shd w:val="clear" w:color="auto" w:fill="C6D9F1" w:themeFill="text2" w:themeFillTint="33"/>
            <w:noWrap/>
          </w:tcPr>
          <w:p w14:paraId="3FE72860"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Q</w:t>
            </w:r>
          </w:p>
        </w:tc>
        <w:tc>
          <w:tcPr>
            <w:tcW w:w="627" w:type="dxa"/>
            <w:shd w:val="clear" w:color="auto" w:fill="C6D9F1" w:themeFill="text2" w:themeFillTint="33"/>
            <w:noWrap/>
          </w:tcPr>
          <w:p w14:paraId="2204C7CA"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Éve</w:t>
            </w:r>
          </w:p>
        </w:tc>
        <w:tc>
          <w:tcPr>
            <w:tcW w:w="4820" w:type="dxa"/>
            <w:vMerge/>
            <w:noWrap/>
          </w:tcPr>
          <w:p w14:paraId="2C714CDA" w14:textId="77777777" w:rsidR="00D65CB4" w:rsidRPr="00BC4EE7" w:rsidRDefault="00D65CB4">
            <w:pPr>
              <w:spacing w:after="0" w:line="240" w:lineRule="auto"/>
              <w:rPr>
                <w:rFonts w:ascii="Times New Roman" w:hAnsi="Times New Roman" w:cs="Times New Roman"/>
                <w:b/>
                <w:noProof/>
                <w:sz w:val="18"/>
              </w:rPr>
            </w:pPr>
          </w:p>
        </w:tc>
      </w:tr>
      <w:tr w:rsidR="00D65CB4" w:rsidRPr="00BC4EE7" w14:paraId="5F1EAB79" w14:textId="77777777" w:rsidTr="00862B13">
        <w:trPr>
          <w:trHeight w:val="309"/>
        </w:trPr>
        <w:tc>
          <w:tcPr>
            <w:tcW w:w="742" w:type="dxa"/>
            <w:shd w:val="clear" w:color="auto" w:fill="C6EFCE"/>
            <w:noWrap/>
          </w:tcPr>
          <w:p w14:paraId="7801E37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295</w:t>
            </w:r>
          </w:p>
        </w:tc>
        <w:tc>
          <w:tcPr>
            <w:tcW w:w="960" w:type="dxa"/>
            <w:shd w:val="clear" w:color="auto" w:fill="C6EFCE"/>
            <w:noWrap/>
          </w:tcPr>
          <w:p w14:paraId="7B81073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C20.R1</w:t>
            </w:r>
          </w:p>
        </w:tc>
        <w:tc>
          <w:tcPr>
            <w:tcW w:w="1025" w:type="dxa"/>
            <w:shd w:val="clear" w:color="auto" w:fill="C6EFCE"/>
            <w:noWrap/>
          </w:tcPr>
          <w:p w14:paraId="1FFF2D9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2518" w:type="dxa"/>
            <w:shd w:val="clear" w:color="auto" w:fill="C6EFCE"/>
            <w:noWrap/>
          </w:tcPr>
          <w:p w14:paraId="1B84B487"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szakképzés korszerűsítésére vonatkozó terv és a kapcsolódó királyi törvényerejű rendeletek</w:t>
            </w:r>
          </w:p>
        </w:tc>
        <w:tc>
          <w:tcPr>
            <w:tcW w:w="1418" w:type="dxa"/>
            <w:shd w:val="clear" w:color="auto" w:fill="C6EFCE"/>
            <w:noWrap/>
          </w:tcPr>
          <w:p w14:paraId="4D0E5B2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Közzététel a MEFP honlapján és a miniszterelnök előadása </w:t>
            </w:r>
          </w:p>
        </w:tc>
        <w:tc>
          <w:tcPr>
            <w:tcW w:w="811" w:type="dxa"/>
            <w:shd w:val="clear" w:color="auto" w:fill="C6EFCE"/>
            <w:noWrap/>
          </w:tcPr>
          <w:p w14:paraId="3ACB1B1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84" w:type="dxa"/>
            <w:shd w:val="clear" w:color="auto" w:fill="C6EFCE"/>
            <w:noWrap/>
          </w:tcPr>
          <w:p w14:paraId="1CDC19BA"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1040" w:type="dxa"/>
            <w:shd w:val="clear" w:color="auto" w:fill="C6EFCE"/>
            <w:noWrap/>
          </w:tcPr>
          <w:p w14:paraId="42D3C784"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365" w:type="dxa"/>
            <w:shd w:val="clear" w:color="auto" w:fill="C6EFCE"/>
            <w:noWrap/>
          </w:tcPr>
          <w:p w14:paraId="5199EFB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627" w:type="dxa"/>
            <w:shd w:val="clear" w:color="auto" w:fill="C6EFCE"/>
            <w:noWrap/>
          </w:tcPr>
          <w:p w14:paraId="198E146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2020</w:t>
            </w:r>
          </w:p>
        </w:tc>
        <w:tc>
          <w:tcPr>
            <w:tcW w:w="4820" w:type="dxa"/>
            <w:shd w:val="clear" w:color="auto" w:fill="C6EFCE"/>
            <w:noWrap/>
          </w:tcPr>
          <w:p w14:paraId="7AB078FE"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miniszterelnök ismerteti a szakképzés korszerűsítésére vonatkozó tervet, és a terv végrehajtásáról szóló 8 királyi törvényerejű rendelet közzététele a Hivatalos Lapban, amelyek 5 szakirányú, 2 középiskolai és 1 magasabb szintű tantervnek felelnek meg</w:t>
            </w:r>
          </w:p>
        </w:tc>
      </w:tr>
      <w:tr w:rsidR="00D65CB4" w:rsidRPr="00BC4EE7" w14:paraId="7F18E1AA" w14:textId="77777777" w:rsidTr="00862B13">
        <w:trPr>
          <w:trHeight w:val="309"/>
        </w:trPr>
        <w:tc>
          <w:tcPr>
            <w:tcW w:w="742" w:type="dxa"/>
            <w:shd w:val="clear" w:color="auto" w:fill="C6EFCE"/>
            <w:noWrap/>
          </w:tcPr>
          <w:p w14:paraId="36A51CE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296</w:t>
            </w:r>
          </w:p>
        </w:tc>
        <w:tc>
          <w:tcPr>
            <w:tcW w:w="960" w:type="dxa"/>
            <w:shd w:val="clear" w:color="auto" w:fill="C6EFCE"/>
            <w:noWrap/>
          </w:tcPr>
          <w:p w14:paraId="7752522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C20.R2</w:t>
            </w:r>
          </w:p>
        </w:tc>
        <w:tc>
          <w:tcPr>
            <w:tcW w:w="1025" w:type="dxa"/>
            <w:shd w:val="clear" w:color="auto" w:fill="C6EFCE"/>
            <w:noWrap/>
          </w:tcPr>
          <w:p w14:paraId="2C26C7F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2518" w:type="dxa"/>
            <w:shd w:val="clear" w:color="auto" w:fill="C6EFCE"/>
            <w:noWrap/>
          </w:tcPr>
          <w:p w14:paraId="66D2E756"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Az egységes integrált szakképzési rendszerről szóló törvény hatálybalépése a rendszer korszerűsítésének céljával</w:t>
            </w:r>
          </w:p>
        </w:tc>
        <w:tc>
          <w:tcPr>
            <w:tcW w:w="1418" w:type="dxa"/>
            <w:shd w:val="clear" w:color="auto" w:fill="C6EFCE"/>
            <w:noWrap/>
          </w:tcPr>
          <w:p w14:paraId="4401B17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Közzététel a Hivatalos Lapban</w:t>
            </w:r>
          </w:p>
        </w:tc>
        <w:tc>
          <w:tcPr>
            <w:tcW w:w="811" w:type="dxa"/>
            <w:shd w:val="clear" w:color="auto" w:fill="C6EFCE"/>
            <w:noWrap/>
          </w:tcPr>
          <w:p w14:paraId="10014F2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84" w:type="dxa"/>
            <w:shd w:val="clear" w:color="auto" w:fill="C6EFCE"/>
            <w:noWrap/>
          </w:tcPr>
          <w:p w14:paraId="1D45BAB3"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1040" w:type="dxa"/>
            <w:shd w:val="clear" w:color="auto" w:fill="C6EFCE"/>
            <w:noWrap/>
          </w:tcPr>
          <w:p w14:paraId="1718155C"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365" w:type="dxa"/>
            <w:shd w:val="clear" w:color="auto" w:fill="C6EFCE"/>
            <w:noWrap/>
          </w:tcPr>
          <w:p w14:paraId="11F823F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Q2</w:t>
            </w:r>
          </w:p>
        </w:tc>
        <w:tc>
          <w:tcPr>
            <w:tcW w:w="627" w:type="dxa"/>
            <w:shd w:val="clear" w:color="auto" w:fill="C6EFCE"/>
            <w:noWrap/>
          </w:tcPr>
          <w:p w14:paraId="7788A7C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2022</w:t>
            </w:r>
          </w:p>
        </w:tc>
        <w:tc>
          <w:tcPr>
            <w:tcW w:w="4820" w:type="dxa"/>
            <w:shd w:val="clear" w:color="auto" w:fill="C6EFCE"/>
            <w:noWrap/>
          </w:tcPr>
          <w:p w14:paraId="5098559A"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Az egységes integrált szakképzési rendszerről szóló törvény hatálybalépése a rendszer korszerűsítésének céljával. A törvény egységesíti és korszerűsíti a két korábbi szakképzési rendszert a következők révén: az alacsony képzettségűek továbbképzésére való összpontosítás és foglalkoztathatóságuk javítása; a strukturális munkaerőhiány kezelése; a szakmai képesítések nemzeti katalógusának aktualizálása, hozzáigazítva azt a gazdaság jövőbeli igényeihez, beleértve a zöld és digitális átállás támogatását; a magasabb szintű szakképzési programok vonzerejének növelése a beiratkozás javítása érdekében.</w:t>
            </w:r>
          </w:p>
        </w:tc>
      </w:tr>
      <w:tr w:rsidR="00D65CB4" w:rsidRPr="00BC4EE7" w14:paraId="45000D6A" w14:textId="77777777" w:rsidTr="00862B13">
        <w:trPr>
          <w:trHeight w:val="309"/>
        </w:trPr>
        <w:tc>
          <w:tcPr>
            <w:tcW w:w="742" w:type="dxa"/>
            <w:shd w:val="clear" w:color="auto" w:fill="C6EFCE"/>
            <w:noWrap/>
          </w:tcPr>
          <w:p w14:paraId="7896261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297</w:t>
            </w:r>
          </w:p>
        </w:tc>
        <w:tc>
          <w:tcPr>
            <w:tcW w:w="960" w:type="dxa"/>
            <w:shd w:val="clear" w:color="auto" w:fill="C6EFCE"/>
            <w:noWrap/>
          </w:tcPr>
          <w:p w14:paraId="33408A4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C20.I1</w:t>
            </w:r>
          </w:p>
        </w:tc>
        <w:tc>
          <w:tcPr>
            <w:tcW w:w="1025" w:type="dxa"/>
            <w:shd w:val="clear" w:color="auto" w:fill="C6EFCE"/>
            <w:noWrap/>
          </w:tcPr>
          <w:p w14:paraId="4E06007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2518" w:type="dxa"/>
            <w:shd w:val="clear" w:color="auto" w:fill="C6EFCE"/>
            <w:noWrap/>
          </w:tcPr>
          <w:p w14:paraId="574BB46F"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 szakmai képesítések nemzeti katalógusának új kompetenciaegységei </w:t>
            </w:r>
          </w:p>
        </w:tc>
        <w:tc>
          <w:tcPr>
            <w:tcW w:w="1418" w:type="dxa"/>
            <w:shd w:val="clear" w:color="auto" w:fill="C6EFCE"/>
            <w:noWrap/>
          </w:tcPr>
          <w:p w14:paraId="0E55E7C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811" w:type="dxa"/>
            <w:shd w:val="clear" w:color="auto" w:fill="C6EFCE"/>
            <w:noWrap/>
          </w:tcPr>
          <w:p w14:paraId="10AAAFB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Szám</w:t>
            </w:r>
          </w:p>
        </w:tc>
        <w:tc>
          <w:tcPr>
            <w:tcW w:w="984" w:type="dxa"/>
            <w:shd w:val="clear" w:color="auto" w:fill="C6EFCE"/>
            <w:noWrap/>
          </w:tcPr>
          <w:p w14:paraId="7F24C0B2"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0</w:t>
            </w:r>
          </w:p>
        </w:tc>
        <w:tc>
          <w:tcPr>
            <w:tcW w:w="1040" w:type="dxa"/>
            <w:shd w:val="clear" w:color="auto" w:fill="C6EFCE"/>
            <w:noWrap/>
          </w:tcPr>
          <w:p w14:paraId="4001611A" w14:textId="1A2AE673"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2 000 000</w:t>
            </w:r>
          </w:p>
        </w:tc>
        <w:tc>
          <w:tcPr>
            <w:tcW w:w="365" w:type="dxa"/>
            <w:shd w:val="clear" w:color="auto" w:fill="C6EFCE"/>
            <w:noWrap/>
          </w:tcPr>
          <w:p w14:paraId="0FF706C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627" w:type="dxa"/>
            <w:shd w:val="clear" w:color="auto" w:fill="C6EFCE"/>
            <w:noWrap/>
          </w:tcPr>
          <w:p w14:paraId="12CBBC17" w14:textId="7AD79860"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2025</w:t>
            </w:r>
          </w:p>
        </w:tc>
        <w:tc>
          <w:tcPr>
            <w:tcW w:w="4820" w:type="dxa"/>
            <w:shd w:val="clear" w:color="auto" w:fill="C6EFCE"/>
            <w:noWrap/>
          </w:tcPr>
          <w:p w14:paraId="2CFB6FE2" w14:textId="52FCA4F8" w:rsidR="00D65CB4" w:rsidRPr="00BC4EE7" w:rsidRDefault="00572307">
            <w:pPr>
              <w:pStyle w:val="P68B1DB1-Normal12"/>
              <w:spacing w:after="0" w:line="240" w:lineRule="auto"/>
              <w:rPr>
                <w:rFonts w:eastAsia="Times New Roman" w:cs="Times New Roman"/>
                <w:noProof/>
              </w:rPr>
            </w:pPr>
            <w:r w:rsidRPr="00BC4EE7">
              <w:rPr>
                <w:rFonts w:cs="Times New Roman"/>
                <w:noProof/>
              </w:rPr>
              <w:t>A szakmai képesítések nemzeti katalógusa 2000000 kompetenciaegységének nyilvántartásba vétele (beiratkozása), értékelése és akkreditációja munkatapasztalatok és nem formális képzési útvonalak révén.</w:t>
            </w:r>
          </w:p>
        </w:tc>
      </w:tr>
      <w:tr w:rsidR="00D65CB4" w:rsidRPr="00BC4EE7" w14:paraId="314FAA92" w14:textId="77777777" w:rsidTr="00862B13">
        <w:trPr>
          <w:trHeight w:val="309"/>
        </w:trPr>
        <w:tc>
          <w:tcPr>
            <w:tcW w:w="742" w:type="dxa"/>
            <w:shd w:val="clear" w:color="auto" w:fill="C6EFCE"/>
            <w:noWrap/>
          </w:tcPr>
          <w:p w14:paraId="2E0F6CF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298</w:t>
            </w:r>
          </w:p>
        </w:tc>
        <w:tc>
          <w:tcPr>
            <w:tcW w:w="960" w:type="dxa"/>
            <w:shd w:val="clear" w:color="auto" w:fill="C6EFCE"/>
            <w:noWrap/>
          </w:tcPr>
          <w:p w14:paraId="20D3B77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C20.I1</w:t>
            </w:r>
          </w:p>
        </w:tc>
        <w:tc>
          <w:tcPr>
            <w:tcW w:w="1025" w:type="dxa"/>
            <w:shd w:val="clear" w:color="auto" w:fill="C6EFCE"/>
            <w:noWrap/>
          </w:tcPr>
          <w:p w14:paraId="753310F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2518" w:type="dxa"/>
            <w:shd w:val="clear" w:color="auto" w:fill="C6EFCE"/>
            <w:noWrap/>
          </w:tcPr>
          <w:p w14:paraId="431FF7A1"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Munkavállalók és munkanélküliek továbbképzésére és átképzésére irányuló moduláris képzések </w:t>
            </w:r>
          </w:p>
        </w:tc>
        <w:tc>
          <w:tcPr>
            <w:tcW w:w="1418" w:type="dxa"/>
            <w:shd w:val="clear" w:color="auto" w:fill="C6EFCE"/>
            <w:noWrap/>
          </w:tcPr>
          <w:p w14:paraId="3C6BB20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811" w:type="dxa"/>
            <w:shd w:val="clear" w:color="auto" w:fill="C6EFCE"/>
            <w:noWrap/>
          </w:tcPr>
          <w:p w14:paraId="0A99AEE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Szám</w:t>
            </w:r>
          </w:p>
        </w:tc>
        <w:tc>
          <w:tcPr>
            <w:tcW w:w="984" w:type="dxa"/>
            <w:shd w:val="clear" w:color="auto" w:fill="C6EFCE"/>
            <w:noWrap/>
          </w:tcPr>
          <w:p w14:paraId="44D6BCA3"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0</w:t>
            </w:r>
          </w:p>
        </w:tc>
        <w:tc>
          <w:tcPr>
            <w:tcW w:w="1040" w:type="dxa"/>
            <w:shd w:val="clear" w:color="auto" w:fill="C6EFCE"/>
            <w:noWrap/>
          </w:tcPr>
          <w:p w14:paraId="7D0F9D5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1 000 000</w:t>
            </w:r>
          </w:p>
        </w:tc>
        <w:tc>
          <w:tcPr>
            <w:tcW w:w="365" w:type="dxa"/>
            <w:shd w:val="clear" w:color="auto" w:fill="C6EFCE"/>
            <w:noWrap/>
          </w:tcPr>
          <w:p w14:paraId="5B13200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627" w:type="dxa"/>
            <w:shd w:val="clear" w:color="auto" w:fill="C6EFCE"/>
            <w:noWrap/>
          </w:tcPr>
          <w:p w14:paraId="07C103F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2024</w:t>
            </w:r>
          </w:p>
        </w:tc>
        <w:tc>
          <w:tcPr>
            <w:tcW w:w="4820" w:type="dxa"/>
            <w:shd w:val="clear" w:color="auto" w:fill="C6EFCE"/>
            <w:noWrap/>
          </w:tcPr>
          <w:p w14:paraId="12C1D687"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Moduláris digitális továbbképzés és átképzés (amelyből legalább 300000 munkavállaló részesült képzésben), valamint a munkavállalók és munkanélküliek átképzését és továbbképzését célzó moduláris képzés (legalább 700000 képzésben részesült).</w:t>
            </w:r>
          </w:p>
        </w:tc>
      </w:tr>
      <w:tr w:rsidR="00D65CB4" w:rsidRPr="00BC4EE7" w14:paraId="58765A23" w14:textId="77777777" w:rsidTr="00862B13">
        <w:trPr>
          <w:trHeight w:val="309"/>
        </w:trPr>
        <w:tc>
          <w:tcPr>
            <w:tcW w:w="742" w:type="dxa"/>
            <w:shd w:val="clear" w:color="auto" w:fill="C6EFCE"/>
            <w:noWrap/>
          </w:tcPr>
          <w:p w14:paraId="584F7F5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299</w:t>
            </w:r>
          </w:p>
        </w:tc>
        <w:tc>
          <w:tcPr>
            <w:tcW w:w="960" w:type="dxa"/>
            <w:shd w:val="clear" w:color="auto" w:fill="C6EFCE"/>
            <w:noWrap/>
          </w:tcPr>
          <w:p w14:paraId="7CD57124"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C20.I2</w:t>
            </w:r>
          </w:p>
        </w:tc>
        <w:tc>
          <w:tcPr>
            <w:tcW w:w="1025" w:type="dxa"/>
            <w:shd w:val="clear" w:color="auto" w:fill="C6EFCE"/>
            <w:noWrap/>
          </w:tcPr>
          <w:p w14:paraId="23625CE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2518" w:type="dxa"/>
            <w:shd w:val="clear" w:color="auto" w:fill="C6EFCE"/>
            <w:noWrap/>
          </w:tcPr>
          <w:p w14:paraId="0F93CAD7"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Szakképzési kiválósági és innovációs központok</w:t>
            </w:r>
          </w:p>
        </w:tc>
        <w:tc>
          <w:tcPr>
            <w:tcW w:w="1418" w:type="dxa"/>
            <w:shd w:val="clear" w:color="auto" w:fill="C6EFCE"/>
            <w:noWrap/>
          </w:tcPr>
          <w:p w14:paraId="33D94C4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811" w:type="dxa"/>
            <w:shd w:val="clear" w:color="auto" w:fill="C6EFCE"/>
            <w:noWrap/>
          </w:tcPr>
          <w:p w14:paraId="3251410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Szám</w:t>
            </w:r>
          </w:p>
        </w:tc>
        <w:tc>
          <w:tcPr>
            <w:tcW w:w="984" w:type="dxa"/>
            <w:shd w:val="clear" w:color="auto" w:fill="C6EFCE"/>
            <w:noWrap/>
          </w:tcPr>
          <w:p w14:paraId="72376FB8"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0</w:t>
            </w:r>
          </w:p>
        </w:tc>
        <w:tc>
          <w:tcPr>
            <w:tcW w:w="1040" w:type="dxa"/>
            <w:shd w:val="clear" w:color="auto" w:fill="C6EFCE"/>
            <w:noWrap/>
          </w:tcPr>
          <w:p w14:paraId="53C5D41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50</w:t>
            </w:r>
          </w:p>
        </w:tc>
        <w:tc>
          <w:tcPr>
            <w:tcW w:w="365" w:type="dxa"/>
            <w:shd w:val="clear" w:color="auto" w:fill="C6EFCE"/>
            <w:noWrap/>
          </w:tcPr>
          <w:p w14:paraId="67654B24"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627" w:type="dxa"/>
            <w:shd w:val="clear" w:color="auto" w:fill="C6EFCE"/>
            <w:noWrap/>
          </w:tcPr>
          <w:p w14:paraId="3400A269" w14:textId="34C41AD4"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2024</w:t>
            </w:r>
          </w:p>
        </w:tc>
        <w:tc>
          <w:tcPr>
            <w:tcW w:w="4820" w:type="dxa"/>
            <w:shd w:val="clear" w:color="auto" w:fill="C6EFCE"/>
            <w:noWrap/>
          </w:tcPr>
          <w:p w14:paraId="17635310"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Legalább 50 kiválósági és innovációs központ létrehozása a szakképzésben</w:t>
            </w:r>
          </w:p>
        </w:tc>
      </w:tr>
      <w:tr w:rsidR="00D65CB4" w:rsidRPr="00BC4EE7" w14:paraId="73E94D32" w14:textId="77777777" w:rsidTr="00862B13">
        <w:trPr>
          <w:trHeight w:val="309"/>
        </w:trPr>
        <w:tc>
          <w:tcPr>
            <w:tcW w:w="742" w:type="dxa"/>
            <w:shd w:val="clear" w:color="auto" w:fill="C6EFCE"/>
            <w:noWrap/>
          </w:tcPr>
          <w:p w14:paraId="4B74BC9C" w14:textId="1FB87736" w:rsidR="00D65CB4" w:rsidRPr="00BC4EE7" w:rsidRDefault="00572307">
            <w:pPr>
              <w:pStyle w:val="P68B1DB1-Normal12"/>
              <w:spacing w:after="0" w:line="240" w:lineRule="auto"/>
              <w:jc w:val="center"/>
              <w:rPr>
                <w:rFonts w:cs="Times New Roman"/>
                <w:noProof/>
              </w:rPr>
            </w:pPr>
            <w:r w:rsidRPr="00BC4EE7">
              <w:rPr>
                <w:rFonts w:cs="Times New Roman"/>
                <w:noProof/>
              </w:rPr>
              <w:t>467</w:t>
            </w:r>
          </w:p>
        </w:tc>
        <w:tc>
          <w:tcPr>
            <w:tcW w:w="960" w:type="dxa"/>
            <w:shd w:val="clear" w:color="auto" w:fill="C6EFCE"/>
            <w:noWrap/>
          </w:tcPr>
          <w:p w14:paraId="58748948" w14:textId="02C227AA" w:rsidR="00D65CB4" w:rsidRPr="00BC4EE7" w:rsidRDefault="00572307">
            <w:pPr>
              <w:pStyle w:val="P68B1DB1-Normal12"/>
              <w:spacing w:after="0" w:line="240" w:lineRule="auto"/>
              <w:jc w:val="center"/>
              <w:rPr>
                <w:rFonts w:cs="Times New Roman"/>
                <w:noProof/>
              </w:rPr>
            </w:pPr>
            <w:r w:rsidRPr="00BC4EE7">
              <w:rPr>
                <w:rFonts w:cs="Times New Roman"/>
                <w:noProof/>
              </w:rPr>
              <w:t>C20.I2</w:t>
            </w:r>
          </w:p>
        </w:tc>
        <w:tc>
          <w:tcPr>
            <w:tcW w:w="1025" w:type="dxa"/>
            <w:shd w:val="clear" w:color="auto" w:fill="C6EFCE"/>
            <w:noWrap/>
          </w:tcPr>
          <w:p w14:paraId="09C37C7B" w14:textId="6D785E73"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2518" w:type="dxa"/>
            <w:shd w:val="clear" w:color="auto" w:fill="C6EFCE"/>
            <w:noWrap/>
          </w:tcPr>
          <w:p w14:paraId="2B8B2EAF" w14:textId="3DCC5CBD" w:rsidR="00D65CB4" w:rsidRPr="00BC4EE7" w:rsidRDefault="00572307">
            <w:pPr>
              <w:pStyle w:val="P68B1DB1-Normal12"/>
              <w:spacing w:after="0" w:line="240" w:lineRule="auto"/>
              <w:rPr>
                <w:rFonts w:cs="Times New Roman"/>
                <w:noProof/>
              </w:rPr>
            </w:pPr>
            <w:r w:rsidRPr="00BC4EE7">
              <w:rPr>
                <w:rFonts w:cs="Times New Roman"/>
                <w:noProof/>
              </w:rPr>
              <w:t>Az osztálytermek alkalmazott technológiai terekké alakítása</w:t>
            </w:r>
          </w:p>
        </w:tc>
        <w:tc>
          <w:tcPr>
            <w:tcW w:w="1418" w:type="dxa"/>
            <w:shd w:val="clear" w:color="auto" w:fill="C6EFCE"/>
            <w:noWrap/>
          </w:tcPr>
          <w:p w14:paraId="158ACBAA" w14:textId="77777777" w:rsidR="00D65CB4" w:rsidRPr="00BC4EE7" w:rsidRDefault="00D65CB4">
            <w:pPr>
              <w:spacing w:after="0" w:line="240" w:lineRule="auto"/>
              <w:jc w:val="center"/>
              <w:rPr>
                <w:rFonts w:ascii="Times New Roman" w:hAnsi="Times New Roman" w:cs="Times New Roman"/>
                <w:noProof/>
                <w:sz w:val="18"/>
              </w:rPr>
            </w:pPr>
          </w:p>
        </w:tc>
        <w:tc>
          <w:tcPr>
            <w:tcW w:w="811" w:type="dxa"/>
            <w:shd w:val="clear" w:color="auto" w:fill="C6EFCE"/>
            <w:noWrap/>
          </w:tcPr>
          <w:p w14:paraId="08B3F54E" w14:textId="640E8BE9" w:rsidR="00D65CB4" w:rsidRPr="00BC4EE7" w:rsidRDefault="00572307">
            <w:pPr>
              <w:pStyle w:val="P68B1DB1-Normal12"/>
              <w:spacing w:after="0" w:line="240" w:lineRule="auto"/>
              <w:jc w:val="center"/>
              <w:rPr>
                <w:rFonts w:cs="Times New Roman"/>
                <w:noProof/>
              </w:rPr>
            </w:pPr>
            <w:r w:rsidRPr="00BC4EE7">
              <w:rPr>
                <w:rFonts w:cs="Times New Roman"/>
                <w:noProof/>
              </w:rPr>
              <w:t>Szám</w:t>
            </w:r>
          </w:p>
        </w:tc>
        <w:tc>
          <w:tcPr>
            <w:tcW w:w="984" w:type="dxa"/>
            <w:shd w:val="clear" w:color="auto" w:fill="C6EFCE"/>
            <w:noWrap/>
          </w:tcPr>
          <w:p w14:paraId="7AD65BD1" w14:textId="1D1A4DE7" w:rsidR="00D65CB4" w:rsidRPr="00BC4EE7" w:rsidRDefault="00572307">
            <w:pPr>
              <w:pStyle w:val="P68B1DB1-Normal12"/>
              <w:spacing w:after="0" w:line="240" w:lineRule="auto"/>
              <w:jc w:val="right"/>
              <w:rPr>
                <w:rFonts w:cs="Times New Roman"/>
                <w:noProof/>
              </w:rPr>
            </w:pPr>
            <w:r w:rsidRPr="00BC4EE7">
              <w:rPr>
                <w:rFonts w:cs="Times New Roman"/>
                <w:noProof/>
              </w:rPr>
              <w:t>0</w:t>
            </w:r>
          </w:p>
        </w:tc>
        <w:tc>
          <w:tcPr>
            <w:tcW w:w="1040" w:type="dxa"/>
            <w:shd w:val="clear" w:color="auto" w:fill="C6EFCE"/>
            <w:noWrap/>
          </w:tcPr>
          <w:p w14:paraId="0C8D60C2" w14:textId="152B4BBF" w:rsidR="00D65CB4" w:rsidRPr="00BC4EE7" w:rsidRDefault="00572307">
            <w:pPr>
              <w:pStyle w:val="P68B1DB1-Normal12"/>
              <w:spacing w:after="0" w:line="240" w:lineRule="auto"/>
              <w:jc w:val="center"/>
              <w:rPr>
                <w:rFonts w:cs="Times New Roman"/>
                <w:noProof/>
              </w:rPr>
            </w:pPr>
            <w:r w:rsidRPr="00BC4EE7">
              <w:rPr>
                <w:rFonts w:cs="Times New Roman"/>
                <w:noProof/>
              </w:rPr>
              <w:t>1 253</w:t>
            </w:r>
          </w:p>
        </w:tc>
        <w:tc>
          <w:tcPr>
            <w:tcW w:w="365" w:type="dxa"/>
            <w:shd w:val="clear" w:color="auto" w:fill="C6EFCE"/>
            <w:noWrap/>
          </w:tcPr>
          <w:p w14:paraId="26C5A175" w14:textId="39059409"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627" w:type="dxa"/>
            <w:shd w:val="clear" w:color="auto" w:fill="C6EFCE"/>
            <w:noWrap/>
          </w:tcPr>
          <w:p w14:paraId="06CFDB13" w14:textId="260CF935" w:rsidR="00D65CB4" w:rsidRPr="00BC4EE7" w:rsidRDefault="00572307">
            <w:pPr>
              <w:pStyle w:val="P68B1DB1-Normal12"/>
              <w:spacing w:after="0" w:line="240" w:lineRule="auto"/>
              <w:jc w:val="center"/>
              <w:rPr>
                <w:rFonts w:cs="Times New Roman"/>
                <w:noProof/>
              </w:rPr>
            </w:pPr>
            <w:r w:rsidRPr="00BC4EE7">
              <w:rPr>
                <w:rFonts w:cs="Times New Roman"/>
                <w:noProof/>
              </w:rPr>
              <w:t>2025</w:t>
            </w:r>
          </w:p>
        </w:tc>
        <w:tc>
          <w:tcPr>
            <w:tcW w:w="4820" w:type="dxa"/>
            <w:shd w:val="clear" w:color="auto" w:fill="C6EFCE"/>
            <w:noWrap/>
          </w:tcPr>
          <w:p w14:paraId="5AC13B39" w14:textId="77777777" w:rsidR="00D65CB4" w:rsidRPr="00BC4EE7" w:rsidRDefault="00572307">
            <w:pPr>
              <w:pStyle w:val="P68B1DB1-Normal12"/>
              <w:spacing w:after="0" w:line="240" w:lineRule="auto"/>
              <w:rPr>
                <w:rFonts w:cs="Times New Roman"/>
                <w:noProof/>
              </w:rPr>
            </w:pPr>
            <w:r w:rsidRPr="00BC4EE7">
              <w:rPr>
                <w:rFonts w:cs="Times New Roman"/>
                <w:noProof/>
              </w:rPr>
              <w:t>Legalább 1253 osztálytermet alakítottak át technológiai osztálytermekké, amelyek technológiai erőforrások felhasználásával helyreállítják a munkakörnyezetet annak érdekében, hogy a diákok megismerhessék azokat a technológiákat, amelyeket később a vállalatoknál találnak.</w:t>
            </w:r>
          </w:p>
          <w:p w14:paraId="6F142C02" w14:textId="77777777" w:rsidR="00D65CB4" w:rsidRPr="00BC4EE7" w:rsidRDefault="00D65CB4">
            <w:pPr>
              <w:spacing w:after="0" w:line="240" w:lineRule="auto"/>
              <w:rPr>
                <w:rFonts w:ascii="Times New Roman" w:hAnsi="Times New Roman" w:cs="Times New Roman"/>
                <w:noProof/>
                <w:sz w:val="18"/>
              </w:rPr>
            </w:pPr>
          </w:p>
        </w:tc>
      </w:tr>
      <w:tr w:rsidR="00D65CB4" w:rsidRPr="00BC4EE7" w14:paraId="6D54DFE7" w14:textId="77777777" w:rsidTr="00862B13">
        <w:trPr>
          <w:trHeight w:val="309"/>
        </w:trPr>
        <w:tc>
          <w:tcPr>
            <w:tcW w:w="742" w:type="dxa"/>
            <w:shd w:val="clear" w:color="auto" w:fill="C6EFCE"/>
            <w:noWrap/>
          </w:tcPr>
          <w:p w14:paraId="611A44EA" w14:textId="0521778E" w:rsidR="00D65CB4" w:rsidRPr="00BC4EE7" w:rsidRDefault="00572307">
            <w:pPr>
              <w:pStyle w:val="P68B1DB1-Normal12"/>
              <w:spacing w:after="0" w:line="240" w:lineRule="auto"/>
              <w:jc w:val="center"/>
              <w:rPr>
                <w:rFonts w:cs="Times New Roman"/>
                <w:noProof/>
              </w:rPr>
            </w:pPr>
            <w:r w:rsidRPr="00BC4EE7">
              <w:rPr>
                <w:rFonts w:cs="Times New Roman"/>
                <w:noProof/>
              </w:rPr>
              <w:t>467a</w:t>
            </w:r>
          </w:p>
        </w:tc>
        <w:tc>
          <w:tcPr>
            <w:tcW w:w="960" w:type="dxa"/>
            <w:shd w:val="clear" w:color="auto" w:fill="C6EFCE"/>
            <w:noWrap/>
          </w:tcPr>
          <w:p w14:paraId="47D2B553" w14:textId="2878FBC8" w:rsidR="00D65CB4" w:rsidRPr="00BC4EE7" w:rsidRDefault="00572307">
            <w:pPr>
              <w:pStyle w:val="P68B1DB1-Normal12"/>
              <w:spacing w:after="0" w:line="240" w:lineRule="auto"/>
              <w:jc w:val="center"/>
              <w:rPr>
                <w:rFonts w:cs="Times New Roman"/>
                <w:noProof/>
              </w:rPr>
            </w:pPr>
            <w:r w:rsidRPr="00BC4EE7">
              <w:rPr>
                <w:rFonts w:cs="Times New Roman"/>
                <w:noProof/>
              </w:rPr>
              <w:t>C20.I2</w:t>
            </w:r>
          </w:p>
        </w:tc>
        <w:tc>
          <w:tcPr>
            <w:tcW w:w="1025" w:type="dxa"/>
            <w:shd w:val="clear" w:color="auto" w:fill="C6EFCE"/>
            <w:noWrap/>
          </w:tcPr>
          <w:p w14:paraId="798315B4" w14:textId="445FE865"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2518" w:type="dxa"/>
            <w:shd w:val="clear" w:color="auto" w:fill="C6EFCE"/>
            <w:noWrap/>
          </w:tcPr>
          <w:p w14:paraId="34E49174" w14:textId="4216CDAF" w:rsidR="00D65CB4" w:rsidRPr="00BC4EE7" w:rsidRDefault="00572307">
            <w:pPr>
              <w:pStyle w:val="P68B1DB1-Normal12"/>
              <w:spacing w:after="0" w:line="240" w:lineRule="auto"/>
              <w:rPr>
                <w:rFonts w:cs="Times New Roman"/>
                <w:noProof/>
              </w:rPr>
            </w:pPr>
            <w:r w:rsidRPr="00BC4EE7">
              <w:rPr>
                <w:rFonts w:cs="Times New Roman"/>
                <w:noProof/>
              </w:rPr>
              <w:t>„Vállalkozói” osztálytermek létrehozása és támogatása</w:t>
            </w:r>
          </w:p>
        </w:tc>
        <w:tc>
          <w:tcPr>
            <w:tcW w:w="1418" w:type="dxa"/>
            <w:shd w:val="clear" w:color="auto" w:fill="C6EFCE"/>
            <w:noWrap/>
          </w:tcPr>
          <w:p w14:paraId="3FACDABE" w14:textId="30ECEB38" w:rsidR="00D65CB4" w:rsidRPr="00BC4EE7" w:rsidRDefault="00572307">
            <w:pPr>
              <w:pStyle w:val="P68B1DB1-Normal12"/>
              <w:spacing w:after="0" w:line="240" w:lineRule="auto"/>
              <w:jc w:val="center"/>
              <w:rPr>
                <w:rFonts w:cs="Times New Roman"/>
                <w:noProof/>
              </w:rPr>
            </w:pPr>
            <w:r w:rsidRPr="00BC4EE7">
              <w:rPr>
                <w:rFonts w:cs="Times New Roman"/>
                <w:noProof/>
              </w:rPr>
              <w:t>–</w:t>
            </w:r>
          </w:p>
        </w:tc>
        <w:tc>
          <w:tcPr>
            <w:tcW w:w="811" w:type="dxa"/>
            <w:shd w:val="clear" w:color="auto" w:fill="C6EFCE"/>
            <w:noWrap/>
          </w:tcPr>
          <w:p w14:paraId="65508F6D" w14:textId="560BA660" w:rsidR="00D65CB4" w:rsidRPr="00BC4EE7" w:rsidRDefault="00572307">
            <w:pPr>
              <w:pStyle w:val="P68B1DB1-Normal12"/>
              <w:spacing w:after="0" w:line="240" w:lineRule="auto"/>
              <w:jc w:val="center"/>
              <w:rPr>
                <w:rFonts w:cs="Times New Roman"/>
                <w:noProof/>
              </w:rPr>
            </w:pPr>
            <w:r w:rsidRPr="00BC4EE7">
              <w:rPr>
                <w:rFonts w:cs="Times New Roman"/>
                <w:noProof/>
              </w:rPr>
              <w:t>Szám</w:t>
            </w:r>
          </w:p>
        </w:tc>
        <w:tc>
          <w:tcPr>
            <w:tcW w:w="984" w:type="dxa"/>
            <w:shd w:val="clear" w:color="auto" w:fill="C6EFCE"/>
            <w:noWrap/>
          </w:tcPr>
          <w:p w14:paraId="5E9B31B8" w14:textId="17FA8C84" w:rsidR="00D65CB4" w:rsidRPr="00BC4EE7" w:rsidRDefault="00572307">
            <w:pPr>
              <w:pStyle w:val="P68B1DB1-Normal12"/>
              <w:spacing w:after="0" w:line="240" w:lineRule="auto"/>
              <w:jc w:val="center"/>
              <w:rPr>
                <w:rFonts w:cs="Times New Roman"/>
                <w:noProof/>
              </w:rPr>
            </w:pPr>
            <w:r w:rsidRPr="00BC4EE7">
              <w:rPr>
                <w:rFonts w:cs="Times New Roman"/>
                <w:noProof/>
              </w:rPr>
              <w:t>0</w:t>
            </w:r>
          </w:p>
        </w:tc>
        <w:tc>
          <w:tcPr>
            <w:tcW w:w="1040" w:type="dxa"/>
            <w:shd w:val="clear" w:color="auto" w:fill="C6EFCE"/>
            <w:noWrap/>
          </w:tcPr>
          <w:p w14:paraId="02CF59FB" w14:textId="22961360" w:rsidR="00D65CB4" w:rsidRPr="00BC4EE7" w:rsidRDefault="00572307">
            <w:pPr>
              <w:pStyle w:val="P68B1DB1-Normal12"/>
              <w:spacing w:after="0" w:line="240" w:lineRule="auto"/>
              <w:jc w:val="center"/>
              <w:rPr>
                <w:rFonts w:cs="Times New Roman"/>
                <w:noProof/>
              </w:rPr>
            </w:pPr>
            <w:r w:rsidRPr="00BC4EE7">
              <w:rPr>
                <w:rFonts w:cs="Times New Roman"/>
                <w:noProof/>
              </w:rPr>
              <w:t>1 350</w:t>
            </w:r>
          </w:p>
        </w:tc>
        <w:tc>
          <w:tcPr>
            <w:tcW w:w="365" w:type="dxa"/>
            <w:shd w:val="clear" w:color="auto" w:fill="C6EFCE"/>
            <w:noWrap/>
          </w:tcPr>
          <w:p w14:paraId="67BBA881" w14:textId="0A177EF0"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627" w:type="dxa"/>
            <w:shd w:val="clear" w:color="auto" w:fill="C6EFCE"/>
            <w:noWrap/>
          </w:tcPr>
          <w:p w14:paraId="253C5128" w14:textId="35FC6FC5" w:rsidR="00D65CB4" w:rsidRPr="00BC4EE7" w:rsidRDefault="00572307">
            <w:pPr>
              <w:pStyle w:val="P68B1DB1-Normal12"/>
              <w:spacing w:after="0" w:line="240" w:lineRule="auto"/>
              <w:rPr>
                <w:rFonts w:eastAsia="Times New Roman" w:cs="Times New Roman"/>
                <w:noProof/>
              </w:rPr>
            </w:pPr>
            <w:r w:rsidRPr="00BC4EE7">
              <w:rPr>
                <w:rFonts w:cs="Times New Roman"/>
                <w:noProof/>
              </w:rPr>
              <w:t>2024</w:t>
            </w:r>
          </w:p>
        </w:tc>
        <w:tc>
          <w:tcPr>
            <w:tcW w:w="4820" w:type="dxa"/>
            <w:shd w:val="clear" w:color="auto" w:fill="C6EFCE"/>
            <w:noWrap/>
          </w:tcPr>
          <w:p w14:paraId="1602326B" w14:textId="6B7CC805" w:rsidR="00D65CB4" w:rsidRPr="00BC4EE7" w:rsidRDefault="00572307">
            <w:pPr>
              <w:pStyle w:val="P68B1DB1-Normal12"/>
              <w:spacing w:after="0" w:line="240" w:lineRule="auto"/>
              <w:rPr>
                <w:rFonts w:eastAsia="Times New Roman" w:cs="Times New Roman"/>
                <w:noProof/>
              </w:rPr>
            </w:pPr>
            <w:r w:rsidRPr="00BC4EE7">
              <w:rPr>
                <w:rFonts w:cs="Times New Roman"/>
                <w:noProof/>
              </w:rPr>
              <w:t>Legalább 1350 „vállalkozói” osztályterem létrehozása és támogatása az állami szakképzési központokban.</w:t>
            </w:r>
          </w:p>
        </w:tc>
      </w:tr>
      <w:tr w:rsidR="00D65CB4" w:rsidRPr="00BC4EE7" w14:paraId="61A44931" w14:textId="77777777" w:rsidTr="00862B13">
        <w:trPr>
          <w:trHeight w:val="309"/>
        </w:trPr>
        <w:tc>
          <w:tcPr>
            <w:tcW w:w="742" w:type="dxa"/>
            <w:shd w:val="clear" w:color="auto" w:fill="C6EFCE"/>
            <w:noWrap/>
          </w:tcPr>
          <w:p w14:paraId="75ADEE7E" w14:textId="13F1DF69" w:rsidR="00D65CB4" w:rsidRPr="00BC4EE7" w:rsidRDefault="00572307">
            <w:pPr>
              <w:pStyle w:val="P68B1DB1-Normal12"/>
              <w:spacing w:after="0" w:line="240" w:lineRule="auto"/>
              <w:jc w:val="center"/>
              <w:rPr>
                <w:rFonts w:cs="Times New Roman"/>
                <w:noProof/>
              </w:rPr>
            </w:pPr>
            <w:r w:rsidRPr="00BC4EE7">
              <w:rPr>
                <w:rFonts w:cs="Times New Roman"/>
                <w:noProof/>
              </w:rPr>
              <w:t>467b</w:t>
            </w:r>
          </w:p>
        </w:tc>
        <w:tc>
          <w:tcPr>
            <w:tcW w:w="960" w:type="dxa"/>
            <w:shd w:val="clear" w:color="auto" w:fill="C6EFCE"/>
            <w:noWrap/>
          </w:tcPr>
          <w:p w14:paraId="2CA33ECD" w14:textId="5359B3CE" w:rsidR="00D65CB4" w:rsidRPr="00BC4EE7" w:rsidRDefault="00572307">
            <w:pPr>
              <w:pStyle w:val="P68B1DB1-Normal12"/>
              <w:spacing w:after="0" w:line="240" w:lineRule="auto"/>
              <w:jc w:val="center"/>
              <w:rPr>
                <w:rFonts w:cs="Times New Roman"/>
                <w:noProof/>
              </w:rPr>
            </w:pPr>
            <w:r w:rsidRPr="00BC4EE7">
              <w:rPr>
                <w:rFonts w:cs="Times New Roman"/>
                <w:noProof/>
              </w:rPr>
              <w:t>C20.I2</w:t>
            </w:r>
          </w:p>
        </w:tc>
        <w:tc>
          <w:tcPr>
            <w:tcW w:w="1025" w:type="dxa"/>
            <w:shd w:val="clear" w:color="auto" w:fill="C6EFCE"/>
            <w:noWrap/>
          </w:tcPr>
          <w:p w14:paraId="0DAD0F06" w14:textId="3353C30C"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2518" w:type="dxa"/>
            <w:shd w:val="clear" w:color="auto" w:fill="C6EFCE"/>
            <w:noWrap/>
          </w:tcPr>
          <w:p w14:paraId="432616C5" w14:textId="2F6E7BB3" w:rsidR="00D65CB4" w:rsidRPr="00BC4EE7" w:rsidRDefault="00572307">
            <w:pPr>
              <w:pStyle w:val="P68B1DB1-Normal12"/>
              <w:spacing w:after="0" w:line="240" w:lineRule="auto"/>
              <w:rPr>
                <w:rFonts w:cs="Times New Roman"/>
                <w:noProof/>
              </w:rPr>
            </w:pPr>
            <w:r w:rsidRPr="00BC4EE7">
              <w:rPr>
                <w:rFonts w:cs="Times New Roman"/>
                <w:noProof/>
              </w:rPr>
              <w:t>A szakképzésben részt vevő tanárok zöld képzéseinek befejezése</w:t>
            </w:r>
          </w:p>
        </w:tc>
        <w:tc>
          <w:tcPr>
            <w:tcW w:w="1418" w:type="dxa"/>
            <w:shd w:val="clear" w:color="auto" w:fill="C6EFCE"/>
            <w:noWrap/>
          </w:tcPr>
          <w:p w14:paraId="2744693F" w14:textId="3C8C61C9" w:rsidR="00D65CB4" w:rsidRPr="00BC4EE7" w:rsidRDefault="00572307">
            <w:pPr>
              <w:pStyle w:val="P68B1DB1-Normal12"/>
              <w:spacing w:after="0" w:line="240" w:lineRule="auto"/>
              <w:jc w:val="center"/>
              <w:rPr>
                <w:rFonts w:cs="Times New Roman"/>
                <w:noProof/>
              </w:rPr>
            </w:pPr>
            <w:r w:rsidRPr="00BC4EE7">
              <w:rPr>
                <w:rFonts w:cs="Times New Roman"/>
                <w:noProof/>
              </w:rPr>
              <w:t>–</w:t>
            </w:r>
          </w:p>
        </w:tc>
        <w:tc>
          <w:tcPr>
            <w:tcW w:w="811" w:type="dxa"/>
            <w:shd w:val="clear" w:color="auto" w:fill="C6EFCE"/>
            <w:noWrap/>
          </w:tcPr>
          <w:p w14:paraId="06865C06" w14:textId="77717ED2" w:rsidR="00D65CB4" w:rsidRPr="00BC4EE7" w:rsidRDefault="00572307">
            <w:pPr>
              <w:pStyle w:val="P68B1DB1-Normal12"/>
              <w:spacing w:after="0" w:line="240" w:lineRule="auto"/>
              <w:jc w:val="center"/>
              <w:rPr>
                <w:rFonts w:cs="Times New Roman"/>
                <w:noProof/>
              </w:rPr>
            </w:pPr>
            <w:r w:rsidRPr="00BC4EE7">
              <w:rPr>
                <w:rFonts w:cs="Times New Roman"/>
                <w:noProof/>
              </w:rPr>
              <w:t>Szám</w:t>
            </w:r>
          </w:p>
        </w:tc>
        <w:tc>
          <w:tcPr>
            <w:tcW w:w="984" w:type="dxa"/>
            <w:shd w:val="clear" w:color="auto" w:fill="C6EFCE"/>
            <w:noWrap/>
          </w:tcPr>
          <w:p w14:paraId="6B850641" w14:textId="581B4024" w:rsidR="00D65CB4" w:rsidRPr="00BC4EE7" w:rsidRDefault="00572307">
            <w:pPr>
              <w:pStyle w:val="P68B1DB1-Normal12"/>
              <w:spacing w:after="0" w:line="240" w:lineRule="auto"/>
              <w:jc w:val="center"/>
              <w:rPr>
                <w:rFonts w:cs="Times New Roman"/>
                <w:noProof/>
              </w:rPr>
            </w:pPr>
            <w:r w:rsidRPr="00BC4EE7">
              <w:rPr>
                <w:rFonts w:cs="Times New Roman"/>
                <w:noProof/>
              </w:rPr>
              <w:t>0</w:t>
            </w:r>
          </w:p>
        </w:tc>
        <w:tc>
          <w:tcPr>
            <w:tcW w:w="1040" w:type="dxa"/>
            <w:shd w:val="clear" w:color="auto" w:fill="C6EFCE"/>
            <w:noWrap/>
          </w:tcPr>
          <w:p w14:paraId="32FF666D" w14:textId="1A1E471A" w:rsidR="00D65CB4" w:rsidRPr="00BC4EE7" w:rsidRDefault="00572307">
            <w:pPr>
              <w:pStyle w:val="P68B1DB1-Normal12"/>
              <w:spacing w:after="0" w:line="240" w:lineRule="auto"/>
              <w:jc w:val="center"/>
              <w:rPr>
                <w:rFonts w:cs="Times New Roman"/>
                <w:noProof/>
              </w:rPr>
            </w:pPr>
            <w:r w:rsidRPr="00BC4EE7">
              <w:rPr>
                <w:rFonts w:cs="Times New Roman"/>
                <w:noProof/>
              </w:rPr>
              <w:t>25 281</w:t>
            </w:r>
          </w:p>
          <w:p w14:paraId="694DCEAB" w14:textId="31DB3365" w:rsidR="00D65CB4" w:rsidRPr="00BC4EE7" w:rsidRDefault="00D65CB4">
            <w:pPr>
              <w:spacing w:after="0" w:line="240" w:lineRule="auto"/>
              <w:jc w:val="center"/>
              <w:rPr>
                <w:rFonts w:ascii="Times New Roman" w:eastAsia="Times New Roman" w:hAnsi="Times New Roman" w:cs="Times New Roman"/>
                <w:noProof/>
                <w:sz w:val="18"/>
              </w:rPr>
            </w:pPr>
          </w:p>
        </w:tc>
        <w:tc>
          <w:tcPr>
            <w:tcW w:w="365" w:type="dxa"/>
            <w:shd w:val="clear" w:color="auto" w:fill="C6EFCE"/>
            <w:noWrap/>
          </w:tcPr>
          <w:p w14:paraId="68FE550E" w14:textId="33DD35B2"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627" w:type="dxa"/>
            <w:shd w:val="clear" w:color="auto" w:fill="C6EFCE"/>
            <w:noWrap/>
          </w:tcPr>
          <w:p w14:paraId="0011D940" w14:textId="690B5EFB" w:rsidR="00D65CB4" w:rsidRPr="00BC4EE7" w:rsidRDefault="00572307">
            <w:pPr>
              <w:pStyle w:val="P68B1DB1-Normal12"/>
              <w:spacing w:after="0" w:line="240" w:lineRule="auto"/>
              <w:rPr>
                <w:rFonts w:cs="Times New Roman"/>
                <w:noProof/>
              </w:rPr>
            </w:pPr>
            <w:r w:rsidRPr="00BC4EE7">
              <w:rPr>
                <w:rFonts w:cs="Times New Roman"/>
                <w:noProof/>
              </w:rPr>
              <w:t>2024</w:t>
            </w:r>
          </w:p>
        </w:tc>
        <w:tc>
          <w:tcPr>
            <w:tcW w:w="4820" w:type="dxa"/>
            <w:shd w:val="clear" w:color="auto" w:fill="C6EFCE"/>
            <w:noWrap/>
          </w:tcPr>
          <w:p w14:paraId="47C81396" w14:textId="0BBE335C" w:rsidR="00D65CB4" w:rsidRPr="00BC4EE7" w:rsidRDefault="00572307">
            <w:pPr>
              <w:pStyle w:val="P68B1DB1-Normal12"/>
              <w:spacing w:after="0" w:line="240" w:lineRule="auto"/>
              <w:rPr>
                <w:rFonts w:cs="Times New Roman"/>
                <w:noProof/>
              </w:rPr>
            </w:pPr>
            <w:r w:rsidRPr="00BC4EE7">
              <w:rPr>
                <w:rFonts w:cs="Times New Roman"/>
                <w:noProof/>
              </w:rPr>
              <w:t>30 órás digitális és zöld képzés elvégzése legalább 25281 szakképző tanár számára.</w:t>
            </w:r>
          </w:p>
        </w:tc>
      </w:tr>
      <w:tr w:rsidR="00D65CB4" w:rsidRPr="00BC4EE7" w14:paraId="4F3035A2" w14:textId="77777777" w:rsidTr="00862B13">
        <w:trPr>
          <w:trHeight w:val="309"/>
        </w:trPr>
        <w:tc>
          <w:tcPr>
            <w:tcW w:w="742" w:type="dxa"/>
            <w:shd w:val="clear" w:color="auto" w:fill="C6EFCE"/>
            <w:noWrap/>
          </w:tcPr>
          <w:p w14:paraId="4F6CDBF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300</w:t>
            </w:r>
          </w:p>
        </w:tc>
        <w:tc>
          <w:tcPr>
            <w:tcW w:w="960" w:type="dxa"/>
            <w:shd w:val="clear" w:color="auto" w:fill="C6EFCE"/>
            <w:noWrap/>
          </w:tcPr>
          <w:p w14:paraId="1E3E5D4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C20.I3</w:t>
            </w:r>
          </w:p>
        </w:tc>
        <w:tc>
          <w:tcPr>
            <w:tcW w:w="1025" w:type="dxa"/>
            <w:shd w:val="clear" w:color="auto" w:fill="C6EFCE"/>
            <w:noWrap/>
          </w:tcPr>
          <w:p w14:paraId="598C630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2518" w:type="dxa"/>
            <w:shd w:val="clear" w:color="auto" w:fill="C6EFCE"/>
            <w:noWrap/>
          </w:tcPr>
          <w:p w14:paraId="79BECF6A" w14:textId="78125933" w:rsidR="00D65CB4" w:rsidRPr="00BC4EE7" w:rsidRDefault="00572307">
            <w:pPr>
              <w:pStyle w:val="P68B1DB1-Normal12"/>
              <w:spacing w:after="0" w:line="240" w:lineRule="auto"/>
              <w:rPr>
                <w:rFonts w:eastAsia="Times New Roman" w:cs="Times New Roman"/>
                <w:noProof/>
              </w:rPr>
            </w:pPr>
            <w:r w:rsidRPr="00BC4EE7">
              <w:rPr>
                <w:rFonts w:cs="Times New Roman"/>
                <w:noProof/>
              </w:rPr>
              <w:t>Legalább 1667 új szakképzési csoport a 2019–2020-as tanévhez képest.</w:t>
            </w:r>
          </w:p>
        </w:tc>
        <w:tc>
          <w:tcPr>
            <w:tcW w:w="1418" w:type="dxa"/>
            <w:shd w:val="clear" w:color="auto" w:fill="C6EFCE"/>
            <w:noWrap/>
          </w:tcPr>
          <w:p w14:paraId="2827FC3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811" w:type="dxa"/>
            <w:shd w:val="clear" w:color="auto" w:fill="C6EFCE"/>
            <w:noWrap/>
          </w:tcPr>
          <w:p w14:paraId="210464D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Szám</w:t>
            </w:r>
          </w:p>
        </w:tc>
        <w:tc>
          <w:tcPr>
            <w:tcW w:w="984" w:type="dxa"/>
            <w:shd w:val="clear" w:color="auto" w:fill="C6EFCE"/>
            <w:noWrap/>
          </w:tcPr>
          <w:p w14:paraId="409D33D1" w14:textId="72F4F30F"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39 063</w:t>
            </w:r>
          </w:p>
        </w:tc>
        <w:tc>
          <w:tcPr>
            <w:tcW w:w="1040" w:type="dxa"/>
            <w:shd w:val="clear" w:color="auto" w:fill="C6EFCE"/>
            <w:noWrap/>
          </w:tcPr>
          <w:p w14:paraId="69D9BD1A" w14:textId="179B9F40"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40 730</w:t>
            </w:r>
          </w:p>
        </w:tc>
        <w:tc>
          <w:tcPr>
            <w:tcW w:w="365" w:type="dxa"/>
            <w:shd w:val="clear" w:color="auto" w:fill="C6EFCE"/>
            <w:noWrap/>
          </w:tcPr>
          <w:p w14:paraId="6138890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627" w:type="dxa"/>
            <w:shd w:val="clear" w:color="auto" w:fill="C6EFCE"/>
            <w:noWrap/>
          </w:tcPr>
          <w:p w14:paraId="50EDB1AD"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2022</w:t>
            </w:r>
          </w:p>
        </w:tc>
        <w:tc>
          <w:tcPr>
            <w:tcW w:w="4820" w:type="dxa"/>
            <w:shd w:val="clear" w:color="auto" w:fill="C6EFCE"/>
            <w:noWrap/>
          </w:tcPr>
          <w:p w14:paraId="49C61569" w14:textId="03A9E4A0" w:rsidR="00D65CB4" w:rsidRPr="00BC4EE7" w:rsidRDefault="00572307">
            <w:pPr>
              <w:pStyle w:val="P68B1DB1-Normal12"/>
              <w:spacing w:after="0" w:line="240" w:lineRule="auto"/>
              <w:rPr>
                <w:rFonts w:eastAsia="Times New Roman" w:cs="Times New Roman"/>
                <w:noProof/>
              </w:rPr>
            </w:pPr>
            <w:r w:rsidRPr="00BC4EE7">
              <w:rPr>
                <w:rFonts w:cs="Times New Roman"/>
                <w:noProof/>
              </w:rPr>
              <w:t>Legalább 1667 új szakképzési csoport létrehozása a 2019/2020-as tanévhez képest. A szakképzési kínálat növelését célzó finanszírozás területi elosztásának igényfelmérésen kell alapulnia, és az érintett érdekelt felekkel folytatott megbeszéléseken kell alapulnia annak biztosítása érdekében, hogy a kínálat hatékonyan reagáljon a szakképzési modernizációs tervben felvázolt ágazati igényekre és a regionális hiányosságokra. Az alapforgatókönyv időpontja: 2019/2020-as tanév.</w:t>
            </w:r>
          </w:p>
        </w:tc>
      </w:tr>
      <w:tr w:rsidR="00D65CB4" w:rsidRPr="00BC4EE7" w14:paraId="08891F03" w14:textId="77777777" w:rsidTr="00862B13">
        <w:trPr>
          <w:trHeight w:val="309"/>
        </w:trPr>
        <w:tc>
          <w:tcPr>
            <w:tcW w:w="742" w:type="dxa"/>
            <w:tcBorders>
              <w:bottom w:val="single" w:sz="4" w:space="0" w:color="auto"/>
            </w:tcBorders>
            <w:shd w:val="clear" w:color="auto" w:fill="C6EFCE"/>
            <w:noWrap/>
          </w:tcPr>
          <w:p w14:paraId="0786758D"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301</w:t>
            </w:r>
          </w:p>
        </w:tc>
        <w:tc>
          <w:tcPr>
            <w:tcW w:w="960" w:type="dxa"/>
            <w:tcBorders>
              <w:bottom w:val="single" w:sz="4" w:space="0" w:color="auto"/>
            </w:tcBorders>
            <w:shd w:val="clear" w:color="auto" w:fill="C6EFCE"/>
            <w:noWrap/>
          </w:tcPr>
          <w:p w14:paraId="4C5852B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C20.I3</w:t>
            </w:r>
          </w:p>
        </w:tc>
        <w:tc>
          <w:tcPr>
            <w:tcW w:w="1025" w:type="dxa"/>
            <w:tcBorders>
              <w:bottom w:val="single" w:sz="4" w:space="0" w:color="auto"/>
            </w:tcBorders>
            <w:shd w:val="clear" w:color="auto" w:fill="C6EFCE"/>
            <w:noWrap/>
          </w:tcPr>
          <w:p w14:paraId="73698AD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2518" w:type="dxa"/>
            <w:tcBorders>
              <w:bottom w:val="single" w:sz="4" w:space="0" w:color="auto"/>
            </w:tcBorders>
            <w:shd w:val="clear" w:color="auto" w:fill="C6EFCE"/>
            <w:noWrap/>
          </w:tcPr>
          <w:p w14:paraId="330171CB"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Kétnyelvű szakképzési ciklusok </w:t>
            </w:r>
          </w:p>
        </w:tc>
        <w:tc>
          <w:tcPr>
            <w:tcW w:w="1418" w:type="dxa"/>
            <w:tcBorders>
              <w:bottom w:val="single" w:sz="4" w:space="0" w:color="auto"/>
            </w:tcBorders>
            <w:shd w:val="clear" w:color="auto" w:fill="C6EFCE"/>
            <w:noWrap/>
          </w:tcPr>
          <w:p w14:paraId="5977380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811" w:type="dxa"/>
            <w:tcBorders>
              <w:bottom w:val="single" w:sz="4" w:space="0" w:color="auto"/>
            </w:tcBorders>
            <w:shd w:val="clear" w:color="auto" w:fill="C6EFCE"/>
            <w:noWrap/>
          </w:tcPr>
          <w:p w14:paraId="4DAE83F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Szám</w:t>
            </w:r>
          </w:p>
        </w:tc>
        <w:tc>
          <w:tcPr>
            <w:tcW w:w="984" w:type="dxa"/>
            <w:tcBorders>
              <w:bottom w:val="single" w:sz="4" w:space="0" w:color="auto"/>
            </w:tcBorders>
            <w:shd w:val="clear" w:color="auto" w:fill="C6EFCE"/>
            <w:noWrap/>
          </w:tcPr>
          <w:p w14:paraId="3B08B55A"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0</w:t>
            </w:r>
          </w:p>
        </w:tc>
        <w:tc>
          <w:tcPr>
            <w:tcW w:w="1040" w:type="dxa"/>
            <w:tcBorders>
              <w:bottom w:val="single" w:sz="4" w:space="0" w:color="auto"/>
            </w:tcBorders>
            <w:shd w:val="clear" w:color="auto" w:fill="C6EFCE"/>
            <w:noWrap/>
          </w:tcPr>
          <w:p w14:paraId="582220C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3 700</w:t>
            </w:r>
          </w:p>
        </w:tc>
        <w:tc>
          <w:tcPr>
            <w:tcW w:w="365" w:type="dxa"/>
            <w:tcBorders>
              <w:bottom w:val="single" w:sz="4" w:space="0" w:color="auto"/>
            </w:tcBorders>
            <w:shd w:val="clear" w:color="auto" w:fill="C6EFCE"/>
            <w:noWrap/>
          </w:tcPr>
          <w:p w14:paraId="304F448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627" w:type="dxa"/>
            <w:tcBorders>
              <w:bottom w:val="single" w:sz="4" w:space="0" w:color="auto"/>
            </w:tcBorders>
            <w:shd w:val="clear" w:color="auto" w:fill="C6EFCE"/>
            <w:noWrap/>
          </w:tcPr>
          <w:p w14:paraId="6C050CFD"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2024</w:t>
            </w:r>
          </w:p>
        </w:tc>
        <w:tc>
          <w:tcPr>
            <w:tcW w:w="4820" w:type="dxa"/>
            <w:tcBorders>
              <w:bottom w:val="single" w:sz="4" w:space="0" w:color="auto"/>
            </w:tcBorders>
            <w:shd w:val="clear" w:color="auto" w:fill="C6EFCE"/>
            <w:noWrap/>
          </w:tcPr>
          <w:p w14:paraId="18D04238"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Legalább 3700 (közép- és magas) szakképzési ciklus kétnyelvűvé alakítva </w:t>
            </w:r>
          </w:p>
        </w:tc>
      </w:tr>
      <w:tr w:rsidR="00D65CB4" w:rsidRPr="00BC4EE7" w14:paraId="79E823D9" w14:textId="77777777" w:rsidTr="00862B13">
        <w:trPr>
          <w:trHeight w:val="309"/>
        </w:trPr>
        <w:tc>
          <w:tcPr>
            <w:tcW w:w="742" w:type="dxa"/>
            <w:tcBorders>
              <w:bottom w:val="single" w:sz="4" w:space="0" w:color="auto"/>
            </w:tcBorders>
            <w:shd w:val="clear" w:color="auto" w:fill="C6EFCE"/>
            <w:noWrap/>
          </w:tcPr>
          <w:p w14:paraId="0F776034"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302</w:t>
            </w:r>
          </w:p>
        </w:tc>
        <w:tc>
          <w:tcPr>
            <w:tcW w:w="960" w:type="dxa"/>
            <w:tcBorders>
              <w:bottom w:val="single" w:sz="4" w:space="0" w:color="auto"/>
            </w:tcBorders>
            <w:shd w:val="clear" w:color="auto" w:fill="C6EFCE"/>
            <w:noWrap/>
          </w:tcPr>
          <w:p w14:paraId="71B2618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C20.I3</w:t>
            </w:r>
          </w:p>
        </w:tc>
        <w:tc>
          <w:tcPr>
            <w:tcW w:w="1025" w:type="dxa"/>
            <w:tcBorders>
              <w:bottom w:val="single" w:sz="4" w:space="0" w:color="auto"/>
            </w:tcBorders>
            <w:shd w:val="clear" w:color="auto" w:fill="C6EFCE"/>
            <w:noWrap/>
          </w:tcPr>
          <w:p w14:paraId="6353C86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2518" w:type="dxa"/>
            <w:tcBorders>
              <w:bottom w:val="single" w:sz="4" w:space="0" w:color="auto"/>
            </w:tcBorders>
            <w:shd w:val="clear" w:color="auto" w:fill="C6EFCE"/>
            <w:noWrap/>
          </w:tcPr>
          <w:p w14:paraId="203B6A17" w14:textId="54AEA1C1" w:rsidR="00D65CB4" w:rsidRPr="00BC4EE7" w:rsidRDefault="00572307">
            <w:pPr>
              <w:pStyle w:val="P68B1DB1-Normal12"/>
              <w:spacing w:after="0" w:line="240" w:lineRule="auto"/>
              <w:rPr>
                <w:rFonts w:cs="Times New Roman"/>
                <w:noProof/>
              </w:rPr>
            </w:pPr>
            <w:r w:rsidRPr="00BC4EE7">
              <w:rPr>
                <w:rFonts w:cs="Times New Roman"/>
                <w:noProof/>
              </w:rPr>
              <w:t>Új szakképzési csoportok a 2019/2020-as tanévhez képest.</w:t>
            </w:r>
          </w:p>
        </w:tc>
        <w:tc>
          <w:tcPr>
            <w:tcW w:w="1418" w:type="dxa"/>
            <w:tcBorders>
              <w:bottom w:val="single" w:sz="4" w:space="0" w:color="auto"/>
            </w:tcBorders>
            <w:shd w:val="clear" w:color="auto" w:fill="C6EFCE"/>
            <w:noWrap/>
          </w:tcPr>
          <w:p w14:paraId="2261ABF4"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811" w:type="dxa"/>
            <w:tcBorders>
              <w:bottom w:val="single" w:sz="4" w:space="0" w:color="auto"/>
            </w:tcBorders>
            <w:shd w:val="clear" w:color="auto" w:fill="C6EFCE"/>
            <w:noWrap/>
          </w:tcPr>
          <w:p w14:paraId="180E80F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Szám</w:t>
            </w:r>
          </w:p>
        </w:tc>
        <w:tc>
          <w:tcPr>
            <w:tcW w:w="984" w:type="dxa"/>
            <w:tcBorders>
              <w:bottom w:val="single" w:sz="4" w:space="0" w:color="auto"/>
            </w:tcBorders>
            <w:shd w:val="clear" w:color="auto" w:fill="C6EFCE"/>
            <w:noWrap/>
          </w:tcPr>
          <w:p w14:paraId="7F755418" w14:textId="3907D49C"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39 063</w:t>
            </w:r>
          </w:p>
        </w:tc>
        <w:tc>
          <w:tcPr>
            <w:tcW w:w="1040" w:type="dxa"/>
            <w:tcBorders>
              <w:bottom w:val="single" w:sz="4" w:space="0" w:color="auto"/>
            </w:tcBorders>
            <w:shd w:val="clear" w:color="auto" w:fill="C6EFCE"/>
            <w:noWrap/>
          </w:tcPr>
          <w:p w14:paraId="532825E9" w14:textId="129D589E"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47 315</w:t>
            </w:r>
          </w:p>
        </w:tc>
        <w:tc>
          <w:tcPr>
            <w:tcW w:w="365" w:type="dxa"/>
            <w:tcBorders>
              <w:bottom w:val="single" w:sz="4" w:space="0" w:color="auto"/>
            </w:tcBorders>
            <w:shd w:val="clear" w:color="auto" w:fill="C6EFCE"/>
            <w:noWrap/>
          </w:tcPr>
          <w:p w14:paraId="46434BF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627" w:type="dxa"/>
            <w:tcBorders>
              <w:bottom w:val="single" w:sz="4" w:space="0" w:color="auto"/>
            </w:tcBorders>
            <w:shd w:val="clear" w:color="auto" w:fill="C6EFCE"/>
            <w:noWrap/>
          </w:tcPr>
          <w:p w14:paraId="1EC600EC" w14:textId="5A9F4250"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2025</w:t>
            </w:r>
          </w:p>
        </w:tc>
        <w:tc>
          <w:tcPr>
            <w:tcW w:w="4820" w:type="dxa"/>
            <w:tcBorders>
              <w:bottom w:val="single" w:sz="4" w:space="0" w:color="auto"/>
            </w:tcBorders>
            <w:shd w:val="clear" w:color="auto" w:fill="C6EFCE"/>
            <w:noWrap/>
          </w:tcPr>
          <w:p w14:paraId="2D1E2E6F" w14:textId="547E13B4" w:rsidR="00D65CB4" w:rsidRPr="00BC4EE7" w:rsidRDefault="00572307">
            <w:pPr>
              <w:pStyle w:val="P68B1DB1-Normal12"/>
              <w:spacing w:after="0" w:line="240" w:lineRule="auto"/>
              <w:rPr>
                <w:rFonts w:eastAsia="Times New Roman" w:cs="Times New Roman"/>
                <w:noProof/>
              </w:rPr>
            </w:pPr>
            <w:r w:rsidRPr="00BC4EE7">
              <w:rPr>
                <w:rFonts w:cs="Times New Roman"/>
                <w:noProof/>
              </w:rPr>
              <w:t>A 2019/2020-as tanévhez képest legalább 8252 új</w:t>
            </w:r>
            <w:r w:rsidRPr="00BC4EE7">
              <w:rPr>
                <w:rFonts w:cs="Times New Roman"/>
                <w:noProof/>
                <w:shd w:val="clear" w:color="auto" w:fill="E6E6E6"/>
              </w:rPr>
              <w:t xml:space="preserve"> </w:t>
            </w:r>
            <w:r w:rsidRPr="00BC4EE7">
              <w:rPr>
                <w:rFonts w:cs="Times New Roman"/>
                <w:noProof/>
              </w:rPr>
              <w:t>szakképzési csoport. Az alapforgatókönyv időpontja: 2019/2020-as tanév.</w:t>
            </w:r>
          </w:p>
        </w:tc>
      </w:tr>
    </w:tbl>
    <w:p w14:paraId="7083BF8A" w14:textId="77777777" w:rsidR="00D65CB4" w:rsidRPr="00BC4EE7" w:rsidRDefault="00D65CB4">
      <w:pPr>
        <w:pStyle w:val="Text1"/>
        <w:ind w:left="0"/>
        <w:rPr>
          <w:rFonts w:ascii="Times New Roman" w:hAnsi="Times New Roman" w:cs="Times New Roman"/>
          <w:noProof/>
        </w:rPr>
        <w:sectPr w:rsidR="00D65CB4" w:rsidRPr="00BC4EE7" w:rsidSect="00B511EF">
          <w:headerReference w:type="even" r:id="rId412"/>
          <w:headerReference w:type="default" r:id="rId413"/>
          <w:footerReference w:type="even" r:id="rId414"/>
          <w:footerReference w:type="default" r:id="rId415"/>
          <w:headerReference w:type="first" r:id="rId416"/>
          <w:footerReference w:type="first" r:id="rId417"/>
          <w:pgSz w:w="16839" w:h="11907" w:orient="landscape"/>
          <w:pgMar w:top="1134" w:right="1134" w:bottom="1134" w:left="1134" w:header="567" w:footer="567" w:gutter="0"/>
          <w:cols w:space="720"/>
          <w:docGrid w:linePitch="360"/>
        </w:sectPr>
      </w:pPr>
    </w:p>
    <w:p w14:paraId="4232B598" w14:textId="77777777" w:rsidR="00D65CB4" w:rsidRPr="00BC4EE7" w:rsidRDefault="00572307">
      <w:pPr>
        <w:pStyle w:val="P68B1DB1-Heading12"/>
        <w:ind w:left="426" w:firstLine="294"/>
        <w:rPr>
          <w:rFonts w:cs="Times New Roman"/>
          <w:noProof/>
        </w:rPr>
      </w:pPr>
      <w:r w:rsidRPr="00BC4EE7">
        <w:rPr>
          <w:rFonts w:cs="Times New Roman"/>
          <w:noProof/>
        </w:rPr>
        <w:t>U. 21. KOMPONENS: Az oktatás korszerűsítése és digitalizációja, beleértve a koragyermekkori oktatást 0–3</w:t>
      </w:r>
    </w:p>
    <w:p w14:paraId="2E6D50AD" w14:textId="77777777" w:rsidR="00D65CB4" w:rsidRPr="00BC4EE7" w:rsidRDefault="00572307">
      <w:pPr>
        <w:pStyle w:val="P68B1DB1-Normal4"/>
        <w:spacing w:before="120" w:after="120" w:line="240" w:lineRule="auto"/>
        <w:ind w:left="142"/>
        <w:jc w:val="both"/>
        <w:rPr>
          <w:rFonts w:cs="Times New Roman"/>
          <w:noProof/>
        </w:rPr>
      </w:pPr>
      <w:r w:rsidRPr="00BC4EE7">
        <w:rPr>
          <w:rFonts w:cs="Times New Roman"/>
          <w:noProof/>
        </w:rPr>
        <w:t xml:space="preserve">A spanyol helyreállítási és rezilienciaépítési terv ezen komponense az oktatási rendszer korszerűsítésére és az oktatási infrastruktúra javítására összpontosít. Célja egy rugalmasabb és inkluzívabb rendszer kialakítása, amely jobban igazodik az egyes tanulók igényeihez, és új, többek között digitális oktatási és tanulási technikákat vezet be. Az egyes oktatási szakaszok fő célkitűzései a következők: </w:t>
      </w:r>
    </w:p>
    <w:p w14:paraId="32BCC920" w14:textId="77777777" w:rsidR="00D65CB4" w:rsidRPr="00BC4EE7" w:rsidRDefault="00572307">
      <w:pPr>
        <w:pStyle w:val="P68B1DB1-Normal4"/>
        <w:numPr>
          <w:ilvl w:val="0"/>
          <w:numId w:val="138"/>
        </w:numPr>
        <w:spacing w:before="120" w:after="160" w:line="259" w:lineRule="auto"/>
        <w:contextualSpacing/>
        <w:jc w:val="both"/>
        <w:rPr>
          <w:rFonts w:cs="Times New Roman"/>
          <w:noProof/>
        </w:rPr>
      </w:pPr>
      <w:r w:rsidRPr="00BC4EE7">
        <w:rPr>
          <w:rFonts w:cs="Times New Roman"/>
          <w:noProof/>
          <w:u w:val="single"/>
        </w:rPr>
        <w:t>Koragyermekkori nevelés és gondozás (ECEC)</w:t>
      </w:r>
      <w:r w:rsidRPr="00BC4EE7">
        <w:rPr>
          <w:rFonts w:cs="Times New Roman"/>
          <w:noProof/>
        </w:rPr>
        <w:t xml:space="preserve">. A komponens célja, hogy fokozatosan növelje a koragyermekkori nevelésbe és gondozásba való beiratkozást azáltal, hogy előnyben részesíti az új nyilvános helyek biztosítását a gyermekek számára a szegénység vagy a társadalmi kirekesztődés kockázatának jobban kitett területeken és a vidéki területeken. A hangsúlyt a 0–3 éves gyermekekre kell helyezni, és figyelmet kell fordítani mind a hozzáférésre, mind a megfizethetőségre, különösen a nők munkaerőpiaci integrációjának előmozdítására, valamint az oktatási eredmények javítására és a korai iskolaelhagyás megelőzésére a későbbi szakaszokban. </w:t>
      </w:r>
    </w:p>
    <w:p w14:paraId="0F7CA705" w14:textId="77777777" w:rsidR="00D65CB4" w:rsidRPr="00BC4EE7" w:rsidRDefault="00572307">
      <w:pPr>
        <w:pStyle w:val="P68B1DB1-Normal4"/>
        <w:numPr>
          <w:ilvl w:val="0"/>
          <w:numId w:val="138"/>
        </w:numPr>
        <w:spacing w:before="120" w:after="160" w:line="259" w:lineRule="auto"/>
        <w:contextualSpacing/>
        <w:jc w:val="both"/>
        <w:rPr>
          <w:rFonts w:cs="Times New Roman"/>
          <w:noProof/>
        </w:rPr>
      </w:pPr>
      <w:r w:rsidRPr="00BC4EE7">
        <w:rPr>
          <w:rFonts w:cs="Times New Roman"/>
          <w:noProof/>
          <w:u w:val="single"/>
        </w:rPr>
        <w:t>Alap- és középfokú oktatás</w:t>
      </w:r>
      <w:r w:rsidRPr="00BC4EE7">
        <w:rPr>
          <w:rFonts w:cs="Times New Roman"/>
          <w:noProof/>
        </w:rPr>
        <w:t xml:space="preserve">. A komponens célja az oktatási eredmények javítása a korai iskolaelhagyás és a magas ismétlési arány csökkentése révén, az alulteljesítő diákoknak nyújtott további támogatás, valamint a kötelező alap- és középfokú oktatásban és érettségi vizsgákon a kulcskompetenciák (többek között digitális) új tantervének kidolgozása révén. </w:t>
      </w:r>
    </w:p>
    <w:p w14:paraId="3C202EDA" w14:textId="77777777" w:rsidR="00D65CB4" w:rsidRPr="00BC4EE7" w:rsidRDefault="00572307">
      <w:pPr>
        <w:pStyle w:val="P68B1DB1-Normal4"/>
        <w:numPr>
          <w:ilvl w:val="0"/>
          <w:numId w:val="138"/>
        </w:numPr>
        <w:spacing w:before="120" w:after="160" w:line="259" w:lineRule="auto"/>
        <w:contextualSpacing/>
        <w:jc w:val="both"/>
        <w:rPr>
          <w:rFonts w:cs="Times New Roman"/>
          <w:noProof/>
        </w:rPr>
      </w:pPr>
      <w:r w:rsidRPr="00BC4EE7">
        <w:rPr>
          <w:rFonts w:cs="Times New Roman"/>
          <w:noProof/>
          <w:u w:val="single"/>
        </w:rPr>
        <w:t>Egyetemi rendszer</w:t>
      </w:r>
      <w:r w:rsidRPr="00BC4EE7">
        <w:rPr>
          <w:rFonts w:cs="Times New Roman"/>
          <w:noProof/>
        </w:rPr>
        <w:t>. A komponens célja az egyetemi rendszer korszerűsítése az egyetemi képzések szervezésének a mai társadalmi igényekhez való igazítása, a felsőoktatás munkaerőpiaci relevanciájának javítása és a technológiai átalakulás támogatása révén. Célja továbbá a felsőoktatáshoz való hozzáférés javítása és megfizethetőségének javítása.</w:t>
      </w:r>
    </w:p>
    <w:p w14:paraId="39B23856"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komponens hozzájárul a korai iskolaelhagyás csökkentésére és az oktatási eredmények javítására vonatkozó országspecifikus ajánlások kezeléséhez, figyelembe véve a regionális különbségeket (2019. évi 2. országspecifikus ajánlás) és a digitális tanuláshoz való hozzáférés javítását (2020. évi 2. országspecifikus ajánlás). Hozzájárul továbbá a diákok és a tanárok képzésének jobb támogatásával kapcsolatos korábbi országspecifikus ajánlások kezeléséhez, valamint a családok támogatásának javításához (2019. évi 2. országspecifikus ajánlás), beleértve a minőségi gyermekgondozáshoz való hozzáférést is. </w:t>
      </w:r>
    </w:p>
    <w:p w14:paraId="05281E9A"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jelentős károkozás elkerülését célzó elvről szóló technikai iránymutatásnak (2021/C58/01) megfelelően a helyreállítási és rezilienciaépítési tervben meghatározott intézkedések leírását és a helyreállítási és rezilienciaépítési tervben meghatározott enyhítő lépéseket figyelembe véve ebben a komponensben várhatóan egyetlen intézkedés sem sérti jelentős mértékben az (EU) 2020/852 rendelet 17. cikke szerinti környezeti célkitűzéseket.</w:t>
      </w:r>
    </w:p>
    <w:p w14:paraId="6F2AA7E0" w14:textId="77777777" w:rsidR="00D65CB4" w:rsidRPr="00BC4EE7" w:rsidRDefault="00572307">
      <w:pPr>
        <w:spacing w:before="120" w:after="120" w:line="240" w:lineRule="auto"/>
        <w:ind w:left="709"/>
        <w:jc w:val="both"/>
        <w:rPr>
          <w:rFonts w:ascii="Times New Roman" w:hAnsi="Times New Roman" w:cs="Times New Roman"/>
          <w:b/>
          <w:i/>
          <w:noProof/>
          <w:sz w:val="24"/>
        </w:rPr>
      </w:pPr>
      <w:r w:rsidRPr="00BC4EE7">
        <w:rPr>
          <w:rFonts w:ascii="Times New Roman" w:hAnsi="Times New Roman" w:cs="Times New Roman"/>
          <w:b/>
          <w:noProof/>
          <w:sz w:val="24"/>
          <w:u w:val="single"/>
        </w:rPr>
        <w:t xml:space="preserve">U.1.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Vissza nem térítendő pénzügyi támogatás – a reformok és beruházások ismertetése</w:t>
      </w:r>
    </w:p>
    <w:p w14:paraId="5277237A" w14:textId="77777777" w:rsidR="00D65CB4" w:rsidRPr="00BC4EE7" w:rsidRDefault="00572307">
      <w:pPr>
        <w:pStyle w:val="P68B1DB1-Normal22"/>
        <w:spacing w:before="120" w:after="120" w:line="240" w:lineRule="auto"/>
        <w:jc w:val="both"/>
        <w:rPr>
          <w:rFonts w:cs="Times New Roman"/>
          <w:noProof/>
        </w:rPr>
      </w:pPr>
      <w:r w:rsidRPr="00BC4EE7">
        <w:rPr>
          <w:rFonts w:cs="Times New Roman"/>
          <w:noProof/>
        </w:rPr>
        <w:t xml:space="preserve">Reform (C21.R1) – Az oktatásra vonatkozó új sarkalatos jogszabály  </w:t>
      </w:r>
    </w:p>
    <w:p w14:paraId="3F98D6C3"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shd w:val="clear" w:color="auto" w:fill="FFFFFF"/>
        </w:rPr>
        <w:t xml:space="preserve">Ez a reform a kisgyermekkori nevelésről, a kötelező alap- és középfokú oktatásról, valamint az érettségi állapotról szóló új törvény elfogadását </w:t>
      </w:r>
      <w:r w:rsidRPr="00BC4EE7">
        <w:rPr>
          <w:rFonts w:cs="Times New Roman"/>
          <w:noProof/>
        </w:rPr>
        <w:t>szolgálja. Megteremti az alapot az oktatási és képzési lehetőségek növeléséhez a teljes lakosság számára, többek között az oktatási eredmények javítása és a nehézségek korai felismerése, valamint az iskolák autonómiájának megerősítése révén. A program középpontjában a diákok háttere szerinti szegregáció csökkentése és a rendszer inkluzív kapacitásának javítása áll. Emellett a cél a digitális kompetenciák megerősítése az oktatás minden szintjén, ezáltal választ adva az egyre inkább digitalizált gazdaságra.  2020. december 29-én új törvényt (LOMLOE) fogadtak el.</w:t>
      </w:r>
    </w:p>
    <w:p w14:paraId="6573CFB4"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Az oktatási törvény szabályozásának fejlesztése a következők révén valósul meg: </w:t>
      </w:r>
    </w:p>
    <w:p w14:paraId="26F41691" w14:textId="77777777" w:rsidR="00D65CB4" w:rsidRPr="00BC4EE7" w:rsidRDefault="00572307">
      <w:pPr>
        <w:pStyle w:val="P68B1DB1-Normal4"/>
        <w:numPr>
          <w:ilvl w:val="0"/>
          <w:numId w:val="139"/>
        </w:numPr>
        <w:spacing w:before="120" w:after="160" w:line="259" w:lineRule="auto"/>
        <w:contextualSpacing/>
        <w:jc w:val="both"/>
        <w:rPr>
          <w:rFonts w:cs="Times New Roman"/>
          <w:noProof/>
        </w:rPr>
      </w:pPr>
      <w:r w:rsidRPr="00BC4EE7">
        <w:rPr>
          <w:rFonts w:cs="Times New Roman"/>
          <w:noProof/>
        </w:rPr>
        <w:t xml:space="preserve">új kompetenciaalapú tanterv szabályozása; </w:t>
      </w:r>
    </w:p>
    <w:p w14:paraId="7D127AE9" w14:textId="77777777" w:rsidR="00D65CB4" w:rsidRPr="00BC4EE7" w:rsidRDefault="00572307">
      <w:pPr>
        <w:pStyle w:val="P68B1DB1-Normal4"/>
        <w:numPr>
          <w:ilvl w:val="0"/>
          <w:numId w:val="139"/>
        </w:numPr>
        <w:spacing w:before="120" w:after="160" w:line="259" w:lineRule="auto"/>
        <w:contextualSpacing/>
        <w:jc w:val="both"/>
        <w:rPr>
          <w:rFonts w:cs="Times New Roman"/>
          <w:noProof/>
        </w:rPr>
      </w:pPr>
      <w:r w:rsidRPr="00BC4EE7">
        <w:rPr>
          <w:rFonts w:cs="Times New Roman"/>
          <w:noProof/>
        </w:rPr>
        <w:t xml:space="preserve">értékelés, különösen az oktatási rendszer általános értékelése, valamint a diagnosztikai értékelések; </w:t>
      </w:r>
    </w:p>
    <w:p w14:paraId="49022C5D" w14:textId="77777777" w:rsidR="00D65CB4" w:rsidRPr="00BC4EE7" w:rsidRDefault="00572307">
      <w:pPr>
        <w:pStyle w:val="P68B1DB1-Normal4"/>
        <w:numPr>
          <w:ilvl w:val="0"/>
          <w:numId w:val="139"/>
        </w:numPr>
        <w:spacing w:before="120" w:after="160" w:line="259" w:lineRule="auto"/>
        <w:contextualSpacing/>
        <w:jc w:val="both"/>
        <w:rPr>
          <w:rFonts w:cs="Times New Roman"/>
          <w:noProof/>
        </w:rPr>
      </w:pPr>
      <w:r w:rsidRPr="00BC4EE7">
        <w:rPr>
          <w:rFonts w:cs="Times New Roman"/>
          <w:noProof/>
        </w:rPr>
        <w:t>a tanári szakma fejlesztése; és</w:t>
      </w:r>
    </w:p>
    <w:p w14:paraId="736CBF07" w14:textId="77777777" w:rsidR="00D65CB4" w:rsidRPr="00BC4EE7" w:rsidRDefault="00572307">
      <w:pPr>
        <w:pStyle w:val="P68B1DB1-Normal4"/>
        <w:numPr>
          <w:ilvl w:val="0"/>
          <w:numId w:val="139"/>
        </w:numPr>
        <w:spacing w:before="120" w:after="160" w:line="259" w:lineRule="auto"/>
        <w:contextualSpacing/>
        <w:jc w:val="both"/>
        <w:rPr>
          <w:rFonts w:cs="Times New Roman"/>
          <w:noProof/>
        </w:rPr>
      </w:pPr>
      <w:r w:rsidRPr="00BC4EE7">
        <w:rPr>
          <w:rFonts w:cs="Times New Roman"/>
          <w:noProof/>
        </w:rPr>
        <w:t xml:space="preserve">a külföldi nem egyetemi bizonyítványok és tanulmányok elismerésének és érvényesítésének szabályozása. </w:t>
      </w:r>
    </w:p>
    <w:p w14:paraId="2DE9682E" w14:textId="77777777" w:rsidR="00D65CB4" w:rsidRPr="00BC4EE7" w:rsidRDefault="00572307">
      <w:pPr>
        <w:pStyle w:val="P68B1DB1-Normal4"/>
        <w:spacing w:before="120" w:after="120" w:line="240" w:lineRule="auto"/>
        <w:jc w:val="both"/>
        <w:rPr>
          <w:rFonts w:cs="Times New Roman"/>
          <w:noProof/>
          <w:shd w:val="clear" w:color="auto" w:fill="FFFFFF"/>
        </w:rPr>
      </w:pPr>
      <w:r w:rsidRPr="00BC4EE7">
        <w:rPr>
          <w:rFonts w:cs="Times New Roman"/>
          <w:noProof/>
          <w:shd w:val="clear" w:color="auto" w:fill="FFFFFF"/>
        </w:rPr>
        <w:t xml:space="preserve">E célból megalapozza a 2. reformot és a komponensbe tartozó különböző beruházásokat. </w:t>
      </w:r>
    </w:p>
    <w:p w14:paraId="6E4E7145"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Végezetül a reform várhatóan elősegíti a speciális nevelési igényű tanulóknak a rendes iskolákban való általános érvényesítését, és a regionális hatóságokkal egyeztetett tízéves gördülő terv kíséri, amely további forrásokat biztosít a sajátos nevelési igényű diákokat fogadó iskolák támogatására. </w:t>
      </w:r>
    </w:p>
    <w:p w14:paraId="525C459F" w14:textId="77777777" w:rsidR="00D65CB4" w:rsidRPr="00BC4EE7" w:rsidRDefault="00572307">
      <w:pPr>
        <w:pStyle w:val="P68B1DB1-Normal21"/>
        <w:spacing w:before="120" w:after="120" w:line="240" w:lineRule="auto"/>
        <w:jc w:val="both"/>
        <w:rPr>
          <w:rFonts w:cs="Times New Roman"/>
          <w:noProof/>
        </w:rPr>
      </w:pPr>
      <w:r w:rsidRPr="00BC4EE7">
        <w:rPr>
          <w:rFonts w:cs="Times New Roman"/>
          <w:noProof/>
        </w:rPr>
        <w:t>Az intézkedés végrehajtását 2021. március 31-ig be kell fejezni.</w:t>
      </w:r>
    </w:p>
    <w:p w14:paraId="38E7D1C8" w14:textId="77777777" w:rsidR="00D65CB4" w:rsidRPr="00BC4EE7" w:rsidRDefault="00572307">
      <w:pPr>
        <w:pStyle w:val="P68B1DB1-Normal21"/>
        <w:spacing w:before="120" w:after="120" w:line="240" w:lineRule="auto"/>
        <w:jc w:val="both"/>
        <w:rPr>
          <w:rFonts w:cs="Times New Roman"/>
          <w:noProof/>
        </w:rPr>
      </w:pPr>
      <w:r w:rsidRPr="00BC4EE7">
        <w:rPr>
          <w:rFonts w:cs="Times New Roman"/>
          <w:noProof/>
          <w:u w:val="single"/>
        </w:rPr>
        <w:t>Reform (C21.R2) – Új tantervi modell a kulcskompetenciákhoz, az alaptanuláshoz és az inkluzív tudományos tervezéshez</w:t>
      </w:r>
      <w:r w:rsidRPr="00BC4EE7">
        <w:rPr>
          <w:rFonts w:cs="Times New Roman"/>
          <w:noProof/>
        </w:rPr>
        <w:t xml:space="preserve"> </w:t>
      </w:r>
    </w:p>
    <w:p w14:paraId="3067CA83"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Az 1. reformban említett új oktatási törvény (LOMLOE) elfogadása</w:t>
      </w:r>
      <w:r w:rsidRPr="00BC4EE7">
        <w:rPr>
          <w:rFonts w:cs="Times New Roman"/>
          <w:noProof/>
          <w:shd w:val="clear" w:color="auto" w:fill="FFFFFF"/>
        </w:rPr>
        <w:t xml:space="preserve">alapján ez a reform magában foglalja az alapfokú, kötelező középfokú oktatás és érettségi minimumkövetelményekről szóló törvényerejű rendeletek elfogadását. Magában foglalja továbbá </w:t>
      </w:r>
      <w:r w:rsidRPr="00BC4EE7">
        <w:rPr>
          <w:rFonts w:cs="Times New Roman"/>
          <w:noProof/>
        </w:rPr>
        <w:t>a kompetenciaalapú tanterven alapuló tanításra és tanulásra vonatkozó módszertani iránymutatások bevezetését, valamint az egész életen át tartó tanuláshoz szükséges kulcskompetenciákról szóló, 2018. május 22-i tanácsi ajánlást figyelembe véve a „puha készségeket”. A törvényerejű rendelet tartalmaz egy, a tantervtel összhangban kidolgozott értékelési keretet, amely a kompetenciák megszerzésének szintjére és a diákok előmenetelét elősegítő intézkedések értékelésére összpontosít. A cél egy rugalmasabb és nyitottabb oktatási modell kialakítása, amely együttműködésen alapuló módszerek alkalmazásával előmozdítja a mélyreható tanulást, hozzájárulva az oktatási eredmények javításához. Az új tantervnek figyelmet kell fordítania a fenntartható fejlődést és a polgári szerepvállalást célzó oktatásra. A digitális kompetenciák fejlesztését minden szinten be kell építeni, mind konkrét tartalommal, mind horizontális szempontból.</w:t>
      </w:r>
    </w:p>
    <w:p w14:paraId="18D0C9CD" w14:textId="77777777" w:rsidR="00D65CB4" w:rsidRPr="00BC4EE7" w:rsidRDefault="00572307">
      <w:pPr>
        <w:pStyle w:val="P68B1DB1-Text118"/>
        <w:ind w:left="0"/>
        <w:rPr>
          <w:rFonts w:cs="Times New Roman"/>
          <w:noProof/>
        </w:rPr>
      </w:pPr>
      <w:r w:rsidRPr="00BC4EE7">
        <w:rPr>
          <w:rFonts w:cs="Times New Roman"/>
          <w:noProof/>
        </w:rPr>
        <w:t>Ebben a reformban legalább 100 külső szakértő vesz részt az oktatási szakaszok területeire és tantárgyaira vonatkozó tanterv, valamint az értékelési keretek kidolgozásában, amelyek az új tanterv királyi rendeleteinek és a közös értékelési keretnek az alapját képezik.</w:t>
      </w:r>
    </w:p>
    <w:p w14:paraId="1CDA7885"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reformnak ki kell terjednie a támogatás, iránymutatás és oktatási anyagok előkészítésére, valamint a tanárok képzésére annak biztosítása érdekében, hogy hatékonyan végre tudják hajtani az új tantervet. Az anyagot online kell közzétenni valamennyi tanár számára, a bevált gyakorlatok terjesztésével együtt. Legalább 4000 szakembernek kell részt vennie az új tanterv alkalmazására vonatkozó képzésben. </w:t>
      </w:r>
    </w:p>
    <w:p w14:paraId="044E3EE4" w14:textId="77777777" w:rsidR="00D65CB4" w:rsidRPr="00BC4EE7" w:rsidRDefault="00572307">
      <w:pPr>
        <w:pStyle w:val="P68B1DB1-Normal21"/>
        <w:spacing w:before="120" w:after="120" w:line="240" w:lineRule="auto"/>
        <w:jc w:val="both"/>
        <w:rPr>
          <w:rFonts w:cs="Times New Roman"/>
          <w:noProof/>
        </w:rPr>
      </w:pPr>
      <w:r w:rsidRPr="00BC4EE7">
        <w:rPr>
          <w:rFonts w:cs="Times New Roman"/>
          <w:noProof/>
        </w:rPr>
        <w:t>A reform megtervezését és végrehajtását az oktatási tanácsadó szervekkel és szakértőkkel, valamint az autonóm közösségekkel konzultálva kell végrehajtani.</w:t>
      </w:r>
    </w:p>
    <w:p w14:paraId="48CF69A0" w14:textId="77777777" w:rsidR="00D65CB4" w:rsidRPr="00BC4EE7" w:rsidRDefault="00572307">
      <w:pPr>
        <w:pStyle w:val="P68B1DB1-Normal21"/>
        <w:spacing w:before="120" w:after="120" w:line="240" w:lineRule="auto"/>
        <w:jc w:val="both"/>
        <w:rPr>
          <w:rFonts w:cs="Times New Roman"/>
          <w:noProof/>
        </w:rPr>
      </w:pPr>
      <w:r w:rsidRPr="00BC4EE7">
        <w:rPr>
          <w:rFonts w:cs="Times New Roman"/>
          <w:noProof/>
        </w:rPr>
        <w:t>Az intézkedés végrehajtását 2024. szeptember 30-ig be kell fejezni.</w:t>
      </w:r>
    </w:p>
    <w:p w14:paraId="26D4B6BB" w14:textId="77777777" w:rsidR="00D65CB4" w:rsidRPr="00BC4EE7" w:rsidRDefault="00D65CB4">
      <w:pPr>
        <w:spacing w:before="120" w:after="120" w:line="240" w:lineRule="auto"/>
        <w:jc w:val="both"/>
        <w:rPr>
          <w:rFonts w:ascii="Times New Roman" w:hAnsi="Times New Roman" w:cs="Times New Roman"/>
          <w:noProof/>
          <w:sz w:val="24"/>
          <w:u w:val="single"/>
          <w:shd w:val="clear" w:color="auto" w:fill="FFFFFF"/>
        </w:rPr>
        <w:sectPr w:rsidR="00D65CB4" w:rsidRPr="00BC4EE7" w:rsidSect="00B511EF">
          <w:headerReference w:type="even" r:id="rId418"/>
          <w:headerReference w:type="default" r:id="rId419"/>
          <w:footerReference w:type="even" r:id="rId420"/>
          <w:footerReference w:type="default" r:id="rId421"/>
          <w:headerReference w:type="first" r:id="rId422"/>
          <w:footerReference w:type="first" r:id="rId423"/>
          <w:pgSz w:w="11907" w:h="16839"/>
          <w:pgMar w:top="1134" w:right="1134" w:bottom="1134" w:left="1134" w:header="567" w:footer="567" w:gutter="0"/>
          <w:cols w:space="720"/>
          <w:docGrid w:linePitch="360"/>
        </w:sectPr>
      </w:pPr>
    </w:p>
    <w:p w14:paraId="5813ECD3" w14:textId="77777777" w:rsidR="00D65CB4" w:rsidRPr="00BC4EE7" w:rsidRDefault="00572307">
      <w:pPr>
        <w:pStyle w:val="P68B1DB1-Normal22"/>
        <w:spacing w:before="120" w:after="120" w:line="240" w:lineRule="auto"/>
        <w:jc w:val="both"/>
        <w:rPr>
          <w:rFonts w:cs="Times New Roman"/>
          <w:noProof/>
        </w:rPr>
      </w:pPr>
      <w:r w:rsidRPr="00BC4EE7">
        <w:rPr>
          <w:rFonts w:cs="Times New Roman"/>
          <w:noProof/>
        </w:rPr>
        <w:t xml:space="preserve">Reform (C21.R3) – Az egyetemi rendszer átfogó reformja </w:t>
      </w:r>
    </w:p>
    <w:p w14:paraId="0F71425B"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shd w:val="clear" w:color="auto" w:fill="FFFFFF"/>
        </w:rPr>
        <w:t xml:space="preserve">A reform az egyetemi rendszerre vonatkozó új jogszabályokra összpontosít, amelyek célja a </w:t>
      </w:r>
      <w:r w:rsidRPr="00BC4EE7">
        <w:rPr>
          <w:rFonts w:cs="Times New Roman"/>
          <w:noProof/>
        </w:rPr>
        <w:t xml:space="preserve">rendszer átfogó reformja, amely </w:t>
      </w:r>
      <w:bookmarkStart w:id="57" w:name="_Hlk65757328"/>
      <w:r w:rsidRPr="00BC4EE7">
        <w:rPr>
          <w:rFonts w:cs="Times New Roman"/>
          <w:noProof/>
        </w:rPr>
        <w:t xml:space="preserve">négy fő célkitűzésen alapul: </w:t>
      </w:r>
    </w:p>
    <w:bookmarkEnd w:id="57"/>
    <w:p w14:paraId="070B5F86" w14:textId="77777777" w:rsidR="00D65CB4" w:rsidRPr="00BC4EE7" w:rsidRDefault="00572307">
      <w:pPr>
        <w:pStyle w:val="P68B1DB1-Normal21"/>
        <w:numPr>
          <w:ilvl w:val="0"/>
          <w:numId w:val="140"/>
        </w:numPr>
        <w:spacing w:before="120" w:after="120" w:line="240" w:lineRule="auto"/>
        <w:jc w:val="both"/>
        <w:rPr>
          <w:rFonts w:cs="Times New Roman"/>
          <w:noProof/>
        </w:rPr>
      </w:pPr>
      <w:r w:rsidRPr="00BC4EE7">
        <w:rPr>
          <w:rFonts w:cs="Times New Roman"/>
          <w:noProof/>
        </w:rPr>
        <w:t>A felsőoktatáshoz való hozzáférés előmozdítása. Az ösztöndíjakat a társadalmi-gazdasági feltételek figyelembevételével növelni kell, és az esélyegyenlőséget a fogyatékossággal élő diákoknak nyújtott ösztöndíjak javításával kell biztosítani. Az ösztöndíjrendszert 2020-ban megreformálták, de 2021-ben és 2022-ben tovább kell fejleszteni. Az egyetemi közdíjakat szintén csökkenteni kell, többek között küszöbértékek megállapításával és a jelentős regionális különbségek csökkentésével.</w:t>
      </w:r>
    </w:p>
    <w:p w14:paraId="5A5C4F93" w14:textId="77777777" w:rsidR="00D65CB4" w:rsidRPr="00BC4EE7" w:rsidRDefault="00572307">
      <w:pPr>
        <w:pStyle w:val="P68B1DB1-Normal4"/>
        <w:numPr>
          <w:ilvl w:val="0"/>
          <w:numId w:val="140"/>
        </w:numPr>
        <w:spacing w:before="120" w:after="120" w:line="240" w:lineRule="auto"/>
        <w:jc w:val="both"/>
        <w:rPr>
          <w:rFonts w:cs="Times New Roman"/>
          <w:noProof/>
          <w:shd w:val="clear" w:color="auto" w:fill="FFFFFF"/>
        </w:rPr>
      </w:pPr>
      <w:r w:rsidRPr="00BC4EE7">
        <w:rPr>
          <w:rFonts w:cs="Times New Roman"/>
          <w:noProof/>
          <w:shd w:val="clear" w:color="auto" w:fill="FFFFFF"/>
        </w:rPr>
        <w:t xml:space="preserve">Egyetemi kurzusok szervezésének elfogadása. Az egyetemi képzések megszervezésének reformja, minőségének és munkaerőpiaci relevanciájának biztosítása érdekében törvényerejű rendeletet kell elfogadni. </w:t>
      </w:r>
      <w:r w:rsidRPr="00BC4EE7">
        <w:rPr>
          <w:rFonts w:cs="Times New Roman"/>
          <w:noProof/>
        </w:rPr>
        <w:t>E célból elő kell mozdítani az egyetemi együttműködést a felsőoktatásban működő vállalkozásokkal a kettős alapképzés és a mesterképzés szabályozása révén, beleértve az egyetemek által felügyelt vállalatok képzési programjait is.</w:t>
      </w:r>
      <w:r w:rsidRPr="00BC4EE7">
        <w:rPr>
          <w:rFonts w:cs="Times New Roman"/>
          <w:noProof/>
          <w:shd w:val="clear" w:color="auto" w:fill="FFFFFF"/>
        </w:rPr>
        <w:t xml:space="preserve"> Az európai oktatási térség céljaival összhangban biztosítani kell az oklevelek automatikus elismerését. A nem vagy félig személyes oktatás </w:t>
      </w:r>
      <w:r w:rsidRPr="00BC4EE7">
        <w:rPr>
          <w:rFonts w:cs="Times New Roman"/>
          <w:noProof/>
        </w:rPr>
        <w:t xml:space="preserve">ellenőrzési, nyomonkövetési és akkreditációs eljárásait is meg kell erősíteni, ötvözve az egyetemi oktatási kínálat minőségbiztosítását és az érintett eljárásokban a bürokrácia csökkentését. Az innovatív oktatást is elő kell mozdítani. </w:t>
      </w:r>
    </w:p>
    <w:p w14:paraId="2265A793" w14:textId="77777777" w:rsidR="00D65CB4" w:rsidRPr="00BC4EE7" w:rsidRDefault="00572307">
      <w:pPr>
        <w:pStyle w:val="P68B1DB1-Normal21"/>
        <w:numPr>
          <w:ilvl w:val="0"/>
          <w:numId w:val="140"/>
        </w:numPr>
        <w:spacing w:before="120" w:after="120" w:line="240" w:lineRule="auto"/>
        <w:jc w:val="both"/>
        <w:rPr>
          <w:rFonts w:cs="Times New Roman"/>
          <w:noProof/>
        </w:rPr>
      </w:pPr>
      <w:r w:rsidRPr="00BC4EE7">
        <w:rPr>
          <w:rFonts w:cs="Times New Roman"/>
          <w:noProof/>
        </w:rPr>
        <w:t>Az egyetemi intézmények jó irányításának biztosítása, valamint az oktatási és kutatói személyzet kutatásának, áthelyezésének és mobilitásának előmozdítása. A cél az eredményesség, a hatékonyság és az egyetemi autonómia biztosítása az egyetemek napi vezetésében, az érdekelt felek részvételének növelése a kormányzásban, valamint az átláthatóság és az elszámoltathatóság előmozdítása. Biztosítja továbbá, hogy az egyetemek magasan képzett tanárokkal rendelkezzenek, hogy a tanári karrier kiszámíthatóbb legyen, és hogy az oktatás és a kutatás közötti kapcsolat megerősödjön.</w:t>
      </w:r>
    </w:p>
    <w:p w14:paraId="30DA7ED5" w14:textId="77777777" w:rsidR="00D65CB4" w:rsidRPr="00BC4EE7" w:rsidRDefault="00572307">
      <w:pPr>
        <w:pStyle w:val="P68B1DB1-Normal4"/>
        <w:numPr>
          <w:ilvl w:val="0"/>
          <w:numId w:val="140"/>
        </w:numPr>
        <w:spacing w:before="120" w:after="120" w:line="240" w:lineRule="auto"/>
        <w:jc w:val="both"/>
        <w:rPr>
          <w:rFonts w:cs="Times New Roman"/>
          <w:noProof/>
          <w:shd w:val="clear" w:color="auto" w:fill="FFFFFF"/>
        </w:rPr>
      </w:pPr>
      <w:r w:rsidRPr="00BC4EE7">
        <w:rPr>
          <w:rFonts w:cs="Times New Roman"/>
          <w:noProof/>
          <w:shd w:val="clear" w:color="auto" w:fill="FFFFFF"/>
        </w:rPr>
        <w:t xml:space="preserve">Az egyetemi intézmények minőségének biztosítása. </w:t>
      </w:r>
      <w:r w:rsidRPr="00BC4EE7">
        <w:rPr>
          <w:rFonts w:cs="Times New Roman"/>
          <w:noProof/>
        </w:rPr>
        <w:t>Törvényerejű rendeletet kell elfogadni, amely meghatározza az egyetemek és a kapcsolódó központok létrehozására, elismerésére, engedélyezésére és akkreditációjára vonatkozó tudományos minőségi kritériumokat, beleértve a táv- és féloldali egyetemeket is.</w:t>
      </w:r>
      <w:r w:rsidRPr="00BC4EE7">
        <w:rPr>
          <w:rFonts w:cs="Times New Roman"/>
          <w:noProof/>
          <w:shd w:val="clear" w:color="auto" w:fill="FFFFFF"/>
        </w:rPr>
        <w:t xml:space="preserve"> A cél az, hogy az egyetemek minimális formatív akadémiai kínálattal </w:t>
      </w:r>
      <w:r w:rsidRPr="00BC4EE7">
        <w:rPr>
          <w:rFonts w:cs="Times New Roman"/>
          <w:noProof/>
        </w:rPr>
        <w:t>rendelkezzenek, ugyanakkor biztosítsák az egyetemek szakosodásának lehetőségét; az alapképzésben részt vevő hallgatók minimális száma; költségvetésük legalább 5%-át kutatási programokra fordítják; és belső minőségbiztosítási rendszerekkel kell rendelkezniük.</w:t>
      </w:r>
    </w:p>
    <w:p w14:paraId="49406F58" w14:textId="77777777" w:rsidR="00D65CB4" w:rsidRPr="00BC4EE7" w:rsidRDefault="00572307">
      <w:pPr>
        <w:pStyle w:val="P68B1DB1-Normal21"/>
        <w:spacing w:before="120" w:after="120" w:line="240" w:lineRule="auto"/>
        <w:jc w:val="both"/>
        <w:rPr>
          <w:rFonts w:cs="Times New Roman"/>
          <w:noProof/>
        </w:rPr>
      </w:pPr>
      <w:r w:rsidRPr="00BC4EE7">
        <w:rPr>
          <w:rFonts w:cs="Times New Roman"/>
          <w:noProof/>
        </w:rPr>
        <w:t>E célból a reform során figyelembe kell venni a Spanyol Egyetemi Rektorok Konferenciája (CRUE) ajánlásait. Hozzájárul a felsőoktatás munkaerőpiaci relevanciájának fokozásához, többek között a vállalkozásokkal való együttműködés előmozdítása és az állami egyetemeken teljesítményalapú finanszírozási modellek bevezetése révén.</w:t>
      </w:r>
    </w:p>
    <w:p w14:paraId="47FC6520" w14:textId="77777777" w:rsidR="00D65CB4" w:rsidRPr="00BC4EE7" w:rsidRDefault="00572307">
      <w:pPr>
        <w:pStyle w:val="P68B1DB1-Normal21"/>
        <w:spacing w:before="120" w:after="120" w:line="240" w:lineRule="auto"/>
        <w:jc w:val="both"/>
        <w:rPr>
          <w:rFonts w:cs="Times New Roman"/>
          <w:noProof/>
        </w:rPr>
      </w:pPr>
      <w:r w:rsidRPr="00BC4EE7">
        <w:rPr>
          <w:rFonts w:cs="Times New Roman"/>
          <w:noProof/>
        </w:rPr>
        <w:t>Az intézkedés végrehajtását 2023. június 30-ig be kell fejezni.</w:t>
      </w:r>
    </w:p>
    <w:p w14:paraId="4972F648" w14:textId="77777777" w:rsidR="00D65CB4" w:rsidRPr="00BC4EE7" w:rsidRDefault="00D65CB4">
      <w:pPr>
        <w:spacing w:before="120" w:after="120" w:line="240" w:lineRule="auto"/>
        <w:jc w:val="both"/>
        <w:rPr>
          <w:rFonts w:ascii="Times New Roman" w:hAnsi="Times New Roman" w:cs="Times New Roman"/>
          <w:noProof/>
          <w:sz w:val="24"/>
          <w:u w:val="single"/>
          <w:shd w:val="clear" w:color="auto" w:fill="FFFFFF"/>
        </w:rPr>
        <w:sectPr w:rsidR="00D65CB4" w:rsidRPr="00BC4EE7" w:rsidSect="00B511EF">
          <w:headerReference w:type="even" r:id="rId424"/>
          <w:headerReference w:type="default" r:id="rId425"/>
          <w:footerReference w:type="even" r:id="rId426"/>
          <w:footerReference w:type="default" r:id="rId427"/>
          <w:headerReference w:type="first" r:id="rId428"/>
          <w:footerReference w:type="first" r:id="rId429"/>
          <w:pgSz w:w="11907" w:h="16839"/>
          <w:pgMar w:top="1134" w:right="1134" w:bottom="1134" w:left="1134" w:header="567" w:footer="567" w:gutter="0"/>
          <w:cols w:space="720"/>
          <w:docGrid w:linePitch="360"/>
        </w:sectPr>
      </w:pPr>
    </w:p>
    <w:p w14:paraId="38C05484" w14:textId="77777777" w:rsidR="00D65CB4" w:rsidRPr="00BC4EE7" w:rsidRDefault="00572307">
      <w:pPr>
        <w:pStyle w:val="P68B1DB1-Normal21"/>
        <w:spacing w:before="120" w:after="120" w:line="240" w:lineRule="auto"/>
        <w:jc w:val="both"/>
        <w:rPr>
          <w:rFonts w:cs="Times New Roman"/>
          <w:noProof/>
          <w:u w:val="single"/>
        </w:rPr>
      </w:pPr>
      <w:r w:rsidRPr="00BC4EE7">
        <w:rPr>
          <w:rFonts w:cs="Times New Roman"/>
          <w:noProof/>
          <w:u w:val="single"/>
        </w:rPr>
        <w:t>Beruházás (C21.I1) – A kisgyermekkori nevelés és gondozás előmozdítása (ECEC)</w:t>
      </w:r>
      <w:r w:rsidRPr="00BC4EE7">
        <w:rPr>
          <w:rFonts w:cs="Times New Roman"/>
          <w:noProof/>
        </w:rPr>
        <w:t xml:space="preserve"> </w:t>
      </w:r>
    </w:p>
    <w:p w14:paraId="45772844"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shd w:val="clear" w:color="auto" w:fill="FFFFFF"/>
        </w:rPr>
        <w:t xml:space="preserve">Ezen intézkedés részeként Spanyolország beruház új koragyermekkori nevelési és gondozási létesítmények építésébe, a meglévő épületek rehabilitációjába és felújításába, valamint olyan berendezésekbe, amelyek legalább 60000 új, állami tulajdonban lévő kisgyermekkori nevelési és gondozási oktatási férőhelyet hoznak létre a 3 év alatti gyermekek számára. A középpontban az áll, hogy megfizethető nyilvános férőhelyeket biztosítsanak a gyermekek </w:t>
      </w:r>
      <w:r w:rsidRPr="00BC4EE7">
        <w:rPr>
          <w:rFonts w:cs="Times New Roman"/>
          <w:noProof/>
        </w:rPr>
        <w:t xml:space="preserve">számára a szegénység vagy a társadalmi kirekesztettség magasabb kockázatának kitett területeken és a vidéki területeken, különösen az 1–2 éves korosztályban. Az épületek tulajdonosai vagy a regionális vagy helyi hatóságok, Ceuta és Melilla esetében az Oktatási és Szakképzési Minisztérium. </w:t>
      </w:r>
    </w:p>
    <w:p w14:paraId="07508A27" w14:textId="1AEF08E7" w:rsidR="00D65CB4" w:rsidRPr="00BC4EE7" w:rsidRDefault="00572307">
      <w:pPr>
        <w:pStyle w:val="P68B1DB1-Normal4"/>
        <w:spacing w:before="120" w:after="120" w:line="240" w:lineRule="auto"/>
        <w:jc w:val="both"/>
        <w:rPr>
          <w:rFonts w:cs="Times New Roman"/>
          <w:noProof/>
        </w:rPr>
      </w:pPr>
      <w:r w:rsidRPr="00BC4EE7">
        <w:rPr>
          <w:rFonts w:cs="Times New Roman"/>
          <w:noProof/>
        </w:rPr>
        <w:t>A beruházás fedezhetné a működési kiadásokat is, beleértve a beruházás bevezetése során a tanárok fizetését is, amelynek célja, hogy a regionális és helyi önkormányzatokat legfeljebb 40000 új iskolai férőhelyre ösztönözze. Spanyolországnak biztosítania kell, hogy az intézkedés a Helyreállítási és Rezilienciaépítési Eszköz lejárta után költségvetési szempontból fenntartható legyen, többek között más uniós finanszírozási forrásokra támaszkodva.</w:t>
      </w:r>
    </w:p>
    <w:p w14:paraId="37D0BEA7" w14:textId="5F35551E" w:rsidR="00D65CB4" w:rsidRPr="00BC4EE7" w:rsidRDefault="00572307">
      <w:pPr>
        <w:pStyle w:val="P68B1DB1-Normal21"/>
        <w:spacing w:before="120" w:after="120" w:line="240" w:lineRule="auto"/>
        <w:jc w:val="both"/>
        <w:rPr>
          <w:rFonts w:cs="Times New Roman"/>
          <w:noProof/>
        </w:rPr>
      </w:pPr>
      <w:r w:rsidRPr="00BC4EE7">
        <w:rPr>
          <w:rFonts w:cs="Times New Roman"/>
          <w:noProof/>
        </w:rPr>
        <w:t>Az intézkedés végrehajtását 2025. december 31-ig be kell fejezni.</w:t>
      </w:r>
    </w:p>
    <w:p w14:paraId="5E2EE741" w14:textId="77777777" w:rsidR="00D65CB4" w:rsidRPr="00BC4EE7" w:rsidRDefault="00572307">
      <w:pPr>
        <w:pStyle w:val="P68B1DB1-Normal22"/>
        <w:spacing w:before="120" w:after="120" w:line="240" w:lineRule="auto"/>
        <w:jc w:val="both"/>
        <w:rPr>
          <w:rFonts w:cs="Times New Roman"/>
          <w:noProof/>
        </w:rPr>
      </w:pPr>
      <w:r w:rsidRPr="00BC4EE7">
        <w:rPr>
          <w:rFonts w:cs="Times New Roman"/>
          <w:noProof/>
        </w:rPr>
        <w:t xml:space="preserve">Beruházás (C21.I2): Orientációt, haladást és az oktatás gazdagítását célzó program (PROA+) </w:t>
      </w:r>
    </w:p>
    <w:p w14:paraId="486A999B" w14:textId="77777777" w:rsidR="00D65CB4" w:rsidRPr="00BC4EE7" w:rsidRDefault="00572307">
      <w:pPr>
        <w:pStyle w:val="P68B1DB1-Normal21"/>
        <w:spacing w:before="120" w:after="120" w:line="240" w:lineRule="auto"/>
        <w:jc w:val="both"/>
        <w:rPr>
          <w:rFonts w:cs="Times New Roman"/>
          <w:noProof/>
        </w:rPr>
      </w:pPr>
      <w:r w:rsidRPr="00BC4EE7">
        <w:rPr>
          <w:rFonts w:cs="Times New Roman"/>
          <w:noProof/>
        </w:rPr>
        <w:t xml:space="preserve">Annak érdekében, hogy támogatást és iránymutatást nyújtson a gyengén teljesítő tanulóknak, valamint csökkentse mind a lemorzsolódás, mind a korai iskolaelhagyás arányát, Spanyolországnak be kell ruháznia az orientációra, a haladásra és az oktatás gazdagítására irányuló meglévő program (PROA+) meghosszabbításába. </w:t>
      </w:r>
    </w:p>
    <w:p w14:paraId="3C93A5DA" w14:textId="2C4F27E2"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Ez a program azokra a tevékenységekre összpontosít, amelyek biztosítják az összes diák oktatásának minimumfeltételeit, megerősítő intézkedéseket vezetnek be azok számára, akik tanulási nehézségekkel küzdenek, főként az alapkészségek terén, új szervezeti és irányítási formákat keresnek az oktatási központban, valamint további támogatást és képzést nyújtanak a tanároknak. Ezeknek a tevékenységeknek arra kell irányulniuk, hogy javítsák ezen iskolák valamennyi diákjának sikerét. </w:t>
      </w:r>
    </w:p>
    <w:p w14:paraId="074E6E2C" w14:textId="77777777" w:rsidR="00D65CB4" w:rsidRPr="00BC4EE7" w:rsidRDefault="00572307">
      <w:pPr>
        <w:pStyle w:val="P68B1DB1-Normal4"/>
        <w:spacing w:before="120" w:after="120" w:line="240" w:lineRule="auto"/>
        <w:jc w:val="both"/>
        <w:rPr>
          <w:rFonts w:cs="Times New Roman"/>
          <w:noProof/>
          <w:shd w:val="clear" w:color="auto" w:fill="FFFFFF"/>
        </w:rPr>
      </w:pPr>
      <w:r w:rsidRPr="00BC4EE7">
        <w:rPr>
          <w:rFonts w:cs="Times New Roman"/>
          <w:noProof/>
          <w:shd w:val="clear" w:color="auto" w:fill="FFFFFF"/>
        </w:rPr>
        <w:t>A programnak a különösen összetett oktatással rendelkező iskolákat kell megcéloznia, többek között a vidéki területeken is, ahol a kiszolgáltatott helyzetben lévő diákok jelentős hányada tanulási nehézségekkel küzd a rendes osztálytermekben.</w:t>
      </w:r>
      <w:r w:rsidRPr="00BC4EE7">
        <w:rPr>
          <w:rFonts w:cs="Times New Roman"/>
          <w:noProof/>
        </w:rPr>
        <w:t xml:space="preserve"> A központokat az oktatási hatóságok választják ki. </w:t>
      </w:r>
      <w:r w:rsidRPr="00BC4EE7">
        <w:rPr>
          <w:rFonts w:cs="Times New Roman"/>
          <w:noProof/>
          <w:shd w:val="clear" w:color="auto" w:fill="FFFFFF"/>
        </w:rPr>
        <w:t xml:space="preserve">A megcélzott iskolák különösen alacsony társadalmi-gazdasági és oktatási háttérrel rendelkező tanulókból és családokból álló területeken helyezkednek el. Összesen legalább 2700 iskola kap támogatást. </w:t>
      </w:r>
    </w:p>
    <w:p w14:paraId="66E53685" w14:textId="77777777" w:rsidR="00D65CB4" w:rsidRPr="00BC4EE7" w:rsidRDefault="00572307">
      <w:pPr>
        <w:pStyle w:val="P68B1DB1-Normal21"/>
        <w:spacing w:before="120" w:after="120" w:line="240" w:lineRule="auto"/>
        <w:jc w:val="both"/>
        <w:rPr>
          <w:rFonts w:cs="Times New Roman"/>
          <w:noProof/>
        </w:rPr>
      </w:pPr>
      <w:r w:rsidRPr="00BC4EE7">
        <w:rPr>
          <w:rFonts w:cs="Times New Roman"/>
          <w:noProof/>
        </w:rPr>
        <w:t xml:space="preserve">A beruházást az autonóm közösségekkel együttműködésben, ágazati konferenciák keretében kell kidolgozni, és az alapok területi elosztásának a szükségletek tükrözése és a regionális egyenlőtlenségek csökkentéséhez való hozzájárulás érdekében elfogadott egyedi kritériumokon kell alapulnia. </w:t>
      </w:r>
    </w:p>
    <w:p w14:paraId="0269706D" w14:textId="77777777" w:rsidR="00D65CB4" w:rsidRPr="00BC4EE7" w:rsidRDefault="00572307">
      <w:pPr>
        <w:pStyle w:val="P68B1DB1-Normal21"/>
        <w:spacing w:before="120" w:after="120" w:line="240" w:lineRule="auto"/>
        <w:jc w:val="both"/>
        <w:rPr>
          <w:rFonts w:cs="Times New Roman"/>
          <w:noProof/>
        </w:rPr>
      </w:pPr>
      <w:r w:rsidRPr="00BC4EE7">
        <w:rPr>
          <w:rFonts w:cs="Times New Roman"/>
          <w:noProof/>
        </w:rPr>
        <w:t>Az intézkedés végrehajtását 2024. december 31-ig be kell fejezni.</w:t>
      </w:r>
    </w:p>
    <w:p w14:paraId="220AAC7D" w14:textId="77777777" w:rsidR="00D65CB4" w:rsidRPr="00BC4EE7" w:rsidRDefault="00572307">
      <w:pPr>
        <w:pStyle w:val="P68B1DB1-Normal21"/>
        <w:spacing w:before="120" w:after="120" w:line="240" w:lineRule="auto"/>
        <w:jc w:val="both"/>
        <w:rPr>
          <w:rFonts w:cs="Times New Roman"/>
          <w:noProof/>
          <w:u w:val="single"/>
        </w:rPr>
      </w:pPr>
      <w:r w:rsidRPr="00BC4EE7">
        <w:rPr>
          <w:rFonts w:cs="Times New Roman"/>
          <w:noProof/>
          <w:u w:val="single"/>
        </w:rPr>
        <w:t>Beruházás (C21.I3) – A kiszolgáltatott helyzetben lévő diákok és családok támogatása</w:t>
      </w:r>
      <w:r w:rsidRPr="00BC4EE7">
        <w:rPr>
          <w:rFonts w:cs="Times New Roman"/>
          <w:noProof/>
        </w:rPr>
        <w:t xml:space="preserve"> </w:t>
      </w:r>
    </w:p>
    <w:p w14:paraId="0E87F54E" w14:textId="77777777" w:rsidR="00D65CB4" w:rsidRPr="00BC4EE7" w:rsidRDefault="00572307">
      <w:pPr>
        <w:pStyle w:val="P68B1DB1-Normal21"/>
        <w:spacing w:before="120" w:after="120" w:line="240" w:lineRule="auto"/>
        <w:jc w:val="both"/>
        <w:rPr>
          <w:rFonts w:cs="Times New Roman"/>
          <w:noProof/>
        </w:rPr>
      </w:pPr>
      <w:r w:rsidRPr="00BC4EE7">
        <w:rPr>
          <w:rFonts w:cs="Times New Roman"/>
          <w:noProof/>
        </w:rPr>
        <w:t>Spanyolországnak be kell ruháznia legalább 1000 kiszolgáltatott helyzetben lévő diáktámogatási, pályaorientációs és pszichopedagógiai egység létrehozásába az iskolakerületekben. Megkönnyíti a diákok és családjaik támogatását a hiányzás és a korai iskolaelhagyás csökkentését célzó oktatási akadályok leküzdése érdekében. Támogatni kell a különböző (formális és nem formális) tanulási keretekkel való együttműködést az alapvető interperszonális, kommunikációs és kognitív készségek fejlesztésének előmozdítása érdekében. A beruházást az autonóm közösségekkel folytatott területi együttműködés keretében, ágazati konferenciák keretében kell fejleszteni, amelyek meghatározzák az alapok területi elosztásának kritériumait.</w:t>
      </w:r>
    </w:p>
    <w:p w14:paraId="10DA7D2B" w14:textId="77777777" w:rsidR="00D65CB4" w:rsidRPr="00BC4EE7" w:rsidRDefault="00572307">
      <w:pPr>
        <w:pStyle w:val="P68B1DB1-Normal21"/>
        <w:spacing w:before="120" w:after="120" w:line="240" w:lineRule="auto"/>
        <w:jc w:val="both"/>
        <w:rPr>
          <w:rFonts w:cs="Times New Roman"/>
          <w:noProof/>
        </w:rPr>
      </w:pPr>
      <w:r w:rsidRPr="00BC4EE7">
        <w:rPr>
          <w:rFonts w:cs="Times New Roman"/>
          <w:noProof/>
        </w:rPr>
        <w:t>Az intézkedés végrehajtását 2024. december 31-ig be kell fejezni.</w:t>
      </w:r>
    </w:p>
    <w:p w14:paraId="29008735" w14:textId="77777777" w:rsidR="00D65CB4" w:rsidRPr="00BC4EE7" w:rsidRDefault="00572307">
      <w:pPr>
        <w:pStyle w:val="P68B1DB1-Normal21"/>
        <w:spacing w:before="120" w:after="120" w:line="240" w:lineRule="auto"/>
        <w:jc w:val="both"/>
        <w:rPr>
          <w:rFonts w:cs="Times New Roman"/>
          <w:noProof/>
          <w:u w:val="single"/>
        </w:rPr>
      </w:pPr>
      <w:r w:rsidRPr="00BC4EE7">
        <w:rPr>
          <w:rFonts w:cs="Times New Roman"/>
          <w:noProof/>
          <w:u w:val="single"/>
        </w:rPr>
        <w:t>Beruházás (C21.I4) – A tanári és kutatói személyzet képzése</w:t>
      </w:r>
      <w:r w:rsidRPr="00BC4EE7">
        <w:rPr>
          <w:rFonts w:cs="Times New Roman"/>
          <w:noProof/>
        </w:rPr>
        <w:t xml:space="preserve"> </w:t>
      </w:r>
    </w:p>
    <w:p w14:paraId="144FB2A8"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shd w:val="clear" w:color="auto" w:fill="FFFFFF"/>
        </w:rPr>
        <w:t xml:space="preserve">Ez az intézkedés magában foglalja az állami egyetemeknek nyújtott támogatásokba történő beruházásokat </w:t>
      </w:r>
      <w:r w:rsidRPr="00BC4EE7">
        <w:rPr>
          <w:rFonts w:cs="Times New Roman"/>
          <w:noProof/>
        </w:rPr>
        <w:t>azzal a céllal, hogy előmozdítsa a spanyol egyetemi rendszer átképzését és előmozdítsa a tanári személyzet szakmai fejlődését, valamint lehetőséget biztosítson a közelmúltban PhD-diplomás diplomások számára, hogy a jövőben beilleszkedjenek a felsőoktatási rendszerbe. A vissza nem térítendő támogatások a rangos külföldi egyetemek és kutatóközpontok, valamint a spanyol egyetemek és a spanyol tudományos, technológiai és innovációs rendszer egyéb közalkalmazói által szervezett posztdoktori kutatói tartózkodások finanszírozására szolgálnak. E célból a támogatások várhatóan hozzájárulnak a nemzetközi tehetségek vonzásához és a spanyol egyetemeken tapasztalható alacsony nemzetköziesítési arány kezeléséhez.</w:t>
      </w:r>
    </w:p>
    <w:p w14:paraId="50858590"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vissza nem térítendő támogatásokat három különböző program keretében kell nyújtani, a célcsoporttól függő egyedi kritériumok alkalmazásával, a következőkre összpontosítva: i. fiatal PhD-k képzése; egyetemi oktatóknak nyújtott ösztöndíjak – állandó professzorok és idős előadások a közoktatási pályán; valamint iii. a nemzetközi tehetségek vonzását célzó támogatások, a rangos spanyol egyetemek és a spanyol tudományos, technológiai és innovációs rendszer egyéb közalkalmazói által szervezett posztdoktori képzés finanszírozása. A programok időtartama a programtól és a célcsoporttól függően egy-három év.</w:t>
      </w:r>
    </w:p>
    <w:p w14:paraId="2D61B76F" w14:textId="77777777" w:rsidR="00D65CB4" w:rsidRPr="00BC4EE7" w:rsidRDefault="00572307">
      <w:pPr>
        <w:pStyle w:val="P68B1DB1-Normal4"/>
        <w:spacing w:after="120" w:line="240" w:lineRule="auto"/>
        <w:jc w:val="both"/>
        <w:rPr>
          <w:rFonts w:cs="Times New Roman"/>
          <w:noProof/>
        </w:rPr>
      </w:pPr>
      <w:r w:rsidRPr="00BC4EE7">
        <w:rPr>
          <w:rFonts w:cs="Times New Roman"/>
          <w:noProof/>
        </w:rPr>
        <w:t xml:space="preserve">Mindezeket a támogatásokat a 2021–2023-as időszakban kell végrehajtani, legalább 2600 pályázó számára. Minden egyetem közvetlenül részesül egy költségvetési juttatásban az Egyetemi Minisztériumtól, objektív kritériumok alapján, beleértve az oktató és kutató személyzet létszámát és a doktori doktori disszertációt. A pályázókat a pályázatok alapján az egyes egyetemek által kinevezett, nemzetközi presztízsű szakértői testületnek kell értékelnie, amely legalább három tagból és külső szakértők többségéből áll. </w:t>
      </w:r>
    </w:p>
    <w:p w14:paraId="18C6FA2A" w14:textId="77777777" w:rsidR="00D65CB4" w:rsidRPr="00BC4EE7" w:rsidRDefault="00572307">
      <w:pPr>
        <w:pStyle w:val="P68B1DB1-Normal21"/>
        <w:spacing w:after="120" w:line="240" w:lineRule="auto"/>
        <w:jc w:val="both"/>
        <w:rPr>
          <w:rFonts w:cs="Times New Roman"/>
          <w:noProof/>
        </w:rPr>
      </w:pPr>
      <w:r w:rsidRPr="00BC4EE7">
        <w:rPr>
          <w:rFonts w:cs="Times New Roman"/>
          <w:noProof/>
        </w:rPr>
        <w:t>Az intézkedés végrehajtását 2023. december 31-ig be kell fejezni.</w:t>
      </w:r>
    </w:p>
    <w:p w14:paraId="2477D2C2" w14:textId="77777777" w:rsidR="00D65CB4" w:rsidRPr="00BC4EE7" w:rsidRDefault="00572307">
      <w:pPr>
        <w:pStyle w:val="P68B1DB1-Normal21"/>
        <w:spacing w:before="120" w:after="120" w:line="240" w:lineRule="auto"/>
        <w:jc w:val="both"/>
        <w:rPr>
          <w:rFonts w:cs="Times New Roman"/>
          <w:noProof/>
          <w:u w:val="single"/>
        </w:rPr>
      </w:pPr>
      <w:r w:rsidRPr="00BC4EE7">
        <w:rPr>
          <w:rFonts w:cs="Times New Roman"/>
          <w:noProof/>
          <w:u w:val="single"/>
        </w:rPr>
        <w:t>Beruházás (C21.I5) – Az egyetemek digitális infrastruktúrájának, berendezéseinek, technológiáinak, oktatásának és értékelésének javítása</w:t>
      </w:r>
      <w:r w:rsidRPr="00BC4EE7">
        <w:rPr>
          <w:rFonts w:cs="Times New Roman"/>
          <w:noProof/>
        </w:rPr>
        <w:t xml:space="preserve"> </w:t>
      </w:r>
    </w:p>
    <w:p w14:paraId="23DD2A7B"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shd w:val="clear" w:color="auto" w:fill="FFFFFF"/>
        </w:rPr>
        <w:t>Ez a beruházás számos olyan intézkedést tartalmaz</w:t>
      </w:r>
      <w:r w:rsidRPr="00BC4EE7">
        <w:rPr>
          <w:rFonts w:cs="Times New Roman"/>
          <w:noProof/>
        </w:rPr>
        <w:t xml:space="preserve">, amelyek célja az egyetemek technológiai és digitális kapacitásainak és készségeinek javítása. Ezek közé tartoznak a digitális oktatási erőforrásokba és infrastruktúrába, például a szerverek felhőalapú adattároló hálózatába, a kiberbiztonságba és az online tanfolyamok tantermi technológiáiba történő beruházások; valamint a tudományos személyzet és a diákok digitális képzésére irányuló beruházások. </w:t>
      </w:r>
    </w:p>
    <w:p w14:paraId="76B36787"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beruházási intézkedéseknek javítaniuk kell a technológiai fejlődést és javítaniuk kell a digitális oktatási szolgáltatásokat támogató digitális erőforrásokat. Támogatást kell nyújtani az üvegszálas hálózatokra összpontosító központi infrastruktúrák és IKT-szolgáltatások számára, és az IKT-szolgáltatásokat a méretgazdaságosságra és az interoperabilitásra építve, hatékonyan kell kiépíteni. Az egyik fő célkitűzés a tudományos személyzet és a hallgatók közötti digitális szakadék csökkentésére irányuló beruházások irányítása a távoktatáshoz szükséges szolgáltatások és berendezések javítása érdekében. További célkitűzések: beruházás az egyetemek közötti digitális innovációs projektek előmozdításába, amelyek szélesebb körben is kiterjeszthetők és reprodukálhatók, valamint a nemzeti távoktatási egyetem (UNED) támogatása az elnéptelenedett területeken a felsőoktatási lehetőségek javítása érdekében.</w:t>
      </w:r>
    </w:p>
    <w:p w14:paraId="5B97A4BF" w14:textId="1C0F3984"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cél a „digitális egyetemi index” alakulásának nyomon követése és terjesztése az Egyetemi Minisztérium honlapján keresztül azzal a céllal, hogy az indexet 2023-ban 2019-hez képest legalább 10%-kal növeljék az egyetemi rendszer egészében. Ennek a mutatónak különböző dimenziókat kell lefednie, beleértve az irányítást is (például a digitális tanításhoz engedélyezett tantermek számát, a digitális rendszereket használó tanárok számát, az online eljárások számát és a kampuszokon való összekapcsoltság szintjét stb.); innováció (például egyetemek közötti digitális megállapodások, tanulási elemzési tevékenységek, multimédiás adattárak, az oktatók digitális kompetenciái, személyre szabott útvonalak stb.); valamint irányítás (például digitális átalakítási terv, digitalizációs projektportfóliók és a digitális kompetenciákkal kapcsolatos képzési tervek stb.). </w:t>
      </w:r>
    </w:p>
    <w:p w14:paraId="63981338"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Az egyetemeknek évente nyomon követési információkat kell szolgáltatniuk belső ellenőrzési területük tanúsítása révén.</w:t>
      </w:r>
    </w:p>
    <w:p w14:paraId="5C263165" w14:textId="77777777" w:rsidR="00D65CB4" w:rsidRPr="00BC4EE7" w:rsidRDefault="00572307">
      <w:pPr>
        <w:pStyle w:val="P68B1DB1-Normal21"/>
        <w:spacing w:before="120" w:after="120" w:line="240" w:lineRule="auto"/>
        <w:jc w:val="both"/>
        <w:rPr>
          <w:rFonts w:cs="Times New Roman"/>
          <w:noProof/>
        </w:rPr>
      </w:pPr>
      <w:r w:rsidRPr="00BC4EE7">
        <w:rPr>
          <w:rFonts w:cs="Times New Roman"/>
          <w:noProof/>
        </w:rPr>
        <w:t>Az intézkedés végrehajtását 2023. december 31-ig be kell fejezni.</w:t>
      </w:r>
    </w:p>
    <w:p w14:paraId="4041D8AB"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(C21.I6) – Az egyetemi mikrotanúsítványok fejlesztési terve</w:t>
      </w:r>
    </w:p>
    <w:p w14:paraId="3921DDF4" w14:textId="6B52DAA7" w:rsidR="00D65CB4" w:rsidRPr="00BC4EE7" w:rsidRDefault="00572307">
      <w:pPr>
        <w:pStyle w:val="P68B1DB1-Normal4"/>
        <w:spacing w:before="120" w:after="120" w:line="240" w:lineRule="auto"/>
        <w:jc w:val="both"/>
        <w:rPr>
          <w:rFonts w:cs="Times New Roman"/>
          <w:noProof/>
        </w:rPr>
      </w:pPr>
      <w:r w:rsidRPr="00BC4EE7">
        <w:rPr>
          <w:rFonts w:cs="Times New Roman"/>
          <w:noProof/>
        </w:rPr>
        <w:t>E beruházás célja az egész életen át tartó tanulással foglalkozó intézményként működő egyetemi rendszer kapacitásainak fejlesztése, valamint a felnőttek továbbképzéséhez és átképzéséhez való hozzájárulás az egész életen át tartó tanulást és a foglalkoztathatóságot szolgáló mikrotanúsítványokra vonatkozó európai megközelítésről szóló, 2022 júniusában elfogadott tanácsi ajánlással összhangban.</w:t>
      </w:r>
    </w:p>
    <w:p w14:paraId="634CBE91"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Ezen intézkedés első eleme a mikrotanúsítványok kidolgozására szolgáló keret létrehozására irányuló cselekvési terv elfogadása, amelyet az Egyetemi Minisztérium az érdekelt felekkel folytatott konzultációt követően dolgozott ki, és amelyet közzé kell tenni a minisztérium honlapján. Vnek ki kell terjednie i. az egyetemek egész életen át tartó tanulást végző intézményekké való átalakítására irányuló intézkedésekre; a felnőttek és munkáltatóik keresletének ösztönzése; iii. a mikrotanúsítványok minőségének és relevanciájának előmozdítása; i. a hozzáférés méltányosságának támogatása; valamint v. személyre szabott és rugalmas képzési pályák kialakítása.</w:t>
      </w:r>
    </w:p>
    <w:p w14:paraId="1237B438" w14:textId="7ED8D155" w:rsidR="00D65CB4" w:rsidRPr="00BC4EE7" w:rsidRDefault="00572307">
      <w:pPr>
        <w:pStyle w:val="P68B1DB1-Normal4"/>
        <w:spacing w:before="120" w:after="120" w:line="240" w:lineRule="auto"/>
        <w:jc w:val="both"/>
        <w:rPr>
          <w:rFonts w:cs="Times New Roman"/>
          <w:noProof/>
        </w:rPr>
      </w:pPr>
      <w:r w:rsidRPr="00BC4EE7">
        <w:rPr>
          <w:rFonts w:cs="Times New Roman"/>
          <w:noProof/>
        </w:rPr>
        <w:t>Ezen intézkedés második eleme legalább 60000 egységnyi, 15 ECTS-nél rövidebb időtartamú mikrotanúsítvány biztosítása, amely legalább 1000 különböző képzési tevékenységnek felel meg, beleértve annak lehetőségét is, hogy ugyanazon felnőtt több egységet kapjon. A képzési tevékenységeknek konkrét ismereteket és készségeket kell biztosítaniuk a munkaerőpiacon. Az intézkedés magában foglalja továbbá a mikrotanúsítványok 2025. december 31-ig történő rendelkezésre bocsátásáról szóló értékelő jelentés közzétételét az Egyetemi Minisztérium honlapján.</w:t>
      </w:r>
    </w:p>
    <w:p w14:paraId="7E097F43"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Az intézkedés végrehajtásának határideje 2026. június 30.</w:t>
      </w:r>
    </w:p>
    <w:p w14:paraId="4D643303" w14:textId="77777777" w:rsidR="00D65CB4" w:rsidRPr="00BC4EE7" w:rsidRDefault="00572307">
      <w:pPr>
        <w:spacing w:before="120" w:after="120" w:line="240" w:lineRule="auto"/>
        <w:ind w:left="709"/>
        <w:jc w:val="both"/>
        <w:rPr>
          <w:rFonts w:ascii="Times New Roman" w:hAnsi="Times New Roman" w:cs="Times New Roman"/>
          <w:b/>
          <w:noProof/>
          <w:sz w:val="24"/>
          <w:u w:val="single"/>
        </w:rPr>
      </w:pPr>
      <w:r w:rsidRPr="00BC4EE7">
        <w:rPr>
          <w:rFonts w:ascii="Times New Roman" w:hAnsi="Times New Roman" w:cs="Times New Roman"/>
          <w:b/>
          <w:noProof/>
          <w:sz w:val="24"/>
          <w:u w:val="single"/>
        </w:rPr>
        <w:t xml:space="preserve">U.2.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Vissza nem térítendő pénzügyi támogatás – a végrehajtáshoz és a nyomon követéshez kapcsolódó mérföldkövek, célok, mutatók és ütemterv</w:t>
      </w:r>
    </w:p>
    <w:p w14:paraId="1805D5BB" w14:textId="77777777" w:rsidR="00D65CB4" w:rsidRPr="00BC4EE7" w:rsidRDefault="00572307">
      <w:pPr>
        <w:pStyle w:val="P68B1DB1-Normal4"/>
        <w:spacing w:before="120" w:after="120" w:line="240" w:lineRule="auto"/>
        <w:jc w:val="both"/>
        <w:rPr>
          <w:rFonts w:cs="Times New Roman"/>
          <w:noProof/>
        </w:rPr>
      </w:pPr>
      <w:r w:rsidRPr="00BC4EE7">
        <w:rPr>
          <w:rFonts w:cs="Times New Roman"/>
          <w:i/>
          <w:noProof/>
        </w:rPr>
        <w:t>Táblázat alább.</w:t>
      </w:r>
      <w:r w:rsidRPr="00BC4EE7">
        <w:rPr>
          <w:rFonts w:cs="Times New Roman"/>
          <w:noProof/>
        </w:rPr>
        <w:t xml:space="preserve"> </w:t>
      </w:r>
      <w:r w:rsidRPr="00BC4EE7">
        <w:rPr>
          <w:rFonts w:cs="Times New Roman"/>
          <w:i/>
          <w:noProof/>
        </w:rPr>
        <w:t>Az összes mutató esetében az alapforgatókönyv időpontja 2020. február 1., kivéve, ha az intézkedés leírása ettől eltérően rendelkezik. A táblázatban szereplő összegek nem tartalmazzák a héát.</w:t>
      </w:r>
    </w:p>
    <w:p w14:paraId="32E52008" w14:textId="77777777" w:rsidR="00D65CB4" w:rsidRPr="00BC4EE7" w:rsidRDefault="00D65CB4">
      <w:pPr>
        <w:spacing w:before="120" w:after="120" w:line="240" w:lineRule="auto"/>
        <w:jc w:val="both"/>
        <w:rPr>
          <w:rFonts w:ascii="Times New Roman" w:hAnsi="Times New Roman" w:cs="Times New Roman"/>
          <w:noProof/>
          <w:sz w:val="24"/>
        </w:rPr>
        <w:sectPr w:rsidR="00D65CB4" w:rsidRPr="00BC4EE7" w:rsidSect="00B511EF">
          <w:headerReference w:type="even" r:id="rId430"/>
          <w:headerReference w:type="default" r:id="rId431"/>
          <w:footerReference w:type="even" r:id="rId432"/>
          <w:footerReference w:type="default" r:id="rId433"/>
          <w:headerReference w:type="first" r:id="rId434"/>
          <w:footerReference w:type="first" r:id="rId435"/>
          <w:pgSz w:w="11907" w:h="16839"/>
          <w:pgMar w:top="1134" w:right="1134" w:bottom="1134" w:left="1134" w:header="567" w:footer="567"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568"/>
        <w:gridCol w:w="992"/>
        <w:gridCol w:w="992"/>
        <w:gridCol w:w="2977"/>
        <w:gridCol w:w="1134"/>
        <w:gridCol w:w="850"/>
        <w:gridCol w:w="709"/>
        <w:gridCol w:w="851"/>
        <w:gridCol w:w="567"/>
        <w:gridCol w:w="708"/>
        <w:gridCol w:w="4962"/>
      </w:tblGrid>
      <w:tr w:rsidR="00D65CB4" w:rsidRPr="00BC4EE7" w14:paraId="5BF40099" w14:textId="77777777" w:rsidTr="00862B13">
        <w:trPr>
          <w:trHeight w:val="309"/>
          <w:tblHeader/>
        </w:trPr>
        <w:tc>
          <w:tcPr>
            <w:tcW w:w="568" w:type="dxa"/>
            <w:tcBorders>
              <w:bottom w:val="nil"/>
            </w:tcBorders>
            <w:shd w:val="clear" w:color="auto" w:fill="C6D9F1" w:themeFill="text2" w:themeFillTint="33"/>
            <w:noWrap/>
            <w:vAlign w:val="center"/>
          </w:tcPr>
          <w:p w14:paraId="1B0A961F"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Szám</w:t>
            </w:r>
          </w:p>
        </w:tc>
        <w:tc>
          <w:tcPr>
            <w:tcW w:w="992" w:type="dxa"/>
            <w:tcBorders>
              <w:bottom w:val="nil"/>
            </w:tcBorders>
            <w:shd w:val="clear" w:color="auto" w:fill="C6D9F1" w:themeFill="text2" w:themeFillTint="33"/>
            <w:noWrap/>
            <w:vAlign w:val="center"/>
          </w:tcPr>
          <w:p w14:paraId="002DD41F"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Intézkedés</w:t>
            </w:r>
          </w:p>
        </w:tc>
        <w:tc>
          <w:tcPr>
            <w:tcW w:w="992" w:type="dxa"/>
            <w:tcBorders>
              <w:bottom w:val="nil"/>
            </w:tcBorders>
            <w:shd w:val="clear" w:color="auto" w:fill="C6D9F1" w:themeFill="text2" w:themeFillTint="33"/>
            <w:noWrap/>
            <w:vAlign w:val="center"/>
          </w:tcPr>
          <w:p w14:paraId="792F46DB" w14:textId="77777777" w:rsidR="00D65CB4" w:rsidRPr="00BC4EE7" w:rsidRDefault="00572307">
            <w:pPr>
              <w:spacing w:after="0" w:line="240" w:lineRule="auto"/>
              <w:jc w:val="center"/>
              <w:rPr>
                <w:rFonts w:ascii="Times New Roman" w:hAnsi="Times New Roman" w:cs="Times New Roman"/>
                <w:b/>
                <w:noProof/>
                <w:sz w:val="18"/>
              </w:rPr>
            </w:pPr>
            <w:r w:rsidRPr="00BC4EE7">
              <w:rPr>
                <w:rFonts w:ascii="Times New Roman" w:hAnsi="Times New Roman" w:cs="Times New Roman"/>
                <w:b/>
                <w:noProof/>
                <w:sz w:val="18"/>
              </w:rPr>
              <w:t>Mérföldkő</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b/>
                <w:noProof/>
                <w:sz w:val="18"/>
              </w:rPr>
              <w:t xml:space="preserve"> /Cél</w:t>
            </w:r>
          </w:p>
        </w:tc>
        <w:tc>
          <w:tcPr>
            <w:tcW w:w="2977" w:type="dxa"/>
            <w:tcBorders>
              <w:bottom w:val="nil"/>
            </w:tcBorders>
            <w:shd w:val="clear" w:color="auto" w:fill="C6D9F1" w:themeFill="text2" w:themeFillTint="33"/>
            <w:noWrap/>
            <w:vAlign w:val="center"/>
          </w:tcPr>
          <w:p w14:paraId="25BE3619"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Név</w:t>
            </w:r>
          </w:p>
        </w:tc>
        <w:tc>
          <w:tcPr>
            <w:tcW w:w="1134" w:type="dxa"/>
            <w:tcBorders>
              <w:bottom w:val="nil"/>
            </w:tcBorders>
            <w:shd w:val="clear" w:color="auto" w:fill="C6D9F1" w:themeFill="text2" w:themeFillTint="33"/>
            <w:noWrap/>
            <w:vAlign w:val="center"/>
          </w:tcPr>
          <w:p w14:paraId="0D2E2C96"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mérföldkövek minőségi mutatója</w:t>
            </w:r>
          </w:p>
        </w:tc>
        <w:tc>
          <w:tcPr>
            <w:tcW w:w="2410" w:type="dxa"/>
            <w:gridSpan w:val="3"/>
            <w:shd w:val="clear" w:color="auto" w:fill="C6D9F1" w:themeFill="text2" w:themeFillTint="33"/>
            <w:noWrap/>
          </w:tcPr>
          <w:p w14:paraId="3F711F41"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célérték mennyiségi mutatója</w:t>
            </w:r>
          </w:p>
        </w:tc>
        <w:tc>
          <w:tcPr>
            <w:tcW w:w="1275" w:type="dxa"/>
            <w:gridSpan w:val="2"/>
            <w:shd w:val="clear" w:color="auto" w:fill="C6D9F1" w:themeFill="text2" w:themeFillTint="33"/>
            <w:noWrap/>
          </w:tcPr>
          <w:p w14:paraId="71C8D342"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Idő</w:t>
            </w:r>
          </w:p>
        </w:tc>
        <w:tc>
          <w:tcPr>
            <w:tcW w:w="4962" w:type="dxa"/>
            <w:tcBorders>
              <w:bottom w:val="nil"/>
            </w:tcBorders>
            <w:shd w:val="clear" w:color="auto" w:fill="C6D9F1" w:themeFill="text2" w:themeFillTint="33"/>
            <w:noWrap/>
          </w:tcPr>
          <w:p w14:paraId="405D723A"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Az egyes mérföldkövek és célértékek leírása</w:t>
            </w:r>
          </w:p>
        </w:tc>
      </w:tr>
      <w:tr w:rsidR="00D65CB4" w:rsidRPr="00BC4EE7" w14:paraId="614FACF3" w14:textId="77777777" w:rsidTr="00862B13">
        <w:trPr>
          <w:trHeight w:val="309"/>
          <w:tblHeader/>
        </w:trPr>
        <w:tc>
          <w:tcPr>
            <w:tcW w:w="568" w:type="dxa"/>
            <w:tcBorders>
              <w:top w:val="nil"/>
            </w:tcBorders>
            <w:shd w:val="clear" w:color="auto" w:fill="C6D9F1" w:themeFill="text2" w:themeFillTint="33"/>
            <w:noWrap/>
          </w:tcPr>
          <w:p w14:paraId="3AC7CC24" w14:textId="77777777" w:rsidR="00D65CB4" w:rsidRPr="00BC4EE7" w:rsidRDefault="00D65CB4">
            <w:pPr>
              <w:spacing w:after="0" w:line="240" w:lineRule="auto"/>
              <w:jc w:val="center"/>
              <w:rPr>
                <w:rFonts w:ascii="Times New Roman" w:hAnsi="Times New Roman" w:cs="Times New Roman"/>
                <w:b/>
                <w:noProof/>
                <w:sz w:val="18"/>
              </w:rPr>
            </w:pPr>
          </w:p>
        </w:tc>
        <w:tc>
          <w:tcPr>
            <w:tcW w:w="992" w:type="dxa"/>
            <w:tcBorders>
              <w:top w:val="nil"/>
            </w:tcBorders>
            <w:shd w:val="clear" w:color="auto" w:fill="C6D9F1" w:themeFill="text2" w:themeFillTint="33"/>
            <w:noWrap/>
          </w:tcPr>
          <w:p w14:paraId="1DEF63C3" w14:textId="77777777" w:rsidR="00D65CB4" w:rsidRPr="00BC4EE7" w:rsidRDefault="00D65CB4">
            <w:pPr>
              <w:spacing w:after="0" w:line="240" w:lineRule="auto"/>
              <w:jc w:val="center"/>
              <w:rPr>
                <w:rFonts w:ascii="Times New Roman" w:hAnsi="Times New Roman" w:cs="Times New Roman"/>
                <w:b/>
                <w:noProof/>
                <w:sz w:val="18"/>
              </w:rPr>
            </w:pPr>
          </w:p>
        </w:tc>
        <w:tc>
          <w:tcPr>
            <w:tcW w:w="992" w:type="dxa"/>
            <w:tcBorders>
              <w:top w:val="nil"/>
            </w:tcBorders>
            <w:shd w:val="clear" w:color="auto" w:fill="C6D9F1" w:themeFill="text2" w:themeFillTint="33"/>
            <w:noWrap/>
          </w:tcPr>
          <w:p w14:paraId="03D2EBC9" w14:textId="77777777" w:rsidR="00D65CB4" w:rsidRPr="00BC4EE7" w:rsidRDefault="00D65CB4">
            <w:pPr>
              <w:spacing w:after="0" w:line="240" w:lineRule="auto"/>
              <w:jc w:val="center"/>
              <w:rPr>
                <w:rFonts w:ascii="Times New Roman" w:hAnsi="Times New Roman" w:cs="Times New Roman"/>
                <w:b/>
                <w:noProof/>
                <w:sz w:val="18"/>
              </w:rPr>
            </w:pPr>
          </w:p>
        </w:tc>
        <w:tc>
          <w:tcPr>
            <w:tcW w:w="2977" w:type="dxa"/>
            <w:tcBorders>
              <w:top w:val="nil"/>
            </w:tcBorders>
            <w:shd w:val="clear" w:color="auto" w:fill="C6D9F1" w:themeFill="text2" w:themeFillTint="33"/>
            <w:noWrap/>
          </w:tcPr>
          <w:p w14:paraId="4DAC3D7C" w14:textId="77777777" w:rsidR="00D65CB4" w:rsidRPr="00BC4EE7" w:rsidRDefault="00D65CB4">
            <w:pPr>
              <w:spacing w:after="0" w:line="240" w:lineRule="auto"/>
              <w:rPr>
                <w:rFonts w:ascii="Times New Roman" w:hAnsi="Times New Roman" w:cs="Times New Roman"/>
                <w:b/>
                <w:noProof/>
                <w:sz w:val="18"/>
              </w:rPr>
            </w:pPr>
          </w:p>
        </w:tc>
        <w:tc>
          <w:tcPr>
            <w:tcW w:w="1134" w:type="dxa"/>
            <w:tcBorders>
              <w:top w:val="nil"/>
            </w:tcBorders>
            <w:shd w:val="clear" w:color="auto" w:fill="C6D9F1" w:themeFill="text2" w:themeFillTint="33"/>
            <w:noWrap/>
          </w:tcPr>
          <w:p w14:paraId="63BF921D" w14:textId="77777777" w:rsidR="00D65CB4" w:rsidRPr="00BC4EE7" w:rsidRDefault="00D65CB4">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tcPr>
          <w:p w14:paraId="47555B18"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Egység</w:t>
            </w:r>
          </w:p>
        </w:tc>
        <w:tc>
          <w:tcPr>
            <w:tcW w:w="709" w:type="dxa"/>
            <w:shd w:val="clear" w:color="auto" w:fill="C6D9F1" w:themeFill="text2" w:themeFillTint="33"/>
            <w:noWrap/>
          </w:tcPr>
          <w:p w14:paraId="30948B86"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Kiindulási</w:t>
            </w:r>
          </w:p>
        </w:tc>
        <w:tc>
          <w:tcPr>
            <w:tcW w:w="851" w:type="dxa"/>
            <w:shd w:val="clear" w:color="auto" w:fill="C6D9F1" w:themeFill="text2" w:themeFillTint="33"/>
            <w:noWrap/>
          </w:tcPr>
          <w:p w14:paraId="4DB96B6C"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Cél</w:t>
            </w:r>
          </w:p>
        </w:tc>
        <w:tc>
          <w:tcPr>
            <w:tcW w:w="567" w:type="dxa"/>
            <w:shd w:val="clear" w:color="auto" w:fill="C6D9F1" w:themeFill="text2" w:themeFillTint="33"/>
            <w:noWrap/>
          </w:tcPr>
          <w:p w14:paraId="5D5ADC9C"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Q</w:t>
            </w:r>
          </w:p>
        </w:tc>
        <w:tc>
          <w:tcPr>
            <w:tcW w:w="708" w:type="dxa"/>
            <w:shd w:val="clear" w:color="auto" w:fill="C6D9F1" w:themeFill="text2" w:themeFillTint="33"/>
            <w:noWrap/>
          </w:tcPr>
          <w:p w14:paraId="01CE265D"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Éve</w:t>
            </w:r>
          </w:p>
        </w:tc>
        <w:tc>
          <w:tcPr>
            <w:tcW w:w="4962" w:type="dxa"/>
            <w:tcBorders>
              <w:top w:val="nil"/>
            </w:tcBorders>
            <w:shd w:val="clear" w:color="auto" w:fill="C6D9F1" w:themeFill="text2" w:themeFillTint="33"/>
            <w:noWrap/>
          </w:tcPr>
          <w:p w14:paraId="5CA28185" w14:textId="77777777" w:rsidR="00D65CB4" w:rsidRPr="00BC4EE7" w:rsidRDefault="00D65CB4">
            <w:pPr>
              <w:spacing w:after="0" w:line="240" w:lineRule="auto"/>
              <w:rPr>
                <w:rFonts w:ascii="Times New Roman" w:hAnsi="Times New Roman" w:cs="Times New Roman"/>
                <w:b/>
                <w:noProof/>
                <w:sz w:val="18"/>
              </w:rPr>
            </w:pPr>
          </w:p>
        </w:tc>
      </w:tr>
      <w:tr w:rsidR="00D65CB4" w:rsidRPr="00BC4EE7" w14:paraId="147D6968" w14:textId="77777777" w:rsidTr="00862B13">
        <w:trPr>
          <w:trHeight w:val="309"/>
        </w:trPr>
        <w:tc>
          <w:tcPr>
            <w:tcW w:w="568" w:type="dxa"/>
            <w:shd w:val="clear" w:color="auto" w:fill="C6EFCE"/>
            <w:noWrap/>
          </w:tcPr>
          <w:p w14:paraId="48AACAC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303</w:t>
            </w:r>
          </w:p>
        </w:tc>
        <w:tc>
          <w:tcPr>
            <w:tcW w:w="992" w:type="dxa"/>
            <w:shd w:val="clear" w:color="auto" w:fill="C6EFCE"/>
            <w:noWrap/>
          </w:tcPr>
          <w:p w14:paraId="5B313E34"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C21.R1</w:t>
            </w:r>
          </w:p>
        </w:tc>
        <w:tc>
          <w:tcPr>
            <w:tcW w:w="992" w:type="dxa"/>
            <w:shd w:val="clear" w:color="auto" w:fill="C6EFCE"/>
            <w:noWrap/>
          </w:tcPr>
          <w:p w14:paraId="0B2C46E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2977" w:type="dxa"/>
            <w:shd w:val="clear" w:color="auto" w:fill="C6EFCE"/>
            <w:noWrap/>
          </w:tcPr>
          <w:p w14:paraId="3CA8E8FB"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Az oktatásról szóló sarkalatos törvény hatálybalépése </w:t>
            </w:r>
          </w:p>
        </w:tc>
        <w:tc>
          <w:tcPr>
            <w:tcW w:w="1134" w:type="dxa"/>
            <w:shd w:val="clear" w:color="auto" w:fill="C6EFCE"/>
            <w:noWrap/>
          </w:tcPr>
          <w:p w14:paraId="36FEAF9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A törvénynek az alkotmányos törvény hatálybalépését feltüntető rendelkezése </w:t>
            </w:r>
          </w:p>
        </w:tc>
        <w:tc>
          <w:tcPr>
            <w:tcW w:w="850" w:type="dxa"/>
            <w:shd w:val="clear" w:color="auto" w:fill="C6EFCE"/>
            <w:noWrap/>
          </w:tcPr>
          <w:p w14:paraId="63A2F57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709" w:type="dxa"/>
            <w:shd w:val="clear" w:color="auto" w:fill="C6EFCE"/>
            <w:noWrap/>
          </w:tcPr>
          <w:p w14:paraId="7DB0C11B"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851" w:type="dxa"/>
            <w:shd w:val="clear" w:color="auto" w:fill="C6EFCE"/>
            <w:noWrap/>
          </w:tcPr>
          <w:p w14:paraId="00ED1CF4"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567" w:type="dxa"/>
            <w:shd w:val="clear" w:color="auto" w:fill="C6EFCE"/>
            <w:noWrap/>
          </w:tcPr>
          <w:p w14:paraId="237C5EB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Q1</w:t>
            </w:r>
          </w:p>
        </w:tc>
        <w:tc>
          <w:tcPr>
            <w:tcW w:w="708" w:type="dxa"/>
            <w:shd w:val="clear" w:color="auto" w:fill="C6EFCE"/>
            <w:noWrap/>
          </w:tcPr>
          <w:p w14:paraId="754B1E9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2021</w:t>
            </w:r>
          </w:p>
        </w:tc>
        <w:tc>
          <w:tcPr>
            <w:tcW w:w="4962" w:type="dxa"/>
            <w:shd w:val="clear" w:color="auto" w:fill="C6EFCE"/>
            <w:noWrap/>
          </w:tcPr>
          <w:p w14:paraId="5DE0CF4B"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Az oktatásról szóló sarkalatos törvény (LOMLOE) célja egy olyan megújított jogrendszer létrehozása, amely a minőség, a méltányosság és a befogadás elve alapján növeli a diákok oktatási és képzési lehetőségeit, és hozzájárul az oktatási eredmények javításához. </w:t>
            </w:r>
          </w:p>
        </w:tc>
      </w:tr>
      <w:tr w:rsidR="00D65CB4" w:rsidRPr="00BC4EE7" w14:paraId="0C0DD3F9" w14:textId="77777777" w:rsidTr="00862B13">
        <w:trPr>
          <w:trHeight w:val="309"/>
        </w:trPr>
        <w:tc>
          <w:tcPr>
            <w:tcW w:w="568" w:type="dxa"/>
            <w:shd w:val="clear" w:color="auto" w:fill="C6EFCE"/>
            <w:noWrap/>
          </w:tcPr>
          <w:p w14:paraId="2A41899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304</w:t>
            </w:r>
          </w:p>
        </w:tc>
        <w:tc>
          <w:tcPr>
            <w:tcW w:w="992" w:type="dxa"/>
            <w:shd w:val="clear" w:color="auto" w:fill="C6EFCE"/>
            <w:noWrap/>
          </w:tcPr>
          <w:p w14:paraId="2F48DC7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C21.R2</w:t>
            </w:r>
          </w:p>
        </w:tc>
        <w:tc>
          <w:tcPr>
            <w:tcW w:w="992" w:type="dxa"/>
            <w:shd w:val="clear" w:color="auto" w:fill="C6EFCE"/>
            <w:noWrap/>
          </w:tcPr>
          <w:p w14:paraId="193DD2C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2977" w:type="dxa"/>
            <w:shd w:val="clear" w:color="auto" w:fill="C6EFCE"/>
            <w:noWrap/>
          </w:tcPr>
          <w:p w14:paraId="73CC4CE5"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Az oktatás minimális követelményeiről szóló királyi rendelet hatálybalépése </w:t>
            </w:r>
          </w:p>
        </w:tc>
        <w:tc>
          <w:tcPr>
            <w:tcW w:w="1134" w:type="dxa"/>
            <w:shd w:val="clear" w:color="auto" w:fill="C6EFCE"/>
            <w:noWrap/>
          </w:tcPr>
          <w:p w14:paraId="7FAEF24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A királyi rendeletnek a királyi rendelet hatálybalépésére vonatkozó rendelkezése</w:t>
            </w:r>
          </w:p>
        </w:tc>
        <w:tc>
          <w:tcPr>
            <w:tcW w:w="850" w:type="dxa"/>
            <w:shd w:val="clear" w:color="auto" w:fill="C6EFCE"/>
            <w:noWrap/>
          </w:tcPr>
          <w:p w14:paraId="7590E4F4"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709" w:type="dxa"/>
            <w:shd w:val="clear" w:color="auto" w:fill="C6EFCE"/>
            <w:noWrap/>
          </w:tcPr>
          <w:p w14:paraId="52AC6524"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851" w:type="dxa"/>
            <w:shd w:val="clear" w:color="auto" w:fill="C6EFCE"/>
            <w:noWrap/>
          </w:tcPr>
          <w:p w14:paraId="3AB103B3"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567" w:type="dxa"/>
            <w:shd w:val="clear" w:color="auto" w:fill="C6EFCE"/>
            <w:noWrap/>
          </w:tcPr>
          <w:p w14:paraId="33E7B9E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Q1</w:t>
            </w:r>
          </w:p>
        </w:tc>
        <w:tc>
          <w:tcPr>
            <w:tcW w:w="708" w:type="dxa"/>
            <w:shd w:val="clear" w:color="auto" w:fill="C6EFCE"/>
            <w:noWrap/>
          </w:tcPr>
          <w:p w14:paraId="5BD39E8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2022</w:t>
            </w:r>
          </w:p>
        </w:tc>
        <w:tc>
          <w:tcPr>
            <w:tcW w:w="4962" w:type="dxa"/>
            <w:shd w:val="clear" w:color="auto" w:fill="C6EFCE"/>
            <w:noWrap/>
          </w:tcPr>
          <w:p w14:paraId="607538B8"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Az alapfokú oktatásra, a kötelező középfokú oktatásra és az érettségi vizsgára vonatkozó oktatási minimumkövetelményekről szóló királyi rendelet magában foglalja a „puha készségeket” is magában foglaló kompetenciaalapú tanterven alapuló oktatásra és tanulásra vonatkozó módszertani iránymutatások bevezetését; a kompetenciák megszerzésének értékelési kerete; rugalmasabb és nyitottabb modell kialakítása, amely elősegíti a mélyreható tanulást; valamint oktatási anyagok, támogatás, iránymutatás és képzés elkészítése a tanárok számára annak biztosítása érdekében, hogy hatékonyan végre tudják hajtani az új tantervet. </w:t>
            </w:r>
          </w:p>
        </w:tc>
      </w:tr>
      <w:tr w:rsidR="00D65CB4" w:rsidRPr="00BC4EE7" w14:paraId="1C9F393F" w14:textId="77777777" w:rsidTr="00862B13">
        <w:trPr>
          <w:trHeight w:val="309"/>
        </w:trPr>
        <w:tc>
          <w:tcPr>
            <w:tcW w:w="568" w:type="dxa"/>
            <w:shd w:val="clear" w:color="auto" w:fill="C6EFCE"/>
            <w:noWrap/>
          </w:tcPr>
          <w:p w14:paraId="0989A4D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305</w:t>
            </w:r>
          </w:p>
        </w:tc>
        <w:tc>
          <w:tcPr>
            <w:tcW w:w="992" w:type="dxa"/>
            <w:shd w:val="clear" w:color="auto" w:fill="C6EFCE"/>
            <w:noWrap/>
          </w:tcPr>
          <w:p w14:paraId="00868EF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C21.R2</w:t>
            </w:r>
          </w:p>
        </w:tc>
        <w:tc>
          <w:tcPr>
            <w:tcW w:w="992" w:type="dxa"/>
            <w:shd w:val="clear" w:color="auto" w:fill="C6EFCE"/>
            <w:noWrap/>
          </w:tcPr>
          <w:p w14:paraId="4527B46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2977" w:type="dxa"/>
            <w:shd w:val="clear" w:color="auto" w:fill="C6EFCE"/>
            <w:noWrap/>
          </w:tcPr>
          <w:p w14:paraId="1F3FE9D9"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 tanárokat az új tanterv végrehajtásában segítő és támogató anyagok, valamint a szakemberek képzése </w:t>
            </w:r>
          </w:p>
        </w:tc>
        <w:tc>
          <w:tcPr>
            <w:tcW w:w="1134" w:type="dxa"/>
            <w:shd w:val="clear" w:color="auto" w:fill="C6EFCE"/>
            <w:noWrap/>
          </w:tcPr>
          <w:p w14:paraId="71FAEB64"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A közzétett anyagokról és az adott képzésről szóló tanúsítványok</w:t>
            </w:r>
          </w:p>
        </w:tc>
        <w:tc>
          <w:tcPr>
            <w:tcW w:w="850" w:type="dxa"/>
            <w:shd w:val="clear" w:color="auto" w:fill="C6EFCE"/>
            <w:noWrap/>
          </w:tcPr>
          <w:p w14:paraId="4225590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709" w:type="dxa"/>
            <w:shd w:val="clear" w:color="auto" w:fill="C6EFCE"/>
            <w:noWrap/>
          </w:tcPr>
          <w:p w14:paraId="2DD6667F"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851" w:type="dxa"/>
            <w:shd w:val="clear" w:color="auto" w:fill="C6EFCE"/>
            <w:noWrap/>
          </w:tcPr>
          <w:p w14:paraId="1526EC02"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567" w:type="dxa"/>
            <w:shd w:val="clear" w:color="auto" w:fill="C6EFCE"/>
            <w:noWrap/>
          </w:tcPr>
          <w:p w14:paraId="1138C25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Q3</w:t>
            </w:r>
          </w:p>
        </w:tc>
        <w:tc>
          <w:tcPr>
            <w:tcW w:w="708" w:type="dxa"/>
            <w:shd w:val="clear" w:color="auto" w:fill="C6EFCE"/>
            <w:noWrap/>
          </w:tcPr>
          <w:p w14:paraId="49849DF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2024</w:t>
            </w:r>
          </w:p>
        </w:tc>
        <w:tc>
          <w:tcPr>
            <w:tcW w:w="4962" w:type="dxa"/>
            <w:shd w:val="clear" w:color="auto" w:fill="C6EFCE"/>
            <w:noWrap/>
          </w:tcPr>
          <w:p w14:paraId="7FACA0BC"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támogató útmutató és oktatási anyagok elkészítése befejeződött. Minden anyagot online közzé kell tenni a tanárok 100%-a számára.  Legalább 4000 tanárnak el kell végeznie az új tanterv alkalmazására irányuló képzést. Legalább 100 külső szakértőnek kell részt vennie az oktatási szakaszok területeire és tantárgyaira vonatkozó tanterv, valamint az értékelési keretek kidolgozásában, amelyek az új tanterv királyi rendeleteinek és a közös értékelési keretnek az alapját képezik.</w:t>
            </w:r>
          </w:p>
        </w:tc>
      </w:tr>
      <w:tr w:rsidR="00D65CB4" w:rsidRPr="00BC4EE7" w14:paraId="49971E8F" w14:textId="77777777" w:rsidTr="00862B13">
        <w:trPr>
          <w:trHeight w:val="309"/>
        </w:trPr>
        <w:tc>
          <w:tcPr>
            <w:tcW w:w="568" w:type="dxa"/>
            <w:shd w:val="clear" w:color="auto" w:fill="C6EFCE"/>
            <w:noWrap/>
          </w:tcPr>
          <w:p w14:paraId="2363DD8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306</w:t>
            </w:r>
          </w:p>
        </w:tc>
        <w:tc>
          <w:tcPr>
            <w:tcW w:w="992" w:type="dxa"/>
            <w:shd w:val="clear" w:color="auto" w:fill="C6EFCE"/>
            <w:noWrap/>
          </w:tcPr>
          <w:p w14:paraId="49378F3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C21.R3</w:t>
            </w:r>
          </w:p>
        </w:tc>
        <w:tc>
          <w:tcPr>
            <w:tcW w:w="992" w:type="dxa"/>
            <w:shd w:val="clear" w:color="auto" w:fill="C6EFCE"/>
            <w:noWrap/>
          </w:tcPr>
          <w:p w14:paraId="737E09C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2977" w:type="dxa"/>
            <w:shd w:val="clear" w:color="auto" w:fill="C6EFCE"/>
            <w:noWrap/>
          </w:tcPr>
          <w:p w14:paraId="4549ADC5"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Az egyetemek szervezésére vonatkozó királyi rendeletek hatálybalépése</w:t>
            </w:r>
          </w:p>
        </w:tc>
        <w:tc>
          <w:tcPr>
            <w:tcW w:w="1134" w:type="dxa"/>
            <w:shd w:val="clear" w:color="auto" w:fill="C6EFCE"/>
            <w:noWrap/>
          </w:tcPr>
          <w:p w14:paraId="369C4B4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A királyi rendeleteknek a királyi rendeletek hatálybalépésére vonatkozó rendelkezése</w:t>
            </w:r>
          </w:p>
        </w:tc>
        <w:tc>
          <w:tcPr>
            <w:tcW w:w="850" w:type="dxa"/>
            <w:shd w:val="clear" w:color="auto" w:fill="C6EFCE"/>
            <w:noWrap/>
          </w:tcPr>
          <w:p w14:paraId="25011EDD"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709" w:type="dxa"/>
            <w:shd w:val="clear" w:color="auto" w:fill="C6EFCE"/>
            <w:noWrap/>
          </w:tcPr>
          <w:p w14:paraId="3709DAFA"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851" w:type="dxa"/>
            <w:shd w:val="clear" w:color="auto" w:fill="C6EFCE"/>
            <w:noWrap/>
          </w:tcPr>
          <w:p w14:paraId="102288BB"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567" w:type="dxa"/>
            <w:shd w:val="clear" w:color="auto" w:fill="C6EFCE"/>
            <w:noWrap/>
          </w:tcPr>
          <w:p w14:paraId="17E4349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Q3</w:t>
            </w:r>
          </w:p>
        </w:tc>
        <w:tc>
          <w:tcPr>
            <w:tcW w:w="708" w:type="dxa"/>
            <w:shd w:val="clear" w:color="auto" w:fill="C6EFCE"/>
            <w:noWrap/>
          </w:tcPr>
          <w:p w14:paraId="28C269B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2021</w:t>
            </w:r>
          </w:p>
        </w:tc>
        <w:tc>
          <w:tcPr>
            <w:tcW w:w="4962" w:type="dxa"/>
            <w:shd w:val="clear" w:color="auto" w:fill="C6EFCE"/>
            <w:noWrap/>
          </w:tcPr>
          <w:p w14:paraId="455E3153" w14:textId="77777777" w:rsidR="00D65CB4" w:rsidRPr="00BC4EE7" w:rsidRDefault="00572307">
            <w:pPr>
              <w:spacing w:after="0" w:line="240" w:lineRule="auto"/>
              <w:rPr>
                <w:rFonts w:ascii="Times New Roman" w:eastAsia="Times New Roman" w:hAnsi="Times New Roman" w:cs="Times New Roman"/>
                <w:noProof/>
                <w:sz w:val="18"/>
              </w:rPr>
            </w:pPr>
            <w:r w:rsidRPr="00BC4EE7">
              <w:rPr>
                <w:rFonts w:ascii="Times New Roman" w:hAnsi="Times New Roman" w:cs="Times New Roman"/>
                <w:noProof/>
                <w:sz w:val="18"/>
              </w:rPr>
              <w:t>Az egyetemek szervezésére vonatkozó két királyi rendelet a következő:</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Az egyetemi képzések megszervezésének és minőségbiztosítási eljárásának megállapításáról szóló királyi rendelet</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Királyi rendelet az egyetemek és a kapcsolódó központok létrehozásának, elismerésének, engedélyezésének és akkreditációjának rendszeréről.</w:t>
            </w:r>
          </w:p>
        </w:tc>
      </w:tr>
      <w:tr w:rsidR="00D65CB4" w:rsidRPr="00BC4EE7" w14:paraId="7C45691E" w14:textId="77777777" w:rsidTr="00862B13">
        <w:trPr>
          <w:trHeight w:val="309"/>
        </w:trPr>
        <w:tc>
          <w:tcPr>
            <w:tcW w:w="568" w:type="dxa"/>
            <w:shd w:val="clear" w:color="auto" w:fill="C6EFCE"/>
            <w:noWrap/>
          </w:tcPr>
          <w:p w14:paraId="457C32E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307</w:t>
            </w:r>
          </w:p>
        </w:tc>
        <w:tc>
          <w:tcPr>
            <w:tcW w:w="992" w:type="dxa"/>
            <w:shd w:val="clear" w:color="auto" w:fill="C6EFCE"/>
            <w:noWrap/>
          </w:tcPr>
          <w:p w14:paraId="48B8E74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C21.R3</w:t>
            </w:r>
          </w:p>
        </w:tc>
        <w:tc>
          <w:tcPr>
            <w:tcW w:w="992" w:type="dxa"/>
            <w:shd w:val="clear" w:color="auto" w:fill="C6EFCE"/>
            <w:noWrap/>
          </w:tcPr>
          <w:p w14:paraId="788CC30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2977" w:type="dxa"/>
            <w:shd w:val="clear" w:color="auto" w:fill="C6EFCE"/>
            <w:noWrap/>
          </w:tcPr>
          <w:p w14:paraId="4B233E55"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Az egyetemi rendszerről szóló sarkalatos törvény hatálybalépése</w:t>
            </w:r>
          </w:p>
        </w:tc>
        <w:tc>
          <w:tcPr>
            <w:tcW w:w="1134" w:type="dxa"/>
            <w:shd w:val="clear" w:color="auto" w:fill="C6EFCE"/>
            <w:noWrap/>
          </w:tcPr>
          <w:p w14:paraId="221B2BB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A törvénynek az alkotmányos törvény hatálybalépését feltüntető rendelkezése</w:t>
            </w:r>
          </w:p>
        </w:tc>
        <w:tc>
          <w:tcPr>
            <w:tcW w:w="850" w:type="dxa"/>
            <w:shd w:val="clear" w:color="auto" w:fill="C6EFCE"/>
            <w:noWrap/>
          </w:tcPr>
          <w:p w14:paraId="076876A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709" w:type="dxa"/>
            <w:shd w:val="clear" w:color="auto" w:fill="C6EFCE"/>
            <w:noWrap/>
          </w:tcPr>
          <w:p w14:paraId="4D9CAB7A"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851" w:type="dxa"/>
            <w:shd w:val="clear" w:color="auto" w:fill="C6EFCE"/>
            <w:noWrap/>
          </w:tcPr>
          <w:p w14:paraId="0E6B33C0"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 </w:t>
            </w:r>
          </w:p>
        </w:tc>
        <w:tc>
          <w:tcPr>
            <w:tcW w:w="567" w:type="dxa"/>
            <w:shd w:val="clear" w:color="auto" w:fill="C6EFCE"/>
            <w:noWrap/>
          </w:tcPr>
          <w:p w14:paraId="41AD0AB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Q2</w:t>
            </w:r>
          </w:p>
        </w:tc>
        <w:tc>
          <w:tcPr>
            <w:tcW w:w="708" w:type="dxa"/>
            <w:shd w:val="clear" w:color="auto" w:fill="C6EFCE"/>
            <w:noWrap/>
          </w:tcPr>
          <w:p w14:paraId="2680F0A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2023</w:t>
            </w:r>
          </w:p>
        </w:tc>
        <w:tc>
          <w:tcPr>
            <w:tcW w:w="4962" w:type="dxa"/>
            <w:shd w:val="clear" w:color="auto" w:fill="C6EFCE"/>
            <w:noWrap/>
          </w:tcPr>
          <w:p w14:paraId="3B9C751B"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Az új sarkalatos törvény, amelynek célja a felsőoktatáshoz való hozzáférés előmozdítása, az egyetemi kurzusok szervezésének kiigazítása, az egyetemi intézmények jó irányításának biztosítása, valamint az oktatók és kutatók kutatásának, áthelyezésének és mobilitásának előmozdítása. A reformnak fokoznia kell a felsőoktatás munkaerőpiaci relevanciáját, beleértve a magán- és harmadik szektorbeli intézményekkel való együttműködés előmozdítását, valamint az állami egyetemek teljesítményalapú finanszírozásának bevezetését.</w:t>
            </w:r>
          </w:p>
        </w:tc>
      </w:tr>
      <w:tr w:rsidR="00D65CB4" w:rsidRPr="00BC4EE7" w14:paraId="6B8EDAEE" w14:textId="77777777" w:rsidTr="00862B13">
        <w:trPr>
          <w:trHeight w:val="309"/>
        </w:trPr>
        <w:tc>
          <w:tcPr>
            <w:tcW w:w="568" w:type="dxa"/>
            <w:shd w:val="clear" w:color="auto" w:fill="C6EFCE"/>
            <w:noWrap/>
          </w:tcPr>
          <w:p w14:paraId="0DDE9BB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308</w:t>
            </w:r>
          </w:p>
        </w:tc>
        <w:tc>
          <w:tcPr>
            <w:tcW w:w="992" w:type="dxa"/>
            <w:shd w:val="clear" w:color="auto" w:fill="C6EFCE"/>
            <w:noWrap/>
          </w:tcPr>
          <w:p w14:paraId="300859A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C21.I1</w:t>
            </w:r>
          </w:p>
        </w:tc>
        <w:tc>
          <w:tcPr>
            <w:tcW w:w="992" w:type="dxa"/>
            <w:shd w:val="clear" w:color="auto" w:fill="C6EFCE"/>
            <w:noWrap/>
          </w:tcPr>
          <w:p w14:paraId="4B65236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2977" w:type="dxa"/>
            <w:shd w:val="clear" w:color="auto" w:fill="C6EFCE"/>
            <w:noWrap/>
          </w:tcPr>
          <w:p w14:paraId="020C134B"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Költségvetési díj a kisgyermekkori nevelés első ciklusának előmozdítására </w:t>
            </w:r>
          </w:p>
        </w:tc>
        <w:tc>
          <w:tcPr>
            <w:tcW w:w="1134" w:type="dxa"/>
            <w:shd w:val="clear" w:color="auto" w:fill="C6EFCE"/>
            <w:noWrap/>
          </w:tcPr>
          <w:p w14:paraId="244CD4CD"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850" w:type="dxa"/>
            <w:shd w:val="clear" w:color="auto" w:fill="C6EFCE"/>
            <w:noWrap/>
          </w:tcPr>
          <w:p w14:paraId="328C8AED"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EUR</w:t>
            </w:r>
          </w:p>
        </w:tc>
        <w:tc>
          <w:tcPr>
            <w:tcW w:w="709" w:type="dxa"/>
            <w:shd w:val="clear" w:color="auto" w:fill="C6EFCE"/>
            <w:noWrap/>
          </w:tcPr>
          <w:p w14:paraId="54BA776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0</w:t>
            </w:r>
          </w:p>
        </w:tc>
        <w:tc>
          <w:tcPr>
            <w:tcW w:w="851" w:type="dxa"/>
            <w:shd w:val="clear" w:color="auto" w:fill="C6EFCE"/>
            <w:noWrap/>
          </w:tcPr>
          <w:p w14:paraId="10833A9B"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670 990 000 </w:t>
            </w:r>
          </w:p>
        </w:tc>
        <w:tc>
          <w:tcPr>
            <w:tcW w:w="567" w:type="dxa"/>
            <w:shd w:val="clear" w:color="auto" w:fill="C6EFCE"/>
            <w:noWrap/>
          </w:tcPr>
          <w:p w14:paraId="156C08C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708" w:type="dxa"/>
            <w:shd w:val="clear" w:color="auto" w:fill="C6EFCE"/>
            <w:noWrap/>
          </w:tcPr>
          <w:p w14:paraId="6C99842B"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2023</w:t>
            </w:r>
          </w:p>
        </w:tc>
        <w:tc>
          <w:tcPr>
            <w:tcW w:w="4962" w:type="dxa"/>
            <w:shd w:val="clear" w:color="auto" w:fill="C6EFCE"/>
            <w:noWrap/>
          </w:tcPr>
          <w:p w14:paraId="58706992" w14:textId="77777777" w:rsidR="00D65CB4" w:rsidRPr="00BC4EE7" w:rsidRDefault="00572307">
            <w:pPr>
              <w:pStyle w:val="P68B1DB1-Normal12"/>
              <w:spacing w:after="0" w:line="240" w:lineRule="auto"/>
              <w:jc w:val="both"/>
              <w:rPr>
                <w:rFonts w:eastAsia="Times New Roman" w:cs="Times New Roman"/>
                <w:noProof/>
              </w:rPr>
            </w:pPr>
            <w:r w:rsidRPr="00BC4EE7">
              <w:rPr>
                <w:rFonts w:cs="Times New Roman"/>
                <w:noProof/>
              </w:rPr>
              <w:t xml:space="preserve">670 990 000 EUR költségvetési juttatás regionális/helyi szervezeteknek a koragyermekkori nevelés első ciklusának új, állami tulajdonban lévő helyek létrehozásával történő előmozdítására. </w:t>
            </w:r>
          </w:p>
        </w:tc>
      </w:tr>
      <w:tr w:rsidR="00D65CB4" w:rsidRPr="00BC4EE7" w14:paraId="1340EB0B" w14:textId="77777777" w:rsidTr="00862B13">
        <w:trPr>
          <w:trHeight w:val="309"/>
        </w:trPr>
        <w:tc>
          <w:tcPr>
            <w:tcW w:w="568" w:type="dxa"/>
            <w:shd w:val="clear" w:color="auto" w:fill="C6EFCE"/>
            <w:noWrap/>
          </w:tcPr>
          <w:p w14:paraId="6271D4F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309</w:t>
            </w:r>
          </w:p>
        </w:tc>
        <w:tc>
          <w:tcPr>
            <w:tcW w:w="992" w:type="dxa"/>
            <w:shd w:val="clear" w:color="auto" w:fill="C6EFCE"/>
            <w:noWrap/>
          </w:tcPr>
          <w:p w14:paraId="440324C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C21.I1</w:t>
            </w:r>
          </w:p>
        </w:tc>
        <w:tc>
          <w:tcPr>
            <w:tcW w:w="992" w:type="dxa"/>
            <w:shd w:val="clear" w:color="auto" w:fill="C6EFCE"/>
            <w:noWrap/>
          </w:tcPr>
          <w:p w14:paraId="47A5B59D"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2977" w:type="dxa"/>
            <w:shd w:val="clear" w:color="auto" w:fill="C6EFCE"/>
            <w:noWrap/>
          </w:tcPr>
          <w:p w14:paraId="3B351609"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Új helyek a kisgyermekkori nevelés első ciklusához </w:t>
            </w:r>
          </w:p>
        </w:tc>
        <w:tc>
          <w:tcPr>
            <w:tcW w:w="1134" w:type="dxa"/>
            <w:shd w:val="clear" w:color="auto" w:fill="C6EFCE"/>
            <w:noWrap/>
          </w:tcPr>
          <w:p w14:paraId="7E9B347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850" w:type="dxa"/>
            <w:shd w:val="clear" w:color="auto" w:fill="C6EFCE"/>
            <w:noWrap/>
          </w:tcPr>
          <w:p w14:paraId="23392B0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Szám</w:t>
            </w:r>
          </w:p>
        </w:tc>
        <w:tc>
          <w:tcPr>
            <w:tcW w:w="709" w:type="dxa"/>
            <w:shd w:val="clear" w:color="auto" w:fill="C6EFCE"/>
            <w:noWrap/>
          </w:tcPr>
          <w:p w14:paraId="63346503" w14:textId="77777777" w:rsidR="00D65CB4" w:rsidRPr="00BC4EE7" w:rsidRDefault="00572307">
            <w:pPr>
              <w:pStyle w:val="P68B1DB1-Normal12"/>
              <w:spacing w:after="0" w:line="240" w:lineRule="auto"/>
              <w:jc w:val="center"/>
              <w:rPr>
                <w:rFonts w:eastAsia="Times New Roman" w:cs="Times New Roman"/>
                <w:noProof/>
                <w:highlight w:val="yellow"/>
              </w:rPr>
            </w:pPr>
            <w:r w:rsidRPr="00BC4EE7">
              <w:rPr>
                <w:rFonts w:cs="Times New Roman"/>
                <w:noProof/>
              </w:rPr>
              <w:t>0</w:t>
            </w:r>
          </w:p>
        </w:tc>
        <w:tc>
          <w:tcPr>
            <w:tcW w:w="851" w:type="dxa"/>
            <w:shd w:val="clear" w:color="auto" w:fill="C6EFCE"/>
            <w:noWrap/>
          </w:tcPr>
          <w:p w14:paraId="6C140A24" w14:textId="77777777" w:rsidR="00D65CB4" w:rsidRPr="00BC4EE7" w:rsidRDefault="00572307">
            <w:pPr>
              <w:pStyle w:val="P68B1DB1-Normal12"/>
              <w:spacing w:after="0" w:line="240" w:lineRule="auto"/>
              <w:jc w:val="center"/>
              <w:rPr>
                <w:rFonts w:eastAsia="Times New Roman" w:cs="Times New Roman"/>
                <w:noProof/>
                <w:highlight w:val="yellow"/>
              </w:rPr>
            </w:pPr>
            <w:r w:rsidRPr="00BC4EE7">
              <w:rPr>
                <w:rFonts w:cs="Times New Roman"/>
                <w:noProof/>
              </w:rPr>
              <w:t>60 000</w:t>
            </w:r>
          </w:p>
        </w:tc>
        <w:tc>
          <w:tcPr>
            <w:tcW w:w="567" w:type="dxa"/>
            <w:shd w:val="clear" w:color="auto" w:fill="C6EFCE"/>
            <w:noWrap/>
          </w:tcPr>
          <w:p w14:paraId="57D5F00D"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708" w:type="dxa"/>
            <w:shd w:val="clear" w:color="auto" w:fill="C6EFCE"/>
            <w:noWrap/>
          </w:tcPr>
          <w:p w14:paraId="45670EFE" w14:textId="0F1E39B9"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2025</w:t>
            </w:r>
          </w:p>
        </w:tc>
        <w:tc>
          <w:tcPr>
            <w:tcW w:w="4962" w:type="dxa"/>
            <w:shd w:val="clear" w:color="auto" w:fill="C6EFCE"/>
            <w:noWrap/>
          </w:tcPr>
          <w:p w14:paraId="1DB7122C"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kisgyermekkori nevelés első ciklusának előmozdítása új, köztulajdonban lévő helyek létrehozása révén (új építés és/vagy reform/rehabilitáció és berendezések legalább 60000 férőhelyen a 2020 végi szinthez képest, és e működési kiadások legfeljebb 40000 férőhelyig 2025-ig).</w:t>
            </w:r>
          </w:p>
        </w:tc>
      </w:tr>
      <w:tr w:rsidR="00D65CB4" w:rsidRPr="00BC4EE7" w14:paraId="08AED788" w14:textId="77777777" w:rsidTr="00862B13">
        <w:trPr>
          <w:trHeight w:val="309"/>
        </w:trPr>
        <w:tc>
          <w:tcPr>
            <w:tcW w:w="568" w:type="dxa"/>
            <w:shd w:val="clear" w:color="auto" w:fill="C6EFCE"/>
            <w:noWrap/>
          </w:tcPr>
          <w:p w14:paraId="3C85BC4B"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310</w:t>
            </w:r>
          </w:p>
        </w:tc>
        <w:tc>
          <w:tcPr>
            <w:tcW w:w="992" w:type="dxa"/>
            <w:shd w:val="clear" w:color="auto" w:fill="C6EFCE"/>
            <w:noWrap/>
          </w:tcPr>
          <w:p w14:paraId="7195650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C21.I2.</w:t>
            </w:r>
          </w:p>
        </w:tc>
        <w:tc>
          <w:tcPr>
            <w:tcW w:w="992" w:type="dxa"/>
            <w:shd w:val="clear" w:color="auto" w:fill="C6EFCE"/>
            <w:noWrap/>
          </w:tcPr>
          <w:p w14:paraId="0B51D14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2977" w:type="dxa"/>
            <w:shd w:val="clear" w:color="auto" w:fill="C6EFCE"/>
            <w:noWrap/>
          </w:tcPr>
          <w:p w14:paraId="5CD7584E"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Az iskolák támogatása a PROA+ program keretében </w:t>
            </w:r>
          </w:p>
        </w:tc>
        <w:tc>
          <w:tcPr>
            <w:tcW w:w="1134" w:type="dxa"/>
            <w:shd w:val="clear" w:color="auto" w:fill="C6EFCE"/>
            <w:noWrap/>
          </w:tcPr>
          <w:p w14:paraId="4C63804D"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850" w:type="dxa"/>
            <w:shd w:val="clear" w:color="auto" w:fill="C6EFCE"/>
            <w:noWrap/>
          </w:tcPr>
          <w:p w14:paraId="203DED4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Szám</w:t>
            </w:r>
          </w:p>
        </w:tc>
        <w:tc>
          <w:tcPr>
            <w:tcW w:w="709" w:type="dxa"/>
            <w:shd w:val="clear" w:color="auto" w:fill="C6EFCE"/>
            <w:noWrap/>
          </w:tcPr>
          <w:p w14:paraId="02C3A3F1"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0</w:t>
            </w:r>
          </w:p>
        </w:tc>
        <w:tc>
          <w:tcPr>
            <w:tcW w:w="851" w:type="dxa"/>
            <w:shd w:val="clear" w:color="auto" w:fill="C6EFCE"/>
            <w:noWrap/>
          </w:tcPr>
          <w:p w14:paraId="26751969"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2 700</w:t>
            </w:r>
          </w:p>
        </w:tc>
        <w:tc>
          <w:tcPr>
            <w:tcW w:w="567" w:type="dxa"/>
            <w:shd w:val="clear" w:color="auto" w:fill="C6EFCE"/>
            <w:noWrap/>
          </w:tcPr>
          <w:p w14:paraId="755CA83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708" w:type="dxa"/>
            <w:shd w:val="clear" w:color="auto" w:fill="C6EFCE"/>
            <w:noWrap/>
          </w:tcPr>
          <w:p w14:paraId="7EAE130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2024</w:t>
            </w:r>
          </w:p>
        </w:tc>
        <w:tc>
          <w:tcPr>
            <w:tcW w:w="4962" w:type="dxa"/>
            <w:shd w:val="clear" w:color="auto" w:fill="C6EFCE"/>
            <w:noWrap/>
          </w:tcPr>
          <w:p w14:paraId="771C0313"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 PROA+ program által támogatott legalább 2700 iskola országszerte, a program követelményeinek megfelelően </w:t>
            </w:r>
          </w:p>
        </w:tc>
      </w:tr>
      <w:tr w:rsidR="00D65CB4" w:rsidRPr="00BC4EE7" w14:paraId="1AFA8AA7" w14:textId="77777777" w:rsidTr="00862B13">
        <w:trPr>
          <w:trHeight w:val="309"/>
        </w:trPr>
        <w:tc>
          <w:tcPr>
            <w:tcW w:w="568" w:type="dxa"/>
            <w:shd w:val="clear" w:color="auto" w:fill="C6EFCE"/>
            <w:noWrap/>
          </w:tcPr>
          <w:p w14:paraId="368F37F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311</w:t>
            </w:r>
          </w:p>
        </w:tc>
        <w:tc>
          <w:tcPr>
            <w:tcW w:w="992" w:type="dxa"/>
            <w:shd w:val="clear" w:color="auto" w:fill="C6EFCE"/>
            <w:noWrap/>
          </w:tcPr>
          <w:p w14:paraId="2F6334C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C21.I3</w:t>
            </w:r>
          </w:p>
        </w:tc>
        <w:tc>
          <w:tcPr>
            <w:tcW w:w="992" w:type="dxa"/>
            <w:shd w:val="clear" w:color="auto" w:fill="C6EFCE"/>
            <w:noWrap/>
          </w:tcPr>
          <w:p w14:paraId="0BEDAB84"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2977" w:type="dxa"/>
            <w:shd w:val="clear" w:color="auto" w:fill="C6EFCE"/>
            <w:noWrap/>
          </w:tcPr>
          <w:p w14:paraId="37D990EA"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Kísérő és orientációs egységek a kiszolgáltatott helyzetben lévő diákok számára </w:t>
            </w:r>
          </w:p>
        </w:tc>
        <w:tc>
          <w:tcPr>
            <w:tcW w:w="1134" w:type="dxa"/>
            <w:shd w:val="clear" w:color="auto" w:fill="C6EFCE"/>
            <w:noWrap/>
          </w:tcPr>
          <w:p w14:paraId="3099300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850" w:type="dxa"/>
            <w:shd w:val="clear" w:color="auto" w:fill="C6EFCE"/>
            <w:noWrap/>
          </w:tcPr>
          <w:p w14:paraId="7FD57B2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Szám</w:t>
            </w:r>
          </w:p>
        </w:tc>
        <w:tc>
          <w:tcPr>
            <w:tcW w:w="709" w:type="dxa"/>
            <w:shd w:val="clear" w:color="auto" w:fill="C6EFCE"/>
            <w:noWrap/>
          </w:tcPr>
          <w:p w14:paraId="3BE165FF"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0</w:t>
            </w:r>
          </w:p>
        </w:tc>
        <w:tc>
          <w:tcPr>
            <w:tcW w:w="851" w:type="dxa"/>
            <w:shd w:val="clear" w:color="auto" w:fill="C6EFCE"/>
            <w:noWrap/>
          </w:tcPr>
          <w:p w14:paraId="5112CCB7"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1 000</w:t>
            </w:r>
          </w:p>
        </w:tc>
        <w:tc>
          <w:tcPr>
            <w:tcW w:w="567" w:type="dxa"/>
            <w:shd w:val="clear" w:color="auto" w:fill="C6EFCE"/>
            <w:noWrap/>
          </w:tcPr>
          <w:p w14:paraId="5944639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708" w:type="dxa"/>
            <w:shd w:val="clear" w:color="auto" w:fill="C6EFCE"/>
            <w:noWrap/>
          </w:tcPr>
          <w:p w14:paraId="2FAD9344"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2024</w:t>
            </w:r>
          </w:p>
        </w:tc>
        <w:tc>
          <w:tcPr>
            <w:tcW w:w="4962" w:type="dxa"/>
            <w:shd w:val="clear" w:color="auto" w:fill="C6EFCE"/>
            <w:noWrap/>
          </w:tcPr>
          <w:p w14:paraId="30F75166"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Az ország egész területén legalább 1000 kísérő és pályaorientációs egységnek kell működnie a kiszolgáltatott helyzetben lévő diákok számára. </w:t>
            </w:r>
          </w:p>
        </w:tc>
      </w:tr>
      <w:tr w:rsidR="00D65CB4" w:rsidRPr="00BC4EE7" w14:paraId="0F1B7EEB" w14:textId="77777777" w:rsidTr="00862B13">
        <w:trPr>
          <w:trHeight w:val="309"/>
        </w:trPr>
        <w:tc>
          <w:tcPr>
            <w:tcW w:w="568" w:type="dxa"/>
            <w:shd w:val="clear" w:color="auto" w:fill="C6EFCE"/>
            <w:noWrap/>
          </w:tcPr>
          <w:p w14:paraId="18A5DEEB"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312</w:t>
            </w:r>
          </w:p>
        </w:tc>
        <w:tc>
          <w:tcPr>
            <w:tcW w:w="992" w:type="dxa"/>
            <w:shd w:val="clear" w:color="auto" w:fill="C6EFCE"/>
            <w:noWrap/>
          </w:tcPr>
          <w:p w14:paraId="2E65A454"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C21.I4</w:t>
            </w:r>
          </w:p>
        </w:tc>
        <w:tc>
          <w:tcPr>
            <w:tcW w:w="992" w:type="dxa"/>
            <w:shd w:val="clear" w:color="auto" w:fill="C6EFCE"/>
            <w:noWrap/>
          </w:tcPr>
          <w:p w14:paraId="0C5E04E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2977" w:type="dxa"/>
            <w:shd w:val="clear" w:color="auto" w:fill="C6EFCE"/>
            <w:noWrap/>
          </w:tcPr>
          <w:p w14:paraId="0DEE07D4"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Ösztöndíjak és ösztöndíjak posztdoktori hallgatók, segédprofesszorok és kutatók számára</w:t>
            </w:r>
          </w:p>
        </w:tc>
        <w:tc>
          <w:tcPr>
            <w:tcW w:w="1134" w:type="dxa"/>
            <w:shd w:val="clear" w:color="auto" w:fill="C6EFCE"/>
            <w:noWrap/>
          </w:tcPr>
          <w:p w14:paraId="7FAF0C8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850" w:type="dxa"/>
            <w:shd w:val="clear" w:color="auto" w:fill="C6EFCE"/>
            <w:noWrap/>
          </w:tcPr>
          <w:p w14:paraId="79819ACB"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Szám</w:t>
            </w:r>
          </w:p>
        </w:tc>
        <w:tc>
          <w:tcPr>
            <w:tcW w:w="709" w:type="dxa"/>
            <w:shd w:val="clear" w:color="auto" w:fill="C6EFCE"/>
            <w:noWrap/>
          </w:tcPr>
          <w:p w14:paraId="7C1C5DA5"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0</w:t>
            </w:r>
          </w:p>
        </w:tc>
        <w:tc>
          <w:tcPr>
            <w:tcW w:w="851" w:type="dxa"/>
            <w:shd w:val="clear" w:color="auto" w:fill="C6EFCE"/>
            <w:noWrap/>
          </w:tcPr>
          <w:p w14:paraId="6741858A"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2 600</w:t>
            </w:r>
          </w:p>
        </w:tc>
        <w:tc>
          <w:tcPr>
            <w:tcW w:w="567" w:type="dxa"/>
            <w:shd w:val="clear" w:color="auto" w:fill="C6EFCE"/>
            <w:noWrap/>
          </w:tcPr>
          <w:p w14:paraId="57ACF00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708" w:type="dxa"/>
            <w:shd w:val="clear" w:color="auto" w:fill="C6EFCE"/>
            <w:noWrap/>
          </w:tcPr>
          <w:p w14:paraId="2081F24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2023</w:t>
            </w:r>
          </w:p>
        </w:tc>
        <w:tc>
          <w:tcPr>
            <w:tcW w:w="4962" w:type="dxa"/>
            <w:shd w:val="clear" w:color="auto" w:fill="C6EFCE"/>
            <w:noWrap/>
          </w:tcPr>
          <w:p w14:paraId="343923B4"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Ösztöndíjak és ösztöndíjak nyújtása posztdoktori hallgatók, segédprofesszorok és kutatók számára legalább 2600 pályázó számára. E támogatások célja többek között az oktatók szakmai fejlődésének előmozdítása, akik a jövőben integrálódhatnak a rendszerbe. A vissza nem térítendő támogatások rangos külföldi egyetemeken és kutatóközpontokban, valamint spanyol egyetemeken és egyéb közhivatalokban tartott kutatói tartózkodásokat finanszíroznak. E célból a vissza nem térítendő támogatásoknak hozzá kell járulniuk a nemzetközi tehetségek vonzásához. A vissza nem térítendő támogatásokat három különböző program keretében kell nyújtani, a céltól és a célcsoporttól függően egyedi kritériumokat alkalmazva, és a programtól és a célcsoporttól függően egy-három évig tarthat.</w:t>
            </w:r>
          </w:p>
        </w:tc>
      </w:tr>
      <w:tr w:rsidR="00D65CB4" w:rsidRPr="00BC4EE7" w14:paraId="386FE0FC" w14:textId="77777777" w:rsidTr="00862B13">
        <w:trPr>
          <w:trHeight w:val="309"/>
        </w:trPr>
        <w:tc>
          <w:tcPr>
            <w:tcW w:w="568" w:type="dxa"/>
            <w:shd w:val="clear" w:color="auto" w:fill="C6EFCE"/>
            <w:noWrap/>
          </w:tcPr>
          <w:p w14:paraId="2CE0BEA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313</w:t>
            </w:r>
          </w:p>
        </w:tc>
        <w:tc>
          <w:tcPr>
            <w:tcW w:w="992" w:type="dxa"/>
            <w:shd w:val="clear" w:color="auto" w:fill="C6EFCE"/>
            <w:noWrap/>
          </w:tcPr>
          <w:p w14:paraId="44FE2EB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C21.I5</w:t>
            </w:r>
          </w:p>
        </w:tc>
        <w:tc>
          <w:tcPr>
            <w:tcW w:w="992" w:type="dxa"/>
            <w:shd w:val="clear" w:color="auto" w:fill="C6EFCE"/>
            <w:noWrap/>
          </w:tcPr>
          <w:p w14:paraId="6652B82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2977" w:type="dxa"/>
            <w:shd w:val="clear" w:color="auto" w:fill="C6EFCE"/>
            <w:noWrap/>
          </w:tcPr>
          <w:p w14:paraId="0E6EDD27"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Az egyetemek digitális indexének növelése </w:t>
            </w:r>
          </w:p>
        </w:tc>
        <w:tc>
          <w:tcPr>
            <w:tcW w:w="1134" w:type="dxa"/>
            <w:shd w:val="clear" w:color="auto" w:fill="C6EFCE"/>
            <w:noWrap/>
          </w:tcPr>
          <w:p w14:paraId="4E26CAC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A mutató közzététele az Egyetemi Minisztérium honlapján</w:t>
            </w:r>
          </w:p>
        </w:tc>
        <w:tc>
          <w:tcPr>
            <w:tcW w:w="850" w:type="dxa"/>
            <w:shd w:val="clear" w:color="auto" w:fill="C6EFCE"/>
            <w:noWrap/>
          </w:tcPr>
          <w:p w14:paraId="413D20A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709" w:type="dxa"/>
            <w:shd w:val="clear" w:color="auto" w:fill="C6EFCE"/>
            <w:noWrap/>
          </w:tcPr>
          <w:p w14:paraId="611BB9DB"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851" w:type="dxa"/>
            <w:shd w:val="clear" w:color="auto" w:fill="C6EFCE"/>
            <w:noWrap/>
          </w:tcPr>
          <w:p w14:paraId="7FB5F00E"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567" w:type="dxa"/>
            <w:shd w:val="clear" w:color="auto" w:fill="C6EFCE"/>
            <w:noWrap/>
          </w:tcPr>
          <w:p w14:paraId="01C73FB4"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708" w:type="dxa"/>
            <w:shd w:val="clear" w:color="auto" w:fill="C6EFCE"/>
            <w:noWrap/>
          </w:tcPr>
          <w:p w14:paraId="53E37E2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2023</w:t>
            </w:r>
          </w:p>
        </w:tc>
        <w:tc>
          <w:tcPr>
            <w:tcW w:w="4962" w:type="dxa"/>
            <w:shd w:val="clear" w:color="auto" w:fill="C6EFCE"/>
            <w:noWrap/>
          </w:tcPr>
          <w:p w14:paraId="596CA7D8" w14:textId="681E6C41" w:rsidR="00D65CB4" w:rsidRPr="00BC4EE7" w:rsidRDefault="00572307">
            <w:pPr>
              <w:pStyle w:val="P68B1DB1-Normal12"/>
              <w:spacing w:after="0" w:line="240" w:lineRule="auto"/>
              <w:rPr>
                <w:rFonts w:eastAsia="Times New Roman" w:cs="Times New Roman"/>
                <w:noProof/>
              </w:rPr>
            </w:pPr>
            <w:r w:rsidRPr="00BC4EE7">
              <w:rPr>
                <w:rFonts w:cs="Times New Roman"/>
                <w:noProof/>
              </w:rPr>
              <w:t>I. a digitális erőforrásokba, például a digitális berendezésekbe és infrastruktúrák fejlesztésébe történő beruházások befejezése; ii. kiberbiztonság és osztálytermi technológiák az online tanításhoz; a tudományos személyzet és a hallgatók digitális képzése; valamint iv. a digitális szolgáltatási platformokra irányuló beruházások; az egyetemek digitális indexét a 2019-es szinthez képest legalább 10%-kal növelni kell az egyetemi rendszer egészére vonatkozóan, és különböző érettségi dimenziókat kell lefedni: Irányítás, innováció és kormányzat. A támogatható projekteket 2020 februárjáig kell kezdeményezni. Az egyetemek digitális indexe az egyetemek digitális érettségi modelljének (MD4U) rövidített változata, amely a Crue-TIC (a spanyol egyetemek kancellárjai konferenciájának informatikai ágazata) által az irányítás, az innováció és a kormányzás területén a spanyol egyetemek digitalizációs szintjének jellemzésére használt mutatókeret. Az egyetemek digitális mutatója az egyetemek digitális szintjének alakulását nyomon követő „irányítópult”. A program hatásának alapértéke az egyetemi rendszer digitalizálási szintjének 2019. évi értékei, a 2019. december 31-i kiindulási időponttal.</w:t>
            </w:r>
          </w:p>
        </w:tc>
      </w:tr>
      <w:tr w:rsidR="00D65CB4" w:rsidRPr="00BC4EE7" w14:paraId="7ABB7475" w14:textId="77777777" w:rsidTr="00862B13">
        <w:trPr>
          <w:trHeight w:val="309"/>
        </w:trPr>
        <w:tc>
          <w:tcPr>
            <w:tcW w:w="568" w:type="dxa"/>
            <w:shd w:val="clear" w:color="auto" w:fill="C6EFCE"/>
            <w:noWrap/>
          </w:tcPr>
          <w:p w14:paraId="37170362" w14:textId="0BAB28C8" w:rsidR="00D65CB4" w:rsidRPr="00BC4EE7" w:rsidRDefault="00572307">
            <w:pPr>
              <w:pStyle w:val="P68B1DB1-Normal12"/>
              <w:spacing w:after="0" w:line="240" w:lineRule="auto"/>
              <w:jc w:val="center"/>
              <w:rPr>
                <w:rFonts w:cs="Times New Roman"/>
                <w:noProof/>
              </w:rPr>
            </w:pPr>
            <w:r w:rsidRPr="00BC4EE7">
              <w:rPr>
                <w:rFonts w:cs="Times New Roman"/>
                <w:noProof/>
              </w:rPr>
              <w:t>468</w:t>
            </w:r>
          </w:p>
        </w:tc>
        <w:tc>
          <w:tcPr>
            <w:tcW w:w="992" w:type="dxa"/>
            <w:shd w:val="clear" w:color="auto" w:fill="C6EFCE"/>
            <w:noWrap/>
          </w:tcPr>
          <w:p w14:paraId="08E9864B"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C21.I6</w:t>
            </w:r>
          </w:p>
        </w:tc>
        <w:tc>
          <w:tcPr>
            <w:tcW w:w="992" w:type="dxa"/>
            <w:shd w:val="clear" w:color="auto" w:fill="C6EFCE"/>
            <w:noWrap/>
          </w:tcPr>
          <w:p w14:paraId="01D1ADDD"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M</w:t>
            </w:r>
          </w:p>
        </w:tc>
        <w:tc>
          <w:tcPr>
            <w:tcW w:w="2977" w:type="dxa"/>
            <w:shd w:val="clear" w:color="auto" w:fill="C6EFCE"/>
            <w:noWrap/>
          </w:tcPr>
          <w:p w14:paraId="640796C1" w14:textId="77777777" w:rsidR="00D65CB4" w:rsidRPr="00BC4EE7" w:rsidRDefault="00572307">
            <w:pPr>
              <w:pStyle w:val="P68B1DB1-Normal12"/>
              <w:spacing w:after="0" w:line="240" w:lineRule="auto"/>
              <w:rPr>
                <w:rFonts w:cs="Times New Roman"/>
                <w:noProof/>
              </w:rPr>
            </w:pPr>
            <w:r w:rsidRPr="00BC4EE7">
              <w:rPr>
                <w:rFonts w:cs="Times New Roman"/>
                <w:noProof/>
              </w:rPr>
              <w:t>Az egyetemi mikrotanúsítványok fejlesztésére vonatkozó cselekvési terv elfogadása</w:t>
            </w:r>
          </w:p>
        </w:tc>
        <w:tc>
          <w:tcPr>
            <w:tcW w:w="1134" w:type="dxa"/>
            <w:shd w:val="clear" w:color="auto" w:fill="C6EFCE"/>
            <w:noWrap/>
          </w:tcPr>
          <w:p w14:paraId="122F4F0C"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Közzététel az Egyetemi Minisztérium honlapján</w:t>
            </w:r>
          </w:p>
        </w:tc>
        <w:tc>
          <w:tcPr>
            <w:tcW w:w="850" w:type="dxa"/>
            <w:shd w:val="clear" w:color="auto" w:fill="C6EFCE"/>
            <w:noWrap/>
          </w:tcPr>
          <w:p w14:paraId="3BF83D2D" w14:textId="77777777" w:rsidR="00D65CB4" w:rsidRPr="00BC4EE7" w:rsidRDefault="00D65CB4">
            <w:pPr>
              <w:spacing w:after="0" w:line="240" w:lineRule="auto"/>
              <w:jc w:val="center"/>
              <w:rPr>
                <w:rFonts w:ascii="Times New Roman" w:hAnsi="Times New Roman" w:cs="Times New Roman"/>
                <w:noProof/>
                <w:sz w:val="18"/>
              </w:rPr>
            </w:pPr>
          </w:p>
        </w:tc>
        <w:tc>
          <w:tcPr>
            <w:tcW w:w="709" w:type="dxa"/>
            <w:shd w:val="clear" w:color="auto" w:fill="C6EFCE"/>
            <w:noWrap/>
          </w:tcPr>
          <w:p w14:paraId="3D4FBB91" w14:textId="77777777" w:rsidR="00D65CB4" w:rsidRPr="00BC4EE7" w:rsidRDefault="00D65CB4">
            <w:pPr>
              <w:spacing w:after="0" w:line="240" w:lineRule="auto"/>
              <w:jc w:val="right"/>
              <w:rPr>
                <w:rFonts w:ascii="Times New Roman" w:hAnsi="Times New Roman" w:cs="Times New Roman"/>
                <w:noProof/>
                <w:sz w:val="18"/>
              </w:rPr>
            </w:pPr>
          </w:p>
        </w:tc>
        <w:tc>
          <w:tcPr>
            <w:tcW w:w="851" w:type="dxa"/>
            <w:shd w:val="clear" w:color="auto" w:fill="C6EFCE"/>
            <w:noWrap/>
          </w:tcPr>
          <w:p w14:paraId="36DB89CF" w14:textId="77777777" w:rsidR="00D65CB4" w:rsidRPr="00BC4EE7" w:rsidRDefault="00D65CB4">
            <w:pPr>
              <w:spacing w:after="0" w:line="240" w:lineRule="auto"/>
              <w:jc w:val="right"/>
              <w:rPr>
                <w:rFonts w:ascii="Times New Roman" w:hAnsi="Times New Roman" w:cs="Times New Roman"/>
                <w:noProof/>
                <w:sz w:val="18"/>
              </w:rPr>
            </w:pPr>
          </w:p>
        </w:tc>
        <w:tc>
          <w:tcPr>
            <w:tcW w:w="567" w:type="dxa"/>
            <w:shd w:val="clear" w:color="auto" w:fill="C6EFCE"/>
            <w:noWrap/>
          </w:tcPr>
          <w:p w14:paraId="1F42A5C4"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708" w:type="dxa"/>
            <w:shd w:val="clear" w:color="auto" w:fill="C6EFCE"/>
            <w:noWrap/>
          </w:tcPr>
          <w:p w14:paraId="5ADE0254"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2023</w:t>
            </w:r>
          </w:p>
        </w:tc>
        <w:tc>
          <w:tcPr>
            <w:tcW w:w="4962" w:type="dxa"/>
            <w:shd w:val="clear" w:color="auto" w:fill="C6EFCE"/>
            <w:noWrap/>
          </w:tcPr>
          <w:p w14:paraId="120C3E37" w14:textId="77777777" w:rsidR="00D65CB4" w:rsidRPr="00BC4EE7" w:rsidRDefault="00572307">
            <w:pPr>
              <w:pStyle w:val="P68B1DB1-Normal12"/>
              <w:spacing w:after="0" w:line="240" w:lineRule="auto"/>
              <w:rPr>
                <w:rFonts w:cs="Times New Roman"/>
                <w:noProof/>
              </w:rPr>
            </w:pPr>
            <w:r w:rsidRPr="00BC4EE7">
              <w:rPr>
                <w:rFonts w:cs="Times New Roman"/>
                <w:noProof/>
              </w:rPr>
              <w:t>Az Egyetemi Minisztérium által az érdekelt felekkel folytatott konzultációt követően kidolgozott, a mikrotanúsítványok kidolgozására szolgáló keret létrehozására irányuló cselekvési terv elfogadása. Vnek ki kell terjednie i. az egyetemek egész életen át tartó tanulást végző intézményekké való átalakítására irányuló intézkedésekre; a felnőttek és munkáltatóik keresletének ösztönzése; iii. a mikrotanúsítványok minőségének és relevanciájának előmozdítása; i. a hozzáférés méltányosságának támogatása; valamint v. személyre szabott és rugalmas képzési pályák kialakítása.</w:t>
            </w:r>
          </w:p>
        </w:tc>
      </w:tr>
      <w:tr w:rsidR="00D65CB4" w:rsidRPr="00BC4EE7" w14:paraId="14D987CC" w14:textId="77777777" w:rsidTr="00862B13">
        <w:trPr>
          <w:trHeight w:val="309"/>
        </w:trPr>
        <w:tc>
          <w:tcPr>
            <w:tcW w:w="568" w:type="dxa"/>
            <w:shd w:val="clear" w:color="auto" w:fill="C6EFCE"/>
            <w:noWrap/>
          </w:tcPr>
          <w:p w14:paraId="046F9A5A" w14:textId="15ABE94F" w:rsidR="00D65CB4" w:rsidRPr="00BC4EE7" w:rsidRDefault="00572307">
            <w:pPr>
              <w:pStyle w:val="P68B1DB1-Normal12"/>
              <w:spacing w:after="0" w:line="240" w:lineRule="auto"/>
              <w:jc w:val="center"/>
              <w:rPr>
                <w:rFonts w:cs="Times New Roman"/>
                <w:noProof/>
              </w:rPr>
            </w:pPr>
            <w:r w:rsidRPr="00BC4EE7">
              <w:rPr>
                <w:rFonts w:cs="Times New Roman"/>
                <w:noProof/>
              </w:rPr>
              <w:t>469</w:t>
            </w:r>
          </w:p>
        </w:tc>
        <w:tc>
          <w:tcPr>
            <w:tcW w:w="992" w:type="dxa"/>
            <w:shd w:val="clear" w:color="auto" w:fill="C6EFCE"/>
            <w:noWrap/>
          </w:tcPr>
          <w:p w14:paraId="48812D43"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C21.I6</w:t>
            </w:r>
          </w:p>
        </w:tc>
        <w:tc>
          <w:tcPr>
            <w:tcW w:w="992" w:type="dxa"/>
            <w:shd w:val="clear" w:color="auto" w:fill="C6EFCE"/>
            <w:noWrap/>
          </w:tcPr>
          <w:p w14:paraId="1EB23085"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2977" w:type="dxa"/>
            <w:shd w:val="clear" w:color="auto" w:fill="C6EFCE"/>
            <w:noWrap/>
          </w:tcPr>
          <w:p w14:paraId="34FC153D" w14:textId="77777777" w:rsidR="00D65CB4" w:rsidRPr="00BC4EE7" w:rsidRDefault="00572307">
            <w:pPr>
              <w:pStyle w:val="P68B1DB1-Normal12"/>
              <w:spacing w:after="0" w:line="240" w:lineRule="auto"/>
              <w:rPr>
                <w:rFonts w:cs="Times New Roman"/>
                <w:noProof/>
              </w:rPr>
            </w:pPr>
            <w:r w:rsidRPr="00BC4EE7">
              <w:rPr>
                <w:rFonts w:cs="Times New Roman"/>
                <w:noProof/>
              </w:rPr>
              <w:t>Felnőtteknek kiállított Uuniversity mikrotanúsítványok</w:t>
            </w:r>
          </w:p>
        </w:tc>
        <w:tc>
          <w:tcPr>
            <w:tcW w:w="1134" w:type="dxa"/>
            <w:shd w:val="clear" w:color="auto" w:fill="C6EFCE"/>
            <w:noWrap/>
          </w:tcPr>
          <w:p w14:paraId="45C7A478" w14:textId="77777777" w:rsidR="00D65CB4" w:rsidRPr="00BC4EE7" w:rsidRDefault="00D65CB4">
            <w:pPr>
              <w:spacing w:after="0" w:line="240" w:lineRule="auto"/>
              <w:jc w:val="center"/>
              <w:rPr>
                <w:rFonts w:ascii="Times New Roman" w:hAnsi="Times New Roman" w:cs="Times New Roman"/>
                <w:noProof/>
                <w:sz w:val="18"/>
              </w:rPr>
            </w:pPr>
          </w:p>
        </w:tc>
        <w:tc>
          <w:tcPr>
            <w:tcW w:w="850" w:type="dxa"/>
            <w:shd w:val="clear" w:color="auto" w:fill="C6EFCE"/>
            <w:noWrap/>
          </w:tcPr>
          <w:p w14:paraId="16FD6B3C"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Szám</w:t>
            </w:r>
          </w:p>
        </w:tc>
        <w:tc>
          <w:tcPr>
            <w:tcW w:w="709" w:type="dxa"/>
            <w:shd w:val="clear" w:color="auto" w:fill="C6EFCE"/>
            <w:noWrap/>
          </w:tcPr>
          <w:p w14:paraId="130795E5"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0</w:t>
            </w:r>
          </w:p>
        </w:tc>
        <w:tc>
          <w:tcPr>
            <w:tcW w:w="851" w:type="dxa"/>
            <w:shd w:val="clear" w:color="auto" w:fill="C6EFCE"/>
            <w:noWrap/>
          </w:tcPr>
          <w:p w14:paraId="250E3567"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60.000</w:t>
            </w:r>
          </w:p>
        </w:tc>
        <w:tc>
          <w:tcPr>
            <w:tcW w:w="567" w:type="dxa"/>
            <w:shd w:val="clear" w:color="auto" w:fill="C6EFCE"/>
            <w:noWrap/>
          </w:tcPr>
          <w:p w14:paraId="2D2387A3"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708" w:type="dxa"/>
            <w:shd w:val="clear" w:color="auto" w:fill="C6EFCE"/>
            <w:noWrap/>
          </w:tcPr>
          <w:p w14:paraId="47173C2D" w14:textId="0C63013D" w:rsidR="00D65CB4" w:rsidRPr="00BC4EE7" w:rsidRDefault="00572307">
            <w:pPr>
              <w:pStyle w:val="P68B1DB1-Normal12"/>
              <w:spacing w:after="0" w:line="240" w:lineRule="auto"/>
              <w:jc w:val="center"/>
              <w:rPr>
                <w:rFonts w:cs="Times New Roman"/>
                <w:noProof/>
              </w:rPr>
            </w:pPr>
            <w:r w:rsidRPr="00BC4EE7">
              <w:rPr>
                <w:rFonts w:cs="Times New Roman"/>
                <w:noProof/>
              </w:rPr>
              <w:t>2026</w:t>
            </w:r>
          </w:p>
        </w:tc>
        <w:tc>
          <w:tcPr>
            <w:tcW w:w="4962" w:type="dxa"/>
            <w:shd w:val="clear" w:color="auto" w:fill="C6EFCE"/>
            <w:noWrap/>
          </w:tcPr>
          <w:p w14:paraId="616C5A85" w14:textId="77777777" w:rsidR="00D65CB4" w:rsidRPr="00BC4EE7" w:rsidRDefault="00572307">
            <w:pPr>
              <w:pStyle w:val="P68B1DB1-Normal7"/>
              <w:spacing w:after="0" w:line="240" w:lineRule="auto"/>
              <w:rPr>
                <w:rFonts w:cs="Times New Roman"/>
                <w:noProof/>
                <w:sz w:val="18"/>
              </w:rPr>
            </w:pPr>
            <w:r w:rsidRPr="00BC4EE7">
              <w:rPr>
                <w:rFonts w:cs="Times New Roman"/>
                <w:noProof/>
                <w:sz w:val="18"/>
              </w:rPr>
              <w:t>Legalább 60000 egységnyi, 15 ECTS-nél rövidebb időtartamú mikrotanúsítvány biztosítása, amely legalább 1000 különböző képzési tevékenységnek felel meg, beleértve annak lehetőségét is, hogy ugyanannak a felnőttnek egynél több egységet biztosítsanak. A képzési tevékenységeknek konkrét ismereteket és készségeket kell biztosítaniuk a munkaerőpiacon.</w:t>
            </w:r>
            <w:r w:rsidRPr="00BC4EE7">
              <w:rPr>
                <w:rFonts w:cs="Times New Roman"/>
                <w:noProof/>
              </w:rPr>
              <w:t xml:space="preserve"> </w:t>
            </w:r>
            <w:r w:rsidRPr="00BC4EE7">
              <w:rPr>
                <w:rFonts w:cs="Times New Roman"/>
                <w:noProof/>
                <w:sz w:val="18"/>
              </w:rPr>
              <w:t>Az intézkedés magában foglalja továbbá a mikrotanúsítványok 2025. december 31-ig történő rendelkezésre bocsátásáról szóló értékelő jelentés közzétételét az Egyetemi Minisztérium honlapján.</w:t>
            </w:r>
          </w:p>
        </w:tc>
      </w:tr>
    </w:tbl>
    <w:p w14:paraId="783B4AAA" w14:textId="77777777" w:rsidR="00D65CB4" w:rsidRPr="00BC4EE7" w:rsidRDefault="00D65CB4">
      <w:pPr>
        <w:spacing w:before="120" w:after="120" w:line="240" w:lineRule="auto"/>
        <w:jc w:val="both"/>
        <w:rPr>
          <w:rFonts w:ascii="Times New Roman" w:hAnsi="Times New Roman" w:cs="Times New Roman"/>
          <w:noProof/>
          <w:sz w:val="24"/>
          <w:highlight w:val="yellow"/>
          <w:u w:val="single"/>
        </w:rPr>
      </w:pPr>
    </w:p>
    <w:p w14:paraId="15AC4662" w14:textId="77777777" w:rsidR="00D65CB4" w:rsidRPr="00BC4EE7" w:rsidRDefault="00D65CB4">
      <w:pPr>
        <w:spacing w:before="120" w:after="120" w:line="240" w:lineRule="auto"/>
        <w:ind w:left="709"/>
        <w:jc w:val="both"/>
        <w:rPr>
          <w:rFonts w:ascii="Times New Roman" w:hAnsi="Times New Roman" w:cs="Times New Roman"/>
          <w:noProof/>
          <w:sz w:val="24"/>
        </w:rPr>
        <w:sectPr w:rsidR="00D65CB4" w:rsidRPr="00BC4EE7" w:rsidSect="00B511EF">
          <w:headerReference w:type="even" r:id="rId436"/>
          <w:headerReference w:type="default" r:id="rId437"/>
          <w:footerReference w:type="even" r:id="rId438"/>
          <w:footerReference w:type="default" r:id="rId439"/>
          <w:headerReference w:type="first" r:id="rId440"/>
          <w:footerReference w:type="first" r:id="rId441"/>
          <w:pgSz w:w="16839" w:h="11907" w:orient="landscape"/>
          <w:pgMar w:top="1134" w:right="1134" w:bottom="1134" w:left="1134" w:header="567" w:footer="567" w:gutter="0"/>
          <w:cols w:space="720"/>
          <w:docGrid w:linePitch="360"/>
        </w:sectPr>
      </w:pPr>
    </w:p>
    <w:p w14:paraId="0D14E35D" w14:textId="77777777" w:rsidR="00D65CB4" w:rsidRPr="00BC4EE7" w:rsidRDefault="00572307">
      <w:pPr>
        <w:pStyle w:val="P68B1DB1-Heading12"/>
        <w:rPr>
          <w:rFonts w:cs="Times New Roman"/>
          <w:noProof/>
        </w:rPr>
      </w:pPr>
      <w:r w:rsidRPr="00BC4EE7">
        <w:rPr>
          <w:rFonts w:cs="Times New Roman"/>
          <w:noProof/>
        </w:rPr>
        <w:t>V. 22. ÖSSZETEVŐ: A gondozási gazdaságra vonatkozó cselekvési terv, az egyenlőségre és a befogadásra vonatkozó politikák megerősítése</w:t>
      </w:r>
    </w:p>
    <w:p w14:paraId="75631E61" w14:textId="77777777" w:rsidR="00D65CB4" w:rsidRPr="00BC4EE7" w:rsidRDefault="00572307">
      <w:pPr>
        <w:pStyle w:val="P68B1DB1-Normal4"/>
        <w:spacing w:before="120" w:after="0" w:line="240" w:lineRule="auto"/>
        <w:jc w:val="both"/>
        <w:textAlignment w:val="baseline"/>
        <w:rPr>
          <w:rFonts w:eastAsia="Times New Roman" w:cs="Times New Roman"/>
          <w:noProof/>
        </w:rPr>
      </w:pPr>
      <w:r w:rsidRPr="00BC4EE7">
        <w:rPr>
          <w:rFonts w:cs="Times New Roman"/>
          <w:noProof/>
        </w:rPr>
        <w:t xml:space="preserve">A spanyol helyreállítási és rezilienciaépítési terv e komponensének fő célkitűzése a szociális szolgáltatások és a társadalmi befogadást célzó szakpolitikák korszerűsítése és megerősítése. Különös hangsúlyt fektet a tartós ápolás-gondozás modelljére azzal a céllal, hogy reagáljon a népesség elöregedése miatt a különböző tartós ápolási-gondozási szolgáltatások iránti növekvő keresletre, előmozdítsa az innovációt és egy emberközpontú gondozási modellt, amely az intézményesítettség csökkentésére irányuló stratégiára összpontosít. </w:t>
      </w:r>
    </w:p>
    <w:p w14:paraId="769166E5" w14:textId="77777777" w:rsidR="00D65CB4" w:rsidRPr="00BC4EE7" w:rsidRDefault="00572307">
      <w:pPr>
        <w:pStyle w:val="P68B1DB1-Normal7"/>
        <w:spacing w:before="120" w:after="0" w:line="240" w:lineRule="auto"/>
        <w:jc w:val="both"/>
        <w:rPr>
          <w:rFonts w:eastAsia="Times New Roman" w:cs="Times New Roman"/>
          <w:noProof/>
          <w:sz w:val="24"/>
        </w:rPr>
      </w:pPr>
      <w:r w:rsidRPr="00BC4EE7">
        <w:rPr>
          <w:rFonts w:cs="Times New Roman"/>
          <w:noProof/>
          <w:sz w:val="24"/>
        </w:rPr>
        <w:t>Az egyéb szociális szolgáltatások és a társadalmi befogadás területén a célkitűzések közé tartozik a szociális szolgáltatások korszerűsítése és megerősítése az innováció és az új technológiák előmozdítása révén annak érdekében, hogy az ország egész területén biztosított legyen az ellátás, a szükségletek jobb azonosítása és minőségük javítása. A családtámogatás területén az intézkedések célja a családok jogi védelmének és anyagi támogatásának javítása (készpénzben és természetben) a gyermekszegénység csökkentése érdekében.  A komponens másik célja az egyéb, nem járulékalapú szociális ellátások korszerűsítése védelmi és aktivizálási szerepük javítása érdekében.</w:t>
      </w:r>
      <w:r w:rsidRPr="00BC4EE7">
        <w:rPr>
          <w:rFonts w:cs="Times New Roman"/>
          <w:noProof/>
        </w:rPr>
        <w:t xml:space="preserve"> </w:t>
      </w:r>
      <w:r w:rsidRPr="00BC4EE7">
        <w:rPr>
          <w:rFonts w:cs="Times New Roman"/>
          <w:noProof/>
          <w:sz w:val="24"/>
        </w:rPr>
        <w:t>Konkrét célzott intézkedések célja a nemi alapú erőszak áldozatainak támogatása, a közszolgáltatásokhoz való hozzáférés előmozdítása, valamint a nemzetközi védelmet kérelmezők befogadási rendszere kapacitásának javítása.</w:t>
      </w:r>
    </w:p>
    <w:p w14:paraId="4325628A"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komponens hozzájárul az annak biztosításához kapcsolódó országspecifikus ajánlások teljesítéséhez, hogy a foglalkoztatási és szociális szolgálatok képesek legyenek hatékony támogatást nyújtani (2019. évi 2. országspecifikus ajánlás); a családok támogatásának javítása (2019. évi 2. országspecifikus ajánlás); a nemzeti munkanélküliségi támogatási rendszer széttöredezettségének csökkentése és a regionális minimumjövedelem-rendszerek lefedettségében mutatkozó hiányosságok kezelése (2019. évi 2. országspecifikus ajánlás); valamint a minimumjövedelem és a családtámogatási rendszerek hatókörének és megfelelőségének javítása (2020. évi 2. országspecifikus ajánlás).</w:t>
      </w:r>
    </w:p>
    <w:p w14:paraId="0C423203"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jelentős károkozás elkerülését célzó elvről szóló technikai iránymutatásnak (2021/C58/01) megfelelően a helyreállítási és rezilienciaépítési tervben meghatározott intézkedések leírását és a helyreállítási és rezilienciaépítési tervben meghatározott enyhítő lépéseket figyelembe véve ebben a komponensben várhatóan egyetlen intézkedés sem sérti jelentős mértékben az (EU) 2020/852 rendelet 17. cikke szerinti környezeti célkitűzéseket.</w:t>
      </w:r>
    </w:p>
    <w:p w14:paraId="62854374" w14:textId="77777777" w:rsidR="00D65CB4" w:rsidRPr="00BC4EE7" w:rsidRDefault="00572307">
      <w:pPr>
        <w:spacing w:before="120" w:after="120" w:line="240" w:lineRule="auto"/>
        <w:ind w:left="709"/>
        <w:jc w:val="both"/>
        <w:rPr>
          <w:rFonts w:ascii="Times New Roman" w:hAnsi="Times New Roman" w:cs="Times New Roman"/>
          <w:b/>
          <w:i/>
          <w:noProof/>
          <w:sz w:val="24"/>
        </w:rPr>
      </w:pPr>
      <w:r w:rsidRPr="00BC4EE7">
        <w:rPr>
          <w:rFonts w:ascii="Times New Roman" w:hAnsi="Times New Roman" w:cs="Times New Roman"/>
          <w:b/>
          <w:noProof/>
          <w:sz w:val="24"/>
          <w:u w:val="single"/>
        </w:rPr>
        <w:t xml:space="preserve">V.1.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Vissza nem térítendő pénzügyi támogatás – a reformok és beruházások ismertetése</w:t>
      </w:r>
    </w:p>
    <w:p w14:paraId="2D7992FB"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shd w:val="clear" w:color="auto" w:fill="FFFFFF"/>
        </w:rPr>
        <w:t>Reform (C22.R1) – A</w:t>
      </w:r>
      <w:r w:rsidRPr="00BC4EE7">
        <w:rPr>
          <w:rFonts w:cs="Times New Roman"/>
          <w:noProof/>
        </w:rPr>
        <w:t xml:space="preserve"> tartós ápolás-gondozás megerősítése, valamint a támogatási és tartós ápolás-gondozási modell megváltoztatásának előmozdítása</w:t>
      </w:r>
    </w:p>
    <w:p w14:paraId="2C0878DB"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reform célja egy emberközpontú és jogokon alapuló támogatási modell kialakítása. Az autonómiával és függőségi ellátással kapcsolatos rendszert (SAAD) várhatóan javítani fogják olyan reformok bevezetésével, amelyek egyszerűsítik az adminisztratív eljárásokat, felgyorsítják a kérelmek feldolgozását és csökkentik azon eltartottak várólistáit, akik nem kapják meg az őket megillető szolgáltatásokat, valamint csökkentik a területi különbségeket. Emellett a szakmai szolgáltatások minőségének javítására, a munkakörülmények javítására és a különböző típusú pénzügyi juttatások lefedettségének növelésére is összpontosít. Középtávon a reform az intézményesítettség csökkentésére irányuló nemzeti stratégia végrehajtására összpontosít, amely egy olyan közösségi gondozási modell, amely kielégíti a támogatásra szorulók igényeit és preferenciáit, miközben biztosítja a költséghatékonyságot és támogatja az őket gondozó családokat. </w:t>
      </w:r>
    </w:p>
    <w:p w14:paraId="5C1142F2"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tartós ápolás-gondozás reformjának alapját a SAAD 2021 folyamán végzett értékelése képezi, hogy mélyrehatóan megértsük a tartós ápolás-gondozás 2020-ban megkezdett reformfolyamatának előrehaladását és annak hatásait. Ezen értékelés következtetéseit 2022 első felében terjesztik a területi tanács elé. </w:t>
      </w:r>
    </w:p>
    <w:p w14:paraId="1D423281" w14:textId="77777777" w:rsidR="00D65CB4" w:rsidRPr="00BC4EE7" w:rsidRDefault="00572307">
      <w:pPr>
        <w:pStyle w:val="P68B1DB1-Normal21"/>
        <w:spacing w:before="120" w:after="120" w:line="240" w:lineRule="auto"/>
        <w:jc w:val="both"/>
        <w:rPr>
          <w:rFonts w:cs="Times New Roman"/>
          <w:noProof/>
        </w:rPr>
      </w:pPr>
      <w:r w:rsidRPr="00BC4EE7">
        <w:rPr>
          <w:rFonts w:cs="Times New Roman"/>
          <w:noProof/>
        </w:rPr>
        <w:t>Az intézkedés végrehajtását 2022. június 30-ig be kell fejezni.</w:t>
      </w:r>
    </w:p>
    <w:p w14:paraId="0F984A9E"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shd w:val="clear" w:color="auto" w:fill="FFFFFF"/>
        </w:rPr>
        <w:t xml:space="preserve">Reform (C22.R2) – </w:t>
      </w:r>
      <w:r w:rsidRPr="00BC4EE7">
        <w:rPr>
          <w:rFonts w:cs="Times New Roman"/>
          <w:noProof/>
        </w:rPr>
        <w:t>A szociális közszolgáltatások korszerűsítése és új szabályozási keret biztosítása</w:t>
      </w:r>
    </w:p>
    <w:p w14:paraId="60735B60"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reform célja a szociális szolgáltatások állami rendszerének megerősítése olyan jogszabályok elfogadása révén, amelyek a spanyol alkotmány 149. cikkének (1) bekezdésében előírtak szerint garantálják a minimális közös szolgáltatási portfóliót és a szolgáltatások nyújtására vonatkozó közös normákat az ország egész területén, garantálva valamennyi spanyol állampolgár egyenlőségét jogaik gyakorlása során. E célból hozzájárul a nyújtott szolgáltatások típusával, szintjével és minőségével kapcsolatos egyenlőtlenségek és egyenlőtlenségek csökkentéséhez. A szabályozási keretről a régiókkal és a helyi gazdasági társaságokkal kell megállapodni, és annak ki kell terjednie az állami rendszer megszervezésére is, beleértve annak más szociális védelmi rendszerekkel (oktatás, egészségügy, igazságszolgáltatás, lakhatás és várostervezés, foglalkoztatás stb.) való belső koordinációját is; a szociális vállalkozások részvétele a szociális szolgáltatások nyújtásában; a hatáskörök és a finanszírozás rendszere. Célja továbbá az innováció előmozdítása, a szociális szolgáltatásokban dolgozók készségeinek javítása és egy új szociális szolgáltatási információs rendszer létrehozása. </w:t>
      </w:r>
    </w:p>
    <w:p w14:paraId="448552C2" w14:textId="77777777" w:rsidR="00D65CB4" w:rsidRPr="00BC4EE7" w:rsidRDefault="00572307">
      <w:pPr>
        <w:pStyle w:val="P68B1DB1-Normal21"/>
        <w:spacing w:before="120" w:after="120" w:line="240" w:lineRule="auto"/>
        <w:jc w:val="both"/>
        <w:rPr>
          <w:rFonts w:cs="Times New Roman"/>
          <w:noProof/>
        </w:rPr>
      </w:pPr>
      <w:r w:rsidRPr="00BC4EE7">
        <w:rPr>
          <w:rFonts w:cs="Times New Roman"/>
          <w:noProof/>
        </w:rPr>
        <w:t>Az intézkedés végrehajtását 2023. június 30-ig be kell fejezni.</w:t>
      </w:r>
    </w:p>
    <w:p w14:paraId="49C4B0FF"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u w:val="single"/>
          <w:shd w:val="clear" w:color="auto" w:fill="FFFFFF"/>
        </w:rPr>
        <w:t xml:space="preserve">Reform (C22.R3) – </w:t>
      </w:r>
      <w:r w:rsidRPr="00BC4EE7">
        <w:rPr>
          <w:rFonts w:cs="Times New Roman"/>
          <w:noProof/>
          <w:u w:val="single"/>
        </w:rPr>
        <w:t>A családok védelméről és sokféleségük elismeréséről szóló új törvény elfogadása</w:t>
      </w:r>
    </w:p>
    <w:p w14:paraId="19C6FC48"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shd w:val="clear" w:color="auto" w:fill="FFFFFF"/>
        </w:rPr>
        <w:t xml:space="preserve">Új törvényt kell elfogadni a családok védelméről és sokszínűségük elismeréséről az elmúlt évtizedekben bekövetkezett demográfiai és társadalmi változásokra való reagálás érdekében. Ennek az új törvénynek az a célja, hogy biztosítsa a különböző családstruktúrák jogi elismerését, és meghatározza azokat az ellátásokat és szolgáltatásokat, amelyekre jellemzőiktől és jövedelmi szintjüktől függően jogosultak. </w:t>
      </w:r>
      <w:r w:rsidRPr="00BC4EE7">
        <w:rPr>
          <w:rFonts w:cs="Times New Roman"/>
          <w:noProof/>
        </w:rPr>
        <w:t xml:space="preserve">E célból a reformok magukban foglalják a jogi keret rendszerezését, aktualizálását és javítását, valamint az általános államigazgatás által a családok számára elismert védelmi intézkedéseket, figyelembe véve a családok sokféleségét, mind a szociális védelem (ellátások, szociális szolgáltatások) tekintetében, mind a jogi (bizonyos csoportokra vonatkozó polgári jogi reformok): nem házas párok, újraalakult családok) és gazdasági (adózás, ösztöndíjak stb.). </w:t>
      </w:r>
      <w:r w:rsidRPr="00BC4EE7">
        <w:rPr>
          <w:rFonts w:cs="Times New Roman"/>
          <w:noProof/>
          <w:shd w:val="clear" w:color="auto" w:fill="FFFFFF"/>
        </w:rPr>
        <w:t>Ez magában foglalja a nagycsaládokról szóló törvény felülvizsgálatát is</w:t>
      </w:r>
      <w:r w:rsidRPr="00BC4EE7">
        <w:rPr>
          <w:rFonts w:cs="Times New Roman"/>
          <w:noProof/>
        </w:rPr>
        <w:t xml:space="preserve">. </w:t>
      </w:r>
    </w:p>
    <w:p w14:paraId="01C9213D" w14:textId="77777777" w:rsidR="00D65CB4" w:rsidRPr="00BC4EE7" w:rsidRDefault="00572307">
      <w:pPr>
        <w:pStyle w:val="P68B1DB1-Normal21"/>
        <w:spacing w:before="120" w:after="120" w:line="240" w:lineRule="auto"/>
        <w:jc w:val="both"/>
        <w:rPr>
          <w:rFonts w:cs="Times New Roman"/>
          <w:noProof/>
        </w:rPr>
      </w:pPr>
      <w:r w:rsidRPr="00BC4EE7">
        <w:rPr>
          <w:rFonts w:cs="Times New Roman"/>
          <w:noProof/>
        </w:rPr>
        <w:t xml:space="preserve">A reform átfogó célja a gyermekszegénység csökkentése. Ezért különös figyelmet kell fordítani az egyenlőtlenségek csökkentésére azáltal, hogy védelmet nyújtanak a sajátos nevelési igényű vagy kiszolgáltatott helyzetben lévő családoknak, például az egyszülős háztartásoknak, illetve a szegénység vagy a társadalmi kirekesztés kockázatának kitett családoknak. Ezen túlmenően a törvény közös elveket és célkitűzéseket állapít meg az egyéb közpolitikákkal – többek között az adózással – való koherencia és kiegészítő jelleg biztosítása, valamint a szubjektív jogokon alapuló védelem javítása érdekében.   </w:t>
      </w:r>
    </w:p>
    <w:p w14:paraId="1C0CD4CA" w14:textId="77777777" w:rsidR="00D65CB4" w:rsidRPr="00BC4EE7" w:rsidRDefault="00572307">
      <w:pPr>
        <w:pStyle w:val="P68B1DB1-Normal21"/>
        <w:spacing w:before="120" w:after="120" w:line="240" w:lineRule="auto"/>
        <w:jc w:val="both"/>
        <w:rPr>
          <w:rFonts w:cs="Times New Roman"/>
          <w:noProof/>
        </w:rPr>
      </w:pPr>
      <w:r w:rsidRPr="00BC4EE7">
        <w:rPr>
          <w:rFonts w:cs="Times New Roman"/>
          <w:noProof/>
        </w:rPr>
        <w:t>Az intézkedés végrehajtását 2023. június 30-ig be kell fejezni.</w:t>
      </w:r>
    </w:p>
    <w:p w14:paraId="334C02A2"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shd w:val="clear" w:color="auto" w:fill="FFFFFF"/>
        </w:rPr>
        <w:t xml:space="preserve">Reform (C22.R4) – </w:t>
      </w:r>
      <w:r w:rsidRPr="00BC4EE7">
        <w:rPr>
          <w:rFonts w:cs="Times New Roman"/>
          <w:noProof/>
        </w:rPr>
        <w:t xml:space="preserve">A migránsok és a nemzetközi védelmet kérelmezők befogadási rendszerének reformja </w:t>
      </w:r>
    </w:p>
    <w:p w14:paraId="060DC2A4"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migránsok és a nemzetközi védelmet kérelmezők jelenlegi spanyolországi befogadási rendszerét meg kell erősíteni kapacitásainak javítása érdekében, hozzáigazítva azt a meglévő és a becsült jövőbeli szükségletekhez, és hozzájárulva annak hatékonyabbá tételéhez. A hangsúly elsősorban a hosszú várakozási idők és a nemzetközi védelmet kérelmezők alacsony elismerési arányának csökkentésére helyeződik. Szilárdabb és jobban működő rendszerrel a jövőbeli migrációs válságok kezelése várhatóan gördülékenyebbé válik.</w:t>
      </w:r>
    </w:p>
    <w:p w14:paraId="58F0D37C"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befogadási politikákat a kiszolgáltatott személyek és menedékkérők szükségleteihez és az uniós integrációs célkitűzésekhez kell igazítani, az egész rendszert ellenállóbbá téve, továbbá meg kell határozni a pénzügyi forrásokkal nem rendelkező kérelmezők és a kiszolgáltatottabb profillal rendelkező, fokozott védelemre szoruló kérelmezők számára nyújtott alapvető szolgáltatások szintjét is, azzal a céllal, hogy a lehető legkisebbre csökkentsék a pénzügyi juttatások formájában biztosított befogadási feltételeket. Ezenkívül ki kell igazítani a kísérő szolgáltatásokra és útvonalakra vonatkozó rendszert. Foglalkozik a befogadási rendszer területi szempontból történő megszervezésével, amelynek célja, hogy néhány kísérleti projekten keresztül felgyorsítsa az autonóm közösségek hatalomátvételét az ítélkezési gyakorlat szerint. Végül az autonóm közösségekkel együttműködve meg kell állapodni a kérelmezőkre vonatkozó területi elosztási paraméterekről. </w:t>
      </w:r>
    </w:p>
    <w:p w14:paraId="29EE27F2" w14:textId="77777777" w:rsidR="00D65CB4" w:rsidRPr="00BC4EE7" w:rsidRDefault="00572307">
      <w:pPr>
        <w:pStyle w:val="P68B1DB1-Normal7"/>
        <w:spacing w:before="120" w:after="120" w:line="240" w:lineRule="auto"/>
        <w:jc w:val="both"/>
        <w:rPr>
          <w:rFonts w:cs="Times New Roman"/>
          <w:noProof/>
          <w:sz w:val="24"/>
        </w:rPr>
      </w:pPr>
      <w:r w:rsidRPr="00BC4EE7">
        <w:rPr>
          <w:rFonts w:cs="Times New Roman"/>
          <w:noProof/>
        </w:rPr>
        <w:t>A végrehajtás biztosítása</w:t>
      </w:r>
      <w:r w:rsidRPr="00BC4EE7">
        <w:rPr>
          <w:rFonts w:cs="Times New Roman"/>
          <w:noProof/>
          <w:sz w:val="24"/>
        </w:rPr>
        <w:t>érdekében olyan mutatók rendszerét kell használni, amelyek olyan elemeket tartalmaznak, mint az állampolgárság, a nem, az etnikai hovatartozás, a kiszolgáltatottság, a származási ország körülményei stb., súlyozott képlettel, amely lehetővé teszi a védelem biztosításának valószínűségének objektív kiszámítását. A kérelmek feldolgozása során a képletnek lehetővé kell tennie a befogadásért felelős hatóságok számára,</w:t>
      </w:r>
      <w:r w:rsidRPr="00BC4EE7">
        <w:rPr>
          <w:rFonts w:cs="Times New Roman"/>
          <w:noProof/>
        </w:rPr>
        <w:t xml:space="preserve"> </w:t>
      </w:r>
      <w:r w:rsidRPr="00BC4EE7">
        <w:rPr>
          <w:rFonts w:cs="Times New Roman"/>
          <w:noProof/>
          <w:sz w:val="24"/>
        </w:rPr>
        <w:t>hogy a kérelmezőket az alap- vagy továbbfejlesztett befogadási pályára irányítsák. Ez a megfelelő ellátásokra is vonatkozik. Ez valamennyi menedékkérő esetében lehetővé teszi az alapvető befogadási feltételek alkalmazását, a nagy elismerési valószínűségű személyek esetében pedig a befogadási feltételek javítását.</w:t>
      </w:r>
    </w:p>
    <w:p w14:paraId="307F37F8" w14:textId="77777777" w:rsidR="00D65CB4" w:rsidRPr="00BC4EE7" w:rsidRDefault="00572307">
      <w:pPr>
        <w:pStyle w:val="P68B1DB1-Normal21"/>
        <w:spacing w:before="120" w:after="120" w:line="240" w:lineRule="auto"/>
        <w:jc w:val="both"/>
        <w:rPr>
          <w:rFonts w:cs="Times New Roman"/>
          <w:noProof/>
        </w:rPr>
      </w:pPr>
      <w:r w:rsidRPr="00BC4EE7">
        <w:rPr>
          <w:rFonts w:cs="Times New Roman"/>
          <w:noProof/>
        </w:rPr>
        <w:t>Az intézkedés végrehajtását 2022. március 31-ig be kell fejezni.</w:t>
      </w:r>
    </w:p>
    <w:p w14:paraId="1B9302C2"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shd w:val="clear" w:color="auto" w:fill="FFFFFF"/>
        </w:rPr>
        <w:t xml:space="preserve">Reform (C22.R5) – </w:t>
      </w:r>
      <w:r w:rsidRPr="00BC4EE7">
        <w:rPr>
          <w:rFonts w:cs="Times New Roman"/>
          <w:noProof/>
        </w:rPr>
        <w:t>Az általános államigazgatás nem járulékalapú pénzügyi juttatási rendszerének javítása</w:t>
      </w:r>
    </w:p>
    <w:p w14:paraId="71DD81E6"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Ez a reform magában foglalja az új minimális életjövedelem-rendszer (MVI) 2020. májusi jóváhagyását, a nem járulékalapú pénzügyi ellátások egységes nemzeti rendszerének létrehozását, valamint a legkiszolgáltatottabb helyzetben lévő háztartások számára a nem járulékalapú pénzügyi juttatások minimális szintjének meghatározását. </w:t>
      </w:r>
    </w:p>
    <w:p w14:paraId="59CD41F3"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Az MVI-rendszerből kiindulva tervet kell elfogadni az Általános Államigazgatás nem járulékalapú pénzügyi juttatásai rendszerének átszervezésére és egyszerűsítésére. A terv célja, hogy az MVI-rendszer alapján integrálja és észszerűsítse a nem járulékalapú ellátásokat annak érdekében, hogy javítsa az állami források hatékonyságát és eredményességét, és azokat a kiszolgáltatott helyzetben lévőkre, valamint a szegénység vagy a társadalmi kirekesztés kockázatának kitett személyekre összpontosítsa. A hangsúlyt a kiszolgáltatottsághoz vezető körülményektől függő megfelelő lefedettség biztosítására és a megfelelő jövedelemtámogatás biztosítására kell helyezni, hozzájárulva ezáltal a szegénység csökkentéséhez. E célból figyelembe kell vennie a háztartások, különösen a gyermekes családok és a fogyatékossággal élő személyek strukturális szükségleteit. A társadalmi-gazdasági integráció előmozdítása és a szegénységi csapdák elkerülése érdekében a jövedelemtámogatást az aktív álláskereséssel is összekapcsolja. </w:t>
      </w:r>
    </w:p>
    <w:p w14:paraId="3267E89C" w14:textId="77777777" w:rsidR="00D65CB4" w:rsidRPr="00BC4EE7" w:rsidRDefault="00572307">
      <w:pPr>
        <w:pStyle w:val="P68B1DB1-Normal21"/>
        <w:spacing w:before="120" w:after="120" w:line="240" w:lineRule="auto"/>
        <w:jc w:val="both"/>
        <w:rPr>
          <w:rFonts w:cs="Times New Roman"/>
          <w:noProof/>
        </w:rPr>
      </w:pPr>
      <w:r w:rsidRPr="00BC4EE7">
        <w:rPr>
          <w:rFonts w:cs="Times New Roman"/>
          <w:noProof/>
        </w:rPr>
        <w:t>Az intézkedés végrehajtását 2023. december 31-ig be kell fejezni.</w:t>
      </w:r>
    </w:p>
    <w:p w14:paraId="397AD07F" w14:textId="77777777" w:rsidR="00D65CB4" w:rsidRPr="00BC4EE7" w:rsidRDefault="00572307">
      <w:pPr>
        <w:pStyle w:val="P68B1DB1-Normal4"/>
        <w:spacing w:before="120" w:after="120" w:line="240" w:lineRule="auto"/>
        <w:jc w:val="both"/>
        <w:rPr>
          <w:rFonts w:cs="Times New Roman"/>
          <w:noProof/>
          <w:u w:val="single"/>
        </w:rPr>
      </w:pPr>
      <w:r w:rsidRPr="00BC4EE7">
        <w:rPr>
          <w:rFonts w:cs="Times New Roman"/>
          <w:noProof/>
          <w:u w:val="single"/>
        </w:rPr>
        <w:t xml:space="preserve">Beruházás </w:t>
      </w:r>
      <w:r w:rsidRPr="00BC4EE7">
        <w:rPr>
          <w:rFonts w:cs="Times New Roman"/>
          <w:noProof/>
          <w:u w:val="single"/>
          <w:shd w:val="clear" w:color="auto" w:fill="FFFFFF"/>
        </w:rPr>
        <w:t>(C22.I1)</w:t>
      </w:r>
      <w:r w:rsidRPr="00BC4EE7">
        <w:rPr>
          <w:rFonts w:cs="Times New Roman"/>
          <w:noProof/>
          <w:u w:val="single"/>
        </w:rPr>
        <w:t>: Tartós ápolás-gondozási és támogatási terv: intézménytelenítés, berendezések és technológia</w:t>
      </w:r>
      <w:r w:rsidRPr="00BC4EE7">
        <w:rPr>
          <w:rFonts w:cs="Times New Roman"/>
          <w:noProof/>
        </w:rPr>
        <w:t xml:space="preserve"> </w:t>
      </w:r>
    </w:p>
    <w:p w14:paraId="379D6577"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 komponens 1. reformjával összhangban Spanyolország hat cselekvési területbe ruház be. </w:t>
      </w:r>
    </w:p>
    <w:p w14:paraId="2C4A4B17" w14:textId="77777777" w:rsidR="00D65CB4" w:rsidRPr="00BC4EE7" w:rsidRDefault="00572307">
      <w:pPr>
        <w:pStyle w:val="P68B1DB1-Normal4"/>
        <w:numPr>
          <w:ilvl w:val="0"/>
          <w:numId w:val="141"/>
        </w:numPr>
        <w:spacing w:before="120" w:after="160" w:line="240" w:lineRule="auto"/>
        <w:contextualSpacing/>
        <w:jc w:val="both"/>
        <w:rPr>
          <w:rFonts w:cs="Times New Roman"/>
          <w:noProof/>
        </w:rPr>
      </w:pPr>
      <w:r w:rsidRPr="00BC4EE7">
        <w:rPr>
          <w:rFonts w:cs="Times New Roman"/>
          <w:noProof/>
        </w:rPr>
        <w:t xml:space="preserve">A gondozási politikák jelenlegi helyzetét elemző hosszú távú támogatási tervben, amelynek célja a javítási szükségletek azonosítása, valamint a személyes autonómiáról és a függőségi helyzetben lévő személyek gondozásáról szóló jelenlegi törvény reformjára irányuló javaslat tétele. Értékeli továbbá a helyzetet és a különböző területeken folyamatban lévő projekteket; </w:t>
      </w:r>
    </w:p>
    <w:p w14:paraId="392F886C" w14:textId="77777777" w:rsidR="00D65CB4" w:rsidRPr="00BC4EE7" w:rsidRDefault="00572307">
      <w:pPr>
        <w:pStyle w:val="P68B1DB1-Normal4"/>
        <w:numPr>
          <w:ilvl w:val="0"/>
          <w:numId w:val="141"/>
        </w:numPr>
        <w:spacing w:before="120" w:after="160" w:line="240" w:lineRule="auto"/>
        <w:contextualSpacing/>
        <w:jc w:val="both"/>
        <w:rPr>
          <w:rFonts w:cs="Times New Roman"/>
          <w:noProof/>
        </w:rPr>
      </w:pPr>
      <w:r w:rsidRPr="00BC4EE7">
        <w:rPr>
          <w:rFonts w:cs="Times New Roman"/>
          <w:noProof/>
        </w:rPr>
        <w:t xml:space="preserve">Az intézményesítettség csökkentésére irányuló nemzeti stratégia, beleértve a figyelemfelhívó és -terjesztő kampányok végrehajtását; </w:t>
      </w:r>
    </w:p>
    <w:p w14:paraId="6F91739E" w14:textId="77777777" w:rsidR="00D65CB4" w:rsidRPr="00BC4EE7" w:rsidRDefault="00572307">
      <w:pPr>
        <w:pStyle w:val="P68B1DB1-Normal7"/>
        <w:numPr>
          <w:ilvl w:val="0"/>
          <w:numId w:val="141"/>
        </w:numPr>
        <w:spacing w:before="120" w:after="160" w:line="240" w:lineRule="auto"/>
        <w:contextualSpacing/>
        <w:jc w:val="both"/>
        <w:rPr>
          <w:rFonts w:cs="Times New Roman"/>
          <w:noProof/>
          <w:sz w:val="24"/>
        </w:rPr>
      </w:pPr>
      <w:r w:rsidRPr="00BC4EE7">
        <w:rPr>
          <w:rFonts w:cs="Times New Roman"/>
          <w:noProof/>
          <w:sz w:val="24"/>
        </w:rPr>
        <w:t>Négy kísérleti projekt, amelyek célja az intézményesítettség csökkentése, valamint a támogatás és a tartós ápolás-gondozás átalakításával kapcsolatos tanulságok levonása, beleértve az értelmi fogyatékossággal élő személyek támogatását és tartós gondozását is;</w:t>
      </w:r>
      <w:r w:rsidRPr="00BC4EE7">
        <w:rPr>
          <w:rFonts w:cs="Times New Roman"/>
          <w:noProof/>
        </w:rPr>
        <w:t xml:space="preserve"> </w:t>
      </w:r>
    </w:p>
    <w:p w14:paraId="3A0D732E" w14:textId="77777777" w:rsidR="00D65CB4" w:rsidRPr="00BC4EE7" w:rsidRDefault="00572307">
      <w:pPr>
        <w:pStyle w:val="P68B1DB1-Normal4"/>
        <w:numPr>
          <w:ilvl w:val="0"/>
          <w:numId w:val="141"/>
        </w:numPr>
        <w:spacing w:before="120" w:after="160" w:line="240" w:lineRule="auto"/>
        <w:contextualSpacing/>
        <w:jc w:val="both"/>
        <w:rPr>
          <w:rFonts w:cs="Times New Roman"/>
          <w:noProof/>
        </w:rPr>
      </w:pPr>
      <w:r w:rsidRPr="00BC4EE7">
        <w:rPr>
          <w:rFonts w:cs="Times New Roman"/>
          <w:noProof/>
        </w:rPr>
        <w:t>Bentlakásos, nem lakáscélú és nappali gondozási központok építése és felújítása, valamint a gondozási szolgáltatások minőségének javítását célzó beruházási eszközök. Ezeket a beruházási projekteket az autonóm közösségek hajtják végre a területi igények felmérése alapján; valamint annak biztosítása, hogy az új és felújított lakóhelyek igazodjanak a fogyatékossággal élő személyek jogairól szóló ENSZ-egyezményhez.</w:t>
      </w:r>
    </w:p>
    <w:p w14:paraId="31086C13" w14:textId="5332CBC9" w:rsidR="00D65CB4" w:rsidRPr="00BC4EE7" w:rsidRDefault="00572307">
      <w:pPr>
        <w:pStyle w:val="P68B1DB1-Normal4"/>
        <w:numPr>
          <w:ilvl w:val="0"/>
          <w:numId w:val="141"/>
        </w:numPr>
        <w:spacing w:before="120" w:after="160" w:line="240" w:lineRule="auto"/>
        <w:contextualSpacing/>
        <w:jc w:val="both"/>
        <w:rPr>
          <w:rFonts w:cs="Times New Roman"/>
          <w:noProof/>
        </w:rPr>
      </w:pPr>
      <w:r w:rsidRPr="00BC4EE7">
        <w:rPr>
          <w:rFonts w:cs="Times New Roman"/>
          <w:noProof/>
        </w:rPr>
        <w:t>Az IMSERSO (</w:t>
      </w:r>
      <w:r w:rsidRPr="00BC4EE7">
        <w:rPr>
          <w:rFonts w:cs="Times New Roman"/>
          <w:i/>
          <w:noProof/>
        </w:rPr>
        <w:t>Instituto de Mayores y Servicios Social</w:t>
      </w:r>
      <w:r w:rsidRPr="00BC4EE7">
        <w:rPr>
          <w:rFonts w:cs="Times New Roman"/>
          <w:noProof/>
        </w:rPr>
        <w:t xml:space="preserve">) által működtetett, a szociális jogokért és a 2030-ig tartó időszakra szóló menetrendért felelős közösségi integrált napközi központok reformja, többek között a vidéki területeken is. Tizenegy központot kell megreformálni és a </w:t>
      </w:r>
      <w:bookmarkStart w:id="58" w:name="_Hlk141885579"/>
      <w:r w:rsidRPr="00BC4EE7">
        <w:rPr>
          <w:rFonts w:cs="Times New Roman"/>
          <w:noProof/>
        </w:rPr>
        <w:t>tartós ápolás-gondozás új modelljéhez igazítani, a testi fogyatékossággal élő személyekre összpontosítva, ami 1100 férőhelynek felel meg. A beruházásokat az ugyanazon központokban megvalósuló innovatív projektekre is kell fordítani; és</w:t>
      </w:r>
    </w:p>
    <w:p w14:paraId="2B26EFDE" w14:textId="2E94BF3B" w:rsidR="00D65CB4" w:rsidRPr="00BC4EE7" w:rsidRDefault="00572307">
      <w:pPr>
        <w:pStyle w:val="P68B1DB1-Normal4"/>
        <w:numPr>
          <w:ilvl w:val="0"/>
          <w:numId w:val="141"/>
        </w:numPr>
        <w:shd w:val="clear" w:color="auto" w:fill="FFFFFF" w:themeFill="background1"/>
        <w:spacing w:before="120" w:after="120" w:line="240" w:lineRule="auto"/>
        <w:ind w:left="714" w:hanging="357"/>
        <w:jc w:val="both"/>
        <w:rPr>
          <w:rFonts w:cs="Times New Roman"/>
          <w:noProof/>
        </w:rPr>
      </w:pPr>
      <w:r w:rsidRPr="00BC4EE7">
        <w:rPr>
          <w:rFonts w:cs="Times New Roman"/>
          <w:noProof/>
        </w:rPr>
        <w:t>Új távgondozási szolgáltatások a proaktív és személyre szabott ellátás felé való elmozdulás érdekében, amely hozzájárul az otthonukban gondozásra szoruló személyek személyes autonómiájához és fenntartásához</w:t>
      </w:r>
      <w:r w:rsidRPr="00BC4EE7">
        <w:rPr>
          <w:rFonts w:cs="Times New Roman"/>
          <w:noProof/>
          <w:shd w:val="clear" w:color="auto" w:fill="E6E6E6"/>
        </w:rPr>
        <w:t>.</w:t>
      </w:r>
    </w:p>
    <w:p w14:paraId="0FCCDEC2" w14:textId="05B34300" w:rsidR="00D65CB4" w:rsidRPr="00BC4EE7" w:rsidRDefault="00572307">
      <w:pPr>
        <w:pStyle w:val="P68B1DB1-Normal21"/>
        <w:keepNext/>
        <w:tabs>
          <w:tab w:val="left" w:pos="709"/>
        </w:tabs>
        <w:spacing w:before="120" w:after="120" w:line="240" w:lineRule="auto"/>
        <w:jc w:val="both"/>
        <w:rPr>
          <w:rFonts w:cs="Times New Roman"/>
          <w:noProof/>
          <w:u w:val="single"/>
        </w:rPr>
      </w:pPr>
      <w:r w:rsidRPr="00BC4EE7">
        <w:rPr>
          <w:rFonts w:cs="Times New Roman"/>
          <w:noProof/>
        </w:rPr>
        <w:t>Az intézkedés végrehajtásának határideje 2026. június 30.</w:t>
      </w:r>
    </w:p>
    <w:bookmarkEnd w:id="58"/>
    <w:p w14:paraId="418A7A6A" w14:textId="77777777" w:rsidR="00D65CB4" w:rsidRPr="00BC4EE7" w:rsidRDefault="00572307">
      <w:pPr>
        <w:pStyle w:val="P68B1DB1-Normal4"/>
        <w:keepNext/>
        <w:tabs>
          <w:tab w:val="left" w:pos="709"/>
        </w:tabs>
        <w:spacing w:before="120" w:after="120" w:line="240" w:lineRule="auto"/>
        <w:jc w:val="both"/>
        <w:rPr>
          <w:rFonts w:cs="Times New Roman"/>
          <w:noProof/>
          <w:u w:val="single"/>
        </w:rPr>
      </w:pPr>
      <w:r w:rsidRPr="00BC4EE7">
        <w:rPr>
          <w:rFonts w:cs="Times New Roman"/>
          <w:noProof/>
          <w:u w:val="single"/>
        </w:rPr>
        <w:t xml:space="preserve">Beruházás </w:t>
      </w:r>
      <w:r w:rsidRPr="00BC4EE7">
        <w:rPr>
          <w:rFonts w:cs="Times New Roman"/>
          <w:noProof/>
          <w:u w:val="single"/>
          <w:shd w:val="clear" w:color="auto" w:fill="FFFFFF"/>
        </w:rPr>
        <w:t>(C22.I2)</w:t>
      </w:r>
      <w:r w:rsidRPr="00BC4EE7">
        <w:rPr>
          <w:rFonts w:cs="Times New Roman"/>
          <w:noProof/>
          <w:u w:val="single"/>
        </w:rPr>
        <w:t>: Terv a szociális szolgáltatások korszerűsítéséről – technológiai átalakulás, innováció, képzés és a gyermekgondozás megerősítése</w:t>
      </w:r>
      <w:r w:rsidRPr="00BC4EE7">
        <w:rPr>
          <w:rFonts w:cs="Times New Roman"/>
          <w:noProof/>
        </w:rPr>
        <w:t xml:space="preserve"> </w:t>
      </w:r>
    </w:p>
    <w:p w14:paraId="78870859" w14:textId="77777777" w:rsidR="00D65CB4" w:rsidRPr="00BC4EE7" w:rsidRDefault="00572307">
      <w:pPr>
        <w:pStyle w:val="P68B1DB1-Normal4"/>
        <w:keepNext/>
        <w:spacing w:before="120" w:after="120" w:line="240" w:lineRule="auto"/>
        <w:jc w:val="both"/>
        <w:rPr>
          <w:rFonts w:cs="Times New Roman"/>
          <w:noProof/>
        </w:rPr>
      </w:pPr>
      <w:r w:rsidRPr="00BC4EE7">
        <w:rPr>
          <w:rFonts w:cs="Times New Roman"/>
          <w:noProof/>
        </w:rPr>
        <w:t xml:space="preserve">E komponens 2. reformjával összhangban Spanyolországnak öt cselekvési területbe kell beruháznia. </w:t>
      </w:r>
    </w:p>
    <w:p w14:paraId="6F584859" w14:textId="77777777" w:rsidR="00D65CB4" w:rsidRPr="00BC4EE7" w:rsidRDefault="00572307">
      <w:pPr>
        <w:pStyle w:val="P68B1DB1-Normal4"/>
        <w:keepNext/>
        <w:numPr>
          <w:ilvl w:val="0"/>
          <w:numId w:val="142"/>
        </w:numPr>
        <w:spacing w:before="120" w:after="160" w:line="240" w:lineRule="auto"/>
        <w:contextualSpacing/>
        <w:jc w:val="both"/>
        <w:rPr>
          <w:rFonts w:cs="Times New Roman"/>
          <w:noProof/>
        </w:rPr>
      </w:pPr>
      <w:r w:rsidRPr="00BC4EE7">
        <w:rPr>
          <w:rFonts w:cs="Times New Roman"/>
          <w:noProof/>
        </w:rPr>
        <w:t xml:space="preserve">Új technológiák, amelyek javítják mind a szociális szolgáltatások hatékonyságát (rövidebb várakozási idők), mind a minőségüket (a szociális beavatkozások jobb eredményei), beleértve az integrált ellátás előmozdítását is. </w:t>
      </w:r>
    </w:p>
    <w:p w14:paraId="28DC6EA7" w14:textId="77777777" w:rsidR="00D65CB4" w:rsidRPr="00BC4EE7" w:rsidRDefault="00572307">
      <w:pPr>
        <w:pStyle w:val="P68B1DB1-Normal4"/>
        <w:numPr>
          <w:ilvl w:val="0"/>
          <w:numId w:val="142"/>
        </w:numPr>
        <w:spacing w:before="120" w:after="160" w:line="240" w:lineRule="auto"/>
        <w:contextualSpacing/>
        <w:jc w:val="both"/>
        <w:rPr>
          <w:rFonts w:cs="Times New Roman"/>
          <w:noProof/>
        </w:rPr>
      </w:pPr>
      <w:r w:rsidRPr="00BC4EE7">
        <w:rPr>
          <w:rFonts w:cs="Times New Roman"/>
          <w:noProof/>
        </w:rPr>
        <w:t>A szociális szolgáltatások irányításának és az információs rendszereknek a javítását szolgáló technológiai eszközök, beleértve a nemzeti és regionális közigazgatási szerveknél rendelkezésre álló információk központosítására szolgáló online platformot. Ez konkrétan magában foglalja a spanyol szociális szolgáltatási információs rendszer (SIESS) teljes körű végrehajtását.  Ez az új információs rendszer várhatóan lehetővé teszi a más rendszerekkel (foglalkoztatás, egészségügy, harmadik szektor) való interoperabilitást is. Magában foglal továbbá egy online eszközt a harmadik szektorbeli szervezetek által kidolgozott projektek elemzésére, a szociális szolgáltatásokkal, valamint a családok, gyermekek és bizonyos kiszolgáltatott csoportok gondozásával kapcsolatos különböző költségvetési programok irányítására, valamint online platformot az általános államigazgatásban és az autonóm közösségekben az ellátással kapcsolatos információk központosítására.</w:t>
      </w:r>
    </w:p>
    <w:p w14:paraId="2B8DBAEF" w14:textId="77777777" w:rsidR="00D65CB4" w:rsidRPr="00BC4EE7" w:rsidRDefault="00572307">
      <w:pPr>
        <w:pStyle w:val="P68B1DB1-Normal4"/>
        <w:numPr>
          <w:ilvl w:val="0"/>
          <w:numId w:val="142"/>
        </w:numPr>
        <w:spacing w:before="120" w:after="160" w:line="240" w:lineRule="auto"/>
        <w:contextualSpacing/>
        <w:jc w:val="both"/>
        <w:rPr>
          <w:rFonts w:cs="Times New Roman"/>
          <w:noProof/>
        </w:rPr>
      </w:pPr>
      <w:r w:rsidRPr="00BC4EE7">
        <w:rPr>
          <w:rFonts w:cs="Times New Roman"/>
          <w:noProof/>
        </w:rPr>
        <w:t xml:space="preserve">Kísérleti projektek a szociális szolgáltatások innovációjának előmozdítására. </w:t>
      </w:r>
    </w:p>
    <w:p w14:paraId="77493A7D" w14:textId="77777777" w:rsidR="00D65CB4" w:rsidRPr="00BC4EE7" w:rsidRDefault="00572307">
      <w:pPr>
        <w:pStyle w:val="P68B1DB1-Normal4"/>
        <w:numPr>
          <w:ilvl w:val="0"/>
          <w:numId w:val="142"/>
        </w:numPr>
        <w:spacing w:before="120" w:after="160" w:line="240" w:lineRule="auto"/>
        <w:contextualSpacing/>
        <w:jc w:val="both"/>
        <w:rPr>
          <w:rFonts w:cs="Times New Roman"/>
          <w:noProof/>
        </w:rPr>
      </w:pPr>
      <w:r w:rsidRPr="00BC4EE7">
        <w:rPr>
          <w:rFonts w:cs="Times New Roman"/>
          <w:noProof/>
        </w:rPr>
        <w:t>Az új tartós ápolási-gondozási modell végrehajtásában és támogatásában részt vevő állami szociális szolgáltatási rendszer személyzetének képzése</w:t>
      </w:r>
      <w:r w:rsidRPr="00BC4EE7">
        <w:rPr>
          <w:rFonts w:cs="Times New Roman"/>
          <w:noProof/>
          <w:shd w:val="clear" w:color="auto" w:fill="E6E6E6"/>
        </w:rPr>
        <w:t>.</w:t>
      </w:r>
    </w:p>
    <w:p w14:paraId="4F55BB2E" w14:textId="77777777" w:rsidR="00D65CB4" w:rsidRPr="00BC4EE7" w:rsidRDefault="00572307">
      <w:pPr>
        <w:pStyle w:val="P68B1DB1-Normal4"/>
        <w:numPr>
          <w:ilvl w:val="0"/>
          <w:numId w:val="142"/>
        </w:numPr>
        <w:spacing w:before="120" w:after="160" w:line="240" w:lineRule="auto"/>
        <w:contextualSpacing/>
        <w:jc w:val="both"/>
        <w:rPr>
          <w:rFonts w:cs="Times New Roman"/>
          <w:noProof/>
        </w:rPr>
      </w:pPr>
      <w:r w:rsidRPr="00BC4EE7">
        <w:rPr>
          <w:rFonts w:cs="Times New Roman"/>
          <w:noProof/>
        </w:rPr>
        <w:t xml:space="preserve">A bentlakásos infrastruktúrák és a gyermekgondozási és serdülőkori gondozási központok egyéb szempontjainak javítása, az érzelmi, személyes és oktatási/szakmai igények jobb kezelése. </w:t>
      </w:r>
    </w:p>
    <w:p w14:paraId="26FAB199"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beruházások nagy részét a regionális kormányzatok által a szociális szolgáltatások technológiai átalakítására, valamint a lakásvédelemmel és a nevelőszülőkkel kapcsolatos infrastruktúra és szolgáltatások korszerűsítésére irányuló projektek alkotják.  </w:t>
      </w:r>
    </w:p>
    <w:p w14:paraId="7A7C04E8" w14:textId="33506554" w:rsidR="00D65CB4" w:rsidRPr="00BC4EE7" w:rsidRDefault="00572307">
      <w:pPr>
        <w:pStyle w:val="P68B1DB1-Normal21"/>
        <w:spacing w:before="120" w:after="120" w:line="240" w:lineRule="auto"/>
        <w:jc w:val="both"/>
        <w:rPr>
          <w:rFonts w:cs="Times New Roman"/>
          <w:noProof/>
        </w:rPr>
      </w:pPr>
      <w:r w:rsidRPr="00BC4EE7">
        <w:rPr>
          <w:rFonts w:cs="Times New Roman"/>
          <w:noProof/>
        </w:rPr>
        <w:t>Az intézkedés végrehajtását 2025. december 31-ig be kell fejezni.</w:t>
      </w:r>
    </w:p>
    <w:p w14:paraId="02D53FAE"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 xml:space="preserve">Beruházás </w:t>
      </w:r>
      <w:r w:rsidRPr="00BC4EE7">
        <w:rPr>
          <w:rFonts w:cs="Times New Roman"/>
          <w:noProof/>
          <w:shd w:val="clear" w:color="auto" w:fill="FFFFFF"/>
        </w:rPr>
        <w:t>(C22.I3)</w:t>
      </w:r>
      <w:r w:rsidRPr="00BC4EE7">
        <w:rPr>
          <w:rFonts w:cs="Times New Roman"/>
          <w:noProof/>
        </w:rPr>
        <w:t xml:space="preserve">: Spanyolország elérhető országterve </w:t>
      </w:r>
    </w:p>
    <w:p w14:paraId="49F8B261"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Spanyolországnak be kell ruháznia a fogyatékossággal élő személyek közszolgáltatásokhoz való hozzáférésének javításába, a hatóságokkal folytatott kommunikáció során a kognitív akadálymentesség javítására (beleértve a weboldalakat is), valamint a középületekhez és a közterületekhez való fizikai hozzáférésre összpontosítva; az egészségügyi szolgáltatások fizikai tereinek alkalmassága; hozzáférhetőség az oktatási központokban; valamint a tömegközlekedés elszállásolása, beleértve a városi és vidéki területek közötti megközelíthetőséget is. Pénzügyi támogatást kell nyújtani az önkormányzatoknak a munkálatok kivitelezéséhez és a berendezések beszerzéséhez, különösen a vidéki területeken. A beruházásokat kommunikációs és figyelemfelkeltő kampányokra, valamint K+F+I kutatási projektekre is kell fordítani a kognitív hozzáférhetőség területén.</w:t>
      </w:r>
    </w:p>
    <w:p w14:paraId="64E0079C" w14:textId="2E4C1A17" w:rsidR="00D65CB4" w:rsidRPr="00BC4EE7" w:rsidRDefault="00572307">
      <w:pPr>
        <w:pStyle w:val="P68B1DB1-Normal21"/>
        <w:spacing w:before="120" w:after="120" w:line="240" w:lineRule="auto"/>
        <w:jc w:val="both"/>
        <w:rPr>
          <w:rFonts w:cs="Times New Roman"/>
          <w:noProof/>
        </w:rPr>
      </w:pPr>
      <w:r w:rsidRPr="00BC4EE7">
        <w:rPr>
          <w:rFonts w:cs="Times New Roman"/>
          <w:noProof/>
        </w:rPr>
        <w:t>Az intézkedés végrehajtását 2024. március 31-ig be kell fejezni.</w:t>
      </w:r>
    </w:p>
    <w:p w14:paraId="2AB0DBDB" w14:textId="77777777" w:rsidR="00D65CB4" w:rsidRPr="00BC4EE7" w:rsidRDefault="00572307">
      <w:pPr>
        <w:pStyle w:val="P68B1DB1-Normal4"/>
        <w:spacing w:before="120" w:after="120" w:line="240" w:lineRule="auto"/>
        <w:jc w:val="both"/>
        <w:rPr>
          <w:rFonts w:cs="Times New Roman"/>
          <w:noProof/>
          <w:u w:val="single"/>
        </w:rPr>
      </w:pPr>
      <w:r w:rsidRPr="00BC4EE7">
        <w:rPr>
          <w:rFonts w:cs="Times New Roman"/>
          <w:noProof/>
          <w:u w:val="single"/>
        </w:rPr>
        <w:t xml:space="preserve">Beruházás </w:t>
      </w:r>
      <w:r w:rsidRPr="00BC4EE7">
        <w:rPr>
          <w:rFonts w:cs="Times New Roman"/>
          <w:noProof/>
          <w:u w:val="single"/>
          <w:shd w:val="clear" w:color="auto" w:fill="FFFFFF"/>
        </w:rPr>
        <w:t>(C22.I4)</w:t>
      </w:r>
      <w:r w:rsidRPr="00BC4EE7">
        <w:rPr>
          <w:rFonts w:cs="Times New Roman"/>
          <w:noProof/>
          <w:u w:val="single"/>
        </w:rPr>
        <w:t>: Terv Spanyolországban a nemi alapú erőszakkal szemben</w:t>
      </w:r>
      <w:r w:rsidRPr="00BC4EE7">
        <w:rPr>
          <w:rFonts w:cs="Times New Roman"/>
          <w:noProof/>
        </w:rPr>
        <w:t xml:space="preserve"> </w:t>
      </w:r>
    </w:p>
    <w:p w14:paraId="5DEF3A9F" w14:textId="4571CCEE"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Spanyolországnak be kell ruháznia telefon- és online szolgáltatásokba a nők elleni erőszak áldozatainak támogatása érdekében, beleértve az emberkereskedelem és a szexuális kizsákmányolás áldozatait is. Magában foglal minden tartományban – beleértve Ceutát és Melillát is – 24 órás válságsegély-központokat, figyelembe véve az anonimitás biztosításával és a demográfiai szempontokkal kapcsolatos kihívásokat. E központok létrehozása részét képezi Spanyolországnak az Európa Tanácsnak a nőkkel szembeni erőszak és a kapcsolati erőszak elleni küzdelemről és azok megelőzéséről szóló egyezménye iránti elkötelezettségének, amelyet Spanyolország vonatkozásában 2014-ben ratifikáltak. A beruházásnak </w:t>
      </w:r>
      <w:r w:rsidRPr="00BC4EE7">
        <w:rPr>
          <w:rFonts w:cs="Times New Roman"/>
          <w:noProof/>
          <w:shd w:val="clear" w:color="auto" w:fill="FFFFFF"/>
        </w:rPr>
        <w:t>létre kell hoznia egy új szociális és foglalkoztatási tanácsadó szolgálatot</w:t>
      </w:r>
      <w:r w:rsidRPr="00BC4EE7">
        <w:rPr>
          <w:rFonts w:cs="Times New Roman"/>
          <w:noProof/>
        </w:rPr>
        <w:t xml:space="preserve"> is, amely különböző típusú szolgáltatásokat nyújt, ideértve a jogi tanácsadást, a pszichológiai és érzelmi támogatást, valamint </w:t>
      </w:r>
      <w:r w:rsidRPr="00BC4EE7">
        <w:rPr>
          <w:rFonts w:cs="Times New Roman"/>
          <w:noProof/>
          <w:shd w:val="clear" w:color="auto" w:fill="FFFFFF"/>
        </w:rPr>
        <w:t>a munkaerőpiaci integrációhoz nyújtott segítséget</w:t>
      </w:r>
      <w:r w:rsidRPr="00BC4EE7">
        <w:rPr>
          <w:rFonts w:cs="Times New Roman"/>
          <w:noProof/>
        </w:rPr>
        <w:t xml:space="preserve">. A televíziós segítségnyújtás az áldozatok védelmét is magában foglalja, beleértve a távolságtartási intézkedések nyomon követésére szolgáló eszközöket is. </w:t>
      </w:r>
    </w:p>
    <w:p w14:paraId="3DA8D7D7" w14:textId="54B650C1" w:rsidR="00D65CB4" w:rsidRPr="00BC4EE7" w:rsidRDefault="00572307">
      <w:pPr>
        <w:pStyle w:val="P68B1DB1-Normal21"/>
        <w:spacing w:before="120" w:after="120" w:line="240" w:lineRule="auto"/>
        <w:jc w:val="both"/>
        <w:rPr>
          <w:rFonts w:cs="Times New Roman"/>
          <w:noProof/>
        </w:rPr>
      </w:pPr>
      <w:r w:rsidRPr="00BC4EE7">
        <w:rPr>
          <w:rFonts w:cs="Times New Roman"/>
          <w:noProof/>
        </w:rPr>
        <w:t>Az intézkedés végrehajtását 2025. december 31-ig be kell fejezni.</w:t>
      </w:r>
    </w:p>
    <w:p w14:paraId="116D2ED2"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u w:val="single"/>
        </w:rPr>
        <w:t xml:space="preserve">Beruházás </w:t>
      </w:r>
      <w:r w:rsidRPr="00BC4EE7">
        <w:rPr>
          <w:rFonts w:cs="Times New Roman"/>
          <w:noProof/>
          <w:u w:val="single"/>
          <w:shd w:val="clear" w:color="auto" w:fill="FFFFFF"/>
        </w:rPr>
        <w:t>(C22.I5)</w:t>
      </w:r>
      <w:r w:rsidRPr="00BC4EE7">
        <w:rPr>
          <w:rFonts w:cs="Times New Roman"/>
          <w:noProof/>
          <w:u w:val="single"/>
        </w:rPr>
        <w:t>: A migránsok és a nemzetközi védelmet kérelmezők befogadási rendszere kapacitásának és hatékonyságának növelése</w:t>
      </w:r>
      <w:r w:rsidRPr="00BC4EE7">
        <w:rPr>
          <w:rFonts w:cs="Times New Roman"/>
          <w:noProof/>
        </w:rPr>
        <w:t xml:space="preserve"> </w:t>
      </w:r>
    </w:p>
    <w:p w14:paraId="24A9EE5B"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Spanyolország beruház a befogadási rendszer kapacitásának növelésébe azáltal, hogy növeli az állam közvetlen részvételét a befogadási hálózat forrásaiban. Ez hozzájárul a szállás és a nyújtott befogadási szolgáltatások nagyobb stabilitásának biztosításához. A beruházás magában foglalja a rendszer következő három évre vonatkozó igényeinek értékelését, a meglévő központok rehabilitációjának és felújításának támogatását, valamint az új épületek beszerzésével, építésével és a meglévő épületek esetleges felújításával kapcsolatos adminisztratív eljárásokat, biztosítva az energiahatékonyságot. A bevált gyakorlatok értékelése alapján Spanyolország meghatározza a befogadóállomások harmadik felek általi irányítását is. Végezetül a beruházásnak ki kell terjednie a központok digitalizálására és egy új digitális architektúra fejlesztésére az irányításuk javítása és a kérelmezők férőhelyeinek autonóm közösségek közötti elosztásának megkönnyítése érdekében. </w:t>
      </w:r>
    </w:p>
    <w:p w14:paraId="2629D826" w14:textId="41C66B3A" w:rsidR="00D65CB4" w:rsidRPr="00BC4EE7" w:rsidRDefault="00572307">
      <w:pPr>
        <w:pStyle w:val="P68B1DB1-Normal21"/>
        <w:spacing w:before="120" w:after="120" w:line="240" w:lineRule="auto"/>
        <w:jc w:val="both"/>
        <w:rPr>
          <w:rFonts w:cs="Times New Roman"/>
          <w:noProof/>
        </w:rPr>
      </w:pPr>
      <w:r w:rsidRPr="00BC4EE7">
        <w:rPr>
          <w:rFonts w:cs="Times New Roman"/>
          <w:noProof/>
        </w:rPr>
        <w:t>Az intézkedés végrehajtásának határideje 2026. június 30.</w:t>
      </w:r>
    </w:p>
    <w:p w14:paraId="2E560166" w14:textId="77777777" w:rsidR="00D65CB4" w:rsidRPr="00BC4EE7" w:rsidRDefault="00572307">
      <w:pPr>
        <w:spacing w:before="120" w:after="120" w:line="240" w:lineRule="auto"/>
        <w:ind w:left="709"/>
        <w:jc w:val="both"/>
        <w:rPr>
          <w:rFonts w:ascii="Times New Roman" w:hAnsi="Times New Roman" w:cs="Times New Roman"/>
          <w:b/>
          <w:noProof/>
          <w:sz w:val="24"/>
          <w:u w:val="single"/>
        </w:rPr>
      </w:pPr>
      <w:r w:rsidRPr="00BC4EE7">
        <w:rPr>
          <w:rFonts w:ascii="Times New Roman" w:hAnsi="Times New Roman" w:cs="Times New Roman"/>
          <w:b/>
          <w:noProof/>
          <w:sz w:val="24"/>
          <w:u w:val="single"/>
        </w:rPr>
        <w:t xml:space="preserve">V.2.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Vissza nem térítendő pénzügyi támogatás – a végrehajtáshoz és a nyomon követéshez kapcsolódó mérföldkövek, célok, mutatók és ütemterv</w:t>
      </w:r>
    </w:p>
    <w:p w14:paraId="3480667E" w14:textId="77777777" w:rsidR="00D65CB4" w:rsidRPr="00BC4EE7" w:rsidRDefault="00572307">
      <w:pPr>
        <w:pStyle w:val="P68B1DB1-Normal4"/>
        <w:spacing w:before="120" w:after="120" w:line="240" w:lineRule="auto"/>
        <w:jc w:val="both"/>
        <w:rPr>
          <w:rFonts w:cs="Times New Roman"/>
          <w:noProof/>
        </w:rPr>
      </w:pPr>
      <w:r w:rsidRPr="00BC4EE7">
        <w:rPr>
          <w:rFonts w:cs="Times New Roman"/>
          <w:i/>
          <w:noProof/>
        </w:rPr>
        <w:t>Táblázat alább.</w:t>
      </w:r>
      <w:r w:rsidRPr="00BC4EE7">
        <w:rPr>
          <w:rFonts w:cs="Times New Roman"/>
          <w:noProof/>
        </w:rPr>
        <w:t xml:space="preserve"> </w:t>
      </w:r>
      <w:r w:rsidRPr="00BC4EE7">
        <w:rPr>
          <w:rFonts w:cs="Times New Roman"/>
          <w:i/>
          <w:noProof/>
        </w:rPr>
        <w:t>Az összes mutató esetében az alapforgatókönyv időpontja 2020. február 1., kivéve, ha az intézkedés leírása ettől eltérően rendelkezik. A táblázatban szereplő összegek nem tartalmazzák a héát.</w:t>
      </w:r>
    </w:p>
    <w:p w14:paraId="3CE8D1B5" w14:textId="77777777" w:rsidR="00D65CB4" w:rsidRPr="00BC4EE7" w:rsidRDefault="00D65CB4">
      <w:pPr>
        <w:spacing w:before="120" w:after="120" w:line="240" w:lineRule="auto"/>
        <w:ind w:left="709"/>
        <w:jc w:val="both"/>
        <w:rPr>
          <w:rFonts w:ascii="Times New Roman" w:hAnsi="Times New Roman" w:cs="Times New Roman"/>
          <w:noProof/>
          <w:sz w:val="24"/>
        </w:rPr>
        <w:sectPr w:rsidR="00D65CB4" w:rsidRPr="00BC4EE7" w:rsidSect="00B511EF">
          <w:headerReference w:type="even" r:id="rId442"/>
          <w:headerReference w:type="default" r:id="rId443"/>
          <w:footerReference w:type="even" r:id="rId444"/>
          <w:footerReference w:type="default" r:id="rId445"/>
          <w:headerReference w:type="first" r:id="rId446"/>
          <w:footerReference w:type="first" r:id="rId447"/>
          <w:pgSz w:w="11907" w:h="16839"/>
          <w:pgMar w:top="1134" w:right="1134" w:bottom="1134" w:left="1134" w:header="567" w:footer="567"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993"/>
        <w:gridCol w:w="992"/>
        <w:gridCol w:w="2977"/>
        <w:gridCol w:w="992"/>
        <w:gridCol w:w="850"/>
        <w:gridCol w:w="851"/>
        <w:gridCol w:w="709"/>
        <w:gridCol w:w="567"/>
        <w:gridCol w:w="810"/>
        <w:gridCol w:w="4860"/>
      </w:tblGrid>
      <w:tr w:rsidR="00D65CB4" w:rsidRPr="00BC4EE7" w14:paraId="18B741AF" w14:textId="77777777" w:rsidTr="00862B13">
        <w:trPr>
          <w:trHeight w:val="309"/>
          <w:tblHeader/>
        </w:trPr>
        <w:tc>
          <w:tcPr>
            <w:tcW w:w="709" w:type="dxa"/>
            <w:tcBorders>
              <w:bottom w:val="nil"/>
            </w:tcBorders>
            <w:shd w:val="clear" w:color="auto" w:fill="C6D9F1" w:themeFill="text2" w:themeFillTint="33"/>
            <w:noWrap/>
            <w:vAlign w:val="center"/>
          </w:tcPr>
          <w:p w14:paraId="4AC1CFBD"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Szám</w:t>
            </w:r>
          </w:p>
        </w:tc>
        <w:tc>
          <w:tcPr>
            <w:tcW w:w="993" w:type="dxa"/>
            <w:tcBorders>
              <w:bottom w:val="nil"/>
            </w:tcBorders>
            <w:shd w:val="clear" w:color="auto" w:fill="C6D9F1" w:themeFill="text2" w:themeFillTint="33"/>
            <w:noWrap/>
            <w:vAlign w:val="center"/>
          </w:tcPr>
          <w:p w14:paraId="084B6E57"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Intézkedés</w:t>
            </w:r>
          </w:p>
        </w:tc>
        <w:tc>
          <w:tcPr>
            <w:tcW w:w="992" w:type="dxa"/>
            <w:tcBorders>
              <w:bottom w:val="nil"/>
            </w:tcBorders>
            <w:shd w:val="clear" w:color="auto" w:fill="C6D9F1" w:themeFill="text2" w:themeFillTint="33"/>
            <w:noWrap/>
            <w:vAlign w:val="center"/>
          </w:tcPr>
          <w:p w14:paraId="50D4A991" w14:textId="77777777" w:rsidR="00D65CB4" w:rsidRPr="00BC4EE7" w:rsidRDefault="00572307">
            <w:pPr>
              <w:spacing w:after="0" w:line="240" w:lineRule="auto"/>
              <w:jc w:val="center"/>
              <w:rPr>
                <w:rFonts w:ascii="Times New Roman" w:hAnsi="Times New Roman" w:cs="Times New Roman"/>
                <w:b/>
                <w:noProof/>
                <w:sz w:val="18"/>
              </w:rPr>
            </w:pPr>
            <w:r w:rsidRPr="00BC4EE7">
              <w:rPr>
                <w:rFonts w:ascii="Times New Roman" w:hAnsi="Times New Roman" w:cs="Times New Roman"/>
                <w:b/>
                <w:noProof/>
                <w:sz w:val="18"/>
              </w:rPr>
              <w:t>Mérföldkő</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b/>
                <w:noProof/>
                <w:sz w:val="18"/>
              </w:rPr>
              <w:t xml:space="preserve"> /Cél</w:t>
            </w:r>
          </w:p>
        </w:tc>
        <w:tc>
          <w:tcPr>
            <w:tcW w:w="2977" w:type="dxa"/>
            <w:tcBorders>
              <w:bottom w:val="nil"/>
            </w:tcBorders>
            <w:shd w:val="clear" w:color="auto" w:fill="C6D9F1" w:themeFill="text2" w:themeFillTint="33"/>
            <w:noWrap/>
            <w:vAlign w:val="center"/>
          </w:tcPr>
          <w:p w14:paraId="0979EEBB"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Név</w:t>
            </w:r>
          </w:p>
        </w:tc>
        <w:tc>
          <w:tcPr>
            <w:tcW w:w="992" w:type="dxa"/>
            <w:tcBorders>
              <w:bottom w:val="nil"/>
            </w:tcBorders>
            <w:shd w:val="clear" w:color="auto" w:fill="C6D9F1" w:themeFill="text2" w:themeFillTint="33"/>
            <w:noWrap/>
            <w:vAlign w:val="center"/>
          </w:tcPr>
          <w:p w14:paraId="25C82140"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mérföldkövek minőségi mutatója</w:t>
            </w:r>
          </w:p>
        </w:tc>
        <w:tc>
          <w:tcPr>
            <w:tcW w:w="2410" w:type="dxa"/>
            <w:gridSpan w:val="3"/>
            <w:shd w:val="clear" w:color="auto" w:fill="C6D9F1" w:themeFill="text2" w:themeFillTint="33"/>
            <w:noWrap/>
            <w:vAlign w:val="center"/>
          </w:tcPr>
          <w:p w14:paraId="09B05943"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célérték mennyiségi mutatója</w:t>
            </w:r>
          </w:p>
        </w:tc>
        <w:tc>
          <w:tcPr>
            <w:tcW w:w="1377" w:type="dxa"/>
            <w:gridSpan w:val="2"/>
            <w:shd w:val="clear" w:color="auto" w:fill="C6D9F1" w:themeFill="text2" w:themeFillTint="33"/>
            <w:noWrap/>
            <w:vAlign w:val="center"/>
          </w:tcPr>
          <w:p w14:paraId="4D5D1DFB"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Idő</w:t>
            </w:r>
          </w:p>
        </w:tc>
        <w:tc>
          <w:tcPr>
            <w:tcW w:w="4860" w:type="dxa"/>
            <w:tcBorders>
              <w:bottom w:val="nil"/>
            </w:tcBorders>
            <w:shd w:val="clear" w:color="auto" w:fill="C6D9F1" w:themeFill="text2" w:themeFillTint="33"/>
            <w:noWrap/>
            <w:vAlign w:val="center"/>
          </w:tcPr>
          <w:p w14:paraId="0853FA55"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Az egyes mérföldkövek és célértékek leírása</w:t>
            </w:r>
          </w:p>
        </w:tc>
      </w:tr>
      <w:tr w:rsidR="00D65CB4" w:rsidRPr="00BC4EE7" w14:paraId="10375DAF" w14:textId="77777777" w:rsidTr="00862B13">
        <w:trPr>
          <w:trHeight w:val="309"/>
          <w:tblHeader/>
        </w:trPr>
        <w:tc>
          <w:tcPr>
            <w:tcW w:w="709" w:type="dxa"/>
            <w:tcBorders>
              <w:top w:val="nil"/>
            </w:tcBorders>
            <w:shd w:val="clear" w:color="auto" w:fill="C6D9F1" w:themeFill="text2" w:themeFillTint="33"/>
            <w:noWrap/>
          </w:tcPr>
          <w:p w14:paraId="495F8FE5" w14:textId="77777777" w:rsidR="00D65CB4" w:rsidRPr="00BC4EE7" w:rsidRDefault="00D65CB4">
            <w:pPr>
              <w:spacing w:after="0" w:line="240" w:lineRule="auto"/>
              <w:jc w:val="center"/>
              <w:rPr>
                <w:rFonts w:ascii="Times New Roman" w:hAnsi="Times New Roman" w:cs="Times New Roman"/>
                <w:b/>
                <w:noProof/>
                <w:sz w:val="18"/>
              </w:rPr>
            </w:pPr>
          </w:p>
        </w:tc>
        <w:tc>
          <w:tcPr>
            <w:tcW w:w="993" w:type="dxa"/>
            <w:tcBorders>
              <w:top w:val="nil"/>
            </w:tcBorders>
            <w:shd w:val="clear" w:color="auto" w:fill="C6D9F1" w:themeFill="text2" w:themeFillTint="33"/>
            <w:noWrap/>
          </w:tcPr>
          <w:p w14:paraId="72201C4E" w14:textId="77777777" w:rsidR="00D65CB4" w:rsidRPr="00BC4EE7" w:rsidRDefault="00D65CB4">
            <w:pPr>
              <w:spacing w:after="0" w:line="240" w:lineRule="auto"/>
              <w:jc w:val="center"/>
              <w:rPr>
                <w:rFonts w:ascii="Times New Roman" w:hAnsi="Times New Roman" w:cs="Times New Roman"/>
                <w:b/>
                <w:noProof/>
                <w:sz w:val="18"/>
              </w:rPr>
            </w:pPr>
          </w:p>
        </w:tc>
        <w:tc>
          <w:tcPr>
            <w:tcW w:w="992" w:type="dxa"/>
            <w:tcBorders>
              <w:top w:val="nil"/>
            </w:tcBorders>
            <w:shd w:val="clear" w:color="auto" w:fill="C6D9F1" w:themeFill="text2" w:themeFillTint="33"/>
            <w:noWrap/>
          </w:tcPr>
          <w:p w14:paraId="54EACD8D" w14:textId="77777777" w:rsidR="00D65CB4" w:rsidRPr="00BC4EE7" w:rsidRDefault="00D65CB4">
            <w:pPr>
              <w:spacing w:after="0" w:line="240" w:lineRule="auto"/>
              <w:jc w:val="center"/>
              <w:rPr>
                <w:rFonts w:ascii="Times New Roman" w:hAnsi="Times New Roman" w:cs="Times New Roman"/>
                <w:b/>
                <w:noProof/>
                <w:sz w:val="18"/>
              </w:rPr>
            </w:pPr>
          </w:p>
        </w:tc>
        <w:tc>
          <w:tcPr>
            <w:tcW w:w="2977" w:type="dxa"/>
            <w:tcBorders>
              <w:top w:val="nil"/>
            </w:tcBorders>
            <w:shd w:val="clear" w:color="auto" w:fill="C6D9F1" w:themeFill="text2" w:themeFillTint="33"/>
            <w:noWrap/>
          </w:tcPr>
          <w:p w14:paraId="4EDC85BF" w14:textId="77777777" w:rsidR="00D65CB4" w:rsidRPr="00BC4EE7" w:rsidRDefault="00D65CB4">
            <w:pPr>
              <w:spacing w:after="0" w:line="240" w:lineRule="auto"/>
              <w:rPr>
                <w:rFonts w:ascii="Times New Roman" w:hAnsi="Times New Roman" w:cs="Times New Roman"/>
                <w:b/>
                <w:noProof/>
                <w:sz w:val="18"/>
              </w:rPr>
            </w:pPr>
          </w:p>
        </w:tc>
        <w:tc>
          <w:tcPr>
            <w:tcW w:w="992" w:type="dxa"/>
            <w:tcBorders>
              <w:top w:val="nil"/>
            </w:tcBorders>
            <w:shd w:val="clear" w:color="auto" w:fill="C6D9F1" w:themeFill="text2" w:themeFillTint="33"/>
            <w:noWrap/>
          </w:tcPr>
          <w:p w14:paraId="7D03BCF6" w14:textId="77777777" w:rsidR="00D65CB4" w:rsidRPr="00BC4EE7" w:rsidRDefault="00D65CB4">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tcPr>
          <w:p w14:paraId="13751BA3"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Egység</w:t>
            </w:r>
          </w:p>
        </w:tc>
        <w:tc>
          <w:tcPr>
            <w:tcW w:w="851" w:type="dxa"/>
            <w:shd w:val="clear" w:color="auto" w:fill="C6D9F1" w:themeFill="text2" w:themeFillTint="33"/>
            <w:noWrap/>
          </w:tcPr>
          <w:p w14:paraId="0EB1EFD8"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Kiindulási</w:t>
            </w:r>
          </w:p>
        </w:tc>
        <w:tc>
          <w:tcPr>
            <w:tcW w:w="709" w:type="dxa"/>
            <w:shd w:val="clear" w:color="auto" w:fill="C6D9F1" w:themeFill="text2" w:themeFillTint="33"/>
            <w:noWrap/>
          </w:tcPr>
          <w:p w14:paraId="5B4AEAB6"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Cél</w:t>
            </w:r>
          </w:p>
        </w:tc>
        <w:tc>
          <w:tcPr>
            <w:tcW w:w="567" w:type="dxa"/>
            <w:shd w:val="clear" w:color="auto" w:fill="C6D9F1" w:themeFill="text2" w:themeFillTint="33"/>
            <w:noWrap/>
          </w:tcPr>
          <w:p w14:paraId="641B3FA0"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Q</w:t>
            </w:r>
          </w:p>
        </w:tc>
        <w:tc>
          <w:tcPr>
            <w:tcW w:w="810" w:type="dxa"/>
            <w:shd w:val="clear" w:color="auto" w:fill="C6D9F1" w:themeFill="text2" w:themeFillTint="33"/>
            <w:noWrap/>
          </w:tcPr>
          <w:p w14:paraId="0464D277"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Éve</w:t>
            </w:r>
          </w:p>
        </w:tc>
        <w:tc>
          <w:tcPr>
            <w:tcW w:w="4860" w:type="dxa"/>
            <w:tcBorders>
              <w:top w:val="nil"/>
            </w:tcBorders>
            <w:shd w:val="clear" w:color="auto" w:fill="C6D9F1" w:themeFill="text2" w:themeFillTint="33"/>
            <w:noWrap/>
            <w:vAlign w:val="center"/>
          </w:tcPr>
          <w:p w14:paraId="2AEAE3F1" w14:textId="77777777" w:rsidR="00D65CB4" w:rsidRPr="00BC4EE7" w:rsidRDefault="00D65CB4">
            <w:pPr>
              <w:spacing w:after="0" w:line="240" w:lineRule="auto"/>
              <w:rPr>
                <w:rFonts w:ascii="Times New Roman" w:hAnsi="Times New Roman" w:cs="Times New Roman"/>
                <w:b/>
                <w:noProof/>
                <w:sz w:val="18"/>
              </w:rPr>
            </w:pPr>
          </w:p>
        </w:tc>
      </w:tr>
      <w:tr w:rsidR="00D65CB4" w:rsidRPr="00BC4EE7" w14:paraId="3AA48DBB" w14:textId="77777777" w:rsidTr="00862B13">
        <w:trPr>
          <w:trHeight w:val="309"/>
        </w:trPr>
        <w:tc>
          <w:tcPr>
            <w:tcW w:w="709" w:type="dxa"/>
            <w:shd w:val="clear" w:color="auto" w:fill="C6EFCE"/>
            <w:noWrap/>
          </w:tcPr>
          <w:p w14:paraId="3711C0D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314</w:t>
            </w:r>
          </w:p>
        </w:tc>
        <w:tc>
          <w:tcPr>
            <w:tcW w:w="993" w:type="dxa"/>
            <w:shd w:val="clear" w:color="auto" w:fill="C6EFCE"/>
            <w:noWrap/>
          </w:tcPr>
          <w:p w14:paraId="3F1FCFC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C22.R1</w:t>
            </w:r>
          </w:p>
        </w:tc>
        <w:tc>
          <w:tcPr>
            <w:tcW w:w="992" w:type="dxa"/>
            <w:shd w:val="clear" w:color="auto" w:fill="C6EFCE"/>
            <w:noWrap/>
          </w:tcPr>
          <w:p w14:paraId="4272A65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2977" w:type="dxa"/>
            <w:shd w:val="clear" w:color="auto" w:fill="C6EFCE"/>
            <w:noWrap/>
          </w:tcPr>
          <w:p w14:paraId="43640F0D"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Az autonómiára és függőségi ellátásra vonatkozó rendszer (SAAD) értékelésének a területi tanács általi jóváhagyása. </w:t>
            </w:r>
          </w:p>
        </w:tc>
        <w:tc>
          <w:tcPr>
            <w:tcW w:w="992" w:type="dxa"/>
            <w:shd w:val="clear" w:color="auto" w:fill="C6EFCE"/>
            <w:noWrap/>
          </w:tcPr>
          <w:p w14:paraId="70A24F7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Az értékelés közzététele </w:t>
            </w:r>
          </w:p>
        </w:tc>
        <w:tc>
          <w:tcPr>
            <w:tcW w:w="850" w:type="dxa"/>
            <w:shd w:val="clear" w:color="auto" w:fill="C6EFCE"/>
            <w:noWrap/>
          </w:tcPr>
          <w:p w14:paraId="1DCEAD9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851" w:type="dxa"/>
            <w:shd w:val="clear" w:color="auto" w:fill="C6EFCE"/>
            <w:noWrap/>
          </w:tcPr>
          <w:p w14:paraId="1CE575E9"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709" w:type="dxa"/>
            <w:shd w:val="clear" w:color="auto" w:fill="C6EFCE"/>
            <w:noWrap/>
          </w:tcPr>
          <w:p w14:paraId="29E92424"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567" w:type="dxa"/>
            <w:shd w:val="clear" w:color="auto" w:fill="C6EFCE"/>
            <w:noWrap/>
          </w:tcPr>
          <w:p w14:paraId="701C5144"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Q2</w:t>
            </w:r>
          </w:p>
        </w:tc>
        <w:tc>
          <w:tcPr>
            <w:tcW w:w="810" w:type="dxa"/>
            <w:shd w:val="clear" w:color="auto" w:fill="C6EFCE"/>
            <w:noWrap/>
          </w:tcPr>
          <w:p w14:paraId="096695E4"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2022</w:t>
            </w:r>
          </w:p>
        </w:tc>
        <w:tc>
          <w:tcPr>
            <w:tcW w:w="4860" w:type="dxa"/>
            <w:shd w:val="clear" w:color="auto" w:fill="C6EFCE"/>
            <w:noWrap/>
          </w:tcPr>
          <w:p w14:paraId="3F910CCB"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Az értékelésre 2021 folyamán kerül sor annak érdekében, hogy mélyrehatóan megértsük a tartós ápolás-gondozás 2020-ban megkezdett reformfolyamatának előrehaladását és annak hatásait. Ezen értékelés következtetéseit 2022 első felében terjesztik a területi tanács elé. </w:t>
            </w:r>
          </w:p>
        </w:tc>
      </w:tr>
      <w:tr w:rsidR="00D65CB4" w:rsidRPr="00BC4EE7" w14:paraId="09934F86" w14:textId="77777777" w:rsidTr="00862B13">
        <w:trPr>
          <w:trHeight w:val="309"/>
        </w:trPr>
        <w:tc>
          <w:tcPr>
            <w:tcW w:w="709" w:type="dxa"/>
            <w:shd w:val="clear" w:color="auto" w:fill="C6EFCE"/>
            <w:noWrap/>
          </w:tcPr>
          <w:p w14:paraId="55DE0B6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315</w:t>
            </w:r>
          </w:p>
        </w:tc>
        <w:tc>
          <w:tcPr>
            <w:tcW w:w="993" w:type="dxa"/>
            <w:shd w:val="clear" w:color="auto" w:fill="C6EFCE"/>
            <w:noWrap/>
          </w:tcPr>
          <w:p w14:paraId="42698C9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C22.R2</w:t>
            </w:r>
          </w:p>
        </w:tc>
        <w:tc>
          <w:tcPr>
            <w:tcW w:w="992" w:type="dxa"/>
            <w:shd w:val="clear" w:color="auto" w:fill="C6EFCE"/>
            <w:noWrap/>
          </w:tcPr>
          <w:p w14:paraId="66448DCB"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2977" w:type="dxa"/>
            <w:shd w:val="clear" w:color="auto" w:fill="C6EFCE"/>
            <w:noWrap/>
          </w:tcPr>
          <w:p w14:paraId="6F00A35F"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szociális szolgáltatásokról szóló törvény és a miniszteri rendeletek hatálybalépése</w:t>
            </w:r>
          </w:p>
        </w:tc>
        <w:tc>
          <w:tcPr>
            <w:tcW w:w="992" w:type="dxa"/>
            <w:shd w:val="clear" w:color="auto" w:fill="C6EFCE"/>
            <w:noWrap/>
          </w:tcPr>
          <w:p w14:paraId="068872AB"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A hatálybalépésüket</w:t>
            </w:r>
            <w:r w:rsidRPr="00BC4EE7">
              <w:rPr>
                <w:rFonts w:cs="Times New Roman"/>
                <w:noProof/>
                <w:highlight w:val="cyan"/>
              </w:rPr>
              <w:t xml:space="preserve"> </w:t>
            </w:r>
            <w:r w:rsidRPr="00BC4EE7">
              <w:rPr>
                <w:rFonts w:cs="Times New Roman"/>
                <w:noProof/>
              </w:rPr>
              <w:t xml:space="preserve">feltüntető törvényi és miniszteri rendeletekben szereplő rendelkezés </w:t>
            </w:r>
          </w:p>
        </w:tc>
        <w:tc>
          <w:tcPr>
            <w:tcW w:w="850" w:type="dxa"/>
            <w:shd w:val="clear" w:color="auto" w:fill="C6EFCE"/>
            <w:noWrap/>
          </w:tcPr>
          <w:p w14:paraId="3BA3C70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851" w:type="dxa"/>
            <w:shd w:val="clear" w:color="auto" w:fill="C6EFCE"/>
            <w:noWrap/>
          </w:tcPr>
          <w:p w14:paraId="151797F6"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709" w:type="dxa"/>
            <w:shd w:val="clear" w:color="auto" w:fill="C6EFCE"/>
            <w:noWrap/>
          </w:tcPr>
          <w:p w14:paraId="452D7D3A"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567" w:type="dxa"/>
            <w:shd w:val="clear" w:color="auto" w:fill="C6EFCE"/>
            <w:noWrap/>
          </w:tcPr>
          <w:p w14:paraId="7D29F12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Q2</w:t>
            </w:r>
          </w:p>
        </w:tc>
        <w:tc>
          <w:tcPr>
            <w:tcW w:w="810" w:type="dxa"/>
            <w:shd w:val="clear" w:color="auto" w:fill="C6EFCE"/>
            <w:noWrap/>
          </w:tcPr>
          <w:p w14:paraId="4D14A81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2023</w:t>
            </w:r>
          </w:p>
        </w:tc>
        <w:tc>
          <w:tcPr>
            <w:tcW w:w="4860" w:type="dxa"/>
            <w:shd w:val="clear" w:color="auto" w:fill="C6EFCE"/>
            <w:noWrap/>
          </w:tcPr>
          <w:p w14:paraId="2C81C5F0"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 szociális szolgáltatásokról szóló törvény elfogadását a szükséges miniszteri rendeletek elfogadása követi. A törvény célja a jelenlegi ellátási rendszer javítása és a Spanyolországban nyújtott szociális szolgáltatások alapvető feltételeinek szabályozása. </w:t>
            </w:r>
          </w:p>
        </w:tc>
      </w:tr>
      <w:tr w:rsidR="00D65CB4" w:rsidRPr="00BC4EE7" w14:paraId="1E7CFC65" w14:textId="77777777" w:rsidTr="00862B13">
        <w:trPr>
          <w:trHeight w:val="309"/>
        </w:trPr>
        <w:tc>
          <w:tcPr>
            <w:tcW w:w="709" w:type="dxa"/>
            <w:shd w:val="clear" w:color="auto" w:fill="C6EFCE"/>
            <w:noWrap/>
          </w:tcPr>
          <w:p w14:paraId="735E782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316</w:t>
            </w:r>
          </w:p>
        </w:tc>
        <w:tc>
          <w:tcPr>
            <w:tcW w:w="993" w:type="dxa"/>
            <w:shd w:val="clear" w:color="auto" w:fill="C6EFCE"/>
            <w:noWrap/>
          </w:tcPr>
          <w:p w14:paraId="0A34846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C22.R3</w:t>
            </w:r>
          </w:p>
        </w:tc>
        <w:tc>
          <w:tcPr>
            <w:tcW w:w="992" w:type="dxa"/>
            <w:shd w:val="clear" w:color="auto" w:fill="C6EFCE"/>
            <w:noWrap/>
          </w:tcPr>
          <w:p w14:paraId="1BC73BC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2977" w:type="dxa"/>
            <w:shd w:val="clear" w:color="auto" w:fill="C6EFCE"/>
            <w:noWrap/>
          </w:tcPr>
          <w:p w14:paraId="454E1B03"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családi sokszínűségről szóló törvény hatálybalépése</w:t>
            </w:r>
          </w:p>
        </w:tc>
        <w:tc>
          <w:tcPr>
            <w:tcW w:w="992" w:type="dxa"/>
            <w:shd w:val="clear" w:color="auto" w:fill="C6EFCE"/>
            <w:noWrap/>
          </w:tcPr>
          <w:p w14:paraId="606F1F6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A törvény hatálybalépését feltüntető törvényi rendelkezés</w:t>
            </w:r>
          </w:p>
        </w:tc>
        <w:tc>
          <w:tcPr>
            <w:tcW w:w="850" w:type="dxa"/>
            <w:shd w:val="clear" w:color="auto" w:fill="C6EFCE"/>
            <w:noWrap/>
          </w:tcPr>
          <w:p w14:paraId="2213853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851" w:type="dxa"/>
            <w:shd w:val="clear" w:color="auto" w:fill="C6EFCE"/>
            <w:noWrap/>
          </w:tcPr>
          <w:p w14:paraId="61E937B6"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709" w:type="dxa"/>
            <w:shd w:val="clear" w:color="auto" w:fill="C6EFCE"/>
            <w:noWrap/>
          </w:tcPr>
          <w:p w14:paraId="4B0B2093"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567" w:type="dxa"/>
            <w:shd w:val="clear" w:color="auto" w:fill="C6EFCE"/>
            <w:noWrap/>
          </w:tcPr>
          <w:p w14:paraId="04ED90FB"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Q2</w:t>
            </w:r>
          </w:p>
        </w:tc>
        <w:tc>
          <w:tcPr>
            <w:tcW w:w="810" w:type="dxa"/>
            <w:shd w:val="clear" w:color="auto" w:fill="C6EFCE"/>
            <w:noWrap/>
          </w:tcPr>
          <w:p w14:paraId="28DF9E0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2023</w:t>
            </w:r>
          </w:p>
        </w:tc>
        <w:tc>
          <w:tcPr>
            <w:tcW w:w="4860" w:type="dxa"/>
            <w:shd w:val="clear" w:color="auto" w:fill="C6EFCE"/>
            <w:noWrap/>
          </w:tcPr>
          <w:p w14:paraId="25BEA998"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család sokszínűségéről szóló törvény célja i. a meglévő családi struktúrák különböző típusainak jogi elismerése; azon ellátások és szolgáltatások meghatározása, amelyekre jellemzőik és jövedelmi szintjük alapján jogosultak; és iii. a gyermekszegénység csökkentése, figyelembe véve az újraelosztással foglalkozó hatásvizsgálat megállapításait.</w:t>
            </w:r>
          </w:p>
        </w:tc>
      </w:tr>
      <w:tr w:rsidR="00D65CB4" w:rsidRPr="00BC4EE7" w14:paraId="5411D44F" w14:textId="77777777" w:rsidTr="00862B13">
        <w:trPr>
          <w:trHeight w:val="309"/>
        </w:trPr>
        <w:tc>
          <w:tcPr>
            <w:tcW w:w="709" w:type="dxa"/>
            <w:shd w:val="clear" w:color="auto" w:fill="C6EFCE"/>
            <w:noWrap/>
          </w:tcPr>
          <w:p w14:paraId="3BEB6FC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317</w:t>
            </w:r>
          </w:p>
        </w:tc>
        <w:tc>
          <w:tcPr>
            <w:tcW w:w="993" w:type="dxa"/>
            <w:shd w:val="clear" w:color="auto" w:fill="C6EFCE"/>
            <w:noWrap/>
          </w:tcPr>
          <w:p w14:paraId="522D05C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C22.R4</w:t>
            </w:r>
          </w:p>
        </w:tc>
        <w:tc>
          <w:tcPr>
            <w:tcW w:w="992" w:type="dxa"/>
            <w:shd w:val="clear" w:color="auto" w:fill="C6EFCE"/>
            <w:noWrap/>
          </w:tcPr>
          <w:p w14:paraId="2442A7BD"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2977" w:type="dxa"/>
            <w:shd w:val="clear" w:color="auto" w:fill="C6EFCE"/>
            <w:noWrap/>
          </w:tcPr>
          <w:p w14:paraId="2C29C358"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 migránsok és a nemzetközi védelmet kérelmezők spanyolországi befogadási rendszerére vonatkozó jogalkotási reform hatálybalépése </w:t>
            </w:r>
          </w:p>
        </w:tc>
        <w:tc>
          <w:tcPr>
            <w:tcW w:w="992" w:type="dxa"/>
            <w:shd w:val="clear" w:color="auto" w:fill="C6EFCE"/>
            <w:noWrap/>
          </w:tcPr>
          <w:p w14:paraId="5937DDF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A végzés hatálybalépését jelző végzésben szereplő rendelkezés</w:t>
            </w:r>
          </w:p>
        </w:tc>
        <w:tc>
          <w:tcPr>
            <w:tcW w:w="850" w:type="dxa"/>
            <w:shd w:val="clear" w:color="auto" w:fill="C6EFCE"/>
            <w:noWrap/>
          </w:tcPr>
          <w:p w14:paraId="4F4AFBC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851" w:type="dxa"/>
            <w:shd w:val="clear" w:color="auto" w:fill="C6EFCE"/>
            <w:noWrap/>
          </w:tcPr>
          <w:p w14:paraId="0AAA2A8F"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709" w:type="dxa"/>
            <w:shd w:val="clear" w:color="auto" w:fill="C6EFCE"/>
            <w:noWrap/>
          </w:tcPr>
          <w:p w14:paraId="3D2F6FF0"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567" w:type="dxa"/>
            <w:shd w:val="clear" w:color="auto" w:fill="C6EFCE"/>
            <w:noWrap/>
          </w:tcPr>
          <w:p w14:paraId="5FE628A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Q1</w:t>
            </w:r>
          </w:p>
        </w:tc>
        <w:tc>
          <w:tcPr>
            <w:tcW w:w="810" w:type="dxa"/>
            <w:shd w:val="clear" w:color="auto" w:fill="C6EFCE"/>
            <w:noWrap/>
          </w:tcPr>
          <w:p w14:paraId="1BB32A3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2022</w:t>
            </w:r>
          </w:p>
        </w:tc>
        <w:tc>
          <w:tcPr>
            <w:tcW w:w="4860" w:type="dxa"/>
            <w:shd w:val="clear" w:color="auto" w:fill="C6EFCE"/>
            <w:noWrap/>
          </w:tcPr>
          <w:p w14:paraId="4366A697"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befogadásért, szociális biztonságért és migrációért felelős minisztérium által elfogadott központi miniszteri rendelet megreformálja a migránsok és a nemzetközi védelmet kérelmezők spanyolországi befogadási rendszerét. A reform célja, hogy új befogadási eljárásokat dolgozzon ki a befogadóhálózat valamennyi központja számára, és elismerje az alapvető befogadási feltételeket valamennyi menedékkérő számára, és javítsa a befogadási feltételeket azok számára, akik nagy valószínűséggel rendelkeznek az elismerés lehetőségével.</w:t>
            </w:r>
          </w:p>
        </w:tc>
      </w:tr>
      <w:tr w:rsidR="00D65CB4" w:rsidRPr="00BC4EE7" w14:paraId="327E6794" w14:textId="77777777" w:rsidTr="00862B13">
        <w:trPr>
          <w:trHeight w:val="309"/>
        </w:trPr>
        <w:tc>
          <w:tcPr>
            <w:tcW w:w="709" w:type="dxa"/>
            <w:shd w:val="clear" w:color="auto" w:fill="C6EFCE"/>
            <w:noWrap/>
          </w:tcPr>
          <w:p w14:paraId="4B0AB24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318</w:t>
            </w:r>
          </w:p>
        </w:tc>
        <w:tc>
          <w:tcPr>
            <w:tcW w:w="993" w:type="dxa"/>
            <w:shd w:val="clear" w:color="auto" w:fill="C6EFCE"/>
            <w:noWrap/>
          </w:tcPr>
          <w:p w14:paraId="7466A7A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C22.R5</w:t>
            </w:r>
          </w:p>
        </w:tc>
        <w:tc>
          <w:tcPr>
            <w:tcW w:w="992" w:type="dxa"/>
            <w:shd w:val="clear" w:color="auto" w:fill="C6EFCE"/>
            <w:noWrap/>
          </w:tcPr>
          <w:p w14:paraId="213BC68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2977" w:type="dxa"/>
            <w:shd w:val="clear" w:color="auto" w:fill="C6EFCE"/>
            <w:noWrap/>
          </w:tcPr>
          <w:p w14:paraId="0D3B2C4A" w14:textId="366FC9C9" w:rsidR="00D65CB4" w:rsidRPr="00BC4EE7" w:rsidRDefault="00572307">
            <w:pPr>
              <w:pStyle w:val="P68B1DB1-Normal12"/>
              <w:spacing w:after="0" w:line="240" w:lineRule="auto"/>
              <w:rPr>
                <w:rFonts w:eastAsia="Times New Roman" w:cs="Times New Roman"/>
                <w:noProof/>
              </w:rPr>
            </w:pPr>
            <w:r w:rsidRPr="00BC4EE7">
              <w:rPr>
                <w:rFonts w:cs="Times New Roman"/>
                <w:noProof/>
              </w:rPr>
              <w:t>A létfontosságú minimumjövedelem jóváhagyásáról szóló, május 29-i 20/2020. sz. királyi törvényerejű rendelet hatálybalépése</w:t>
            </w:r>
          </w:p>
        </w:tc>
        <w:tc>
          <w:tcPr>
            <w:tcW w:w="992" w:type="dxa"/>
            <w:shd w:val="clear" w:color="auto" w:fill="C6EFCE"/>
            <w:noWrap/>
          </w:tcPr>
          <w:p w14:paraId="321EDC2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A törvény hatálybalépését feltüntető törvényi rendelkezés </w:t>
            </w:r>
          </w:p>
        </w:tc>
        <w:tc>
          <w:tcPr>
            <w:tcW w:w="850" w:type="dxa"/>
            <w:shd w:val="clear" w:color="auto" w:fill="C6EFCE"/>
            <w:noWrap/>
          </w:tcPr>
          <w:p w14:paraId="64F1037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851" w:type="dxa"/>
            <w:shd w:val="clear" w:color="auto" w:fill="C6EFCE"/>
            <w:noWrap/>
          </w:tcPr>
          <w:p w14:paraId="0D1E954B"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709" w:type="dxa"/>
            <w:shd w:val="clear" w:color="auto" w:fill="C6EFCE"/>
            <w:noWrap/>
          </w:tcPr>
          <w:p w14:paraId="69522666"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 </w:t>
            </w:r>
          </w:p>
        </w:tc>
        <w:tc>
          <w:tcPr>
            <w:tcW w:w="567" w:type="dxa"/>
            <w:shd w:val="clear" w:color="auto" w:fill="C6EFCE"/>
            <w:noWrap/>
          </w:tcPr>
          <w:p w14:paraId="0F98143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Q2</w:t>
            </w:r>
          </w:p>
        </w:tc>
        <w:tc>
          <w:tcPr>
            <w:tcW w:w="810" w:type="dxa"/>
            <w:shd w:val="clear" w:color="auto" w:fill="C6EFCE"/>
            <w:noWrap/>
          </w:tcPr>
          <w:p w14:paraId="584B35F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2020</w:t>
            </w:r>
          </w:p>
        </w:tc>
        <w:tc>
          <w:tcPr>
            <w:tcW w:w="4860" w:type="dxa"/>
            <w:shd w:val="clear" w:color="auto" w:fill="C6EFCE"/>
            <w:noWrap/>
          </w:tcPr>
          <w:p w14:paraId="5861942D"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minimális életjövedelem hatálybalépése (a május 29-i 20/2020. sz. királyi törvényerejű rendelet).</w:t>
            </w:r>
          </w:p>
        </w:tc>
      </w:tr>
      <w:tr w:rsidR="00D65CB4" w:rsidRPr="00BC4EE7" w14:paraId="3DF3AD97" w14:textId="77777777" w:rsidTr="00862B13">
        <w:trPr>
          <w:trHeight w:val="309"/>
        </w:trPr>
        <w:tc>
          <w:tcPr>
            <w:tcW w:w="709" w:type="dxa"/>
            <w:shd w:val="clear" w:color="auto" w:fill="C6EFCE"/>
            <w:noWrap/>
          </w:tcPr>
          <w:p w14:paraId="36585B74"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319</w:t>
            </w:r>
          </w:p>
        </w:tc>
        <w:tc>
          <w:tcPr>
            <w:tcW w:w="993" w:type="dxa"/>
            <w:shd w:val="clear" w:color="auto" w:fill="C6EFCE"/>
            <w:noWrap/>
          </w:tcPr>
          <w:p w14:paraId="76B93DF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C22.R5</w:t>
            </w:r>
          </w:p>
        </w:tc>
        <w:tc>
          <w:tcPr>
            <w:tcW w:w="992" w:type="dxa"/>
            <w:shd w:val="clear" w:color="auto" w:fill="C6EFCE"/>
            <w:noWrap/>
          </w:tcPr>
          <w:p w14:paraId="3B8A275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2977" w:type="dxa"/>
            <w:shd w:val="clear" w:color="auto" w:fill="C6EFCE"/>
            <w:noWrap/>
          </w:tcPr>
          <w:p w14:paraId="3E14C1F9"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„Az általános államigazgatás nem járulékalapú pénzügyi juttatási rendszerének átszervezésére és egyszerűsítésére irányuló terv” című dokumentum közzététele.</w:t>
            </w:r>
          </w:p>
        </w:tc>
        <w:tc>
          <w:tcPr>
            <w:tcW w:w="992" w:type="dxa"/>
            <w:shd w:val="clear" w:color="auto" w:fill="C6EFCE"/>
            <w:noWrap/>
          </w:tcPr>
          <w:p w14:paraId="3D62473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A terv közzététele a Hivatalos Lapban</w:t>
            </w:r>
          </w:p>
        </w:tc>
        <w:tc>
          <w:tcPr>
            <w:tcW w:w="850" w:type="dxa"/>
            <w:shd w:val="clear" w:color="auto" w:fill="C6EFCE"/>
            <w:noWrap/>
          </w:tcPr>
          <w:p w14:paraId="7E53206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851" w:type="dxa"/>
            <w:shd w:val="clear" w:color="auto" w:fill="C6EFCE"/>
            <w:noWrap/>
          </w:tcPr>
          <w:p w14:paraId="560F39A7"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709" w:type="dxa"/>
            <w:shd w:val="clear" w:color="auto" w:fill="C6EFCE"/>
            <w:noWrap/>
          </w:tcPr>
          <w:p w14:paraId="2123AFE2"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567" w:type="dxa"/>
            <w:shd w:val="clear" w:color="auto" w:fill="C6EFCE"/>
            <w:noWrap/>
          </w:tcPr>
          <w:p w14:paraId="711F405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Q3</w:t>
            </w:r>
          </w:p>
        </w:tc>
        <w:tc>
          <w:tcPr>
            <w:tcW w:w="810" w:type="dxa"/>
            <w:shd w:val="clear" w:color="auto" w:fill="C6EFCE"/>
            <w:noWrap/>
          </w:tcPr>
          <w:p w14:paraId="56F5837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2022</w:t>
            </w:r>
          </w:p>
        </w:tc>
        <w:tc>
          <w:tcPr>
            <w:tcW w:w="4860" w:type="dxa"/>
            <w:shd w:val="clear" w:color="auto" w:fill="C6EFCE"/>
            <w:noWrap/>
          </w:tcPr>
          <w:p w14:paraId="23C0FE97"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„Az általános államigazgatás nem járulékalapú pénzügyi juttatásai rendszerének átszervezésére és egyszerűsítésére irányuló terv” elfogadása (közzététel a Hivatalos Lapban). A terv célja, hogy a nem járulékalapú ellátásokat egy jövedelemfedezeti eszközbe integrálja az állami források hatékonyságának és eredményességének javítása érdekében, és azokat a kiszolgáltatottság vagy a társadalmi kirekesztés kockázatának kitett személyekre összpontosítsa. A tervnek a kiszolgáltatottsághoz vezető különböző körülmények megfelelő lefedésére, valamint a jövedelemtámogatás megfelelőségére kell összpontosítania. E célból figyelembe kell vennie egyrészt az olyan strukturális szükségleteket, mint a gyermekes háztartások és a fogyatékossággal élő személyek, másrészt a jövedelemtámogatást a befogadást célzó aktív álláskereséshez kell kötnie, és el kell kerülnie a szegénységi csapdákat. A terv figyelembe vesz minden meglévő, nem járulékalapút azzal a céllal, hogy azokat fokozatosan és idővel egyetlen nemzeti rendszerbe integrálja annak biztosítása érdekében, hogy a terv célja teljes mértékben teljesüljön. </w:t>
            </w:r>
          </w:p>
        </w:tc>
      </w:tr>
      <w:tr w:rsidR="00D65CB4" w:rsidRPr="00BC4EE7" w14:paraId="6C6E9BC7" w14:textId="77777777" w:rsidTr="00862B13">
        <w:trPr>
          <w:trHeight w:val="309"/>
        </w:trPr>
        <w:tc>
          <w:tcPr>
            <w:tcW w:w="709" w:type="dxa"/>
            <w:shd w:val="clear" w:color="auto" w:fill="C6EFCE"/>
            <w:noWrap/>
          </w:tcPr>
          <w:p w14:paraId="48573F5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320</w:t>
            </w:r>
          </w:p>
        </w:tc>
        <w:tc>
          <w:tcPr>
            <w:tcW w:w="993" w:type="dxa"/>
            <w:shd w:val="clear" w:color="auto" w:fill="C6EFCE"/>
            <w:noWrap/>
          </w:tcPr>
          <w:p w14:paraId="5624C88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C22.R5</w:t>
            </w:r>
          </w:p>
        </w:tc>
        <w:tc>
          <w:tcPr>
            <w:tcW w:w="992" w:type="dxa"/>
            <w:shd w:val="clear" w:color="auto" w:fill="C6EFCE"/>
            <w:noWrap/>
          </w:tcPr>
          <w:p w14:paraId="5C2D2B5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2977" w:type="dxa"/>
            <w:shd w:val="clear" w:color="auto" w:fill="C6EFCE"/>
            <w:noWrap/>
          </w:tcPr>
          <w:p w14:paraId="4BE5B6ED"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nem járulékalapú pénzügyi ellátások rendszerének átszervezését és egyszerűsítését célzó jogszabályok hatálybalépése</w:t>
            </w:r>
          </w:p>
        </w:tc>
        <w:tc>
          <w:tcPr>
            <w:tcW w:w="992" w:type="dxa"/>
            <w:shd w:val="clear" w:color="auto" w:fill="C6EFCE"/>
            <w:noWrap/>
          </w:tcPr>
          <w:p w14:paraId="46A76CA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A törvény hatálybalépését feltüntető törvényi rendelkezés </w:t>
            </w:r>
          </w:p>
        </w:tc>
        <w:tc>
          <w:tcPr>
            <w:tcW w:w="850" w:type="dxa"/>
            <w:shd w:val="clear" w:color="auto" w:fill="C6EFCE"/>
            <w:noWrap/>
          </w:tcPr>
          <w:p w14:paraId="2000123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851" w:type="dxa"/>
            <w:shd w:val="clear" w:color="auto" w:fill="C6EFCE"/>
            <w:noWrap/>
          </w:tcPr>
          <w:p w14:paraId="3DC8AA9E"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709" w:type="dxa"/>
            <w:shd w:val="clear" w:color="auto" w:fill="C6EFCE"/>
            <w:noWrap/>
          </w:tcPr>
          <w:p w14:paraId="56463DEC"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567" w:type="dxa"/>
            <w:shd w:val="clear" w:color="auto" w:fill="C6EFCE"/>
            <w:noWrap/>
          </w:tcPr>
          <w:p w14:paraId="5FC26E5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810" w:type="dxa"/>
            <w:shd w:val="clear" w:color="auto" w:fill="C6EFCE"/>
            <w:noWrap/>
          </w:tcPr>
          <w:p w14:paraId="4110A14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2023</w:t>
            </w:r>
          </w:p>
        </w:tc>
        <w:tc>
          <w:tcPr>
            <w:tcW w:w="4860" w:type="dxa"/>
            <w:shd w:val="clear" w:color="auto" w:fill="C6EFCE"/>
            <w:noWrap/>
          </w:tcPr>
          <w:p w14:paraId="3608032D"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reformnak át kell szerveznie és egyszerűsítenie kell a nem járulékalapú pénzbeli ellátások rendszerét. A reform célja, hogy a létfontosságú minimumjövedelem-rendszer (IMV) köré épülő fedezeti eszközbe belefoglalja az általános államigazgatás által nyújtott fő, nem járulékalapú ellátásokat, valamint hogy átszervezze és egyszerűsítse a nem járulékalapú pénzügyi ellátások rendszerét, összhangban „Az általános államigazgatás nem járulékalapú pénzügyi juttatásai rendszerének átszervezésére és egyszerűsítésére irányuló terv” céljaival.</w:t>
            </w:r>
          </w:p>
        </w:tc>
      </w:tr>
      <w:tr w:rsidR="00D65CB4" w:rsidRPr="00BC4EE7" w14:paraId="26922172" w14:textId="77777777" w:rsidTr="00862B13">
        <w:trPr>
          <w:trHeight w:val="309"/>
        </w:trPr>
        <w:tc>
          <w:tcPr>
            <w:tcW w:w="709" w:type="dxa"/>
            <w:shd w:val="clear" w:color="auto" w:fill="C6EFCE"/>
            <w:noWrap/>
          </w:tcPr>
          <w:p w14:paraId="6A5B179A"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321</w:t>
            </w:r>
          </w:p>
        </w:tc>
        <w:tc>
          <w:tcPr>
            <w:tcW w:w="993" w:type="dxa"/>
            <w:shd w:val="clear" w:color="auto" w:fill="C6EFCE"/>
            <w:noWrap/>
          </w:tcPr>
          <w:p w14:paraId="43A567F4"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C22.I1</w:t>
            </w:r>
          </w:p>
        </w:tc>
        <w:tc>
          <w:tcPr>
            <w:tcW w:w="992" w:type="dxa"/>
            <w:shd w:val="clear" w:color="auto" w:fill="C6EFCE"/>
            <w:noWrap/>
          </w:tcPr>
          <w:p w14:paraId="3B91E2E4"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2977" w:type="dxa"/>
            <w:shd w:val="clear" w:color="auto" w:fill="C6EFCE"/>
            <w:noWrap/>
          </w:tcPr>
          <w:p w14:paraId="66BA2A34" w14:textId="77777777" w:rsidR="00D65CB4" w:rsidRPr="00BC4EE7" w:rsidRDefault="00572307">
            <w:pPr>
              <w:pStyle w:val="P68B1DB1-Normal12"/>
              <w:spacing w:after="0" w:line="240" w:lineRule="auto"/>
              <w:rPr>
                <w:rFonts w:cs="Times New Roman"/>
                <w:noProof/>
              </w:rPr>
            </w:pPr>
            <w:r w:rsidRPr="00BC4EE7">
              <w:rPr>
                <w:rFonts w:cs="Times New Roman"/>
                <w:noProof/>
              </w:rPr>
              <w:t>A Szociális Jogokért és a 2030-ig tartó időszakra szóló menetrendért felelős minisztérium által végrehajtott projektek</w:t>
            </w:r>
          </w:p>
        </w:tc>
        <w:tc>
          <w:tcPr>
            <w:tcW w:w="992" w:type="dxa"/>
            <w:shd w:val="clear" w:color="auto" w:fill="C6EFCE"/>
            <w:noWrap/>
          </w:tcPr>
          <w:p w14:paraId="0EF203E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850" w:type="dxa"/>
            <w:shd w:val="clear" w:color="auto" w:fill="C6EFCE"/>
            <w:noWrap/>
          </w:tcPr>
          <w:p w14:paraId="758B934B"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Szám</w:t>
            </w:r>
          </w:p>
        </w:tc>
        <w:tc>
          <w:tcPr>
            <w:tcW w:w="851" w:type="dxa"/>
            <w:shd w:val="clear" w:color="auto" w:fill="C6EFCE"/>
            <w:noWrap/>
          </w:tcPr>
          <w:p w14:paraId="069EAC2B"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0</w:t>
            </w:r>
          </w:p>
        </w:tc>
        <w:tc>
          <w:tcPr>
            <w:tcW w:w="709" w:type="dxa"/>
            <w:shd w:val="clear" w:color="auto" w:fill="C6EFCE"/>
            <w:noWrap/>
          </w:tcPr>
          <w:p w14:paraId="103FB448"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4</w:t>
            </w:r>
          </w:p>
        </w:tc>
        <w:tc>
          <w:tcPr>
            <w:tcW w:w="567" w:type="dxa"/>
            <w:shd w:val="clear" w:color="auto" w:fill="C6EFCE"/>
            <w:noWrap/>
          </w:tcPr>
          <w:p w14:paraId="76F3ECA5"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810" w:type="dxa"/>
            <w:shd w:val="clear" w:color="auto" w:fill="C6EFCE"/>
            <w:noWrap/>
          </w:tcPr>
          <w:p w14:paraId="06CA6284"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2023</w:t>
            </w:r>
          </w:p>
        </w:tc>
        <w:tc>
          <w:tcPr>
            <w:tcW w:w="4860" w:type="dxa"/>
            <w:shd w:val="clear" w:color="auto" w:fill="C6EFCE"/>
            <w:noWrap/>
          </w:tcPr>
          <w:p w14:paraId="1D321D13" w14:textId="7144CD1C" w:rsidR="00D65CB4" w:rsidRPr="00BC4EE7" w:rsidRDefault="00572307">
            <w:pPr>
              <w:pStyle w:val="P68B1DB1-Normal12"/>
              <w:spacing w:after="0" w:line="240" w:lineRule="auto"/>
              <w:rPr>
                <w:rFonts w:cs="Times New Roman"/>
                <w:noProof/>
              </w:rPr>
            </w:pPr>
            <w:r w:rsidRPr="00BC4EE7">
              <w:rPr>
                <w:rFonts w:cs="Times New Roman"/>
                <w:noProof/>
              </w:rPr>
              <w:t>4 kísérleti projekt lezárása az intézményesített ellátással kapcsolatban, amelyek közül az egyik az értelmi fogyatékossággal élők támogatására és gondozására összpontosít, valamint az IMSERSO legalább 1100 férőhelyének megfelelő központok reformja.</w:t>
            </w:r>
          </w:p>
        </w:tc>
      </w:tr>
      <w:tr w:rsidR="00D65CB4" w:rsidRPr="00BC4EE7" w14:paraId="20858E97" w14:textId="77777777" w:rsidTr="00862B13">
        <w:trPr>
          <w:trHeight w:val="309"/>
        </w:trPr>
        <w:tc>
          <w:tcPr>
            <w:tcW w:w="709" w:type="dxa"/>
            <w:shd w:val="clear" w:color="auto" w:fill="C6EFCE"/>
            <w:noWrap/>
          </w:tcPr>
          <w:p w14:paraId="5D7EDB91" w14:textId="78295F2D" w:rsidR="00D65CB4" w:rsidRPr="00BC4EE7" w:rsidRDefault="00572307">
            <w:pPr>
              <w:pStyle w:val="P68B1DB1-Normal12"/>
              <w:spacing w:after="0" w:line="240" w:lineRule="auto"/>
              <w:jc w:val="center"/>
              <w:rPr>
                <w:rFonts w:cs="Times New Roman"/>
                <w:noProof/>
              </w:rPr>
            </w:pPr>
            <w:r w:rsidRPr="00BC4EE7">
              <w:rPr>
                <w:rFonts w:cs="Times New Roman"/>
                <w:noProof/>
              </w:rPr>
              <w:t>470</w:t>
            </w:r>
          </w:p>
        </w:tc>
        <w:tc>
          <w:tcPr>
            <w:tcW w:w="993" w:type="dxa"/>
            <w:shd w:val="clear" w:color="auto" w:fill="C6EFCE"/>
            <w:noWrap/>
          </w:tcPr>
          <w:p w14:paraId="66BA266F" w14:textId="66352BF8" w:rsidR="00D65CB4" w:rsidRPr="00BC4EE7" w:rsidRDefault="00572307">
            <w:pPr>
              <w:pStyle w:val="P68B1DB1-Normal12"/>
              <w:spacing w:after="0" w:line="240" w:lineRule="auto"/>
              <w:jc w:val="center"/>
              <w:rPr>
                <w:rFonts w:cs="Times New Roman"/>
                <w:noProof/>
              </w:rPr>
            </w:pPr>
            <w:r w:rsidRPr="00BC4EE7">
              <w:rPr>
                <w:rFonts w:cs="Times New Roman"/>
                <w:noProof/>
              </w:rPr>
              <w:t>C22.I1</w:t>
            </w:r>
          </w:p>
        </w:tc>
        <w:tc>
          <w:tcPr>
            <w:tcW w:w="992" w:type="dxa"/>
            <w:shd w:val="clear" w:color="auto" w:fill="C6EFCE"/>
            <w:noWrap/>
          </w:tcPr>
          <w:p w14:paraId="0E616B96" w14:textId="20E4B538"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2977" w:type="dxa"/>
            <w:shd w:val="clear" w:color="auto" w:fill="C6EFCE"/>
            <w:noWrap/>
          </w:tcPr>
          <w:p w14:paraId="4A690540" w14:textId="0108DCF2" w:rsidR="00D65CB4" w:rsidRPr="00BC4EE7" w:rsidRDefault="00572307">
            <w:pPr>
              <w:pStyle w:val="P68B1DB1-Normal12"/>
              <w:spacing w:after="0" w:line="240" w:lineRule="auto"/>
              <w:rPr>
                <w:rFonts w:cs="Times New Roman"/>
                <w:noProof/>
              </w:rPr>
            </w:pPr>
            <w:r w:rsidRPr="00BC4EE7">
              <w:rPr>
                <w:rFonts w:cs="Times New Roman"/>
                <w:noProof/>
              </w:rPr>
              <w:t xml:space="preserve">Bentlakásos, nem lakáscélú és nappali gondozási helyek.  </w:t>
            </w:r>
          </w:p>
        </w:tc>
        <w:tc>
          <w:tcPr>
            <w:tcW w:w="992" w:type="dxa"/>
            <w:shd w:val="clear" w:color="auto" w:fill="C6EFCE"/>
            <w:noWrap/>
          </w:tcPr>
          <w:p w14:paraId="39FB4516" w14:textId="77777777" w:rsidR="00D65CB4" w:rsidRPr="00BC4EE7" w:rsidRDefault="00D65CB4">
            <w:pPr>
              <w:spacing w:after="0" w:line="240" w:lineRule="auto"/>
              <w:jc w:val="center"/>
              <w:rPr>
                <w:rFonts w:ascii="Times New Roman" w:hAnsi="Times New Roman" w:cs="Times New Roman"/>
                <w:noProof/>
                <w:sz w:val="18"/>
              </w:rPr>
            </w:pPr>
          </w:p>
        </w:tc>
        <w:tc>
          <w:tcPr>
            <w:tcW w:w="850" w:type="dxa"/>
            <w:shd w:val="clear" w:color="auto" w:fill="C6EFCE"/>
            <w:noWrap/>
          </w:tcPr>
          <w:p w14:paraId="779638DA" w14:textId="4C10DAD9" w:rsidR="00D65CB4" w:rsidRPr="00BC4EE7" w:rsidRDefault="00572307">
            <w:pPr>
              <w:pStyle w:val="P68B1DB1-Normal12"/>
              <w:spacing w:after="0" w:line="240" w:lineRule="auto"/>
              <w:jc w:val="center"/>
              <w:rPr>
                <w:rFonts w:cs="Times New Roman"/>
                <w:noProof/>
              </w:rPr>
            </w:pPr>
            <w:r w:rsidRPr="00BC4EE7">
              <w:rPr>
                <w:rFonts w:cs="Times New Roman"/>
                <w:noProof/>
              </w:rPr>
              <w:t>Millió EUR</w:t>
            </w:r>
          </w:p>
        </w:tc>
        <w:tc>
          <w:tcPr>
            <w:tcW w:w="851" w:type="dxa"/>
            <w:shd w:val="clear" w:color="auto" w:fill="C6EFCE"/>
            <w:noWrap/>
          </w:tcPr>
          <w:p w14:paraId="590FF78F" w14:textId="3DA893BF" w:rsidR="00D65CB4" w:rsidRPr="00BC4EE7" w:rsidRDefault="00572307">
            <w:pPr>
              <w:pStyle w:val="P68B1DB1-Normal12"/>
              <w:spacing w:after="0" w:line="240" w:lineRule="auto"/>
              <w:jc w:val="center"/>
              <w:rPr>
                <w:rFonts w:cs="Times New Roman"/>
                <w:noProof/>
              </w:rPr>
            </w:pPr>
            <w:r w:rsidRPr="00BC4EE7">
              <w:rPr>
                <w:rFonts w:cs="Times New Roman"/>
                <w:noProof/>
              </w:rPr>
              <w:t>0</w:t>
            </w:r>
          </w:p>
        </w:tc>
        <w:tc>
          <w:tcPr>
            <w:tcW w:w="709" w:type="dxa"/>
            <w:shd w:val="clear" w:color="auto" w:fill="C6EFCE"/>
            <w:noWrap/>
          </w:tcPr>
          <w:p w14:paraId="5499063C" w14:textId="0738CE52" w:rsidR="00D65CB4" w:rsidRPr="00BC4EE7" w:rsidRDefault="00572307">
            <w:pPr>
              <w:pStyle w:val="P68B1DB1-Normal12"/>
              <w:spacing w:after="0" w:line="240" w:lineRule="auto"/>
              <w:jc w:val="center"/>
              <w:rPr>
                <w:rFonts w:cs="Times New Roman"/>
                <w:noProof/>
              </w:rPr>
            </w:pPr>
            <w:r w:rsidRPr="00BC4EE7">
              <w:rPr>
                <w:rFonts w:cs="Times New Roman"/>
                <w:noProof/>
              </w:rPr>
              <w:t>1 355</w:t>
            </w:r>
          </w:p>
        </w:tc>
        <w:tc>
          <w:tcPr>
            <w:tcW w:w="567" w:type="dxa"/>
            <w:shd w:val="clear" w:color="auto" w:fill="C6EFCE"/>
            <w:noWrap/>
          </w:tcPr>
          <w:p w14:paraId="0D910B1C" w14:textId="294FE1A7"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810" w:type="dxa"/>
            <w:shd w:val="clear" w:color="auto" w:fill="C6EFCE"/>
            <w:noWrap/>
          </w:tcPr>
          <w:p w14:paraId="1063E673" w14:textId="7890908B" w:rsidR="00D65CB4" w:rsidRPr="00BC4EE7" w:rsidRDefault="00572307">
            <w:pPr>
              <w:pStyle w:val="P68B1DB1-Normal12"/>
              <w:spacing w:after="0" w:line="240" w:lineRule="auto"/>
              <w:jc w:val="center"/>
              <w:rPr>
                <w:rFonts w:cs="Times New Roman"/>
                <w:noProof/>
              </w:rPr>
            </w:pPr>
            <w:r w:rsidRPr="00BC4EE7">
              <w:rPr>
                <w:rFonts w:cs="Times New Roman"/>
                <w:noProof/>
              </w:rPr>
              <w:t>2024</w:t>
            </w:r>
          </w:p>
        </w:tc>
        <w:tc>
          <w:tcPr>
            <w:tcW w:w="4860" w:type="dxa"/>
            <w:shd w:val="clear" w:color="auto" w:fill="C6EFCE"/>
            <w:noWrap/>
          </w:tcPr>
          <w:p w14:paraId="638C82DF" w14:textId="5D060C45" w:rsidR="00D65CB4" w:rsidRPr="00BC4EE7" w:rsidRDefault="00572307">
            <w:pPr>
              <w:pStyle w:val="P68B1DB1-Normal12"/>
              <w:spacing w:after="0" w:line="240" w:lineRule="auto"/>
              <w:rPr>
                <w:rFonts w:cs="Times New Roman"/>
                <w:noProof/>
              </w:rPr>
            </w:pPr>
            <w:r w:rsidRPr="00BC4EE7">
              <w:rPr>
                <w:rFonts w:cs="Times New Roman"/>
                <w:noProof/>
              </w:rPr>
              <w:t xml:space="preserve">Legalább 1 355 000 000 euró odaítélésének közzététele a Hivatalos Lapban vagy a közbeszerzési platformon a lakó-, nem lakáscélú és napközi központok felújítására és építésére annak érdekében, hogy azok igazodjanak az új tartós ápolási-gondozási modellhez. </w:t>
            </w:r>
          </w:p>
        </w:tc>
      </w:tr>
      <w:tr w:rsidR="00D65CB4" w:rsidRPr="00BC4EE7" w14:paraId="008805E7" w14:textId="77777777" w:rsidTr="00862B13">
        <w:trPr>
          <w:trHeight w:val="309"/>
        </w:trPr>
        <w:tc>
          <w:tcPr>
            <w:tcW w:w="709" w:type="dxa"/>
            <w:shd w:val="clear" w:color="auto" w:fill="C6EFCE"/>
            <w:noWrap/>
          </w:tcPr>
          <w:p w14:paraId="4F19C717"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322</w:t>
            </w:r>
          </w:p>
        </w:tc>
        <w:tc>
          <w:tcPr>
            <w:tcW w:w="993" w:type="dxa"/>
            <w:shd w:val="clear" w:color="auto" w:fill="C6EFCE"/>
            <w:noWrap/>
          </w:tcPr>
          <w:p w14:paraId="2AF78B6F"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C22.I1</w:t>
            </w:r>
          </w:p>
        </w:tc>
        <w:tc>
          <w:tcPr>
            <w:tcW w:w="992" w:type="dxa"/>
            <w:shd w:val="clear" w:color="auto" w:fill="C6EFCE"/>
            <w:noWrap/>
          </w:tcPr>
          <w:p w14:paraId="75ACDF23"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2977" w:type="dxa"/>
            <w:shd w:val="clear" w:color="auto" w:fill="C6EFCE"/>
            <w:noWrap/>
          </w:tcPr>
          <w:p w14:paraId="03F93C4D" w14:textId="77777777" w:rsidR="00D65CB4" w:rsidRPr="00BC4EE7" w:rsidRDefault="00572307">
            <w:pPr>
              <w:pStyle w:val="P68B1DB1-Normal12"/>
              <w:spacing w:after="0" w:line="240" w:lineRule="auto"/>
              <w:rPr>
                <w:rFonts w:cs="Times New Roman"/>
                <w:noProof/>
              </w:rPr>
            </w:pPr>
            <w:r w:rsidRPr="00BC4EE7">
              <w:rPr>
                <w:rFonts w:cs="Times New Roman"/>
                <w:noProof/>
              </w:rPr>
              <w:t xml:space="preserve">Otthoni távgondozási szolgáltatások az autonómiával és gondozással foglalkozó rendszerben (SAAD) </w:t>
            </w:r>
          </w:p>
        </w:tc>
        <w:tc>
          <w:tcPr>
            <w:tcW w:w="992" w:type="dxa"/>
            <w:shd w:val="clear" w:color="auto" w:fill="C6EFCE"/>
            <w:noWrap/>
          </w:tcPr>
          <w:p w14:paraId="0B8B0FB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850" w:type="dxa"/>
            <w:shd w:val="clear" w:color="auto" w:fill="C6EFCE"/>
            <w:noWrap/>
          </w:tcPr>
          <w:p w14:paraId="70E7C795" w14:textId="18C9BE08" w:rsidR="00D65CB4" w:rsidRPr="00BC4EE7" w:rsidRDefault="00572307">
            <w:pPr>
              <w:pStyle w:val="P68B1DB1-Normal12"/>
              <w:spacing w:after="0" w:line="240" w:lineRule="auto"/>
              <w:jc w:val="center"/>
              <w:rPr>
                <w:rFonts w:cs="Times New Roman"/>
                <w:noProof/>
              </w:rPr>
            </w:pPr>
            <w:r w:rsidRPr="00BC4EE7">
              <w:rPr>
                <w:rFonts w:cs="Times New Roman"/>
                <w:noProof/>
              </w:rPr>
              <w:t>Millió EUR</w:t>
            </w:r>
          </w:p>
        </w:tc>
        <w:tc>
          <w:tcPr>
            <w:tcW w:w="851" w:type="dxa"/>
            <w:shd w:val="clear" w:color="auto" w:fill="C6EFCE"/>
            <w:noWrap/>
          </w:tcPr>
          <w:p w14:paraId="06E09DFC" w14:textId="0E8BE617" w:rsidR="00D65CB4" w:rsidRPr="00BC4EE7" w:rsidRDefault="00572307">
            <w:pPr>
              <w:pStyle w:val="P68B1DB1-Normal12"/>
              <w:spacing w:after="0" w:line="240" w:lineRule="auto"/>
              <w:jc w:val="center"/>
              <w:rPr>
                <w:rFonts w:cs="Times New Roman"/>
                <w:noProof/>
              </w:rPr>
            </w:pPr>
            <w:r w:rsidRPr="00BC4EE7">
              <w:rPr>
                <w:rFonts w:cs="Times New Roman"/>
                <w:noProof/>
              </w:rPr>
              <w:t>0</w:t>
            </w:r>
          </w:p>
        </w:tc>
        <w:tc>
          <w:tcPr>
            <w:tcW w:w="709" w:type="dxa"/>
            <w:shd w:val="clear" w:color="auto" w:fill="C6EFCE"/>
            <w:noWrap/>
          </w:tcPr>
          <w:p w14:paraId="721993F3" w14:textId="4751187B" w:rsidR="00D65CB4" w:rsidRPr="00BC4EE7" w:rsidRDefault="00572307">
            <w:pPr>
              <w:pStyle w:val="P68B1DB1-Normal12"/>
              <w:spacing w:after="0" w:line="240" w:lineRule="auto"/>
              <w:jc w:val="center"/>
              <w:rPr>
                <w:rFonts w:cs="Times New Roman"/>
                <w:noProof/>
              </w:rPr>
            </w:pPr>
            <w:r w:rsidRPr="00BC4EE7">
              <w:rPr>
                <w:rFonts w:cs="Times New Roman"/>
                <w:noProof/>
              </w:rPr>
              <w:t>304</w:t>
            </w:r>
          </w:p>
        </w:tc>
        <w:tc>
          <w:tcPr>
            <w:tcW w:w="567" w:type="dxa"/>
            <w:shd w:val="clear" w:color="auto" w:fill="C6EFCE"/>
            <w:noWrap/>
          </w:tcPr>
          <w:p w14:paraId="5A4DD573" w14:textId="0D250DB7" w:rsidR="00D65CB4" w:rsidRPr="00BC4EE7" w:rsidRDefault="00572307">
            <w:pPr>
              <w:pStyle w:val="P68B1DB1-Normal12"/>
              <w:spacing w:after="0" w:line="240" w:lineRule="auto"/>
              <w:jc w:val="center"/>
              <w:rPr>
                <w:rFonts w:cs="Times New Roman"/>
                <w:noProof/>
              </w:rPr>
            </w:pPr>
            <w:r w:rsidRPr="00BC4EE7">
              <w:rPr>
                <w:rFonts w:cs="Times New Roman"/>
                <w:noProof/>
              </w:rPr>
              <w:t>Q1</w:t>
            </w:r>
          </w:p>
        </w:tc>
        <w:tc>
          <w:tcPr>
            <w:tcW w:w="810" w:type="dxa"/>
            <w:shd w:val="clear" w:color="auto" w:fill="C6EFCE"/>
            <w:noWrap/>
          </w:tcPr>
          <w:p w14:paraId="77028680" w14:textId="618BCF97" w:rsidR="00D65CB4" w:rsidRPr="00BC4EE7" w:rsidRDefault="00572307">
            <w:pPr>
              <w:pStyle w:val="P68B1DB1-Normal12"/>
              <w:spacing w:after="0" w:line="240" w:lineRule="auto"/>
              <w:jc w:val="center"/>
              <w:rPr>
                <w:rFonts w:cs="Times New Roman"/>
                <w:noProof/>
              </w:rPr>
            </w:pPr>
            <w:r w:rsidRPr="00BC4EE7">
              <w:rPr>
                <w:rFonts w:cs="Times New Roman"/>
                <w:noProof/>
              </w:rPr>
              <w:t>2025</w:t>
            </w:r>
          </w:p>
        </w:tc>
        <w:tc>
          <w:tcPr>
            <w:tcW w:w="4860" w:type="dxa"/>
            <w:shd w:val="clear" w:color="auto" w:fill="C6EFCE"/>
            <w:noWrap/>
          </w:tcPr>
          <w:p w14:paraId="36EEC1A7" w14:textId="5179343A" w:rsidR="00D65CB4" w:rsidRPr="00BC4EE7" w:rsidRDefault="00572307">
            <w:pPr>
              <w:pStyle w:val="P68B1DB1-Normal12"/>
              <w:spacing w:after="0" w:line="240" w:lineRule="auto"/>
              <w:rPr>
                <w:rFonts w:cs="Times New Roman"/>
                <w:noProof/>
              </w:rPr>
            </w:pPr>
            <w:r w:rsidRPr="00BC4EE7">
              <w:rPr>
                <w:rFonts w:cs="Times New Roman"/>
                <w:noProof/>
              </w:rPr>
              <w:t>Legalább 304 000 000 EUR értékű új távgondozási szolgáltatások A kiindulási időpont: 2020. március 31.</w:t>
            </w:r>
          </w:p>
        </w:tc>
      </w:tr>
      <w:tr w:rsidR="00D65CB4" w:rsidRPr="00BC4EE7" w14:paraId="05E33DE8" w14:textId="77777777" w:rsidTr="00862B13">
        <w:trPr>
          <w:trHeight w:val="309"/>
        </w:trPr>
        <w:tc>
          <w:tcPr>
            <w:tcW w:w="709" w:type="dxa"/>
            <w:shd w:val="clear" w:color="auto" w:fill="C6EFCE"/>
            <w:noWrap/>
          </w:tcPr>
          <w:p w14:paraId="2FD3EAD3"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323</w:t>
            </w:r>
          </w:p>
        </w:tc>
        <w:tc>
          <w:tcPr>
            <w:tcW w:w="993" w:type="dxa"/>
            <w:shd w:val="clear" w:color="auto" w:fill="C6EFCE"/>
            <w:noWrap/>
          </w:tcPr>
          <w:p w14:paraId="6FE46AD4"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C22.I1</w:t>
            </w:r>
          </w:p>
        </w:tc>
        <w:tc>
          <w:tcPr>
            <w:tcW w:w="992" w:type="dxa"/>
            <w:shd w:val="clear" w:color="auto" w:fill="C6EFCE"/>
            <w:noWrap/>
          </w:tcPr>
          <w:p w14:paraId="28E3407A"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2977" w:type="dxa"/>
            <w:shd w:val="clear" w:color="auto" w:fill="C6EFCE"/>
            <w:noWrap/>
          </w:tcPr>
          <w:p w14:paraId="312D4CBB" w14:textId="77777777" w:rsidR="00D65CB4" w:rsidRPr="00BC4EE7" w:rsidRDefault="00572307">
            <w:pPr>
              <w:pStyle w:val="P68B1DB1-Normal12"/>
              <w:spacing w:after="0" w:line="240" w:lineRule="auto"/>
              <w:rPr>
                <w:rFonts w:cs="Times New Roman"/>
                <w:noProof/>
              </w:rPr>
            </w:pPr>
            <w:r w:rsidRPr="00BC4EE7">
              <w:rPr>
                <w:rFonts w:cs="Times New Roman"/>
                <w:noProof/>
              </w:rPr>
              <w:t xml:space="preserve">Bentlakásos, nem lakáscélú és nappali gondozási helyek.  </w:t>
            </w:r>
          </w:p>
        </w:tc>
        <w:tc>
          <w:tcPr>
            <w:tcW w:w="992" w:type="dxa"/>
            <w:shd w:val="clear" w:color="auto" w:fill="C6EFCE"/>
            <w:noWrap/>
          </w:tcPr>
          <w:p w14:paraId="31E5758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850" w:type="dxa"/>
            <w:shd w:val="clear" w:color="auto" w:fill="C6EFCE"/>
            <w:noWrap/>
          </w:tcPr>
          <w:p w14:paraId="4ADB9756"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Szám</w:t>
            </w:r>
          </w:p>
        </w:tc>
        <w:tc>
          <w:tcPr>
            <w:tcW w:w="851" w:type="dxa"/>
            <w:shd w:val="clear" w:color="auto" w:fill="C6EFCE"/>
            <w:noWrap/>
          </w:tcPr>
          <w:p w14:paraId="65499468"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 xml:space="preserve"> </w:t>
            </w:r>
          </w:p>
        </w:tc>
        <w:tc>
          <w:tcPr>
            <w:tcW w:w="709" w:type="dxa"/>
            <w:shd w:val="clear" w:color="auto" w:fill="C6EFCE"/>
            <w:noWrap/>
          </w:tcPr>
          <w:p w14:paraId="52CF55A3" w14:textId="277B85C5" w:rsidR="00D65CB4" w:rsidRPr="00BC4EE7" w:rsidRDefault="00572307">
            <w:pPr>
              <w:pStyle w:val="P68B1DB1-Normal12"/>
              <w:spacing w:after="0" w:line="240" w:lineRule="auto"/>
              <w:jc w:val="center"/>
              <w:rPr>
                <w:rFonts w:cs="Times New Roman"/>
                <w:noProof/>
              </w:rPr>
            </w:pPr>
            <w:r w:rsidRPr="00BC4EE7">
              <w:rPr>
                <w:rFonts w:cs="Times New Roman"/>
                <w:noProof/>
              </w:rPr>
              <w:t>15 200</w:t>
            </w:r>
          </w:p>
        </w:tc>
        <w:tc>
          <w:tcPr>
            <w:tcW w:w="567" w:type="dxa"/>
            <w:shd w:val="clear" w:color="auto" w:fill="C6EFCE"/>
            <w:noWrap/>
          </w:tcPr>
          <w:p w14:paraId="771531B7" w14:textId="48C794FB"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810" w:type="dxa"/>
            <w:shd w:val="clear" w:color="auto" w:fill="C6EFCE"/>
            <w:noWrap/>
          </w:tcPr>
          <w:p w14:paraId="03214214" w14:textId="2BAB46CA" w:rsidR="00D65CB4" w:rsidRPr="00BC4EE7" w:rsidRDefault="00572307">
            <w:pPr>
              <w:pStyle w:val="P68B1DB1-Normal12"/>
              <w:spacing w:after="0" w:line="240" w:lineRule="auto"/>
              <w:jc w:val="center"/>
              <w:rPr>
                <w:rFonts w:cs="Times New Roman"/>
                <w:noProof/>
              </w:rPr>
            </w:pPr>
            <w:r w:rsidRPr="00BC4EE7">
              <w:rPr>
                <w:rFonts w:cs="Times New Roman"/>
                <w:noProof/>
              </w:rPr>
              <w:t>2026</w:t>
            </w:r>
          </w:p>
        </w:tc>
        <w:tc>
          <w:tcPr>
            <w:tcW w:w="4860" w:type="dxa"/>
            <w:shd w:val="clear" w:color="auto" w:fill="C6EFCE"/>
            <w:noWrap/>
          </w:tcPr>
          <w:p w14:paraId="2DF0B1D7" w14:textId="3042FD88" w:rsidR="00D65CB4" w:rsidRPr="00BC4EE7" w:rsidRDefault="00572307">
            <w:pPr>
              <w:pStyle w:val="P68B1DB1-Normal12"/>
              <w:spacing w:after="0" w:line="240" w:lineRule="auto"/>
              <w:rPr>
                <w:rFonts w:cs="Times New Roman"/>
                <w:noProof/>
                <w:highlight w:val="yellow"/>
              </w:rPr>
            </w:pPr>
            <w:r w:rsidRPr="00BC4EE7">
              <w:rPr>
                <w:rFonts w:cs="Times New Roman"/>
                <w:noProof/>
              </w:rPr>
              <w:t xml:space="preserve">Felújított és/vagy épített bentlakásos, nem lakáscélú és napközi központok, hogy legalább 15200 férőhelyet hozzáigazítsanak a tartós ápolás-gondozás új modelljéhez. </w:t>
            </w:r>
          </w:p>
        </w:tc>
      </w:tr>
      <w:tr w:rsidR="00D65CB4" w:rsidRPr="00BC4EE7" w14:paraId="0D5EA232" w14:textId="77777777" w:rsidTr="00862B13">
        <w:trPr>
          <w:trHeight w:val="309"/>
        </w:trPr>
        <w:tc>
          <w:tcPr>
            <w:tcW w:w="709" w:type="dxa"/>
            <w:shd w:val="clear" w:color="auto" w:fill="C6EFCE"/>
            <w:noWrap/>
          </w:tcPr>
          <w:p w14:paraId="79CAAB9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324</w:t>
            </w:r>
          </w:p>
        </w:tc>
        <w:tc>
          <w:tcPr>
            <w:tcW w:w="993" w:type="dxa"/>
            <w:shd w:val="clear" w:color="auto" w:fill="C6EFCE"/>
            <w:noWrap/>
          </w:tcPr>
          <w:p w14:paraId="6F26D16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C22.I2</w:t>
            </w:r>
          </w:p>
        </w:tc>
        <w:tc>
          <w:tcPr>
            <w:tcW w:w="992" w:type="dxa"/>
            <w:shd w:val="clear" w:color="auto" w:fill="C6EFCE"/>
            <w:noWrap/>
          </w:tcPr>
          <w:p w14:paraId="3F3BF96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2977" w:type="dxa"/>
            <w:shd w:val="clear" w:color="auto" w:fill="C6EFCE"/>
            <w:noWrap/>
          </w:tcPr>
          <w:p w14:paraId="7ADC3CBC"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Speciális technológiai eszközök bevezetése a szociális szolgáltatások információs és irányítási rendszereinek javítása érdekében.</w:t>
            </w:r>
          </w:p>
        </w:tc>
        <w:tc>
          <w:tcPr>
            <w:tcW w:w="992" w:type="dxa"/>
            <w:shd w:val="clear" w:color="auto" w:fill="C6EFCE"/>
            <w:noWrap/>
          </w:tcPr>
          <w:p w14:paraId="6E12E15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Valamennyi szakasz külső értékelése és a projekt végeredménye.</w:t>
            </w:r>
          </w:p>
        </w:tc>
        <w:tc>
          <w:tcPr>
            <w:tcW w:w="850" w:type="dxa"/>
            <w:shd w:val="clear" w:color="auto" w:fill="C6EFCE"/>
            <w:noWrap/>
          </w:tcPr>
          <w:p w14:paraId="655BE04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851" w:type="dxa"/>
            <w:shd w:val="clear" w:color="auto" w:fill="C6EFCE"/>
            <w:noWrap/>
          </w:tcPr>
          <w:p w14:paraId="10B818FA"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709" w:type="dxa"/>
            <w:shd w:val="clear" w:color="auto" w:fill="C6EFCE"/>
            <w:noWrap/>
          </w:tcPr>
          <w:p w14:paraId="01A2FB1A"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567" w:type="dxa"/>
            <w:shd w:val="clear" w:color="auto" w:fill="C6EFCE"/>
            <w:noWrap/>
          </w:tcPr>
          <w:p w14:paraId="6487C47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Q3 </w:t>
            </w:r>
          </w:p>
        </w:tc>
        <w:tc>
          <w:tcPr>
            <w:tcW w:w="810" w:type="dxa"/>
            <w:shd w:val="clear" w:color="auto" w:fill="C6EFCE"/>
            <w:noWrap/>
          </w:tcPr>
          <w:p w14:paraId="4789405B"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2023</w:t>
            </w:r>
          </w:p>
        </w:tc>
        <w:tc>
          <w:tcPr>
            <w:tcW w:w="4860" w:type="dxa"/>
            <w:shd w:val="clear" w:color="auto" w:fill="C6EFCE"/>
            <w:noWrap/>
          </w:tcPr>
          <w:p w14:paraId="7776C5A9" w14:textId="77777777" w:rsidR="00D65CB4" w:rsidRPr="00BC4EE7" w:rsidRDefault="00572307">
            <w:pPr>
              <w:pStyle w:val="P68B1DB1-Normal12"/>
              <w:spacing w:after="0" w:line="240" w:lineRule="auto"/>
              <w:rPr>
                <w:rFonts w:cs="Times New Roman"/>
                <w:noProof/>
              </w:rPr>
            </w:pPr>
            <w:r w:rsidRPr="00BC4EE7">
              <w:rPr>
                <w:rFonts w:cs="Times New Roman"/>
                <w:noProof/>
              </w:rPr>
              <w:t xml:space="preserve">A szociális szolgáltatások információs és irányítási rendszereinek javítását célzó egyedi technológiai eszközök kifejlesztése és alkalmazása a következőkre terjed ki: </w:t>
            </w:r>
          </w:p>
          <w:p w14:paraId="2289E619" w14:textId="150509E0" w:rsidR="00D65CB4" w:rsidRPr="00BC4EE7" w:rsidRDefault="00572307">
            <w:pPr>
              <w:pStyle w:val="P68B1DB1-ListParagraph13"/>
              <w:numPr>
                <w:ilvl w:val="0"/>
                <w:numId w:val="715"/>
              </w:numPr>
              <w:spacing w:after="0" w:line="240" w:lineRule="auto"/>
              <w:rPr>
                <w:rFonts w:cs="Times New Roman"/>
                <w:noProof/>
              </w:rPr>
            </w:pPr>
            <w:r w:rsidRPr="00BC4EE7">
              <w:rPr>
                <w:rFonts w:cs="Times New Roman"/>
                <w:noProof/>
              </w:rPr>
              <w:t xml:space="preserve">a spanyol szociális szolgáltatási információs rendszer (SIESS); </w:t>
            </w:r>
          </w:p>
          <w:p w14:paraId="1F4D10BF" w14:textId="7D588414" w:rsidR="00D65CB4" w:rsidRPr="00BC4EE7" w:rsidRDefault="00572307">
            <w:pPr>
              <w:pStyle w:val="P68B1DB1-ListParagraph13"/>
              <w:numPr>
                <w:ilvl w:val="0"/>
                <w:numId w:val="715"/>
              </w:numPr>
              <w:spacing w:after="0" w:line="240" w:lineRule="auto"/>
              <w:rPr>
                <w:rFonts w:cs="Times New Roman"/>
                <w:noProof/>
              </w:rPr>
            </w:pPr>
            <w:r w:rsidRPr="00BC4EE7">
              <w:rPr>
                <w:rFonts w:cs="Times New Roman"/>
                <w:noProof/>
              </w:rPr>
              <w:t xml:space="preserve">online eszköz a harmadik ágazatbeli szervezetek által kidolgozott projektek elemzésére; </w:t>
            </w:r>
          </w:p>
          <w:p w14:paraId="6A8823AF" w14:textId="47CFEBD3" w:rsidR="00D65CB4" w:rsidRPr="00BC4EE7" w:rsidRDefault="00572307">
            <w:pPr>
              <w:pStyle w:val="P68B1DB1-ListParagraph13"/>
              <w:numPr>
                <w:ilvl w:val="0"/>
                <w:numId w:val="715"/>
              </w:numPr>
              <w:spacing w:after="0" w:line="240" w:lineRule="auto"/>
              <w:rPr>
                <w:rFonts w:cs="Times New Roman"/>
                <w:noProof/>
              </w:rPr>
            </w:pPr>
            <w:r w:rsidRPr="00BC4EE7">
              <w:rPr>
                <w:rFonts w:cs="Times New Roman"/>
                <w:noProof/>
              </w:rPr>
              <w:t xml:space="preserve">számítógépes eszközök a szociális szolgáltatásokhoz, valamint a család, a gyermekek és bizonyos veszélyeztetett csoportok gondozásához kapcsolódó különböző költségvetési programok irányítására; és </w:t>
            </w:r>
          </w:p>
          <w:p w14:paraId="03CDE88A" w14:textId="0E96E189" w:rsidR="00D65CB4" w:rsidRPr="00BC4EE7" w:rsidRDefault="00572307">
            <w:pPr>
              <w:pStyle w:val="P68B1DB1-ListParagraph13"/>
              <w:numPr>
                <w:ilvl w:val="0"/>
                <w:numId w:val="715"/>
              </w:numPr>
              <w:spacing w:after="0" w:line="240" w:lineRule="auto"/>
              <w:rPr>
                <w:rFonts w:cs="Times New Roman"/>
                <w:noProof/>
              </w:rPr>
            </w:pPr>
            <w:r w:rsidRPr="00BC4EE7">
              <w:rPr>
                <w:rFonts w:cs="Times New Roman"/>
                <w:noProof/>
              </w:rPr>
              <w:t>online platform az ellátással kapcsolatban az országban rendelkezésre álló információk központosítására.</w:t>
            </w:r>
            <w:r w:rsidRPr="00BC4EE7">
              <w:rPr>
                <w:rFonts w:cs="Times New Roman"/>
                <w:noProof/>
                <w:shd w:val="clear" w:color="auto" w:fill="E6E6E6"/>
              </w:rPr>
              <w:t xml:space="preserve"> </w:t>
            </w:r>
          </w:p>
        </w:tc>
      </w:tr>
      <w:tr w:rsidR="00D65CB4" w:rsidRPr="00BC4EE7" w14:paraId="40273E43" w14:textId="77777777" w:rsidTr="00862B13">
        <w:trPr>
          <w:trHeight w:val="309"/>
        </w:trPr>
        <w:tc>
          <w:tcPr>
            <w:tcW w:w="709" w:type="dxa"/>
            <w:shd w:val="clear" w:color="auto" w:fill="C6EFCE"/>
            <w:noWrap/>
          </w:tcPr>
          <w:p w14:paraId="0281042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325</w:t>
            </w:r>
          </w:p>
        </w:tc>
        <w:tc>
          <w:tcPr>
            <w:tcW w:w="993" w:type="dxa"/>
            <w:shd w:val="clear" w:color="auto" w:fill="C6EFCE"/>
            <w:noWrap/>
          </w:tcPr>
          <w:p w14:paraId="2A88F12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C22.I2</w:t>
            </w:r>
          </w:p>
        </w:tc>
        <w:tc>
          <w:tcPr>
            <w:tcW w:w="992" w:type="dxa"/>
            <w:shd w:val="clear" w:color="auto" w:fill="C6EFCE"/>
            <w:noWrap/>
          </w:tcPr>
          <w:p w14:paraId="6299679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2977" w:type="dxa"/>
            <w:shd w:val="clear" w:color="auto" w:fill="C6EFCE"/>
            <w:noWrap/>
          </w:tcPr>
          <w:p w14:paraId="32275888"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 szociális szolgáltatások technológiai átalakítására, valamint a lakásvédelemmel és nevelőszülőkkel kapcsolatos infrastruktúra és szolgáltatások korszerűsítésére irányuló projektek lezárása </w:t>
            </w:r>
          </w:p>
        </w:tc>
        <w:tc>
          <w:tcPr>
            <w:tcW w:w="992" w:type="dxa"/>
            <w:shd w:val="clear" w:color="auto" w:fill="C6EFCE"/>
            <w:noWrap/>
          </w:tcPr>
          <w:p w14:paraId="2A7C22FD"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Az egyes autonóm régiókkal aláírt megállapodások ellenőrzése</w:t>
            </w:r>
          </w:p>
        </w:tc>
        <w:tc>
          <w:tcPr>
            <w:tcW w:w="850" w:type="dxa"/>
            <w:shd w:val="clear" w:color="auto" w:fill="C6EFCE"/>
            <w:noWrap/>
          </w:tcPr>
          <w:p w14:paraId="7757059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851" w:type="dxa"/>
            <w:shd w:val="clear" w:color="auto" w:fill="C6EFCE"/>
            <w:noWrap/>
          </w:tcPr>
          <w:p w14:paraId="607F8A10"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709" w:type="dxa"/>
            <w:shd w:val="clear" w:color="auto" w:fill="C6EFCE"/>
            <w:noWrap/>
          </w:tcPr>
          <w:p w14:paraId="17E077D5" w14:textId="77777777" w:rsidR="00D65CB4" w:rsidRPr="00BC4EE7" w:rsidRDefault="00D65CB4">
            <w:pPr>
              <w:spacing w:after="0" w:line="240" w:lineRule="auto"/>
              <w:jc w:val="center"/>
              <w:rPr>
                <w:rFonts w:ascii="Times New Roman" w:eastAsia="Times New Roman" w:hAnsi="Times New Roman" w:cs="Times New Roman"/>
                <w:noProof/>
                <w:sz w:val="18"/>
              </w:rPr>
            </w:pPr>
          </w:p>
        </w:tc>
        <w:tc>
          <w:tcPr>
            <w:tcW w:w="567" w:type="dxa"/>
            <w:shd w:val="clear" w:color="auto" w:fill="C6EFCE"/>
            <w:noWrap/>
          </w:tcPr>
          <w:p w14:paraId="1961EF1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810" w:type="dxa"/>
            <w:shd w:val="clear" w:color="auto" w:fill="C6EFCE"/>
            <w:noWrap/>
          </w:tcPr>
          <w:p w14:paraId="5D1CF3A1" w14:textId="4D56FD1D" w:rsidR="00D65CB4" w:rsidRPr="00BC4EE7" w:rsidRDefault="00572307">
            <w:pPr>
              <w:pStyle w:val="P68B1DB1-Normal12"/>
              <w:spacing w:after="0" w:line="240" w:lineRule="auto"/>
              <w:jc w:val="center"/>
              <w:rPr>
                <w:rFonts w:cs="Times New Roman"/>
                <w:noProof/>
              </w:rPr>
            </w:pPr>
            <w:r w:rsidRPr="00BC4EE7">
              <w:rPr>
                <w:rFonts w:cs="Times New Roman"/>
                <w:noProof/>
              </w:rPr>
              <w:t>2025</w:t>
            </w:r>
          </w:p>
        </w:tc>
        <w:tc>
          <w:tcPr>
            <w:tcW w:w="4860" w:type="dxa"/>
            <w:shd w:val="clear" w:color="auto" w:fill="C6EFCE"/>
            <w:noWrap/>
          </w:tcPr>
          <w:p w14:paraId="3ABB57E2"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 szociális szolgáltatások technológiai átalakításának befejezése a regionális kormányzatok által, lehetővé téve a szociális szolgáltatásokkal (foglalkoztatás, egészségügy, harmadik szektor) kapcsolatban álló más rendszerekkel való interoperabilitást, valamint a gyermek- és serdülőkori gondozási központok bentlakásos védelmével kapcsolatos infrastruktúra és szolgáltatások korszerűsítését, többek között a személyre szabott (érzelmi és oktatási/szakmai) támogatási igények jobb kielégítése és a nevelőszülők képzése révén, legalább 450 000 000 EUR összértékben. </w:t>
            </w:r>
          </w:p>
        </w:tc>
      </w:tr>
      <w:tr w:rsidR="00D65CB4" w:rsidRPr="00BC4EE7" w14:paraId="57CF3CD7" w14:textId="77777777" w:rsidTr="00862B13">
        <w:trPr>
          <w:trHeight w:val="309"/>
        </w:trPr>
        <w:tc>
          <w:tcPr>
            <w:tcW w:w="709" w:type="dxa"/>
            <w:shd w:val="clear" w:color="auto" w:fill="C6EFCE"/>
            <w:noWrap/>
          </w:tcPr>
          <w:p w14:paraId="3C8C5CEB" w14:textId="78E55719" w:rsidR="00D65CB4" w:rsidRPr="00BC4EE7" w:rsidRDefault="00572307">
            <w:pPr>
              <w:pStyle w:val="P68B1DB1-Normal12"/>
              <w:spacing w:after="0" w:line="240" w:lineRule="auto"/>
              <w:jc w:val="center"/>
              <w:rPr>
                <w:rFonts w:cs="Times New Roman"/>
                <w:noProof/>
              </w:rPr>
            </w:pPr>
            <w:r w:rsidRPr="00BC4EE7">
              <w:rPr>
                <w:rFonts w:cs="Times New Roman"/>
                <w:noProof/>
              </w:rPr>
              <w:t>471</w:t>
            </w:r>
          </w:p>
        </w:tc>
        <w:tc>
          <w:tcPr>
            <w:tcW w:w="993" w:type="dxa"/>
            <w:shd w:val="clear" w:color="auto" w:fill="C6EFCE"/>
            <w:noWrap/>
          </w:tcPr>
          <w:p w14:paraId="6FD56F45"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C22.I2</w:t>
            </w:r>
          </w:p>
        </w:tc>
        <w:tc>
          <w:tcPr>
            <w:tcW w:w="992" w:type="dxa"/>
            <w:shd w:val="clear" w:color="auto" w:fill="C6EFCE"/>
            <w:noWrap/>
          </w:tcPr>
          <w:p w14:paraId="6A1AAA57"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2977" w:type="dxa"/>
            <w:shd w:val="clear" w:color="auto" w:fill="C6EFCE"/>
            <w:noWrap/>
          </w:tcPr>
          <w:p w14:paraId="1C05CA9D" w14:textId="77777777" w:rsidR="00D65CB4" w:rsidRPr="00BC4EE7" w:rsidRDefault="00572307">
            <w:pPr>
              <w:pStyle w:val="P68B1DB1-Normal12"/>
              <w:spacing w:after="0" w:line="240" w:lineRule="auto"/>
              <w:rPr>
                <w:rFonts w:cs="Times New Roman"/>
                <w:noProof/>
              </w:rPr>
            </w:pPr>
            <w:r w:rsidRPr="00BC4EE7">
              <w:rPr>
                <w:rFonts w:cs="Times New Roman"/>
                <w:noProof/>
              </w:rPr>
              <w:t>A kísérleti projektek végrehajtása</w:t>
            </w:r>
          </w:p>
        </w:tc>
        <w:tc>
          <w:tcPr>
            <w:tcW w:w="992" w:type="dxa"/>
            <w:shd w:val="clear" w:color="auto" w:fill="C6EFCE"/>
            <w:noWrap/>
          </w:tcPr>
          <w:p w14:paraId="253A97F1" w14:textId="77777777" w:rsidR="00D65CB4" w:rsidRPr="00BC4EE7" w:rsidRDefault="00D65CB4">
            <w:pPr>
              <w:spacing w:after="0" w:line="240" w:lineRule="auto"/>
              <w:jc w:val="center"/>
              <w:rPr>
                <w:rFonts w:ascii="Times New Roman" w:hAnsi="Times New Roman" w:cs="Times New Roman"/>
                <w:noProof/>
                <w:sz w:val="18"/>
              </w:rPr>
            </w:pPr>
          </w:p>
        </w:tc>
        <w:tc>
          <w:tcPr>
            <w:tcW w:w="850" w:type="dxa"/>
            <w:shd w:val="clear" w:color="auto" w:fill="C6EFCE"/>
            <w:noWrap/>
          </w:tcPr>
          <w:p w14:paraId="53E3C726"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Szám</w:t>
            </w:r>
          </w:p>
        </w:tc>
        <w:tc>
          <w:tcPr>
            <w:tcW w:w="851" w:type="dxa"/>
            <w:shd w:val="clear" w:color="auto" w:fill="C6EFCE"/>
            <w:noWrap/>
          </w:tcPr>
          <w:p w14:paraId="645BEB66"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0</w:t>
            </w:r>
          </w:p>
        </w:tc>
        <w:tc>
          <w:tcPr>
            <w:tcW w:w="709" w:type="dxa"/>
            <w:shd w:val="clear" w:color="auto" w:fill="C6EFCE"/>
            <w:noWrap/>
          </w:tcPr>
          <w:p w14:paraId="356285CA"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19</w:t>
            </w:r>
          </w:p>
        </w:tc>
        <w:tc>
          <w:tcPr>
            <w:tcW w:w="567" w:type="dxa"/>
            <w:shd w:val="clear" w:color="auto" w:fill="C6EFCE"/>
            <w:noWrap/>
          </w:tcPr>
          <w:p w14:paraId="1FB37924"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810" w:type="dxa"/>
            <w:shd w:val="clear" w:color="auto" w:fill="C6EFCE"/>
            <w:noWrap/>
          </w:tcPr>
          <w:p w14:paraId="433B1CFD"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2025</w:t>
            </w:r>
          </w:p>
        </w:tc>
        <w:tc>
          <w:tcPr>
            <w:tcW w:w="4860" w:type="dxa"/>
            <w:shd w:val="clear" w:color="auto" w:fill="C6EFCE"/>
            <w:noWrap/>
          </w:tcPr>
          <w:p w14:paraId="4DD3F79E" w14:textId="5557DB0B" w:rsidR="00D65CB4" w:rsidRPr="00BC4EE7" w:rsidRDefault="00572307">
            <w:pPr>
              <w:pStyle w:val="P68B1DB1-Normal12"/>
              <w:spacing w:after="0" w:line="240" w:lineRule="auto"/>
              <w:rPr>
                <w:rFonts w:cs="Times New Roman"/>
                <w:noProof/>
              </w:rPr>
            </w:pPr>
            <w:r w:rsidRPr="00BC4EE7">
              <w:rPr>
                <w:rFonts w:cs="Times New Roman"/>
                <w:noProof/>
              </w:rPr>
              <w:t>Legalább 19 olyan kísérleti projekt lezárása, amelyek célja az innováció előmozdítása a szociális szolgáltatások terén.</w:t>
            </w:r>
          </w:p>
        </w:tc>
      </w:tr>
      <w:tr w:rsidR="00D65CB4" w:rsidRPr="00BC4EE7" w14:paraId="6F8A3C56" w14:textId="77777777" w:rsidTr="00862B13">
        <w:trPr>
          <w:trHeight w:val="309"/>
        </w:trPr>
        <w:tc>
          <w:tcPr>
            <w:tcW w:w="709" w:type="dxa"/>
            <w:shd w:val="clear" w:color="auto" w:fill="C6EFCE"/>
            <w:noWrap/>
          </w:tcPr>
          <w:p w14:paraId="445DF925"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326</w:t>
            </w:r>
          </w:p>
        </w:tc>
        <w:tc>
          <w:tcPr>
            <w:tcW w:w="993" w:type="dxa"/>
            <w:shd w:val="clear" w:color="auto" w:fill="C6EFCE"/>
            <w:noWrap/>
          </w:tcPr>
          <w:p w14:paraId="642BCFA4"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C22.I3</w:t>
            </w:r>
          </w:p>
        </w:tc>
        <w:tc>
          <w:tcPr>
            <w:tcW w:w="992" w:type="dxa"/>
            <w:shd w:val="clear" w:color="auto" w:fill="C6EFCE"/>
            <w:noWrap/>
          </w:tcPr>
          <w:p w14:paraId="7FC9A030"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2977" w:type="dxa"/>
            <w:shd w:val="clear" w:color="auto" w:fill="C6EFCE"/>
            <w:noWrap/>
          </w:tcPr>
          <w:p w14:paraId="75135AEE" w14:textId="77777777" w:rsidR="00D65CB4" w:rsidRPr="00BC4EE7" w:rsidRDefault="00572307">
            <w:pPr>
              <w:pStyle w:val="P68B1DB1-Normal12"/>
              <w:spacing w:after="0" w:line="240" w:lineRule="auto"/>
              <w:rPr>
                <w:rFonts w:cs="Times New Roman"/>
                <w:noProof/>
              </w:rPr>
            </w:pPr>
            <w:r w:rsidRPr="00BC4EE7">
              <w:rPr>
                <w:rFonts w:cs="Times New Roman"/>
                <w:noProof/>
              </w:rPr>
              <w:t>A hozzáférhetőség javítását célzó projektek</w:t>
            </w:r>
          </w:p>
        </w:tc>
        <w:tc>
          <w:tcPr>
            <w:tcW w:w="992" w:type="dxa"/>
            <w:shd w:val="clear" w:color="auto" w:fill="C6EFCE"/>
            <w:noWrap/>
          </w:tcPr>
          <w:p w14:paraId="0294424B"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 xml:space="preserve"> </w:t>
            </w:r>
          </w:p>
        </w:tc>
        <w:tc>
          <w:tcPr>
            <w:tcW w:w="850" w:type="dxa"/>
            <w:shd w:val="clear" w:color="auto" w:fill="C6EFCE"/>
            <w:noWrap/>
          </w:tcPr>
          <w:p w14:paraId="38C216B6"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Millió EUR</w:t>
            </w:r>
          </w:p>
        </w:tc>
        <w:tc>
          <w:tcPr>
            <w:tcW w:w="851" w:type="dxa"/>
            <w:shd w:val="clear" w:color="auto" w:fill="C6EFCE"/>
            <w:noWrap/>
          </w:tcPr>
          <w:p w14:paraId="08EE146F"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0</w:t>
            </w:r>
          </w:p>
        </w:tc>
        <w:tc>
          <w:tcPr>
            <w:tcW w:w="709" w:type="dxa"/>
            <w:shd w:val="clear" w:color="auto" w:fill="C6EFCE"/>
            <w:noWrap/>
          </w:tcPr>
          <w:p w14:paraId="3092A617" w14:textId="311EAA03" w:rsidR="00D65CB4" w:rsidRPr="00BC4EE7" w:rsidRDefault="00572307">
            <w:pPr>
              <w:pStyle w:val="P68B1DB1-Normal12"/>
              <w:spacing w:after="0" w:line="240" w:lineRule="auto"/>
              <w:jc w:val="center"/>
              <w:rPr>
                <w:rFonts w:cs="Times New Roman"/>
                <w:noProof/>
              </w:rPr>
            </w:pPr>
            <w:r w:rsidRPr="00BC4EE7">
              <w:rPr>
                <w:rFonts w:cs="Times New Roman"/>
                <w:noProof/>
              </w:rPr>
              <w:t>178</w:t>
            </w:r>
          </w:p>
        </w:tc>
        <w:tc>
          <w:tcPr>
            <w:tcW w:w="567" w:type="dxa"/>
            <w:shd w:val="clear" w:color="auto" w:fill="C6EFCE"/>
            <w:noWrap/>
          </w:tcPr>
          <w:p w14:paraId="04FA89F0"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Q1</w:t>
            </w:r>
          </w:p>
        </w:tc>
        <w:tc>
          <w:tcPr>
            <w:tcW w:w="810" w:type="dxa"/>
            <w:shd w:val="clear" w:color="auto" w:fill="C6EFCE"/>
            <w:noWrap/>
          </w:tcPr>
          <w:p w14:paraId="1A8A7DE7" w14:textId="006D021F" w:rsidR="00D65CB4" w:rsidRPr="00BC4EE7" w:rsidRDefault="00572307">
            <w:pPr>
              <w:pStyle w:val="P68B1DB1-Normal12"/>
              <w:spacing w:after="0" w:line="240" w:lineRule="auto"/>
              <w:jc w:val="center"/>
              <w:rPr>
                <w:rFonts w:cs="Times New Roman"/>
                <w:noProof/>
              </w:rPr>
            </w:pPr>
            <w:r w:rsidRPr="00BC4EE7">
              <w:rPr>
                <w:rFonts w:cs="Times New Roman"/>
                <w:noProof/>
              </w:rPr>
              <w:t>2024</w:t>
            </w:r>
          </w:p>
        </w:tc>
        <w:tc>
          <w:tcPr>
            <w:tcW w:w="4860" w:type="dxa"/>
            <w:shd w:val="clear" w:color="auto" w:fill="C6EFCE"/>
            <w:noWrap/>
          </w:tcPr>
          <w:p w14:paraId="4E0CC5DB" w14:textId="22176A94" w:rsidR="00D65CB4" w:rsidRPr="00BC4EE7" w:rsidRDefault="00572307">
            <w:pPr>
              <w:pStyle w:val="P68B1DB1-Normal12"/>
              <w:rPr>
                <w:rFonts w:cs="Times New Roman"/>
                <w:noProof/>
              </w:rPr>
            </w:pPr>
            <w:r w:rsidRPr="00BC4EE7">
              <w:rPr>
                <w:rFonts w:cs="Times New Roman"/>
                <w:noProof/>
              </w:rPr>
              <w:t>Az önkormányzatok, a regionális kormányzatok és a központi kormányzat beruházásainak befejezése a hozzáférhetőség javítása és az akadályok felszámolása érdekében, legalább 178 millió EUR összköltségvetéssel, amelynek a következőkre kell összpontosítania:</w:t>
            </w:r>
          </w:p>
          <w:p w14:paraId="5B0F5293" w14:textId="77777777" w:rsidR="00D65CB4" w:rsidRPr="00BC4EE7" w:rsidRDefault="00572307">
            <w:pPr>
              <w:pStyle w:val="P68B1DB1-Normal12"/>
              <w:numPr>
                <w:ilvl w:val="0"/>
                <w:numId w:val="633"/>
              </w:numPr>
              <w:spacing w:after="0" w:line="240" w:lineRule="auto"/>
              <w:contextualSpacing/>
              <w:rPr>
                <w:rFonts w:cs="Times New Roman"/>
                <w:noProof/>
              </w:rPr>
            </w:pPr>
            <w:r w:rsidRPr="00BC4EE7">
              <w:rPr>
                <w:rFonts w:cs="Times New Roman"/>
                <w:noProof/>
              </w:rPr>
              <w:t>a kognitív hozzáférhetőség javítása a hatóságokkal folytatott kommunikáció során (beleértve a weboldalakat is);</w:t>
            </w:r>
          </w:p>
          <w:p w14:paraId="75DFC071" w14:textId="77777777" w:rsidR="00D65CB4" w:rsidRPr="00BC4EE7" w:rsidRDefault="00572307">
            <w:pPr>
              <w:pStyle w:val="P68B1DB1-Normal12"/>
              <w:numPr>
                <w:ilvl w:val="0"/>
                <w:numId w:val="633"/>
              </w:numPr>
              <w:spacing w:after="0" w:line="240" w:lineRule="auto"/>
              <w:contextualSpacing/>
              <w:rPr>
                <w:rFonts w:cs="Times New Roman"/>
                <w:noProof/>
              </w:rPr>
            </w:pPr>
            <w:r w:rsidRPr="00BC4EE7">
              <w:rPr>
                <w:rFonts w:cs="Times New Roman"/>
                <w:noProof/>
              </w:rPr>
              <w:t>a középületekhez és a közterületekhez, többek között az egészségügyi szolgáltatásokhoz és az oktatási központokhoz való fizikai hozzáférés javítása;</w:t>
            </w:r>
          </w:p>
          <w:p w14:paraId="23E6B699" w14:textId="77777777" w:rsidR="00D65CB4" w:rsidRPr="00BC4EE7" w:rsidRDefault="00572307">
            <w:pPr>
              <w:pStyle w:val="P68B1DB1-Normal12"/>
              <w:numPr>
                <w:ilvl w:val="0"/>
                <w:numId w:val="633"/>
              </w:numPr>
              <w:spacing w:after="0" w:line="240" w:lineRule="auto"/>
              <w:contextualSpacing/>
              <w:rPr>
                <w:rFonts w:cs="Times New Roman"/>
                <w:noProof/>
              </w:rPr>
            </w:pPr>
            <w:r w:rsidRPr="00BC4EE7">
              <w:rPr>
                <w:rFonts w:cs="Times New Roman"/>
                <w:noProof/>
              </w:rPr>
              <w:t>a tömegközlekedéshez való hozzáférés javítása;</w:t>
            </w:r>
          </w:p>
          <w:p w14:paraId="12CD8D11" w14:textId="70F7083F" w:rsidR="00D65CB4" w:rsidRPr="00BC4EE7" w:rsidRDefault="00572307">
            <w:pPr>
              <w:pStyle w:val="P68B1DB1-Normal12"/>
              <w:numPr>
                <w:ilvl w:val="0"/>
                <w:numId w:val="633"/>
              </w:numPr>
              <w:spacing w:after="0" w:line="240" w:lineRule="auto"/>
              <w:contextualSpacing/>
              <w:rPr>
                <w:rFonts w:cs="Times New Roman"/>
                <w:noProof/>
              </w:rPr>
            </w:pPr>
            <w:r w:rsidRPr="00BC4EE7">
              <w:rPr>
                <w:rFonts w:cs="Times New Roman"/>
                <w:noProof/>
              </w:rPr>
              <w:t>adaptációs munkálatok végrehajtása és berendezések önkormányzatok általi beszerzése, különösen a vidéki területeken.</w:t>
            </w:r>
          </w:p>
          <w:p w14:paraId="6DAB4C20" w14:textId="50044070" w:rsidR="00D65CB4" w:rsidRPr="00BC4EE7" w:rsidRDefault="00572307">
            <w:pPr>
              <w:pStyle w:val="P68B1DB1-Normal12"/>
              <w:numPr>
                <w:ilvl w:val="0"/>
                <w:numId w:val="633"/>
              </w:numPr>
              <w:spacing w:after="0" w:line="240" w:lineRule="auto"/>
              <w:contextualSpacing/>
              <w:rPr>
                <w:rFonts w:cs="Times New Roman"/>
                <w:noProof/>
              </w:rPr>
            </w:pPr>
            <w:r w:rsidRPr="00BC4EE7">
              <w:rPr>
                <w:rFonts w:cs="Times New Roman"/>
                <w:noProof/>
              </w:rPr>
              <w:t>Kommunikációs és figyelemfelhívó kampányok,</w:t>
            </w:r>
          </w:p>
          <w:p w14:paraId="17A6A810" w14:textId="5D88BBD2" w:rsidR="00D65CB4" w:rsidRPr="00BC4EE7" w:rsidRDefault="00572307">
            <w:pPr>
              <w:pStyle w:val="P68B1DB1-Normal12"/>
              <w:numPr>
                <w:ilvl w:val="0"/>
                <w:numId w:val="633"/>
              </w:numPr>
              <w:spacing w:after="0" w:line="240" w:lineRule="auto"/>
              <w:contextualSpacing/>
              <w:rPr>
                <w:rFonts w:cs="Times New Roman"/>
                <w:noProof/>
              </w:rPr>
            </w:pPr>
            <w:r w:rsidRPr="00BC4EE7">
              <w:rPr>
                <w:rFonts w:cs="Times New Roman"/>
                <w:noProof/>
              </w:rPr>
              <w:t>K+F+I kutatási projektek a kognitív hozzáférhetőség területén.</w:t>
            </w:r>
          </w:p>
        </w:tc>
      </w:tr>
      <w:tr w:rsidR="00D65CB4" w:rsidRPr="00BC4EE7" w14:paraId="02D47B8A" w14:textId="77777777" w:rsidTr="00862B13">
        <w:trPr>
          <w:trHeight w:val="309"/>
        </w:trPr>
        <w:tc>
          <w:tcPr>
            <w:tcW w:w="709" w:type="dxa"/>
            <w:shd w:val="clear" w:color="auto" w:fill="C6EFCE"/>
            <w:noWrap/>
          </w:tcPr>
          <w:p w14:paraId="7F60B7F6" w14:textId="4090B231" w:rsidR="00D65CB4" w:rsidRPr="00BC4EE7" w:rsidRDefault="00572307">
            <w:pPr>
              <w:pStyle w:val="P68B1DB1-Normal12"/>
              <w:spacing w:after="0" w:line="240" w:lineRule="auto"/>
              <w:jc w:val="center"/>
              <w:rPr>
                <w:rFonts w:cs="Times New Roman"/>
                <w:noProof/>
              </w:rPr>
            </w:pPr>
            <w:r w:rsidRPr="00BC4EE7">
              <w:rPr>
                <w:rFonts w:cs="Times New Roman"/>
                <w:noProof/>
              </w:rPr>
              <w:t>473</w:t>
            </w:r>
          </w:p>
        </w:tc>
        <w:tc>
          <w:tcPr>
            <w:tcW w:w="993" w:type="dxa"/>
            <w:shd w:val="clear" w:color="auto" w:fill="C6EFCE"/>
            <w:noWrap/>
          </w:tcPr>
          <w:p w14:paraId="3C7E4AB5" w14:textId="0A10C876" w:rsidR="00D65CB4" w:rsidRPr="00BC4EE7" w:rsidRDefault="00572307">
            <w:pPr>
              <w:pStyle w:val="P68B1DB1-Normal12"/>
              <w:spacing w:after="0" w:line="240" w:lineRule="auto"/>
              <w:jc w:val="center"/>
              <w:rPr>
                <w:rFonts w:cs="Times New Roman"/>
                <w:noProof/>
              </w:rPr>
            </w:pPr>
            <w:r w:rsidRPr="00BC4EE7">
              <w:rPr>
                <w:rFonts w:cs="Times New Roman"/>
                <w:noProof/>
              </w:rPr>
              <w:t>C22.I4</w:t>
            </w:r>
          </w:p>
        </w:tc>
        <w:tc>
          <w:tcPr>
            <w:tcW w:w="992" w:type="dxa"/>
            <w:shd w:val="clear" w:color="auto" w:fill="C6EFCE"/>
            <w:noWrap/>
          </w:tcPr>
          <w:p w14:paraId="5404E2C9" w14:textId="40E7155C" w:rsidR="00D65CB4" w:rsidRPr="00BC4EE7" w:rsidRDefault="00572307">
            <w:pPr>
              <w:pStyle w:val="P68B1DB1-Normal12"/>
              <w:spacing w:after="0" w:line="240" w:lineRule="auto"/>
              <w:jc w:val="center"/>
              <w:rPr>
                <w:rFonts w:cs="Times New Roman"/>
                <w:noProof/>
              </w:rPr>
            </w:pPr>
            <w:r w:rsidRPr="00BC4EE7">
              <w:rPr>
                <w:rFonts w:cs="Times New Roman"/>
                <w:noProof/>
              </w:rPr>
              <w:t>M</w:t>
            </w:r>
          </w:p>
        </w:tc>
        <w:tc>
          <w:tcPr>
            <w:tcW w:w="2977" w:type="dxa"/>
            <w:shd w:val="clear" w:color="auto" w:fill="C6EFCE"/>
            <w:noWrap/>
          </w:tcPr>
          <w:p w14:paraId="5A7D1B79" w14:textId="777D9292" w:rsidR="00D65CB4" w:rsidRPr="00BC4EE7" w:rsidRDefault="00572307">
            <w:pPr>
              <w:pStyle w:val="P68B1DB1-Normal12"/>
              <w:spacing w:after="0" w:line="240" w:lineRule="auto"/>
              <w:rPr>
                <w:rFonts w:cs="Times New Roman"/>
                <w:noProof/>
              </w:rPr>
            </w:pPr>
            <w:r w:rsidRPr="00BC4EE7">
              <w:rPr>
                <w:rFonts w:cs="Times New Roman"/>
                <w:noProof/>
              </w:rPr>
              <w:t>Különböző típusú szolgáltatások létrehozása a szexuális erőszak áldozatai számára.</w:t>
            </w:r>
          </w:p>
        </w:tc>
        <w:tc>
          <w:tcPr>
            <w:tcW w:w="992" w:type="dxa"/>
            <w:shd w:val="clear" w:color="auto" w:fill="C6EFCE"/>
            <w:noWrap/>
          </w:tcPr>
          <w:p w14:paraId="0C93E4BA" w14:textId="1FF571E6" w:rsidR="00D65CB4" w:rsidRPr="00BC4EE7" w:rsidRDefault="00572307">
            <w:pPr>
              <w:pStyle w:val="P68B1DB1-Normal12"/>
              <w:spacing w:after="0" w:line="240" w:lineRule="auto"/>
              <w:jc w:val="center"/>
              <w:rPr>
                <w:rFonts w:cs="Times New Roman"/>
                <w:noProof/>
              </w:rPr>
            </w:pPr>
            <w:r w:rsidRPr="00BC4EE7">
              <w:rPr>
                <w:rFonts w:cs="Times New Roman"/>
                <w:noProof/>
              </w:rPr>
              <w:t>A jogszabályok hatálybalépése</w:t>
            </w:r>
          </w:p>
        </w:tc>
        <w:tc>
          <w:tcPr>
            <w:tcW w:w="850" w:type="dxa"/>
            <w:shd w:val="clear" w:color="auto" w:fill="C6EFCE"/>
            <w:noWrap/>
          </w:tcPr>
          <w:p w14:paraId="20BA5909" w14:textId="77777777" w:rsidR="00D65CB4" w:rsidRPr="00BC4EE7" w:rsidRDefault="00D65CB4">
            <w:pPr>
              <w:spacing w:after="0" w:line="240" w:lineRule="auto"/>
              <w:jc w:val="center"/>
              <w:rPr>
                <w:rFonts w:ascii="Times New Roman" w:hAnsi="Times New Roman" w:cs="Times New Roman"/>
                <w:noProof/>
                <w:sz w:val="18"/>
              </w:rPr>
            </w:pPr>
          </w:p>
        </w:tc>
        <w:tc>
          <w:tcPr>
            <w:tcW w:w="851" w:type="dxa"/>
            <w:shd w:val="clear" w:color="auto" w:fill="C6EFCE"/>
            <w:noWrap/>
          </w:tcPr>
          <w:p w14:paraId="27F68138" w14:textId="77777777" w:rsidR="00D65CB4" w:rsidRPr="00BC4EE7" w:rsidRDefault="00D65CB4">
            <w:pPr>
              <w:spacing w:after="0" w:line="240" w:lineRule="auto"/>
              <w:jc w:val="right"/>
              <w:rPr>
                <w:rFonts w:ascii="Times New Roman" w:hAnsi="Times New Roman" w:cs="Times New Roman"/>
                <w:noProof/>
                <w:sz w:val="18"/>
              </w:rPr>
            </w:pPr>
          </w:p>
        </w:tc>
        <w:tc>
          <w:tcPr>
            <w:tcW w:w="709" w:type="dxa"/>
            <w:shd w:val="clear" w:color="auto" w:fill="C6EFCE"/>
            <w:noWrap/>
          </w:tcPr>
          <w:p w14:paraId="36C7F7BE" w14:textId="77777777" w:rsidR="00D65CB4" w:rsidRPr="00BC4EE7" w:rsidRDefault="00D65CB4">
            <w:pPr>
              <w:spacing w:after="0" w:line="240" w:lineRule="auto"/>
              <w:jc w:val="center"/>
              <w:rPr>
                <w:rFonts w:ascii="Times New Roman" w:hAnsi="Times New Roman" w:cs="Times New Roman"/>
                <w:noProof/>
                <w:sz w:val="18"/>
              </w:rPr>
            </w:pPr>
          </w:p>
        </w:tc>
        <w:tc>
          <w:tcPr>
            <w:tcW w:w="567" w:type="dxa"/>
            <w:shd w:val="clear" w:color="auto" w:fill="C6EFCE"/>
            <w:noWrap/>
          </w:tcPr>
          <w:p w14:paraId="307808EB" w14:textId="261F3D21" w:rsidR="00D65CB4" w:rsidRPr="00BC4EE7" w:rsidRDefault="00572307">
            <w:pPr>
              <w:pStyle w:val="P68B1DB1-Normal12"/>
              <w:spacing w:after="0" w:line="240" w:lineRule="auto"/>
              <w:jc w:val="center"/>
              <w:rPr>
                <w:rFonts w:cs="Times New Roman"/>
                <w:noProof/>
              </w:rPr>
            </w:pPr>
            <w:r w:rsidRPr="00BC4EE7">
              <w:rPr>
                <w:rFonts w:cs="Times New Roman"/>
                <w:noProof/>
              </w:rPr>
              <w:t>Q1</w:t>
            </w:r>
          </w:p>
        </w:tc>
        <w:tc>
          <w:tcPr>
            <w:tcW w:w="810" w:type="dxa"/>
            <w:shd w:val="clear" w:color="auto" w:fill="C6EFCE"/>
            <w:noWrap/>
          </w:tcPr>
          <w:p w14:paraId="07FAF17F" w14:textId="1778D3C9" w:rsidR="00D65CB4" w:rsidRPr="00BC4EE7" w:rsidRDefault="00572307">
            <w:pPr>
              <w:pStyle w:val="P68B1DB1-Normal12"/>
              <w:spacing w:after="0" w:line="240" w:lineRule="auto"/>
              <w:jc w:val="center"/>
              <w:rPr>
                <w:rFonts w:cs="Times New Roman"/>
                <w:noProof/>
              </w:rPr>
            </w:pPr>
            <w:r w:rsidRPr="00BC4EE7">
              <w:rPr>
                <w:rFonts w:cs="Times New Roman"/>
                <w:noProof/>
              </w:rPr>
              <w:t>2023</w:t>
            </w:r>
          </w:p>
        </w:tc>
        <w:tc>
          <w:tcPr>
            <w:tcW w:w="4860" w:type="dxa"/>
            <w:shd w:val="clear" w:color="auto" w:fill="C6EFCE"/>
            <w:noWrap/>
          </w:tcPr>
          <w:p w14:paraId="410F4B9C" w14:textId="001E2D21" w:rsidR="00D65CB4" w:rsidRPr="00BC4EE7" w:rsidRDefault="00572307">
            <w:pPr>
              <w:pStyle w:val="P68B1DB1-Normal12"/>
              <w:rPr>
                <w:rFonts w:cs="Times New Roman"/>
                <w:noProof/>
              </w:rPr>
            </w:pPr>
            <w:r w:rsidRPr="00BC4EE7">
              <w:rPr>
                <w:rFonts w:cs="Times New Roman"/>
                <w:noProof/>
              </w:rPr>
              <w:t>A szexuális erőszak áldozatai számára új szociális és foglalkoztatási tanácsadó szolgálat létrehozásáról szóló jogszabály hatálybalépése, amely különböző típusú szolgáltatásokat nyújt, ideértve a jogi tanácsadást, a pszichológiai és érzelmi támogatást, valamint a munkaerőpiaci integrációhoz nyújtott segítséget.</w:t>
            </w:r>
          </w:p>
        </w:tc>
      </w:tr>
      <w:tr w:rsidR="00D65CB4" w:rsidRPr="00BC4EE7" w14:paraId="247C6EA5" w14:textId="77777777" w:rsidTr="00862B13">
        <w:trPr>
          <w:trHeight w:val="309"/>
        </w:trPr>
        <w:tc>
          <w:tcPr>
            <w:tcW w:w="709" w:type="dxa"/>
            <w:shd w:val="clear" w:color="auto" w:fill="C6EFCE"/>
            <w:noWrap/>
          </w:tcPr>
          <w:p w14:paraId="480918FD" w14:textId="6F4DAF9F" w:rsidR="00D65CB4" w:rsidRPr="00BC4EE7" w:rsidRDefault="00572307">
            <w:pPr>
              <w:pStyle w:val="P68B1DB1-Normal12"/>
              <w:spacing w:after="0" w:line="240" w:lineRule="auto"/>
              <w:jc w:val="center"/>
              <w:rPr>
                <w:rFonts w:cs="Times New Roman"/>
                <w:noProof/>
              </w:rPr>
            </w:pPr>
            <w:r w:rsidRPr="00BC4EE7">
              <w:rPr>
                <w:rFonts w:cs="Times New Roman"/>
                <w:noProof/>
              </w:rPr>
              <w:t>472</w:t>
            </w:r>
          </w:p>
        </w:tc>
        <w:tc>
          <w:tcPr>
            <w:tcW w:w="993" w:type="dxa"/>
            <w:shd w:val="clear" w:color="auto" w:fill="C6EFCE"/>
            <w:noWrap/>
          </w:tcPr>
          <w:p w14:paraId="20107D1A"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C22.I4</w:t>
            </w:r>
          </w:p>
        </w:tc>
        <w:tc>
          <w:tcPr>
            <w:tcW w:w="992" w:type="dxa"/>
            <w:shd w:val="clear" w:color="auto" w:fill="C6EFCE"/>
            <w:noWrap/>
          </w:tcPr>
          <w:p w14:paraId="339C0418" w14:textId="65A7BFD2" w:rsidR="00D65CB4" w:rsidRPr="00BC4EE7" w:rsidRDefault="00572307">
            <w:pPr>
              <w:pStyle w:val="P68B1DB1-Normal12"/>
              <w:spacing w:after="0" w:line="240" w:lineRule="auto"/>
              <w:jc w:val="center"/>
              <w:rPr>
                <w:rFonts w:cs="Times New Roman"/>
                <w:noProof/>
              </w:rPr>
            </w:pPr>
            <w:r w:rsidRPr="00BC4EE7">
              <w:rPr>
                <w:rFonts w:cs="Times New Roman"/>
                <w:noProof/>
              </w:rPr>
              <w:t>M</w:t>
            </w:r>
          </w:p>
        </w:tc>
        <w:tc>
          <w:tcPr>
            <w:tcW w:w="2977" w:type="dxa"/>
            <w:shd w:val="clear" w:color="auto" w:fill="C6EFCE"/>
            <w:noWrap/>
          </w:tcPr>
          <w:p w14:paraId="0355E8A9" w14:textId="0CABE7C4" w:rsidR="00D65CB4" w:rsidRPr="00BC4EE7" w:rsidRDefault="00572307">
            <w:pPr>
              <w:pStyle w:val="P68B1DB1-Normal12"/>
              <w:spacing w:after="0" w:line="240" w:lineRule="auto"/>
              <w:rPr>
                <w:rFonts w:cs="Times New Roman"/>
                <w:noProof/>
              </w:rPr>
            </w:pPr>
            <w:r w:rsidRPr="00BC4EE7">
              <w:rPr>
                <w:rFonts w:cs="Times New Roman"/>
                <w:noProof/>
              </w:rPr>
              <w:t>Beruházások telefonszolgáltatásokba és online szolgáltatásokba a nők elleni erőszak áldozatainak támogatása érdekében</w:t>
            </w:r>
          </w:p>
        </w:tc>
        <w:tc>
          <w:tcPr>
            <w:tcW w:w="992" w:type="dxa"/>
            <w:shd w:val="clear" w:color="auto" w:fill="C6EFCE"/>
            <w:noWrap/>
          </w:tcPr>
          <w:p w14:paraId="11CB4A01" w14:textId="77777777" w:rsidR="00D65CB4" w:rsidRPr="00BC4EE7" w:rsidRDefault="00D65CB4">
            <w:pPr>
              <w:spacing w:after="0" w:line="240" w:lineRule="auto"/>
              <w:jc w:val="center"/>
              <w:rPr>
                <w:rFonts w:ascii="Times New Roman" w:hAnsi="Times New Roman" w:cs="Times New Roman"/>
                <w:noProof/>
                <w:sz w:val="18"/>
              </w:rPr>
            </w:pPr>
          </w:p>
        </w:tc>
        <w:tc>
          <w:tcPr>
            <w:tcW w:w="850" w:type="dxa"/>
            <w:shd w:val="clear" w:color="auto" w:fill="C6EFCE"/>
            <w:noWrap/>
          </w:tcPr>
          <w:p w14:paraId="3EE2BB17" w14:textId="4360516B" w:rsidR="00D65CB4" w:rsidRPr="00BC4EE7" w:rsidRDefault="00D65CB4">
            <w:pPr>
              <w:spacing w:after="0" w:line="240" w:lineRule="auto"/>
              <w:jc w:val="center"/>
              <w:rPr>
                <w:rFonts w:ascii="Times New Roman" w:hAnsi="Times New Roman" w:cs="Times New Roman"/>
                <w:noProof/>
                <w:sz w:val="18"/>
              </w:rPr>
            </w:pPr>
          </w:p>
        </w:tc>
        <w:tc>
          <w:tcPr>
            <w:tcW w:w="851" w:type="dxa"/>
            <w:shd w:val="clear" w:color="auto" w:fill="C6EFCE"/>
            <w:noWrap/>
          </w:tcPr>
          <w:p w14:paraId="1B303A13" w14:textId="2F906B70" w:rsidR="00D65CB4" w:rsidRPr="00BC4EE7" w:rsidRDefault="00D65CB4">
            <w:pPr>
              <w:spacing w:after="0" w:line="240" w:lineRule="auto"/>
              <w:jc w:val="right"/>
              <w:rPr>
                <w:rFonts w:ascii="Times New Roman" w:hAnsi="Times New Roman" w:cs="Times New Roman"/>
                <w:noProof/>
                <w:sz w:val="18"/>
              </w:rPr>
            </w:pPr>
          </w:p>
        </w:tc>
        <w:tc>
          <w:tcPr>
            <w:tcW w:w="709" w:type="dxa"/>
            <w:shd w:val="clear" w:color="auto" w:fill="C6EFCE"/>
            <w:noWrap/>
          </w:tcPr>
          <w:p w14:paraId="2430A0C7" w14:textId="24996925" w:rsidR="00D65CB4" w:rsidRPr="00BC4EE7" w:rsidRDefault="00572307">
            <w:pPr>
              <w:pStyle w:val="P68B1DB1-Normal12"/>
              <w:spacing w:after="0" w:line="240" w:lineRule="auto"/>
              <w:jc w:val="center"/>
              <w:rPr>
                <w:rFonts w:cs="Times New Roman"/>
                <w:noProof/>
              </w:rPr>
            </w:pPr>
            <w:r w:rsidRPr="00BC4EE7">
              <w:rPr>
                <w:rFonts w:cs="Times New Roman"/>
                <w:noProof/>
              </w:rPr>
              <w:t xml:space="preserve"> </w:t>
            </w:r>
          </w:p>
        </w:tc>
        <w:tc>
          <w:tcPr>
            <w:tcW w:w="567" w:type="dxa"/>
            <w:shd w:val="clear" w:color="auto" w:fill="C6EFCE"/>
            <w:noWrap/>
          </w:tcPr>
          <w:p w14:paraId="7894BCC5" w14:textId="7C8419F6"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810" w:type="dxa"/>
            <w:shd w:val="clear" w:color="auto" w:fill="C6EFCE"/>
            <w:noWrap/>
          </w:tcPr>
          <w:p w14:paraId="7D1AC088" w14:textId="72E4F03E" w:rsidR="00D65CB4" w:rsidRPr="00BC4EE7" w:rsidRDefault="00572307">
            <w:pPr>
              <w:pStyle w:val="P68B1DB1-Normal12"/>
              <w:spacing w:after="0" w:line="240" w:lineRule="auto"/>
              <w:jc w:val="center"/>
              <w:rPr>
                <w:rFonts w:cs="Times New Roman"/>
                <w:noProof/>
              </w:rPr>
            </w:pPr>
            <w:r w:rsidRPr="00BC4EE7">
              <w:rPr>
                <w:rFonts w:cs="Times New Roman"/>
                <w:noProof/>
              </w:rPr>
              <w:t>2025</w:t>
            </w:r>
          </w:p>
        </w:tc>
        <w:tc>
          <w:tcPr>
            <w:tcW w:w="4860" w:type="dxa"/>
            <w:shd w:val="clear" w:color="auto" w:fill="C6EFCE"/>
            <w:noWrap/>
          </w:tcPr>
          <w:p w14:paraId="06592210" w14:textId="48D7211D" w:rsidR="00D65CB4" w:rsidRPr="00BC4EE7" w:rsidRDefault="00572307">
            <w:pPr>
              <w:pStyle w:val="P68B1DB1-Normal12"/>
              <w:spacing w:after="0" w:line="240" w:lineRule="auto"/>
              <w:jc w:val="both"/>
              <w:rPr>
                <w:rFonts w:cs="Times New Roman"/>
                <w:noProof/>
              </w:rPr>
            </w:pPr>
            <w:r w:rsidRPr="00BC4EE7">
              <w:rPr>
                <w:rFonts w:cs="Times New Roman"/>
                <w:noProof/>
              </w:rPr>
              <w:t xml:space="preserve">Legalább 30.000 távolságmérő eszköz, új alkalmazás az áldozatok számára, valamint egy új nagy adathalmazokkal és mesterséges intelligenciával foglalkozó platform biztosítása a nők elleni erőszak áldozatainak támogatására, beleértve az emberkereskedelem és a szexuális kizsákmányolás áldozatait is. Az alaphelyzet időpontja: 2020. február 1. </w:t>
            </w:r>
          </w:p>
        </w:tc>
      </w:tr>
      <w:tr w:rsidR="00D65CB4" w:rsidRPr="00BC4EE7" w14:paraId="6D94727D" w14:textId="77777777" w:rsidTr="00862B13">
        <w:trPr>
          <w:trHeight w:val="309"/>
        </w:trPr>
        <w:tc>
          <w:tcPr>
            <w:tcW w:w="709" w:type="dxa"/>
            <w:shd w:val="clear" w:color="auto" w:fill="C6EFCE"/>
            <w:noWrap/>
          </w:tcPr>
          <w:p w14:paraId="54AD7792" w14:textId="49F5FF86" w:rsidR="00D65CB4" w:rsidRPr="00BC4EE7" w:rsidRDefault="00572307">
            <w:pPr>
              <w:pStyle w:val="P68B1DB1-Normal12"/>
              <w:spacing w:after="0" w:line="240" w:lineRule="auto"/>
              <w:jc w:val="center"/>
              <w:rPr>
                <w:rFonts w:cs="Times New Roman"/>
                <w:noProof/>
              </w:rPr>
            </w:pPr>
            <w:r w:rsidRPr="00BC4EE7">
              <w:rPr>
                <w:rFonts w:cs="Times New Roman"/>
                <w:noProof/>
              </w:rPr>
              <w:t>327</w:t>
            </w:r>
          </w:p>
        </w:tc>
        <w:tc>
          <w:tcPr>
            <w:tcW w:w="993" w:type="dxa"/>
            <w:shd w:val="clear" w:color="auto" w:fill="C6EFCE"/>
            <w:noWrap/>
          </w:tcPr>
          <w:p w14:paraId="1DD10EC2" w14:textId="7D588441" w:rsidR="00D65CB4" w:rsidRPr="00BC4EE7" w:rsidRDefault="00572307">
            <w:pPr>
              <w:pStyle w:val="P68B1DB1-Normal12"/>
              <w:spacing w:after="0" w:line="240" w:lineRule="auto"/>
              <w:jc w:val="center"/>
              <w:rPr>
                <w:rFonts w:cs="Times New Roman"/>
                <w:noProof/>
              </w:rPr>
            </w:pPr>
            <w:r w:rsidRPr="00BC4EE7">
              <w:rPr>
                <w:rFonts w:cs="Times New Roman"/>
                <w:noProof/>
              </w:rPr>
              <w:t>C22.I4</w:t>
            </w:r>
          </w:p>
        </w:tc>
        <w:tc>
          <w:tcPr>
            <w:tcW w:w="992" w:type="dxa"/>
            <w:shd w:val="clear" w:color="auto" w:fill="C6EFCE"/>
            <w:noWrap/>
          </w:tcPr>
          <w:p w14:paraId="782FDF79" w14:textId="47D6A3E1"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2977" w:type="dxa"/>
            <w:shd w:val="clear" w:color="auto" w:fill="C6EFCE"/>
            <w:noWrap/>
          </w:tcPr>
          <w:p w14:paraId="5F9D0B3C" w14:textId="1059C8BB" w:rsidR="00D65CB4" w:rsidRPr="00BC4EE7" w:rsidRDefault="00572307">
            <w:pPr>
              <w:pStyle w:val="P68B1DB1-Normal12"/>
              <w:spacing w:after="0" w:line="240" w:lineRule="auto"/>
              <w:rPr>
                <w:rFonts w:cs="Times New Roman"/>
                <w:noProof/>
              </w:rPr>
            </w:pPr>
            <w:r w:rsidRPr="00BC4EE7">
              <w:rPr>
                <w:rFonts w:cs="Times New Roman"/>
                <w:noProof/>
              </w:rPr>
              <w:t>A szexuális erőszak áldozatainak központjai.</w:t>
            </w:r>
          </w:p>
        </w:tc>
        <w:tc>
          <w:tcPr>
            <w:tcW w:w="992" w:type="dxa"/>
            <w:shd w:val="clear" w:color="auto" w:fill="C6EFCE"/>
            <w:noWrap/>
          </w:tcPr>
          <w:p w14:paraId="26C4D464" w14:textId="5F76672D" w:rsidR="00D65CB4" w:rsidRPr="00BC4EE7" w:rsidRDefault="00572307">
            <w:pPr>
              <w:pStyle w:val="P68B1DB1-Normal12"/>
              <w:spacing w:after="0" w:line="240" w:lineRule="auto"/>
              <w:jc w:val="center"/>
              <w:rPr>
                <w:rFonts w:cs="Times New Roman"/>
                <w:noProof/>
              </w:rPr>
            </w:pPr>
            <w:r w:rsidRPr="00BC4EE7">
              <w:rPr>
                <w:rFonts w:cs="Times New Roman"/>
                <w:noProof/>
              </w:rPr>
              <w:t xml:space="preserve"> </w:t>
            </w:r>
          </w:p>
        </w:tc>
        <w:tc>
          <w:tcPr>
            <w:tcW w:w="850" w:type="dxa"/>
            <w:shd w:val="clear" w:color="auto" w:fill="C6EFCE"/>
            <w:noWrap/>
          </w:tcPr>
          <w:p w14:paraId="6814C0C4" w14:textId="5C6120DB" w:rsidR="00D65CB4" w:rsidRPr="00BC4EE7" w:rsidRDefault="00572307">
            <w:pPr>
              <w:pStyle w:val="P68B1DB1-Normal12"/>
              <w:spacing w:after="0" w:line="240" w:lineRule="auto"/>
              <w:jc w:val="center"/>
              <w:rPr>
                <w:rFonts w:cs="Times New Roman"/>
                <w:noProof/>
              </w:rPr>
            </w:pPr>
            <w:r w:rsidRPr="00BC4EE7">
              <w:rPr>
                <w:rFonts w:cs="Times New Roman"/>
                <w:noProof/>
              </w:rPr>
              <w:t>Szám</w:t>
            </w:r>
          </w:p>
        </w:tc>
        <w:tc>
          <w:tcPr>
            <w:tcW w:w="851" w:type="dxa"/>
            <w:shd w:val="clear" w:color="auto" w:fill="C6EFCE"/>
            <w:noWrap/>
          </w:tcPr>
          <w:p w14:paraId="7F340122" w14:textId="153666E6" w:rsidR="00D65CB4" w:rsidRPr="00BC4EE7" w:rsidRDefault="00572307">
            <w:pPr>
              <w:pStyle w:val="P68B1DB1-Normal12"/>
              <w:spacing w:after="0" w:line="240" w:lineRule="auto"/>
              <w:jc w:val="right"/>
              <w:rPr>
                <w:rFonts w:cs="Times New Roman"/>
                <w:noProof/>
              </w:rPr>
            </w:pPr>
            <w:r w:rsidRPr="00BC4EE7">
              <w:rPr>
                <w:rFonts w:cs="Times New Roman"/>
                <w:noProof/>
              </w:rPr>
              <w:t>19</w:t>
            </w:r>
          </w:p>
        </w:tc>
        <w:tc>
          <w:tcPr>
            <w:tcW w:w="709" w:type="dxa"/>
            <w:shd w:val="clear" w:color="auto" w:fill="C6EFCE"/>
            <w:noWrap/>
          </w:tcPr>
          <w:p w14:paraId="091C5EB4" w14:textId="63164A43" w:rsidR="00D65CB4" w:rsidRPr="00BC4EE7" w:rsidRDefault="00572307">
            <w:pPr>
              <w:pStyle w:val="P68B1DB1-Normal12"/>
              <w:spacing w:after="0" w:line="240" w:lineRule="auto"/>
              <w:jc w:val="center"/>
              <w:rPr>
                <w:rFonts w:cs="Times New Roman"/>
                <w:noProof/>
              </w:rPr>
            </w:pPr>
            <w:r w:rsidRPr="00BC4EE7">
              <w:rPr>
                <w:rFonts w:cs="Times New Roman"/>
                <w:noProof/>
              </w:rPr>
              <w:t>52</w:t>
            </w:r>
          </w:p>
        </w:tc>
        <w:tc>
          <w:tcPr>
            <w:tcW w:w="567" w:type="dxa"/>
            <w:shd w:val="clear" w:color="auto" w:fill="C6EFCE"/>
            <w:noWrap/>
          </w:tcPr>
          <w:p w14:paraId="2069E1DB" w14:textId="692BDBD5"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810" w:type="dxa"/>
            <w:shd w:val="clear" w:color="auto" w:fill="C6EFCE"/>
            <w:noWrap/>
          </w:tcPr>
          <w:p w14:paraId="190A4675" w14:textId="529D5F02" w:rsidR="00D65CB4" w:rsidRPr="00BC4EE7" w:rsidRDefault="00572307">
            <w:pPr>
              <w:pStyle w:val="P68B1DB1-Normal12"/>
              <w:spacing w:after="0" w:line="240" w:lineRule="auto"/>
              <w:jc w:val="center"/>
              <w:rPr>
                <w:rFonts w:cs="Times New Roman"/>
                <w:noProof/>
              </w:rPr>
            </w:pPr>
            <w:r w:rsidRPr="00BC4EE7">
              <w:rPr>
                <w:rFonts w:cs="Times New Roman"/>
                <w:noProof/>
              </w:rPr>
              <w:t>2024</w:t>
            </w:r>
          </w:p>
        </w:tc>
        <w:tc>
          <w:tcPr>
            <w:tcW w:w="4860" w:type="dxa"/>
            <w:shd w:val="clear" w:color="auto" w:fill="C6EFCE"/>
            <w:noWrap/>
          </w:tcPr>
          <w:p w14:paraId="3A3DBD50" w14:textId="7A52A764" w:rsidR="00D65CB4" w:rsidRPr="00BC4EE7" w:rsidRDefault="00572307">
            <w:pPr>
              <w:pStyle w:val="P68B1DB1-Normal12"/>
              <w:spacing w:after="0" w:line="240" w:lineRule="auto"/>
              <w:rPr>
                <w:rFonts w:cs="Times New Roman"/>
                <w:noProof/>
              </w:rPr>
            </w:pPr>
            <w:r w:rsidRPr="00BC4EE7">
              <w:rPr>
                <w:rFonts w:cs="Times New Roman"/>
                <w:noProof/>
              </w:rPr>
              <w:t>Tartományonként legalább egy átfogó gondozási központ működik a szexuális erőszak áldozatai számára, valamint egy a spanyol autonóm városban, Ceuta és Melilla városában. Az alaphelyzet időpontja: 2020. február 1.</w:t>
            </w:r>
          </w:p>
        </w:tc>
      </w:tr>
      <w:tr w:rsidR="00D65CB4" w:rsidRPr="00BC4EE7" w14:paraId="2D552F17" w14:textId="77777777" w:rsidTr="00862B13">
        <w:trPr>
          <w:trHeight w:val="309"/>
        </w:trPr>
        <w:tc>
          <w:tcPr>
            <w:tcW w:w="709" w:type="dxa"/>
            <w:shd w:val="clear" w:color="auto" w:fill="C6EFCE"/>
            <w:noWrap/>
          </w:tcPr>
          <w:p w14:paraId="72F909BD"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328</w:t>
            </w:r>
          </w:p>
        </w:tc>
        <w:tc>
          <w:tcPr>
            <w:tcW w:w="993" w:type="dxa"/>
            <w:shd w:val="clear" w:color="auto" w:fill="C6EFCE"/>
            <w:noWrap/>
          </w:tcPr>
          <w:p w14:paraId="56F779E4"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C22.I5</w:t>
            </w:r>
          </w:p>
        </w:tc>
        <w:tc>
          <w:tcPr>
            <w:tcW w:w="992" w:type="dxa"/>
            <w:shd w:val="clear" w:color="auto" w:fill="C6EFCE"/>
            <w:noWrap/>
          </w:tcPr>
          <w:p w14:paraId="6F0BFEC2"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2977" w:type="dxa"/>
            <w:shd w:val="clear" w:color="auto" w:fill="C6EFCE"/>
            <w:noWrap/>
          </w:tcPr>
          <w:p w14:paraId="3A395E00" w14:textId="77777777" w:rsidR="00D65CB4" w:rsidRPr="00BC4EE7" w:rsidRDefault="00572307">
            <w:pPr>
              <w:pStyle w:val="P68B1DB1-Normal12"/>
              <w:spacing w:after="0" w:line="240" w:lineRule="auto"/>
              <w:rPr>
                <w:rFonts w:cs="Times New Roman"/>
                <w:noProof/>
              </w:rPr>
            </w:pPr>
            <w:r w:rsidRPr="00BC4EE7">
              <w:rPr>
                <w:rFonts w:cs="Times New Roman"/>
                <w:noProof/>
              </w:rPr>
              <w:t xml:space="preserve">A migránsok és a nemzetközi védelmet kérelmezők befogadási rendszerének kapacitása </w:t>
            </w:r>
          </w:p>
        </w:tc>
        <w:tc>
          <w:tcPr>
            <w:tcW w:w="992" w:type="dxa"/>
            <w:shd w:val="clear" w:color="auto" w:fill="C6EFCE"/>
            <w:noWrap/>
          </w:tcPr>
          <w:p w14:paraId="45D7F3DA"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 xml:space="preserve"> </w:t>
            </w:r>
          </w:p>
        </w:tc>
        <w:tc>
          <w:tcPr>
            <w:tcW w:w="850" w:type="dxa"/>
            <w:shd w:val="clear" w:color="auto" w:fill="C6EFCE"/>
            <w:noWrap/>
          </w:tcPr>
          <w:p w14:paraId="08B2C179"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Szám</w:t>
            </w:r>
          </w:p>
        </w:tc>
        <w:tc>
          <w:tcPr>
            <w:tcW w:w="851" w:type="dxa"/>
            <w:shd w:val="clear" w:color="auto" w:fill="C6EFCE"/>
            <w:noWrap/>
          </w:tcPr>
          <w:p w14:paraId="4CB4F92D"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400</w:t>
            </w:r>
          </w:p>
        </w:tc>
        <w:tc>
          <w:tcPr>
            <w:tcW w:w="709" w:type="dxa"/>
            <w:shd w:val="clear" w:color="auto" w:fill="C6EFCE"/>
            <w:noWrap/>
          </w:tcPr>
          <w:p w14:paraId="55C8125B"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6 100</w:t>
            </w:r>
          </w:p>
        </w:tc>
        <w:tc>
          <w:tcPr>
            <w:tcW w:w="567" w:type="dxa"/>
            <w:shd w:val="clear" w:color="auto" w:fill="C6EFCE"/>
            <w:noWrap/>
          </w:tcPr>
          <w:p w14:paraId="7775132F" w14:textId="79873534"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810" w:type="dxa"/>
            <w:shd w:val="clear" w:color="auto" w:fill="C6EFCE"/>
            <w:noWrap/>
          </w:tcPr>
          <w:p w14:paraId="616DE204" w14:textId="5311080C" w:rsidR="00D65CB4" w:rsidRPr="00BC4EE7" w:rsidRDefault="00572307">
            <w:pPr>
              <w:pStyle w:val="P68B1DB1-Normal12"/>
              <w:spacing w:after="0" w:line="240" w:lineRule="auto"/>
              <w:jc w:val="center"/>
              <w:rPr>
                <w:rFonts w:cs="Times New Roman"/>
                <w:noProof/>
              </w:rPr>
            </w:pPr>
            <w:r w:rsidRPr="00BC4EE7">
              <w:rPr>
                <w:rFonts w:cs="Times New Roman"/>
                <w:noProof/>
              </w:rPr>
              <w:t>2026</w:t>
            </w:r>
          </w:p>
        </w:tc>
        <w:tc>
          <w:tcPr>
            <w:tcW w:w="4860" w:type="dxa"/>
            <w:shd w:val="clear" w:color="auto" w:fill="C6EFCE"/>
            <w:noWrap/>
          </w:tcPr>
          <w:p w14:paraId="4F849BAE" w14:textId="77777777" w:rsidR="00D65CB4" w:rsidRPr="00BC4EE7" w:rsidRDefault="00572307">
            <w:pPr>
              <w:pStyle w:val="P68B1DB1-Normal12"/>
              <w:spacing w:after="0" w:line="240" w:lineRule="auto"/>
              <w:rPr>
                <w:rFonts w:cs="Times New Roman"/>
                <w:noProof/>
              </w:rPr>
            </w:pPr>
            <w:r w:rsidRPr="00BC4EE7">
              <w:rPr>
                <w:rFonts w:cs="Times New Roman"/>
                <w:noProof/>
              </w:rPr>
              <w:t>2019-hez képest legalább 5700 férőhellyel növelje a befogadásért, a szociális biztonságért és a migrációért felelős minisztérium központjaiban a nemzetközi védelmet kérelmezők befogadási rendszerének befogadási kapacitását. Legalább 176 000 000 EUR-t épületek építésére és felújítására fordítanak, ami biztosítja az energiahatékonyságot. Az alapforgatókönyv időpontja: 2019. december 31.</w:t>
            </w:r>
          </w:p>
        </w:tc>
      </w:tr>
    </w:tbl>
    <w:p w14:paraId="37FC46C5" w14:textId="77777777" w:rsidR="00D65CB4" w:rsidRPr="00BC4EE7" w:rsidRDefault="00D65CB4">
      <w:pPr>
        <w:spacing w:before="120" w:after="120" w:line="240" w:lineRule="auto"/>
        <w:ind w:left="709"/>
        <w:jc w:val="both"/>
        <w:rPr>
          <w:rFonts w:ascii="Times New Roman" w:hAnsi="Times New Roman" w:cs="Times New Roman"/>
          <w:noProof/>
          <w:sz w:val="24"/>
        </w:rPr>
        <w:sectPr w:rsidR="00D65CB4" w:rsidRPr="00BC4EE7" w:rsidSect="00B511EF">
          <w:headerReference w:type="even" r:id="rId448"/>
          <w:headerReference w:type="default" r:id="rId449"/>
          <w:footerReference w:type="even" r:id="rId450"/>
          <w:footerReference w:type="default" r:id="rId451"/>
          <w:headerReference w:type="first" r:id="rId452"/>
          <w:footerReference w:type="first" r:id="rId453"/>
          <w:pgSz w:w="16839" w:h="11907" w:orient="landscape"/>
          <w:pgMar w:top="1134" w:right="1134" w:bottom="1134" w:left="1134" w:header="567" w:footer="567" w:gutter="0"/>
          <w:cols w:space="720"/>
          <w:docGrid w:linePitch="360"/>
        </w:sectPr>
      </w:pPr>
    </w:p>
    <w:p w14:paraId="2FE65CC7" w14:textId="7A1D4C05" w:rsidR="00D65CB4" w:rsidRPr="00BC4EE7" w:rsidRDefault="00572307">
      <w:pPr>
        <w:pStyle w:val="Text1"/>
        <w:ind w:left="709"/>
        <w:rPr>
          <w:rFonts w:ascii="Times New Roman" w:hAnsi="Times New Roman" w:cs="Times New Roman"/>
          <w:b/>
          <w:noProof/>
          <w:u w:val="single"/>
        </w:rPr>
      </w:pPr>
      <w:r w:rsidRPr="00BC4EE7">
        <w:rPr>
          <w:rFonts w:ascii="Times New Roman" w:hAnsi="Times New Roman" w:cs="Times New Roman"/>
          <w:b/>
          <w:noProof/>
          <w:u w:val="single"/>
        </w:rPr>
        <w:t xml:space="preserve">V.3. </w:t>
      </w:r>
      <w:r w:rsidRPr="00BC4EE7">
        <w:rPr>
          <w:rFonts w:ascii="Times New Roman" w:hAnsi="Times New Roman" w:cs="Times New Roman"/>
          <w:noProof/>
        </w:rPr>
        <w:t xml:space="preserve"> </w:t>
      </w:r>
      <w:r w:rsidRPr="00BC4EE7">
        <w:rPr>
          <w:rFonts w:ascii="Times New Roman" w:hAnsi="Times New Roman" w:cs="Times New Roman"/>
          <w:b/>
          <w:noProof/>
          <w:u w:val="single"/>
        </w:rPr>
        <w:t>A hiteltámogatást célzó reformok és beruházások ismertetése</w:t>
      </w:r>
    </w:p>
    <w:p w14:paraId="1E18E23A" w14:textId="55FBC13B" w:rsidR="00D65CB4" w:rsidRPr="00BC4EE7" w:rsidRDefault="00572307">
      <w:pPr>
        <w:pStyle w:val="P68B1DB1-P68B1DB1-Normal334"/>
        <w:spacing w:line="240" w:lineRule="auto"/>
        <w:jc w:val="both"/>
        <w:rPr>
          <w:b/>
          <w:noProof/>
        </w:rPr>
      </w:pPr>
      <w:r w:rsidRPr="00BC4EE7">
        <w:rPr>
          <w:noProof/>
          <w:u w:val="single"/>
        </w:rPr>
        <w:t>Reform (C22.R6): A garanciamechanizmusok megerősítése a jogok magasabb szintű védelmének biztosítása érdekében bizonyos olyan esetekben, amikor a fogyasztót különleges társadalmi és gazdasági kiszolgáltatottság sújtja</w:t>
      </w:r>
      <w:r w:rsidRPr="00BC4EE7">
        <w:rPr>
          <w:b/>
          <w:noProof/>
        </w:rPr>
        <w:t xml:space="preserve">. </w:t>
      </w:r>
    </w:p>
    <w:p w14:paraId="3BAB9ACB" w14:textId="44A022E1" w:rsidR="00D65CB4" w:rsidRPr="00BC4EE7" w:rsidRDefault="00572307">
      <w:pPr>
        <w:pStyle w:val="P68B1DB1-P68B1DB1-Normal334"/>
        <w:spacing w:line="240" w:lineRule="auto"/>
        <w:jc w:val="both"/>
        <w:rPr>
          <w:noProof/>
        </w:rPr>
      </w:pPr>
      <w:r w:rsidRPr="00BC4EE7">
        <w:rPr>
          <w:noProof/>
        </w:rPr>
        <w:t>A reform célja, hogy különböző intézkedéseket fogadjon el a fogyasztóknak és a felhasználóknak a társadalmi és gazdasági kiszolgáltatott helyzetekkel szembeni védelme érdekében.</w:t>
      </w:r>
      <w:r w:rsidRPr="00BC4EE7">
        <w:rPr>
          <w:noProof/>
          <w:shd w:val="clear" w:color="auto" w:fill="E6E6E6"/>
        </w:rPr>
        <w:t xml:space="preserve"> </w:t>
      </w:r>
    </w:p>
    <w:p w14:paraId="415E41C7" w14:textId="3912AC4D" w:rsidR="00D65CB4" w:rsidRPr="00BC4EE7" w:rsidRDefault="00572307">
      <w:pPr>
        <w:pStyle w:val="P68B1DB1-P68B1DB1-Normal334"/>
        <w:spacing w:line="240" w:lineRule="auto"/>
        <w:jc w:val="both"/>
        <w:rPr>
          <w:noProof/>
        </w:rPr>
      </w:pPr>
      <w:r w:rsidRPr="00BC4EE7">
        <w:rPr>
          <w:noProof/>
        </w:rPr>
        <w:t>A reformnak magában kell foglalnia legalább a Braille ábécében és más formátumokban történő címkézésre vonatkozó jogszabályok elfogadását annak érdekében, hogy garantálják a biztonság, az integritás és az életminőség védelme szempontjából különösen fontos fogyasztási cikkek és termékek egyetemes hozzáférhetőségét, különösen a vakok és látássérült személyek, mint kiszolgáltatott fogyasztók számára. A reformnak továbbá módosítania kell a jogszabályokat annak érdekében, hogy kérésre a kiszolgáltatott helyzetben lévő fogyasztók és felhasználók számára személyre szabott bánásmódot biztosítson a pénzforgalmi szolgáltatások terén, a „digitális szakadékon” alapuló megkülönböztetés elkerülése érdekében.</w:t>
      </w:r>
    </w:p>
    <w:p w14:paraId="580E3593" w14:textId="72E27816" w:rsidR="00D65CB4" w:rsidRPr="00BC4EE7" w:rsidRDefault="00572307">
      <w:pPr>
        <w:pStyle w:val="P68B1DB1-P68B1DB1-Normal334"/>
        <w:spacing w:line="240" w:lineRule="auto"/>
        <w:jc w:val="both"/>
        <w:rPr>
          <w:noProof/>
        </w:rPr>
      </w:pPr>
      <w:r w:rsidRPr="00BC4EE7">
        <w:rPr>
          <w:noProof/>
        </w:rPr>
        <w:t xml:space="preserve">Az intézkedés végrehajtását 2025. december 31-ig be kell fejezni. </w:t>
      </w:r>
    </w:p>
    <w:p w14:paraId="6FDD9A91" w14:textId="3630CAD4" w:rsidR="00D65CB4" w:rsidRPr="00BC4EE7" w:rsidRDefault="00572307">
      <w:pPr>
        <w:pStyle w:val="P68B1DB1-Normal5"/>
        <w:rPr>
          <w:rFonts w:eastAsiaTheme="minorEastAsia" w:cs="Times New Roman"/>
          <w:noProof/>
        </w:rPr>
      </w:pPr>
      <w:r w:rsidRPr="00BC4EE7">
        <w:rPr>
          <w:rFonts w:cs="Times New Roman"/>
          <w:noProof/>
        </w:rPr>
        <w:t>Beruházás (C22.I6): Szociális Hatásalap (FIS)</w:t>
      </w:r>
    </w:p>
    <w:p w14:paraId="237F961A" w14:textId="6F017C68" w:rsidR="00D65CB4" w:rsidRPr="00BC4EE7" w:rsidRDefault="00572307">
      <w:pPr>
        <w:spacing w:line="240" w:lineRule="auto"/>
        <w:jc w:val="both"/>
        <w:rPr>
          <w:rStyle w:val="normaltextrun"/>
          <w:rFonts w:ascii="Times New Roman" w:eastAsia="Times New Roman" w:hAnsi="Times New Roman" w:cs="Times New Roman"/>
          <w:noProof/>
          <w:sz w:val="24"/>
          <w:shd w:val="clear" w:color="auto" w:fill="FFFFFF"/>
        </w:rPr>
      </w:pPr>
      <w:r w:rsidRPr="00BC4EE7">
        <w:rPr>
          <w:rStyle w:val="normaltextrun"/>
          <w:rFonts w:ascii="Times New Roman" w:hAnsi="Times New Roman" w:cs="Times New Roman"/>
          <w:noProof/>
          <w:sz w:val="24"/>
        </w:rPr>
        <w:t>Ez az intézkedés egy eszközbe, a Szociális Hatásalapba történő állami beruházásból áll annak érdekében, hogy ösztönözze a magánberuházásokat és</w:t>
      </w:r>
      <w:r w:rsidRPr="00BC4EE7">
        <w:rPr>
          <w:rStyle w:val="normaltextrun"/>
          <w:rFonts w:ascii="Times New Roman" w:hAnsi="Times New Roman" w:cs="Times New Roman"/>
          <w:noProof/>
          <w:sz w:val="24"/>
          <w:shd w:val="clear" w:color="auto" w:fill="FFFFFF"/>
        </w:rPr>
        <w:t xml:space="preserve"> javítsa a finanszírozáshoz való hozzáférést Spanyolország társadalmi </w:t>
      </w:r>
      <w:r w:rsidRPr="00BC4EE7">
        <w:rPr>
          <w:rFonts w:ascii="Times New Roman" w:hAnsi="Times New Roman" w:cs="Times New Roman"/>
          <w:noProof/>
          <w:sz w:val="24"/>
        </w:rPr>
        <w:t>hatású ágazatában, különösen a szociális és környezetvédelmi megoldásokhoz hozzájáruló projekteket, figyelembe véve az ágazati bevált gyakorlatok (GIIN és mások) által kidolgozott hatásmérési és -kezelési eljárásokat, valamint hogy ezeken a területeken fejlessze a tőkepiacokat. A Keret úgy működik, hogy</w:t>
      </w:r>
      <w:r w:rsidRPr="00BC4EE7">
        <w:rPr>
          <w:rStyle w:val="normaltextrun"/>
          <w:rFonts w:ascii="Times New Roman" w:hAnsi="Times New Roman" w:cs="Times New Roman"/>
          <w:noProof/>
          <w:sz w:val="24"/>
          <w:shd w:val="clear" w:color="auto" w:fill="FFFFFF"/>
        </w:rPr>
        <w:t xml:space="preserve"> </w:t>
      </w:r>
      <w:r w:rsidRPr="00BC4EE7">
        <w:rPr>
          <w:rStyle w:val="normaltextrun"/>
          <w:rFonts w:ascii="Times New Roman" w:hAnsi="Times New Roman" w:cs="Times New Roman"/>
          <w:noProof/>
          <w:sz w:val="24"/>
        </w:rPr>
        <w:t>kölcsönöket,</w:t>
      </w:r>
      <w:r w:rsidRPr="00BC4EE7">
        <w:rPr>
          <w:rStyle w:val="normaltextrun"/>
          <w:rFonts w:ascii="Times New Roman" w:hAnsi="Times New Roman" w:cs="Times New Roman"/>
          <w:noProof/>
          <w:sz w:val="24"/>
          <w:shd w:val="clear" w:color="auto" w:fill="FFFFFF"/>
        </w:rPr>
        <w:t>saját tőkét és kvázisajáttőke-befektetéseket nyújt közvetlenül vagy közvetítőkön keresztül a</w:t>
      </w:r>
      <w:r w:rsidRPr="00BC4EE7">
        <w:rPr>
          <w:rStyle w:val="normaltextrun"/>
          <w:rFonts w:ascii="Times New Roman" w:hAnsi="Times New Roman" w:cs="Times New Roman"/>
          <w:noProof/>
          <w:sz w:val="24"/>
        </w:rPr>
        <w:t xml:space="preserve"> magánszektornak, valamint a hasonló tevékenységeket folytató közszektorbeli szervezeteknek.</w:t>
      </w:r>
      <w:r w:rsidRPr="00BC4EE7">
        <w:rPr>
          <w:rStyle w:val="normaltextrun"/>
          <w:rFonts w:ascii="Times New Roman" w:hAnsi="Times New Roman" w:cs="Times New Roman"/>
          <w:noProof/>
          <w:sz w:val="24"/>
          <w:shd w:val="clear" w:color="auto" w:fill="FFFFFF"/>
        </w:rPr>
        <w:t xml:space="preserve"> A Helyreállítási és Rezilienciaépítési Eszköz beruházásai alapján az eszköz célja kezdetben legalább 400 000 000 EUR összegű finanszírozás biztosítása.  </w:t>
      </w:r>
    </w:p>
    <w:p w14:paraId="70AE2CCC" w14:textId="6DF9170E" w:rsidR="00D65CB4" w:rsidRPr="00BC4EE7" w:rsidRDefault="00572307">
      <w:pPr>
        <w:spacing w:line="240" w:lineRule="auto"/>
        <w:jc w:val="both"/>
        <w:rPr>
          <w:rFonts w:ascii="Times New Roman" w:eastAsiaTheme="minorEastAsia" w:hAnsi="Times New Roman" w:cs="Times New Roman"/>
          <w:noProof/>
          <w:sz w:val="24"/>
        </w:rPr>
      </w:pPr>
      <w:r w:rsidRPr="00BC4EE7">
        <w:rPr>
          <w:rStyle w:val="normaltextrun"/>
          <w:rFonts w:ascii="Times New Roman" w:hAnsi="Times New Roman" w:cs="Times New Roman"/>
          <w:noProof/>
          <w:sz w:val="24"/>
          <w:shd w:val="clear" w:color="auto" w:fill="FFFFFF"/>
        </w:rPr>
        <w:t xml:space="preserve">Az eszközt végrehajtó partnerként a Compañía Española de Financiación del Desarrollo (COFIDES) kezeli. A beruházási keret a következő három terméksort foglalja magában: </w:t>
      </w:r>
    </w:p>
    <w:p w14:paraId="64F987A4" w14:textId="7452E1ED" w:rsidR="00D65CB4" w:rsidRPr="00BC4EE7" w:rsidRDefault="00572307">
      <w:pPr>
        <w:pStyle w:val="P68B1DB1-ListParagraph6"/>
        <w:numPr>
          <w:ilvl w:val="0"/>
          <w:numId w:val="690"/>
        </w:numPr>
        <w:jc w:val="both"/>
        <w:rPr>
          <w:rFonts w:eastAsiaTheme="minorEastAsia" w:cs="Times New Roman"/>
          <w:noProof/>
        </w:rPr>
      </w:pPr>
      <w:r w:rsidRPr="00BC4EE7">
        <w:rPr>
          <w:rFonts w:cs="Times New Roman"/>
          <w:noProof/>
        </w:rPr>
        <w:t xml:space="preserve">A szociális hatású befektetési alapok részvényeinek jegyzése. Ez a sor olyan, magán pénzügyi vezetők által kezelt befektetési eszközök részvényeit vásárolja meg, amelyek célja, hogy a lejárat valamennyi szakaszában szociális és környezetvédelmi projektekbe fektessenek be. A vásárlás nem haladhatja meg az egyes alapok összes részvényének 25%-át, kivéve a kellően indokolt eseteket, amikor ez a százalékos arány növekedhet, de nem haladhatja meg a 49%-ot. Emellett a Keret nem vásárolhat kettőnél több, ugyanazon pénzügyi vezető által kezelt alap részvényeit, kivéve, ha a kettő egyike elidegenítési időszakban van, és a kezelt eszközök legalább 50%-át kivonta a befektetésből. </w:t>
      </w:r>
    </w:p>
    <w:p w14:paraId="53D59065" w14:textId="3E28993E" w:rsidR="00D65CB4" w:rsidRPr="00BC4EE7" w:rsidRDefault="00572307">
      <w:pPr>
        <w:pStyle w:val="P68B1DB1-ListParagraph6"/>
        <w:numPr>
          <w:ilvl w:val="0"/>
          <w:numId w:val="690"/>
        </w:numPr>
        <w:jc w:val="both"/>
        <w:rPr>
          <w:rFonts w:eastAsiaTheme="minorEastAsia" w:cs="Times New Roman"/>
          <w:noProof/>
        </w:rPr>
      </w:pPr>
      <w:r w:rsidRPr="00BC4EE7">
        <w:rPr>
          <w:rFonts w:cs="Times New Roman"/>
          <w:noProof/>
        </w:rPr>
        <w:t xml:space="preserve">Társfinanszírozás vagy társfinanszírozás tőke- vagy egyéb adósságinstrumentumok révén mérhető társadalmi vagy környezeti hatással bíró projektekbe vagy olyan vállalatokba, amelyek vállalták, hogy új, ilyen jellemzőkkel bíró projekteket hajtanak végre.  Ez a sor a projekteket más köz- vagy magánforrásokkal együtt társfinanszírozza vagy társfinanszírozza, beleértve adott esetben azokat is, amelyekből az eszköz részvényeket vásárolt. </w:t>
      </w:r>
    </w:p>
    <w:p w14:paraId="43114929" w14:textId="164340FA" w:rsidR="00D65CB4" w:rsidRPr="00BC4EE7" w:rsidRDefault="00572307">
      <w:pPr>
        <w:pStyle w:val="P68B1DB1-ListParagraph6"/>
        <w:numPr>
          <w:ilvl w:val="0"/>
          <w:numId w:val="690"/>
        </w:numPr>
        <w:jc w:val="both"/>
        <w:rPr>
          <w:rFonts w:eastAsiaTheme="minorEastAsia" w:cs="Times New Roman"/>
          <w:noProof/>
        </w:rPr>
      </w:pPr>
      <w:r w:rsidRPr="00BC4EE7">
        <w:rPr>
          <w:rFonts w:cs="Times New Roman"/>
          <w:noProof/>
        </w:rPr>
        <w:t>Közvetlen hitelek és részvételen alapuló hitelek olyan vállalatoknál, amelyek mérhető társadalmi vagy környezeti hatással járó projekteket hajtanak végre.</w:t>
      </w:r>
    </w:p>
    <w:p w14:paraId="093074E7" w14:textId="4DE221FE" w:rsidR="00D65CB4" w:rsidRPr="00BC4EE7" w:rsidRDefault="00572307">
      <w:pPr>
        <w:pStyle w:val="P68B1DB1-Normal4"/>
        <w:jc w:val="both"/>
        <w:rPr>
          <w:rFonts w:eastAsia="Times New Roman" w:cs="Times New Roman"/>
          <w:noProof/>
          <w:u w:val="single"/>
        </w:rPr>
      </w:pPr>
      <w:r w:rsidRPr="00BC4EE7">
        <w:rPr>
          <w:rFonts w:cs="Times New Roman"/>
          <w:noProof/>
        </w:rPr>
        <w:t>Ez a beruházás kiterjed a technikai segítségnyújtási eszközre is, amelynek célja, hogy javítsa a kedvezményezettek kapacitását a beruházási projektjeik hatásainak kezelésére és mérésére. Támogatja továbbá az eszköz hatékony és eredményes pénzgazdálkodását. A TAF-ot a COFIDES fogja kezelni, és kezdeti allokációja legfeljebb 8 millió EUR lesz.</w:t>
      </w:r>
    </w:p>
    <w:p w14:paraId="00E54E3E" w14:textId="0E7E5167" w:rsidR="00D65CB4" w:rsidRPr="00BC4EE7" w:rsidRDefault="00572307">
      <w:pPr>
        <w:pStyle w:val="P68B1DB1-Normal4"/>
        <w:spacing w:line="240" w:lineRule="auto"/>
        <w:jc w:val="both"/>
        <w:rPr>
          <w:rFonts w:eastAsia="Times New Roman" w:cs="Times New Roman"/>
          <w:noProof/>
        </w:rPr>
      </w:pPr>
      <w:r w:rsidRPr="00BC4EE7">
        <w:rPr>
          <w:rFonts w:cs="Times New Roman"/>
          <w:noProof/>
        </w:rPr>
        <w:t xml:space="preserve">Az eszközbe történő beruházás végrehajtása érdekében Spanyolország rendeletet és bármely kapcsolódó dokumentumot hagy jóvá az eszköz létrehozásáról és irányításáról, amely a következő tartalmat tartalmazza: </w:t>
      </w:r>
    </w:p>
    <w:p w14:paraId="77F76082" w14:textId="77D13859" w:rsidR="00D65CB4" w:rsidRPr="00BC4EE7" w:rsidRDefault="00572307">
      <w:pPr>
        <w:pStyle w:val="P68B1DB1-ListParagraph6"/>
        <w:numPr>
          <w:ilvl w:val="0"/>
          <w:numId w:val="764"/>
        </w:numPr>
        <w:spacing w:line="240" w:lineRule="auto"/>
        <w:contextualSpacing w:val="0"/>
        <w:jc w:val="both"/>
        <w:rPr>
          <w:rFonts w:eastAsia="Times New Roman" w:cs="Times New Roman"/>
          <w:noProof/>
        </w:rPr>
      </w:pPr>
      <w:r w:rsidRPr="00BC4EE7">
        <w:rPr>
          <w:rFonts w:cs="Times New Roman"/>
          <w:noProof/>
        </w:rPr>
        <w:t>Az eszköz döntéshozatali folyamatának leírása:  Az eszköz kezdeti beruházási döntését beruházási bizottság vagy más, azzal egyenértékű irányító testület hozza meg, és a spanyol kormánytól független tagok szavazatainak többségével hagyja jóvá. Az eszköz végleges beruházási döntése a beruházási bizottság vagy azzal egyenértékű irányító testület által javasolt beruházási döntés (módosítás nélküli) jóváhagyására, vagy a döntéssel kapcsolatos vétójog gyakorlására korlátozódik. A közvetített beruházások esetében a végső beruházási döntést a közvetítők hozzák meg.</w:t>
      </w:r>
    </w:p>
    <w:p w14:paraId="683E6013" w14:textId="77777777" w:rsidR="00D65CB4" w:rsidRPr="00BC4EE7" w:rsidRDefault="00572307">
      <w:pPr>
        <w:pStyle w:val="P68B1DB1-ListParagraph6"/>
        <w:numPr>
          <w:ilvl w:val="0"/>
          <w:numId w:val="764"/>
        </w:numPr>
        <w:spacing w:line="240" w:lineRule="auto"/>
        <w:jc w:val="both"/>
        <w:rPr>
          <w:rFonts w:eastAsia="Times New Roman" w:cs="Times New Roman"/>
          <w:noProof/>
        </w:rPr>
      </w:pPr>
      <w:r w:rsidRPr="00BC4EE7">
        <w:rPr>
          <w:rFonts w:cs="Times New Roman"/>
          <w:noProof/>
        </w:rPr>
        <w:t>A kapcsolódó beruházási politika fő követelményei, amelyek a következőket foglalják magukban:</w:t>
      </w:r>
    </w:p>
    <w:p w14:paraId="3BF8A03B" w14:textId="18B537C3" w:rsidR="00D65CB4" w:rsidRPr="00BC4EE7" w:rsidRDefault="00572307">
      <w:pPr>
        <w:pStyle w:val="P68B1DB1-ListParagraph6"/>
        <w:numPr>
          <w:ilvl w:val="1"/>
          <w:numId w:val="764"/>
        </w:numPr>
        <w:spacing w:line="240" w:lineRule="auto"/>
        <w:jc w:val="both"/>
        <w:rPr>
          <w:rFonts w:eastAsia="Times New Roman" w:cs="Times New Roman"/>
          <w:noProof/>
        </w:rPr>
      </w:pPr>
      <w:r w:rsidRPr="00BC4EE7">
        <w:rPr>
          <w:rFonts w:cs="Times New Roman"/>
          <w:noProof/>
        </w:rPr>
        <w:t>A pénzügyi termékek és a támogatható végső kedvezményezettek leírása az intézkedés leírásával összhangban.</w:t>
      </w:r>
    </w:p>
    <w:p w14:paraId="4C27BD6B" w14:textId="77777777" w:rsidR="00D65CB4" w:rsidRPr="00BC4EE7" w:rsidRDefault="00572307">
      <w:pPr>
        <w:pStyle w:val="P68B1DB1-ListParagraph6"/>
        <w:numPr>
          <w:ilvl w:val="1"/>
          <w:numId w:val="764"/>
        </w:numPr>
        <w:spacing w:line="240" w:lineRule="auto"/>
        <w:jc w:val="both"/>
        <w:rPr>
          <w:rFonts w:eastAsia="Times New Roman" w:cs="Times New Roman"/>
          <w:noProof/>
        </w:rPr>
      </w:pPr>
      <w:r w:rsidRPr="00BC4EE7">
        <w:rPr>
          <w:rFonts w:cs="Times New Roman"/>
          <w:noProof/>
        </w:rPr>
        <w:t>Az a követelmény, hogy minden támogatott beruházás gazdaságilag életképes legyen.</w:t>
      </w:r>
    </w:p>
    <w:p w14:paraId="2B9A7E60" w14:textId="77777777" w:rsidR="00D65CB4" w:rsidRPr="00BC4EE7" w:rsidRDefault="00572307">
      <w:pPr>
        <w:pStyle w:val="P68B1DB1-ListParagraph6"/>
        <w:numPr>
          <w:ilvl w:val="1"/>
          <w:numId w:val="764"/>
        </w:numPr>
        <w:spacing w:line="240" w:lineRule="auto"/>
        <w:jc w:val="both"/>
        <w:rPr>
          <w:rFonts w:eastAsia="Times New Roman" w:cs="Times New Roman"/>
          <w:noProof/>
        </w:rPr>
      </w:pPr>
      <w:r w:rsidRPr="00BC4EE7">
        <w:rPr>
          <w:rFonts w:cs="Times New Roman"/>
          <w:noProof/>
        </w:rPr>
        <w:t xml:space="preserve">A fennálló hitelek refinanszírozásának tilalma.  </w:t>
      </w:r>
    </w:p>
    <w:p w14:paraId="60EEEDCF" w14:textId="77777777" w:rsidR="00D65CB4" w:rsidRPr="00BC4EE7" w:rsidRDefault="00572307">
      <w:pPr>
        <w:pStyle w:val="P68B1DB1-ListParagraph6"/>
        <w:numPr>
          <w:ilvl w:val="1"/>
          <w:numId w:val="764"/>
        </w:numPr>
        <w:spacing w:line="240" w:lineRule="auto"/>
        <w:jc w:val="both"/>
        <w:rPr>
          <w:rFonts w:eastAsia="Times New Roman" w:cs="Times New Roman"/>
          <w:noProof/>
        </w:rPr>
      </w:pPr>
      <w:r w:rsidRPr="00BC4EE7">
        <w:rPr>
          <w:rFonts w:cs="Times New Roman"/>
          <w:noProof/>
        </w:rPr>
        <w:t xml:space="preserve">A jelentős károkozás elkerülését célzó elvnek való megfelelés követelménye a DNSH technikai iránymutatásban (2021/C58/01), különösen: </w:t>
      </w:r>
    </w:p>
    <w:p w14:paraId="4925FC3C" w14:textId="4249AA29" w:rsidR="00D65CB4" w:rsidRPr="00BC4EE7" w:rsidRDefault="00572307">
      <w:pPr>
        <w:pStyle w:val="ListParagraph"/>
        <w:numPr>
          <w:ilvl w:val="2"/>
          <w:numId w:val="764"/>
        </w:numPr>
        <w:jc w:val="both"/>
        <w:rPr>
          <w:rFonts w:ascii="Times New Roman" w:eastAsia="Times New Roman" w:hAnsi="Times New Roman" w:cs="Times New Roman"/>
          <w:noProof/>
          <w:sz w:val="24"/>
        </w:rPr>
      </w:pPr>
      <w:r w:rsidRPr="00BC4EE7">
        <w:rPr>
          <w:rFonts w:ascii="Times New Roman" w:hAnsi="Times New Roman" w:cs="Times New Roman"/>
          <w:noProof/>
          <w:sz w:val="24"/>
        </w:rPr>
        <w:t>Hitelek, projektkötvények vagy ezekkel egyenértékű eszközök esetében: a befektetési politika kizárja a támogathatóság köréből a következő tevékenységek és eszközök listáját: i. a fosszilis tüzelőanyagokhoz kapcsolódó tevékenységek és eszközök, beleértve a downstream felhasználást is, ii. az uniós kibocsátáskereskedelmi rendszer</w:t>
      </w:r>
      <w:r w:rsidRPr="00BC4EE7">
        <w:rPr>
          <w:rStyle w:val="FootnoteReference"/>
          <w:rFonts w:ascii="Times New Roman" w:eastAsia="Times New Roman" w:hAnsi="Times New Roman" w:cs="Times New Roman"/>
          <w:noProof/>
          <w:sz w:val="24"/>
        </w:rPr>
        <w:footnoteReference w:id="191"/>
      </w:r>
      <w:r w:rsidRPr="00BC4EE7">
        <w:rPr>
          <w:rFonts w:ascii="Times New Roman" w:hAnsi="Times New Roman" w:cs="Times New Roman"/>
          <w:noProof/>
          <w:sz w:val="24"/>
        </w:rPr>
        <w:t>(ETS) keretébe tartozó tevékenységek és eszközök, amelyek elérik a vonatkozó referenciaértékeket meg nem haladó, előre jelzett üvegházhatásúgáz-kibocsátást, iii. a hulladéklerakásokkal, hulladékégetőkkel és mechanikai-biológiai hulladékkezelő létesítményekkel kapcsolatos</w:t>
      </w:r>
      <w:r w:rsidRPr="00BC4EE7">
        <w:rPr>
          <w:rStyle w:val="FootnoteReference"/>
          <w:rFonts w:ascii="Times New Roman" w:eastAsia="Times New Roman" w:hAnsi="Times New Roman" w:cs="Times New Roman"/>
          <w:noProof/>
          <w:sz w:val="24"/>
        </w:rPr>
        <w:footnoteReference w:id="192"/>
      </w:r>
      <w:r w:rsidRPr="00BC4EE7">
        <w:rPr>
          <w:rFonts w:ascii="Times New Roman" w:hAnsi="Times New Roman" w:cs="Times New Roman"/>
          <w:noProof/>
          <w:sz w:val="24"/>
        </w:rPr>
        <w:t xml:space="preserve">tevékenységek és eszközök. </w:t>
      </w:r>
    </w:p>
    <w:p w14:paraId="514A6210" w14:textId="77777777" w:rsidR="00D65CB4" w:rsidRPr="00BC4EE7" w:rsidRDefault="00572307">
      <w:pPr>
        <w:pStyle w:val="ListParagraph"/>
        <w:numPr>
          <w:ilvl w:val="2"/>
          <w:numId w:val="764"/>
        </w:numPr>
        <w:jc w:val="both"/>
        <w:rPr>
          <w:rFonts w:ascii="Times New Roman" w:eastAsia="Times New Roman" w:hAnsi="Times New Roman" w:cs="Times New Roman"/>
          <w:noProof/>
          <w:sz w:val="24"/>
        </w:rPr>
      </w:pPr>
      <w:r w:rsidRPr="00BC4EE7">
        <w:rPr>
          <w:rFonts w:ascii="Times New Roman" w:hAnsi="Times New Roman" w:cs="Times New Roman"/>
          <w:noProof/>
          <w:sz w:val="24"/>
        </w:rPr>
        <w:t>Saját tőke, kvázi-sajáttőke, vállalati kötvények vagy ezekkel egyenértékű eszközök esetében:  a beruházási politikának ki kell zárnia azokat a vállalatokat, amelyek jelentős hangsúlyt</w:t>
      </w:r>
      <w:r w:rsidRPr="00BC4EE7">
        <w:rPr>
          <w:rStyle w:val="FootnoteReference"/>
          <w:rFonts w:ascii="Times New Roman" w:eastAsia="Times New Roman" w:hAnsi="Times New Roman" w:cs="Times New Roman"/>
          <w:noProof/>
          <w:sz w:val="24"/>
        </w:rPr>
        <w:footnoteReference w:id="193"/>
      </w:r>
      <w:r w:rsidRPr="00BC4EE7">
        <w:rPr>
          <w:rFonts w:ascii="Times New Roman" w:hAnsi="Times New Roman" w:cs="Times New Roman"/>
          <w:noProof/>
          <w:sz w:val="24"/>
        </w:rPr>
        <w:t xml:space="preserve"> fektetnek a következő ágazatokra: fosszilis tüzelőanyagokon alapuló energiatermelés és kapcsolódó tevékenységek</w:t>
      </w:r>
      <w:r w:rsidRPr="00BC4EE7">
        <w:rPr>
          <w:rStyle w:val="FootnoteReference"/>
          <w:rFonts w:ascii="Times New Roman" w:eastAsia="Times New Roman" w:hAnsi="Times New Roman" w:cs="Times New Roman"/>
          <w:noProof/>
          <w:sz w:val="24"/>
        </w:rPr>
        <w:footnoteReference w:id="194"/>
      </w:r>
      <w:r w:rsidRPr="00BC4EE7">
        <w:rPr>
          <w:rFonts w:ascii="Times New Roman" w:hAnsi="Times New Roman" w:cs="Times New Roman"/>
          <w:noProof/>
          <w:sz w:val="24"/>
        </w:rPr>
        <w:t>; ii. energiaigényes és/vagy magas szén-dioxid-kibocsátású iparágak</w:t>
      </w:r>
      <w:r w:rsidRPr="00BC4EE7">
        <w:rPr>
          <w:rStyle w:val="FootnoteReference"/>
          <w:rFonts w:ascii="Times New Roman" w:eastAsia="Times New Roman" w:hAnsi="Times New Roman" w:cs="Times New Roman"/>
          <w:noProof/>
          <w:sz w:val="24"/>
        </w:rPr>
        <w:footnoteReference w:id="195"/>
      </w:r>
      <w:r w:rsidRPr="00BC4EE7">
        <w:rPr>
          <w:rFonts w:ascii="Times New Roman" w:hAnsi="Times New Roman" w:cs="Times New Roman"/>
          <w:noProof/>
          <w:sz w:val="24"/>
        </w:rPr>
        <w:t>; szennyező járművek gyártása, bérlése vagy értékesítése</w:t>
      </w:r>
      <w:r w:rsidRPr="00BC4EE7">
        <w:rPr>
          <w:rStyle w:val="FootnoteReference"/>
          <w:rFonts w:ascii="Times New Roman" w:eastAsia="Times New Roman" w:hAnsi="Times New Roman" w:cs="Times New Roman"/>
          <w:noProof/>
          <w:sz w:val="24"/>
        </w:rPr>
        <w:footnoteReference w:id="196"/>
      </w:r>
      <w:r w:rsidRPr="00BC4EE7">
        <w:rPr>
          <w:rFonts w:ascii="Times New Roman" w:hAnsi="Times New Roman" w:cs="Times New Roman"/>
          <w:noProof/>
          <w:sz w:val="24"/>
        </w:rPr>
        <w:t>; IV. hulladékgyűjtés, hulladékkezelés és -ártalmatlanítás</w:t>
      </w:r>
      <w:r w:rsidRPr="00BC4EE7">
        <w:rPr>
          <w:rStyle w:val="FootnoteReference"/>
          <w:rFonts w:ascii="Times New Roman" w:eastAsia="Times New Roman" w:hAnsi="Times New Roman" w:cs="Times New Roman"/>
          <w:noProof/>
          <w:sz w:val="24"/>
        </w:rPr>
        <w:footnoteReference w:id="197"/>
      </w:r>
      <w:r w:rsidRPr="00BC4EE7">
        <w:rPr>
          <w:rFonts w:ascii="Times New Roman" w:hAnsi="Times New Roman" w:cs="Times New Roman"/>
          <w:noProof/>
          <w:sz w:val="24"/>
        </w:rPr>
        <w:t>, v. nukleáris fűtőanyag feldolgozása, atomenergia előállítása</w:t>
      </w:r>
    </w:p>
    <w:p w14:paraId="2DA0D89B" w14:textId="77777777" w:rsidR="00D65CB4" w:rsidRPr="00BC4EE7" w:rsidRDefault="00572307">
      <w:pPr>
        <w:pStyle w:val="P68B1DB1-ListParagraph6"/>
        <w:numPr>
          <w:ilvl w:val="2"/>
          <w:numId w:val="764"/>
        </w:numPr>
        <w:jc w:val="both"/>
        <w:rPr>
          <w:rFonts w:eastAsia="Times New Roman" w:cs="Times New Roman"/>
          <w:noProof/>
        </w:rPr>
      </w:pPr>
      <w:r w:rsidRPr="00BC4EE7">
        <w:rPr>
          <w:rFonts w:cs="Times New Roman"/>
          <w:noProof/>
        </w:rPr>
        <w:t>A beruházási politikának továbbá meg kell követelnie az eszköz végső kedvezményezettjeinek a vonatkozó uniós és nemzeti környezetvédelmi jogszabályoknak való megfelelését.</w:t>
      </w:r>
    </w:p>
    <w:p w14:paraId="0EA26F27" w14:textId="77777777" w:rsidR="00D65CB4" w:rsidRPr="00BC4EE7" w:rsidRDefault="00572307">
      <w:pPr>
        <w:pStyle w:val="P68B1DB1-ListParagraph6"/>
        <w:numPr>
          <w:ilvl w:val="1"/>
          <w:numId w:val="764"/>
        </w:numPr>
        <w:jc w:val="both"/>
        <w:rPr>
          <w:rFonts w:eastAsia="Times New Roman" w:cs="Times New Roman"/>
          <w:noProof/>
        </w:rPr>
      </w:pPr>
      <w:r w:rsidRPr="00BC4EE7">
        <w:rPr>
          <w:rFonts w:cs="Times New Roman"/>
          <w:noProof/>
        </w:rPr>
        <w:t>Az a követelmény, hogy az eszköz végső kedvezményezettjei nem részesülhetnek támogatásban más uniós eszközökből ugyanazon költségek fedezésére.</w:t>
      </w:r>
    </w:p>
    <w:p w14:paraId="088EF188" w14:textId="306B991B" w:rsidR="00D65CB4" w:rsidRPr="00BC4EE7" w:rsidRDefault="00572307">
      <w:pPr>
        <w:pStyle w:val="P68B1DB1-ListParagraph6"/>
        <w:numPr>
          <w:ilvl w:val="0"/>
          <w:numId w:val="764"/>
        </w:numPr>
        <w:jc w:val="both"/>
        <w:rPr>
          <w:rFonts w:eastAsia="Times New Roman" w:cs="Times New Roman"/>
          <w:noProof/>
        </w:rPr>
      </w:pPr>
      <w:r w:rsidRPr="00BC4EE7">
        <w:rPr>
          <w:rFonts w:cs="Times New Roman"/>
          <w:noProof/>
        </w:rPr>
        <w:t>Az eszközt létrehozó rendeletek és kapcsolódó dokumentumok hatálya alá tartozó összeg, a végrehajtó partner díjstruktúrája, valamint az eszköz beruházási politikájának megfelelően a visszafolyó bevételek újbóli befektetésének követelménye, kivéve, ha azokat a Helyreállítási és Rezilienciaépítési Eszköz hiteltörlesztéseinek fedezésére használják fel.</w:t>
      </w:r>
    </w:p>
    <w:p w14:paraId="6ED49105" w14:textId="77777777" w:rsidR="00D65CB4" w:rsidRPr="00BC4EE7" w:rsidRDefault="00572307">
      <w:pPr>
        <w:pStyle w:val="P68B1DB1-ListParagraph6"/>
        <w:numPr>
          <w:ilvl w:val="0"/>
          <w:numId w:val="764"/>
        </w:numPr>
        <w:jc w:val="both"/>
        <w:rPr>
          <w:rFonts w:eastAsia="Times New Roman" w:cs="Times New Roman"/>
          <w:noProof/>
        </w:rPr>
      </w:pPr>
      <w:r w:rsidRPr="00BC4EE7">
        <w:rPr>
          <w:rFonts w:cs="Times New Roman"/>
          <w:noProof/>
        </w:rPr>
        <w:t>Nyomonkövetési, ellenőrzési és kontrollkövetelmények, beleértve a következőket:</w:t>
      </w:r>
    </w:p>
    <w:p w14:paraId="6BCC69DF" w14:textId="77777777" w:rsidR="00D65CB4" w:rsidRPr="00BC4EE7" w:rsidRDefault="00572307">
      <w:pPr>
        <w:pStyle w:val="P68B1DB1-ListParagraph6"/>
        <w:numPr>
          <w:ilvl w:val="1"/>
          <w:numId w:val="764"/>
        </w:numPr>
        <w:jc w:val="both"/>
        <w:rPr>
          <w:rFonts w:eastAsia="Times New Roman" w:cs="Times New Roman"/>
          <w:noProof/>
        </w:rPr>
      </w:pPr>
      <w:r w:rsidRPr="00BC4EE7">
        <w:rPr>
          <w:rFonts w:cs="Times New Roman"/>
          <w:noProof/>
        </w:rPr>
        <w:t>A végrehajtó partner által a mozgósított beruházásról való jelentéstételhez használt monitoringrendszer leírása.</w:t>
      </w:r>
    </w:p>
    <w:p w14:paraId="1C066FFF" w14:textId="77777777" w:rsidR="00D65CB4" w:rsidRPr="00BC4EE7" w:rsidRDefault="00572307">
      <w:pPr>
        <w:pStyle w:val="P68B1DB1-ListParagraph6"/>
        <w:numPr>
          <w:ilvl w:val="1"/>
          <w:numId w:val="764"/>
        </w:numPr>
        <w:jc w:val="both"/>
        <w:rPr>
          <w:rFonts w:eastAsia="Times New Roman" w:cs="Times New Roman"/>
          <w:noProof/>
        </w:rPr>
      </w:pPr>
      <w:r w:rsidRPr="00BC4EE7">
        <w:rPr>
          <w:rFonts w:cs="Times New Roman"/>
          <w:noProof/>
        </w:rPr>
        <w:t xml:space="preserve">A végrehajtó partner azon eljárásainak leírása, amelyek biztosítják a csalás, a korrupció és az összeférhetetlenség megelőzését, felderítését és korrekcióját. </w:t>
      </w:r>
    </w:p>
    <w:p w14:paraId="3E035756" w14:textId="22770397" w:rsidR="00D65CB4" w:rsidRPr="00BC4EE7" w:rsidRDefault="00572307">
      <w:pPr>
        <w:pStyle w:val="P68B1DB1-ListParagraph6"/>
        <w:numPr>
          <w:ilvl w:val="1"/>
          <w:numId w:val="764"/>
        </w:numPr>
        <w:jc w:val="both"/>
        <w:rPr>
          <w:rFonts w:eastAsia="Times New Roman" w:cs="Times New Roman"/>
          <w:noProof/>
        </w:rPr>
      </w:pPr>
      <w:r w:rsidRPr="00BC4EE7">
        <w:rPr>
          <w:rFonts w:cs="Times New Roman"/>
          <w:noProof/>
        </w:rPr>
        <w:t xml:space="preserve">Az egyes műveletek támogathatóságának ellenőrzésére vonatkozó kötelezettség a Békekeretet létrehozó rendeletekben meghatározott követelményekkel összhangban, mielőtt kötelezettséget vállalnának egy művelet finanszírozására. </w:t>
      </w:r>
    </w:p>
    <w:p w14:paraId="213A65F2" w14:textId="7EF11A41" w:rsidR="00D65CB4" w:rsidRPr="00BC4EE7" w:rsidRDefault="00572307">
      <w:pPr>
        <w:pStyle w:val="P68B1DB1-ListParagraph6"/>
        <w:numPr>
          <w:ilvl w:val="1"/>
          <w:numId w:val="764"/>
        </w:numPr>
        <w:jc w:val="both"/>
        <w:rPr>
          <w:rFonts w:eastAsia="Times New Roman" w:cs="Times New Roman"/>
          <w:noProof/>
        </w:rPr>
      </w:pPr>
      <w:r w:rsidRPr="00BC4EE7">
        <w:rPr>
          <w:rFonts w:cs="Times New Roman"/>
          <w:noProof/>
        </w:rPr>
        <w:t xml:space="preserve">A COFIDES ellenőrzési tervével összhangban kockázatalapú utólagos ellenőrzések elvégzésére vonatkozó kötelezettség. Ezeknek az ellenőrzéseknek meg kell győződniük i. arról, hogy az ellenőrzési rendszerek hatékonyak-e, beleértve a csalás, a korrupció és az összeférhetetlenség felderítését; a DNSH-elvnek, az állami támogatásokra vonatkozó szabályoknak, valamint az éghajlat-politikai és digitális célkitűzésekre vonatkozó követelményeknek való megfelelés; és iii. betartották azt a követelményt, amely szerint a közvetítőnek ellenőriznie kell, hogy a végső kedvezményezett felelősségteljes nyilatkozatot nyújt-e be annak ellenőrzése érdekében, hogy ugyanazt a költséget egy másik uniós eszköz fedezi-e. Az ellenőrzéseknek azt is meg kell vizsgálniuk, hogy az ügyletek jogszerűek-e, és hogy betartják-e az alkalmazandó rendeletben, valamint az eszközt és a finanszírozási megállapodásokat létrehozó kapcsolódó dokumentumokban foglalt feltételeket. </w:t>
      </w:r>
    </w:p>
    <w:p w14:paraId="5865B760" w14:textId="770FCCE6" w:rsidR="00D65CB4" w:rsidRPr="00BC4EE7" w:rsidRDefault="00572307">
      <w:pPr>
        <w:pStyle w:val="P68B1DB1-ListParagraph6"/>
        <w:numPr>
          <w:ilvl w:val="0"/>
          <w:numId w:val="764"/>
        </w:numPr>
        <w:jc w:val="both"/>
        <w:rPr>
          <w:rFonts w:eastAsia="Times New Roman" w:cs="Times New Roman"/>
          <w:noProof/>
        </w:rPr>
      </w:pPr>
      <w:r w:rsidRPr="00BC4EE7">
        <w:rPr>
          <w:rFonts w:cs="Times New Roman"/>
          <w:noProof/>
        </w:rPr>
        <w:t xml:space="preserve">A pénzügyi közvetítők kiválasztására vonatkozó követelmények: A COFIDES nyílt, átlátható és megkülönböztetésmentes módon választja ki a pénzügyi közvetítőket. A pénzügyi közvetítőket érintő összeférhetetlenség hiányára vonatkozó ellenőrzéseket előzetesen el kell végezni az informatikai rendszeren, például a Minerván keresztül valamennyi érintett pénzügyi szereplő esetében.  </w:t>
      </w:r>
    </w:p>
    <w:p w14:paraId="5138BC22" w14:textId="5AF03632" w:rsidR="00D65CB4" w:rsidRPr="00BC4EE7" w:rsidRDefault="00572307">
      <w:pPr>
        <w:pStyle w:val="P68B1DB1-ListParagraph6"/>
        <w:numPr>
          <w:ilvl w:val="0"/>
          <w:numId w:val="764"/>
        </w:numPr>
        <w:jc w:val="both"/>
        <w:rPr>
          <w:rFonts w:eastAsia="Times New Roman" w:cs="Times New Roman"/>
          <w:noProof/>
        </w:rPr>
      </w:pPr>
      <w:r w:rsidRPr="00BC4EE7">
        <w:rPr>
          <w:rFonts w:cs="Times New Roman"/>
          <w:noProof/>
        </w:rPr>
        <w:t xml:space="preserve">Finanszírozási megállapodások aláírására vonatkozó kötelezettség: A COFIDES finanszírozási megállapodásokat ír alá a pénzügyi közvetítőkkel a mechanizmust létrehozó kapcsolódó dokumentumok részeként benyújtandó kulcsfontosságú követelményekkel összhangban. A finanszírozási megállapodás fő követelményeinek magukban kell foglalniuk mindazokat a követelményeket, amelyek alapján az eszköz működik, beleértve a következőket:  </w:t>
      </w:r>
    </w:p>
    <w:p w14:paraId="09C24E1C" w14:textId="77777777" w:rsidR="00D65CB4" w:rsidRPr="00BC4EE7" w:rsidRDefault="00572307">
      <w:pPr>
        <w:pStyle w:val="P68B1DB1-ListParagraph6"/>
        <w:numPr>
          <w:ilvl w:val="1"/>
          <w:numId w:val="764"/>
        </w:numPr>
        <w:jc w:val="both"/>
        <w:rPr>
          <w:rFonts w:cs="Times New Roman"/>
          <w:noProof/>
        </w:rPr>
      </w:pPr>
      <w:r w:rsidRPr="00BC4EE7">
        <w:rPr>
          <w:rFonts w:cs="Times New Roman"/>
          <w:noProof/>
        </w:rPr>
        <w:t xml:space="preserve">A pénzügyi közvetítő azon kötelezettsége, hogy döntéseit </w:t>
      </w:r>
      <w:r w:rsidRPr="00BC4EE7">
        <w:rPr>
          <w:rFonts w:cs="Times New Roman"/>
          <w:i/>
          <w:noProof/>
        </w:rPr>
        <w:t>értelemszerűen</w:t>
      </w:r>
      <w:r w:rsidRPr="00BC4EE7">
        <w:rPr>
          <w:rFonts w:cs="Times New Roman"/>
          <w:noProof/>
        </w:rPr>
        <w:t xml:space="preserve"> a fent meghatározott döntéshozatali és beruházási politikai követelményeknek megfelelően hozza meg, beleértve a DNSH-elv tiszteletben tartásával kapcsolatos követelményeket is. </w:t>
      </w:r>
    </w:p>
    <w:p w14:paraId="7E3B4622" w14:textId="77777777" w:rsidR="00D65CB4" w:rsidRPr="00BC4EE7" w:rsidRDefault="00572307">
      <w:pPr>
        <w:pStyle w:val="P68B1DB1-ListParagraph6"/>
        <w:numPr>
          <w:ilvl w:val="1"/>
          <w:numId w:val="764"/>
        </w:numPr>
        <w:jc w:val="both"/>
        <w:rPr>
          <w:rFonts w:cs="Times New Roman"/>
          <w:noProof/>
        </w:rPr>
      </w:pPr>
      <w:r w:rsidRPr="00BC4EE7">
        <w:rPr>
          <w:rFonts w:cs="Times New Roman"/>
          <w:noProof/>
        </w:rPr>
        <w:t xml:space="preserve">A pénzügyi közvetítő által létrehozandó nyomonkövetési, ellenőrzési és kontrollkeret leírása, amelyre </w:t>
      </w:r>
      <w:r w:rsidRPr="00BC4EE7">
        <w:rPr>
          <w:rFonts w:cs="Times New Roman"/>
          <w:i/>
          <w:noProof/>
        </w:rPr>
        <w:t>értelemszerűen</w:t>
      </w:r>
      <w:r w:rsidRPr="00BC4EE7">
        <w:rPr>
          <w:rFonts w:cs="Times New Roman"/>
          <w:noProof/>
        </w:rPr>
        <w:t xml:space="preserve"> a fent meghatározott valamennyi nyomonkövetési, ellenőrzési és kontrollkövetelmény vonatkozik.  </w:t>
      </w:r>
    </w:p>
    <w:p w14:paraId="42FE8EDF" w14:textId="79B707A0" w:rsidR="00D65CB4" w:rsidRPr="00BC4EE7" w:rsidRDefault="00572307">
      <w:pPr>
        <w:pStyle w:val="P68B1DB1-Normal4"/>
        <w:spacing w:line="240" w:lineRule="auto"/>
        <w:jc w:val="both"/>
        <w:rPr>
          <w:rFonts w:eastAsia="Times New Roman" w:cs="Times New Roman"/>
          <w:noProof/>
        </w:rPr>
      </w:pPr>
      <w:r w:rsidRPr="00BC4EE7">
        <w:rPr>
          <w:rFonts w:cs="Times New Roman"/>
          <w:noProof/>
        </w:rPr>
        <w:t>Az intézkedés végrehajtását 2026. augusztus 31-ig be kell fejezni.</w:t>
      </w:r>
    </w:p>
    <w:p w14:paraId="5E053EF4" w14:textId="3F4660FC" w:rsidR="00D65CB4" w:rsidRPr="00BC4EE7" w:rsidRDefault="00572307">
      <w:pPr>
        <w:spacing w:before="120" w:after="120" w:line="240" w:lineRule="auto"/>
        <w:ind w:left="709"/>
        <w:jc w:val="both"/>
        <w:rPr>
          <w:rFonts w:ascii="Times New Roman" w:hAnsi="Times New Roman" w:cs="Times New Roman"/>
          <w:b/>
          <w:noProof/>
          <w:sz w:val="24"/>
          <w:u w:val="single"/>
        </w:rPr>
      </w:pPr>
      <w:r w:rsidRPr="00BC4EE7">
        <w:rPr>
          <w:rFonts w:ascii="Times New Roman" w:hAnsi="Times New Roman" w:cs="Times New Roman"/>
          <w:b/>
          <w:noProof/>
          <w:sz w:val="24"/>
          <w:u w:val="single"/>
        </w:rPr>
        <w:t xml:space="preserve">V.4.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A hiteltámogatás nyomon követésére és végrehajtására vonatkozó mérföldkövek, célok, mutatók és ütemterv</w:t>
      </w:r>
    </w:p>
    <w:p w14:paraId="0A4CEC96" w14:textId="0A0385A2" w:rsidR="00D65CB4" w:rsidRPr="00BC4EE7" w:rsidRDefault="00572307">
      <w:pPr>
        <w:pStyle w:val="P68B1DB1-Normal4"/>
        <w:spacing w:before="120" w:after="120" w:line="240" w:lineRule="auto"/>
        <w:jc w:val="both"/>
        <w:rPr>
          <w:rFonts w:cs="Times New Roman"/>
          <w:noProof/>
        </w:rPr>
      </w:pPr>
      <w:r w:rsidRPr="00BC4EE7">
        <w:rPr>
          <w:rFonts w:cs="Times New Roman"/>
          <w:i/>
          <w:noProof/>
        </w:rPr>
        <w:t>Táblázat alább.</w:t>
      </w:r>
      <w:r w:rsidRPr="00BC4EE7">
        <w:rPr>
          <w:rFonts w:cs="Times New Roman"/>
          <w:noProof/>
        </w:rPr>
        <w:t xml:space="preserve"> </w:t>
      </w:r>
      <w:r w:rsidRPr="00BC4EE7">
        <w:rPr>
          <w:rFonts w:cs="Times New Roman"/>
          <w:i/>
          <w:noProof/>
        </w:rPr>
        <w:t>Az összes mutató esetében az alapforgatókönyv időpontja 2020. február 1., kivéve, ha az intézkedés leírása ettől eltérően rendelkezik.</w:t>
      </w:r>
    </w:p>
    <w:p w14:paraId="7DAC8207" w14:textId="77777777" w:rsidR="00D65CB4" w:rsidRPr="00BC4EE7" w:rsidRDefault="00D65CB4">
      <w:pPr>
        <w:spacing w:line="240" w:lineRule="auto"/>
        <w:jc w:val="both"/>
        <w:rPr>
          <w:rFonts w:ascii="Times New Roman" w:eastAsia="Times New Roman" w:hAnsi="Times New Roman" w:cs="Times New Roman"/>
          <w:noProof/>
          <w:sz w:val="24"/>
        </w:rPr>
      </w:pPr>
    </w:p>
    <w:p w14:paraId="0A7FA34A" w14:textId="77777777" w:rsidR="00D65CB4" w:rsidRPr="00BC4EE7" w:rsidRDefault="00D65CB4">
      <w:pPr>
        <w:spacing w:line="240" w:lineRule="auto"/>
        <w:jc w:val="both"/>
        <w:rPr>
          <w:rFonts w:ascii="Times New Roman" w:eastAsia="Times New Roman" w:hAnsi="Times New Roman" w:cs="Times New Roman"/>
          <w:noProof/>
          <w:sz w:val="24"/>
        </w:rPr>
      </w:pPr>
    </w:p>
    <w:p w14:paraId="5DA8070D" w14:textId="77777777" w:rsidR="00D65CB4" w:rsidRPr="00BC4EE7" w:rsidRDefault="00D65CB4">
      <w:pPr>
        <w:jc w:val="both"/>
        <w:rPr>
          <w:rFonts w:ascii="Times New Roman" w:eastAsiaTheme="minorEastAsia" w:hAnsi="Times New Roman" w:cs="Times New Roman"/>
          <w:noProof/>
          <w:sz w:val="24"/>
        </w:rPr>
        <w:sectPr w:rsidR="00D65CB4" w:rsidRPr="00BC4EE7" w:rsidSect="00B511EF">
          <w:headerReference w:type="even" r:id="rId454"/>
          <w:headerReference w:type="default" r:id="rId455"/>
          <w:footerReference w:type="even" r:id="rId456"/>
          <w:footerReference w:type="default" r:id="rId457"/>
          <w:headerReference w:type="first" r:id="rId458"/>
          <w:footerReference w:type="first" r:id="rId459"/>
          <w:pgSz w:w="11907" w:h="16839"/>
          <w:pgMar w:top="1134" w:right="1134" w:bottom="1134" w:left="1134" w:header="567" w:footer="567" w:gutter="0"/>
          <w:cols w:space="720"/>
          <w:docGrid w:linePitch="360"/>
        </w:sectPr>
      </w:pPr>
    </w:p>
    <w:p w14:paraId="12236E45" w14:textId="77777777" w:rsidR="00D65CB4" w:rsidRPr="00BC4EE7" w:rsidRDefault="00D65CB4">
      <w:pPr>
        <w:rPr>
          <w:rFonts w:ascii="Times New Roman" w:hAnsi="Times New Roman" w:cs="Times New Roman"/>
          <w:noProof/>
        </w:rPr>
      </w:pPr>
    </w:p>
    <w:tbl>
      <w:tblPr>
        <w:tblpPr w:leftFromText="141" w:rightFromText="141" w:vertAnchor="text" w:horzAnchor="margin" w:tblpY="507"/>
        <w:tblW w:w="14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70" w:type="dxa"/>
        </w:tblCellMar>
        <w:tblLook w:val="04A0" w:firstRow="1" w:lastRow="0" w:firstColumn="1" w:lastColumn="0" w:noHBand="0" w:noVBand="1"/>
      </w:tblPr>
      <w:tblGrid>
        <w:gridCol w:w="518"/>
        <w:gridCol w:w="918"/>
        <w:gridCol w:w="918"/>
        <w:gridCol w:w="1738"/>
        <w:gridCol w:w="1560"/>
        <w:gridCol w:w="638"/>
        <w:gridCol w:w="992"/>
        <w:gridCol w:w="850"/>
        <w:gridCol w:w="567"/>
        <w:gridCol w:w="709"/>
        <w:gridCol w:w="5953"/>
      </w:tblGrid>
      <w:tr w:rsidR="00D65CB4" w:rsidRPr="00BC4EE7" w14:paraId="2C8BFD81" w14:textId="77777777">
        <w:trPr>
          <w:trHeight w:val="524"/>
        </w:trPr>
        <w:tc>
          <w:tcPr>
            <w:tcW w:w="850" w:type="dxa"/>
            <w:vMerge w:val="restart"/>
            <w:shd w:val="clear" w:color="auto" w:fill="C6D9F1" w:themeFill="text2" w:themeFillTint="33"/>
            <w:vAlign w:val="center"/>
          </w:tcPr>
          <w:p w14:paraId="3B8DBAD9" w14:textId="5CFB30F8" w:rsidR="00D65CB4" w:rsidRPr="00BC4EE7" w:rsidRDefault="00572307">
            <w:pPr>
              <w:pStyle w:val="P68B1DB1-Normal8"/>
              <w:spacing w:after="0" w:line="240" w:lineRule="auto"/>
              <w:jc w:val="center"/>
              <w:rPr>
                <w:rFonts w:cs="Times New Roman"/>
                <w:noProof/>
              </w:rPr>
            </w:pPr>
            <w:r w:rsidRPr="00BC4EE7">
              <w:rPr>
                <w:rFonts w:cs="Times New Roman"/>
                <w:noProof/>
              </w:rPr>
              <w:t>Szám</w:t>
            </w:r>
          </w:p>
        </w:tc>
        <w:tc>
          <w:tcPr>
            <w:tcW w:w="850" w:type="dxa"/>
            <w:vMerge w:val="restart"/>
            <w:shd w:val="clear" w:color="auto" w:fill="C6D9F1" w:themeFill="text2" w:themeFillTint="33"/>
            <w:vAlign w:val="center"/>
            <w:hideMark/>
          </w:tcPr>
          <w:p w14:paraId="2E1D7C96"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 xml:space="preserve">Intézkedés </w:t>
            </w:r>
          </w:p>
          <w:p w14:paraId="5500F1CE" w14:textId="3C415CA9" w:rsidR="00D65CB4" w:rsidRPr="00BC4EE7" w:rsidRDefault="00572307">
            <w:pPr>
              <w:pStyle w:val="P68B1DB1-Normal8"/>
              <w:spacing w:after="0" w:line="240" w:lineRule="auto"/>
              <w:jc w:val="center"/>
              <w:rPr>
                <w:rFonts w:cs="Times New Roman"/>
                <w:noProof/>
              </w:rPr>
            </w:pPr>
            <w:r w:rsidRPr="00BC4EE7">
              <w:rPr>
                <w:rFonts w:cs="Times New Roman"/>
                <w:noProof/>
              </w:rPr>
              <w:t xml:space="preserve"> </w:t>
            </w:r>
          </w:p>
        </w:tc>
        <w:tc>
          <w:tcPr>
            <w:tcW w:w="851" w:type="dxa"/>
            <w:vMerge w:val="restart"/>
            <w:shd w:val="clear" w:color="auto" w:fill="C6D9F1" w:themeFill="text2" w:themeFillTint="33"/>
            <w:vAlign w:val="center"/>
            <w:hideMark/>
          </w:tcPr>
          <w:p w14:paraId="20495EDA"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Mérföldkő</w:t>
            </w:r>
          </w:p>
          <w:p w14:paraId="3B22CAB3"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/Cél</w:t>
            </w:r>
          </w:p>
          <w:p w14:paraId="39C8A411" w14:textId="40C6FF22" w:rsidR="00D65CB4" w:rsidRPr="00BC4EE7" w:rsidRDefault="00572307">
            <w:pPr>
              <w:pStyle w:val="P68B1DB1-Normal8"/>
              <w:spacing w:after="0" w:line="240" w:lineRule="auto"/>
              <w:jc w:val="center"/>
              <w:rPr>
                <w:rFonts w:cs="Times New Roman"/>
                <w:noProof/>
              </w:rPr>
            </w:pPr>
            <w:r w:rsidRPr="00BC4EE7">
              <w:rPr>
                <w:rFonts w:cs="Times New Roman"/>
                <w:noProof/>
              </w:rPr>
              <w:t xml:space="preserve"> </w:t>
            </w:r>
          </w:p>
        </w:tc>
        <w:tc>
          <w:tcPr>
            <w:tcW w:w="1417" w:type="dxa"/>
            <w:vMerge w:val="restart"/>
            <w:shd w:val="clear" w:color="auto" w:fill="C6D9F1" w:themeFill="text2" w:themeFillTint="33"/>
            <w:vAlign w:val="center"/>
            <w:hideMark/>
          </w:tcPr>
          <w:p w14:paraId="51B81471"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Név</w:t>
            </w:r>
          </w:p>
          <w:p w14:paraId="614AF5F8" w14:textId="1DF51E80" w:rsidR="00D65CB4" w:rsidRPr="00BC4EE7" w:rsidRDefault="00572307">
            <w:pPr>
              <w:pStyle w:val="P68B1DB1-Normal8"/>
              <w:spacing w:after="0" w:line="240" w:lineRule="auto"/>
              <w:jc w:val="center"/>
              <w:rPr>
                <w:rFonts w:cs="Times New Roman"/>
                <w:noProof/>
              </w:rPr>
            </w:pPr>
            <w:r w:rsidRPr="00BC4EE7">
              <w:rPr>
                <w:rFonts w:cs="Times New Roman"/>
                <w:noProof/>
              </w:rPr>
              <w:t xml:space="preserve"> </w:t>
            </w:r>
          </w:p>
        </w:tc>
        <w:tc>
          <w:tcPr>
            <w:tcW w:w="1560" w:type="dxa"/>
            <w:vMerge w:val="restart"/>
            <w:shd w:val="clear" w:color="auto" w:fill="C6D9F1" w:themeFill="text2" w:themeFillTint="33"/>
            <w:vAlign w:val="center"/>
            <w:hideMark/>
          </w:tcPr>
          <w:p w14:paraId="1ACE322D"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 xml:space="preserve">Minőségi mutatók (a mérföldkövekhez) </w:t>
            </w:r>
          </w:p>
          <w:p w14:paraId="13CB041D" w14:textId="7367A5A3" w:rsidR="00D65CB4" w:rsidRPr="00BC4EE7" w:rsidRDefault="00572307">
            <w:pPr>
              <w:pStyle w:val="P68B1DB1-Normal8"/>
              <w:spacing w:after="0" w:line="240" w:lineRule="auto"/>
              <w:jc w:val="center"/>
              <w:rPr>
                <w:rFonts w:cs="Times New Roman"/>
                <w:noProof/>
              </w:rPr>
            </w:pPr>
            <w:r w:rsidRPr="00BC4EE7">
              <w:rPr>
                <w:rFonts w:cs="Times New Roman"/>
                <w:noProof/>
              </w:rPr>
              <w:t xml:space="preserve"> </w:t>
            </w:r>
          </w:p>
        </w:tc>
        <w:tc>
          <w:tcPr>
            <w:tcW w:w="1984" w:type="dxa"/>
            <w:gridSpan w:val="3"/>
            <w:shd w:val="clear" w:color="auto" w:fill="C6D9F1" w:themeFill="text2" w:themeFillTint="33"/>
            <w:vAlign w:val="center"/>
            <w:hideMark/>
          </w:tcPr>
          <w:p w14:paraId="6E6977EB" w14:textId="4486EAF7" w:rsidR="00D65CB4" w:rsidRPr="00BC4EE7" w:rsidRDefault="00572307">
            <w:pPr>
              <w:pStyle w:val="P68B1DB1-Normal8"/>
              <w:spacing w:after="0" w:line="240" w:lineRule="auto"/>
              <w:jc w:val="center"/>
              <w:rPr>
                <w:rFonts w:cs="Times New Roman"/>
                <w:noProof/>
              </w:rPr>
            </w:pPr>
            <w:r w:rsidRPr="00BC4EE7">
              <w:rPr>
                <w:rFonts w:cs="Times New Roman"/>
                <w:noProof/>
              </w:rPr>
              <w:t xml:space="preserve">Mennyiségi mutatók (a célérték tekintetében) </w:t>
            </w:r>
          </w:p>
        </w:tc>
        <w:tc>
          <w:tcPr>
            <w:tcW w:w="1276" w:type="dxa"/>
            <w:gridSpan w:val="2"/>
            <w:shd w:val="clear" w:color="auto" w:fill="C6D9F1" w:themeFill="text2" w:themeFillTint="33"/>
            <w:vAlign w:val="center"/>
            <w:hideMark/>
          </w:tcPr>
          <w:p w14:paraId="5F2A52BA"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 xml:space="preserve">Idő </w:t>
            </w:r>
          </w:p>
        </w:tc>
        <w:tc>
          <w:tcPr>
            <w:tcW w:w="5953" w:type="dxa"/>
            <w:vMerge w:val="restart"/>
            <w:shd w:val="clear" w:color="auto" w:fill="C6D9F1" w:themeFill="text2" w:themeFillTint="33"/>
            <w:vAlign w:val="center"/>
            <w:hideMark/>
          </w:tcPr>
          <w:p w14:paraId="7416F018"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 xml:space="preserve">Az egyes mérföldkövek és célkitűzések leírása </w:t>
            </w:r>
          </w:p>
          <w:p w14:paraId="75B49A2F" w14:textId="2F05C254" w:rsidR="00D65CB4" w:rsidRPr="00BC4EE7" w:rsidRDefault="00572307">
            <w:pPr>
              <w:pStyle w:val="P68B1DB1-Normal8"/>
              <w:spacing w:after="0" w:line="240" w:lineRule="auto"/>
              <w:jc w:val="center"/>
              <w:rPr>
                <w:rFonts w:cs="Times New Roman"/>
                <w:noProof/>
              </w:rPr>
            </w:pPr>
            <w:r w:rsidRPr="00BC4EE7">
              <w:rPr>
                <w:rFonts w:cs="Times New Roman"/>
                <w:noProof/>
              </w:rPr>
              <w:t xml:space="preserve"> </w:t>
            </w:r>
          </w:p>
        </w:tc>
      </w:tr>
      <w:tr w:rsidR="00D65CB4" w:rsidRPr="00BC4EE7" w14:paraId="17E2B9AE" w14:textId="77777777">
        <w:trPr>
          <w:trHeight w:val="387"/>
        </w:trPr>
        <w:tc>
          <w:tcPr>
            <w:tcW w:w="850" w:type="dxa"/>
            <w:vMerge/>
            <w:shd w:val="clear" w:color="auto" w:fill="C6D9F1" w:themeFill="text2" w:themeFillTint="33"/>
          </w:tcPr>
          <w:p w14:paraId="67834127" w14:textId="77777777" w:rsidR="00D65CB4" w:rsidRPr="00BC4EE7" w:rsidRDefault="00D65CB4">
            <w:pPr>
              <w:spacing w:after="0" w:line="240" w:lineRule="auto"/>
              <w:jc w:val="center"/>
              <w:rPr>
                <w:rFonts w:ascii="Times New Roman" w:hAnsi="Times New Roman" w:cs="Times New Roman"/>
                <w:b/>
                <w:noProof/>
                <w:sz w:val="18"/>
              </w:rPr>
            </w:pPr>
          </w:p>
        </w:tc>
        <w:tc>
          <w:tcPr>
            <w:tcW w:w="850" w:type="dxa"/>
            <w:vMerge/>
            <w:shd w:val="clear" w:color="auto" w:fill="C6D9F1" w:themeFill="text2" w:themeFillTint="33"/>
            <w:noWrap/>
            <w:vAlign w:val="bottom"/>
            <w:hideMark/>
          </w:tcPr>
          <w:p w14:paraId="4F8DD208" w14:textId="501E1BCE" w:rsidR="00D65CB4" w:rsidRPr="00BC4EE7" w:rsidRDefault="00D65CB4">
            <w:pPr>
              <w:spacing w:after="0" w:line="240" w:lineRule="auto"/>
              <w:jc w:val="center"/>
              <w:rPr>
                <w:rFonts w:ascii="Times New Roman" w:hAnsi="Times New Roman" w:cs="Times New Roman"/>
                <w:b/>
                <w:noProof/>
                <w:sz w:val="18"/>
              </w:rPr>
            </w:pPr>
          </w:p>
        </w:tc>
        <w:tc>
          <w:tcPr>
            <w:tcW w:w="851" w:type="dxa"/>
            <w:vMerge/>
            <w:shd w:val="clear" w:color="auto" w:fill="C6D9F1" w:themeFill="text2" w:themeFillTint="33"/>
            <w:noWrap/>
            <w:vAlign w:val="bottom"/>
            <w:hideMark/>
          </w:tcPr>
          <w:p w14:paraId="0EBF6A61" w14:textId="4BBD6043" w:rsidR="00D65CB4" w:rsidRPr="00BC4EE7" w:rsidRDefault="00D65CB4">
            <w:pPr>
              <w:spacing w:after="0" w:line="240" w:lineRule="auto"/>
              <w:jc w:val="center"/>
              <w:rPr>
                <w:rFonts w:ascii="Times New Roman" w:hAnsi="Times New Roman" w:cs="Times New Roman"/>
                <w:b/>
                <w:noProof/>
                <w:sz w:val="18"/>
              </w:rPr>
            </w:pPr>
          </w:p>
        </w:tc>
        <w:tc>
          <w:tcPr>
            <w:tcW w:w="1417" w:type="dxa"/>
            <w:vMerge/>
            <w:shd w:val="clear" w:color="auto" w:fill="C6D9F1" w:themeFill="text2" w:themeFillTint="33"/>
            <w:noWrap/>
            <w:vAlign w:val="bottom"/>
            <w:hideMark/>
          </w:tcPr>
          <w:p w14:paraId="6060CD2C" w14:textId="532BC882" w:rsidR="00D65CB4" w:rsidRPr="00BC4EE7" w:rsidRDefault="00D65CB4">
            <w:pPr>
              <w:spacing w:after="0" w:line="240" w:lineRule="auto"/>
              <w:jc w:val="center"/>
              <w:rPr>
                <w:rFonts w:ascii="Times New Roman" w:hAnsi="Times New Roman" w:cs="Times New Roman"/>
                <w:b/>
                <w:noProof/>
                <w:sz w:val="18"/>
              </w:rPr>
            </w:pPr>
          </w:p>
        </w:tc>
        <w:tc>
          <w:tcPr>
            <w:tcW w:w="1560" w:type="dxa"/>
            <w:vMerge/>
            <w:shd w:val="clear" w:color="auto" w:fill="C6D9F1" w:themeFill="text2" w:themeFillTint="33"/>
            <w:noWrap/>
            <w:vAlign w:val="bottom"/>
            <w:hideMark/>
          </w:tcPr>
          <w:p w14:paraId="7CAC0B30" w14:textId="5651CA64" w:rsidR="00D65CB4" w:rsidRPr="00BC4EE7" w:rsidRDefault="00D65CB4">
            <w:pPr>
              <w:spacing w:after="0" w:line="240" w:lineRule="auto"/>
              <w:jc w:val="center"/>
              <w:rPr>
                <w:rFonts w:ascii="Times New Roman" w:hAnsi="Times New Roman" w:cs="Times New Roman"/>
                <w:b/>
                <w:noProof/>
                <w:sz w:val="18"/>
              </w:rPr>
            </w:pPr>
          </w:p>
        </w:tc>
        <w:tc>
          <w:tcPr>
            <w:tcW w:w="567" w:type="dxa"/>
            <w:shd w:val="clear" w:color="auto" w:fill="C6D9F1" w:themeFill="text2" w:themeFillTint="33"/>
            <w:vAlign w:val="center"/>
            <w:hideMark/>
          </w:tcPr>
          <w:p w14:paraId="6F363A74"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Egység</w:t>
            </w:r>
          </w:p>
        </w:tc>
        <w:tc>
          <w:tcPr>
            <w:tcW w:w="992" w:type="dxa"/>
            <w:shd w:val="clear" w:color="auto" w:fill="C6D9F1" w:themeFill="text2" w:themeFillTint="33"/>
            <w:vAlign w:val="center"/>
            <w:hideMark/>
          </w:tcPr>
          <w:p w14:paraId="0E6D6476" w14:textId="7B99F263" w:rsidR="00D65CB4" w:rsidRPr="00BC4EE7" w:rsidRDefault="00572307">
            <w:pPr>
              <w:pStyle w:val="P68B1DB1-Normal8"/>
              <w:spacing w:after="0" w:line="240" w:lineRule="auto"/>
              <w:jc w:val="center"/>
              <w:rPr>
                <w:rFonts w:cs="Times New Roman"/>
                <w:noProof/>
              </w:rPr>
            </w:pPr>
            <w:r w:rsidRPr="00BC4EE7">
              <w:rPr>
                <w:rFonts w:cs="Times New Roman"/>
                <w:noProof/>
              </w:rPr>
              <w:t>Kiindulási</w:t>
            </w:r>
          </w:p>
        </w:tc>
        <w:tc>
          <w:tcPr>
            <w:tcW w:w="850" w:type="dxa"/>
            <w:shd w:val="clear" w:color="auto" w:fill="C6D9F1" w:themeFill="text2" w:themeFillTint="33"/>
            <w:vAlign w:val="center"/>
            <w:hideMark/>
          </w:tcPr>
          <w:p w14:paraId="15B3C123"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Cél</w:t>
            </w:r>
          </w:p>
        </w:tc>
        <w:tc>
          <w:tcPr>
            <w:tcW w:w="567" w:type="dxa"/>
            <w:shd w:val="clear" w:color="auto" w:fill="C6D9F1" w:themeFill="text2" w:themeFillTint="33"/>
            <w:vAlign w:val="center"/>
            <w:hideMark/>
          </w:tcPr>
          <w:p w14:paraId="2C050D05"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Q</w:t>
            </w:r>
          </w:p>
        </w:tc>
        <w:tc>
          <w:tcPr>
            <w:tcW w:w="709" w:type="dxa"/>
            <w:shd w:val="clear" w:color="auto" w:fill="C6D9F1" w:themeFill="text2" w:themeFillTint="33"/>
            <w:vAlign w:val="center"/>
            <w:hideMark/>
          </w:tcPr>
          <w:p w14:paraId="58D14039"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Éve</w:t>
            </w:r>
          </w:p>
        </w:tc>
        <w:tc>
          <w:tcPr>
            <w:tcW w:w="5953" w:type="dxa"/>
            <w:vMerge/>
            <w:shd w:val="clear" w:color="auto" w:fill="C6D9F1" w:themeFill="text2" w:themeFillTint="33"/>
            <w:noWrap/>
            <w:vAlign w:val="bottom"/>
            <w:hideMark/>
          </w:tcPr>
          <w:p w14:paraId="6E99A884" w14:textId="79EC2A12" w:rsidR="00D65CB4" w:rsidRPr="00BC4EE7" w:rsidRDefault="00D65CB4">
            <w:pPr>
              <w:spacing w:after="0" w:line="240" w:lineRule="auto"/>
              <w:jc w:val="center"/>
              <w:rPr>
                <w:rFonts w:ascii="Times New Roman" w:hAnsi="Times New Roman" w:cs="Times New Roman"/>
                <w:b/>
                <w:noProof/>
                <w:sz w:val="18"/>
              </w:rPr>
            </w:pPr>
          </w:p>
        </w:tc>
      </w:tr>
      <w:tr w:rsidR="00D65CB4" w:rsidRPr="00BC4EE7" w14:paraId="034BC744" w14:textId="77777777">
        <w:trPr>
          <w:trHeight w:val="284"/>
        </w:trPr>
        <w:tc>
          <w:tcPr>
            <w:tcW w:w="850" w:type="dxa"/>
            <w:shd w:val="clear" w:color="auto" w:fill="C6EFCE"/>
            <w:vAlign w:val="center"/>
          </w:tcPr>
          <w:p w14:paraId="0FF1B3D3" w14:textId="79E9E935" w:rsidR="00D65CB4" w:rsidRPr="00BC4EE7" w:rsidRDefault="00572307">
            <w:pPr>
              <w:pStyle w:val="P68B1DB1-Normal12"/>
              <w:spacing w:line="240" w:lineRule="auto"/>
              <w:jc w:val="center"/>
              <w:rPr>
                <w:rFonts w:cs="Times New Roman"/>
                <w:noProof/>
              </w:rPr>
            </w:pPr>
            <w:r w:rsidRPr="00BC4EE7">
              <w:rPr>
                <w:rFonts w:cs="Times New Roman"/>
                <w:noProof/>
              </w:rPr>
              <w:t>L71</w:t>
            </w:r>
          </w:p>
        </w:tc>
        <w:tc>
          <w:tcPr>
            <w:tcW w:w="850" w:type="dxa"/>
            <w:shd w:val="clear" w:color="auto" w:fill="C6EFCE"/>
            <w:noWrap/>
            <w:vAlign w:val="center"/>
            <w:hideMark/>
          </w:tcPr>
          <w:p w14:paraId="65EE4CF3" w14:textId="06F0DE26" w:rsidR="00D65CB4" w:rsidRPr="00BC4EE7" w:rsidRDefault="00572307">
            <w:pPr>
              <w:pStyle w:val="P68B1DB1-Normal12"/>
              <w:spacing w:line="240" w:lineRule="auto"/>
              <w:jc w:val="center"/>
              <w:rPr>
                <w:rFonts w:cs="Times New Roman"/>
                <w:noProof/>
              </w:rPr>
            </w:pPr>
            <w:r w:rsidRPr="00BC4EE7">
              <w:rPr>
                <w:rFonts w:cs="Times New Roman"/>
                <w:noProof/>
              </w:rPr>
              <w:t>C22.R6</w:t>
            </w:r>
          </w:p>
        </w:tc>
        <w:tc>
          <w:tcPr>
            <w:tcW w:w="851" w:type="dxa"/>
            <w:shd w:val="clear" w:color="auto" w:fill="C6EFCE"/>
            <w:noWrap/>
            <w:vAlign w:val="center"/>
            <w:hideMark/>
          </w:tcPr>
          <w:p w14:paraId="020AF999" w14:textId="77777777" w:rsidR="00D65CB4" w:rsidRPr="00BC4EE7" w:rsidRDefault="00572307">
            <w:pPr>
              <w:pStyle w:val="P68B1DB1-Normal12"/>
              <w:spacing w:line="240" w:lineRule="auto"/>
              <w:jc w:val="center"/>
              <w:rPr>
                <w:rFonts w:cs="Times New Roman"/>
                <w:noProof/>
              </w:rPr>
            </w:pPr>
            <w:r w:rsidRPr="00BC4EE7">
              <w:rPr>
                <w:rFonts w:cs="Times New Roman"/>
                <w:noProof/>
              </w:rPr>
              <w:t>M</w:t>
            </w:r>
          </w:p>
        </w:tc>
        <w:tc>
          <w:tcPr>
            <w:tcW w:w="1417" w:type="dxa"/>
            <w:shd w:val="clear" w:color="auto" w:fill="C6EFCE"/>
            <w:noWrap/>
            <w:vAlign w:val="center"/>
            <w:hideMark/>
          </w:tcPr>
          <w:p w14:paraId="7A160499" w14:textId="77777777" w:rsidR="00D65CB4" w:rsidRPr="00BC4EE7" w:rsidRDefault="00572307">
            <w:pPr>
              <w:pStyle w:val="P68B1DB1-Normal12"/>
              <w:spacing w:after="0" w:line="240" w:lineRule="auto"/>
              <w:rPr>
                <w:rFonts w:cs="Times New Roman"/>
                <w:noProof/>
              </w:rPr>
            </w:pPr>
            <w:r w:rsidRPr="00BC4EE7">
              <w:rPr>
                <w:rFonts w:cs="Times New Roman"/>
                <w:noProof/>
              </w:rPr>
              <w:t>A vonatkozó jogszabály hatálybalépése</w:t>
            </w:r>
          </w:p>
        </w:tc>
        <w:tc>
          <w:tcPr>
            <w:tcW w:w="1560" w:type="dxa"/>
            <w:shd w:val="clear" w:color="auto" w:fill="C6EFCE"/>
            <w:noWrap/>
            <w:vAlign w:val="center"/>
          </w:tcPr>
          <w:p w14:paraId="39BB4D42" w14:textId="77777777" w:rsidR="00D65CB4" w:rsidRPr="00BC4EE7" w:rsidRDefault="00572307">
            <w:pPr>
              <w:pStyle w:val="P68B1DB1-Normal12"/>
              <w:spacing w:after="0" w:line="240" w:lineRule="auto"/>
              <w:rPr>
                <w:rFonts w:cs="Times New Roman"/>
                <w:noProof/>
              </w:rPr>
            </w:pPr>
            <w:r w:rsidRPr="00BC4EE7">
              <w:rPr>
                <w:rFonts w:cs="Times New Roman"/>
                <w:noProof/>
              </w:rPr>
              <w:t>A jogszabály hatálybalépését előíró jogszabályi rendelkezés</w:t>
            </w:r>
          </w:p>
        </w:tc>
        <w:tc>
          <w:tcPr>
            <w:tcW w:w="567" w:type="dxa"/>
            <w:shd w:val="clear" w:color="auto" w:fill="C6EFCE"/>
            <w:noWrap/>
            <w:vAlign w:val="center"/>
            <w:hideMark/>
          </w:tcPr>
          <w:p w14:paraId="618FA821" w14:textId="77777777" w:rsidR="00D65CB4" w:rsidRPr="00BC4EE7" w:rsidRDefault="00572307">
            <w:pPr>
              <w:pStyle w:val="P68B1DB1-Normal12"/>
              <w:spacing w:after="0" w:line="240" w:lineRule="auto"/>
              <w:rPr>
                <w:rFonts w:cs="Times New Roman"/>
                <w:noProof/>
              </w:rPr>
            </w:pPr>
            <w:r w:rsidRPr="00BC4EE7">
              <w:rPr>
                <w:rFonts w:cs="Times New Roman"/>
                <w:noProof/>
              </w:rPr>
              <w:t xml:space="preserve"> </w:t>
            </w:r>
          </w:p>
        </w:tc>
        <w:tc>
          <w:tcPr>
            <w:tcW w:w="992" w:type="dxa"/>
            <w:shd w:val="clear" w:color="auto" w:fill="C6EFCE"/>
            <w:noWrap/>
            <w:vAlign w:val="center"/>
            <w:hideMark/>
          </w:tcPr>
          <w:p w14:paraId="5F31DAF2" w14:textId="69E958AE" w:rsidR="00D65CB4" w:rsidRPr="00BC4EE7" w:rsidRDefault="00D65CB4">
            <w:pPr>
              <w:spacing w:after="0" w:line="240" w:lineRule="auto"/>
              <w:ind w:left="-483" w:right="383"/>
              <w:jc w:val="center"/>
              <w:rPr>
                <w:rFonts w:ascii="Times New Roman" w:hAnsi="Times New Roman" w:cs="Times New Roman"/>
                <w:noProof/>
                <w:sz w:val="18"/>
              </w:rPr>
            </w:pPr>
          </w:p>
        </w:tc>
        <w:tc>
          <w:tcPr>
            <w:tcW w:w="850" w:type="dxa"/>
            <w:shd w:val="clear" w:color="auto" w:fill="C6EFCE"/>
            <w:noWrap/>
            <w:vAlign w:val="center"/>
            <w:hideMark/>
          </w:tcPr>
          <w:p w14:paraId="16A95168" w14:textId="37FC069E" w:rsidR="00D65CB4" w:rsidRPr="00BC4EE7" w:rsidRDefault="00D65CB4">
            <w:pPr>
              <w:spacing w:after="0" w:line="240" w:lineRule="auto"/>
              <w:jc w:val="center"/>
              <w:rPr>
                <w:rFonts w:ascii="Times New Roman" w:hAnsi="Times New Roman" w:cs="Times New Roman"/>
                <w:noProof/>
                <w:sz w:val="18"/>
              </w:rPr>
            </w:pPr>
          </w:p>
        </w:tc>
        <w:tc>
          <w:tcPr>
            <w:tcW w:w="567" w:type="dxa"/>
            <w:shd w:val="clear" w:color="auto" w:fill="C6EFCE"/>
            <w:noWrap/>
            <w:vAlign w:val="center"/>
            <w:hideMark/>
          </w:tcPr>
          <w:p w14:paraId="78A4ADF0" w14:textId="5A96BB75"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709" w:type="dxa"/>
            <w:shd w:val="clear" w:color="auto" w:fill="C6EFCE"/>
            <w:noWrap/>
            <w:vAlign w:val="center"/>
            <w:hideMark/>
          </w:tcPr>
          <w:p w14:paraId="60B1C200"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2025</w:t>
            </w:r>
          </w:p>
        </w:tc>
        <w:tc>
          <w:tcPr>
            <w:tcW w:w="5953" w:type="dxa"/>
            <w:shd w:val="clear" w:color="auto" w:fill="C6EFCE"/>
            <w:noWrap/>
            <w:vAlign w:val="center"/>
            <w:hideMark/>
          </w:tcPr>
          <w:p w14:paraId="38E9FAEA" w14:textId="3FD45C70" w:rsidR="00D65CB4" w:rsidRPr="00BC4EE7" w:rsidRDefault="00572307">
            <w:pPr>
              <w:pStyle w:val="P68B1DB1-Normal12"/>
              <w:spacing w:after="0" w:line="240" w:lineRule="auto"/>
              <w:rPr>
                <w:rFonts w:cs="Times New Roman"/>
                <w:noProof/>
              </w:rPr>
            </w:pPr>
            <w:r w:rsidRPr="00BC4EE7">
              <w:rPr>
                <w:rFonts w:cs="Times New Roman"/>
                <w:noProof/>
              </w:rPr>
              <w:t>A fogyasztók és felhasználók szociális és gazdasági kiszolgáltatott helyzetekkel szembeni védelméről szóló vonatkozó jogszabályok hatálybalépése, különös tekintettel a következőkre: a fogyasztók és felhasználók társadalmi és gazdasági kiszolgáltatott helyzetekkel szembeni védelméről szóló 4/2022. sz. törvény; a Braille Alphabet-jelölést és más formátumokat szabályozó királyi rendelet a különösen fontos árukhoz és fogyasztási cikkekhez való egyetemes hozzáférés biztosítása érdekében.</w:t>
            </w:r>
          </w:p>
        </w:tc>
      </w:tr>
      <w:tr w:rsidR="00D65CB4" w:rsidRPr="00BC4EE7" w14:paraId="73C58FD5" w14:textId="77777777">
        <w:trPr>
          <w:trHeight w:val="284"/>
        </w:trPr>
        <w:tc>
          <w:tcPr>
            <w:tcW w:w="850" w:type="dxa"/>
            <w:shd w:val="clear" w:color="auto" w:fill="C6EFCE"/>
            <w:vAlign w:val="center"/>
          </w:tcPr>
          <w:p w14:paraId="2AC62E93" w14:textId="44C03A15" w:rsidR="00D65CB4" w:rsidRPr="00BC4EE7" w:rsidRDefault="00572307">
            <w:pPr>
              <w:pStyle w:val="P68B1DB1-Normal12"/>
              <w:spacing w:line="240" w:lineRule="auto"/>
              <w:jc w:val="center"/>
              <w:rPr>
                <w:rFonts w:cs="Times New Roman"/>
                <w:noProof/>
              </w:rPr>
            </w:pPr>
            <w:r w:rsidRPr="00BC4EE7">
              <w:rPr>
                <w:rFonts w:cs="Times New Roman"/>
                <w:noProof/>
              </w:rPr>
              <w:t>L72</w:t>
            </w:r>
          </w:p>
        </w:tc>
        <w:tc>
          <w:tcPr>
            <w:tcW w:w="850" w:type="dxa"/>
            <w:shd w:val="clear" w:color="auto" w:fill="C6EFCE"/>
            <w:noWrap/>
            <w:vAlign w:val="center"/>
          </w:tcPr>
          <w:p w14:paraId="59DA870E" w14:textId="4DD4284E" w:rsidR="00D65CB4" w:rsidRPr="00BC4EE7" w:rsidRDefault="00572307">
            <w:pPr>
              <w:pStyle w:val="P68B1DB1-Normal12"/>
              <w:spacing w:line="240" w:lineRule="auto"/>
              <w:jc w:val="center"/>
              <w:rPr>
                <w:rFonts w:cs="Times New Roman"/>
                <w:noProof/>
              </w:rPr>
            </w:pPr>
            <w:r w:rsidRPr="00BC4EE7">
              <w:rPr>
                <w:rFonts w:cs="Times New Roman"/>
                <w:noProof/>
              </w:rPr>
              <w:t>C22.I6</w:t>
            </w:r>
          </w:p>
        </w:tc>
        <w:tc>
          <w:tcPr>
            <w:tcW w:w="851" w:type="dxa"/>
            <w:shd w:val="clear" w:color="auto" w:fill="C6EFCE"/>
            <w:noWrap/>
            <w:vAlign w:val="center"/>
          </w:tcPr>
          <w:p w14:paraId="2F7C1705" w14:textId="77777777" w:rsidR="00D65CB4" w:rsidRPr="00BC4EE7" w:rsidRDefault="00572307">
            <w:pPr>
              <w:pStyle w:val="P68B1DB1-Normal12"/>
              <w:spacing w:line="240" w:lineRule="auto"/>
              <w:jc w:val="center"/>
              <w:rPr>
                <w:rFonts w:cs="Times New Roman"/>
                <w:noProof/>
              </w:rPr>
            </w:pPr>
            <w:r w:rsidRPr="00BC4EE7">
              <w:rPr>
                <w:rFonts w:cs="Times New Roman"/>
                <w:noProof/>
              </w:rPr>
              <w:t>M</w:t>
            </w:r>
          </w:p>
        </w:tc>
        <w:tc>
          <w:tcPr>
            <w:tcW w:w="1417" w:type="dxa"/>
            <w:shd w:val="clear" w:color="auto" w:fill="C6EFCE"/>
            <w:noWrap/>
            <w:vAlign w:val="center"/>
          </w:tcPr>
          <w:p w14:paraId="468BD76F" w14:textId="19C75DB4" w:rsidR="00D65CB4" w:rsidRPr="00BC4EE7" w:rsidRDefault="00572307">
            <w:pPr>
              <w:pStyle w:val="P68B1DB1-Normal12"/>
              <w:spacing w:after="0" w:line="240" w:lineRule="auto"/>
              <w:rPr>
                <w:rFonts w:cs="Times New Roman"/>
                <w:noProof/>
              </w:rPr>
            </w:pPr>
            <w:r w:rsidRPr="00BC4EE7">
              <w:rPr>
                <w:rFonts w:cs="Times New Roman"/>
                <w:noProof/>
              </w:rPr>
              <w:t>Szociális Hatásalap: Rendelet az eszköz létrehozásáról</w:t>
            </w:r>
          </w:p>
        </w:tc>
        <w:tc>
          <w:tcPr>
            <w:tcW w:w="1560" w:type="dxa"/>
            <w:shd w:val="clear" w:color="auto" w:fill="C6EFCE"/>
            <w:noWrap/>
            <w:vAlign w:val="center"/>
          </w:tcPr>
          <w:p w14:paraId="7DD49523" w14:textId="020229C4" w:rsidR="00D65CB4" w:rsidRPr="00BC4EE7" w:rsidRDefault="00572307">
            <w:pPr>
              <w:pStyle w:val="P68B1DB1-Normal12"/>
              <w:spacing w:after="0" w:line="240" w:lineRule="auto"/>
              <w:rPr>
                <w:rFonts w:cs="Times New Roman"/>
                <w:noProof/>
              </w:rPr>
            </w:pPr>
            <w:r w:rsidRPr="00BC4EE7">
              <w:rPr>
                <w:rFonts w:cs="Times New Roman"/>
                <w:noProof/>
              </w:rPr>
              <w:t>Az eszközt létrehozó rendelet hatálybalépése</w:t>
            </w:r>
          </w:p>
        </w:tc>
        <w:tc>
          <w:tcPr>
            <w:tcW w:w="567" w:type="dxa"/>
            <w:shd w:val="clear" w:color="auto" w:fill="C6EFCE"/>
            <w:noWrap/>
            <w:vAlign w:val="center"/>
          </w:tcPr>
          <w:p w14:paraId="5F6A5B6B" w14:textId="77777777" w:rsidR="00D65CB4" w:rsidRPr="00BC4EE7" w:rsidRDefault="00D65CB4">
            <w:pPr>
              <w:spacing w:after="0" w:line="240" w:lineRule="auto"/>
              <w:rPr>
                <w:rFonts w:ascii="Times New Roman" w:hAnsi="Times New Roman" w:cs="Times New Roman"/>
                <w:noProof/>
                <w:sz w:val="18"/>
              </w:rPr>
            </w:pPr>
          </w:p>
        </w:tc>
        <w:tc>
          <w:tcPr>
            <w:tcW w:w="992" w:type="dxa"/>
            <w:shd w:val="clear" w:color="auto" w:fill="C6EFCE"/>
            <w:noWrap/>
            <w:vAlign w:val="center"/>
          </w:tcPr>
          <w:p w14:paraId="0E4213E1" w14:textId="77777777" w:rsidR="00D65CB4" w:rsidRPr="00BC4EE7" w:rsidRDefault="00D65CB4">
            <w:pPr>
              <w:spacing w:after="0" w:line="240" w:lineRule="auto"/>
              <w:jc w:val="center"/>
              <w:rPr>
                <w:rFonts w:ascii="Times New Roman" w:hAnsi="Times New Roman" w:cs="Times New Roman"/>
                <w:noProof/>
                <w:sz w:val="18"/>
              </w:rPr>
            </w:pPr>
          </w:p>
        </w:tc>
        <w:tc>
          <w:tcPr>
            <w:tcW w:w="850" w:type="dxa"/>
            <w:shd w:val="clear" w:color="auto" w:fill="C6EFCE"/>
            <w:noWrap/>
            <w:vAlign w:val="center"/>
          </w:tcPr>
          <w:p w14:paraId="180169D2" w14:textId="77777777" w:rsidR="00D65CB4" w:rsidRPr="00BC4EE7" w:rsidRDefault="00D65CB4">
            <w:pPr>
              <w:spacing w:after="0" w:line="240" w:lineRule="auto"/>
              <w:jc w:val="center"/>
              <w:rPr>
                <w:rFonts w:ascii="Times New Roman" w:hAnsi="Times New Roman" w:cs="Times New Roman"/>
                <w:noProof/>
                <w:sz w:val="18"/>
              </w:rPr>
            </w:pPr>
          </w:p>
        </w:tc>
        <w:tc>
          <w:tcPr>
            <w:tcW w:w="567" w:type="dxa"/>
            <w:shd w:val="clear" w:color="auto" w:fill="C6EFCE"/>
            <w:noWrap/>
            <w:vAlign w:val="center"/>
          </w:tcPr>
          <w:p w14:paraId="094550EB"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Q1</w:t>
            </w:r>
          </w:p>
        </w:tc>
        <w:tc>
          <w:tcPr>
            <w:tcW w:w="709" w:type="dxa"/>
            <w:shd w:val="clear" w:color="auto" w:fill="C6EFCE"/>
            <w:noWrap/>
            <w:vAlign w:val="center"/>
          </w:tcPr>
          <w:p w14:paraId="433E009E"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2024</w:t>
            </w:r>
          </w:p>
        </w:tc>
        <w:tc>
          <w:tcPr>
            <w:tcW w:w="5953" w:type="dxa"/>
            <w:shd w:val="clear" w:color="auto" w:fill="C6EFCE"/>
            <w:noWrap/>
            <w:vAlign w:val="center"/>
          </w:tcPr>
          <w:p w14:paraId="3CAA7E8C" w14:textId="2ED0C61D" w:rsidR="00D65CB4" w:rsidRPr="00BC4EE7" w:rsidRDefault="00572307">
            <w:pPr>
              <w:pStyle w:val="P68B1DB1-Normal12"/>
              <w:spacing w:after="0" w:line="240" w:lineRule="auto"/>
              <w:rPr>
                <w:rFonts w:cs="Times New Roman"/>
                <w:noProof/>
              </w:rPr>
            </w:pPr>
            <w:r w:rsidRPr="00BC4EE7">
              <w:rPr>
                <w:rFonts w:cs="Times New Roman"/>
                <w:noProof/>
              </w:rPr>
              <w:t>Az eszközt létrehozó rendelet és a kapcsolódó dokumentumok hatálybalépése</w:t>
            </w:r>
          </w:p>
        </w:tc>
      </w:tr>
      <w:tr w:rsidR="00D65CB4" w:rsidRPr="00BC4EE7" w14:paraId="4A6E8766" w14:textId="77777777">
        <w:trPr>
          <w:trHeight w:val="284"/>
        </w:trPr>
        <w:tc>
          <w:tcPr>
            <w:tcW w:w="850" w:type="dxa"/>
            <w:shd w:val="clear" w:color="auto" w:fill="C6EFCE"/>
            <w:vAlign w:val="center"/>
          </w:tcPr>
          <w:p w14:paraId="28FC2A44" w14:textId="67F29735" w:rsidR="00D65CB4" w:rsidRPr="00BC4EE7" w:rsidRDefault="00572307">
            <w:pPr>
              <w:pStyle w:val="P68B1DB1-Normal12"/>
              <w:spacing w:line="240" w:lineRule="auto"/>
              <w:jc w:val="center"/>
              <w:rPr>
                <w:rFonts w:cs="Times New Roman"/>
                <w:noProof/>
              </w:rPr>
            </w:pPr>
            <w:r w:rsidRPr="00BC4EE7">
              <w:rPr>
                <w:rFonts w:cs="Times New Roman"/>
                <w:noProof/>
              </w:rPr>
              <w:t>L73</w:t>
            </w:r>
          </w:p>
        </w:tc>
        <w:tc>
          <w:tcPr>
            <w:tcW w:w="850" w:type="dxa"/>
            <w:shd w:val="clear" w:color="auto" w:fill="C6EFCE"/>
            <w:noWrap/>
            <w:vAlign w:val="center"/>
          </w:tcPr>
          <w:p w14:paraId="13DC3059" w14:textId="5A6F170C" w:rsidR="00D65CB4" w:rsidRPr="00BC4EE7" w:rsidRDefault="00572307">
            <w:pPr>
              <w:pStyle w:val="P68B1DB1-Normal12"/>
              <w:spacing w:line="240" w:lineRule="auto"/>
              <w:jc w:val="center"/>
              <w:rPr>
                <w:rFonts w:cs="Times New Roman"/>
                <w:noProof/>
              </w:rPr>
            </w:pPr>
            <w:r w:rsidRPr="00BC4EE7">
              <w:rPr>
                <w:rFonts w:cs="Times New Roman"/>
                <w:noProof/>
              </w:rPr>
              <w:t>C22.I6</w:t>
            </w:r>
          </w:p>
        </w:tc>
        <w:tc>
          <w:tcPr>
            <w:tcW w:w="851" w:type="dxa"/>
            <w:shd w:val="clear" w:color="auto" w:fill="C6EFCE"/>
            <w:noWrap/>
            <w:vAlign w:val="center"/>
          </w:tcPr>
          <w:p w14:paraId="01378BA5" w14:textId="77777777" w:rsidR="00D65CB4" w:rsidRPr="00BC4EE7" w:rsidRDefault="00572307">
            <w:pPr>
              <w:pStyle w:val="P68B1DB1-Normal12"/>
              <w:spacing w:line="240" w:lineRule="auto"/>
              <w:jc w:val="center"/>
              <w:rPr>
                <w:rFonts w:cs="Times New Roman"/>
                <w:noProof/>
              </w:rPr>
            </w:pPr>
            <w:r w:rsidRPr="00BC4EE7">
              <w:rPr>
                <w:rFonts w:cs="Times New Roman"/>
                <w:noProof/>
              </w:rPr>
              <w:t>T</w:t>
            </w:r>
          </w:p>
        </w:tc>
        <w:tc>
          <w:tcPr>
            <w:tcW w:w="1417" w:type="dxa"/>
            <w:shd w:val="clear" w:color="auto" w:fill="C6EFCE"/>
            <w:noWrap/>
            <w:vAlign w:val="center"/>
          </w:tcPr>
          <w:p w14:paraId="4AF4ED17" w14:textId="370393A0" w:rsidR="00D65CB4" w:rsidRPr="00BC4EE7" w:rsidRDefault="00572307">
            <w:pPr>
              <w:pStyle w:val="P68B1DB1-Normal12"/>
              <w:spacing w:after="0" w:line="240" w:lineRule="auto"/>
              <w:rPr>
                <w:rFonts w:cs="Times New Roman"/>
                <w:noProof/>
              </w:rPr>
            </w:pPr>
            <w:r w:rsidRPr="00BC4EE7">
              <w:rPr>
                <w:rFonts w:cs="Times New Roman"/>
                <w:noProof/>
              </w:rPr>
              <w:t>Szociális Hatásalap: A végső kedvezményezettekkel aláírt jogi finanszírozási megállapodások (beleértve a tőkealapokat is)</w:t>
            </w:r>
          </w:p>
        </w:tc>
        <w:tc>
          <w:tcPr>
            <w:tcW w:w="1560" w:type="dxa"/>
            <w:shd w:val="clear" w:color="auto" w:fill="C6EFCE"/>
            <w:noWrap/>
            <w:vAlign w:val="center"/>
          </w:tcPr>
          <w:p w14:paraId="31387562" w14:textId="0191532F" w:rsidR="00D65CB4" w:rsidRPr="00BC4EE7" w:rsidRDefault="00D65CB4">
            <w:pPr>
              <w:spacing w:after="0" w:line="240" w:lineRule="auto"/>
              <w:rPr>
                <w:rFonts w:ascii="Times New Roman" w:hAnsi="Times New Roman" w:cs="Times New Roman"/>
                <w:noProof/>
                <w:sz w:val="18"/>
              </w:rPr>
            </w:pPr>
          </w:p>
        </w:tc>
        <w:tc>
          <w:tcPr>
            <w:tcW w:w="567" w:type="dxa"/>
            <w:shd w:val="clear" w:color="auto" w:fill="C6EFCE"/>
            <w:noWrap/>
            <w:vAlign w:val="center"/>
          </w:tcPr>
          <w:p w14:paraId="5DFBF05D" w14:textId="2B1DA314" w:rsidR="00D65CB4" w:rsidRPr="00BC4EE7" w:rsidRDefault="00572307">
            <w:pPr>
              <w:pStyle w:val="P68B1DB1-Normal12"/>
              <w:spacing w:after="0" w:line="240" w:lineRule="auto"/>
              <w:rPr>
                <w:rFonts w:cs="Times New Roman"/>
                <w:noProof/>
              </w:rPr>
            </w:pPr>
            <w:r w:rsidRPr="00BC4EE7">
              <w:rPr>
                <w:rFonts w:cs="Times New Roman"/>
                <w:noProof/>
              </w:rPr>
              <w:t>%</w:t>
            </w:r>
          </w:p>
        </w:tc>
        <w:tc>
          <w:tcPr>
            <w:tcW w:w="992" w:type="dxa"/>
            <w:shd w:val="clear" w:color="auto" w:fill="C6EFCE"/>
            <w:noWrap/>
            <w:vAlign w:val="center"/>
          </w:tcPr>
          <w:p w14:paraId="25410FBB"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0</w:t>
            </w:r>
          </w:p>
        </w:tc>
        <w:tc>
          <w:tcPr>
            <w:tcW w:w="850" w:type="dxa"/>
            <w:shd w:val="clear" w:color="auto" w:fill="C6EFCE"/>
            <w:noWrap/>
            <w:vAlign w:val="center"/>
          </w:tcPr>
          <w:p w14:paraId="4C053AA5" w14:textId="61855166" w:rsidR="00D65CB4" w:rsidRPr="00BC4EE7" w:rsidRDefault="00572307">
            <w:pPr>
              <w:pStyle w:val="P68B1DB1-Normal12"/>
              <w:spacing w:after="0" w:line="240" w:lineRule="auto"/>
              <w:jc w:val="center"/>
              <w:rPr>
                <w:rFonts w:cs="Times New Roman"/>
                <w:noProof/>
              </w:rPr>
            </w:pPr>
            <w:r w:rsidRPr="00BC4EE7">
              <w:rPr>
                <w:rFonts w:cs="Times New Roman"/>
                <w:noProof/>
              </w:rPr>
              <w:t>100%-OS</w:t>
            </w:r>
          </w:p>
        </w:tc>
        <w:tc>
          <w:tcPr>
            <w:tcW w:w="567" w:type="dxa"/>
            <w:shd w:val="clear" w:color="auto" w:fill="C6EFCE"/>
            <w:noWrap/>
            <w:vAlign w:val="center"/>
          </w:tcPr>
          <w:p w14:paraId="7FA7B13E" w14:textId="7BE71E8B" w:rsidR="00D65CB4" w:rsidRPr="00BC4EE7" w:rsidRDefault="00572307">
            <w:pPr>
              <w:pStyle w:val="P68B1DB1-Normal12"/>
              <w:spacing w:after="0" w:line="240" w:lineRule="auto"/>
              <w:jc w:val="center"/>
              <w:rPr>
                <w:rFonts w:cs="Times New Roman"/>
                <w:noProof/>
              </w:rPr>
            </w:pPr>
            <w:r w:rsidRPr="00BC4EE7">
              <w:rPr>
                <w:rFonts w:cs="Times New Roman"/>
                <w:noProof/>
              </w:rPr>
              <w:t>Q3</w:t>
            </w:r>
          </w:p>
        </w:tc>
        <w:tc>
          <w:tcPr>
            <w:tcW w:w="709" w:type="dxa"/>
            <w:shd w:val="clear" w:color="auto" w:fill="C6EFCE"/>
            <w:noWrap/>
            <w:vAlign w:val="center"/>
          </w:tcPr>
          <w:p w14:paraId="5F47878A"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2026</w:t>
            </w:r>
          </w:p>
        </w:tc>
        <w:tc>
          <w:tcPr>
            <w:tcW w:w="5953" w:type="dxa"/>
            <w:shd w:val="clear" w:color="auto" w:fill="C6EFCE"/>
            <w:noWrap/>
            <w:vAlign w:val="center"/>
          </w:tcPr>
          <w:p w14:paraId="5627A840" w14:textId="4DDB1239" w:rsidR="00D65CB4" w:rsidRPr="00BC4EE7" w:rsidRDefault="00572307">
            <w:pPr>
              <w:pStyle w:val="P68B1DB1-Normal12"/>
              <w:spacing w:after="0" w:line="240" w:lineRule="auto"/>
              <w:rPr>
                <w:rFonts w:cs="Times New Roman"/>
                <w:noProof/>
              </w:rPr>
            </w:pPr>
            <w:r w:rsidRPr="00BC4EE7">
              <w:rPr>
                <w:rFonts w:cs="Times New Roman"/>
                <w:noProof/>
              </w:rPr>
              <w:t>Az eszköz és a COFIDES által kiválasztott közvetítők jogi finanszírozási megállapodásokat kötnek a végső kedvezményezettekkel (beleértve a tőkealapokat is) az RRF-beruházás 100%-ának az eszközbe történő felhasználásához szükséges összegről (figyelembe véve az irányítási díjakat). A finanszírozás legalább 40%-ának tőkealapokkal aláírt finanszírozási megállapodásoknak, legalább 10%-ának pedig a végső kedvezményezettekkel aláírt finanszírozási megállapodásoknak kell megfelelnie minden egyéb befektetési termék tekintetében (beleértve a Keret közvetlen tőkebefektetéseit is).</w:t>
            </w:r>
          </w:p>
        </w:tc>
      </w:tr>
      <w:tr w:rsidR="00D65CB4" w:rsidRPr="00BC4EE7" w14:paraId="4D6F2258" w14:textId="77777777">
        <w:trPr>
          <w:trHeight w:val="284"/>
        </w:trPr>
        <w:tc>
          <w:tcPr>
            <w:tcW w:w="850" w:type="dxa"/>
            <w:shd w:val="clear" w:color="auto" w:fill="C6EFCE"/>
            <w:vAlign w:val="center"/>
          </w:tcPr>
          <w:p w14:paraId="710D5711" w14:textId="2A0C0187" w:rsidR="00D65CB4" w:rsidRPr="00BC4EE7" w:rsidRDefault="00572307">
            <w:pPr>
              <w:pStyle w:val="P68B1DB1-Normal12"/>
              <w:spacing w:line="240" w:lineRule="auto"/>
              <w:jc w:val="center"/>
              <w:rPr>
                <w:rFonts w:cs="Times New Roman"/>
                <w:noProof/>
              </w:rPr>
            </w:pPr>
            <w:r w:rsidRPr="00BC4EE7">
              <w:rPr>
                <w:rFonts w:cs="Times New Roman"/>
                <w:noProof/>
              </w:rPr>
              <w:t>L74</w:t>
            </w:r>
          </w:p>
        </w:tc>
        <w:tc>
          <w:tcPr>
            <w:tcW w:w="850" w:type="dxa"/>
            <w:shd w:val="clear" w:color="auto" w:fill="C6EFCE"/>
            <w:noWrap/>
            <w:vAlign w:val="center"/>
          </w:tcPr>
          <w:p w14:paraId="67A99C0C" w14:textId="107E0B08" w:rsidR="00D65CB4" w:rsidRPr="00BC4EE7" w:rsidRDefault="00572307">
            <w:pPr>
              <w:pStyle w:val="P68B1DB1-Normal12"/>
              <w:spacing w:line="240" w:lineRule="auto"/>
              <w:jc w:val="center"/>
              <w:rPr>
                <w:rFonts w:cs="Times New Roman"/>
                <w:noProof/>
              </w:rPr>
            </w:pPr>
            <w:r w:rsidRPr="00BC4EE7">
              <w:rPr>
                <w:rFonts w:cs="Times New Roman"/>
                <w:noProof/>
              </w:rPr>
              <w:t>C22.I6</w:t>
            </w:r>
          </w:p>
        </w:tc>
        <w:tc>
          <w:tcPr>
            <w:tcW w:w="851" w:type="dxa"/>
            <w:shd w:val="clear" w:color="auto" w:fill="C6EFCE"/>
            <w:noWrap/>
            <w:vAlign w:val="center"/>
          </w:tcPr>
          <w:p w14:paraId="70D467C6" w14:textId="4C30B03E" w:rsidR="00D65CB4" w:rsidRPr="00BC4EE7" w:rsidRDefault="00572307">
            <w:pPr>
              <w:pStyle w:val="P68B1DB1-Normal12"/>
              <w:spacing w:line="240" w:lineRule="auto"/>
              <w:jc w:val="center"/>
              <w:rPr>
                <w:rFonts w:cs="Times New Roman"/>
                <w:noProof/>
              </w:rPr>
            </w:pPr>
            <w:r w:rsidRPr="00BC4EE7">
              <w:rPr>
                <w:rFonts w:cs="Times New Roman"/>
                <w:noProof/>
              </w:rPr>
              <w:t>M</w:t>
            </w:r>
          </w:p>
        </w:tc>
        <w:tc>
          <w:tcPr>
            <w:tcW w:w="1417" w:type="dxa"/>
            <w:shd w:val="clear" w:color="auto" w:fill="C6EFCE"/>
            <w:noWrap/>
            <w:vAlign w:val="center"/>
          </w:tcPr>
          <w:p w14:paraId="1F9E1AF5" w14:textId="4FD2CA22" w:rsidR="00D65CB4" w:rsidRPr="00BC4EE7" w:rsidRDefault="00572307">
            <w:pPr>
              <w:pStyle w:val="P68B1DB1-Normal12"/>
              <w:spacing w:after="0" w:line="240" w:lineRule="auto"/>
              <w:rPr>
                <w:rFonts w:cs="Times New Roman"/>
                <w:noProof/>
              </w:rPr>
            </w:pPr>
            <w:r w:rsidRPr="00BC4EE7">
              <w:rPr>
                <w:rFonts w:cs="Times New Roman"/>
                <w:noProof/>
              </w:rPr>
              <w:t>Szociális Hatásalap: A minisztérium befejezte a beruházást</w:t>
            </w:r>
          </w:p>
        </w:tc>
        <w:tc>
          <w:tcPr>
            <w:tcW w:w="1560" w:type="dxa"/>
            <w:shd w:val="clear" w:color="auto" w:fill="C6EFCE"/>
            <w:noWrap/>
            <w:vAlign w:val="center"/>
          </w:tcPr>
          <w:p w14:paraId="0F7CDE95" w14:textId="5A1EA4C7" w:rsidR="00D65CB4" w:rsidRPr="00BC4EE7" w:rsidRDefault="00572307">
            <w:pPr>
              <w:pStyle w:val="P68B1DB1-Normal12"/>
              <w:spacing w:after="0" w:line="240" w:lineRule="auto"/>
              <w:rPr>
                <w:rFonts w:cs="Times New Roman"/>
                <w:noProof/>
              </w:rPr>
            </w:pPr>
            <w:r w:rsidRPr="00BC4EE7">
              <w:rPr>
                <w:rFonts w:cs="Times New Roman"/>
                <w:noProof/>
              </w:rPr>
              <w:t>Átutalási igazolás</w:t>
            </w:r>
          </w:p>
        </w:tc>
        <w:tc>
          <w:tcPr>
            <w:tcW w:w="567" w:type="dxa"/>
            <w:shd w:val="clear" w:color="auto" w:fill="C6EFCE"/>
            <w:noWrap/>
            <w:vAlign w:val="center"/>
          </w:tcPr>
          <w:p w14:paraId="4473A8BC" w14:textId="7B1CEAD0" w:rsidR="00D65CB4" w:rsidRPr="00BC4EE7" w:rsidRDefault="00D65CB4">
            <w:pPr>
              <w:spacing w:after="0" w:line="240" w:lineRule="auto"/>
              <w:rPr>
                <w:rFonts w:ascii="Times New Roman" w:hAnsi="Times New Roman" w:cs="Times New Roman"/>
                <w:noProof/>
                <w:sz w:val="18"/>
              </w:rPr>
            </w:pPr>
          </w:p>
        </w:tc>
        <w:tc>
          <w:tcPr>
            <w:tcW w:w="992" w:type="dxa"/>
            <w:shd w:val="clear" w:color="auto" w:fill="C6EFCE"/>
            <w:noWrap/>
            <w:vAlign w:val="center"/>
          </w:tcPr>
          <w:p w14:paraId="241D0D63" w14:textId="28B82077" w:rsidR="00D65CB4" w:rsidRPr="00BC4EE7" w:rsidRDefault="00D65CB4">
            <w:pPr>
              <w:spacing w:after="0" w:line="240" w:lineRule="auto"/>
              <w:jc w:val="center"/>
              <w:rPr>
                <w:rFonts w:ascii="Times New Roman" w:hAnsi="Times New Roman" w:cs="Times New Roman"/>
                <w:noProof/>
                <w:sz w:val="18"/>
              </w:rPr>
            </w:pPr>
          </w:p>
        </w:tc>
        <w:tc>
          <w:tcPr>
            <w:tcW w:w="850" w:type="dxa"/>
            <w:shd w:val="clear" w:color="auto" w:fill="C6EFCE"/>
            <w:noWrap/>
            <w:vAlign w:val="center"/>
          </w:tcPr>
          <w:p w14:paraId="099767AF" w14:textId="63A24C19" w:rsidR="00D65CB4" w:rsidRPr="00BC4EE7" w:rsidRDefault="00D65CB4">
            <w:pPr>
              <w:spacing w:after="0" w:line="240" w:lineRule="auto"/>
              <w:jc w:val="center"/>
              <w:rPr>
                <w:rFonts w:ascii="Times New Roman" w:hAnsi="Times New Roman" w:cs="Times New Roman"/>
                <w:noProof/>
                <w:sz w:val="18"/>
              </w:rPr>
            </w:pPr>
          </w:p>
        </w:tc>
        <w:tc>
          <w:tcPr>
            <w:tcW w:w="567" w:type="dxa"/>
            <w:shd w:val="clear" w:color="auto" w:fill="C6EFCE"/>
            <w:noWrap/>
            <w:vAlign w:val="center"/>
          </w:tcPr>
          <w:p w14:paraId="10715A73" w14:textId="41536CF9" w:rsidR="00D65CB4" w:rsidRPr="00BC4EE7" w:rsidRDefault="00572307">
            <w:pPr>
              <w:pStyle w:val="P68B1DB1-Normal12"/>
              <w:spacing w:after="0" w:line="240" w:lineRule="auto"/>
              <w:jc w:val="center"/>
              <w:rPr>
                <w:rFonts w:cs="Times New Roman"/>
                <w:noProof/>
              </w:rPr>
            </w:pPr>
            <w:r w:rsidRPr="00BC4EE7">
              <w:rPr>
                <w:rFonts w:cs="Times New Roman"/>
                <w:noProof/>
              </w:rPr>
              <w:t>Q3</w:t>
            </w:r>
          </w:p>
        </w:tc>
        <w:tc>
          <w:tcPr>
            <w:tcW w:w="709" w:type="dxa"/>
            <w:shd w:val="clear" w:color="auto" w:fill="C6EFCE"/>
            <w:noWrap/>
            <w:vAlign w:val="center"/>
          </w:tcPr>
          <w:p w14:paraId="67A7B841"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2026</w:t>
            </w:r>
          </w:p>
        </w:tc>
        <w:tc>
          <w:tcPr>
            <w:tcW w:w="5953" w:type="dxa"/>
            <w:shd w:val="clear" w:color="auto" w:fill="C6EFCE"/>
            <w:noWrap/>
            <w:vAlign w:val="center"/>
          </w:tcPr>
          <w:p w14:paraId="28548495" w14:textId="05A4816C" w:rsidR="00D65CB4" w:rsidRPr="00BC4EE7" w:rsidRDefault="00572307">
            <w:pPr>
              <w:pStyle w:val="P68B1DB1-Normal12"/>
              <w:spacing w:after="0" w:line="240" w:lineRule="auto"/>
              <w:rPr>
                <w:rFonts w:cs="Times New Roman"/>
                <w:noProof/>
              </w:rPr>
            </w:pPr>
            <w:r w:rsidRPr="00BC4EE7">
              <w:rPr>
                <w:rFonts w:cs="Times New Roman"/>
                <w:noProof/>
              </w:rPr>
              <w:t>Spanyolország 400 000 000 EUR-t csoportosít át az eszközbe.</w:t>
            </w:r>
          </w:p>
        </w:tc>
      </w:tr>
    </w:tbl>
    <w:p w14:paraId="3B85581F" w14:textId="6F55F11A" w:rsidR="00D65CB4" w:rsidRPr="00BC4EE7" w:rsidRDefault="00D65CB4">
      <w:pPr>
        <w:pStyle w:val="Text1"/>
        <w:rPr>
          <w:rFonts w:ascii="Times New Roman" w:hAnsi="Times New Roman" w:cs="Times New Roman"/>
          <w:noProof/>
        </w:rPr>
      </w:pPr>
    </w:p>
    <w:p w14:paraId="0592620D" w14:textId="77777777" w:rsidR="00D65CB4" w:rsidRPr="00BC4EE7" w:rsidRDefault="00D65CB4">
      <w:pPr>
        <w:pStyle w:val="Text1"/>
        <w:rPr>
          <w:rFonts w:ascii="Times New Roman" w:hAnsi="Times New Roman" w:cs="Times New Roman"/>
          <w:noProof/>
        </w:rPr>
      </w:pPr>
    </w:p>
    <w:p w14:paraId="5BC83675" w14:textId="77777777" w:rsidR="00D65CB4" w:rsidRPr="00BC4EE7" w:rsidRDefault="00D65CB4">
      <w:pPr>
        <w:pStyle w:val="Text1"/>
        <w:rPr>
          <w:rFonts w:ascii="Times New Roman" w:hAnsi="Times New Roman" w:cs="Times New Roman"/>
          <w:noProof/>
        </w:rPr>
      </w:pPr>
    </w:p>
    <w:p w14:paraId="2ADE0703" w14:textId="77777777" w:rsidR="00D65CB4" w:rsidRPr="00BC4EE7" w:rsidRDefault="00D65CB4">
      <w:pPr>
        <w:rPr>
          <w:rFonts w:ascii="Times New Roman" w:hAnsi="Times New Roman" w:cs="Times New Roman"/>
          <w:noProof/>
        </w:rPr>
        <w:sectPr w:rsidR="00D65CB4" w:rsidRPr="00BC4EE7" w:rsidSect="00B511EF">
          <w:headerReference w:type="even" r:id="rId460"/>
          <w:headerReference w:type="default" r:id="rId461"/>
          <w:footerReference w:type="even" r:id="rId462"/>
          <w:footerReference w:type="default" r:id="rId463"/>
          <w:headerReference w:type="first" r:id="rId464"/>
          <w:footerReference w:type="first" r:id="rId465"/>
          <w:pgSz w:w="16839" w:h="11907" w:orient="landscape"/>
          <w:pgMar w:top="1134" w:right="1134" w:bottom="1134" w:left="1134" w:header="567" w:footer="567" w:gutter="0"/>
          <w:cols w:space="720"/>
          <w:docGrid w:linePitch="360"/>
        </w:sectPr>
      </w:pPr>
    </w:p>
    <w:p w14:paraId="2AD7DF5E" w14:textId="77777777" w:rsidR="00D65CB4" w:rsidRPr="00BC4EE7" w:rsidRDefault="00572307">
      <w:pPr>
        <w:pStyle w:val="P68B1DB1-Heading12"/>
        <w:rPr>
          <w:rFonts w:cs="Times New Roman"/>
          <w:noProof/>
        </w:rPr>
      </w:pPr>
      <w:r w:rsidRPr="00BC4EE7">
        <w:rPr>
          <w:rFonts w:cs="Times New Roman"/>
          <w:noProof/>
        </w:rPr>
        <w:t>W. 23. KOMPONENS: Új közpolitikák a dinamikus, reziliens és befogadó munkaerőpiacért</w:t>
      </w:r>
    </w:p>
    <w:p w14:paraId="36A0DE62" w14:textId="77777777" w:rsidR="00D65CB4" w:rsidRPr="00BC4EE7" w:rsidRDefault="00572307">
      <w:pPr>
        <w:pStyle w:val="P68B1DB1-Normal7"/>
        <w:spacing w:before="120" w:after="120" w:line="240" w:lineRule="auto"/>
        <w:jc w:val="both"/>
        <w:rPr>
          <w:rFonts w:cs="Times New Roman"/>
          <w:noProof/>
          <w:sz w:val="24"/>
        </w:rPr>
      </w:pPr>
      <w:r w:rsidRPr="00BC4EE7">
        <w:rPr>
          <w:rFonts w:cs="Times New Roman"/>
          <w:noProof/>
          <w:sz w:val="24"/>
        </w:rPr>
        <w:t xml:space="preserve">A spanyol helyreállítási és rezilienciaépítési terv komponense a spanyol munkaerőpiac fontos strukturális kihívásaival foglalkozik. Fő célkitűzései a következők: a strukturális munkanélküliség és az ifjúsági munkanélküliség csökkentése, a határozott idejű szerződések széles körű alkalmazásának csökkentése és a munkaerőpiac megfelelő kettősségének csökkentése, a humántőkébe történő beruházások növelése, a kollektív tárgyalási eszközök korszerűsítése, valamint az aktív munkaerőpiaci politikák eredményességének és hatékonyságának növelése. </w:t>
      </w:r>
    </w:p>
    <w:p w14:paraId="54802925"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komponensnek tartalmaznia kell a strukturális alapok (különösen az Európai Szociális Alap) által finanszírozott beruházásokat kiegészítő olyan releváns beruházásokat, amelyek célja, hogy maximalizálják a reformoknak a minőségi munkahelyteremtésre, a termelékenység növelésére és a társadalmi, területi és nemek közötti különbségek csökkentésére gyakorolt hatását. </w:t>
      </w:r>
    </w:p>
    <w:p w14:paraId="53B75E96"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Összességében a komponensben szereplő intézkedések célja a spanyol munkaerőpiac régóta fennálló kihívásainak kezelése, valamint ambiciózus és koherens reformok előterjesztése, amelyek többségét 2021 végéig kell megvalósítani. A reformjavaslatok egy részét jelenleg szociális párbeszéd keretében vitatják meg a szociális partnerekkel. Ezért néhány részletet kifejezetten nyitva hagytak annak érdekében, hogy elegendő hely maradjon a megállapodás és a szociális partnerek általi jóváhagyás számára. </w:t>
      </w:r>
    </w:p>
    <w:p w14:paraId="3CB47AC8"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komponens a határozatlan idejű szerződések felé történő átmenetről és a munkaerő-felvételi ösztönzőkről, az állami foglalkoztatási szolgálatokról, az aktív munkaerőpiaci szakpolitikákról és a felnőttkori tanulásról, a munkanélküliség védelméről, a minimáljövedelem-rendszerekről és a munkahelyek megőrzéséről szóló országspecifikus ajánlásokkal foglalkozik (2019. évi 2. és 2020. évi országspecifikus ajánlás).</w:t>
      </w:r>
    </w:p>
    <w:p w14:paraId="72D71FC6"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jelentős károkozás elkerülését célzó elvről szóló technikai iránymutatásnak (2021/C58/01) megfelelően a helyreállítási és rezilienciaépítési tervben meghatározott intézkedések leírását és a helyreállítási és rezilienciaépítési tervben meghatározott enyhítő lépéseket figyelembe véve ebben a komponensben várhatóan egyetlen intézkedés sem sérti jelentős mértékben az (EU) 2020/852 rendelet 17. cikke szerinti környezeti célkitűzéseket.</w:t>
      </w:r>
    </w:p>
    <w:p w14:paraId="41EAD5F5" w14:textId="77777777" w:rsidR="00D65CB4" w:rsidRPr="00BC4EE7" w:rsidRDefault="00572307">
      <w:pPr>
        <w:spacing w:before="120" w:after="120" w:line="240" w:lineRule="auto"/>
        <w:ind w:left="709"/>
        <w:jc w:val="both"/>
        <w:rPr>
          <w:rFonts w:ascii="Times New Roman" w:hAnsi="Times New Roman" w:cs="Times New Roman"/>
          <w:b/>
          <w:i/>
          <w:noProof/>
          <w:sz w:val="24"/>
        </w:rPr>
      </w:pPr>
      <w:r w:rsidRPr="00BC4EE7">
        <w:rPr>
          <w:rFonts w:ascii="Times New Roman" w:hAnsi="Times New Roman" w:cs="Times New Roman"/>
          <w:b/>
          <w:noProof/>
          <w:sz w:val="24"/>
          <w:u w:val="single"/>
        </w:rPr>
        <w:t xml:space="preserve">W.1.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Vissza nem térítendő pénzügyi támogatás – a reformok és beruházások ismertetése</w:t>
      </w:r>
    </w:p>
    <w:p w14:paraId="691EE88D"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Reform (C23.R1) – A távmunka szabályozása</w:t>
      </w:r>
    </w:p>
    <w:p w14:paraId="61CC4D2D"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Ez a reform szabályozási keretet hoz létre a távmunka biztosítására azzal a céllal, hogy javítsa a munkavállalók védelmét és rugalmasságát, megőrizve ugyanakkor az üzleti termelékenységet. A határozat két királyi törvényerejű rendelet jóváhagyásából áll:</w:t>
      </w:r>
    </w:p>
    <w:p w14:paraId="75B99D06" w14:textId="77777777" w:rsidR="00D65CB4" w:rsidRPr="00BC4EE7" w:rsidRDefault="00572307">
      <w:pPr>
        <w:pStyle w:val="P68B1DB1-Normal4"/>
        <w:numPr>
          <w:ilvl w:val="0"/>
          <w:numId w:val="143"/>
        </w:numPr>
        <w:spacing w:before="120" w:after="160" w:line="259" w:lineRule="auto"/>
        <w:contextualSpacing/>
        <w:jc w:val="both"/>
        <w:rPr>
          <w:rFonts w:cs="Times New Roman"/>
          <w:noProof/>
        </w:rPr>
      </w:pPr>
      <w:r w:rsidRPr="00BC4EE7">
        <w:rPr>
          <w:rFonts w:cs="Times New Roman"/>
          <w:noProof/>
        </w:rPr>
        <w:t xml:space="preserve">A szeptember 22-i 28/2020. sz. királyi törvényerejű rendeletnek olyan szabályozási keretet kell biztosítania, amely elősegíti a távmunka bevezetését a magánszektorban, miközben megőrzi az üzleti termelékenységet, valamint biztosítja a munkavállalók védelmét és rugalmasságát. A távolról és a helyszínen dolgozókkal azonos munkakörülményeket, valamint a távmunka önkéntes jellegét biztosítja mind a munkavállaló, mind a munkáltató számára. A létrehozott keret a távolság és a helyszíni munka vegyes formáit részesíti előnyben. </w:t>
      </w:r>
    </w:p>
    <w:p w14:paraId="6CC9DBAC" w14:textId="77777777" w:rsidR="00D65CB4" w:rsidRPr="00BC4EE7" w:rsidRDefault="00572307">
      <w:pPr>
        <w:pStyle w:val="P68B1DB1-Normal4"/>
        <w:numPr>
          <w:ilvl w:val="0"/>
          <w:numId w:val="143"/>
        </w:numPr>
        <w:spacing w:before="120" w:after="160" w:line="259" w:lineRule="auto"/>
        <w:contextualSpacing/>
        <w:jc w:val="both"/>
        <w:rPr>
          <w:rFonts w:cs="Times New Roman"/>
          <w:noProof/>
        </w:rPr>
      </w:pPr>
      <w:r w:rsidRPr="00BC4EE7">
        <w:rPr>
          <w:rFonts w:cs="Times New Roman"/>
          <w:noProof/>
        </w:rPr>
        <w:t>A közigazgatásban végzett távmunkáról szóló, szeptember 29-i 29/2020. sz. királyi törvényerejű rendelet olyan szabályozási keretet határoz meg a közalkalmazottak számára, amely elismeri annak lehetőségét, hogy az ilyen típusú munkát önkéntesen, visszafordítható alapon előzetes engedéllyel végezzék.</w:t>
      </w:r>
    </w:p>
    <w:p w14:paraId="16FD564A" w14:textId="77777777" w:rsidR="00D65CB4" w:rsidRPr="00BC4EE7" w:rsidRDefault="00572307">
      <w:pPr>
        <w:pStyle w:val="P68B1DB1-Normal4"/>
        <w:spacing w:before="240" w:after="120" w:line="240" w:lineRule="auto"/>
        <w:jc w:val="both"/>
        <w:rPr>
          <w:rFonts w:cs="Times New Roman"/>
          <w:noProof/>
        </w:rPr>
      </w:pPr>
      <w:r w:rsidRPr="00BC4EE7">
        <w:rPr>
          <w:rFonts w:cs="Times New Roman"/>
          <w:noProof/>
        </w:rPr>
        <w:t>Ez a reform a közigazgatásra vonatkozó 11. komponens 1. reformjához kapcsolódik.</w:t>
      </w:r>
    </w:p>
    <w:p w14:paraId="0FE411A7" w14:textId="77777777" w:rsidR="00D65CB4" w:rsidRPr="00BC4EE7" w:rsidRDefault="00572307">
      <w:pPr>
        <w:pStyle w:val="P68B1DB1-Normal4"/>
        <w:spacing w:before="240" w:after="120" w:line="240" w:lineRule="auto"/>
        <w:jc w:val="both"/>
        <w:rPr>
          <w:rFonts w:cs="Times New Roman"/>
          <w:noProof/>
        </w:rPr>
      </w:pPr>
      <w:r w:rsidRPr="00BC4EE7">
        <w:rPr>
          <w:rFonts w:cs="Times New Roman"/>
          <w:noProof/>
        </w:rPr>
        <w:t>Az intézkedés végrehajtását 2020. december 31-ig be kell fejezni.</w:t>
      </w:r>
    </w:p>
    <w:p w14:paraId="3B85F30F" w14:textId="77777777" w:rsidR="00D65CB4" w:rsidRPr="00BC4EE7" w:rsidRDefault="00572307">
      <w:pPr>
        <w:pStyle w:val="P68B1DB1-Normal5"/>
        <w:keepNext/>
        <w:spacing w:before="120" w:after="120" w:line="240" w:lineRule="auto"/>
        <w:jc w:val="both"/>
        <w:rPr>
          <w:rFonts w:cs="Times New Roman"/>
          <w:noProof/>
        </w:rPr>
      </w:pPr>
      <w:r w:rsidRPr="00BC4EE7">
        <w:rPr>
          <w:rFonts w:cs="Times New Roman"/>
          <w:noProof/>
        </w:rPr>
        <w:t>Reform (C23.R2) – A nemek közötti szakadék megszüntetését célzó intézkedések</w:t>
      </w:r>
    </w:p>
    <w:p w14:paraId="1CCA538E" w14:textId="77777777" w:rsidR="00D65CB4" w:rsidRPr="00BC4EE7" w:rsidRDefault="00572307">
      <w:pPr>
        <w:pStyle w:val="P68B1DB1-Normal4"/>
        <w:keepNext/>
        <w:spacing w:before="120" w:after="120" w:line="240" w:lineRule="auto"/>
        <w:jc w:val="both"/>
        <w:rPr>
          <w:rFonts w:cs="Times New Roman"/>
          <w:noProof/>
        </w:rPr>
      </w:pPr>
      <w:r w:rsidRPr="00BC4EE7">
        <w:rPr>
          <w:rFonts w:cs="Times New Roman"/>
          <w:noProof/>
        </w:rPr>
        <w:t>E reform célja a nemek közötti bérszakadék megszüntetése. Két belső szabályzatból áll:</w:t>
      </w:r>
    </w:p>
    <w:p w14:paraId="18F41E8B" w14:textId="77777777" w:rsidR="00D65CB4" w:rsidRPr="00BC4EE7" w:rsidRDefault="00572307">
      <w:pPr>
        <w:pStyle w:val="P68B1DB1-Normal4"/>
        <w:numPr>
          <w:ilvl w:val="0"/>
          <w:numId w:val="143"/>
        </w:numPr>
        <w:spacing w:before="120" w:after="160" w:line="259" w:lineRule="auto"/>
        <w:contextualSpacing/>
        <w:jc w:val="both"/>
        <w:rPr>
          <w:rFonts w:cs="Times New Roman"/>
          <w:noProof/>
        </w:rPr>
      </w:pPr>
      <w:r w:rsidRPr="00BC4EE7">
        <w:rPr>
          <w:rFonts w:cs="Times New Roman"/>
          <w:noProof/>
        </w:rPr>
        <w:t xml:space="preserve">Az október 13-i 901/2020. sz. királyi rendelet szabályozza a munkáltatóknak az egyenlőségi tervek elkészítésére és nyilvántartásba vételére vonatkozó kötelezettségét a bérek átláthatóságának biztosítása érdekében. Minden 150-nál több munkavállalót foglalkoztató vállalat köteles ilyen terveket készíteni és nyilvántartásba venni, 2022-ben pedig minden 50-nál több munkavállalót foglalkoztató vállalat is köteles. A királyi rendelet meghatározza a tervek megtárgyalására vonatkozó eljárást, a diagnózisra vonatkozó követelményeket, valamint az értékelésük és nyomon követésük jellemzőit. </w:t>
      </w:r>
    </w:p>
    <w:p w14:paraId="6844778F" w14:textId="77777777" w:rsidR="00D65CB4" w:rsidRPr="00BC4EE7" w:rsidRDefault="00572307">
      <w:pPr>
        <w:pStyle w:val="P68B1DB1-Normal4"/>
        <w:numPr>
          <w:ilvl w:val="0"/>
          <w:numId w:val="143"/>
        </w:numPr>
        <w:spacing w:before="120" w:after="160" w:line="259" w:lineRule="auto"/>
        <w:contextualSpacing/>
        <w:jc w:val="both"/>
        <w:rPr>
          <w:rFonts w:cs="Times New Roman"/>
          <w:noProof/>
        </w:rPr>
      </w:pPr>
      <w:r w:rsidRPr="00BC4EE7">
        <w:rPr>
          <w:rFonts w:cs="Times New Roman"/>
          <w:noProof/>
        </w:rPr>
        <w:t>A férfiak és nők egyenlő díjazásáról szóló, október 13-i 902/2020. sz. királyi rendelet garantálja a bérek átláthatóságának elvét annak érdekében, hogy azonosítani lehessen a helytelen munkakör-értékelésből eredő diszkriminatív helyzeteket (azaz az egyenlő értékű munkáért járó alacsonyabb bért). A rendelet meghatározza azokat a helyzeteket, amelyekben egy mű egyenlő értékűnek minősül. A rendelet 2021 áprilisa óta, a munkáltatók számára a szükséges végrehajtási mechanizmusok létrehozására biztosított hat hónapos időszakot követően lép hatályba.</w:t>
      </w:r>
    </w:p>
    <w:p w14:paraId="25ABAA94" w14:textId="77777777" w:rsidR="00D65CB4" w:rsidRPr="00BC4EE7" w:rsidRDefault="00572307">
      <w:pPr>
        <w:pStyle w:val="P68B1DB1-Normal4"/>
        <w:spacing w:before="240" w:after="120" w:line="240" w:lineRule="auto"/>
        <w:jc w:val="both"/>
        <w:rPr>
          <w:rFonts w:cs="Times New Roman"/>
          <w:noProof/>
        </w:rPr>
      </w:pPr>
      <w:r w:rsidRPr="00BC4EE7">
        <w:rPr>
          <w:rFonts w:cs="Times New Roman"/>
          <w:noProof/>
        </w:rPr>
        <w:t>Az intézkedés végrehajtását 2021. június 30-ig be kell fejezni.</w:t>
      </w:r>
    </w:p>
    <w:p w14:paraId="45BBAC62"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Reform (C23.R3) – Az otthoni forgalmazók munkájának digitális platformok általi szabályozása (</w:t>
      </w:r>
      <w:r w:rsidRPr="00BC4EE7">
        <w:rPr>
          <w:rFonts w:cs="Times New Roman"/>
          <w:i/>
          <w:noProof/>
        </w:rPr>
        <w:t>fuvarozók</w:t>
      </w:r>
      <w:r w:rsidRPr="00BC4EE7">
        <w:rPr>
          <w:rFonts w:cs="Times New Roman"/>
          <w:noProof/>
        </w:rPr>
        <w:t>)</w:t>
      </w:r>
    </w:p>
    <w:p w14:paraId="4BD1036B"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reform célja az úgynevezett játékosok munkakörülményeinek szabályozása, </w:t>
      </w:r>
      <w:r w:rsidRPr="00BC4EE7">
        <w:rPr>
          <w:rFonts w:cs="Times New Roman"/>
          <w:i/>
          <w:noProof/>
        </w:rPr>
        <w:t>akik</w:t>
      </w:r>
      <w:r w:rsidRPr="00BC4EE7">
        <w:rPr>
          <w:rFonts w:cs="Times New Roman"/>
          <w:noProof/>
        </w:rPr>
        <w:t xml:space="preserve"> technológiai eszközökkel végeznek terjesztési tevékenységet harmadik felek számára. A királyi törvényerejű rendelet biztosítja e munkavállalók számára a tisztességes és egyenlő bánásmódhoz való jogot a munkafeltételek tekintetében, valamint a szociális védelemhez és képzéshez való jogot, a vállalat és a vezető közötti munkaviszony jogi vélelmével. Lehetővé kell tennie továbbá a munkavállalók jogi képviseletének tájékoztatását a mesterségesintelligencia-algoritmusokban és -rendszerekben foglalt szabályokról, amelyek hatással lehetnek a munkakörülményekre, beleértve a foglalkoztatáshoz való hozzáférést és azok fenntartását, valamint a profilalkotást. </w:t>
      </w:r>
    </w:p>
    <w:p w14:paraId="2C7CF537"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Az intézkedés végrehajtását 2021. szeptember 30-ig be kell fejezni.</w:t>
      </w:r>
    </w:p>
    <w:p w14:paraId="50D8148C"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Reform (C23.R4) – A szerződések egyszerűsítése: a határozatlan idejű szerződés általánossá tétele, a határozott idejű szerződések alkalmazásának indokai és a képzési/tanulószerződés szabályozása.</w:t>
      </w:r>
    </w:p>
    <w:p w14:paraId="0C992956"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Ez a reform a munkavállalók jogállásáról szóló törvényben (2/2015. sz. törvényerejű rendelet) meghatározott szerződésekről szóló rendelet módosítását foglalja magában azzal a céllal, hogy szabályozza a határozott idejű szerződések mint kizárólag ok-okozati összefüggések alkalmazását, és általánossá tegye a határozatlan idejű szerződések alkalmazását. A reformnak a következő elemeket kell tartalmaznia:</w:t>
      </w:r>
    </w:p>
    <w:p w14:paraId="6AD37FFD" w14:textId="77777777" w:rsidR="00D65CB4" w:rsidRPr="00BC4EE7" w:rsidRDefault="00572307">
      <w:pPr>
        <w:pStyle w:val="P68B1DB1-Normal4"/>
        <w:numPr>
          <w:ilvl w:val="0"/>
          <w:numId w:val="144"/>
        </w:numPr>
        <w:spacing w:before="120" w:after="160" w:line="259" w:lineRule="auto"/>
        <w:contextualSpacing/>
        <w:jc w:val="both"/>
        <w:rPr>
          <w:rFonts w:cs="Times New Roman"/>
          <w:noProof/>
        </w:rPr>
      </w:pPr>
      <w:r w:rsidRPr="00BC4EE7">
        <w:rPr>
          <w:rFonts w:cs="Times New Roman"/>
          <w:noProof/>
        </w:rPr>
        <w:t xml:space="preserve">A szerződések menüjének egyszerűsítése és átszervezése, három fő típussal: határozatlan idejű, ideiglenes és képzés/tanulóképzés. Az új szerződéstípusok kialakításának célja, hogy korlátozza a határozott idejű szerződések alkalmazásának érvényes okait, ezáltal általános szabálysá téve a határozatlan idejű szerződéseket. </w:t>
      </w:r>
    </w:p>
    <w:p w14:paraId="4EE1EC25" w14:textId="77777777" w:rsidR="00D65CB4" w:rsidRPr="00BC4EE7" w:rsidRDefault="00572307">
      <w:pPr>
        <w:pStyle w:val="P68B1DB1-Normal4"/>
        <w:numPr>
          <w:ilvl w:val="0"/>
          <w:numId w:val="144"/>
        </w:numPr>
        <w:spacing w:before="120" w:after="160" w:line="259" w:lineRule="auto"/>
        <w:contextualSpacing/>
        <w:jc w:val="both"/>
        <w:rPr>
          <w:rFonts w:cs="Times New Roman"/>
          <w:noProof/>
        </w:rPr>
      </w:pPr>
      <w:r w:rsidRPr="00BC4EE7">
        <w:rPr>
          <w:rFonts w:cs="Times New Roman"/>
          <w:noProof/>
        </w:rPr>
        <w:t xml:space="preserve">A képzési/tanulószerződés alkalmazásának felülvizsgálata annak érdekében, hogy megfelelő keretet biztosítsanak a fiatalok számára a munkaerőpiacra való belépéshez. </w:t>
      </w:r>
    </w:p>
    <w:p w14:paraId="4C2D1C2F" w14:textId="77777777" w:rsidR="00D65CB4" w:rsidRPr="00BC4EE7" w:rsidRDefault="00572307">
      <w:pPr>
        <w:pStyle w:val="P68B1DB1-Normal4"/>
        <w:numPr>
          <w:ilvl w:val="0"/>
          <w:numId w:val="144"/>
        </w:numPr>
        <w:spacing w:before="120" w:after="160" w:line="259" w:lineRule="auto"/>
        <w:contextualSpacing/>
        <w:jc w:val="both"/>
        <w:rPr>
          <w:rFonts w:cs="Times New Roman"/>
          <w:noProof/>
        </w:rPr>
      </w:pPr>
      <w:r w:rsidRPr="00BC4EE7">
        <w:rPr>
          <w:rFonts w:cs="Times New Roman"/>
          <w:noProof/>
        </w:rPr>
        <w:t>Az idényjellegű szerződések alkalmazásának megerősítése, amely az idényjellegű tevékenységek során alkalmazott határozatlan idejű szerződések különleges típusa.</w:t>
      </w:r>
    </w:p>
    <w:p w14:paraId="799F219E" w14:textId="77777777" w:rsidR="00D65CB4" w:rsidRPr="00BC4EE7" w:rsidRDefault="00572307">
      <w:pPr>
        <w:pStyle w:val="P68B1DB1-Normal4"/>
        <w:numPr>
          <w:ilvl w:val="0"/>
          <w:numId w:val="144"/>
        </w:numPr>
        <w:spacing w:before="120" w:after="160" w:line="259" w:lineRule="auto"/>
        <w:contextualSpacing/>
        <w:jc w:val="both"/>
        <w:rPr>
          <w:rFonts w:cs="Times New Roman"/>
          <w:noProof/>
        </w:rPr>
      </w:pPr>
      <w:r w:rsidRPr="00BC4EE7">
        <w:rPr>
          <w:rFonts w:cs="Times New Roman"/>
          <w:noProof/>
        </w:rPr>
        <w:t>A reformnak meg kell erősítenie a részmunkaidős szerződések alkalmazásának ellenőrzését a szabálytalan munkaidő megelőzése érdekében.</w:t>
      </w:r>
    </w:p>
    <w:p w14:paraId="68D9B5D6" w14:textId="77777777" w:rsidR="00D65CB4" w:rsidRPr="00BC4EE7" w:rsidRDefault="00572307">
      <w:pPr>
        <w:pStyle w:val="P68B1DB1-Normal4"/>
        <w:numPr>
          <w:ilvl w:val="0"/>
          <w:numId w:val="144"/>
        </w:numPr>
        <w:spacing w:before="120" w:after="160" w:line="259" w:lineRule="auto"/>
        <w:contextualSpacing/>
        <w:jc w:val="both"/>
        <w:rPr>
          <w:rFonts w:cs="Times New Roman"/>
          <w:noProof/>
        </w:rPr>
      </w:pPr>
      <w:r w:rsidRPr="00BC4EE7">
        <w:rPr>
          <w:rFonts w:cs="Times New Roman"/>
          <w:noProof/>
        </w:rPr>
        <w:t>A munkaügyi csalás elleni küzdelem megerősítése, többek között a szankciórendszer aktualizálása révén.</w:t>
      </w:r>
    </w:p>
    <w:p w14:paraId="0321D44C" w14:textId="77777777" w:rsidR="00D65CB4" w:rsidRPr="00BC4EE7" w:rsidRDefault="00572307">
      <w:pPr>
        <w:pStyle w:val="P68B1DB1-Normal4"/>
        <w:spacing w:before="240" w:after="120" w:line="240" w:lineRule="auto"/>
        <w:jc w:val="both"/>
        <w:rPr>
          <w:rFonts w:cs="Times New Roman"/>
          <w:noProof/>
        </w:rPr>
      </w:pPr>
      <w:r w:rsidRPr="00BC4EE7">
        <w:rPr>
          <w:rFonts w:cs="Times New Roman"/>
          <w:noProof/>
        </w:rPr>
        <w:t>Ez a reform szorosan kapcsolódik a 11. komponens 1. reformjához, amely a közszférában a határozott idejű szerződések alkalmazásának csökkentése érdekében egyéb jogi változtatásokat vezet be a közalkalmazottak jogállásáról. Kapcsolódik továbbá a 6. reformhoz (rugalmassági és stabilitási mechanizmus) ezen alkotóelemen belül.</w:t>
      </w:r>
    </w:p>
    <w:p w14:paraId="43DA1D42" w14:textId="77777777" w:rsidR="00D65CB4" w:rsidRPr="00BC4EE7" w:rsidRDefault="00572307">
      <w:pPr>
        <w:pStyle w:val="P68B1DB1-Normal4"/>
        <w:spacing w:before="240" w:after="120" w:line="240" w:lineRule="auto"/>
        <w:jc w:val="both"/>
        <w:rPr>
          <w:rFonts w:cs="Times New Roman"/>
          <w:noProof/>
        </w:rPr>
      </w:pPr>
      <w:r w:rsidRPr="00BC4EE7">
        <w:rPr>
          <w:rFonts w:cs="Times New Roman"/>
          <w:noProof/>
        </w:rPr>
        <w:t>Az intézkedés végrehajtását 2021. december 31-ig be kell fejezni.</w:t>
      </w:r>
    </w:p>
    <w:p w14:paraId="21A148EB"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Reform (C23.R5) – Az aktív munkaerőpiaci politikák korszerűsítése</w:t>
      </w:r>
    </w:p>
    <w:p w14:paraId="437724FB"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 reform célja az aktív munkaerőpiaci intézkedések végrehajtásának korszerűsítése Spanyolországban, figyelembe véve a független költségvetési hatóság (AIReF) által végzett kiadási felülvizsgálatok következtetéseit. A reformnak több elemből kell állnia, mint például a tanácsadás egyéni lehetőségeinek kialakítása, a munkahelyi képzések (például szakmai gyakorlatok és képzési szerződések) során történő visszaélések megelőzése, a felnőttkori tanulás rendszerének megerősítése és a kompetenciák elismerése, egyablakos rendszer létrehozása a fiatalok számára, a foglalkoztatási és szociális szolgálatok közötti, valamint a régiókkal való koordináció javítása, valamint a magánszektorral való együttműködés javítása.</w:t>
      </w:r>
    </w:p>
    <w:p w14:paraId="4CD28135"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Ezt a reformot ebben a komponensben két másik reformmal kell kiegészíteni, nevezetesen a 7. reformmal (közvetítési ösztönzők) és a 11. reformmal (az állami foglalkoztatási szolgálatok digitalizálása). A reform egyes elemei (például az idősebb munkavállalók átképzési és segítségnyújtási programjának megerősítése) szinergiákat mutatnak be a 30. komponensben (a tényleges nyugdíjkorhatárnak a törvényes nyugdíjkorhatárhoz való igazítása) szereplő 2. reformmal.</w:t>
      </w:r>
    </w:p>
    <w:p w14:paraId="42B3A7CB"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reform 2021-ben és 2022-ben számos jogalkotási lépést foglal magában:</w:t>
      </w:r>
    </w:p>
    <w:p w14:paraId="0138F2E9" w14:textId="77777777" w:rsidR="00D65CB4" w:rsidRPr="00BC4EE7" w:rsidRDefault="00572307">
      <w:pPr>
        <w:pStyle w:val="P68B1DB1-Normal4"/>
        <w:numPr>
          <w:ilvl w:val="0"/>
          <w:numId w:val="145"/>
        </w:numPr>
        <w:spacing w:before="120" w:after="160" w:line="240" w:lineRule="auto"/>
        <w:contextualSpacing/>
        <w:jc w:val="both"/>
        <w:rPr>
          <w:rFonts w:cs="Times New Roman"/>
          <w:noProof/>
        </w:rPr>
      </w:pPr>
      <w:r w:rsidRPr="00BC4EE7">
        <w:rPr>
          <w:rFonts w:cs="Times New Roman"/>
          <w:noProof/>
        </w:rPr>
        <w:t>A 2021–2027-es időszakra szóló cselekvési terv az ifjúsági munkanélküliség kezelésére az uniós ifjúsági garancia Plusz végrehajtása alkalmából. A cselekvési tervnek tartalmaznia kell a szakmai gyakorlatra/tanulószerződésre vonatkozó szerződések felülvizsgálatát és a gyakornoki szabályzat jóváhagyását. Ezeknek az intézkedéseknek összhangban kell lenniük a korai iskolaelhagyás kezelését célzó oktatási politikákkal (a 21. komponensben meghatározottak szerint). Az intézkedés ezen elemének végrehajtását 2021. június 30-ig be kell fejezni.</w:t>
      </w:r>
    </w:p>
    <w:p w14:paraId="00CB9829" w14:textId="77777777" w:rsidR="00D65CB4" w:rsidRPr="00BC4EE7" w:rsidRDefault="00572307">
      <w:pPr>
        <w:pStyle w:val="P68B1DB1-Normal4"/>
        <w:numPr>
          <w:ilvl w:val="0"/>
          <w:numId w:val="145"/>
        </w:numPr>
        <w:spacing w:before="120" w:after="160" w:line="240" w:lineRule="auto"/>
        <w:contextualSpacing/>
        <w:jc w:val="both"/>
        <w:rPr>
          <w:rFonts w:cs="Times New Roman"/>
          <w:noProof/>
        </w:rPr>
      </w:pPr>
      <w:r w:rsidRPr="00BC4EE7">
        <w:rPr>
          <w:rFonts w:cs="Times New Roman"/>
          <w:noProof/>
        </w:rPr>
        <w:t xml:space="preserve">A 2021–2024-es spanyol foglalkoztatási aktivizálási stratégia, a szociális párbeszéd folyamatát követően. Az új stratégia fő célkitűzései a következők: </w:t>
      </w:r>
    </w:p>
    <w:p w14:paraId="1D990343" w14:textId="77777777" w:rsidR="00D65CB4" w:rsidRPr="00BC4EE7" w:rsidRDefault="00572307">
      <w:pPr>
        <w:pStyle w:val="P68B1DB1-Normal4"/>
        <w:numPr>
          <w:ilvl w:val="1"/>
          <w:numId w:val="146"/>
        </w:numPr>
        <w:spacing w:before="120" w:after="160" w:line="240" w:lineRule="auto"/>
        <w:contextualSpacing/>
        <w:jc w:val="both"/>
        <w:rPr>
          <w:rFonts w:cs="Times New Roman"/>
          <w:noProof/>
        </w:rPr>
      </w:pPr>
      <w:r w:rsidRPr="00BC4EE7">
        <w:rPr>
          <w:rFonts w:cs="Times New Roman"/>
          <w:noProof/>
        </w:rPr>
        <w:t>Emberközpontú és vállalkozásközpontú megközelítés: az aktív munkaerőpiaci intézkedések kialakítása várhatóan az egyes személyek és vállalkozások sajátos körülményeire fog összpontosítani.</w:t>
      </w:r>
    </w:p>
    <w:p w14:paraId="121EE051" w14:textId="77777777" w:rsidR="00D65CB4" w:rsidRPr="00BC4EE7" w:rsidRDefault="00572307">
      <w:pPr>
        <w:pStyle w:val="P68B1DB1-Normal4"/>
        <w:numPr>
          <w:ilvl w:val="1"/>
          <w:numId w:val="146"/>
        </w:numPr>
        <w:spacing w:before="120" w:after="160" w:line="240" w:lineRule="auto"/>
        <w:contextualSpacing/>
        <w:jc w:val="both"/>
        <w:rPr>
          <w:rFonts w:cs="Times New Roman"/>
          <w:noProof/>
        </w:rPr>
      </w:pPr>
      <w:r w:rsidRPr="00BC4EE7">
        <w:rPr>
          <w:rFonts w:cs="Times New Roman"/>
          <w:noProof/>
        </w:rPr>
        <w:t>Összhang a produktív átalakulással: Az aktív munkaerőpiaci intézkedéseknek lehetővé kell tenniük a termelési modell zöld és digitális gazdaságra való átállását kísérő szakmai átmenetet.</w:t>
      </w:r>
    </w:p>
    <w:p w14:paraId="45904CBE" w14:textId="77777777" w:rsidR="00D65CB4" w:rsidRPr="00BC4EE7" w:rsidRDefault="00572307">
      <w:pPr>
        <w:pStyle w:val="P68B1DB1-Normal4"/>
        <w:numPr>
          <w:ilvl w:val="1"/>
          <w:numId w:val="146"/>
        </w:numPr>
        <w:spacing w:before="120" w:after="160" w:line="240" w:lineRule="auto"/>
        <w:contextualSpacing/>
        <w:jc w:val="both"/>
        <w:rPr>
          <w:rFonts w:cs="Times New Roman"/>
          <w:noProof/>
        </w:rPr>
      </w:pPr>
      <w:r w:rsidRPr="00BC4EE7">
        <w:rPr>
          <w:rFonts w:cs="Times New Roman"/>
          <w:noProof/>
        </w:rPr>
        <w:t>Eredményorientáltság: Az aktív munkaerőpiaci intézkedéseket várhatóan értékelik, nyomon követik és elősegítik az eredmények elérését.</w:t>
      </w:r>
    </w:p>
    <w:p w14:paraId="4BDCF7E4" w14:textId="77777777" w:rsidR="00D65CB4" w:rsidRPr="00BC4EE7" w:rsidRDefault="00572307">
      <w:pPr>
        <w:pStyle w:val="P68B1DB1-Normal4"/>
        <w:numPr>
          <w:ilvl w:val="1"/>
          <w:numId w:val="146"/>
        </w:numPr>
        <w:spacing w:before="120" w:after="160" w:line="240" w:lineRule="auto"/>
        <w:contextualSpacing/>
        <w:jc w:val="both"/>
        <w:rPr>
          <w:rFonts w:cs="Times New Roman"/>
          <w:noProof/>
        </w:rPr>
      </w:pPr>
      <w:r w:rsidRPr="00BC4EE7">
        <w:rPr>
          <w:rFonts w:cs="Times New Roman"/>
          <w:noProof/>
        </w:rPr>
        <w:t xml:space="preserve">Az állami foglalkoztatási szolgálatok kapacitásainak javítása digitalizációjuk és korszerűsítésük révén. </w:t>
      </w:r>
    </w:p>
    <w:p w14:paraId="771EC655" w14:textId="77777777" w:rsidR="00D65CB4" w:rsidRPr="00BC4EE7" w:rsidRDefault="00572307">
      <w:pPr>
        <w:pStyle w:val="P68B1DB1-Normal4"/>
        <w:numPr>
          <w:ilvl w:val="1"/>
          <w:numId w:val="146"/>
        </w:numPr>
        <w:spacing w:before="120" w:after="160" w:line="240" w:lineRule="auto"/>
        <w:contextualSpacing/>
        <w:jc w:val="both"/>
        <w:rPr>
          <w:rFonts w:cs="Times New Roman"/>
          <w:noProof/>
        </w:rPr>
      </w:pPr>
      <w:r w:rsidRPr="00BC4EE7">
        <w:rPr>
          <w:rFonts w:cs="Times New Roman"/>
          <w:noProof/>
        </w:rPr>
        <w:t>A nemzeti foglalkoztatási rendszer irányítása és kohéziója a nemzeti és regionális szintű koordináció, valamint az aktív munkaerőpiaci intézkedésekben részt vevő érdekelt felek javítása érdekében.</w:t>
      </w:r>
    </w:p>
    <w:p w14:paraId="72ABA948" w14:textId="77777777" w:rsidR="00D65CB4" w:rsidRPr="00BC4EE7" w:rsidRDefault="00572307">
      <w:pPr>
        <w:pStyle w:val="P68B1DB1-Normal4"/>
        <w:spacing w:before="120" w:after="160" w:line="240" w:lineRule="auto"/>
        <w:ind w:left="709"/>
        <w:contextualSpacing/>
        <w:jc w:val="both"/>
        <w:rPr>
          <w:rFonts w:cs="Times New Roman"/>
          <w:noProof/>
        </w:rPr>
      </w:pPr>
      <w:r w:rsidRPr="00BC4EE7">
        <w:rPr>
          <w:rFonts w:cs="Times New Roman"/>
          <w:noProof/>
        </w:rPr>
        <w:t>Az intézkedés ezen elemének végrehajtását 2021. december 31-ig be kell fejezni.</w:t>
      </w:r>
    </w:p>
    <w:p w14:paraId="3E8A197B" w14:textId="77777777" w:rsidR="00D65CB4" w:rsidRPr="00BC4EE7" w:rsidRDefault="00572307">
      <w:pPr>
        <w:pStyle w:val="P68B1DB1-Normal4"/>
        <w:numPr>
          <w:ilvl w:val="0"/>
          <w:numId w:val="145"/>
        </w:numPr>
        <w:spacing w:before="120" w:after="160" w:line="240" w:lineRule="auto"/>
        <w:contextualSpacing/>
        <w:jc w:val="both"/>
        <w:rPr>
          <w:rFonts w:cs="Times New Roman"/>
          <w:noProof/>
        </w:rPr>
      </w:pPr>
      <w:r w:rsidRPr="00BC4EE7">
        <w:rPr>
          <w:rFonts w:cs="Times New Roman"/>
          <w:noProof/>
        </w:rPr>
        <w:t>A foglalkoztatási törvény reformja, a következő célkitűzésekkel: a nemzeti foglalkoztatási rendszer szakpolitikai és koordinációs eszközeinek megerősítése; ii. az aktív munkaerőpiaci politikák reformja; a rendszer irányításának felülvizsgálata; a foglalkoztatáspolitika helyi dimenziójának megerősítése; és v. az aktív foglalkoztatáspolitikákra vonatkozó nemzeti terv keretében előirányzott különböző intézkedések végrehajtására vonatkozó követelmények teljesítése. Ebben az összefüggésben a jogszabályi változások fő elemei a következők:</w:t>
      </w:r>
    </w:p>
    <w:p w14:paraId="530053EE" w14:textId="77777777" w:rsidR="00D65CB4" w:rsidRPr="00BC4EE7" w:rsidRDefault="00572307">
      <w:pPr>
        <w:pStyle w:val="P68B1DB1-Normal4"/>
        <w:numPr>
          <w:ilvl w:val="1"/>
          <w:numId w:val="146"/>
        </w:numPr>
        <w:spacing w:before="120" w:after="160" w:line="240" w:lineRule="auto"/>
        <w:contextualSpacing/>
        <w:jc w:val="both"/>
        <w:rPr>
          <w:rFonts w:cs="Times New Roman"/>
          <w:noProof/>
        </w:rPr>
      </w:pPr>
      <w:r w:rsidRPr="00BC4EE7">
        <w:rPr>
          <w:rFonts w:cs="Times New Roman"/>
          <w:noProof/>
        </w:rPr>
        <w:t>Az aktív és passzív foglalkoztatási politikák megerősítése, figyelembe véve az állam és az autonóm közösségek közötti hatáskörmegosztást.</w:t>
      </w:r>
    </w:p>
    <w:p w14:paraId="4EA0BFE8" w14:textId="77777777" w:rsidR="00D65CB4" w:rsidRPr="00BC4EE7" w:rsidRDefault="00572307">
      <w:pPr>
        <w:pStyle w:val="P68B1DB1-Normal4"/>
        <w:numPr>
          <w:ilvl w:val="1"/>
          <w:numId w:val="146"/>
        </w:numPr>
        <w:spacing w:before="120" w:after="160" w:line="240" w:lineRule="auto"/>
        <w:contextualSpacing/>
        <w:jc w:val="both"/>
        <w:rPr>
          <w:rFonts w:cs="Times New Roman"/>
          <w:noProof/>
        </w:rPr>
      </w:pPr>
      <w:r w:rsidRPr="00BC4EE7">
        <w:rPr>
          <w:rFonts w:cs="Times New Roman"/>
          <w:noProof/>
        </w:rPr>
        <w:t xml:space="preserve">A közvetítő rendszer és a köz- és magánszféra közötti partnerségek megerősítése. </w:t>
      </w:r>
    </w:p>
    <w:p w14:paraId="07EEF715" w14:textId="77777777" w:rsidR="00D65CB4" w:rsidRPr="00BC4EE7" w:rsidRDefault="00572307">
      <w:pPr>
        <w:pStyle w:val="P68B1DB1-Normal4"/>
        <w:numPr>
          <w:ilvl w:val="1"/>
          <w:numId w:val="146"/>
        </w:numPr>
        <w:spacing w:before="120" w:after="160" w:line="240" w:lineRule="auto"/>
        <w:contextualSpacing/>
        <w:jc w:val="both"/>
        <w:rPr>
          <w:rFonts w:cs="Times New Roman"/>
          <w:noProof/>
        </w:rPr>
      </w:pPr>
      <w:r w:rsidRPr="00BC4EE7">
        <w:rPr>
          <w:rFonts w:cs="Times New Roman"/>
          <w:noProof/>
        </w:rPr>
        <w:t>A nemzeti foglalkoztatási rendszer közös szolgáltatási portfóliója.</w:t>
      </w:r>
    </w:p>
    <w:p w14:paraId="7589A543" w14:textId="77777777" w:rsidR="00D65CB4" w:rsidRPr="00BC4EE7" w:rsidRDefault="00572307">
      <w:pPr>
        <w:pStyle w:val="P68B1DB1-Normal4"/>
        <w:numPr>
          <w:ilvl w:val="1"/>
          <w:numId w:val="146"/>
        </w:numPr>
        <w:spacing w:before="120" w:after="160" w:line="240" w:lineRule="auto"/>
        <w:contextualSpacing/>
        <w:jc w:val="both"/>
        <w:rPr>
          <w:rFonts w:cs="Times New Roman"/>
          <w:noProof/>
        </w:rPr>
      </w:pPr>
      <w:r w:rsidRPr="00BC4EE7">
        <w:rPr>
          <w:rFonts w:cs="Times New Roman"/>
          <w:noProof/>
        </w:rPr>
        <w:t xml:space="preserve">A finanszírozási modell felülvizsgálata. </w:t>
      </w:r>
    </w:p>
    <w:p w14:paraId="3C95E3DE" w14:textId="77777777" w:rsidR="00D65CB4" w:rsidRPr="00BC4EE7" w:rsidRDefault="00572307">
      <w:pPr>
        <w:pStyle w:val="P68B1DB1-Normal4"/>
        <w:numPr>
          <w:ilvl w:val="1"/>
          <w:numId w:val="146"/>
        </w:numPr>
        <w:spacing w:before="120" w:after="160" w:line="240" w:lineRule="auto"/>
        <w:contextualSpacing/>
        <w:jc w:val="both"/>
        <w:rPr>
          <w:rFonts w:cs="Times New Roman"/>
          <w:noProof/>
        </w:rPr>
      </w:pPr>
      <w:r w:rsidRPr="00BC4EE7">
        <w:rPr>
          <w:rFonts w:cs="Times New Roman"/>
          <w:noProof/>
        </w:rPr>
        <w:t>Együttműködés a szociális szolgálatokkal.</w:t>
      </w:r>
    </w:p>
    <w:p w14:paraId="5D537E1C" w14:textId="77777777" w:rsidR="00D65CB4" w:rsidRPr="00BC4EE7" w:rsidRDefault="00572307">
      <w:pPr>
        <w:pStyle w:val="P68B1DB1-Normal4"/>
        <w:numPr>
          <w:ilvl w:val="1"/>
          <w:numId w:val="146"/>
        </w:numPr>
        <w:spacing w:before="120" w:after="160" w:line="240" w:lineRule="auto"/>
        <w:contextualSpacing/>
        <w:jc w:val="both"/>
        <w:rPr>
          <w:rFonts w:cs="Times New Roman"/>
          <w:noProof/>
        </w:rPr>
      </w:pPr>
      <w:r w:rsidRPr="00BC4EE7">
        <w:rPr>
          <w:rFonts w:cs="Times New Roman"/>
          <w:noProof/>
        </w:rPr>
        <w:t>Helyi és európai dimenzió.</w:t>
      </w:r>
    </w:p>
    <w:p w14:paraId="6719D66E" w14:textId="77777777" w:rsidR="00D65CB4" w:rsidRPr="00BC4EE7" w:rsidRDefault="00572307">
      <w:pPr>
        <w:pStyle w:val="P68B1DB1-Normal4"/>
        <w:numPr>
          <w:ilvl w:val="1"/>
          <w:numId w:val="146"/>
        </w:numPr>
        <w:spacing w:before="120" w:after="160" w:line="240" w:lineRule="auto"/>
        <w:contextualSpacing/>
        <w:jc w:val="both"/>
        <w:rPr>
          <w:rFonts w:cs="Times New Roman"/>
          <w:noProof/>
        </w:rPr>
      </w:pPr>
      <w:r w:rsidRPr="00BC4EE7">
        <w:rPr>
          <w:rFonts w:cs="Times New Roman"/>
          <w:noProof/>
        </w:rPr>
        <w:t>Technológiai fejlődés a foglalkoztathatóság érdekében.</w:t>
      </w:r>
    </w:p>
    <w:p w14:paraId="65442721" w14:textId="77777777" w:rsidR="00D65CB4" w:rsidRPr="00BC4EE7" w:rsidRDefault="00572307">
      <w:pPr>
        <w:pStyle w:val="P68B1DB1-Normal4"/>
        <w:numPr>
          <w:ilvl w:val="1"/>
          <w:numId w:val="146"/>
        </w:numPr>
        <w:spacing w:before="120" w:after="160" w:line="240" w:lineRule="auto"/>
        <w:contextualSpacing/>
        <w:jc w:val="both"/>
        <w:rPr>
          <w:rFonts w:cs="Times New Roman"/>
          <w:noProof/>
        </w:rPr>
      </w:pPr>
      <w:r w:rsidRPr="00BC4EE7">
        <w:rPr>
          <w:rFonts w:cs="Times New Roman"/>
          <w:noProof/>
        </w:rPr>
        <w:t>IKT-k és nagy adathalmazok használata.</w:t>
      </w:r>
    </w:p>
    <w:p w14:paraId="029E0FC8" w14:textId="77777777" w:rsidR="00D65CB4" w:rsidRPr="00BC4EE7" w:rsidRDefault="00572307">
      <w:pPr>
        <w:pStyle w:val="P68B1DB1-Normal4"/>
        <w:numPr>
          <w:ilvl w:val="1"/>
          <w:numId w:val="146"/>
        </w:numPr>
        <w:spacing w:before="120" w:after="160" w:line="240" w:lineRule="auto"/>
        <w:contextualSpacing/>
        <w:jc w:val="both"/>
        <w:rPr>
          <w:rFonts w:cs="Times New Roman"/>
          <w:noProof/>
        </w:rPr>
      </w:pPr>
      <w:r w:rsidRPr="00BC4EE7">
        <w:rPr>
          <w:rFonts w:cs="Times New Roman"/>
          <w:noProof/>
        </w:rPr>
        <w:t>A foglalkoztathatóság javítása.</w:t>
      </w:r>
    </w:p>
    <w:p w14:paraId="04D029A0" w14:textId="77777777" w:rsidR="00D65CB4" w:rsidRPr="00BC4EE7" w:rsidRDefault="00572307">
      <w:pPr>
        <w:pStyle w:val="P68B1DB1-Normal4"/>
        <w:spacing w:before="120" w:after="160" w:line="240" w:lineRule="auto"/>
        <w:ind w:left="709"/>
        <w:contextualSpacing/>
        <w:jc w:val="both"/>
        <w:rPr>
          <w:rFonts w:cs="Times New Roman"/>
          <w:noProof/>
        </w:rPr>
      </w:pPr>
      <w:r w:rsidRPr="00BC4EE7">
        <w:rPr>
          <w:rFonts w:cs="Times New Roman"/>
          <w:noProof/>
        </w:rPr>
        <w:t>Az intézkedés ezen elemének végrehajtását 2022. december 31-ig be kell fejezni.</w:t>
      </w:r>
    </w:p>
    <w:p w14:paraId="40D99AEC" w14:textId="77777777" w:rsidR="00D65CB4" w:rsidRPr="00BC4EE7" w:rsidRDefault="00572307">
      <w:pPr>
        <w:pStyle w:val="P68B1DB1-Normal5"/>
        <w:spacing w:before="240" w:after="120" w:line="240" w:lineRule="auto"/>
        <w:jc w:val="both"/>
        <w:rPr>
          <w:rFonts w:cs="Times New Roman"/>
          <w:noProof/>
        </w:rPr>
      </w:pPr>
      <w:r w:rsidRPr="00BC4EE7">
        <w:rPr>
          <w:rFonts w:cs="Times New Roman"/>
          <w:noProof/>
        </w:rPr>
        <w:t>Reform (C23.R6) – A belső rugalmasságot, a munkahely stabilitását és az átalakulóban lévő munkavállalók átképzését szolgáló állandó mechanizmus.</w:t>
      </w:r>
    </w:p>
    <w:p w14:paraId="77191841"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Ennek a reformnak az a célja, hogy állandó rendszert hozzon létre a ciklikus és strukturális sokkhatásokhoz való alkalmazkodás érdekében azáltal, hogy a munkaidő felfüggesztését vagy csökkentését egy olyan foglalkoztatási szabályozási terv révén fedi le, amely magában foglalja azt a követelményt, hogy javítsák vagy átképezzék a munkavállalókat a keresett készségek terén. A rendszernek a Covid19-válság során alkalmazott csökkentett munkaidős foglalkoztatási programok (az úgynevezett „ERTE-k”) tapasztalataira kell épülnie, amelyek célja a munkahelyek megőrzése a világjárvány által okozott kijárási korlátozások és egyéb tevékenységi korlátozások idején. </w:t>
      </w:r>
    </w:p>
    <w:p w14:paraId="18C45FF0"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reform két új kiigazítási mechanizmusból áll:</w:t>
      </w:r>
    </w:p>
    <w:p w14:paraId="40A14A70" w14:textId="77777777" w:rsidR="00D65CB4" w:rsidRPr="00BC4EE7" w:rsidRDefault="00572307">
      <w:pPr>
        <w:pStyle w:val="P68B1DB1-Normal4"/>
        <w:numPr>
          <w:ilvl w:val="0"/>
          <w:numId w:val="147"/>
        </w:numPr>
        <w:spacing w:before="120" w:after="160" w:line="240" w:lineRule="auto"/>
        <w:contextualSpacing/>
        <w:jc w:val="both"/>
        <w:rPr>
          <w:rFonts w:cs="Times New Roman"/>
          <w:noProof/>
        </w:rPr>
      </w:pPr>
      <w:r w:rsidRPr="00BC4EE7">
        <w:rPr>
          <w:rFonts w:cs="Times New Roman"/>
          <w:noProof/>
        </w:rPr>
        <w:t>Gazdasági stabilizációs mechanizmus, amely átmeneti vagy ciklikus sokkhatásokkal szemben belső rugalmasságot és stabilitást biztosít a munkavállalók számára, különös tekintettel a munkavállalók képzésére.</w:t>
      </w:r>
    </w:p>
    <w:p w14:paraId="06B172C6" w14:textId="77777777" w:rsidR="00D65CB4" w:rsidRPr="00BC4EE7" w:rsidRDefault="00572307">
      <w:pPr>
        <w:pStyle w:val="P68B1DB1-Normal4"/>
        <w:numPr>
          <w:ilvl w:val="0"/>
          <w:numId w:val="147"/>
        </w:numPr>
        <w:spacing w:before="120" w:after="160" w:line="240" w:lineRule="auto"/>
        <w:contextualSpacing/>
        <w:jc w:val="both"/>
        <w:rPr>
          <w:rFonts w:cs="Times New Roman"/>
          <w:noProof/>
        </w:rPr>
      </w:pPr>
      <w:r w:rsidRPr="00BC4EE7">
        <w:rPr>
          <w:rFonts w:cs="Times New Roman"/>
          <w:noProof/>
        </w:rPr>
        <w:t>Egy olyan mechanizmus, amely támogatja az átalakulóban lévő munkavállalók és vállalatok átképzését és továbbképzését annak érdekében, hogy segítse őket a technológiai vagy keresleti innovációkkal való megbirkózásban, és amely megkönnyíti a munkavállalók önkéntes mobilitását a vállalkozásokon belül és azok között.</w:t>
      </w:r>
    </w:p>
    <w:p w14:paraId="608CBF5D" w14:textId="77777777" w:rsidR="00D65CB4" w:rsidRPr="00BC4EE7" w:rsidRDefault="00572307">
      <w:pPr>
        <w:pStyle w:val="P68B1DB1-Normal4"/>
        <w:spacing w:before="240" w:after="120" w:line="240" w:lineRule="auto"/>
        <w:jc w:val="both"/>
        <w:rPr>
          <w:rFonts w:cs="Times New Roman"/>
          <w:noProof/>
        </w:rPr>
      </w:pPr>
      <w:r w:rsidRPr="00BC4EE7">
        <w:rPr>
          <w:rFonts w:cs="Times New Roman"/>
          <w:noProof/>
        </w:rPr>
        <w:t xml:space="preserve">Az intézkedést a munkavállalók jogállásáról szóló törvény módosításával kell végrehajtani. Magában foglalja egy háromoldalú alap létrehozását, amelyet a munkáltatók és a munkavállalók társadalombiztosítási járulékaiból finanszíroznak, és amelyet az állam egészít ki. Biztosítania kell a költségvetés közép- és hosszú távú fenntarthatóságát, figyelembe véve a különböző lehetőségeket és forgatókönyveket. Ennek az alapnak a konkrét működéséről a szociális partnerekkel kell tárgyalni. </w:t>
      </w:r>
    </w:p>
    <w:p w14:paraId="12963DC9" w14:textId="77777777" w:rsidR="00D65CB4" w:rsidRPr="00BC4EE7" w:rsidRDefault="00572307">
      <w:pPr>
        <w:pStyle w:val="P68B1DB1-Normal4"/>
        <w:spacing w:before="240" w:after="120" w:line="240" w:lineRule="auto"/>
        <w:jc w:val="both"/>
        <w:rPr>
          <w:rFonts w:cs="Times New Roman"/>
          <w:noProof/>
        </w:rPr>
      </w:pPr>
      <w:r w:rsidRPr="00BC4EE7">
        <w:rPr>
          <w:rFonts w:cs="Times New Roman"/>
          <w:noProof/>
        </w:rPr>
        <w:t>Az intézkedés végrehajtását 2021. december 31-ig be kell fejezni.</w:t>
      </w:r>
    </w:p>
    <w:p w14:paraId="28CD0A2F"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Reform (C23.R7) – A munkaerő-felvételi ösztönzők felülvizsgálata</w:t>
      </w:r>
    </w:p>
    <w:p w14:paraId="5D0C6F76"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reform célja, hogy a kiadások független költségvetési hatóság (AIReF) által végzett felülvizsgálatának figyelembevétele révén egyszerűsítse a munkaerő-felvételi ösztönzők rendszerét és növelje annak hatékonyságát a célzottabbá tétel révén. Célja különösen az, hogy a minőségi munkahelyek és a határozatlan idejű szerződések előmozdítása révén javítsa az alacsony munkaerőpiaci részvétellel rendelkező, nagyon sajátos csoportok foglalkoztathatóságát. Csökkenteni kell az ösztönzők számát, és szabványosítani kell a kedvezményezett vállalkozásokra vonatkozó követelményeket. A munkaerő-felvételt ösztönző rendszer folyamatos nyomon követését és értékelését tervezik.</w:t>
      </w:r>
    </w:p>
    <w:p w14:paraId="411CD929"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reformot a 43/2006. sz. törvény módosításával kell végrehajtani. Szorosan kapcsolódik az ezen alkotóelemhez tartozó egyéb intézkedésekhez, például az 5. reformhoz (az aktív munkaerőpiaci politikák átfogó reformja) és a 7. beruházáshoz (a minimáljövedelem-rendszer kedvezményezettjei számára biztosított aktivizálási lehetőségek).</w:t>
      </w:r>
    </w:p>
    <w:p w14:paraId="0AC3C4D4"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Az intézkedés végrehajtását 2022. december 31-ig be kell fejezni.</w:t>
      </w:r>
    </w:p>
    <w:p w14:paraId="13629EB5" w14:textId="77777777" w:rsidR="00D65CB4" w:rsidRPr="00BC4EE7" w:rsidRDefault="00572307">
      <w:pPr>
        <w:pStyle w:val="P68B1DB1-Normal5"/>
        <w:keepNext/>
        <w:spacing w:before="120" w:after="120" w:line="240" w:lineRule="auto"/>
        <w:jc w:val="both"/>
        <w:rPr>
          <w:rFonts w:cs="Times New Roman"/>
          <w:noProof/>
        </w:rPr>
      </w:pPr>
      <w:r w:rsidRPr="00BC4EE7">
        <w:rPr>
          <w:rFonts w:cs="Times New Roman"/>
          <w:noProof/>
        </w:rPr>
        <w:t>Reform (C23.R8) – A kollektív tárgyalások korszerűsítése</w:t>
      </w:r>
    </w:p>
    <w:p w14:paraId="496F473E" w14:textId="77777777" w:rsidR="00D65CB4" w:rsidRPr="00BC4EE7" w:rsidRDefault="00572307">
      <w:pPr>
        <w:pStyle w:val="P68B1DB1-Normal4"/>
        <w:keepNext/>
        <w:spacing w:before="120" w:after="120" w:line="240" w:lineRule="auto"/>
        <w:jc w:val="both"/>
        <w:rPr>
          <w:rFonts w:cs="Times New Roman"/>
          <w:noProof/>
        </w:rPr>
      </w:pPr>
      <w:r w:rsidRPr="00BC4EE7">
        <w:rPr>
          <w:rFonts w:cs="Times New Roman"/>
          <w:noProof/>
        </w:rPr>
        <w:t>E reform célja a kollektív tárgyalások működésének javítása a munkavállalók jogállásáról szóló törvény (a 2/2015. sz. törvényerejű rendelet III. címe) vonatkozó jogi szabályainak a szociális párbeszéd folyamatát követő módosítása révén. Emiatt a terv nem részletezi teljes mértékben a tervezett szabályozási változtatásokat. A változásoknak javítaniuk kell a kollektív tárgyalásokra vonatkozó jogi szabályokat.</w:t>
      </w:r>
    </w:p>
    <w:p w14:paraId="4D0CE5EC"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kollektív tárgyalások korszerűsítése magában foglalja magát a tárgyalási struktúrát érintő változtatásokat azzal a céllal, hogy megerősítse a tárgyaló felek reprezentativitását, gazdagítsa a párbeszéd tartalmát, és fokozza a jogbiztonságot annak végrehajtása és hatásai tekintetében. A változások nem akadályozhatják aránytalanul a vállalkozásokat abban, hogy alkalmazkodjanak a ciklushoz és reagáljanak a termelékenység alakulására.</w:t>
      </w:r>
    </w:p>
    <w:p w14:paraId="02DD64C2"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reform végrehajtását 2021. december 31-ig be kell fejezni. </w:t>
      </w:r>
    </w:p>
    <w:p w14:paraId="026F07AD"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Reform (C23.R9) – Az alvállalkozói tevékenységek korszerűsítése</w:t>
      </w:r>
    </w:p>
    <w:p w14:paraId="788616DE"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Ennek a reformnak az a célja, hogy a munkavállalók jogállásáról szóló törvény (a továbbiakban: 2/2015. sz. törvényerejű rendelet) 42. cikkének módosításával javítsa a munkafeltételeket és az alvállalkozásban dolgozók jogait annak érdekében, hogy biztosítsa annak megfelelő alkalmazását azokban az esetekben, amikor az javítja a termelő tevékenységet, és eltántorítja attól, hogy az csupán költségcsökkentési eszköz. </w:t>
      </w:r>
    </w:p>
    <w:p w14:paraId="4B283B21"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 reformnak megfelelő szintű védelmet kell biztosítania az alvállalkozásban dolgozó munkavállalók számára, és el kell mozdulnia az alvállalkozásba adott és a vállalati munkavállalók közötti egyenlő versenyfeltételek felé. Meg kell erősítenie továbbá a vállalkozók vagy alvállalkozók felelősségét, és meg kell akadályoznia a szolgáltatások alvállalkozás útján történő kiszervezését azokban az esetekben, amikor arra az alvállalkozóknak dolgozó személyekre vonatkozó munkaügyi normák csökkentése céljából került sor.</w:t>
      </w:r>
    </w:p>
    <w:p w14:paraId="61713654"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reform végrehajtását 2021. december 31-ig be kell fejezni.</w:t>
      </w:r>
    </w:p>
    <w:p w14:paraId="4F3E3072"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Reform (C23.R10) – A munkanélküliségi támogatás egyszerűsítése és javítása</w:t>
      </w:r>
    </w:p>
    <w:p w14:paraId="1FD56FE4" w14:textId="16B70496"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Ez a jogalkotási reform a nem járulékalapú munkanélküliségi támogatásra vonatkozik, és a 8/2015. sz. királyi törvényerejű rendelet módosítása révén valósul meg. Szorosan kapcsolódik a 22. komponens 5. reformjához, amely a nem járulékalapú szociális ellátások általánosabb reformját vázolja fel. </w:t>
      </w:r>
    </w:p>
    <w:p w14:paraId="5A323593"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reform a következő célkitűzéseket tartalmazza:</w:t>
      </w:r>
    </w:p>
    <w:p w14:paraId="533E27A3" w14:textId="77777777" w:rsidR="00D65CB4" w:rsidRPr="00BC4EE7" w:rsidRDefault="00572307">
      <w:pPr>
        <w:pStyle w:val="P68B1DB1-Normal4"/>
        <w:numPr>
          <w:ilvl w:val="2"/>
          <w:numId w:val="148"/>
        </w:numPr>
        <w:spacing w:before="120" w:after="160" w:line="240" w:lineRule="auto"/>
        <w:ind w:left="709"/>
        <w:contextualSpacing/>
        <w:jc w:val="both"/>
        <w:rPr>
          <w:rFonts w:cs="Times New Roman"/>
          <w:noProof/>
        </w:rPr>
      </w:pPr>
      <w:r w:rsidRPr="00BC4EE7">
        <w:rPr>
          <w:rFonts w:cs="Times New Roman"/>
          <w:noProof/>
        </w:rPr>
        <w:t xml:space="preserve">a munkanélküliség elleni védelem kiterjesztése a jelenlegi rendszer lefedettségi hiányosságainak pótlása és a maximális időtartam meghosszabbítása révén; </w:t>
      </w:r>
    </w:p>
    <w:p w14:paraId="12836CE3" w14:textId="77777777" w:rsidR="00D65CB4" w:rsidRPr="00BC4EE7" w:rsidRDefault="00572307">
      <w:pPr>
        <w:pStyle w:val="P68B1DB1-Normal4"/>
        <w:numPr>
          <w:ilvl w:val="2"/>
          <w:numId w:val="148"/>
        </w:numPr>
        <w:spacing w:before="120" w:after="160" w:line="240" w:lineRule="auto"/>
        <w:ind w:left="709"/>
        <w:contextualSpacing/>
        <w:jc w:val="both"/>
        <w:rPr>
          <w:rFonts w:cs="Times New Roman"/>
          <w:noProof/>
        </w:rPr>
      </w:pPr>
      <w:r w:rsidRPr="00BC4EE7">
        <w:rPr>
          <w:rFonts w:cs="Times New Roman"/>
          <w:noProof/>
        </w:rPr>
        <w:t xml:space="preserve">a rendszer egyszerűsítése, amely jelenleg több rendszerre tagolódik; </w:t>
      </w:r>
    </w:p>
    <w:p w14:paraId="56F4FDAE" w14:textId="77777777" w:rsidR="00D65CB4" w:rsidRPr="00BC4EE7" w:rsidRDefault="00572307">
      <w:pPr>
        <w:pStyle w:val="P68B1DB1-Normal4"/>
        <w:numPr>
          <w:ilvl w:val="2"/>
          <w:numId w:val="148"/>
        </w:numPr>
        <w:spacing w:before="120" w:after="160" w:line="240" w:lineRule="auto"/>
        <w:ind w:left="709"/>
        <w:contextualSpacing/>
        <w:jc w:val="both"/>
        <w:rPr>
          <w:rFonts w:cs="Times New Roman"/>
          <w:noProof/>
        </w:rPr>
      </w:pPr>
      <w:r w:rsidRPr="00BC4EE7">
        <w:rPr>
          <w:rFonts w:cs="Times New Roman"/>
          <w:noProof/>
        </w:rPr>
        <w:t xml:space="preserve">az ellátás összekapcsolása személyre szabott aktiválási útvonallal; </w:t>
      </w:r>
    </w:p>
    <w:p w14:paraId="0FB4E56A" w14:textId="77777777" w:rsidR="00D65CB4" w:rsidRPr="00BC4EE7" w:rsidRDefault="00572307">
      <w:pPr>
        <w:pStyle w:val="P68B1DB1-Normal4"/>
        <w:numPr>
          <w:ilvl w:val="2"/>
          <w:numId w:val="148"/>
        </w:numPr>
        <w:spacing w:before="120" w:after="160" w:line="240" w:lineRule="auto"/>
        <w:ind w:left="709"/>
        <w:contextualSpacing/>
        <w:jc w:val="both"/>
        <w:rPr>
          <w:rFonts w:cs="Times New Roman"/>
          <w:noProof/>
        </w:rPr>
      </w:pPr>
      <w:r w:rsidRPr="00BC4EE7">
        <w:rPr>
          <w:rFonts w:cs="Times New Roman"/>
          <w:noProof/>
        </w:rPr>
        <w:t>a szociális védelemre való áttérés megkönnyítése abban az esetben, ha a kedvezményezett nem tér vissza a munkába, és kiszolgáltatott helyzetben van.</w:t>
      </w:r>
    </w:p>
    <w:p w14:paraId="29D1C7E2" w14:textId="77777777" w:rsidR="00D65CB4" w:rsidRPr="00BC4EE7" w:rsidRDefault="00572307">
      <w:pPr>
        <w:pStyle w:val="P68B1DB1-Normal4"/>
        <w:spacing w:before="240" w:after="120" w:line="240" w:lineRule="auto"/>
        <w:jc w:val="both"/>
        <w:rPr>
          <w:rFonts w:cs="Times New Roman"/>
          <w:noProof/>
        </w:rPr>
      </w:pPr>
      <w:r w:rsidRPr="00BC4EE7">
        <w:rPr>
          <w:rFonts w:cs="Times New Roman"/>
          <w:noProof/>
        </w:rPr>
        <w:t>Általános szabályként az új rendszer célcsoportjának meg kell egyeznie a jelenlegi rendszer célcsoportjával, azaz azoknak a munkanélkülieknek, akik nem jogosultak járulékalapú munkanélküli ellátásra, vagy azért, mert túl hosszú ideje munkanélküliek és jogaikat kimerítették, vagy mert a járulékfizetési előzmények túl rövidek (12 hónapnál kevesebb, de több mint hat hónap). Az ellátás havi összege továbbra is az „IPREM” (a többszörös hatások állami jövedelmére vonatkozó mutató) 80%-a marad.</w:t>
      </w:r>
    </w:p>
    <w:p w14:paraId="6FEE01AA"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Az intézkedés végrehajtását 2022. december 31-ig be kell fejezni.</w:t>
      </w:r>
    </w:p>
    <w:p w14:paraId="18C2CB6D" w14:textId="77777777" w:rsidR="00D65CB4" w:rsidRPr="00BC4EE7" w:rsidRDefault="00572307">
      <w:pPr>
        <w:pStyle w:val="P68B1DB1-Normal5"/>
        <w:keepNext/>
        <w:spacing w:before="120" w:after="120" w:line="240" w:lineRule="auto"/>
        <w:jc w:val="both"/>
        <w:rPr>
          <w:rFonts w:cs="Times New Roman"/>
          <w:noProof/>
        </w:rPr>
      </w:pPr>
      <w:r w:rsidRPr="00BC4EE7">
        <w:rPr>
          <w:rFonts w:cs="Times New Roman"/>
          <w:noProof/>
        </w:rPr>
        <w:t xml:space="preserve">Reform (C23.R11) – Az állami foglalkoztatási szolgálatok digitalizációja a korszerűsítés és a hatékonyság érdekében. </w:t>
      </w:r>
    </w:p>
    <w:p w14:paraId="0402C109" w14:textId="77777777" w:rsidR="00D65CB4" w:rsidRPr="00BC4EE7" w:rsidRDefault="00572307">
      <w:pPr>
        <w:pStyle w:val="P68B1DB1-Normal4"/>
        <w:keepNext/>
        <w:spacing w:before="120" w:after="120" w:line="240" w:lineRule="auto"/>
        <w:jc w:val="both"/>
        <w:rPr>
          <w:rFonts w:cs="Times New Roman"/>
          <w:noProof/>
        </w:rPr>
      </w:pPr>
      <w:r w:rsidRPr="00BC4EE7">
        <w:rPr>
          <w:rFonts w:cs="Times New Roman"/>
          <w:noProof/>
        </w:rPr>
        <w:t>E reform célja az állami foglalkoztatási szolgálatok nyújtásának átalakítása, valamint hatékonyságuk javítása a polgárok és a vállalkozások számára. A reform a következő elemekből áll:</w:t>
      </w:r>
    </w:p>
    <w:p w14:paraId="78B41EBA" w14:textId="77777777" w:rsidR="00D65CB4" w:rsidRPr="00BC4EE7" w:rsidRDefault="00572307">
      <w:pPr>
        <w:pStyle w:val="P68B1DB1-Normal4"/>
        <w:numPr>
          <w:ilvl w:val="0"/>
          <w:numId w:val="149"/>
        </w:numPr>
        <w:spacing w:before="120" w:after="160" w:line="240" w:lineRule="auto"/>
        <w:contextualSpacing/>
        <w:jc w:val="both"/>
        <w:rPr>
          <w:rFonts w:cs="Times New Roman"/>
          <w:noProof/>
        </w:rPr>
      </w:pPr>
      <w:r w:rsidRPr="00BC4EE7">
        <w:rPr>
          <w:rFonts w:cs="Times New Roman"/>
          <w:noProof/>
        </w:rPr>
        <w:t>A belső irányítás javítása: a munkanélküli-ellátási rendszert támogató, valamint az aktív munkaerőpiaci politikákat támogató információs rendszerek korszerűsítése.</w:t>
      </w:r>
    </w:p>
    <w:p w14:paraId="310BC912" w14:textId="77777777" w:rsidR="00D65CB4" w:rsidRPr="00BC4EE7" w:rsidRDefault="00572307">
      <w:pPr>
        <w:pStyle w:val="P68B1DB1-Normal4"/>
        <w:numPr>
          <w:ilvl w:val="0"/>
          <w:numId w:val="149"/>
        </w:numPr>
        <w:spacing w:before="120" w:after="160" w:line="240" w:lineRule="auto"/>
        <w:contextualSpacing/>
        <w:jc w:val="both"/>
        <w:rPr>
          <w:rFonts w:cs="Times New Roman"/>
          <w:noProof/>
        </w:rPr>
      </w:pPr>
      <w:r w:rsidRPr="00BC4EE7">
        <w:rPr>
          <w:rFonts w:cs="Times New Roman"/>
          <w:noProof/>
        </w:rPr>
        <w:t>A polgárok és a vállalkozások számára nyújtott valamennyi közszolgáltatás digitalizálása, valamint az ügyfélszolgálat javítása, beleértve az új szolgáltatások (mobilalkalmazás és továbbfejlesztett előzetes kinevezési rendszer és online szolgáltatások) kínálatát.</w:t>
      </w:r>
    </w:p>
    <w:p w14:paraId="2C2D88FD" w14:textId="77777777" w:rsidR="00D65CB4" w:rsidRPr="00BC4EE7" w:rsidRDefault="00572307">
      <w:pPr>
        <w:pStyle w:val="P68B1DB1-Normal4"/>
        <w:numPr>
          <w:ilvl w:val="0"/>
          <w:numId w:val="149"/>
        </w:numPr>
        <w:spacing w:before="120" w:after="160" w:line="240" w:lineRule="auto"/>
        <w:contextualSpacing/>
        <w:jc w:val="both"/>
        <w:rPr>
          <w:rFonts w:cs="Times New Roman"/>
          <w:noProof/>
        </w:rPr>
      </w:pPr>
      <w:r w:rsidRPr="00BC4EE7">
        <w:rPr>
          <w:rFonts w:cs="Times New Roman"/>
          <w:noProof/>
        </w:rPr>
        <w:t>Statisztikák és adatkezelés: A megfelelő adatkezelés beépítése, amely elősegíti a döntéshozatalt, valamint a társadalom számára értékes információk közzétételét.</w:t>
      </w:r>
    </w:p>
    <w:p w14:paraId="69ED1664" w14:textId="77777777" w:rsidR="00D65CB4" w:rsidRPr="00BC4EE7" w:rsidRDefault="00572307">
      <w:pPr>
        <w:pStyle w:val="P68B1DB1-Normal4"/>
        <w:numPr>
          <w:ilvl w:val="0"/>
          <w:numId w:val="149"/>
        </w:numPr>
        <w:spacing w:before="120" w:after="160" w:line="240" w:lineRule="auto"/>
        <w:contextualSpacing/>
        <w:jc w:val="both"/>
        <w:rPr>
          <w:rFonts w:cs="Times New Roman"/>
          <w:noProof/>
        </w:rPr>
      </w:pPr>
      <w:r w:rsidRPr="00BC4EE7">
        <w:rPr>
          <w:rFonts w:cs="Times New Roman"/>
          <w:noProof/>
        </w:rPr>
        <w:t>A csalás elleni rendszerek javítása mesterségesintelligencia-rendszerek és nagy adathalmazok révén.</w:t>
      </w:r>
    </w:p>
    <w:p w14:paraId="4780FB48" w14:textId="77777777" w:rsidR="00D65CB4" w:rsidRPr="00BC4EE7" w:rsidRDefault="00572307">
      <w:pPr>
        <w:pStyle w:val="P68B1DB1-Normal4"/>
        <w:numPr>
          <w:ilvl w:val="0"/>
          <w:numId w:val="149"/>
        </w:numPr>
        <w:spacing w:before="120" w:after="160" w:line="240" w:lineRule="auto"/>
        <w:contextualSpacing/>
        <w:jc w:val="both"/>
        <w:rPr>
          <w:rFonts w:cs="Times New Roman"/>
          <w:noProof/>
        </w:rPr>
      </w:pPr>
      <w:r w:rsidRPr="00BC4EE7">
        <w:rPr>
          <w:rFonts w:cs="Times New Roman"/>
          <w:noProof/>
        </w:rPr>
        <w:t>A munkahelyek és az infrastruktúrák korszerűsítése az ÁFSZ-személyzet távmunka-rendszerének megkönnyítése érdekében.</w:t>
      </w:r>
    </w:p>
    <w:p w14:paraId="3A34C3C9" w14:textId="77777777" w:rsidR="00D65CB4" w:rsidRPr="00BC4EE7" w:rsidRDefault="00572307">
      <w:pPr>
        <w:pStyle w:val="P68B1DB1-Normal4"/>
        <w:spacing w:before="240" w:after="120" w:line="240" w:lineRule="auto"/>
        <w:jc w:val="both"/>
        <w:rPr>
          <w:rFonts w:cs="Times New Roman"/>
          <w:noProof/>
        </w:rPr>
      </w:pPr>
      <w:r w:rsidRPr="00BC4EE7">
        <w:rPr>
          <w:rFonts w:cs="Times New Roman"/>
          <w:noProof/>
        </w:rPr>
        <w:t xml:space="preserve">Az ÁFSZ-ek reformja a közigazgatás korszerűsítésére és digitalizálására irányuló általánosabb erőfeszítés részét képezi (a helyreállítási és rezilienciaépítési terv 11. komponense). Az ÁFSZ-reform finanszírozása a 11. komponens 2. beruházásának szerződéskötésén és végrehajtásán keresztül történik. </w:t>
      </w:r>
    </w:p>
    <w:p w14:paraId="1547CC91"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reform végrehajtását 2023. december 31-ig be kell fejezni.</w:t>
      </w:r>
    </w:p>
    <w:p w14:paraId="7E7F8248"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(C23.I1) – Ifjúsági foglalkoztatás</w:t>
      </w:r>
    </w:p>
    <w:p w14:paraId="7CB5F96A"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Ez a beruházás a fiatal (16–29 éves) álláskeresőknek szóló aktivizálási és képzési programokat foglal magában, amelyek célja munkaerőpiaci integrációjuk támogatása. A program a következő intézkedésekből áll:</w:t>
      </w:r>
    </w:p>
    <w:p w14:paraId="6C2E620C" w14:textId="77777777" w:rsidR="00D65CB4" w:rsidRPr="00BC4EE7" w:rsidRDefault="00572307">
      <w:pPr>
        <w:pStyle w:val="P68B1DB1-Normal4"/>
        <w:numPr>
          <w:ilvl w:val="0"/>
          <w:numId w:val="150"/>
        </w:numPr>
        <w:spacing w:before="120" w:after="160" w:line="240" w:lineRule="auto"/>
        <w:contextualSpacing/>
        <w:jc w:val="both"/>
        <w:rPr>
          <w:rFonts w:cs="Times New Roman"/>
          <w:noProof/>
        </w:rPr>
      </w:pPr>
      <w:r w:rsidRPr="00BC4EE7">
        <w:rPr>
          <w:rFonts w:cs="Times New Roman"/>
          <w:noProof/>
        </w:rPr>
        <w:t xml:space="preserve">„Tandem” program. Munkahelyi képzést biztosít a 16 és 29 év közötti fiatalok számára nyilvános iskolai műhelyfoglalkozások keretében, különös tekintettel a kettős átálláshoz, a szociális ellátáshoz és a területi kohézióhoz szükséges készségekre. A támogatásban a központi közigazgatás és az állami közszféra egyéb szervei, valamint a végrehajtásért felelős egyesületek, alapítványok és egyéb nonprofit szervezetek részesülnek. </w:t>
      </w:r>
    </w:p>
    <w:p w14:paraId="4A746104" w14:textId="77777777" w:rsidR="00D65CB4" w:rsidRPr="00BC4EE7" w:rsidRDefault="00572307">
      <w:pPr>
        <w:pStyle w:val="P68B1DB1-Normal4"/>
        <w:numPr>
          <w:ilvl w:val="0"/>
          <w:numId w:val="150"/>
        </w:numPr>
        <w:spacing w:before="120" w:after="160" w:line="240" w:lineRule="auto"/>
        <w:contextualSpacing/>
        <w:jc w:val="both"/>
        <w:rPr>
          <w:rFonts w:cs="Times New Roman"/>
          <w:noProof/>
        </w:rPr>
      </w:pPr>
      <w:r w:rsidRPr="00BC4EE7">
        <w:rPr>
          <w:rFonts w:cs="Times New Roman"/>
          <w:noProof/>
        </w:rPr>
        <w:t xml:space="preserve">„Első szakmai tapasztalat” program a közigazgatásban. Első szakmai tapasztalatot kínál a közszférában (mind a központi, mind a területi közigazgatásban) azoknak a munkanélküli fiataloknak, akik befejezték formális tanulmányaikat. A humán készségeket a kettős átálláshoz, a szociális ellátáshoz és a területi kohézióhoz kapcsolódó munkahelyeken való munkavégzés révén kell elsajátítaniuk. A támogatásokat a végrehajtásért felelős központi és területi közigazgatási szervek állami szervei kapják. </w:t>
      </w:r>
    </w:p>
    <w:p w14:paraId="6DBABDA0" w14:textId="77777777" w:rsidR="00D65CB4" w:rsidRPr="00BC4EE7" w:rsidRDefault="00572307">
      <w:pPr>
        <w:pStyle w:val="P68B1DB1-Normal4"/>
        <w:numPr>
          <w:ilvl w:val="0"/>
          <w:numId w:val="150"/>
        </w:numPr>
        <w:spacing w:before="120" w:after="160" w:line="240" w:lineRule="auto"/>
        <w:contextualSpacing/>
        <w:jc w:val="both"/>
        <w:rPr>
          <w:rFonts w:cs="Times New Roman"/>
          <w:noProof/>
        </w:rPr>
      </w:pPr>
      <w:r w:rsidRPr="00BC4EE7">
        <w:rPr>
          <w:rFonts w:cs="Times New Roman"/>
          <w:i/>
          <w:noProof/>
        </w:rPr>
        <w:t>Investigo</w:t>
      </w:r>
      <w:r w:rsidRPr="00BC4EE7">
        <w:rPr>
          <w:rFonts w:cs="Times New Roman"/>
          <w:noProof/>
        </w:rPr>
        <w:t xml:space="preserve"> program. Idetartozik a fiatal kutatók állami kutatószervezetek, állami egyetemek, technológiai központok és kutatási projekttel rendelkező egyéb köz- és magánszervezetek általi toborzása. </w:t>
      </w:r>
    </w:p>
    <w:p w14:paraId="3009A7E6" w14:textId="77777777" w:rsidR="00D65CB4" w:rsidRPr="00BC4EE7" w:rsidRDefault="00572307">
      <w:pPr>
        <w:pStyle w:val="P68B1DB1-Normal4"/>
        <w:spacing w:before="240" w:after="120" w:line="240" w:lineRule="auto"/>
        <w:jc w:val="both"/>
        <w:rPr>
          <w:rFonts w:cs="Times New Roman"/>
          <w:noProof/>
          <w:u w:val="single"/>
        </w:rPr>
      </w:pPr>
      <w:r w:rsidRPr="00BC4EE7">
        <w:rPr>
          <w:rFonts w:cs="Times New Roman"/>
          <w:noProof/>
        </w:rPr>
        <w:t>A beruházás végrehajtását 2025. december 31-ig be kell fejezni.</w:t>
      </w:r>
    </w:p>
    <w:p w14:paraId="7D7AF74C"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(C23.I2) – A női foglalkoztatás és a nemek közötti egyenlőség érvényesítése az aktív munkaerőpiaci politikákban</w:t>
      </w:r>
    </w:p>
    <w:p w14:paraId="716E0928"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 beruházás célja a nők munkaerőpiaci integrációjának javítása, összhangban a tervben szereplő, a nemek közötti egyensúly előmozdítását célzó számos más intézkedéssel. A program a következő intézkedésekből áll:</w:t>
      </w:r>
    </w:p>
    <w:p w14:paraId="256228C3" w14:textId="77777777" w:rsidR="00D65CB4" w:rsidRPr="00BC4EE7" w:rsidRDefault="00572307">
      <w:pPr>
        <w:pStyle w:val="P68B1DB1-Normal4"/>
        <w:numPr>
          <w:ilvl w:val="0"/>
          <w:numId w:val="151"/>
        </w:numPr>
        <w:spacing w:before="120" w:after="160" w:line="240" w:lineRule="auto"/>
        <w:contextualSpacing/>
        <w:jc w:val="both"/>
        <w:rPr>
          <w:rFonts w:cs="Times New Roman"/>
          <w:noProof/>
        </w:rPr>
      </w:pPr>
      <w:r w:rsidRPr="00BC4EE7">
        <w:rPr>
          <w:rFonts w:cs="Times New Roman"/>
          <w:noProof/>
        </w:rPr>
        <w:t xml:space="preserve">Támogatási vonal a vidéki és városi területeken élő nők számára. A program a digitális, a zöld, a tartós ápolás-gondozás, a vállalkozói készség és a szociális gazdaság területén megvalósuló képzési tevékenységekre terjed ki. Támogatási pályázati felhívásokat kell szervezni a képzésért felelős köz- és magánszervezetek számára. </w:t>
      </w:r>
    </w:p>
    <w:p w14:paraId="41C2839A" w14:textId="77777777" w:rsidR="00D65CB4" w:rsidRPr="00BC4EE7" w:rsidRDefault="00572307">
      <w:pPr>
        <w:pStyle w:val="P68B1DB1-Normal4"/>
        <w:numPr>
          <w:ilvl w:val="0"/>
          <w:numId w:val="151"/>
        </w:numPr>
        <w:spacing w:before="120" w:after="160" w:line="240" w:lineRule="auto"/>
        <w:contextualSpacing/>
        <w:jc w:val="both"/>
        <w:rPr>
          <w:rFonts w:cs="Times New Roman"/>
          <w:noProof/>
        </w:rPr>
      </w:pPr>
      <w:r w:rsidRPr="00BC4EE7">
        <w:rPr>
          <w:rFonts w:cs="Times New Roman"/>
          <w:noProof/>
        </w:rPr>
        <w:t xml:space="preserve">Támogatási vonal az erőszak vagy emberkereskedelem női áldozatai számára. A program e nők beilleszkedési útvonalaira terjed ki, két szakaszban. Az első hat hónapban a résztvevőknek személyre szabott társadalmi befogadási pályákat kell követniük, a következő hat hónapban pedig munkaalapú képzésben kell részt venniük, amelyben a munkáltatók kötelezettséget vállalnak arra, hogy ezt követően felveszik őket. </w:t>
      </w:r>
    </w:p>
    <w:p w14:paraId="5E3F7EB7" w14:textId="77777777" w:rsidR="00D65CB4" w:rsidRPr="00BC4EE7" w:rsidRDefault="00572307">
      <w:pPr>
        <w:pStyle w:val="P68B1DB1-Normal4"/>
        <w:numPr>
          <w:ilvl w:val="0"/>
          <w:numId w:val="151"/>
        </w:numPr>
        <w:spacing w:before="120" w:after="160" w:line="240" w:lineRule="auto"/>
        <w:contextualSpacing/>
        <w:jc w:val="both"/>
        <w:rPr>
          <w:rFonts w:cs="Times New Roman"/>
          <w:noProof/>
        </w:rPr>
      </w:pPr>
      <w:r w:rsidRPr="00BC4EE7">
        <w:rPr>
          <w:rFonts w:cs="Times New Roman"/>
          <w:noProof/>
        </w:rPr>
        <w:t>A nemek közötti egyenlőség általános érvényesítése az aktív munkaerőpiaci politikákban. A 2021–2023-as időszakban a nemek közötti egyenlőség általános érvényesítésének az ÁFSZ-ek (központi és regionális) éves foglalkoztatási tervei valamennyi elemébe való beépítésére vonatkozik. E célból tanácsadási szolgáltatásokat kell igénybe venni.</w:t>
      </w:r>
    </w:p>
    <w:p w14:paraId="44ED0F2B" w14:textId="77777777" w:rsidR="00D65CB4" w:rsidRPr="00BC4EE7" w:rsidRDefault="00572307">
      <w:pPr>
        <w:pStyle w:val="P68B1DB1-Normal4"/>
        <w:spacing w:before="240" w:after="120" w:line="240" w:lineRule="auto"/>
        <w:jc w:val="both"/>
        <w:rPr>
          <w:rFonts w:cs="Times New Roman"/>
          <w:noProof/>
        </w:rPr>
      </w:pPr>
      <w:r w:rsidRPr="00BC4EE7">
        <w:rPr>
          <w:rFonts w:cs="Times New Roman"/>
          <w:noProof/>
        </w:rPr>
        <w:t>A beruházás végrehajtását 2025. december 31-ig be kell fejezni.</w:t>
      </w:r>
    </w:p>
    <w:p w14:paraId="556BB28C"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(C23.I3) – Új készségek a zöld, digitális és produktív átálláshoz</w:t>
      </w:r>
    </w:p>
    <w:p w14:paraId="1FAD7B1B"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Ez a beruházás különböző képzési kezdeményezéseket foglal magában, amelyek célja a lakóhelyelhagyás kockázatának kitett munkavállalók átképzése. A program a következő cselekvési irányvonalakból áll:</w:t>
      </w:r>
    </w:p>
    <w:p w14:paraId="5D5870E8" w14:textId="0637B59A" w:rsidR="00D65CB4" w:rsidRPr="00BC4EE7" w:rsidRDefault="00572307">
      <w:pPr>
        <w:pStyle w:val="P68B1DB1-Normal4"/>
        <w:numPr>
          <w:ilvl w:val="0"/>
          <w:numId w:val="152"/>
        </w:numPr>
        <w:spacing w:before="120" w:after="160" w:line="240" w:lineRule="auto"/>
        <w:contextualSpacing/>
        <w:jc w:val="both"/>
        <w:rPr>
          <w:rFonts w:cs="Times New Roman"/>
          <w:noProof/>
        </w:rPr>
      </w:pPr>
      <w:r w:rsidRPr="00BC4EE7">
        <w:rPr>
          <w:rFonts w:cs="Times New Roman"/>
          <w:noProof/>
        </w:rPr>
        <w:t>Pályázati felhívások a digitális, zöld és produktív átalakuláshoz szükséges új készségek elsajátítására. A program az idegenforgalmi ágazat munkavállalóit, a munkanélkülieket, a foglalkoztatottakat</w:t>
      </w:r>
      <w:r w:rsidRPr="00BC4EE7">
        <w:rPr>
          <w:rFonts w:cs="Times New Roman"/>
          <w:noProof/>
          <w:shd w:val="clear" w:color="auto" w:fill="FFFFFF" w:themeFill="background1"/>
        </w:rPr>
        <w:t xml:space="preserve"> és</w:t>
      </w:r>
      <w:r w:rsidRPr="00BC4EE7">
        <w:rPr>
          <w:rFonts w:cs="Times New Roman"/>
          <w:noProof/>
        </w:rPr>
        <w:t xml:space="preserve"> az ERTE-k hatálya alá tartozó személyeket célozza meg. A képzési tevékenységek időtartama megegyezik a termelő ágazat által megkövetelt időtartammal.</w:t>
      </w:r>
    </w:p>
    <w:p w14:paraId="24F053AB" w14:textId="77777777" w:rsidR="00D65CB4" w:rsidRPr="00BC4EE7" w:rsidRDefault="00572307">
      <w:pPr>
        <w:pStyle w:val="P68B1DB1-Normal4"/>
        <w:numPr>
          <w:ilvl w:val="0"/>
          <w:numId w:val="152"/>
        </w:numPr>
        <w:spacing w:before="120" w:after="160" w:line="240" w:lineRule="auto"/>
        <w:contextualSpacing/>
        <w:jc w:val="both"/>
        <w:rPr>
          <w:rFonts w:cs="Times New Roman"/>
          <w:noProof/>
        </w:rPr>
      </w:pPr>
      <w:r w:rsidRPr="00BC4EE7">
        <w:rPr>
          <w:rFonts w:cs="Times New Roman"/>
          <w:noProof/>
        </w:rPr>
        <w:t>Képzési utalványok a digitális, zöld és produktív átalakuláshoz szükséges új készségek elsajátítására. Ugyanolyan típusú munkavállalókat céloz meg, mint az előző intézkedési sor, de ebben az esetben a kedvezményezett közvetlen támogatásban részesül képzési célokra a zöld, digitális és más stratégiai ágazatok szempontjából releváns készségek terén.</w:t>
      </w:r>
    </w:p>
    <w:p w14:paraId="32C6835D" w14:textId="08E1EB0E" w:rsidR="00D65CB4" w:rsidRPr="00BC4EE7" w:rsidRDefault="00572307">
      <w:pPr>
        <w:pStyle w:val="P68B1DB1-Normal4"/>
        <w:numPr>
          <w:ilvl w:val="0"/>
          <w:numId w:val="152"/>
        </w:numPr>
        <w:spacing w:before="120" w:after="160" w:line="240" w:lineRule="auto"/>
        <w:contextualSpacing/>
        <w:jc w:val="both"/>
        <w:rPr>
          <w:rFonts w:cs="Times New Roman"/>
          <w:noProof/>
        </w:rPr>
      </w:pPr>
      <w:r w:rsidRPr="00BC4EE7">
        <w:rPr>
          <w:rFonts w:cs="Times New Roman"/>
          <w:noProof/>
        </w:rPr>
        <w:t>A készségigények felismerése. A legalább 23 termelő ágazatban végzett felmérésen alapuló kutatásnak hatékony választ kell adnia a munkaerőpiaci képzés és átképzés iránti igényekre, beleértve a digitális átállással és a zöld átállással kapcsolatos készségeket is. Emellett előre kell jeleznie a változásokat, és reagálnia kell a szakképzett munkaerő iránti potenciális keresletre.</w:t>
      </w:r>
    </w:p>
    <w:p w14:paraId="04AA6220" w14:textId="223E96E2" w:rsidR="00D65CB4" w:rsidRPr="00BC4EE7" w:rsidRDefault="00572307">
      <w:pPr>
        <w:pStyle w:val="P68B1DB1-Normal4"/>
        <w:spacing w:before="240" w:after="120" w:line="240" w:lineRule="auto"/>
        <w:jc w:val="both"/>
        <w:rPr>
          <w:rFonts w:cs="Times New Roman"/>
          <w:noProof/>
        </w:rPr>
      </w:pPr>
      <w:r w:rsidRPr="00BC4EE7">
        <w:rPr>
          <w:rFonts w:cs="Times New Roman"/>
          <w:noProof/>
        </w:rPr>
        <w:t>A beruházás végrehajtását 2025. december 31-ig be kell fejezni.</w:t>
      </w:r>
    </w:p>
    <w:p w14:paraId="17832937"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(C23.I4) – Új területi projektek az egyensúly helyreállításáért és a méltányosságért</w:t>
      </w:r>
    </w:p>
    <w:p w14:paraId="1DD0D051"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Ez a beruházás legalább 68 olyan új területi projektet finanszíroz, amelyek célja a demográfiai kihívás kezelése és a produktív átalakulás elősegítése, különösen a zöld és digitális gazdaság felé. Az ország minden egyes autonóm régiójában legalább négy projektet kell végrehajtani. </w:t>
      </w:r>
    </w:p>
    <w:p w14:paraId="6ED462C7"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Kétféle projektből áll:</w:t>
      </w:r>
    </w:p>
    <w:p w14:paraId="64DE64B3" w14:textId="77777777" w:rsidR="00D65CB4" w:rsidRPr="00BC4EE7" w:rsidRDefault="00572307">
      <w:pPr>
        <w:pStyle w:val="P68B1DB1-Normal4"/>
        <w:numPr>
          <w:ilvl w:val="0"/>
          <w:numId w:val="153"/>
        </w:numPr>
        <w:spacing w:before="120" w:after="160" w:line="240" w:lineRule="auto"/>
        <w:contextualSpacing/>
        <w:jc w:val="both"/>
        <w:rPr>
          <w:rFonts w:cs="Times New Roman"/>
          <w:noProof/>
        </w:rPr>
      </w:pPr>
      <w:r w:rsidRPr="00BC4EE7">
        <w:rPr>
          <w:rFonts w:cs="Times New Roman"/>
          <w:noProof/>
        </w:rPr>
        <w:t xml:space="preserve">A veszélyeztetett csoportokat célzó területi projektek. E projekteknek a tartósan munkanélkülieket kell megcélozniuk, akiknek személyre szabott és személyre szabott útvonalakat kell követniük, amelyekbe különböző intézkedéseket kell integrálni, mint például: iránymutatás és kísérő intézkedések, orientációs programok, álláskereső csoportok által nyújtott ellátás, képzés és békéltetési ösztöndíjak, a munkaerő-felvételhez és a tevékenységek nyomon követéséhez nyújtott támogatás. </w:t>
      </w:r>
    </w:p>
    <w:p w14:paraId="42CA2355" w14:textId="77777777" w:rsidR="00D65CB4" w:rsidRPr="00BC4EE7" w:rsidRDefault="00572307">
      <w:pPr>
        <w:pStyle w:val="P68B1DB1-Normal4"/>
        <w:numPr>
          <w:ilvl w:val="0"/>
          <w:numId w:val="153"/>
        </w:numPr>
        <w:spacing w:before="120" w:after="160" w:line="240" w:lineRule="auto"/>
        <w:contextualSpacing/>
        <w:jc w:val="both"/>
        <w:rPr>
          <w:rFonts w:cs="Times New Roman"/>
          <w:noProof/>
        </w:rPr>
      </w:pPr>
      <w:r w:rsidRPr="00BC4EE7">
        <w:rPr>
          <w:rFonts w:cs="Times New Roman"/>
          <w:noProof/>
        </w:rPr>
        <w:t xml:space="preserve">Vállalkozói és mikrovállalkozási projektek. E projekteknek foglalkozniuk kell a demográfiai kihívással, és elő kell segíteniük a produktív átalakulást, különösen a zöld és digitális gazdaságra való átállást. A finanszírozandó kezdeményezések közé tartoznak többek között az agrárképzési projektek, a fenntartható helyi fejlesztés, a szociális gazdasággal kapcsolatos kezdeményezések a kulturális és művészeti tevékenységekre, az ökológiai átállásra, a helyi fejlesztési kezdeményezésekre, a vidéki turizmusra és a művészeti örökségre. A projekt olyan intézkedéseket finanszírozhat, mint például: szociális vállalkozás és szabadúszók, munkaerőpiaci tanulmányok, helyi promóciós és fejlesztési szereplők, szövetkezetek vagy mikrovállalkozások alapításának elősegítése, hálózatépítés, konferenciákon való részvétel és terjesztési tevékenységek. </w:t>
      </w:r>
    </w:p>
    <w:p w14:paraId="5FBA5AD4" w14:textId="77777777" w:rsidR="00D65CB4" w:rsidRPr="00BC4EE7" w:rsidRDefault="00572307">
      <w:pPr>
        <w:pStyle w:val="P68B1DB1-Normal4"/>
        <w:spacing w:before="240" w:after="120" w:line="240" w:lineRule="auto"/>
        <w:jc w:val="both"/>
        <w:rPr>
          <w:rFonts w:cs="Times New Roman"/>
          <w:noProof/>
        </w:rPr>
      </w:pPr>
      <w:r w:rsidRPr="00BC4EE7">
        <w:rPr>
          <w:rFonts w:cs="Times New Roman"/>
          <w:noProof/>
        </w:rPr>
        <w:t xml:space="preserve">A beruházás végrehajtását 2023. december 31-ig be kell fejezni. </w:t>
      </w:r>
    </w:p>
    <w:p w14:paraId="0B3B66E3"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(C23.I5) – Az aktiválást támogató szakpolitikák irányítása és fellendítése</w:t>
      </w:r>
    </w:p>
    <w:p w14:paraId="00E6CD36"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Ennek az intézkedésnek a célja az állami foglalkoztatási szolgálatok megerősítése és az aktív munkaerőpiaci politikák hatékonyságának javítása. E célból 20 pályaorientációs, vállalkozói és innovációs központból álló hálózat létrehozását irányozza elő a foglalkoztatás érdekében. Országszerte szétszórtan helyezkednek el (egy központ központi kormányzati szinten, egy pedig minden autonóm területen, beleértve Ceutát és Melillát is), azzal a feladattal, hogy javítsák az ÁFSZ-ek közötti koordinációt a régiók között. </w:t>
      </w:r>
    </w:p>
    <w:p w14:paraId="315B53AE"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Emellett az állami foglalkoztatási szolgálatok alkalmazottai számára továbbképzési tevékenységeket irányoztak elő, amelyek évente átlagosan 14000 képzési tevékenységet biztosítanak számukra. A képzést 30 órás átlagos időtartamú modulokba kell szervezni, és a 2021–2023-as időszakban minden munkavállalónak évente átlagosan részt kell vennie egy modulban.</w:t>
      </w:r>
    </w:p>
    <w:p w14:paraId="17A6037F" w14:textId="562F2FF2"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beruházás végrehajtását 2024. december 31-ig be kell fejezni. </w:t>
      </w:r>
    </w:p>
    <w:p w14:paraId="56E0D07A"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(C23.I6) – A szociális gazdaság fellendítésére irányuló átfogó terv</w:t>
      </w:r>
    </w:p>
    <w:p w14:paraId="09AAB665"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Ez az intézkedés inkluzívabb és fenntarthatóbb gazdasági szerkezet létrehozása céljából támogatja a szociális gazdaság innovatív projektjeit. </w:t>
      </w:r>
    </w:p>
    <w:p w14:paraId="75240938" w14:textId="6B4F3A91" w:rsidR="00D65CB4" w:rsidRPr="00BC4EE7" w:rsidRDefault="00572307">
      <w:pPr>
        <w:pStyle w:val="P68B1DB1-Normal4"/>
        <w:spacing w:before="120" w:after="120" w:line="240" w:lineRule="auto"/>
        <w:jc w:val="both"/>
        <w:rPr>
          <w:rFonts w:cs="Times New Roman"/>
          <w:noProof/>
        </w:rPr>
      </w:pPr>
      <w:r w:rsidRPr="00BC4EE7">
        <w:rPr>
          <w:rFonts w:cs="Times New Roman"/>
          <w:noProof/>
        </w:rPr>
        <w:t>A program 2021 és</w:t>
      </w:r>
      <w:r w:rsidRPr="00BC4EE7">
        <w:rPr>
          <w:rFonts w:cs="Times New Roman"/>
          <w:noProof/>
          <w:shd w:val="clear" w:color="auto" w:fill="FFFFFF" w:themeFill="background1"/>
        </w:rPr>
        <w:t>2025 között legalább 30 szociális gazdasági projekt kidolgozását foglalja magában a</w:t>
      </w:r>
      <w:r w:rsidRPr="00BC4EE7">
        <w:rPr>
          <w:rFonts w:cs="Times New Roman"/>
          <w:noProof/>
        </w:rPr>
        <w:t xml:space="preserve"> következő területeken:</w:t>
      </w:r>
    </w:p>
    <w:p w14:paraId="0282A2F5" w14:textId="77777777" w:rsidR="00D65CB4" w:rsidRPr="00BC4EE7" w:rsidRDefault="00572307">
      <w:pPr>
        <w:pStyle w:val="P68B1DB1-Normal4"/>
        <w:numPr>
          <w:ilvl w:val="0"/>
          <w:numId w:val="154"/>
        </w:numPr>
        <w:spacing w:before="120" w:after="160" w:line="240" w:lineRule="auto"/>
        <w:contextualSpacing/>
        <w:jc w:val="both"/>
        <w:rPr>
          <w:rFonts w:cs="Times New Roman"/>
          <w:noProof/>
        </w:rPr>
      </w:pPr>
      <w:r w:rsidRPr="00BC4EE7">
        <w:rPr>
          <w:rFonts w:cs="Times New Roman"/>
          <w:noProof/>
        </w:rPr>
        <w:t>A nehéz helyzetben lévő vagy generációs megújulás nélküli életképes vállalkozások foglalkoztatásának létrehozása és fenntartása a munkavállalóik által irányított szociális gazdasági üzleti formákba (szövetkezetek és munkaerő-vállalatok) történő átalakításuk révén.</w:t>
      </w:r>
    </w:p>
    <w:p w14:paraId="68B23CFC" w14:textId="77777777" w:rsidR="00D65CB4" w:rsidRPr="00BC4EE7" w:rsidRDefault="00572307">
      <w:pPr>
        <w:pStyle w:val="P68B1DB1-Normal4"/>
        <w:numPr>
          <w:ilvl w:val="0"/>
          <w:numId w:val="154"/>
        </w:numPr>
        <w:spacing w:before="120" w:after="160" w:line="240" w:lineRule="auto"/>
        <w:contextualSpacing/>
        <w:jc w:val="both"/>
        <w:rPr>
          <w:rFonts w:cs="Times New Roman"/>
          <w:noProof/>
        </w:rPr>
      </w:pPr>
      <w:r w:rsidRPr="00BC4EE7">
        <w:rPr>
          <w:rFonts w:cs="Times New Roman"/>
          <w:noProof/>
        </w:rPr>
        <w:t>A szociális gazdaság innovatív szervezeteinek létrehozása és megszilárdítása, ami hatással van a generációs megújulásra és a fiatalok vállalkozói készségére.</w:t>
      </w:r>
    </w:p>
    <w:p w14:paraId="18DA814B" w14:textId="77777777" w:rsidR="00D65CB4" w:rsidRPr="00BC4EE7" w:rsidRDefault="00572307">
      <w:pPr>
        <w:pStyle w:val="P68B1DB1-Normal4"/>
        <w:numPr>
          <w:ilvl w:val="0"/>
          <w:numId w:val="154"/>
        </w:numPr>
        <w:spacing w:before="120" w:after="160" w:line="240" w:lineRule="auto"/>
        <w:contextualSpacing/>
        <w:jc w:val="both"/>
        <w:rPr>
          <w:rFonts w:cs="Times New Roman"/>
          <w:noProof/>
        </w:rPr>
      </w:pPr>
      <w:r w:rsidRPr="00BC4EE7">
        <w:rPr>
          <w:rFonts w:cs="Times New Roman"/>
          <w:noProof/>
        </w:rPr>
        <w:t>A szociális gazdasági vállalkozások digitalizációja a vidéki területeken élő polgárok jóllétének javítását célzó digitális platformok létrehozása révén.</w:t>
      </w:r>
    </w:p>
    <w:p w14:paraId="119EDA63" w14:textId="77777777" w:rsidR="00D65CB4" w:rsidRPr="00BC4EE7" w:rsidRDefault="00572307">
      <w:pPr>
        <w:pStyle w:val="P68B1DB1-Normal4"/>
        <w:numPr>
          <w:ilvl w:val="0"/>
          <w:numId w:val="154"/>
        </w:numPr>
        <w:spacing w:before="120" w:after="160" w:line="240" w:lineRule="auto"/>
        <w:contextualSpacing/>
        <w:jc w:val="both"/>
        <w:rPr>
          <w:rFonts w:cs="Times New Roman"/>
          <w:noProof/>
        </w:rPr>
      </w:pPr>
      <w:r w:rsidRPr="00BC4EE7">
        <w:rPr>
          <w:rFonts w:cs="Times New Roman"/>
          <w:noProof/>
        </w:rPr>
        <w:t>Szövetkezetek, munkaügyi vállalatok és a szociális gazdaság egyéb formáinak hálózatba szervezése, valamint kapacitásépítési és képzési intézkedések, amelyek új, átfogó szolgáltatásokat nyújtanak a társadalom számára.</w:t>
      </w:r>
    </w:p>
    <w:p w14:paraId="162CCE07" w14:textId="77777777" w:rsidR="00D65CB4" w:rsidRPr="00BC4EE7" w:rsidRDefault="00572307">
      <w:pPr>
        <w:pStyle w:val="P68B1DB1-Normal4"/>
        <w:numPr>
          <w:ilvl w:val="0"/>
          <w:numId w:val="154"/>
        </w:numPr>
        <w:spacing w:before="120" w:after="160" w:line="240" w:lineRule="auto"/>
        <w:contextualSpacing/>
        <w:jc w:val="both"/>
        <w:rPr>
          <w:rFonts w:cs="Times New Roman"/>
          <w:noProof/>
        </w:rPr>
      </w:pPr>
      <w:r w:rsidRPr="00BC4EE7">
        <w:rPr>
          <w:rFonts w:cs="Times New Roman"/>
          <w:noProof/>
        </w:rPr>
        <w:t>A kiszolgáltatott helyzetben lévő vállalatok és csoportok fenntartható és inkluzív átállásának előmozdítása.</w:t>
      </w:r>
    </w:p>
    <w:p w14:paraId="4FE88FA6" w14:textId="37F2E1CE" w:rsidR="00D65CB4" w:rsidRPr="00BC4EE7" w:rsidRDefault="00572307">
      <w:pPr>
        <w:pStyle w:val="P68B1DB1-Normal4"/>
        <w:spacing w:before="240" w:after="120" w:line="240" w:lineRule="auto"/>
        <w:jc w:val="both"/>
        <w:rPr>
          <w:rFonts w:cs="Times New Roman"/>
          <w:noProof/>
        </w:rPr>
      </w:pPr>
      <w:r w:rsidRPr="00BC4EE7">
        <w:rPr>
          <w:rFonts w:cs="Times New Roman"/>
          <w:noProof/>
        </w:rPr>
        <w:t xml:space="preserve">A beruházás végrehajtását 2025. június 30-ig be kell fejezni. </w:t>
      </w:r>
    </w:p>
    <w:p w14:paraId="27DBBA7C"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 xml:space="preserve">Beruházás (C23.I7) – Az inkluzív növekedés előmozdítása a társadalmi befogadási politikák és a nemzeti minimáljövedelem-rendszer összekapcsolása révén  </w:t>
      </w:r>
    </w:p>
    <w:p w14:paraId="338DDF18"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 beruházás célja, hogy legalább 18 kísérleti projekt végrehajtása révén javítsa a nemzeti minimáljövedelem-rendszer (IMV) kedvezményezettjei számára az integrációs pályák hatékonyságát. Befejezésüket követően értékelést kell végezni a minimáljövedelem-rendszerek lefedettségének, hatékonyságának és sikerének felmérése céljából. Az értékelésnek konkrét ajánlásokat kell tartalmaznia az igénybevételi arány növelésére és a társadalmi befogadási politikák hatékonyságának javítására. Ez az intézkedés szorosan kapcsolódik a 22. komponens 5. reformjához.</w:t>
      </w:r>
    </w:p>
    <w:p w14:paraId="64B47076"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kísérleti projektek végrehajtása érdekében a Társadalmi Befogadás Minisztériuma partnerségi megállapodásokat ír alá az érintett regionális és helyi közigazgatási szervekkel, valamint a harmadik szektorbeli szociális fellépés szervezeteivel és a szociális partnerekkel. E partnerségi megállapodások céljai a következők: i. az IMV elterjedtségi arányának javítása; az IMV hatékonyságának növelése integrációs pályák révén. Minden partnerségi megállapodáshoz cselekvési tervet kell csatolni, amely legalább a következő elemeket tartalmazza:</w:t>
      </w:r>
    </w:p>
    <w:p w14:paraId="794B4969" w14:textId="77777777" w:rsidR="00D65CB4" w:rsidRPr="00BC4EE7" w:rsidRDefault="00572307">
      <w:pPr>
        <w:pStyle w:val="P68B1DB1-Normal4"/>
        <w:numPr>
          <w:ilvl w:val="0"/>
          <w:numId w:val="154"/>
        </w:numPr>
        <w:spacing w:before="120" w:after="160" w:line="240" w:lineRule="auto"/>
        <w:contextualSpacing/>
        <w:jc w:val="both"/>
        <w:rPr>
          <w:rFonts w:cs="Times New Roman"/>
          <w:noProof/>
        </w:rPr>
      </w:pPr>
      <w:r w:rsidRPr="00BC4EE7">
        <w:rPr>
          <w:rFonts w:cs="Times New Roman"/>
          <w:noProof/>
        </w:rPr>
        <w:t>A kísérleti projektben részt vevő IMV-kedvezményezettek.</w:t>
      </w:r>
    </w:p>
    <w:p w14:paraId="584C4C96" w14:textId="77777777" w:rsidR="00D65CB4" w:rsidRPr="00BC4EE7" w:rsidRDefault="00572307">
      <w:pPr>
        <w:pStyle w:val="P68B1DB1-Normal4"/>
        <w:numPr>
          <w:ilvl w:val="0"/>
          <w:numId w:val="154"/>
        </w:numPr>
        <w:spacing w:before="120" w:after="160" w:line="240" w:lineRule="auto"/>
        <w:contextualSpacing/>
        <w:jc w:val="both"/>
        <w:rPr>
          <w:rFonts w:cs="Times New Roman"/>
          <w:noProof/>
        </w:rPr>
      </w:pPr>
      <w:r w:rsidRPr="00BC4EE7">
        <w:rPr>
          <w:rFonts w:cs="Times New Roman"/>
          <w:noProof/>
        </w:rPr>
        <w:t>A legmegfelelőbb (a levont tanulságok alapján meghatározandó) útvonalak és a beavatkozás révén elérendő kapcsolódó befogadási eredmények/eredmények.</w:t>
      </w:r>
    </w:p>
    <w:p w14:paraId="0222F1AF" w14:textId="77777777" w:rsidR="00D65CB4" w:rsidRPr="00BC4EE7" w:rsidRDefault="00572307">
      <w:pPr>
        <w:pStyle w:val="P68B1DB1-Normal4"/>
        <w:numPr>
          <w:ilvl w:val="0"/>
          <w:numId w:val="154"/>
        </w:numPr>
        <w:spacing w:before="120" w:after="160" w:line="240" w:lineRule="auto"/>
        <w:contextualSpacing/>
        <w:jc w:val="both"/>
        <w:rPr>
          <w:rFonts w:cs="Times New Roman"/>
          <w:noProof/>
        </w:rPr>
      </w:pPr>
      <w:r w:rsidRPr="00BC4EE7">
        <w:rPr>
          <w:rFonts w:cs="Times New Roman"/>
          <w:noProof/>
        </w:rPr>
        <w:t>Adatinfrastruktúra-követelmény: nemcsak az IMV kedvezményezettjeire van szükség, hanem más regionális programok kedvezményezettjeire is, hogy jó kontrollcsoportokra támaszkodjanak.</w:t>
      </w:r>
    </w:p>
    <w:p w14:paraId="119E7C3A" w14:textId="77777777" w:rsidR="00D65CB4" w:rsidRPr="00BC4EE7" w:rsidRDefault="00572307">
      <w:pPr>
        <w:pStyle w:val="P68B1DB1-Normal4"/>
        <w:numPr>
          <w:ilvl w:val="0"/>
          <w:numId w:val="154"/>
        </w:numPr>
        <w:spacing w:before="120" w:after="160" w:line="240" w:lineRule="auto"/>
        <w:contextualSpacing/>
        <w:jc w:val="both"/>
        <w:rPr>
          <w:rFonts w:cs="Times New Roman"/>
          <w:noProof/>
        </w:rPr>
      </w:pPr>
      <w:r w:rsidRPr="00BC4EE7">
        <w:rPr>
          <w:rFonts w:cs="Times New Roman"/>
          <w:noProof/>
        </w:rPr>
        <w:t>A beavatkozás egységköltségei.</w:t>
      </w:r>
    </w:p>
    <w:p w14:paraId="081072A6" w14:textId="77777777" w:rsidR="00D65CB4" w:rsidRPr="00BC4EE7" w:rsidRDefault="00572307">
      <w:pPr>
        <w:pStyle w:val="P68B1DB1-Normal4"/>
        <w:numPr>
          <w:ilvl w:val="0"/>
          <w:numId w:val="154"/>
        </w:numPr>
        <w:spacing w:before="120" w:after="160" w:line="240" w:lineRule="auto"/>
        <w:contextualSpacing/>
        <w:jc w:val="both"/>
        <w:rPr>
          <w:rFonts w:cs="Times New Roman"/>
          <w:noProof/>
        </w:rPr>
      </w:pPr>
      <w:r w:rsidRPr="00BC4EE7">
        <w:rPr>
          <w:rFonts w:cs="Times New Roman"/>
          <w:noProof/>
        </w:rPr>
        <w:t>Nyomonkövetési terv a befogadásért felelős minisztérium számára a tervben meghatározott különböző mérföldkövek elérésének értékelésére.</w:t>
      </w:r>
    </w:p>
    <w:p w14:paraId="7A0B0FE9" w14:textId="77777777" w:rsidR="00D65CB4" w:rsidRPr="00BC4EE7" w:rsidRDefault="00572307">
      <w:pPr>
        <w:pStyle w:val="P68B1DB1-Normal4"/>
        <w:numPr>
          <w:ilvl w:val="0"/>
          <w:numId w:val="154"/>
        </w:numPr>
        <w:spacing w:before="120" w:after="160" w:line="240" w:lineRule="auto"/>
        <w:contextualSpacing/>
        <w:jc w:val="both"/>
        <w:rPr>
          <w:rFonts w:cs="Times New Roman"/>
          <w:noProof/>
        </w:rPr>
      </w:pPr>
      <w:r w:rsidRPr="00BC4EE7">
        <w:rPr>
          <w:rFonts w:cs="Times New Roman"/>
          <w:noProof/>
        </w:rPr>
        <w:t>Értékelés közzététele, amint a kísérleti projekt befejeződött a megállapításokkal és a levont tanulságokkal.</w:t>
      </w:r>
    </w:p>
    <w:p w14:paraId="156E5409" w14:textId="77777777" w:rsidR="00D65CB4" w:rsidRPr="00BC4EE7" w:rsidRDefault="00572307">
      <w:pPr>
        <w:pStyle w:val="P68B1DB1-Normal4"/>
        <w:spacing w:before="240" w:after="120" w:line="240" w:lineRule="auto"/>
        <w:jc w:val="both"/>
        <w:rPr>
          <w:rFonts w:cs="Times New Roman"/>
          <w:noProof/>
          <w:u w:val="single"/>
        </w:rPr>
      </w:pPr>
      <w:r w:rsidRPr="00BC4EE7">
        <w:rPr>
          <w:rFonts w:cs="Times New Roman"/>
          <w:noProof/>
        </w:rPr>
        <w:t>A beruházás végrehajtását 2024. március 31-ig be kell fejezni.</w:t>
      </w:r>
    </w:p>
    <w:p w14:paraId="449A9072" w14:textId="77777777" w:rsidR="00D65CB4" w:rsidRPr="00BC4EE7" w:rsidRDefault="00572307">
      <w:pPr>
        <w:spacing w:before="120" w:after="120" w:line="240" w:lineRule="auto"/>
        <w:ind w:left="709"/>
        <w:jc w:val="both"/>
        <w:rPr>
          <w:rFonts w:ascii="Times New Roman" w:hAnsi="Times New Roman" w:cs="Times New Roman"/>
          <w:b/>
          <w:noProof/>
          <w:sz w:val="24"/>
          <w:u w:val="single"/>
        </w:rPr>
      </w:pPr>
      <w:r w:rsidRPr="00BC4EE7">
        <w:rPr>
          <w:rFonts w:ascii="Times New Roman" w:hAnsi="Times New Roman" w:cs="Times New Roman"/>
          <w:b/>
          <w:noProof/>
          <w:sz w:val="24"/>
          <w:u w:val="single"/>
        </w:rPr>
        <w:t xml:space="preserve">W.2.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Vissza nem térítendő pénzügyi támogatás – a végrehajtáshoz és a nyomon követéshez kapcsolódó mérföldkövek, célok, mutatók és ütemterv</w:t>
      </w:r>
    </w:p>
    <w:p w14:paraId="78A44193" w14:textId="77777777" w:rsidR="00D65CB4" w:rsidRPr="00BC4EE7" w:rsidRDefault="00572307">
      <w:pPr>
        <w:pStyle w:val="P68B1DB1-Normal4"/>
        <w:spacing w:before="120" w:after="120" w:line="240" w:lineRule="auto"/>
        <w:jc w:val="both"/>
        <w:rPr>
          <w:rFonts w:cs="Times New Roman"/>
          <w:noProof/>
        </w:rPr>
      </w:pPr>
      <w:r w:rsidRPr="00BC4EE7">
        <w:rPr>
          <w:rFonts w:cs="Times New Roman"/>
          <w:i/>
          <w:noProof/>
        </w:rPr>
        <w:t>Táblázat alább.</w:t>
      </w:r>
      <w:r w:rsidRPr="00BC4EE7">
        <w:rPr>
          <w:rFonts w:cs="Times New Roman"/>
          <w:noProof/>
        </w:rPr>
        <w:t xml:space="preserve"> </w:t>
      </w:r>
      <w:r w:rsidRPr="00BC4EE7">
        <w:rPr>
          <w:rFonts w:cs="Times New Roman"/>
          <w:i/>
          <w:noProof/>
        </w:rPr>
        <w:t>Az összes mutató esetében az alapforgatókönyv időpontja 2020. február 1., kivéve, ha az intézkedés leírása ettől eltérően rendelkezik. A táblázatban szereplő összegek nem tartalmazzák a héát.</w:t>
      </w:r>
    </w:p>
    <w:p w14:paraId="50748E46" w14:textId="77777777" w:rsidR="00D65CB4" w:rsidRPr="00BC4EE7" w:rsidRDefault="00D65CB4">
      <w:pPr>
        <w:spacing w:before="120" w:after="120" w:line="240" w:lineRule="auto"/>
        <w:ind w:left="709"/>
        <w:jc w:val="both"/>
        <w:rPr>
          <w:rFonts w:ascii="Times New Roman" w:hAnsi="Times New Roman" w:cs="Times New Roman"/>
          <w:noProof/>
          <w:sz w:val="24"/>
        </w:rPr>
        <w:sectPr w:rsidR="00D65CB4" w:rsidRPr="00BC4EE7" w:rsidSect="00B511EF">
          <w:headerReference w:type="even" r:id="rId466"/>
          <w:headerReference w:type="default" r:id="rId467"/>
          <w:footerReference w:type="even" r:id="rId468"/>
          <w:footerReference w:type="default" r:id="rId469"/>
          <w:headerReference w:type="first" r:id="rId470"/>
          <w:footerReference w:type="first" r:id="rId471"/>
          <w:pgSz w:w="11907" w:h="16839"/>
          <w:pgMar w:top="1134" w:right="1134" w:bottom="1134" w:left="1134" w:header="567" w:footer="567" w:gutter="0"/>
          <w:cols w:space="720"/>
          <w:docGrid w:linePitch="360"/>
        </w:sectPr>
      </w:pPr>
    </w:p>
    <w:tbl>
      <w:tblPr>
        <w:tblW w:w="14993"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76"/>
        <w:gridCol w:w="921"/>
        <w:gridCol w:w="2491"/>
        <w:gridCol w:w="1053"/>
        <w:gridCol w:w="791"/>
        <w:gridCol w:w="948"/>
        <w:gridCol w:w="659"/>
        <w:gridCol w:w="397"/>
        <w:gridCol w:w="528"/>
        <w:gridCol w:w="5620"/>
      </w:tblGrid>
      <w:tr w:rsidR="00D65CB4" w:rsidRPr="00BC4EE7" w14:paraId="0ECB5695" w14:textId="77777777" w:rsidTr="00862B13">
        <w:trPr>
          <w:trHeight w:val="309"/>
          <w:tblHeader/>
        </w:trPr>
        <w:tc>
          <w:tcPr>
            <w:tcW w:w="709" w:type="dxa"/>
            <w:tcBorders>
              <w:bottom w:val="nil"/>
            </w:tcBorders>
            <w:shd w:val="clear" w:color="auto" w:fill="C6D9F1" w:themeFill="text2" w:themeFillTint="33"/>
            <w:noWrap/>
            <w:vAlign w:val="center"/>
          </w:tcPr>
          <w:p w14:paraId="22830699"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Szám</w:t>
            </w:r>
          </w:p>
        </w:tc>
        <w:tc>
          <w:tcPr>
            <w:tcW w:w="876" w:type="dxa"/>
            <w:tcBorders>
              <w:bottom w:val="nil"/>
            </w:tcBorders>
            <w:shd w:val="clear" w:color="auto" w:fill="C6D9F1" w:themeFill="text2" w:themeFillTint="33"/>
            <w:noWrap/>
            <w:vAlign w:val="center"/>
          </w:tcPr>
          <w:p w14:paraId="17A0D607"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Intézkedés</w:t>
            </w:r>
          </w:p>
        </w:tc>
        <w:tc>
          <w:tcPr>
            <w:tcW w:w="921" w:type="dxa"/>
            <w:tcBorders>
              <w:bottom w:val="nil"/>
            </w:tcBorders>
            <w:shd w:val="clear" w:color="auto" w:fill="C6D9F1" w:themeFill="text2" w:themeFillTint="33"/>
            <w:noWrap/>
            <w:vAlign w:val="center"/>
          </w:tcPr>
          <w:p w14:paraId="103F9819" w14:textId="77777777" w:rsidR="00D65CB4" w:rsidRPr="00BC4EE7" w:rsidRDefault="00572307">
            <w:pPr>
              <w:spacing w:after="0" w:line="240" w:lineRule="auto"/>
              <w:jc w:val="center"/>
              <w:rPr>
                <w:rFonts w:ascii="Times New Roman" w:hAnsi="Times New Roman" w:cs="Times New Roman"/>
                <w:b/>
                <w:noProof/>
                <w:sz w:val="18"/>
              </w:rPr>
            </w:pPr>
            <w:r w:rsidRPr="00BC4EE7">
              <w:rPr>
                <w:rFonts w:ascii="Times New Roman" w:hAnsi="Times New Roman" w:cs="Times New Roman"/>
                <w:b/>
                <w:noProof/>
                <w:sz w:val="18"/>
              </w:rPr>
              <w:t>Mérföldkő</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b/>
                <w:noProof/>
                <w:sz w:val="18"/>
              </w:rPr>
              <w:t xml:space="preserve"> /Cél</w:t>
            </w:r>
          </w:p>
        </w:tc>
        <w:tc>
          <w:tcPr>
            <w:tcW w:w="2491" w:type="dxa"/>
            <w:tcBorders>
              <w:bottom w:val="nil"/>
            </w:tcBorders>
            <w:shd w:val="clear" w:color="auto" w:fill="C6D9F1" w:themeFill="text2" w:themeFillTint="33"/>
            <w:noWrap/>
            <w:vAlign w:val="center"/>
          </w:tcPr>
          <w:p w14:paraId="72BAAA7B"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Név</w:t>
            </w:r>
          </w:p>
        </w:tc>
        <w:tc>
          <w:tcPr>
            <w:tcW w:w="1053" w:type="dxa"/>
            <w:tcBorders>
              <w:bottom w:val="nil"/>
            </w:tcBorders>
            <w:shd w:val="clear" w:color="auto" w:fill="C6D9F1" w:themeFill="text2" w:themeFillTint="33"/>
            <w:noWrap/>
            <w:vAlign w:val="center"/>
          </w:tcPr>
          <w:p w14:paraId="7E2B21BF"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mérföldkövek minőségi mutatója</w:t>
            </w:r>
          </w:p>
        </w:tc>
        <w:tc>
          <w:tcPr>
            <w:tcW w:w="2398" w:type="dxa"/>
            <w:gridSpan w:val="3"/>
            <w:shd w:val="clear" w:color="auto" w:fill="C6D9F1" w:themeFill="text2" w:themeFillTint="33"/>
            <w:noWrap/>
            <w:vAlign w:val="center"/>
          </w:tcPr>
          <w:p w14:paraId="57BAA056"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célérték mennyiségi mutatója</w:t>
            </w:r>
          </w:p>
        </w:tc>
        <w:tc>
          <w:tcPr>
            <w:tcW w:w="925" w:type="dxa"/>
            <w:gridSpan w:val="2"/>
            <w:shd w:val="clear" w:color="auto" w:fill="C6D9F1" w:themeFill="text2" w:themeFillTint="33"/>
            <w:noWrap/>
            <w:vAlign w:val="center"/>
          </w:tcPr>
          <w:p w14:paraId="2DA5D823"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Idő</w:t>
            </w:r>
          </w:p>
        </w:tc>
        <w:tc>
          <w:tcPr>
            <w:tcW w:w="5620" w:type="dxa"/>
            <w:tcBorders>
              <w:bottom w:val="nil"/>
            </w:tcBorders>
            <w:shd w:val="clear" w:color="auto" w:fill="C6D9F1" w:themeFill="text2" w:themeFillTint="33"/>
            <w:noWrap/>
            <w:vAlign w:val="center"/>
          </w:tcPr>
          <w:p w14:paraId="4E6188D6"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Az egyes mérföldkövek és célértékek leírása</w:t>
            </w:r>
          </w:p>
        </w:tc>
      </w:tr>
      <w:tr w:rsidR="00D65CB4" w:rsidRPr="00BC4EE7" w14:paraId="4BF30752" w14:textId="77777777" w:rsidTr="00862B13">
        <w:trPr>
          <w:trHeight w:val="309"/>
          <w:tblHeader/>
        </w:trPr>
        <w:tc>
          <w:tcPr>
            <w:tcW w:w="709" w:type="dxa"/>
            <w:tcBorders>
              <w:top w:val="nil"/>
            </w:tcBorders>
            <w:shd w:val="clear" w:color="auto" w:fill="C6D9F1" w:themeFill="text2" w:themeFillTint="33"/>
            <w:noWrap/>
          </w:tcPr>
          <w:p w14:paraId="29C547A1" w14:textId="77777777" w:rsidR="00D65CB4" w:rsidRPr="00BC4EE7" w:rsidRDefault="00D65CB4">
            <w:pPr>
              <w:spacing w:after="0" w:line="240" w:lineRule="auto"/>
              <w:jc w:val="center"/>
              <w:rPr>
                <w:rFonts w:ascii="Times New Roman" w:hAnsi="Times New Roman" w:cs="Times New Roman"/>
                <w:b/>
                <w:noProof/>
                <w:sz w:val="18"/>
              </w:rPr>
            </w:pPr>
          </w:p>
        </w:tc>
        <w:tc>
          <w:tcPr>
            <w:tcW w:w="876" w:type="dxa"/>
            <w:tcBorders>
              <w:top w:val="nil"/>
            </w:tcBorders>
            <w:shd w:val="clear" w:color="auto" w:fill="C6D9F1" w:themeFill="text2" w:themeFillTint="33"/>
            <w:noWrap/>
          </w:tcPr>
          <w:p w14:paraId="1059B97E" w14:textId="77777777" w:rsidR="00D65CB4" w:rsidRPr="00BC4EE7" w:rsidRDefault="00D65CB4">
            <w:pPr>
              <w:spacing w:after="0" w:line="240" w:lineRule="auto"/>
              <w:jc w:val="center"/>
              <w:rPr>
                <w:rFonts w:ascii="Times New Roman" w:hAnsi="Times New Roman" w:cs="Times New Roman"/>
                <w:b/>
                <w:noProof/>
                <w:sz w:val="18"/>
              </w:rPr>
            </w:pPr>
          </w:p>
        </w:tc>
        <w:tc>
          <w:tcPr>
            <w:tcW w:w="921" w:type="dxa"/>
            <w:tcBorders>
              <w:top w:val="nil"/>
            </w:tcBorders>
            <w:shd w:val="clear" w:color="auto" w:fill="C6D9F1" w:themeFill="text2" w:themeFillTint="33"/>
            <w:noWrap/>
          </w:tcPr>
          <w:p w14:paraId="5D2DCD9F" w14:textId="77777777" w:rsidR="00D65CB4" w:rsidRPr="00BC4EE7" w:rsidRDefault="00D65CB4">
            <w:pPr>
              <w:spacing w:after="0" w:line="240" w:lineRule="auto"/>
              <w:jc w:val="center"/>
              <w:rPr>
                <w:rFonts w:ascii="Times New Roman" w:hAnsi="Times New Roman" w:cs="Times New Roman"/>
                <w:b/>
                <w:noProof/>
                <w:sz w:val="18"/>
              </w:rPr>
            </w:pPr>
          </w:p>
        </w:tc>
        <w:tc>
          <w:tcPr>
            <w:tcW w:w="2491" w:type="dxa"/>
            <w:tcBorders>
              <w:top w:val="nil"/>
            </w:tcBorders>
            <w:shd w:val="clear" w:color="auto" w:fill="C6D9F1" w:themeFill="text2" w:themeFillTint="33"/>
            <w:noWrap/>
          </w:tcPr>
          <w:p w14:paraId="4136251A" w14:textId="77777777" w:rsidR="00D65CB4" w:rsidRPr="00BC4EE7" w:rsidRDefault="00D65CB4">
            <w:pPr>
              <w:spacing w:after="0" w:line="240" w:lineRule="auto"/>
              <w:rPr>
                <w:rFonts w:ascii="Times New Roman" w:hAnsi="Times New Roman" w:cs="Times New Roman"/>
                <w:b/>
                <w:noProof/>
                <w:sz w:val="18"/>
              </w:rPr>
            </w:pPr>
          </w:p>
        </w:tc>
        <w:tc>
          <w:tcPr>
            <w:tcW w:w="1053" w:type="dxa"/>
            <w:tcBorders>
              <w:top w:val="nil"/>
            </w:tcBorders>
            <w:shd w:val="clear" w:color="auto" w:fill="C6D9F1" w:themeFill="text2" w:themeFillTint="33"/>
            <w:noWrap/>
          </w:tcPr>
          <w:p w14:paraId="553A3634" w14:textId="77777777" w:rsidR="00D65CB4" w:rsidRPr="00BC4EE7" w:rsidRDefault="00D65CB4">
            <w:pPr>
              <w:spacing w:after="0" w:line="240" w:lineRule="auto"/>
              <w:jc w:val="center"/>
              <w:rPr>
                <w:rFonts w:ascii="Times New Roman" w:hAnsi="Times New Roman" w:cs="Times New Roman"/>
                <w:b/>
                <w:noProof/>
                <w:sz w:val="18"/>
              </w:rPr>
            </w:pPr>
          </w:p>
        </w:tc>
        <w:tc>
          <w:tcPr>
            <w:tcW w:w="791" w:type="dxa"/>
            <w:shd w:val="clear" w:color="auto" w:fill="C6D9F1" w:themeFill="text2" w:themeFillTint="33"/>
            <w:noWrap/>
          </w:tcPr>
          <w:p w14:paraId="353E47FA"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Egység</w:t>
            </w:r>
          </w:p>
        </w:tc>
        <w:tc>
          <w:tcPr>
            <w:tcW w:w="948" w:type="dxa"/>
            <w:shd w:val="clear" w:color="auto" w:fill="C6D9F1" w:themeFill="text2" w:themeFillTint="33"/>
            <w:noWrap/>
          </w:tcPr>
          <w:p w14:paraId="315C088E" w14:textId="52DB5570" w:rsidR="00D65CB4" w:rsidRPr="00BC4EE7" w:rsidRDefault="00572307">
            <w:pPr>
              <w:pStyle w:val="P68B1DB1-Normal8"/>
              <w:spacing w:after="0" w:line="240" w:lineRule="auto"/>
              <w:jc w:val="center"/>
              <w:rPr>
                <w:rFonts w:cs="Times New Roman"/>
                <w:noProof/>
              </w:rPr>
            </w:pPr>
            <w:r w:rsidRPr="00BC4EE7">
              <w:rPr>
                <w:rFonts w:cs="Times New Roman"/>
                <w:noProof/>
              </w:rPr>
              <w:t>Kiindulási</w:t>
            </w:r>
          </w:p>
        </w:tc>
        <w:tc>
          <w:tcPr>
            <w:tcW w:w="659" w:type="dxa"/>
            <w:shd w:val="clear" w:color="auto" w:fill="C6D9F1" w:themeFill="text2" w:themeFillTint="33"/>
            <w:noWrap/>
          </w:tcPr>
          <w:p w14:paraId="32C0F50C"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Cél</w:t>
            </w:r>
          </w:p>
        </w:tc>
        <w:tc>
          <w:tcPr>
            <w:tcW w:w="397" w:type="dxa"/>
            <w:shd w:val="clear" w:color="auto" w:fill="C6D9F1" w:themeFill="text2" w:themeFillTint="33"/>
            <w:noWrap/>
          </w:tcPr>
          <w:p w14:paraId="2F858F73"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Q</w:t>
            </w:r>
          </w:p>
        </w:tc>
        <w:tc>
          <w:tcPr>
            <w:tcW w:w="528" w:type="dxa"/>
            <w:shd w:val="clear" w:color="auto" w:fill="C6D9F1" w:themeFill="text2" w:themeFillTint="33"/>
            <w:noWrap/>
          </w:tcPr>
          <w:p w14:paraId="31DCEA32"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Éve</w:t>
            </w:r>
          </w:p>
        </w:tc>
        <w:tc>
          <w:tcPr>
            <w:tcW w:w="5620" w:type="dxa"/>
            <w:tcBorders>
              <w:top w:val="nil"/>
            </w:tcBorders>
            <w:shd w:val="clear" w:color="auto" w:fill="C6D9F1" w:themeFill="text2" w:themeFillTint="33"/>
            <w:noWrap/>
          </w:tcPr>
          <w:p w14:paraId="03115B95" w14:textId="77777777" w:rsidR="00D65CB4" w:rsidRPr="00BC4EE7" w:rsidRDefault="00D65CB4">
            <w:pPr>
              <w:spacing w:after="0" w:line="240" w:lineRule="auto"/>
              <w:rPr>
                <w:rFonts w:ascii="Times New Roman" w:hAnsi="Times New Roman" w:cs="Times New Roman"/>
                <w:b/>
                <w:noProof/>
                <w:sz w:val="18"/>
              </w:rPr>
            </w:pPr>
          </w:p>
        </w:tc>
      </w:tr>
      <w:tr w:rsidR="00D65CB4" w:rsidRPr="00BC4EE7" w14:paraId="36FDEA7D" w14:textId="77777777" w:rsidTr="00862B13">
        <w:trPr>
          <w:trHeight w:val="309"/>
        </w:trPr>
        <w:tc>
          <w:tcPr>
            <w:tcW w:w="709" w:type="dxa"/>
            <w:shd w:val="clear" w:color="auto" w:fill="C6EFCE"/>
            <w:noWrap/>
          </w:tcPr>
          <w:p w14:paraId="456CA45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329</w:t>
            </w:r>
          </w:p>
        </w:tc>
        <w:tc>
          <w:tcPr>
            <w:tcW w:w="876" w:type="dxa"/>
            <w:shd w:val="clear" w:color="auto" w:fill="C6EFCE"/>
            <w:noWrap/>
          </w:tcPr>
          <w:p w14:paraId="73EA70E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C23.R1</w:t>
            </w:r>
          </w:p>
        </w:tc>
        <w:tc>
          <w:tcPr>
            <w:tcW w:w="921" w:type="dxa"/>
            <w:shd w:val="clear" w:color="auto" w:fill="C6EFCE"/>
            <w:noWrap/>
          </w:tcPr>
          <w:p w14:paraId="03F9539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2491" w:type="dxa"/>
            <w:shd w:val="clear" w:color="auto" w:fill="C6EFCE"/>
            <w:noWrap/>
          </w:tcPr>
          <w:p w14:paraId="0F077D7A" w14:textId="77777777" w:rsidR="00D65CB4" w:rsidRPr="00BC4EE7" w:rsidRDefault="00572307">
            <w:pPr>
              <w:pStyle w:val="P68B1DB1-Normal12"/>
              <w:spacing w:after="0" w:line="240" w:lineRule="auto"/>
              <w:rPr>
                <w:rFonts w:cs="Times New Roman"/>
                <w:noProof/>
              </w:rPr>
            </w:pPr>
            <w:r w:rsidRPr="00BC4EE7">
              <w:rPr>
                <w:rFonts w:cs="Times New Roman"/>
                <w:noProof/>
              </w:rPr>
              <w:t>A magánszektorban és a közigazgatásban végzett távmunka szabályozásáról szóló két királyi törvényerejű rendelet hatálybalépése</w:t>
            </w:r>
          </w:p>
          <w:p w14:paraId="2D6573B5" w14:textId="77777777" w:rsidR="00D65CB4" w:rsidRPr="00BC4EE7" w:rsidRDefault="00D65CB4">
            <w:pPr>
              <w:jc w:val="right"/>
              <w:rPr>
                <w:rFonts w:ascii="Times New Roman" w:eastAsia="Times New Roman" w:hAnsi="Times New Roman" w:cs="Times New Roman"/>
                <w:noProof/>
                <w:sz w:val="18"/>
              </w:rPr>
            </w:pPr>
          </w:p>
        </w:tc>
        <w:tc>
          <w:tcPr>
            <w:tcW w:w="1053" w:type="dxa"/>
            <w:shd w:val="clear" w:color="auto" w:fill="C6EFCE"/>
            <w:noWrap/>
          </w:tcPr>
          <w:p w14:paraId="2814BE0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A hatályba lépésről szóló királyi törvényerejű rendeletek rendelkezései</w:t>
            </w:r>
          </w:p>
        </w:tc>
        <w:tc>
          <w:tcPr>
            <w:tcW w:w="791" w:type="dxa"/>
            <w:shd w:val="clear" w:color="auto" w:fill="C6EFCE"/>
            <w:noWrap/>
          </w:tcPr>
          <w:p w14:paraId="3ECB9D4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48" w:type="dxa"/>
            <w:shd w:val="clear" w:color="auto" w:fill="C6EFCE"/>
            <w:noWrap/>
          </w:tcPr>
          <w:p w14:paraId="245DEBF0"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659" w:type="dxa"/>
            <w:shd w:val="clear" w:color="auto" w:fill="C6EFCE"/>
            <w:noWrap/>
          </w:tcPr>
          <w:p w14:paraId="423117AD"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397" w:type="dxa"/>
            <w:shd w:val="clear" w:color="auto" w:fill="C6EFCE"/>
            <w:noWrap/>
          </w:tcPr>
          <w:p w14:paraId="7066183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28" w:type="dxa"/>
            <w:shd w:val="clear" w:color="auto" w:fill="C6EFCE"/>
            <w:noWrap/>
          </w:tcPr>
          <w:p w14:paraId="17BCFEE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2020</w:t>
            </w:r>
          </w:p>
        </w:tc>
        <w:tc>
          <w:tcPr>
            <w:tcW w:w="5620" w:type="dxa"/>
            <w:shd w:val="clear" w:color="auto" w:fill="C6EFCE"/>
            <w:noWrap/>
          </w:tcPr>
          <w:p w14:paraId="488BD1D6"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két királyi törvényerejű rendelet szabályozza a távmunkát a magánszektorban és a közigazgatásban. A jogszabályok célkitűzései a következők: i. olyan szabályozási keret biztosítása (a 28/2020. sz. vidékfejlesztési irányelv), amely támogatja a távmunka bevezetését, miközben megőrzi az üzleti termelékenységet, valamint biztosítja a munkavállalók védelmét és rugalmasságát; valamint ii. a távmunka szabályozása valamennyi közigazgatási szervnél (RDL 29/2020.) a munkaszervezés és -strukturálás új módjaként, az általános érdekek jobb szolgálata és a közigazgatás rendes működésének biztosítása érdekében.</w:t>
            </w:r>
          </w:p>
        </w:tc>
      </w:tr>
      <w:tr w:rsidR="00D65CB4" w:rsidRPr="00BC4EE7" w14:paraId="22A87D8A" w14:textId="77777777" w:rsidTr="00862B13">
        <w:trPr>
          <w:trHeight w:val="309"/>
        </w:trPr>
        <w:tc>
          <w:tcPr>
            <w:tcW w:w="709" w:type="dxa"/>
            <w:shd w:val="clear" w:color="auto" w:fill="C6EFCE"/>
            <w:noWrap/>
          </w:tcPr>
          <w:p w14:paraId="46199EE4"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330</w:t>
            </w:r>
          </w:p>
        </w:tc>
        <w:tc>
          <w:tcPr>
            <w:tcW w:w="876" w:type="dxa"/>
            <w:shd w:val="clear" w:color="auto" w:fill="C6EFCE"/>
            <w:noWrap/>
          </w:tcPr>
          <w:p w14:paraId="5FF176BB"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C23.R2</w:t>
            </w:r>
          </w:p>
        </w:tc>
        <w:tc>
          <w:tcPr>
            <w:tcW w:w="921" w:type="dxa"/>
            <w:shd w:val="clear" w:color="auto" w:fill="C6EFCE"/>
            <w:noWrap/>
          </w:tcPr>
          <w:p w14:paraId="4D64BEF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2491" w:type="dxa"/>
            <w:shd w:val="clear" w:color="auto" w:fill="C6EFCE"/>
            <w:noWrap/>
          </w:tcPr>
          <w:p w14:paraId="2CFF2489"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nők és férfiak egyenlő díjazásáról, valamint az esélyegyenlőségi tervekről és nyilvántartásba vételükről szóló két rendelet hatálybalépése</w:t>
            </w:r>
          </w:p>
        </w:tc>
        <w:tc>
          <w:tcPr>
            <w:tcW w:w="1053" w:type="dxa"/>
            <w:shd w:val="clear" w:color="auto" w:fill="C6EFCE"/>
            <w:noWrap/>
          </w:tcPr>
          <w:p w14:paraId="5329599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A hatálybalépésről szóló rendeletek rendelkezései</w:t>
            </w:r>
          </w:p>
        </w:tc>
        <w:tc>
          <w:tcPr>
            <w:tcW w:w="791" w:type="dxa"/>
            <w:shd w:val="clear" w:color="auto" w:fill="C6EFCE"/>
            <w:noWrap/>
          </w:tcPr>
          <w:p w14:paraId="745EA3B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48" w:type="dxa"/>
            <w:shd w:val="clear" w:color="auto" w:fill="C6EFCE"/>
            <w:noWrap/>
          </w:tcPr>
          <w:p w14:paraId="6DBB5D3F"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659" w:type="dxa"/>
            <w:shd w:val="clear" w:color="auto" w:fill="C6EFCE"/>
            <w:noWrap/>
          </w:tcPr>
          <w:p w14:paraId="47F53BE3"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397" w:type="dxa"/>
            <w:shd w:val="clear" w:color="auto" w:fill="C6EFCE"/>
            <w:noWrap/>
          </w:tcPr>
          <w:p w14:paraId="2607530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Q2</w:t>
            </w:r>
          </w:p>
        </w:tc>
        <w:tc>
          <w:tcPr>
            <w:tcW w:w="528" w:type="dxa"/>
            <w:shd w:val="clear" w:color="auto" w:fill="C6EFCE"/>
            <w:noWrap/>
          </w:tcPr>
          <w:p w14:paraId="0207F12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2021</w:t>
            </w:r>
          </w:p>
        </w:tc>
        <w:tc>
          <w:tcPr>
            <w:tcW w:w="5620" w:type="dxa"/>
            <w:shd w:val="clear" w:color="auto" w:fill="C6EFCE"/>
            <w:noWrap/>
          </w:tcPr>
          <w:p w14:paraId="05BC44CF"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két szabályzat a nők és férfiak egyenlő díjazására, valamint az esélyegyenlőségi tervekre és azok nyilvántartásba vételére vonatkozik. A rendeletek célkitűzései a következők: i. biztosítsa a bérek átláthatóságának elvét a helytelen munkakör-értékelések miatti megkülönböztetés azonosítása érdekében; és ii. esélyegyenlőségi tervek kidolgozása és azok nyilvános nyilvántartásba való bejegyzésének biztosítása.</w:t>
            </w:r>
          </w:p>
        </w:tc>
      </w:tr>
      <w:tr w:rsidR="00D65CB4" w:rsidRPr="00BC4EE7" w14:paraId="070AFE23" w14:textId="77777777" w:rsidTr="00862B13">
        <w:trPr>
          <w:trHeight w:val="309"/>
        </w:trPr>
        <w:tc>
          <w:tcPr>
            <w:tcW w:w="709" w:type="dxa"/>
            <w:shd w:val="clear" w:color="auto" w:fill="C6EFCE"/>
            <w:noWrap/>
          </w:tcPr>
          <w:p w14:paraId="34E4D46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331</w:t>
            </w:r>
          </w:p>
        </w:tc>
        <w:tc>
          <w:tcPr>
            <w:tcW w:w="876" w:type="dxa"/>
            <w:shd w:val="clear" w:color="auto" w:fill="C6EFCE"/>
            <w:noWrap/>
          </w:tcPr>
          <w:p w14:paraId="49B5C76D"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C23.R3</w:t>
            </w:r>
          </w:p>
        </w:tc>
        <w:tc>
          <w:tcPr>
            <w:tcW w:w="921" w:type="dxa"/>
            <w:shd w:val="clear" w:color="auto" w:fill="C6EFCE"/>
            <w:noWrap/>
          </w:tcPr>
          <w:p w14:paraId="5DB08BC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2491" w:type="dxa"/>
            <w:shd w:val="clear" w:color="auto" w:fill="C6EFCE"/>
            <w:noWrap/>
          </w:tcPr>
          <w:p w14:paraId="58EF5E75"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technológiai eszközökkel harmadik személyek részére történő terjesztési tevékenységet végző munkavállalók védelméről szóló királyi törvényerejű rendelet hatálybalépése</w:t>
            </w:r>
          </w:p>
        </w:tc>
        <w:tc>
          <w:tcPr>
            <w:tcW w:w="1053" w:type="dxa"/>
            <w:shd w:val="clear" w:color="auto" w:fill="C6EFCE"/>
            <w:noWrap/>
          </w:tcPr>
          <w:p w14:paraId="7207906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A hatályba lépésről szóló királyi törvényerejű rendelet rendelkezései</w:t>
            </w:r>
          </w:p>
        </w:tc>
        <w:tc>
          <w:tcPr>
            <w:tcW w:w="791" w:type="dxa"/>
            <w:shd w:val="clear" w:color="auto" w:fill="C6EFCE"/>
            <w:noWrap/>
          </w:tcPr>
          <w:p w14:paraId="273CDBAD"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48" w:type="dxa"/>
            <w:shd w:val="clear" w:color="auto" w:fill="C6EFCE"/>
            <w:noWrap/>
          </w:tcPr>
          <w:p w14:paraId="64C43E4F"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659" w:type="dxa"/>
            <w:shd w:val="clear" w:color="auto" w:fill="C6EFCE"/>
            <w:noWrap/>
          </w:tcPr>
          <w:p w14:paraId="57973AF5"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397" w:type="dxa"/>
            <w:shd w:val="clear" w:color="auto" w:fill="C6EFCE"/>
            <w:noWrap/>
          </w:tcPr>
          <w:p w14:paraId="5FBDB62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Q3</w:t>
            </w:r>
          </w:p>
        </w:tc>
        <w:tc>
          <w:tcPr>
            <w:tcW w:w="528" w:type="dxa"/>
            <w:shd w:val="clear" w:color="auto" w:fill="C6EFCE"/>
            <w:noWrap/>
          </w:tcPr>
          <w:p w14:paraId="0C02A8C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2021</w:t>
            </w:r>
          </w:p>
        </w:tc>
        <w:tc>
          <w:tcPr>
            <w:tcW w:w="5620" w:type="dxa"/>
            <w:shd w:val="clear" w:color="auto" w:fill="C6EFCE"/>
            <w:noWrap/>
          </w:tcPr>
          <w:p w14:paraId="5D119842"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királyi törvényerejű rendelet a technológiai eszközökkel harmadik személyek részére történő terjesztési tevékenységet végző munkavállalók védelmére vonatkozik. A törvény célja, hogy garantálja e személyek számára a tisztességes és egyenlő bánásmódhoz való jogot a munkafeltételek tekintetében, a szociális védelemhez és képzéshez való jogot, valamint hogy lehetővé tegye a munkavállalók jogi képviseletének tájékoztatását a mesterségesintelligencia-algoritmusokban és -rendszerekben foglalt szabályokról, amelyek hatással lehetnek a platformok munkakörülményeire, beleértve a foglalkoztatáshoz való hozzáférést és azok fenntartását, valamint a profilalkotást.</w:t>
            </w:r>
          </w:p>
        </w:tc>
      </w:tr>
      <w:tr w:rsidR="00D65CB4" w:rsidRPr="00BC4EE7" w14:paraId="57572D13" w14:textId="77777777" w:rsidTr="00862B13">
        <w:trPr>
          <w:trHeight w:val="309"/>
        </w:trPr>
        <w:tc>
          <w:tcPr>
            <w:tcW w:w="709" w:type="dxa"/>
            <w:shd w:val="clear" w:color="auto" w:fill="C6EFCE"/>
            <w:noWrap/>
          </w:tcPr>
          <w:p w14:paraId="4BC4363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332</w:t>
            </w:r>
          </w:p>
        </w:tc>
        <w:tc>
          <w:tcPr>
            <w:tcW w:w="876" w:type="dxa"/>
            <w:shd w:val="clear" w:color="auto" w:fill="C6EFCE"/>
            <w:noWrap/>
          </w:tcPr>
          <w:p w14:paraId="4161C4D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C23.R4</w:t>
            </w:r>
          </w:p>
        </w:tc>
        <w:tc>
          <w:tcPr>
            <w:tcW w:w="921" w:type="dxa"/>
            <w:shd w:val="clear" w:color="auto" w:fill="C6EFCE"/>
            <w:noWrap/>
          </w:tcPr>
          <w:p w14:paraId="5EC9173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2491" w:type="dxa"/>
            <w:shd w:val="clear" w:color="auto" w:fill="C6EFCE"/>
            <w:noWrap/>
          </w:tcPr>
          <w:p w14:paraId="638B7749"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munkavállalók statútumának módosítása az ideiglenes foglalkoztatás csökkentésének támogatása érdekében a szerződéstípusok számának észszerűsítése révén</w:t>
            </w:r>
          </w:p>
        </w:tc>
        <w:tc>
          <w:tcPr>
            <w:tcW w:w="1053" w:type="dxa"/>
            <w:shd w:val="clear" w:color="auto" w:fill="C6EFCE"/>
            <w:noWrap/>
          </w:tcPr>
          <w:p w14:paraId="786C061B"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A hatálybalépésről szóló módosítás rendelkezései</w:t>
            </w:r>
          </w:p>
        </w:tc>
        <w:tc>
          <w:tcPr>
            <w:tcW w:w="791" w:type="dxa"/>
            <w:shd w:val="clear" w:color="auto" w:fill="C6EFCE"/>
            <w:noWrap/>
          </w:tcPr>
          <w:p w14:paraId="63332AC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48" w:type="dxa"/>
            <w:shd w:val="clear" w:color="auto" w:fill="C6EFCE"/>
            <w:noWrap/>
          </w:tcPr>
          <w:p w14:paraId="3CFDD104"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659" w:type="dxa"/>
            <w:shd w:val="clear" w:color="auto" w:fill="C6EFCE"/>
            <w:noWrap/>
          </w:tcPr>
          <w:p w14:paraId="7048586C"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397" w:type="dxa"/>
            <w:shd w:val="clear" w:color="auto" w:fill="C6EFCE"/>
            <w:noWrap/>
          </w:tcPr>
          <w:p w14:paraId="22751C8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28" w:type="dxa"/>
            <w:shd w:val="clear" w:color="auto" w:fill="C6EFCE"/>
            <w:noWrap/>
          </w:tcPr>
          <w:p w14:paraId="01D3185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2021</w:t>
            </w:r>
          </w:p>
        </w:tc>
        <w:tc>
          <w:tcPr>
            <w:tcW w:w="5620" w:type="dxa"/>
            <w:shd w:val="clear" w:color="auto" w:fill="C6EFCE"/>
            <w:noWrap/>
          </w:tcPr>
          <w:p w14:paraId="1A58AFA6"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szociális párbeszéd tiszteletben tartása és a munkaerőpiaci rugalmasság és biztonság szükségességét kiegyensúlyozó átfogó megközelítés részeként a munkavállalók jogállásáról szóló törvény átdolgozott szövegének jóváhagyásáról szóló 2/2015. (október 23-i 2/2015. sz. törvényerejű rendelet) rendelkezései módosításának hatálybalépése az ideiglenes foglalkoztatás csökkentésének a szerződéstípusok számának egyszerűsítésével történő támogatása érdekében.</w:t>
            </w:r>
          </w:p>
        </w:tc>
      </w:tr>
      <w:tr w:rsidR="00D65CB4" w:rsidRPr="00BC4EE7" w14:paraId="7B861282" w14:textId="77777777" w:rsidTr="00862B13">
        <w:trPr>
          <w:trHeight w:val="309"/>
        </w:trPr>
        <w:tc>
          <w:tcPr>
            <w:tcW w:w="709" w:type="dxa"/>
            <w:shd w:val="clear" w:color="auto" w:fill="C6EFCE"/>
            <w:noWrap/>
          </w:tcPr>
          <w:p w14:paraId="4669247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333</w:t>
            </w:r>
          </w:p>
        </w:tc>
        <w:tc>
          <w:tcPr>
            <w:tcW w:w="876" w:type="dxa"/>
            <w:shd w:val="clear" w:color="auto" w:fill="C6EFCE"/>
            <w:noWrap/>
          </w:tcPr>
          <w:p w14:paraId="4AA8DF04"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C23.R5</w:t>
            </w:r>
          </w:p>
        </w:tc>
        <w:tc>
          <w:tcPr>
            <w:tcW w:w="921" w:type="dxa"/>
            <w:shd w:val="clear" w:color="auto" w:fill="C6EFCE"/>
            <w:noWrap/>
          </w:tcPr>
          <w:p w14:paraId="4B808AF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2491" w:type="dxa"/>
            <w:shd w:val="clear" w:color="auto" w:fill="C6EFCE"/>
            <w:noWrap/>
          </w:tcPr>
          <w:p w14:paraId="1D60493A"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Az ifjúsági munkanélküliség kezelésére irányuló cselekvési terv hatálybalépése </w:t>
            </w:r>
          </w:p>
        </w:tc>
        <w:tc>
          <w:tcPr>
            <w:tcW w:w="1053" w:type="dxa"/>
            <w:shd w:val="clear" w:color="auto" w:fill="C6EFCE"/>
            <w:noWrap/>
          </w:tcPr>
          <w:p w14:paraId="11E5F69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A cselekvési terv hatálybalépésére vonatkozó rendelkezései</w:t>
            </w:r>
          </w:p>
        </w:tc>
        <w:tc>
          <w:tcPr>
            <w:tcW w:w="791" w:type="dxa"/>
            <w:shd w:val="clear" w:color="auto" w:fill="C6EFCE"/>
            <w:noWrap/>
          </w:tcPr>
          <w:p w14:paraId="3E319B0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48" w:type="dxa"/>
            <w:shd w:val="clear" w:color="auto" w:fill="C6EFCE"/>
            <w:noWrap/>
          </w:tcPr>
          <w:p w14:paraId="101540C6"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659" w:type="dxa"/>
            <w:shd w:val="clear" w:color="auto" w:fill="C6EFCE"/>
            <w:noWrap/>
          </w:tcPr>
          <w:p w14:paraId="1A62AE9E"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 </w:t>
            </w:r>
          </w:p>
        </w:tc>
        <w:tc>
          <w:tcPr>
            <w:tcW w:w="397" w:type="dxa"/>
            <w:shd w:val="clear" w:color="auto" w:fill="C6EFCE"/>
            <w:noWrap/>
          </w:tcPr>
          <w:p w14:paraId="56D1B03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Q2</w:t>
            </w:r>
          </w:p>
        </w:tc>
        <w:tc>
          <w:tcPr>
            <w:tcW w:w="528" w:type="dxa"/>
            <w:shd w:val="clear" w:color="auto" w:fill="C6EFCE"/>
            <w:noWrap/>
          </w:tcPr>
          <w:p w14:paraId="4561755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2021</w:t>
            </w:r>
          </w:p>
        </w:tc>
        <w:tc>
          <w:tcPr>
            <w:tcW w:w="5620" w:type="dxa"/>
            <w:shd w:val="clear" w:color="auto" w:fill="C6EFCE"/>
            <w:noWrap/>
          </w:tcPr>
          <w:p w14:paraId="46DF31CB"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cselekvési tervnek az uniós ifjúsági garancia Plusz végrehajtása alkalmával foglalkoznia kell az ifjúsági munkanélküliséggel. Az ifjúsági garancia célja az intézményközi koordináció javítása és elmélyítése, a magánszektorral és a helyi hatóságokkal fenntartott kapcsolatok erősítése, a képzés minőségének és megfelelőségének javítása, új munkalehetőségek keresése a növekedési potenciállal rendelkező ágazatokban, a korai iskolaelhagyás csökkentése, az értékelési és nyomonkövetési rendszer fenntartása és javítása, valamint a személyre szabott tanácsadási programok további erősítése.</w:t>
            </w:r>
          </w:p>
        </w:tc>
      </w:tr>
      <w:tr w:rsidR="00D65CB4" w:rsidRPr="00BC4EE7" w14:paraId="0B35157B" w14:textId="77777777" w:rsidTr="00862B13">
        <w:trPr>
          <w:trHeight w:val="309"/>
        </w:trPr>
        <w:tc>
          <w:tcPr>
            <w:tcW w:w="709" w:type="dxa"/>
            <w:shd w:val="clear" w:color="auto" w:fill="C6EFCE"/>
            <w:noWrap/>
          </w:tcPr>
          <w:p w14:paraId="6180F64B"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334</w:t>
            </w:r>
          </w:p>
        </w:tc>
        <w:tc>
          <w:tcPr>
            <w:tcW w:w="876" w:type="dxa"/>
            <w:shd w:val="clear" w:color="auto" w:fill="C6EFCE"/>
            <w:noWrap/>
          </w:tcPr>
          <w:p w14:paraId="2B7578D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C23.R5</w:t>
            </w:r>
          </w:p>
        </w:tc>
        <w:tc>
          <w:tcPr>
            <w:tcW w:w="921" w:type="dxa"/>
            <w:shd w:val="clear" w:color="auto" w:fill="C6EFCE"/>
            <w:noWrap/>
          </w:tcPr>
          <w:p w14:paraId="54A9583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2491" w:type="dxa"/>
            <w:shd w:val="clear" w:color="auto" w:fill="C6EFCE"/>
            <w:noWrap/>
          </w:tcPr>
          <w:p w14:paraId="7FA967AD"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Királyi rendelet a 2021–2024-es időszakra szóló új spanyol foglalkoztatási stratégiáról</w:t>
            </w:r>
          </w:p>
        </w:tc>
        <w:tc>
          <w:tcPr>
            <w:tcW w:w="1053" w:type="dxa"/>
            <w:shd w:val="clear" w:color="auto" w:fill="C6EFCE"/>
            <w:noWrap/>
          </w:tcPr>
          <w:p w14:paraId="20FB5F2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A hatálybalépésről szóló királyi rendelet rendelkezései</w:t>
            </w:r>
          </w:p>
        </w:tc>
        <w:tc>
          <w:tcPr>
            <w:tcW w:w="791" w:type="dxa"/>
            <w:shd w:val="clear" w:color="auto" w:fill="C6EFCE"/>
            <w:noWrap/>
          </w:tcPr>
          <w:p w14:paraId="667ED04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48" w:type="dxa"/>
            <w:shd w:val="clear" w:color="auto" w:fill="C6EFCE"/>
            <w:noWrap/>
          </w:tcPr>
          <w:p w14:paraId="2A085370"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659" w:type="dxa"/>
            <w:shd w:val="clear" w:color="auto" w:fill="C6EFCE"/>
            <w:noWrap/>
          </w:tcPr>
          <w:p w14:paraId="1C75B2E7"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 </w:t>
            </w:r>
          </w:p>
        </w:tc>
        <w:tc>
          <w:tcPr>
            <w:tcW w:w="397" w:type="dxa"/>
            <w:shd w:val="clear" w:color="auto" w:fill="C6EFCE"/>
            <w:noWrap/>
          </w:tcPr>
          <w:p w14:paraId="6A5CF8C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28" w:type="dxa"/>
            <w:shd w:val="clear" w:color="auto" w:fill="C6EFCE"/>
            <w:noWrap/>
          </w:tcPr>
          <w:p w14:paraId="0BC087E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2021</w:t>
            </w:r>
          </w:p>
        </w:tc>
        <w:tc>
          <w:tcPr>
            <w:tcW w:w="5620" w:type="dxa"/>
            <w:shd w:val="clear" w:color="auto" w:fill="C6EFCE"/>
            <w:noWrap/>
          </w:tcPr>
          <w:p w14:paraId="742A0600" w14:textId="77777777" w:rsidR="00D65CB4" w:rsidRPr="00BC4EE7" w:rsidRDefault="00572307">
            <w:pPr>
              <w:spacing w:after="0" w:line="240" w:lineRule="auto"/>
              <w:rPr>
                <w:rFonts w:ascii="Times New Roman" w:eastAsia="Times New Roman" w:hAnsi="Times New Roman" w:cs="Times New Roman"/>
                <w:noProof/>
                <w:sz w:val="18"/>
              </w:rPr>
            </w:pPr>
            <w:r w:rsidRPr="00BC4EE7">
              <w:rPr>
                <w:rFonts w:ascii="Times New Roman" w:hAnsi="Times New Roman" w:cs="Times New Roman"/>
                <w:noProof/>
                <w:sz w:val="18"/>
              </w:rPr>
              <w:t xml:space="preserve">A szociális párbeszéd tiszteletben tartása és a munkaerőpiaci rugalmasság és biztonság szükségességét kiegyensúlyozó átfogó megközelítés részeként a Miniszterek Tanácsa általi jóváhagyás és a 2021–2024-es időszakra vonatkozó új spanyol foglalkoztatási aktivizálási stratégiáról szóló királyi rendelet hatálybalépése. Az új stratégia fő célkitűzései a következők: </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emberközpontú és vállalkozásközpontú megközelítés: Az aktív foglalkoztatási politikákat az egyes személyek és vállalkozások sajátos körülményeire kell összpontosítani.</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 produktív átalakulással való összhang: Az aktív foglalkoztatási politikáknak lehetővé kell tenniük a termelési modellt kísérő szakmai átmeneteket a zöld és digitális gazdaság felé</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eredményorientáltság: Az aktív foglalkoztatási politikákat értékelni kell, nyomon kell követni és elő kell segíteni az eredmények elérését.</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az állami foglalkoztatási szolgálatok kapacitásainak javítása: Digitalizációjuk és korszerűsítésük révén.  </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a nemzeti foglalkoztatási rendszer irányítása és kohéziója a nemzeti és regionális szintű koordináció, valamint az aktív munkaügyi politikákban részt vevő érdekelt felek javítása érdekében. </w:t>
            </w:r>
          </w:p>
        </w:tc>
      </w:tr>
      <w:tr w:rsidR="00D65CB4" w:rsidRPr="00BC4EE7" w14:paraId="67193C87" w14:textId="77777777" w:rsidTr="00862B13">
        <w:trPr>
          <w:trHeight w:val="309"/>
        </w:trPr>
        <w:tc>
          <w:tcPr>
            <w:tcW w:w="709" w:type="dxa"/>
            <w:shd w:val="clear" w:color="auto" w:fill="C6EFCE"/>
            <w:noWrap/>
          </w:tcPr>
          <w:p w14:paraId="0E85BD5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335</w:t>
            </w:r>
          </w:p>
        </w:tc>
        <w:tc>
          <w:tcPr>
            <w:tcW w:w="876" w:type="dxa"/>
            <w:shd w:val="clear" w:color="auto" w:fill="C6EFCE"/>
            <w:noWrap/>
          </w:tcPr>
          <w:p w14:paraId="3BBC97A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C23.R5</w:t>
            </w:r>
          </w:p>
        </w:tc>
        <w:tc>
          <w:tcPr>
            <w:tcW w:w="921" w:type="dxa"/>
            <w:shd w:val="clear" w:color="auto" w:fill="C6EFCE"/>
            <w:noWrap/>
          </w:tcPr>
          <w:p w14:paraId="4D12C99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2491" w:type="dxa"/>
            <w:shd w:val="clear" w:color="auto" w:fill="C6EFCE"/>
            <w:noWrap/>
          </w:tcPr>
          <w:p w14:paraId="64CCA395"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foglalkoztatási törvény módosításának hatálybalépése (3/2015. sz. királyi törvényerejű rendelet)</w:t>
            </w:r>
          </w:p>
        </w:tc>
        <w:tc>
          <w:tcPr>
            <w:tcW w:w="1053" w:type="dxa"/>
            <w:shd w:val="clear" w:color="auto" w:fill="C6EFCE"/>
            <w:noWrap/>
          </w:tcPr>
          <w:p w14:paraId="19AC8364"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A hatálybalépésről szóló módosításban szereplő rendelkezés</w:t>
            </w:r>
          </w:p>
        </w:tc>
        <w:tc>
          <w:tcPr>
            <w:tcW w:w="791" w:type="dxa"/>
            <w:shd w:val="clear" w:color="auto" w:fill="C6EFCE"/>
            <w:noWrap/>
          </w:tcPr>
          <w:p w14:paraId="0A395B4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48" w:type="dxa"/>
            <w:shd w:val="clear" w:color="auto" w:fill="C6EFCE"/>
            <w:noWrap/>
          </w:tcPr>
          <w:p w14:paraId="556EDB33"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659" w:type="dxa"/>
            <w:shd w:val="clear" w:color="auto" w:fill="C6EFCE"/>
            <w:noWrap/>
          </w:tcPr>
          <w:p w14:paraId="18DC26C5"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 </w:t>
            </w:r>
          </w:p>
        </w:tc>
        <w:tc>
          <w:tcPr>
            <w:tcW w:w="397" w:type="dxa"/>
            <w:shd w:val="clear" w:color="auto" w:fill="C6EFCE"/>
            <w:noWrap/>
          </w:tcPr>
          <w:p w14:paraId="50C814F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28" w:type="dxa"/>
            <w:shd w:val="clear" w:color="auto" w:fill="C6EFCE"/>
            <w:noWrap/>
          </w:tcPr>
          <w:p w14:paraId="26D9AA9D"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2022</w:t>
            </w:r>
          </w:p>
        </w:tc>
        <w:tc>
          <w:tcPr>
            <w:tcW w:w="5620" w:type="dxa"/>
            <w:shd w:val="clear" w:color="auto" w:fill="C6EFCE"/>
            <w:noWrap/>
          </w:tcPr>
          <w:p w14:paraId="0773232D"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foglalkoztatási törvény (3/2015. sz. királyi törvényerejű rendelet) módosítása: a nemzeti foglalkoztatási rendszer szakpolitikai és koordinációs eszközeinek megerősítése; ii. az aktív munkaerőpiaci politikák reformja; a rendszer irányításának felülvizsgálata; a foglalkoztatáspolitika helyi dimenziójának megerősítése; és v. megfelelnek az aktív foglalkoztatáspolitikákra vonatkozó nemzeti terv keretében előirányzott különböző intézkedések végrehajtására vonatkozó követelményeknek.</w:t>
            </w:r>
          </w:p>
        </w:tc>
      </w:tr>
      <w:tr w:rsidR="00D65CB4" w:rsidRPr="00BC4EE7" w14:paraId="3ED609C8" w14:textId="77777777" w:rsidTr="00862B13">
        <w:trPr>
          <w:trHeight w:val="309"/>
        </w:trPr>
        <w:tc>
          <w:tcPr>
            <w:tcW w:w="709" w:type="dxa"/>
            <w:shd w:val="clear" w:color="auto" w:fill="C6EFCE"/>
            <w:noWrap/>
          </w:tcPr>
          <w:p w14:paraId="4E33F65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336</w:t>
            </w:r>
          </w:p>
        </w:tc>
        <w:tc>
          <w:tcPr>
            <w:tcW w:w="876" w:type="dxa"/>
            <w:shd w:val="clear" w:color="auto" w:fill="C6EFCE"/>
            <w:noWrap/>
          </w:tcPr>
          <w:p w14:paraId="3A7D2AC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C23.R6</w:t>
            </w:r>
          </w:p>
        </w:tc>
        <w:tc>
          <w:tcPr>
            <w:tcW w:w="921" w:type="dxa"/>
            <w:shd w:val="clear" w:color="auto" w:fill="C6EFCE"/>
            <w:noWrap/>
          </w:tcPr>
          <w:p w14:paraId="6EDF450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2491" w:type="dxa"/>
            <w:shd w:val="clear" w:color="auto" w:fill="C6EFCE"/>
            <w:noWrap/>
          </w:tcPr>
          <w:p w14:paraId="0668CA02"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munkavállalók statútumának módosítása a ciklikus és strukturális sokkhatásokhoz való alkalmazkodást célzó rendszer létrehozása érdekében, beleértve egy olyan rendszert, amely belső rugalmasságot biztosít a vállalatok számára, és stabilitást biztosít a munkavállalók számára</w:t>
            </w:r>
          </w:p>
        </w:tc>
        <w:tc>
          <w:tcPr>
            <w:tcW w:w="1053" w:type="dxa"/>
            <w:shd w:val="clear" w:color="auto" w:fill="C6EFCE"/>
            <w:noWrap/>
          </w:tcPr>
          <w:p w14:paraId="7D1A70E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A hatálybalépésről szóló módosítás rendelkezései</w:t>
            </w:r>
          </w:p>
        </w:tc>
        <w:tc>
          <w:tcPr>
            <w:tcW w:w="791" w:type="dxa"/>
            <w:shd w:val="clear" w:color="auto" w:fill="C6EFCE"/>
            <w:noWrap/>
          </w:tcPr>
          <w:p w14:paraId="7A699D3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48" w:type="dxa"/>
            <w:shd w:val="clear" w:color="auto" w:fill="C6EFCE"/>
            <w:noWrap/>
          </w:tcPr>
          <w:p w14:paraId="40C11E6C"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659" w:type="dxa"/>
            <w:shd w:val="clear" w:color="auto" w:fill="C6EFCE"/>
            <w:noWrap/>
          </w:tcPr>
          <w:p w14:paraId="4BB8EE2D"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 </w:t>
            </w:r>
          </w:p>
        </w:tc>
        <w:tc>
          <w:tcPr>
            <w:tcW w:w="397" w:type="dxa"/>
            <w:shd w:val="clear" w:color="auto" w:fill="C6EFCE"/>
            <w:noWrap/>
          </w:tcPr>
          <w:p w14:paraId="1095FF2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28" w:type="dxa"/>
            <w:shd w:val="clear" w:color="auto" w:fill="C6EFCE"/>
            <w:noWrap/>
          </w:tcPr>
          <w:p w14:paraId="6569531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2021</w:t>
            </w:r>
          </w:p>
        </w:tc>
        <w:tc>
          <w:tcPr>
            <w:tcW w:w="5620" w:type="dxa"/>
            <w:shd w:val="clear" w:color="auto" w:fill="C6EFCE"/>
            <w:noWrap/>
          </w:tcPr>
          <w:p w14:paraId="14A5FC8A"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 szociális párbeszéd tiszteletben tartása, valamint a munkaerőpiac rugalmasságának és biztonságának szükségessége, valamint a közép- és hosszú távú költségvetési fenntarthatóság biztosítása közötti átfogó megközelítés részeként a munkavállalók jogállásáról szóló törvény átdolgozott szövegének jóváhagyásáról szóló, október 23-i 2/2015. sz. királyi törvényerejű rendelet módosító rendelkezéseinek hatálybalépése a ciklikus és strukturális sokkhatásokhoz való alkalmazkodást célzó rendszer létrehozása érdekében, beleértve egy olyan rendszert, amely belső rugalmasságot és stabilitást biztosít a munkavállalók számára, támogatja a munkavállalók továbbképzését és átképzését az átalakulóban lévő vállalkozásokban és ágazatokban, valamint megkönnyíti a munkavállalók önkéntes mobilitását (a vállalatokon belül és azok között). </w:t>
            </w:r>
          </w:p>
        </w:tc>
      </w:tr>
      <w:tr w:rsidR="00D65CB4" w:rsidRPr="00BC4EE7" w14:paraId="5CD41E59" w14:textId="77777777" w:rsidTr="00862B13">
        <w:trPr>
          <w:trHeight w:val="309"/>
        </w:trPr>
        <w:tc>
          <w:tcPr>
            <w:tcW w:w="709" w:type="dxa"/>
            <w:shd w:val="clear" w:color="auto" w:fill="C6EFCE"/>
            <w:noWrap/>
          </w:tcPr>
          <w:p w14:paraId="34421AB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337</w:t>
            </w:r>
          </w:p>
        </w:tc>
        <w:tc>
          <w:tcPr>
            <w:tcW w:w="876" w:type="dxa"/>
            <w:shd w:val="clear" w:color="auto" w:fill="C6EFCE"/>
            <w:noWrap/>
          </w:tcPr>
          <w:p w14:paraId="6707CF3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C23.R7</w:t>
            </w:r>
          </w:p>
        </w:tc>
        <w:tc>
          <w:tcPr>
            <w:tcW w:w="921" w:type="dxa"/>
            <w:shd w:val="clear" w:color="auto" w:fill="C6EFCE"/>
            <w:noWrap/>
          </w:tcPr>
          <w:p w14:paraId="31A68BE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2491" w:type="dxa"/>
            <w:shd w:val="clear" w:color="auto" w:fill="C6EFCE"/>
            <w:noWrap/>
          </w:tcPr>
          <w:p w14:paraId="5D5161CC"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43/2006. sz. törvény reformjának hatálybalépése a munkaerő-felvételt ösztönző rendszer egyszerűsítése és hatékonyságának növelése érdekében, figyelembe véve az AIReF ajánlásait</w:t>
            </w:r>
          </w:p>
        </w:tc>
        <w:tc>
          <w:tcPr>
            <w:tcW w:w="1053" w:type="dxa"/>
            <w:shd w:val="clear" w:color="auto" w:fill="C6EFCE"/>
            <w:noWrap/>
          </w:tcPr>
          <w:p w14:paraId="1621C34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Rendelkezés a reformban a hatálybalépésről</w:t>
            </w:r>
          </w:p>
        </w:tc>
        <w:tc>
          <w:tcPr>
            <w:tcW w:w="791" w:type="dxa"/>
            <w:shd w:val="clear" w:color="auto" w:fill="C6EFCE"/>
            <w:noWrap/>
          </w:tcPr>
          <w:p w14:paraId="284C368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48" w:type="dxa"/>
            <w:shd w:val="clear" w:color="auto" w:fill="C6EFCE"/>
            <w:noWrap/>
          </w:tcPr>
          <w:p w14:paraId="0ED5CA4B"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659" w:type="dxa"/>
            <w:shd w:val="clear" w:color="auto" w:fill="C6EFCE"/>
            <w:noWrap/>
          </w:tcPr>
          <w:p w14:paraId="3ABE5785"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 </w:t>
            </w:r>
          </w:p>
        </w:tc>
        <w:tc>
          <w:tcPr>
            <w:tcW w:w="397" w:type="dxa"/>
            <w:shd w:val="clear" w:color="auto" w:fill="C6EFCE"/>
            <w:noWrap/>
          </w:tcPr>
          <w:p w14:paraId="33304C9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28" w:type="dxa"/>
            <w:shd w:val="clear" w:color="auto" w:fill="C6EFCE"/>
            <w:noWrap/>
          </w:tcPr>
          <w:p w14:paraId="5EF78E2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2022</w:t>
            </w:r>
          </w:p>
        </w:tc>
        <w:tc>
          <w:tcPr>
            <w:tcW w:w="5620" w:type="dxa"/>
            <w:shd w:val="clear" w:color="auto" w:fill="C6EFCE"/>
            <w:noWrap/>
          </w:tcPr>
          <w:p w14:paraId="5A146E30" w14:textId="7BCD627D" w:rsidR="00D65CB4" w:rsidRPr="00BC4EE7" w:rsidRDefault="00572307">
            <w:pPr>
              <w:pStyle w:val="P68B1DB1-Normal12"/>
              <w:spacing w:after="0" w:line="240" w:lineRule="auto"/>
              <w:rPr>
                <w:rFonts w:eastAsia="Times New Roman" w:cs="Times New Roman"/>
                <w:noProof/>
              </w:rPr>
            </w:pPr>
            <w:r w:rsidRPr="00BC4EE7">
              <w:rPr>
                <w:rFonts w:cs="Times New Roman"/>
                <w:noProof/>
              </w:rPr>
              <w:t>A 43/2006. sz. törvény reformja egyszerűsíti és növeli a munkaerő-felvételt ösztönző rendszer hatékonyságát, figyelembe véve a költségvetési felelősséggel foglalkozó független spanyol hatóság (AIReF) 2020. évi kiadási felülvizsgálati jelentésében megfogalmazott ajánlásokat: „A munkaerő-felvétel ösztönzői”</w:t>
            </w:r>
          </w:p>
        </w:tc>
      </w:tr>
      <w:tr w:rsidR="00D65CB4" w:rsidRPr="00BC4EE7" w14:paraId="68E12D8A" w14:textId="77777777" w:rsidTr="00862B13">
        <w:trPr>
          <w:trHeight w:val="309"/>
        </w:trPr>
        <w:tc>
          <w:tcPr>
            <w:tcW w:w="709" w:type="dxa"/>
            <w:shd w:val="clear" w:color="auto" w:fill="C6EFCE"/>
            <w:noWrap/>
          </w:tcPr>
          <w:p w14:paraId="509D204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338</w:t>
            </w:r>
          </w:p>
        </w:tc>
        <w:tc>
          <w:tcPr>
            <w:tcW w:w="876" w:type="dxa"/>
            <w:shd w:val="clear" w:color="auto" w:fill="C6EFCE"/>
            <w:noWrap/>
          </w:tcPr>
          <w:p w14:paraId="36EC763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C23.R8</w:t>
            </w:r>
          </w:p>
        </w:tc>
        <w:tc>
          <w:tcPr>
            <w:tcW w:w="921" w:type="dxa"/>
            <w:shd w:val="clear" w:color="auto" w:fill="C6EFCE"/>
            <w:noWrap/>
          </w:tcPr>
          <w:p w14:paraId="287F48A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2491" w:type="dxa"/>
            <w:shd w:val="clear" w:color="auto" w:fill="C6EFCE"/>
            <w:noWrap/>
          </w:tcPr>
          <w:p w14:paraId="361355D5"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 munkavállalók statútumának módosítása a kollektív tárgyalásokra vonatkozó jogi szabályok javítása érdekében </w:t>
            </w:r>
          </w:p>
        </w:tc>
        <w:tc>
          <w:tcPr>
            <w:tcW w:w="1053" w:type="dxa"/>
            <w:shd w:val="clear" w:color="auto" w:fill="C6EFCE"/>
            <w:noWrap/>
          </w:tcPr>
          <w:p w14:paraId="1ED0AF7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A hatálybalépésről szóló módosítás rendelkezései</w:t>
            </w:r>
          </w:p>
        </w:tc>
        <w:tc>
          <w:tcPr>
            <w:tcW w:w="791" w:type="dxa"/>
            <w:shd w:val="clear" w:color="auto" w:fill="C6EFCE"/>
            <w:noWrap/>
          </w:tcPr>
          <w:p w14:paraId="46E7141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48" w:type="dxa"/>
            <w:shd w:val="clear" w:color="auto" w:fill="C6EFCE"/>
            <w:noWrap/>
          </w:tcPr>
          <w:p w14:paraId="29FB4765"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659" w:type="dxa"/>
            <w:shd w:val="clear" w:color="auto" w:fill="C6EFCE"/>
            <w:noWrap/>
          </w:tcPr>
          <w:p w14:paraId="27EEC3A3"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 </w:t>
            </w:r>
          </w:p>
        </w:tc>
        <w:tc>
          <w:tcPr>
            <w:tcW w:w="397" w:type="dxa"/>
            <w:shd w:val="clear" w:color="auto" w:fill="C6EFCE"/>
            <w:noWrap/>
          </w:tcPr>
          <w:p w14:paraId="0DD404C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28" w:type="dxa"/>
            <w:shd w:val="clear" w:color="auto" w:fill="C6EFCE"/>
            <w:noWrap/>
          </w:tcPr>
          <w:p w14:paraId="19C91C5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2021</w:t>
            </w:r>
          </w:p>
        </w:tc>
        <w:tc>
          <w:tcPr>
            <w:tcW w:w="5620" w:type="dxa"/>
            <w:shd w:val="clear" w:color="auto" w:fill="C6EFCE"/>
            <w:noWrap/>
          </w:tcPr>
          <w:p w14:paraId="535116B6"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szociális párbeszéd tiszteletben tartása és a munkaerőpiac rugalmasságának és biztonságának szükségességét kiegyensúlyozó átfogó megközelítés részeként a munkavállalók jogállásáról szóló törvény átdolgozott szövegének jóváhagyásáról szóló, október 23-i 2/2015. sz. királyi törvényerejű rendelet egyes rendelkezései módosításának hatálybalépése a kollektív tárgyalásokra vonatkozó jogszabályok javítása érdekében.</w:t>
            </w:r>
          </w:p>
        </w:tc>
      </w:tr>
      <w:tr w:rsidR="00D65CB4" w:rsidRPr="00BC4EE7" w14:paraId="64CB5188" w14:textId="77777777" w:rsidTr="00862B13">
        <w:trPr>
          <w:trHeight w:val="309"/>
        </w:trPr>
        <w:tc>
          <w:tcPr>
            <w:tcW w:w="709" w:type="dxa"/>
            <w:shd w:val="clear" w:color="auto" w:fill="C6EFCE"/>
            <w:noWrap/>
          </w:tcPr>
          <w:p w14:paraId="219CF6C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339</w:t>
            </w:r>
          </w:p>
        </w:tc>
        <w:tc>
          <w:tcPr>
            <w:tcW w:w="876" w:type="dxa"/>
            <w:shd w:val="clear" w:color="auto" w:fill="C6EFCE"/>
            <w:noWrap/>
          </w:tcPr>
          <w:p w14:paraId="1DB3FC7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C23.R9</w:t>
            </w:r>
          </w:p>
        </w:tc>
        <w:tc>
          <w:tcPr>
            <w:tcW w:w="921" w:type="dxa"/>
            <w:shd w:val="clear" w:color="auto" w:fill="C6EFCE"/>
            <w:noWrap/>
          </w:tcPr>
          <w:p w14:paraId="1CEA639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2491" w:type="dxa"/>
            <w:shd w:val="clear" w:color="auto" w:fill="C6EFCE"/>
            <w:noWrap/>
          </w:tcPr>
          <w:p w14:paraId="66FA5377"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munkavállalók statútumának módosítása az alvállalkozásba adott vállalatoknál dolgozó személyek jogainak javítása érdekében</w:t>
            </w:r>
          </w:p>
        </w:tc>
        <w:tc>
          <w:tcPr>
            <w:tcW w:w="1053" w:type="dxa"/>
            <w:shd w:val="clear" w:color="auto" w:fill="C6EFCE"/>
            <w:noWrap/>
          </w:tcPr>
          <w:p w14:paraId="2C60F95D"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A hatálybalépésről szóló módosítás rendelkezései</w:t>
            </w:r>
          </w:p>
        </w:tc>
        <w:tc>
          <w:tcPr>
            <w:tcW w:w="791" w:type="dxa"/>
            <w:shd w:val="clear" w:color="auto" w:fill="C6EFCE"/>
            <w:noWrap/>
          </w:tcPr>
          <w:p w14:paraId="1F4B254D"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48" w:type="dxa"/>
            <w:shd w:val="clear" w:color="auto" w:fill="C6EFCE"/>
            <w:noWrap/>
          </w:tcPr>
          <w:p w14:paraId="20E2BD83"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659" w:type="dxa"/>
            <w:shd w:val="clear" w:color="auto" w:fill="C6EFCE"/>
            <w:noWrap/>
          </w:tcPr>
          <w:p w14:paraId="358D0975"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 </w:t>
            </w:r>
          </w:p>
        </w:tc>
        <w:tc>
          <w:tcPr>
            <w:tcW w:w="397" w:type="dxa"/>
            <w:shd w:val="clear" w:color="auto" w:fill="C6EFCE"/>
            <w:noWrap/>
          </w:tcPr>
          <w:p w14:paraId="7EB0903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28" w:type="dxa"/>
            <w:shd w:val="clear" w:color="auto" w:fill="C6EFCE"/>
            <w:noWrap/>
          </w:tcPr>
          <w:p w14:paraId="5698749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2021</w:t>
            </w:r>
          </w:p>
        </w:tc>
        <w:tc>
          <w:tcPr>
            <w:tcW w:w="5620" w:type="dxa"/>
            <w:shd w:val="clear" w:color="auto" w:fill="C6EFCE"/>
            <w:noWrap/>
          </w:tcPr>
          <w:p w14:paraId="31BE18D4"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szociális párbeszéd tiszteletben tartása és a munkaerőpiaci rugalmasság és biztonság szükségességét kiegyensúlyozó átfogó megközelítés részeként a munkavállalók jogállásáról szóló törvény átdolgozott szövegének jóváhagyásáról szóló 2/2015. (október 23-i 2/2015. sz. törvényerejű rendelet) rendelkezései módosításának hatálybalépése az alvállalkozásba adott vállalatoknál dolgozók jogainak javítása érdekében.</w:t>
            </w:r>
          </w:p>
        </w:tc>
      </w:tr>
      <w:tr w:rsidR="00D65CB4" w:rsidRPr="00BC4EE7" w14:paraId="6E73BA34" w14:textId="77777777" w:rsidTr="00862B13">
        <w:trPr>
          <w:trHeight w:val="309"/>
        </w:trPr>
        <w:tc>
          <w:tcPr>
            <w:tcW w:w="709" w:type="dxa"/>
            <w:shd w:val="clear" w:color="auto" w:fill="C6EFCE"/>
            <w:noWrap/>
          </w:tcPr>
          <w:p w14:paraId="6703CA6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340</w:t>
            </w:r>
          </w:p>
        </w:tc>
        <w:tc>
          <w:tcPr>
            <w:tcW w:w="876" w:type="dxa"/>
            <w:shd w:val="clear" w:color="auto" w:fill="C6EFCE"/>
            <w:noWrap/>
          </w:tcPr>
          <w:p w14:paraId="17790F9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C23.R10</w:t>
            </w:r>
          </w:p>
        </w:tc>
        <w:tc>
          <w:tcPr>
            <w:tcW w:w="921" w:type="dxa"/>
            <w:shd w:val="clear" w:color="auto" w:fill="C6EFCE"/>
            <w:noWrap/>
          </w:tcPr>
          <w:p w14:paraId="1A57C77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2491" w:type="dxa"/>
            <w:shd w:val="clear" w:color="auto" w:fill="C6EFCE"/>
            <w:noWrap/>
          </w:tcPr>
          <w:p w14:paraId="348C994B" w14:textId="114860A1" w:rsidR="00D65CB4" w:rsidRPr="00BC4EE7" w:rsidRDefault="00572307">
            <w:pPr>
              <w:pStyle w:val="P68B1DB1-Normal12"/>
              <w:spacing w:after="0" w:line="240" w:lineRule="auto"/>
              <w:rPr>
                <w:rFonts w:eastAsia="Times New Roman" w:cs="Times New Roman"/>
                <w:noProof/>
              </w:rPr>
            </w:pPr>
            <w:r w:rsidRPr="00BC4EE7">
              <w:rPr>
                <w:rFonts w:cs="Times New Roman"/>
                <w:noProof/>
              </w:rPr>
              <w:t>A nem járulékalapú munkanélküliségi támogatás szabályozásának reformjáról szóló 8/2015. sz. királyi törvényerejű rendelet módosításának hatálybalépése</w:t>
            </w:r>
          </w:p>
        </w:tc>
        <w:tc>
          <w:tcPr>
            <w:tcW w:w="1053" w:type="dxa"/>
            <w:shd w:val="clear" w:color="auto" w:fill="C6EFCE"/>
            <w:noWrap/>
          </w:tcPr>
          <w:p w14:paraId="10E1A36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A hatálybalépésről szóló módosításban szereplő rendelkezés</w:t>
            </w:r>
          </w:p>
        </w:tc>
        <w:tc>
          <w:tcPr>
            <w:tcW w:w="791" w:type="dxa"/>
            <w:shd w:val="clear" w:color="auto" w:fill="C6EFCE"/>
            <w:noWrap/>
          </w:tcPr>
          <w:p w14:paraId="3B4628AB"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48" w:type="dxa"/>
            <w:shd w:val="clear" w:color="auto" w:fill="C6EFCE"/>
            <w:noWrap/>
          </w:tcPr>
          <w:p w14:paraId="0D92ECD5"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659" w:type="dxa"/>
            <w:shd w:val="clear" w:color="auto" w:fill="C6EFCE"/>
            <w:noWrap/>
          </w:tcPr>
          <w:p w14:paraId="58947082"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 </w:t>
            </w:r>
          </w:p>
        </w:tc>
        <w:tc>
          <w:tcPr>
            <w:tcW w:w="397" w:type="dxa"/>
            <w:shd w:val="clear" w:color="auto" w:fill="C6EFCE"/>
            <w:noWrap/>
          </w:tcPr>
          <w:p w14:paraId="51AD0FDB"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28" w:type="dxa"/>
            <w:shd w:val="clear" w:color="auto" w:fill="C6EFCE"/>
            <w:noWrap/>
          </w:tcPr>
          <w:p w14:paraId="77461C3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2022</w:t>
            </w:r>
          </w:p>
        </w:tc>
        <w:tc>
          <w:tcPr>
            <w:tcW w:w="5620" w:type="dxa"/>
            <w:shd w:val="clear" w:color="auto" w:fill="C6EFCE"/>
            <w:noWrap/>
          </w:tcPr>
          <w:p w14:paraId="57B5A47A" w14:textId="5E0328DD" w:rsidR="00D65CB4" w:rsidRPr="00BC4EE7" w:rsidRDefault="00572307">
            <w:pPr>
              <w:pStyle w:val="P68B1DB1-Normal12"/>
              <w:spacing w:after="0" w:line="240" w:lineRule="auto"/>
              <w:rPr>
                <w:rFonts w:eastAsia="Times New Roman" w:cs="Times New Roman"/>
                <w:noProof/>
              </w:rPr>
            </w:pPr>
            <w:r w:rsidRPr="00BC4EE7">
              <w:rPr>
                <w:rFonts w:cs="Times New Roman"/>
                <w:noProof/>
              </w:rPr>
              <w:t>A 8/2015. sz. királyi törvényerejű rendelet reformja a nem járulékalapú munkanélküliségi támogatás szabályozására vonatkozik, beleértve a következő célkitűzéseket: i. a munkanélküliség elleni védelem kiterjesztése; ii. a rendszer egyszerűsítése; iii. az ellátás összekapcsolása személyre szabott aktiválási útvonallal; a szociális védelemre való áttérés megkönnyítése abban az esetben, ha a kedvezményezett nem tér vissza a munkába, és kiszolgáltatott helyzetben van.</w:t>
            </w:r>
          </w:p>
        </w:tc>
      </w:tr>
      <w:tr w:rsidR="00D65CB4" w:rsidRPr="00BC4EE7" w14:paraId="2F115B0D" w14:textId="77777777" w:rsidTr="00862B13">
        <w:trPr>
          <w:trHeight w:val="309"/>
        </w:trPr>
        <w:tc>
          <w:tcPr>
            <w:tcW w:w="709" w:type="dxa"/>
            <w:shd w:val="clear" w:color="auto" w:fill="C6EFCE"/>
            <w:noWrap/>
          </w:tcPr>
          <w:p w14:paraId="68BB4D9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341</w:t>
            </w:r>
          </w:p>
        </w:tc>
        <w:tc>
          <w:tcPr>
            <w:tcW w:w="876" w:type="dxa"/>
            <w:shd w:val="clear" w:color="auto" w:fill="C6EFCE"/>
            <w:noWrap/>
          </w:tcPr>
          <w:p w14:paraId="749C2E2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C23.R11</w:t>
            </w:r>
          </w:p>
        </w:tc>
        <w:tc>
          <w:tcPr>
            <w:tcW w:w="921" w:type="dxa"/>
            <w:shd w:val="clear" w:color="auto" w:fill="C6EFCE"/>
            <w:noWrap/>
          </w:tcPr>
          <w:p w14:paraId="26A3BD5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2491" w:type="dxa"/>
            <w:shd w:val="clear" w:color="auto" w:fill="C6EFCE"/>
            <w:noWrap/>
          </w:tcPr>
          <w:p w14:paraId="72A3F33E"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Az állami foglalkoztatási szolgálat korszerűsítésére irányuló szerződések keretében nyújtott szolgáltatások teljesítéséről szóló igazolások</w:t>
            </w:r>
          </w:p>
        </w:tc>
        <w:tc>
          <w:tcPr>
            <w:tcW w:w="1053" w:type="dxa"/>
            <w:shd w:val="clear" w:color="auto" w:fill="C6EFCE"/>
            <w:noWrap/>
          </w:tcPr>
          <w:p w14:paraId="16B791A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A szerződések szerinti szolgáltatások teljesítéséről szóló igazolások (közigazgatási jogi aktusok)</w:t>
            </w:r>
          </w:p>
        </w:tc>
        <w:tc>
          <w:tcPr>
            <w:tcW w:w="791" w:type="dxa"/>
            <w:shd w:val="clear" w:color="auto" w:fill="C6EFCE"/>
            <w:noWrap/>
          </w:tcPr>
          <w:p w14:paraId="1B5B7E8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48" w:type="dxa"/>
            <w:shd w:val="clear" w:color="auto" w:fill="C6EFCE"/>
            <w:noWrap/>
          </w:tcPr>
          <w:p w14:paraId="20119FC4"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659" w:type="dxa"/>
            <w:shd w:val="clear" w:color="auto" w:fill="C6EFCE"/>
            <w:noWrap/>
          </w:tcPr>
          <w:p w14:paraId="5F2AE7CF"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 </w:t>
            </w:r>
          </w:p>
        </w:tc>
        <w:tc>
          <w:tcPr>
            <w:tcW w:w="397" w:type="dxa"/>
            <w:shd w:val="clear" w:color="auto" w:fill="C6EFCE"/>
            <w:noWrap/>
          </w:tcPr>
          <w:p w14:paraId="0C0BE69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28" w:type="dxa"/>
            <w:shd w:val="clear" w:color="auto" w:fill="C6EFCE"/>
            <w:noWrap/>
          </w:tcPr>
          <w:p w14:paraId="3F99E20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2023</w:t>
            </w:r>
          </w:p>
        </w:tc>
        <w:tc>
          <w:tcPr>
            <w:tcW w:w="5620" w:type="dxa"/>
            <w:shd w:val="clear" w:color="auto" w:fill="C6EFCE"/>
            <w:noWrap/>
          </w:tcPr>
          <w:p w14:paraId="0D812912" w14:textId="77777777" w:rsidR="00D65CB4" w:rsidRPr="00BC4EE7" w:rsidRDefault="00572307">
            <w:pPr>
              <w:spacing w:after="0" w:line="240" w:lineRule="auto"/>
              <w:rPr>
                <w:rFonts w:ascii="Times New Roman" w:eastAsia="Times New Roman" w:hAnsi="Times New Roman" w:cs="Times New Roman"/>
                <w:noProof/>
                <w:sz w:val="18"/>
              </w:rPr>
            </w:pPr>
            <w:r w:rsidRPr="00BC4EE7">
              <w:rPr>
                <w:rFonts w:ascii="Times New Roman" w:hAnsi="Times New Roman" w:cs="Times New Roman"/>
                <w:noProof/>
                <w:sz w:val="18"/>
              </w:rPr>
              <w:t>Az állami foglalkoztatási szolgálat korszerűsítésére irányuló szerződések (közigazgatási törvények) szerinti szolgáltatások befejezéséről szóló igazolások a belső irányítási rendszerek javítása, a munkahelyek korszerűsítése és az Állampolgári Támogatási Szolgálat digitalizálása révén. Magában foglalja az alábbiakat:</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 belső irányítás javítása: A munkanélküli-ellátási rendszert támogató, valamint a foglalkoztatási politikákat támogató információs rendszerek javítása.</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Digitális foglalkoztatási szolgálatok: A polgároknak és a vállalatoknak nyújtott közszolgáltatások digitalizálása és az ügyfélszolgálat javítása.</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Statisztikák és adatkezelés: A megfelelő adatkezelés beépítése, amely lehetővé teszi a döntéshozatalt, valamint a társadalom számára értékes információk közzétételét.</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 munkahelyek és az infrastruktúra korszerűsítése.</w:t>
            </w:r>
          </w:p>
        </w:tc>
      </w:tr>
      <w:tr w:rsidR="00D65CB4" w:rsidRPr="00BC4EE7" w14:paraId="113938D9" w14:textId="77777777" w:rsidTr="00862B13">
        <w:trPr>
          <w:trHeight w:val="309"/>
        </w:trPr>
        <w:tc>
          <w:tcPr>
            <w:tcW w:w="709" w:type="dxa"/>
            <w:shd w:val="clear" w:color="auto" w:fill="C6EFCE"/>
            <w:noWrap/>
          </w:tcPr>
          <w:p w14:paraId="47DECE7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342</w:t>
            </w:r>
          </w:p>
        </w:tc>
        <w:tc>
          <w:tcPr>
            <w:tcW w:w="876" w:type="dxa"/>
            <w:shd w:val="clear" w:color="auto" w:fill="C6EFCE"/>
            <w:noWrap/>
          </w:tcPr>
          <w:p w14:paraId="49A2EB9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C23.I1</w:t>
            </w:r>
          </w:p>
        </w:tc>
        <w:tc>
          <w:tcPr>
            <w:tcW w:w="921" w:type="dxa"/>
            <w:shd w:val="clear" w:color="auto" w:fill="C6EFCE"/>
            <w:noWrap/>
          </w:tcPr>
          <w:p w14:paraId="0A35DE1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2491" w:type="dxa"/>
            <w:shd w:val="clear" w:color="auto" w:fill="C6EFCE"/>
            <w:noWrap/>
          </w:tcPr>
          <w:p w14:paraId="4F9531EE"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Az ifjúsági programokat elvégzők. </w:t>
            </w:r>
          </w:p>
        </w:tc>
        <w:tc>
          <w:tcPr>
            <w:tcW w:w="1053" w:type="dxa"/>
            <w:shd w:val="clear" w:color="auto" w:fill="C6EFCE"/>
            <w:noWrap/>
          </w:tcPr>
          <w:p w14:paraId="29A945B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791" w:type="dxa"/>
            <w:shd w:val="clear" w:color="auto" w:fill="C6EFCE"/>
            <w:noWrap/>
          </w:tcPr>
          <w:p w14:paraId="5DE33CB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Szám</w:t>
            </w:r>
          </w:p>
        </w:tc>
        <w:tc>
          <w:tcPr>
            <w:tcW w:w="948" w:type="dxa"/>
            <w:shd w:val="clear" w:color="auto" w:fill="C6EFCE"/>
            <w:noWrap/>
          </w:tcPr>
          <w:p w14:paraId="719C1E46"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0</w:t>
            </w:r>
          </w:p>
        </w:tc>
        <w:tc>
          <w:tcPr>
            <w:tcW w:w="659" w:type="dxa"/>
            <w:shd w:val="clear" w:color="auto" w:fill="C6EFCE"/>
            <w:noWrap/>
          </w:tcPr>
          <w:p w14:paraId="0D426AAE"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18 300</w:t>
            </w:r>
          </w:p>
        </w:tc>
        <w:tc>
          <w:tcPr>
            <w:tcW w:w="397" w:type="dxa"/>
            <w:shd w:val="clear" w:color="auto" w:fill="C6EFCE"/>
            <w:noWrap/>
          </w:tcPr>
          <w:p w14:paraId="4803437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28" w:type="dxa"/>
            <w:shd w:val="clear" w:color="auto" w:fill="C6EFCE"/>
            <w:noWrap/>
          </w:tcPr>
          <w:p w14:paraId="403F22A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2025</w:t>
            </w:r>
          </w:p>
        </w:tc>
        <w:tc>
          <w:tcPr>
            <w:tcW w:w="5620" w:type="dxa"/>
            <w:shd w:val="clear" w:color="auto" w:fill="C6EFCE"/>
            <w:noWrap/>
          </w:tcPr>
          <w:p w14:paraId="51219AB7" w14:textId="77777777" w:rsidR="00D65CB4" w:rsidRPr="00BC4EE7" w:rsidRDefault="00572307">
            <w:pPr>
              <w:spacing w:after="0" w:line="240" w:lineRule="auto"/>
              <w:rPr>
                <w:rFonts w:ascii="Times New Roman" w:eastAsia="Times New Roman" w:hAnsi="Times New Roman" w:cs="Times New Roman"/>
                <w:noProof/>
                <w:sz w:val="18"/>
              </w:rPr>
            </w:pPr>
            <w:r w:rsidRPr="00BC4EE7">
              <w:rPr>
                <w:rFonts w:ascii="Times New Roman" w:hAnsi="Times New Roman" w:cs="Times New Roman"/>
                <w:noProof/>
                <w:sz w:val="18"/>
              </w:rPr>
              <w:t xml:space="preserve">Legalább 18300 személy teljesítette az ifjúsági programokat, 21900 beiratkozott személyt figyelembe véve. </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Ez a cél három programon alapul:</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Tandem program. Célkitűzés: szakmai kompetencia elérése a foglalkoztatással történő váltakozásos képzés révén. A program legalább 25%-a az éghajlattal kapcsolatos készségekre összpontosított, 25%-a pedig a digitális készségekre összpontosított.</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Első tapasztalati program. Célkitűzés: a képesítéshez kapcsolódó első munkatapasztalat elősegítése. A program legalább 20%-a az éghajlattal kapcsolatos készségekre összpontosított, 20%-a pedig a digitális készségekre összpontosított.</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w:t>
            </w:r>
            <w:r w:rsidRPr="00BC4EE7">
              <w:rPr>
                <w:rFonts w:ascii="Times New Roman" w:hAnsi="Times New Roman" w:cs="Times New Roman"/>
                <w:i/>
                <w:noProof/>
                <w:sz w:val="18"/>
              </w:rPr>
              <w:t>Investigo”</w:t>
            </w:r>
            <w:r w:rsidRPr="00BC4EE7">
              <w:rPr>
                <w:rFonts w:ascii="Times New Roman" w:hAnsi="Times New Roman" w:cs="Times New Roman"/>
                <w:noProof/>
                <w:sz w:val="18"/>
              </w:rPr>
              <w:t xml:space="preserve"> program. Célkitűzés: kutatási projekt kidolgozásához kapcsolódó munka biztosítása. </w:t>
            </w:r>
          </w:p>
        </w:tc>
      </w:tr>
      <w:tr w:rsidR="00D65CB4" w:rsidRPr="00BC4EE7" w14:paraId="3743A34A" w14:textId="77777777" w:rsidTr="00862B13">
        <w:trPr>
          <w:trHeight w:val="309"/>
        </w:trPr>
        <w:tc>
          <w:tcPr>
            <w:tcW w:w="709" w:type="dxa"/>
            <w:shd w:val="clear" w:color="auto" w:fill="C6EFCE"/>
            <w:noWrap/>
          </w:tcPr>
          <w:p w14:paraId="5B46928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343</w:t>
            </w:r>
          </w:p>
        </w:tc>
        <w:tc>
          <w:tcPr>
            <w:tcW w:w="876" w:type="dxa"/>
            <w:shd w:val="clear" w:color="auto" w:fill="C6EFCE"/>
            <w:noWrap/>
          </w:tcPr>
          <w:p w14:paraId="3D71347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C23.I2</w:t>
            </w:r>
          </w:p>
        </w:tc>
        <w:tc>
          <w:tcPr>
            <w:tcW w:w="921" w:type="dxa"/>
            <w:shd w:val="clear" w:color="auto" w:fill="C6EFCE"/>
            <w:noWrap/>
          </w:tcPr>
          <w:p w14:paraId="3AF7969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2491" w:type="dxa"/>
            <w:shd w:val="clear" w:color="auto" w:fill="C6EFCE"/>
            <w:noWrap/>
          </w:tcPr>
          <w:p w14:paraId="475A2B3A"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Az</w:t>
            </w:r>
            <w:r w:rsidRPr="00BC4EE7">
              <w:rPr>
                <w:rFonts w:cs="Times New Roman"/>
                <w:i/>
                <w:noProof/>
              </w:rPr>
              <w:t>Empleo Mujer-terv, a vidéki és városi térségekre vonatkozó terv, valamint a nemi alapú erőszak és</w:t>
            </w:r>
            <w:r w:rsidRPr="00BC4EE7">
              <w:rPr>
                <w:rFonts w:cs="Times New Roman"/>
                <w:noProof/>
              </w:rPr>
              <w:t xml:space="preserve"> a humánforgalom áldozatai című programot elvégző személyek</w:t>
            </w:r>
          </w:p>
        </w:tc>
        <w:tc>
          <w:tcPr>
            <w:tcW w:w="1053" w:type="dxa"/>
            <w:shd w:val="clear" w:color="auto" w:fill="C6EFCE"/>
            <w:noWrap/>
          </w:tcPr>
          <w:p w14:paraId="6939254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791" w:type="dxa"/>
            <w:shd w:val="clear" w:color="auto" w:fill="C6EFCE"/>
            <w:noWrap/>
          </w:tcPr>
          <w:p w14:paraId="5057695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Szám</w:t>
            </w:r>
          </w:p>
        </w:tc>
        <w:tc>
          <w:tcPr>
            <w:tcW w:w="948" w:type="dxa"/>
            <w:shd w:val="clear" w:color="auto" w:fill="C6EFCE"/>
            <w:noWrap/>
          </w:tcPr>
          <w:p w14:paraId="4470D498"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0</w:t>
            </w:r>
          </w:p>
        </w:tc>
        <w:tc>
          <w:tcPr>
            <w:tcW w:w="659" w:type="dxa"/>
            <w:shd w:val="clear" w:color="auto" w:fill="C6EFCE"/>
            <w:noWrap/>
          </w:tcPr>
          <w:p w14:paraId="3798A895"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23 200</w:t>
            </w:r>
          </w:p>
        </w:tc>
        <w:tc>
          <w:tcPr>
            <w:tcW w:w="397" w:type="dxa"/>
            <w:shd w:val="clear" w:color="auto" w:fill="C6EFCE"/>
            <w:noWrap/>
          </w:tcPr>
          <w:p w14:paraId="76881C0A"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Q4</w:t>
            </w:r>
          </w:p>
        </w:tc>
        <w:tc>
          <w:tcPr>
            <w:tcW w:w="528" w:type="dxa"/>
            <w:shd w:val="clear" w:color="auto" w:fill="C6EFCE"/>
            <w:noWrap/>
          </w:tcPr>
          <w:p w14:paraId="5EA8A983"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2025</w:t>
            </w:r>
          </w:p>
        </w:tc>
        <w:tc>
          <w:tcPr>
            <w:tcW w:w="5620" w:type="dxa"/>
            <w:shd w:val="clear" w:color="auto" w:fill="C6EFCE"/>
            <w:noWrap/>
          </w:tcPr>
          <w:p w14:paraId="077BE66D"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Legalább 23200 ember, aki teljesítette az</w:t>
            </w:r>
            <w:r w:rsidRPr="00BC4EE7">
              <w:rPr>
                <w:rFonts w:cs="Times New Roman"/>
                <w:i/>
                <w:noProof/>
              </w:rPr>
              <w:t>Empleo Mujer-tervet, valamint a nemi erőszak</w:t>
            </w:r>
            <w:r w:rsidRPr="00BC4EE7">
              <w:rPr>
                <w:rFonts w:cs="Times New Roman"/>
                <w:noProof/>
              </w:rPr>
              <w:t>és a humán közlekedés áldozataira vonatkozó programot, 29000 beiratkozott személyt figyelembe véve. Ez a program személyre szabott és integrált orientációs, tanácsadási és képzési tevékenységeket foglal magában, amelyek igazodnak a részt vevő nők foglalkoztathatósági profiljához. A nyújtott képzés jó területi kilátásokkal rendelkező munkahelyekhez kapcsolódik, amelyek azon vidéki és városi munkaerőpiac igényein alapulnak, ahol a programot kidolgozzák, és célja olyan képesítés megszerzése, amely növeli a résztvevők foglalkoztathatóságát és a tisztességes munkához való hozzáférésük lehetőségeit, miközben erősíti a vidéki területek produktív fejlődését, küzd a nemek közötti szakadék ellen és javítja a nők állandóságát a területen. A program legalább 35%-a az éghajlattal kapcsolatos készségekre összpontosított, 35%-a pedig a digitális készségekre összpontosított.</w:t>
            </w:r>
          </w:p>
        </w:tc>
      </w:tr>
      <w:tr w:rsidR="00D65CB4" w:rsidRPr="00BC4EE7" w14:paraId="44778968" w14:textId="77777777" w:rsidTr="00862B13">
        <w:trPr>
          <w:trHeight w:val="309"/>
        </w:trPr>
        <w:tc>
          <w:tcPr>
            <w:tcW w:w="709" w:type="dxa"/>
            <w:shd w:val="clear" w:color="auto" w:fill="C6EFCE"/>
            <w:noWrap/>
          </w:tcPr>
          <w:p w14:paraId="38DC107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344</w:t>
            </w:r>
          </w:p>
        </w:tc>
        <w:tc>
          <w:tcPr>
            <w:tcW w:w="876" w:type="dxa"/>
            <w:shd w:val="clear" w:color="auto" w:fill="C6EFCE"/>
            <w:noWrap/>
          </w:tcPr>
          <w:p w14:paraId="6D719DF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C23.I3</w:t>
            </w:r>
          </w:p>
        </w:tc>
        <w:tc>
          <w:tcPr>
            <w:tcW w:w="921" w:type="dxa"/>
            <w:shd w:val="clear" w:color="auto" w:fill="C6EFCE"/>
            <w:noWrap/>
          </w:tcPr>
          <w:p w14:paraId="3AC6180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2491" w:type="dxa"/>
            <w:shd w:val="clear" w:color="auto" w:fill="C6EFCE"/>
            <w:noWrap/>
          </w:tcPr>
          <w:p w14:paraId="5C946B6E"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digitális, ökológiai és produktív átalakuláshoz szükséges készségek elsajátítására irányuló képzési programokat elvégző személyek</w:t>
            </w:r>
          </w:p>
        </w:tc>
        <w:tc>
          <w:tcPr>
            <w:tcW w:w="1053" w:type="dxa"/>
            <w:shd w:val="clear" w:color="auto" w:fill="C6EFCE"/>
            <w:noWrap/>
          </w:tcPr>
          <w:p w14:paraId="44EA3F3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791" w:type="dxa"/>
            <w:shd w:val="clear" w:color="auto" w:fill="C6EFCE"/>
            <w:noWrap/>
          </w:tcPr>
          <w:p w14:paraId="6987FC2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Szám</w:t>
            </w:r>
          </w:p>
        </w:tc>
        <w:tc>
          <w:tcPr>
            <w:tcW w:w="948" w:type="dxa"/>
            <w:shd w:val="clear" w:color="auto" w:fill="C6EFCE"/>
            <w:noWrap/>
          </w:tcPr>
          <w:p w14:paraId="20E1D9A3"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0</w:t>
            </w:r>
          </w:p>
        </w:tc>
        <w:tc>
          <w:tcPr>
            <w:tcW w:w="659" w:type="dxa"/>
            <w:shd w:val="clear" w:color="auto" w:fill="C6EFCE"/>
            <w:noWrap/>
          </w:tcPr>
          <w:p w14:paraId="1366F7CB"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825 000</w:t>
            </w:r>
          </w:p>
        </w:tc>
        <w:tc>
          <w:tcPr>
            <w:tcW w:w="397" w:type="dxa"/>
            <w:shd w:val="clear" w:color="auto" w:fill="C6EFCE"/>
            <w:noWrap/>
          </w:tcPr>
          <w:p w14:paraId="703CD559"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Q4</w:t>
            </w:r>
          </w:p>
        </w:tc>
        <w:tc>
          <w:tcPr>
            <w:tcW w:w="528" w:type="dxa"/>
            <w:shd w:val="clear" w:color="auto" w:fill="C6EFCE"/>
            <w:noWrap/>
          </w:tcPr>
          <w:p w14:paraId="68D1B6C8"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2025</w:t>
            </w:r>
          </w:p>
        </w:tc>
        <w:tc>
          <w:tcPr>
            <w:tcW w:w="5620" w:type="dxa"/>
            <w:shd w:val="clear" w:color="auto" w:fill="C6EFCE"/>
            <w:noWrap/>
          </w:tcPr>
          <w:p w14:paraId="505E15CF"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Legalább 825000, a digitális, ökológiai és produktív átalakuláshoz szükséges készségek elsajátítására irányuló képzési programot végzett el, figyelembe véve 975000 beiratkozott személyt. A képzés középpontjában az idegenforgalmi ágazat, más nemzeti érdekű stratégiai ágazatok, az ERTE-k hatálya alá tartozó munkavállalók és a mikrohitel-képzésben részesülő munkavállalók állnak. A program legalább 30%-a az éghajlattal kapcsolatos készségekre összpontosított, 30%-a pedig a digitális készségekre összpontosított. </w:t>
            </w:r>
          </w:p>
        </w:tc>
      </w:tr>
      <w:tr w:rsidR="00D65CB4" w:rsidRPr="00BC4EE7" w14:paraId="479BDDB7" w14:textId="77777777" w:rsidTr="00862B13">
        <w:trPr>
          <w:trHeight w:val="309"/>
        </w:trPr>
        <w:tc>
          <w:tcPr>
            <w:tcW w:w="709" w:type="dxa"/>
            <w:shd w:val="clear" w:color="auto" w:fill="C6EFCE"/>
            <w:noWrap/>
          </w:tcPr>
          <w:p w14:paraId="6D1BBD65" w14:textId="5EE3A4FC" w:rsidR="00D65CB4" w:rsidRPr="00BC4EE7" w:rsidRDefault="00572307">
            <w:pPr>
              <w:pStyle w:val="P68B1DB1-Normal12"/>
              <w:spacing w:after="0" w:line="240" w:lineRule="auto"/>
              <w:jc w:val="center"/>
              <w:rPr>
                <w:rFonts w:cs="Times New Roman"/>
                <w:noProof/>
              </w:rPr>
            </w:pPr>
            <w:r w:rsidRPr="00BC4EE7">
              <w:rPr>
                <w:rFonts w:cs="Times New Roman"/>
                <w:noProof/>
              </w:rPr>
              <w:t>420</w:t>
            </w:r>
          </w:p>
        </w:tc>
        <w:tc>
          <w:tcPr>
            <w:tcW w:w="876" w:type="dxa"/>
            <w:shd w:val="clear" w:color="auto" w:fill="C6EFCE"/>
            <w:noWrap/>
          </w:tcPr>
          <w:p w14:paraId="5C3DB94F" w14:textId="01E4819B" w:rsidR="00D65CB4" w:rsidRPr="00BC4EE7" w:rsidRDefault="00572307">
            <w:pPr>
              <w:pStyle w:val="P68B1DB1-Normal12"/>
              <w:spacing w:after="0" w:line="240" w:lineRule="auto"/>
              <w:jc w:val="center"/>
              <w:rPr>
                <w:rFonts w:cs="Times New Roman"/>
                <w:noProof/>
              </w:rPr>
            </w:pPr>
            <w:r w:rsidRPr="00BC4EE7">
              <w:rPr>
                <w:rFonts w:cs="Times New Roman"/>
                <w:noProof/>
              </w:rPr>
              <w:t>C23.I3</w:t>
            </w:r>
          </w:p>
        </w:tc>
        <w:tc>
          <w:tcPr>
            <w:tcW w:w="921" w:type="dxa"/>
            <w:shd w:val="clear" w:color="auto" w:fill="C6EFCE"/>
            <w:noWrap/>
          </w:tcPr>
          <w:p w14:paraId="46FB0203" w14:textId="364CB774"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2491" w:type="dxa"/>
            <w:shd w:val="clear" w:color="auto" w:fill="C6EFCE"/>
            <w:noWrap/>
          </w:tcPr>
          <w:p w14:paraId="2688FFAA" w14:textId="3826B410" w:rsidR="00D65CB4" w:rsidRPr="00BC4EE7" w:rsidRDefault="00572307">
            <w:pPr>
              <w:pStyle w:val="P68B1DB1-Normal12"/>
              <w:spacing w:after="0" w:line="240" w:lineRule="auto"/>
              <w:rPr>
                <w:rFonts w:cs="Times New Roman"/>
                <w:noProof/>
              </w:rPr>
            </w:pPr>
            <w:r w:rsidRPr="00BC4EE7">
              <w:rPr>
                <w:rFonts w:cs="Times New Roman"/>
                <w:noProof/>
              </w:rPr>
              <w:t>A készségigények kutatási program révén történő felismerése</w:t>
            </w:r>
          </w:p>
        </w:tc>
        <w:tc>
          <w:tcPr>
            <w:tcW w:w="1053" w:type="dxa"/>
            <w:shd w:val="clear" w:color="auto" w:fill="C6EFCE"/>
            <w:noWrap/>
          </w:tcPr>
          <w:p w14:paraId="70C4D6AD" w14:textId="3FD688E7" w:rsidR="00D65CB4" w:rsidRPr="00BC4EE7" w:rsidRDefault="00572307">
            <w:pPr>
              <w:pStyle w:val="P68B1DB1-Normal12"/>
              <w:spacing w:after="0" w:line="240" w:lineRule="auto"/>
              <w:jc w:val="center"/>
              <w:rPr>
                <w:rFonts w:cs="Times New Roman"/>
                <w:noProof/>
              </w:rPr>
            </w:pPr>
            <w:r w:rsidRPr="00BC4EE7">
              <w:rPr>
                <w:rFonts w:cs="Times New Roman"/>
                <w:noProof/>
              </w:rPr>
              <w:t>A kutatási program közzététele</w:t>
            </w:r>
          </w:p>
        </w:tc>
        <w:tc>
          <w:tcPr>
            <w:tcW w:w="791" w:type="dxa"/>
            <w:shd w:val="clear" w:color="auto" w:fill="C6EFCE"/>
            <w:noWrap/>
          </w:tcPr>
          <w:p w14:paraId="4A6C9459" w14:textId="09CBB1E2" w:rsidR="00D65CB4" w:rsidRPr="00BC4EE7" w:rsidRDefault="00572307">
            <w:pPr>
              <w:pStyle w:val="P68B1DB1-Normal12"/>
              <w:spacing w:after="0" w:line="240" w:lineRule="auto"/>
              <w:jc w:val="center"/>
              <w:rPr>
                <w:rFonts w:cs="Times New Roman"/>
                <w:noProof/>
              </w:rPr>
            </w:pPr>
            <w:r w:rsidRPr="00BC4EE7">
              <w:rPr>
                <w:rFonts w:cs="Times New Roman"/>
                <w:noProof/>
              </w:rPr>
              <w:t>Szám</w:t>
            </w:r>
          </w:p>
        </w:tc>
        <w:tc>
          <w:tcPr>
            <w:tcW w:w="948" w:type="dxa"/>
            <w:shd w:val="clear" w:color="auto" w:fill="C6EFCE"/>
            <w:noWrap/>
          </w:tcPr>
          <w:p w14:paraId="4283EA95" w14:textId="6673D62F" w:rsidR="00D65CB4" w:rsidRPr="00BC4EE7" w:rsidRDefault="00572307">
            <w:pPr>
              <w:pStyle w:val="P68B1DB1-Normal12"/>
              <w:spacing w:after="0" w:line="240" w:lineRule="auto"/>
              <w:jc w:val="right"/>
              <w:rPr>
                <w:rFonts w:cs="Times New Roman"/>
                <w:noProof/>
              </w:rPr>
            </w:pPr>
            <w:r w:rsidRPr="00BC4EE7">
              <w:rPr>
                <w:rFonts w:cs="Times New Roman"/>
                <w:noProof/>
              </w:rPr>
              <w:t>0</w:t>
            </w:r>
          </w:p>
        </w:tc>
        <w:tc>
          <w:tcPr>
            <w:tcW w:w="659" w:type="dxa"/>
            <w:shd w:val="clear" w:color="auto" w:fill="C6EFCE"/>
            <w:noWrap/>
          </w:tcPr>
          <w:p w14:paraId="59CB1E35" w14:textId="04ECB3ED" w:rsidR="00D65CB4" w:rsidRPr="00BC4EE7" w:rsidRDefault="00572307">
            <w:pPr>
              <w:pStyle w:val="P68B1DB1-Normal12"/>
              <w:spacing w:after="0" w:line="240" w:lineRule="auto"/>
              <w:jc w:val="right"/>
              <w:rPr>
                <w:rFonts w:cs="Times New Roman"/>
                <w:noProof/>
              </w:rPr>
            </w:pPr>
            <w:r w:rsidRPr="00BC4EE7">
              <w:rPr>
                <w:rFonts w:cs="Times New Roman"/>
                <w:noProof/>
              </w:rPr>
              <w:t>23</w:t>
            </w:r>
          </w:p>
        </w:tc>
        <w:tc>
          <w:tcPr>
            <w:tcW w:w="397" w:type="dxa"/>
            <w:shd w:val="clear" w:color="auto" w:fill="C6EFCE"/>
            <w:noWrap/>
          </w:tcPr>
          <w:p w14:paraId="6052CD6A" w14:textId="07BF3F54" w:rsidR="00D65CB4" w:rsidRPr="00BC4EE7" w:rsidRDefault="00572307">
            <w:pPr>
              <w:pStyle w:val="P68B1DB1-Normal12"/>
              <w:spacing w:after="0" w:line="240" w:lineRule="auto"/>
              <w:jc w:val="right"/>
              <w:rPr>
                <w:rFonts w:cs="Times New Roman"/>
                <w:noProof/>
              </w:rPr>
            </w:pPr>
            <w:r w:rsidRPr="00BC4EE7">
              <w:rPr>
                <w:rFonts w:cs="Times New Roman"/>
                <w:noProof/>
              </w:rPr>
              <w:t>Q4</w:t>
            </w:r>
          </w:p>
        </w:tc>
        <w:tc>
          <w:tcPr>
            <w:tcW w:w="528" w:type="dxa"/>
            <w:shd w:val="clear" w:color="auto" w:fill="C6EFCE"/>
            <w:noWrap/>
          </w:tcPr>
          <w:p w14:paraId="639F4681" w14:textId="4EED1DC8" w:rsidR="00D65CB4" w:rsidRPr="00BC4EE7" w:rsidRDefault="00572307">
            <w:pPr>
              <w:pStyle w:val="P68B1DB1-Normal12"/>
              <w:spacing w:after="0" w:line="240" w:lineRule="auto"/>
              <w:jc w:val="right"/>
              <w:rPr>
                <w:rFonts w:cs="Times New Roman"/>
                <w:noProof/>
              </w:rPr>
            </w:pPr>
            <w:r w:rsidRPr="00BC4EE7">
              <w:rPr>
                <w:rFonts w:cs="Times New Roman"/>
                <w:noProof/>
              </w:rPr>
              <w:t>2025</w:t>
            </w:r>
          </w:p>
        </w:tc>
        <w:tc>
          <w:tcPr>
            <w:tcW w:w="5620" w:type="dxa"/>
            <w:shd w:val="clear" w:color="auto" w:fill="C6EFCE"/>
            <w:noWrap/>
          </w:tcPr>
          <w:p w14:paraId="7060AB63" w14:textId="799C5832" w:rsidR="00D65CB4" w:rsidRPr="00BC4EE7" w:rsidRDefault="00572307">
            <w:pPr>
              <w:pStyle w:val="P68B1DB1-Normal12"/>
              <w:spacing w:after="0" w:line="240" w:lineRule="auto"/>
              <w:rPr>
                <w:rFonts w:cs="Times New Roman"/>
                <w:noProof/>
              </w:rPr>
            </w:pPr>
            <w:r w:rsidRPr="00BC4EE7">
              <w:rPr>
                <w:rFonts w:cs="Times New Roman"/>
                <w:noProof/>
              </w:rPr>
              <w:t xml:space="preserve">A készségigények feltárására irányuló kutatási program befejezése egy legalább 23 termelő ágazatban végzett felmérés alapján, amely hatékony választ ad a munkaerőpiaci képzés és átképzés iránti igényekre, beleértve a digitális átállással és a zöld átállással kapcsolatos készségeket is. Emellett fel kell készülnie a változásokra és reagálnia kell a szakképzett munkaerő iránti potenciális keresletre a képzési szakterületek fejlesztése révén.  </w:t>
            </w:r>
          </w:p>
        </w:tc>
      </w:tr>
      <w:tr w:rsidR="00D65CB4" w:rsidRPr="00BC4EE7" w14:paraId="73F4A48B" w14:textId="77777777" w:rsidTr="00862B13">
        <w:trPr>
          <w:trHeight w:val="309"/>
        </w:trPr>
        <w:tc>
          <w:tcPr>
            <w:tcW w:w="709" w:type="dxa"/>
            <w:shd w:val="clear" w:color="auto" w:fill="C6EFCE"/>
            <w:noWrap/>
          </w:tcPr>
          <w:p w14:paraId="38DF2124"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345</w:t>
            </w:r>
          </w:p>
        </w:tc>
        <w:tc>
          <w:tcPr>
            <w:tcW w:w="876" w:type="dxa"/>
            <w:shd w:val="clear" w:color="auto" w:fill="C6EFCE"/>
            <w:noWrap/>
          </w:tcPr>
          <w:p w14:paraId="63072B0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C23.I4</w:t>
            </w:r>
          </w:p>
        </w:tc>
        <w:tc>
          <w:tcPr>
            <w:tcW w:w="921" w:type="dxa"/>
            <w:shd w:val="clear" w:color="auto" w:fill="C6EFCE"/>
            <w:noWrap/>
          </w:tcPr>
          <w:p w14:paraId="250BB52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2491" w:type="dxa"/>
            <w:shd w:val="clear" w:color="auto" w:fill="C6EFCE"/>
            <w:noWrap/>
          </w:tcPr>
          <w:p w14:paraId="4D3105FC"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 veszélyeztetett csoportokat, vállalkozásokat és mikrovállalkozásokat célzó területi projektekre elkülönített források regionális elosztásának jóváhagyása. </w:t>
            </w:r>
          </w:p>
        </w:tc>
        <w:tc>
          <w:tcPr>
            <w:tcW w:w="1053" w:type="dxa"/>
            <w:shd w:val="clear" w:color="auto" w:fill="C6EFCE"/>
            <w:noWrap/>
          </w:tcPr>
          <w:p w14:paraId="6CBF819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Az ágazati foglalkoztatási konferencia referenciajegyzőkönyve </w:t>
            </w:r>
          </w:p>
        </w:tc>
        <w:tc>
          <w:tcPr>
            <w:tcW w:w="791" w:type="dxa"/>
            <w:shd w:val="clear" w:color="auto" w:fill="C6EFCE"/>
            <w:noWrap/>
          </w:tcPr>
          <w:p w14:paraId="09DA7C8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48" w:type="dxa"/>
            <w:shd w:val="clear" w:color="auto" w:fill="C6EFCE"/>
            <w:noWrap/>
          </w:tcPr>
          <w:p w14:paraId="1DE833C4"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659" w:type="dxa"/>
            <w:shd w:val="clear" w:color="auto" w:fill="C6EFCE"/>
            <w:noWrap/>
          </w:tcPr>
          <w:p w14:paraId="7016AF2E"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397" w:type="dxa"/>
            <w:shd w:val="clear" w:color="auto" w:fill="C6EFCE"/>
            <w:noWrap/>
          </w:tcPr>
          <w:p w14:paraId="314B74C4"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Q3</w:t>
            </w:r>
          </w:p>
        </w:tc>
        <w:tc>
          <w:tcPr>
            <w:tcW w:w="528" w:type="dxa"/>
            <w:shd w:val="clear" w:color="auto" w:fill="C6EFCE"/>
            <w:noWrap/>
          </w:tcPr>
          <w:p w14:paraId="36CB6330"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2021</w:t>
            </w:r>
          </w:p>
        </w:tc>
        <w:tc>
          <w:tcPr>
            <w:tcW w:w="5620" w:type="dxa"/>
            <w:shd w:val="clear" w:color="auto" w:fill="C6EFCE"/>
            <w:noWrap/>
          </w:tcPr>
          <w:p w14:paraId="33A8F610"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Az ágazati foglalkoztatási konferencián a kiszolgáltatott csoportokat célzó területi projektekre, valamint a vállalkozói és mikrovállalkozásokat célzó területi projektekre – például a vállalkozói készséget előmozdító projektek, a helyi fejlesztési kezdeményezések, a szociális gazdasággal kapcsolatos kezdeményezések és a termelésnek különösen a zöld és digitális gazdaság felé történő átalakítását elősegítő új területi projektek – regionális elosztásának jóváhagyása. </w:t>
            </w:r>
          </w:p>
        </w:tc>
      </w:tr>
      <w:tr w:rsidR="00D65CB4" w:rsidRPr="00BC4EE7" w14:paraId="5B2EEC32" w14:textId="77777777" w:rsidTr="00862B13">
        <w:trPr>
          <w:trHeight w:val="309"/>
        </w:trPr>
        <w:tc>
          <w:tcPr>
            <w:tcW w:w="709" w:type="dxa"/>
            <w:shd w:val="clear" w:color="auto" w:fill="C6EFCE"/>
            <w:noWrap/>
          </w:tcPr>
          <w:p w14:paraId="0B59557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346</w:t>
            </w:r>
          </w:p>
        </w:tc>
        <w:tc>
          <w:tcPr>
            <w:tcW w:w="876" w:type="dxa"/>
            <w:shd w:val="clear" w:color="auto" w:fill="C6EFCE"/>
            <w:noWrap/>
          </w:tcPr>
          <w:p w14:paraId="7D2FAE1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C23.I4</w:t>
            </w:r>
          </w:p>
        </w:tc>
        <w:tc>
          <w:tcPr>
            <w:tcW w:w="921" w:type="dxa"/>
            <w:shd w:val="clear" w:color="auto" w:fill="C6EFCE"/>
            <w:noWrap/>
          </w:tcPr>
          <w:p w14:paraId="29365A4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2491" w:type="dxa"/>
            <w:shd w:val="clear" w:color="auto" w:fill="C6EFCE"/>
            <w:noWrap/>
          </w:tcPr>
          <w:p w14:paraId="25316EEB"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veszélyeztetett csoportokra, a vállalkozói szellemre és a mikrovállalkozásokra irányuló területi projektek lezárultak, legalább 39000 munkavállaló és 64000 vállalkozás részvételével.</w:t>
            </w:r>
          </w:p>
        </w:tc>
        <w:tc>
          <w:tcPr>
            <w:tcW w:w="1053" w:type="dxa"/>
            <w:shd w:val="clear" w:color="auto" w:fill="C6EFCE"/>
            <w:noWrap/>
          </w:tcPr>
          <w:p w14:paraId="7478F82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791" w:type="dxa"/>
            <w:shd w:val="clear" w:color="auto" w:fill="C6EFCE"/>
            <w:noWrap/>
          </w:tcPr>
          <w:p w14:paraId="5FD4AE4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Szám</w:t>
            </w:r>
          </w:p>
        </w:tc>
        <w:tc>
          <w:tcPr>
            <w:tcW w:w="948" w:type="dxa"/>
            <w:shd w:val="clear" w:color="auto" w:fill="C6EFCE"/>
            <w:noWrap/>
          </w:tcPr>
          <w:p w14:paraId="7D2EF052"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0</w:t>
            </w:r>
          </w:p>
        </w:tc>
        <w:tc>
          <w:tcPr>
            <w:tcW w:w="659" w:type="dxa"/>
            <w:shd w:val="clear" w:color="auto" w:fill="C6EFCE"/>
            <w:noWrap/>
          </w:tcPr>
          <w:p w14:paraId="0CC676C6"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68</w:t>
            </w:r>
          </w:p>
        </w:tc>
        <w:tc>
          <w:tcPr>
            <w:tcW w:w="397" w:type="dxa"/>
            <w:shd w:val="clear" w:color="auto" w:fill="C6EFCE"/>
            <w:noWrap/>
          </w:tcPr>
          <w:p w14:paraId="34C73C82"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Q4</w:t>
            </w:r>
          </w:p>
        </w:tc>
        <w:tc>
          <w:tcPr>
            <w:tcW w:w="528" w:type="dxa"/>
            <w:shd w:val="clear" w:color="auto" w:fill="C6EFCE"/>
            <w:noWrap/>
          </w:tcPr>
          <w:p w14:paraId="5A691201"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2023</w:t>
            </w:r>
          </w:p>
        </w:tc>
        <w:tc>
          <w:tcPr>
            <w:tcW w:w="5620" w:type="dxa"/>
            <w:shd w:val="clear" w:color="auto" w:fill="C6EFCE"/>
            <w:noWrap/>
          </w:tcPr>
          <w:p w14:paraId="0BE494D8" w14:textId="77777777" w:rsidR="00D65CB4" w:rsidRPr="00BC4EE7" w:rsidRDefault="00572307">
            <w:pPr>
              <w:spacing w:after="0" w:line="240" w:lineRule="auto"/>
              <w:rPr>
                <w:rFonts w:ascii="Times New Roman" w:eastAsia="Times New Roman" w:hAnsi="Times New Roman" w:cs="Times New Roman"/>
                <w:noProof/>
                <w:sz w:val="18"/>
              </w:rPr>
            </w:pPr>
            <w:r w:rsidRPr="00BC4EE7">
              <w:rPr>
                <w:rFonts w:ascii="Times New Roman" w:hAnsi="Times New Roman" w:cs="Times New Roman"/>
                <w:noProof/>
                <w:sz w:val="18"/>
              </w:rPr>
              <w:t>Legalább 68, veszélyeztetett csoportokra irányuló területi projekt, valamint vállalkozói és mikrovállalkozásokra irányuló területi projekt zárult le, amelyek keretében mintegy 39000 munkavállalót és 64000 vállalkozást céloztak meg.</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 veszélyeztetett csoportokra irányuló területi projekteket személyre szabott és személyre szabott útvonalakon keresztül kell kidolgozni, amelyekbe különböző intézkedéseket kell integrálni, mint például: iránymutatás és kísérő intézkedések, orientációs programok, álláskereső csoportok által nyújtott ellátás, képzés és békéltetési ösztöndíjak, a munkaerő-felvételhez és a tevékenységek nyomon követéséhez nyújtott támogatás.</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 vállalkozói és mikrovállalkozási projekteknek foglalkozniuk kell a demográfiai kihívással, és elő kell segíteniük a termelő átalakulást, különösen a zöld és digitális gazdaság felé, többek között mezőgazdasági képzési projektek, fenntartható helyi fejlesztés, a kulturális és művészeti tevékenységeket célzó szociális gazdasági kezdeményezések, az ökológiai átállás, a helyi fejlesztési kezdeményezések, a vidéki turizmus és a művészeti örökség révén. Ezek a projektek többek között a következőket foglalják magukban: szociális vállalkozás és szabadúszók, munkaerőpiaci tanulmányok, helyi promóciós és fejlesztési szereplők, szövetkezetek vagy mikrovállalkozások alapításának támogatása, hálózatépítés, konferenciákon való részvétel, terjesztési tevékenységek.</w:t>
            </w:r>
          </w:p>
        </w:tc>
      </w:tr>
      <w:tr w:rsidR="00D65CB4" w:rsidRPr="00BC4EE7" w14:paraId="5EE38AFB" w14:textId="77777777" w:rsidTr="00862B13">
        <w:trPr>
          <w:trHeight w:val="309"/>
        </w:trPr>
        <w:tc>
          <w:tcPr>
            <w:tcW w:w="709" w:type="dxa"/>
            <w:shd w:val="clear" w:color="auto" w:fill="C6EFCE"/>
            <w:noWrap/>
          </w:tcPr>
          <w:p w14:paraId="3228302D"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347</w:t>
            </w:r>
          </w:p>
        </w:tc>
        <w:tc>
          <w:tcPr>
            <w:tcW w:w="876" w:type="dxa"/>
            <w:shd w:val="clear" w:color="auto" w:fill="C6EFCE"/>
            <w:noWrap/>
          </w:tcPr>
          <w:p w14:paraId="4ACD0B6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C23.I5</w:t>
            </w:r>
          </w:p>
        </w:tc>
        <w:tc>
          <w:tcPr>
            <w:tcW w:w="921" w:type="dxa"/>
            <w:shd w:val="clear" w:color="auto" w:fill="C6EFCE"/>
            <w:noWrap/>
          </w:tcPr>
          <w:p w14:paraId="373B858D"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2491" w:type="dxa"/>
            <w:shd w:val="clear" w:color="auto" w:fill="C6EFCE"/>
            <w:noWrap/>
          </w:tcPr>
          <w:p w14:paraId="017F33DD"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Az állami pályaorientációs, vállalkozói, támogatási és innovációs központok teljes mértékben működőképesek.</w:t>
            </w:r>
          </w:p>
        </w:tc>
        <w:tc>
          <w:tcPr>
            <w:tcW w:w="1053" w:type="dxa"/>
            <w:shd w:val="clear" w:color="auto" w:fill="C6EFCE"/>
            <w:noWrap/>
          </w:tcPr>
          <w:p w14:paraId="07F55D4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791" w:type="dxa"/>
            <w:shd w:val="clear" w:color="auto" w:fill="C6EFCE"/>
            <w:noWrap/>
          </w:tcPr>
          <w:p w14:paraId="6B077AC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Szám</w:t>
            </w:r>
          </w:p>
        </w:tc>
        <w:tc>
          <w:tcPr>
            <w:tcW w:w="948" w:type="dxa"/>
            <w:shd w:val="clear" w:color="auto" w:fill="C6EFCE"/>
            <w:noWrap/>
          </w:tcPr>
          <w:p w14:paraId="18FD11EC"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0</w:t>
            </w:r>
          </w:p>
        </w:tc>
        <w:tc>
          <w:tcPr>
            <w:tcW w:w="659" w:type="dxa"/>
            <w:shd w:val="clear" w:color="auto" w:fill="C6EFCE"/>
            <w:noWrap/>
          </w:tcPr>
          <w:p w14:paraId="3FA557D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w:t>
            </w:r>
          </w:p>
        </w:tc>
        <w:tc>
          <w:tcPr>
            <w:tcW w:w="397" w:type="dxa"/>
            <w:shd w:val="clear" w:color="auto" w:fill="C6EFCE"/>
            <w:noWrap/>
          </w:tcPr>
          <w:p w14:paraId="4527830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28" w:type="dxa"/>
            <w:shd w:val="clear" w:color="auto" w:fill="C6EFCE"/>
            <w:noWrap/>
          </w:tcPr>
          <w:p w14:paraId="17DBB9E2" w14:textId="20AFC6D9"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2024</w:t>
            </w:r>
          </w:p>
        </w:tc>
        <w:tc>
          <w:tcPr>
            <w:tcW w:w="5620" w:type="dxa"/>
            <w:shd w:val="clear" w:color="auto" w:fill="C6EFCE"/>
            <w:noWrap/>
          </w:tcPr>
          <w:p w14:paraId="6376C800"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Legalább 20 állami pályaorientációs, vállalkozói, támogatási és innovációs központ működik teljes mértékben.</w:t>
            </w:r>
          </w:p>
        </w:tc>
      </w:tr>
      <w:tr w:rsidR="00D65CB4" w:rsidRPr="00BC4EE7" w14:paraId="47C2CB73" w14:textId="77777777" w:rsidTr="00862B13">
        <w:trPr>
          <w:trHeight w:val="309"/>
        </w:trPr>
        <w:tc>
          <w:tcPr>
            <w:tcW w:w="709" w:type="dxa"/>
            <w:shd w:val="clear" w:color="auto" w:fill="C6EFCE"/>
            <w:noWrap/>
          </w:tcPr>
          <w:p w14:paraId="5A57970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348</w:t>
            </w:r>
          </w:p>
        </w:tc>
        <w:tc>
          <w:tcPr>
            <w:tcW w:w="876" w:type="dxa"/>
            <w:shd w:val="clear" w:color="auto" w:fill="C6EFCE"/>
            <w:noWrap/>
          </w:tcPr>
          <w:p w14:paraId="6D48B05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C23.I5</w:t>
            </w:r>
          </w:p>
        </w:tc>
        <w:tc>
          <w:tcPr>
            <w:tcW w:w="921" w:type="dxa"/>
            <w:shd w:val="clear" w:color="auto" w:fill="C6EFCE"/>
            <w:noWrap/>
          </w:tcPr>
          <w:p w14:paraId="18A1F58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2491" w:type="dxa"/>
            <w:shd w:val="clear" w:color="auto" w:fill="C6EFCE"/>
            <w:noWrap/>
          </w:tcPr>
          <w:p w14:paraId="18557365"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Képzési tevékenységek az ÁFSZ-ek személyzete számára</w:t>
            </w:r>
          </w:p>
        </w:tc>
        <w:tc>
          <w:tcPr>
            <w:tcW w:w="1053" w:type="dxa"/>
            <w:shd w:val="clear" w:color="auto" w:fill="C6EFCE"/>
            <w:noWrap/>
          </w:tcPr>
          <w:p w14:paraId="2138AF6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791" w:type="dxa"/>
            <w:shd w:val="clear" w:color="auto" w:fill="C6EFCE"/>
            <w:noWrap/>
          </w:tcPr>
          <w:p w14:paraId="16ACCCD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Szám</w:t>
            </w:r>
          </w:p>
        </w:tc>
        <w:tc>
          <w:tcPr>
            <w:tcW w:w="948" w:type="dxa"/>
            <w:shd w:val="clear" w:color="auto" w:fill="C6EFCE"/>
            <w:noWrap/>
          </w:tcPr>
          <w:p w14:paraId="7E3C3610"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0</w:t>
            </w:r>
          </w:p>
        </w:tc>
        <w:tc>
          <w:tcPr>
            <w:tcW w:w="659" w:type="dxa"/>
            <w:shd w:val="clear" w:color="auto" w:fill="C6EFCE"/>
            <w:noWrap/>
          </w:tcPr>
          <w:p w14:paraId="66F306B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42 000</w:t>
            </w:r>
          </w:p>
        </w:tc>
        <w:tc>
          <w:tcPr>
            <w:tcW w:w="397" w:type="dxa"/>
            <w:shd w:val="clear" w:color="auto" w:fill="C6EFCE"/>
            <w:noWrap/>
          </w:tcPr>
          <w:p w14:paraId="14555A8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28" w:type="dxa"/>
            <w:shd w:val="clear" w:color="auto" w:fill="C6EFCE"/>
            <w:noWrap/>
          </w:tcPr>
          <w:p w14:paraId="297F6BF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2023</w:t>
            </w:r>
          </w:p>
        </w:tc>
        <w:tc>
          <w:tcPr>
            <w:tcW w:w="5620" w:type="dxa"/>
            <w:shd w:val="clear" w:color="auto" w:fill="C6EFCE"/>
            <w:noWrap/>
          </w:tcPr>
          <w:p w14:paraId="185D20DF"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Az ÁFSZ-ek személyzetének legalább 42000 képzési intézkedése fejeződött be készségeik fejlesztése és az álláskeresők hatékonyabb támogatása céljából.</w:t>
            </w:r>
          </w:p>
        </w:tc>
      </w:tr>
      <w:tr w:rsidR="00D65CB4" w:rsidRPr="00BC4EE7" w14:paraId="66A83C43" w14:textId="77777777" w:rsidTr="00862B13">
        <w:trPr>
          <w:trHeight w:val="309"/>
        </w:trPr>
        <w:tc>
          <w:tcPr>
            <w:tcW w:w="709" w:type="dxa"/>
            <w:shd w:val="clear" w:color="auto" w:fill="C6EFCE"/>
            <w:noWrap/>
          </w:tcPr>
          <w:p w14:paraId="1703DCB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349</w:t>
            </w:r>
          </w:p>
        </w:tc>
        <w:tc>
          <w:tcPr>
            <w:tcW w:w="876" w:type="dxa"/>
            <w:shd w:val="clear" w:color="auto" w:fill="C6EFCE"/>
            <w:noWrap/>
          </w:tcPr>
          <w:p w14:paraId="0A36F51B"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C23.I6</w:t>
            </w:r>
          </w:p>
        </w:tc>
        <w:tc>
          <w:tcPr>
            <w:tcW w:w="921" w:type="dxa"/>
            <w:shd w:val="clear" w:color="auto" w:fill="C6EFCE"/>
            <w:noWrap/>
          </w:tcPr>
          <w:p w14:paraId="7965CF1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2491" w:type="dxa"/>
            <w:shd w:val="clear" w:color="auto" w:fill="C6EFCE"/>
            <w:noWrap/>
          </w:tcPr>
          <w:p w14:paraId="51C7A896"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szociális gazdasággal kapcsolatos projektek lezárultak</w:t>
            </w:r>
          </w:p>
        </w:tc>
        <w:tc>
          <w:tcPr>
            <w:tcW w:w="1053" w:type="dxa"/>
            <w:shd w:val="clear" w:color="auto" w:fill="C6EFCE"/>
            <w:noWrap/>
          </w:tcPr>
          <w:p w14:paraId="739B518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791" w:type="dxa"/>
            <w:shd w:val="clear" w:color="auto" w:fill="C6EFCE"/>
            <w:noWrap/>
          </w:tcPr>
          <w:p w14:paraId="28940D2D"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Szám</w:t>
            </w:r>
          </w:p>
        </w:tc>
        <w:tc>
          <w:tcPr>
            <w:tcW w:w="948" w:type="dxa"/>
            <w:shd w:val="clear" w:color="auto" w:fill="C6EFCE"/>
            <w:noWrap/>
          </w:tcPr>
          <w:p w14:paraId="52CA3C81"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0</w:t>
            </w:r>
          </w:p>
        </w:tc>
        <w:tc>
          <w:tcPr>
            <w:tcW w:w="659" w:type="dxa"/>
            <w:shd w:val="clear" w:color="auto" w:fill="C6EFCE"/>
            <w:noWrap/>
          </w:tcPr>
          <w:p w14:paraId="338013C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30</w:t>
            </w:r>
          </w:p>
        </w:tc>
        <w:tc>
          <w:tcPr>
            <w:tcW w:w="397" w:type="dxa"/>
            <w:shd w:val="clear" w:color="auto" w:fill="C6EFCE"/>
            <w:noWrap/>
          </w:tcPr>
          <w:p w14:paraId="538491BD" w14:textId="126C3BD1"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Q2</w:t>
            </w:r>
          </w:p>
        </w:tc>
        <w:tc>
          <w:tcPr>
            <w:tcW w:w="528" w:type="dxa"/>
            <w:shd w:val="clear" w:color="auto" w:fill="C6EFCE"/>
            <w:noWrap/>
          </w:tcPr>
          <w:p w14:paraId="1FD7D994" w14:textId="5D3F7141"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2025</w:t>
            </w:r>
          </w:p>
        </w:tc>
        <w:tc>
          <w:tcPr>
            <w:tcW w:w="5620" w:type="dxa"/>
            <w:shd w:val="clear" w:color="auto" w:fill="C6EFCE"/>
            <w:noWrap/>
          </w:tcPr>
          <w:p w14:paraId="36C2B50B"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Legalább 30 szociális gazdasági projekt valósult meg: a) nehéz helyzetben lévő vagy generációs megújulás nélkül működő, életképes vállalkozások létrehozása és fenntartása a szociális gazdaság üzleti formuláivá (szövetkezetek és munkaerő-vállalatok) történő átalakításuk révén, amelyet férfi és női munkavállalóik irányítanak; a szociális gazdaság innovatív szervezeteinek létrehozása és megszilárdítása, ami hatással van a generációs megújulásra és a fiatalok vállalkozói készségére; C) a szociális gazdasági vállalkozások digitalizációja a vidéki területeken élő polgárok jóllétének javítását célzó digitális platformok létrehozása révén; a szövetkezetek, a munkaügyi vállalatok és a szociális gazdaság egyéb formáinak hálózatba szervezése, valamint kapacitásépítési és képzési intézkedések a társadalom számára új, átfogó szolgáltatások nyújtása érdekében; valamint e) a kiszolgáltatott helyzetben lévő vállalatok és csoportok fenntartható és inkluzív átállásának előmozdítása.</w:t>
            </w:r>
          </w:p>
        </w:tc>
      </w:tr>
      <w:tr w:rsidR="00D65CB4" w:rsidRPr="00BC4EE7" w14:paraId="1D68E393" w14:textId="77777777" w:rsidTr="00862B13">
        <w:trPr>
          <w:trHeight w:val="309"/>
        </w:trPr>
        <w:tc>
          <w:tcPr>
            <w:tcW w:w="709" w:type="dxa"/>
            <w:shd w:val="clear" w:color="auto" w:fill="C6EFCE"/>
            <w:noWrap/>
          </w:tcPr>
          <w:p w14:paraId="5F1CCB4D"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350</w:t>
            </w:r>
          </w:p>
        </w:tc>
        <w:tc>
          <w:tcPr>
            <w:tcW w:w="876" w:type="dxa"/>
            <w:shd w:val="clear" w:color="auto" w:fill="C6EFCE"/>
            <w:noWrap/>
          </w:tcPr>
          <w:p w14:paraId="6EB0379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C23.I7</w:t>
            </w:r>
          </w:p>
        </w:tc>
        <w:tc>
          <w:tcPr>
            <w:tcW w:w="921" w:type="dxa"/>
            <w:shd w:val="clear" w:color="auto" w:fill="C6EFCE"/>
            <w:noWrap/>
          </w:tcPr>
          <w:p w14:paraId="7950936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2491" w:type="dxa"/>
            <w:shd w:val="clear" w:color="auto" w:fill="C6EFCE"/>
            <w:noWrap/>
          </w:tcPr>
          <w:p w14:paraId="233405FA"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minimális életjövedelem (IMV) felhasználási arányának javítása és hatékonyságának növelése befogadási politikák révén</w:t>
            </w:r>
          </w:p>
        </w:tc>
        <w:tc>
          <w:tcPr>
            <w:tcW w:w="1053" w:type="dxa"/>
            <w:shd w:val="clear" w:color="auto" w:fill="C6EFCE"/>
            <w:noWrap/>
          </w:tcPr>
          <w:p w14:paraId="1DD611C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A partnerségi megállapodás közzététele („</w:t>
            </w:r>
            <w:r w:rsidRPr="00BC4EE7">
              <w:rPr>
                <w:rFonts w:cs="Times New Roman"/>
                <w:i/>
                <w:noProof/>
              </w:rPr>
              <w:t>Convenio”</w:t>
            </w:r>
            <w:r w:rsidRPr="00BC4EE7">
              <w:rPr>
                <w:rFonts w:cs="Times New Roman"/>
                <w:noProof/>
              </w:rPr>
              <w:t>)</w:t>
            </w:r>
          </w:p>
        </w:tc>
        <w:tc>
          <w:tcPr>
            <w:tcW w:w="791" w:type="dxa"/>
            <w:shd w:val="clear" w:color="auto" w:fill="C6EFCE"/>
            <w:noWrap/>
          </w:tcPr>
          <w:p w14:paraId="3874BD7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48" w:type="dxa"/>
            <w:shd w:val="clear" w:color="auto" w:fill="C6EFCE"/>
            <w:noWrap/>
          </w:tcPr>
          <w:p w14:paraId="71960EB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659" w:type="dxa"/>
            <w:shd w:val="clear" w:color="auto" w:fill="C6EFCE"/>
            <w:noWrap/>
          </w:tcPr>
          <w:p w14:paraId="24C080EB"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397" w:type="dxa"/>
            <w:shd w:val="clear" w:color="auto" w:fill="C6EFCE"/>
            <w:noWrap/>
          </w:tcPr>
          <w:p w14:paraId="081E6E7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Q1</w:t>
            </w:r>
          </w:p>
        </w:tc>
        <w:tc>
          <w:tcPr>
            <w:tcW w:w="528" w:type="dxa"/>
            <w:shd w:val="clear" w:color="auto" w:fill="C6EFCE"/>
            <w:noWrap/>
          </w:tcPr>
          <w:p w14:paraId="127FD24D"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2022</w:t>
            </w:r>
          </w:p>
        </w:tc>
        <w:tc>
          <w:tcPr>
            <w:tcW w:w="5620" w:type="dxa"/>
            <w:shd w:val="clear" w:color="auto" w:fill="C6EFCE"/>
            <w:noWrap/>
          </w:tcPr>
          <w:p w14:paraId="4CB38101"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Az IMV-kedvezményezettek társadalmi-gazdasági befogadásának támogatása az alábbi útvonalakon keresztül: nyolc partnerségi megállapodást írtak alá szubnacionális közigazgatási szervekkel, szociális partnerekkel és harmadik szektorbeli szociális akciószervezetekkel az útvonalak megvalósítása érdekében. E partnerségi megállapodások célkitűzései a következők: i. az IMV elterjedtségi arányának javítása; az IMV hatékonyságának növelése befogadási politikák révén.</w:t>
            </w:r>
          </w:p>
        </w:tc>
      </w:tr>
      <w:tr w:rsidR="00D65CB4" w:rsidRPr="00BC4EE7" w14:paraId="0967AC53" w14:textId="77777777" w:rsidTr="00862B13">
        <w:trPr>
          <w:trHeight w:val="309"/>
        </w:trPr>
        <w:tc>
          <w:tcPr>
            <w:tcW w:w="709" w:type="dxa"/>
            <w:shd w:val="clear" w:color="auto" w:fill="C6EFCE"/>
            <w:noWrap/>
          </w:tcPr>
          <w:p w14:paraId="5BEF3A92"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351</w:t>
            </w:r>
          </w:p>
        </w:tc>
        <w:tc>
          <w:tcPr>
            <w:tcW w:w="876" w:type="dxa"/>
            <w:shd w:val="clear" w:color="auto" w:fill="C6EFCE"/>
            <w:noWrap/>
          </w:tcPr>
          <w:p w14:paraId="03A6C76A"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C23.I7</w:t>
            </w:r>
          </w:p>
        </w:tc>
        <w:tc>
          <w:tcPr>
            <w:tcW w:w="921" w:type="dxa"/>
            <w:shd w:val="clear" w:color="auto" w:fill="C6EFCE"/>
            <w:noWrap/>
          </w:tcPr>
          <w:p w14:paraId="303CCEDA"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M</w:t>
            </w:r>
          </w:p>
        </w:tc>
        <w:tc>
          <w:tcPr>
            <w:tcW w:w="2491" w:type="dxa"/>
            <w:shd w:val="clear" w:color="auto" w:fill="C6EFCE"/>
            <w:noWrap/>
          </w:tcPr>
          <w:p w14:paraId="27D85484" w14:textId="77777777" w:rsidR="00D65CB4" w:rsidRPr="00BC4EE7" w:rsidRDefault="00572307">
            <w:pPr>
              <w:pStyle w:val="P68B1DB1-Normal12"/>
              <w:spacing w:after="0" w:line="240" w:lineRule="auto"/>
              <w:rPr>
                <w:rFonts w:cs="Times New Roman"/>
                <w:noProof/>
              </w:rPr>
            </w:pPr>
            <w:r w:rsidRPr="00BC4EE7">
              <w:rPr>
                <w:rFonts w:cs="Times New Roman"/>
                <w:noProof/>
              </w:rPr>
              <w:t>A minimáljövedelem-rendszerek hatókörének, hatékonyságának és sikerének értékelésére irányuló értékelés</w:t>
            </w:r>
          </w:p>
        </w:tc>
        <w:tc>
          <w:tcPr>
            <w:tcW w:w="1053" w:type="dxa"/>
            <w:shd w:val="clear" w:color="auto" w:fill="C6EFCE"/>
            <w:noWrap/>
          </w:tcPr>
          <w:p w14:paraId="312F2532"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Az értékelés közzététele</w:t>
            </w:r>
          </w:p>
        </w:tc>
        <w:tc>
          <w:tcPr>
            <w:tcW w:w="791" w:type="dxa"/>
            <w:shd w:val="clear" w:color="auto" w:fill="C6EFCE"/>
            <w:noWrap/>
          </w:tcPr>
          <w:p w14:paraId="78B2AF73"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 xml:space="preserve"> </w:t>
            </w:r>
          </w:p>
        </w:tc>
        <w:tc>
          <w:tcPr>
            <w:tcW w:w="948" w:type="dxa"/>
            <w:shd w:val="clear" w:color="auto" w:fill="C6EFCE"/>
            <w:noWrap/>
          </w:tcPr>
          <w:p w14:paraId="7A01C922"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 xml:space="preserve"> </w:t>
            </w:r>
          </w:p>
        </w:tc>
        <w:tc>
          <w:tcPr>
            <w:tcW w:w="659" w:type="dxa"/>
            <w:shd w:val="clear" w:color="auto" w:fill="C6EFCE"/>
            <w:noWrap/>
          </w:tcPr>
          <w:p w14:paraId="318E0F05"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 xml:space="preserve"> </w:t>
            </w:r>
          </w:p>
        </w:tc>
        <w:tc>
          <w:tcPr>
            <w:tcW w:w="397" w:type="dxa"/>
            <w:shd w:val="clear" w:color="auto" w:fill="C6EFCE"/>
            <w:noWrap/>
          </w:tcPr>
          <w:p w14:paraId="31E2FB6C"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Q1</w:t>
            </w:r>
          </w:p>
        </w:tc>
        <w:tc>
          <w:tcPr>
            <w:tcW w:w="528" w:type="dxa"/>
            <w:shd w:val="clear" w:color="auto" w:fill="C6EFCE"/>
            <w:noWrap/>
          </w:tcPr>
          <w:p w14:paraId="6BD43872"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2024</w:t>
            </w:r>
          </w:p>
        </w:tc>
        <w:tc>
          <w:tcPr>
            <w:tcW w:w="5620" w:type="dxa"/>
            <w:shd w:val="clear" w:color="auto" w:fill="C6EFCE"/>
            <w:noWrap/>
          </w:tcPr>
          <w:p w14:paraId="478661ED" w14:textId="77777777" w:rsidR="00D65CB4" w:rsidRPr="00BC4EE7" w:rsidRDefault="00572307">
            <w:pPr>
              <w:pStyle w:val="P68B1DB1-Normal12"/>
              <w:spacing w:after="0" w:line="240" w:lineRule="auto"/>
              <w:rPr>
                <w:rFonts w:cs="Times New Roman"/>
                <w:noProof/>
              </w:rPr>
            </w:pPr>
            <w:r w:rsidRPr="00BC4EE7">
              <w:rPr>
                <w:rFonts w:cs="Times New Roman"/>
                <w:noProof/>
              </w:rPr>
              <w:t>Legalább 18 kísérleti projekt befejezését követően értékelés közzététele a minimáljövedelem-rendszerek lefedettségének, hatékonyságának és sikerének felmérése céljából, beleértve az igénybevételi arány növelésére és a társadalmi befogadási politikák hatékonyságának javítására vonatkozó konkrét ajánlásokat is.</w:t>
            </w:r>
          </w:p>
        </w:tc>
      </w:tr>
    </w:tbl>
    <w:p w14:paraId="694A9CDB" w14:textId="77777777" w:rsidR="00D65CB4" w:rsidRPr="00BC4EE7" w:rsidRDefault="00D65CB4">
      <w:pPr>
        <w:spacing w:before="120" w:after="120" w:line="240" w:lineRule="auto"/>
        <w:ind w:left="709"/>
        <w:jc w:val="both"/>
        <w:rPr>
          <w:rFonts w:ascii="Times New Roman" w:hAnsi="Times New Roman" w:cs="Times New Roman"/>
          <w:noProof/>
          <w:sz w:val="24"/>
        </w:rPr>
        <w:sectPr w:rsidR="00D65CB4" w:rsidRPr="00BC4EE7" w:rsidSect="00B511EF">
          <w:headerReference w:type="even" r:id="rId472"/>
          <w:headerReference w:type="default" r:id="rId473"/>
          <w:footerReference w:type="even" r:id="rId474"/>
          <w:footerReference w:type="default" r:id="rId475"/>
          <w:headerReference w:type="first" r:id="rId476"/>
          <w:footerReference w:type="first" r:id="rId477"/>
          <w:pgSz w:w="16839" w:h="11907" w:orient="landscape"/>
          <w:pgMar w:top="1134" w:right="1134" w:bottom="1134" w:left="1134" w:header="567" w:footer="567" w:gutter="0"/>
          <w:cols w:space="720"/>
          <w:docGrid w:linePitch="360"/>
        </w:sectPr>
      </w:pPr>
    </w:p>
    <w:p w14:paraId="6E7059F1" w14:textId="77777777" w:rsidR="00D65CB4" w:rsidRPr="00BC4EE7" w:rsidRDefault="00572307">
      <w:pPr>
        <w:pStyle w:val="P68B1DB1-Heading12"/>
        <w:rPr>
          <w:rFonts w:cs="Times New Roman"/>
          <w:noProof/>
        </w:rPr>
      </w:pPr>
      <w:r w:rsidRPr="00BC4EE7">
        <w:rPr>
          <w:rFonts w:cs="Times New Roman"/>
          <w:noProof/>
        </w:rPr>
        <w:t>X. 24. KOMPONENS: Kulturális ipar</w:t>
      </w:r>
    </w:p>
    <w:p w14:paraId="67377154"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kulturális ipar fontos szerepet játszik a spanyol gazdaságban, az ország GDP-jének 3,2%-át, valamint az ország Covid19-világjárvány előtti teljes foglalkoztatásának 3,6%-át tette ki. Emellett nélkülözhetetlen értéket képvisel a társadalom számára, amint azt a spanyol lakosságnak a világjárványt megelőző magas szintű kulturális részvétele is mutatja. Mindazonáltal az ágazat számos strukturális jellemzővel rendelkezik, amelyek megakadályozták abban, hogy teljes mértékben kiaknázza a benne rejlő lehetőségeket, és válság idején különösen sebezhetővé tette.  </w:t>
      </w:r>
    </w:p>
    <w:p w14:paraId="55038A3E"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Ennek fényében a spanyol helyreállítási és rezilienciaépítési terv 24. komponense olyan reformokat és beruházásokat tartalmaz, amelyek célja a művészek munkakeretének reformja, valamint a kulturális vállalkozások szerkezetének megerősítése és korszerűsítése. </w:t>
      </w:r>
    </w:p>
    <w:p w14:paraId="03DB477E"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komponens a gazdaság fenntartását és a Covid19-világjárványt követő helyreállítás támogatását célzó beruházások előmozdításáról (2020. évi 1. országspecifikus ajánlás), valamint a foglalkoztatás támogatásáról, a munkanélküliség védelmének megerősítéséről és a digitális tanuláshoz való hozzáférés javításáról szóló országspecifikus ajánlásokkal foglalkozik (2020. évi 2. országspecifikus ajánlás). </w:t>
      </w:r>
    </w:p>
    <w:p w14:paraId="0E524D85"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jelentős károkozás elkerülését célzó elvről szóló technikai iránymutatásnak (2021/C58/01) megfelelően a helyreállítási és rezilienciaépítési tervben meghatározott intézkedések leírását és a helyreállítási és rezilienciaépítési tervben meghatározott enyhítő lépéseket figyelembe véve ebben a komponensben várhatóan egyetlen intézkedés sem sérti jelentős mértékben az (EU) 2020/852 rendelet 17. cikke szerinti környezeti célkitűzéseket.</w:t>
      </w:r>
    </w:p>
    <w:p w14:paraId="0674A942" w14:textId="77777777" w:rsidR="00D65CB4" w:rsidRPr="00BC4EE7" w:rsidRDefault="00572307">
      <w:pPr>
        <w:spacing w:before="120" w:after="120" w:line="240" w:lineRule="auto"/>
        <w:ind w:left="720"/>
        <w:jc w:val="both"/>
        <w:rPr>
          <w:rFonts w:ascii="Times New Roman" w:hAnsi="Times New Roman" w:cs="Times New Roman"/>
          <w:b/>
          <w:i/>
          <w:noProof/>
          <w:sz w:val="24"/>
        </w:rPr>
      </w:pPr>
      <w:r w:rsidRPr="00BC4EE7">
        <w:rPr>
          <w:rFonts w:ascii="Times New Roman" w:hAnsi="Times New Roman" w:cs="Times New Roman"/>
          <w:b/>
          <w:noProof/>
          <w:sz w:val="24"/>
          <w:u w:val="single"/>
        </w:rPr>
        <w:t xml:space="preserve">X.1.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Vissza nem térítendő pénzügyi támogatás – a reformok és beruházások ismertetése</w:t>
      </w:r>
    </w:p>
    <w:p w14:paraId="448DF675"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Reform (C24.R1) – A művész jogállásának fejlesztése, valamint a beruházások, a kulturális szponzorálás és részvétel előmozdítása</w:t>
      </w:r>
    </w:p>
    <w:p w14:paraId="1534CA29"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 reform célja az abból eredő kihívás kezelése, hogy a meglévő munkaügyi és adóügyi szabályozások nem veszik figyelembe a kulturális ágazat sajátosságait (mint például a szabálytalan jövedelem és a munkavégzési szokások), valamint annak szükségességét, hogy az állami támogatáson túl magánforrásokat is vonzzanak. </w:t>
      </w:r>
    </w:p>
    <w:p w14:paraId="253C50B3"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reformnak megfelelő jogi, adóügyi és munkaügyi keretet kell kialakítania a kulturális ágazat számára az ágazat különböző szereplői szociális védelmének javítása, valamint a magánberuházások vonzerejének növelése érdekében. </w:t>
      </w:r>
    </w:p>
    <w:p w14:paraId="15F0B9A6"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Ez a reform jóváhagyja a művész statútumának végrehajtására vonatkozó szabályozási változtatásokat, beleértve a következő szempontokra vonatkozó szabályozási változtatásokat:  </w:t>
      </w:r>
    </w:p>
    <w:p w14:paraId="4F0EC7E1" w14:textId="77777777" w:rsidR="00D65CB4" w:rsidRPr="00BC4EE7" w:rsidRDefault="00572307">
      <w:pPr>
        <w:pStyle w:val="P68B1DB1-Normal4"/>
        <w:numPr>
          <w:ilvl w:val="0"/>
          <w:numId w:val="155"/>
        </w:numPr>
        <w:spacing w:before="120" w:after="120" w:line="240" w:lineRule="auto"/>
        <w:ind w:left="426" w:hanging="426"/>
        <w:jc w:val="both"/>
        <w:rPr>
          <w:rFonts w:cs="Times New Roman"/>
          <w:noProof/>
        </w:rPr>
      </w:pPr>
      <w:r w:rsidRPr="00BC4EE7">
        <w:rPr>
          <w:rFonts w:cs="Times New Roman"/>
          <w:noProof/>
        </w:rPr>
        <w:t>a héa és a személyi jövedelemadó megfelelősége;</w:t>
      </w:r>
    </w:p>
    <w:p w14:paraId="0516F3E2" w14:textId="77777777" w:rsidR="00D65CB4" w:rsidRPr="00BC4EE7" w:rsidRDefault="00572307">
      <w:pPr>
        <w:pStyle w:val="P68B1DB1-Normal4"/>
        <w:numPr>
          <w:ilvl w:val="0"/>
          <w:numId w:val="155"/>
        </w:numPr>
        <w:spacing w:before="120" w:after="120" w:line="240" w:lineRule="auto"/>
        <w:ind w:left="426" w:hanging="426"/>
        <w:jc w:val="both"/>
        <w:rPr>
          <w:rFonts w:cs="Times New Roman"/>
          <w:noProof/>
        </w:rPr>
      </w:pPr>
      <w:r w:rsidRPr="00BC4EE7">
        <w:rPr>
          <w:rFonts w:cs="Times New Roman"/>
          <w:noProof/>
        </w:rPr>
        <w:t xml:space="preserve">szakszervezeti reprezentativitás; </w:t>
      </w:r>
    </w:p>
    <w:p w14:paraId="5C96E337" w14:textId="77777777" w:rsidR="00D65CB4" w:rsidRPr="00BC4EE7" w:rsidRDefault="00572307">
      <w:pPr>
        <w:pStyle w:val="P68B1DB1-Normal4"/>
        <w:numPr>
          <w:ilvl w:val="0"/>
          <w:numId w:val="155"/>
        </w:numPr>
        <w:spacing w:before="120" w:after="120" w:line="240" w:lineRule="auto"/>
        <w:ind w:left="426" w:hanging="426"/>
        <w:jc w:val="both"/>
        <w:rPr>
          <w:rFonts w:cs="Times New Roman"/>
          <w:noProof/>
        </w:rPr>
      </w:pPr>
      <w:r w:rsidRPr="00BC4EE7">
        <w:rPr>
          <w:rFonts w:cs="Times New Roman"/>
          <w:noProof/>
        </w:rPr>
        <w:t xml:space="preserve">a közművészek egészségügyi és különleges foglalkoztatási viszonyai; </w:t>
      </w:r>
    </w:p>
    <w:p w14:paraId="2397A513" w14:textId="77777777" w:rsidR="00D65CB4" w:rsidRPr="00BC4EE7" w:rsidRDefault="00572307">
      <w:pPr>
        <w:pStyle w:val="P68B1DB1-Normal4"/>
        <w:numPr>
          <w:ilvl w:val="0"/>
          <w:numId w:val="155"/>
        </w:numPr>
        <w:spacing w:before="120" w:after="120" w:line="240" w:lineRule="auto"/>
        <w:ind w:left="426" w:hanging="426"/>
        <w:jc w:val="both"/>
        <w:rPr>
          <w:rFonts w:cs="Times New Roman"/>
          <w:noProof/>
        </w:rPr>
      </w:pPr>
      <w:r w:rsidRPr="00BC4EE7">
        <w:rPr>
          <w:rFonts w:cs="Times New Roman"/>
          <w:noProof/>
        </w:rPr>
        <w:t xml:space="preserve">a szponzorálás szabályozása; </w:t>
      </w:r>
    </w:p>
    <w:p w14:paraId="0BA4998E" w14:textId="77777777" w:rsidR="00D65CB4" w:rsidRPr="00BC4EE7" w:rsidRDefault="00572307">
      <w:pPr>
        <w:pStyle w:val="P68B1DB1-Normal4"/>
        <w:numPr>
          <w:ilvl w:val="0"/>
          <w:numId w:val="155"/>
        </w:numPr>
        <w:spacing w:before="120" w:after="120" w:line="240" w:lineRule="auto"/>
        <w:ind w:left="426" w:hanging="426"/>
        <w:jc w:val="both"/>
        <w:rPr>
          <w:rFonts w:cs="Times New Roman"/>
          <w:noProof/>
        </w:rPr>
      </w:pPr>
      <w:r w:rsidRPr="00BC4EE7">
        <w:rPr>
          <w:rFonts w:cs="Times New Roman"/>
          <w:noProof/>
        </w:rPr>
        <w:t xml:space="preserve">az adókedvezmények rendszere. </w:t>
      </w:r>
    </w:p>
    <w:p w14:paraId="44A39349" w14:textId="77777777" w:rsidR="00D65CB4" w:rsidRPr="00BC4EE7" w:rsidRDefault="00572307">
      <w:pPr>
        <w:pStyle w:val="P68B1DB1-Normal4"/>
        <w:spacing w:before="60" w:after="60" w:line="240" w:lineRule="auto"/>
        <w:jc w:val="both"/>
        <w:rPr>
          <w:rFonts w:cs="Times New Roman"/>
          <w:noProof/>
        </w:rPr>
      </w:pPr>
      <w:r w:rsidRPr="00BC4EE7">
        <w:rPr>
          <w:rFonts w:cs="Times New Roman"/>
          <w:noProof/>
        </w:rPr>
        <w:t>Ezeket a változtatásokat a Művész statútumával foglalkozó tárcaközi bizottság létrehozásával és jogalkotási javaslatok kidolgozásával kell végrehajtani 2021-ben, a jogi eszköz 2022. december 31-ig történő hatálybalépésével. A 2021–2023-as időszakban a kulturális ágazatba történő magánberuházásokat ösztönző intézkedéseket is végre kell hajtani.</w:t>
      </w:r>
    </w:p>
    <w:p w14:paraId="525621EC"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Az intézkedés végrehajtását 2022. december 31-ig be kell fejezni. </w:t>
      </w:r>
    </w:p>
    <w:p w14:paraId="4D6042BC" w14:textId="77777777" w:rsidR="00D65CB4" w:rsidRPr="00BC4EE7" w:rsidRDefault="00D65CB4">
      <w:pPr>
        <w:spacing w:before="60" w:after="60" w:line="240" w:lineRule="auto"/>
        <w:jc w:val="both"/>
        <w:rPr>
          <w:rFonts w:ascii="Times New Roman" w:hAnsi="Times New Roman" w:cs="Times New Roman"/>
          <w:noProof/>
          <w:sz w:val="24"/>
        </w:rPr>
      </w:pPr>
    </w:p>
    <w:p w14:paraId="00ED04A3" w14:textId="77777777" w:rsidR="00D65CB4" w:rsidRPr="00BC4EE7" w:rsidRDefault="00572307">
      <w:pPr>
        <w:pStyle w:val="P68B1DB1-Normal5"/>
        <w:keepNext/>
        <w:spacing w:before="120" w:after="120" w:line="240" w:lineRule="auto"/>
        <w:jc w:val="both"/>
        <w:rPr>
          <w:rFonts w:cs="Times New Roman"/>
          <w:noProof/>
        </w:rPr>
      </w:pPr>
      <w:r w:rsidRPr="00BC4EE7">
        <w:rPr>
          <w:rFonts w:cs="Times New Roman"/>
          <w:noProof/>
        </w:rPr>
        <w:t>Reform (C24.R2) – Terv a szerzői és szomszédos jogok megerősítésére</w:t>
      </w:r>
    </w:p>
    <w:p w14:paraId="1FD788A1" w14:textId="77777777" w:rsidR="00D65CB4" w:rsidRPr="00BC4EE7" w:rsidRDefault="00572307">
      <w:pPr>
        <w:pStyle w:val="P68B1DB1-Normal4"/>
        <w:keepNext/>
        <w:spacing w:before="120" w:after="120" w:line="240" w:lineRule="auto"/>
        <w:jc w:val="both"/>
        <w:rPr>
          <w:rFonts w:cs="Times New Roman"/>
          <w:noProof/>
        </w:rPr>
      </w:pPr>
      <w:r w:rsidRPr="00BC4EE7">
        <w:rPr>
          <w:rFonts w:cs="Times New Roman"/>
          <w:noProof/>
        </w:rPr>
        <w:t>E reform célja a szerzői jogok és más szellemitulajdon-jogok megerősítése a következő intézkedések révén:</w:t>
      </w:r>
    </w:p>
    <w:p w14:paraId="2AA150CC" w14:textId="77777777" w:rsidR="00D65CB4" w:rsidRPr="00BC4EE7" w:rsidRDefault="00572307">
      <w:pPr>
        <w:pStyle w:val="P68B1DB1-Normal4"/>
        <w:numPr>
          <w:ilvl w:val="0"/>
          <w:numId w:val="156"/>
        </w:numPr>
        <w:spacing w:before="120" w:after="120" w:line="240" w:lineRule="auto"/>
        <w:ind w:left="426" w:hanging="426"/>
        <w:jc w:val="both"/>
        <w:rPr>
          <w:rFonts w:cs="Times New Roman"/>
          <w:noProof/>
        </w:rPr>
      </w:pPr>
      <w:r w:rsidRPr="00BC4EE7">
        <w:rPr>
          <w:rFonts w:cs="Times New Roman"/>
          <w:noProof/>
        </w:rPr>
        <w:t>Az európai digitális egységes piacon a szellemitulajdon-jogokról szóló, az (EU) 2019/789 SatCab és a digitális egységes piacon a szerzői jogról szóló 2019/790 irányelvet átültető törvény elfogadása;</w:t>
      </w:r>
    </w:p>
    <w:p w14:paraId="09A56BF4" w14:textId="77777777" w:rsidR="00D65CB4" w:rsidRPr="00BC4EE7" w:rsidRDefault="00572307">
      <w:pPr>
        <w:pStyle w:val="P68B1DB1-Normal4"/>
        <w:numPr>
          <w:ilvl w:val="0"/>
          <w:numId w:val="156"/>
        </w:numPr>
        <w:spacing w:before="120" w:after="120" w:line="240" w:lineRule="auto"/>
        <w:ind w:left="426" w:hanging="426"/>
        <w:jc w:val="both"/>
        <w:rPr>
          <w:rFonts w:cs="Times New Roman"/>
          <w:noProof/>
        </w:rPr>
      </w:pPr>
      <w:r w:rsidRPr="00BC4EE7">
        <w:rPr>
          <w:rFonts w:cs="Times New Roman"/>
          <w:noProof/>
        </w:rPr>
        <w:t>A szellemi tulajdon nyilvántartásáról szóló új rendeletet jóváhagyó királyi rendelet elfogadása e szervnek az új digitális valósághoz való hozzáigazítása érdekében;</w:t>
      </w:r>
    </w:p>
    <w:p w14:paraId="2A2B3690" w14:textId="77777777" w:rsidR="00D65CB4" w:rsidRPr="00BC4EE7" w:rsidRDefault="00572307">
      <w:pPr>
        <w:pStyle w:val="P68B1DB1-Normal4"/>
        <w:numPr>
          <w:ilvl w:val="0"/>
          <w:numId w:val="156"/>
        </w:numPr>
        <w:spacing w:before="120" w:after="120" w:line="240" w:lineRule="auto"/>
        <w:ind w:left="426" w:hanging="426"/>
        <w:jc w:val="both"/>
        <w:rPr>
          <w:rFonts w:cs="Times New Roman"/>
          <w:noProof/>
        </w:rPr>
      </w:pPr>
      <w:r w:rsidRPr="00BC4EE7">
        <w:rPr>
          <w:rFonts w:cs="Times New Roman"/>
          <w:noProof/>
        </w:rPr>
        <w:t>A szellemi tulajdonnal foglalkozó bizottság II. szakasza működésének szabályozásáról szóló, 2006. december 30-i 1889/2011. sz. királyi rendeletet módosító királyi rendelet elfogadása a szellemi tulajdonnal kapcsolatos jogsértések interneten történő új formái elleni küzdelem elősegítése érdekében; és</w:t>
      </w:r>
    </w:p>
    <w:p w14:paraId="56D8F602" w14:textId="77777777" w:rsidR="00D65CB4" w:rsidRPr="00BC4EE7" w:rsidRDefault="00572307">
      <w:pPr>
        <w:pStyle w:val="P68B1DB1-Normal4"/>
        <w:numPr>
          <w:ilvl w:val="0"/>
          <w:numId w:val="156"/>
        </w:numPr>
        <w:spacing w:before="120" w:after="120" w:line="240" w:lineRule="auto"/>
        <w:ind w:left="426" w:hanging="426"/>
        <w:jc w:val="both"/>
        <w:rPr>
          <w:rFonts w:cs="Times New Roman"/>
          <w:noProof/>
        </w:rPr>
      </w:pPr>
      <w:r w:rsidRPr="00BC4EE7">
        <w:rPr>
          <w:rFonts w:cs="Times New Roman"/>
          <w:noProof/>
        </w:rPr>
        <w:t>A megfelelő normatív aktus és a spanyol szerzői jogi hivatal alapszabályának jóváhagyása.</w:t>
      </w:r>
    </w:p>
    <w:p w14:paraId="5C629C0E"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Az intézkedés végrehajtását 2023. december 31-ig be kell fejezni. </w:t>
      </w:r>
    </w:p>
    <w:p w14:paraId="4E09A7D7"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 xml:space="preserve">Beruházás (C24.I1) – A kulturális iparágak versenyképességének megerősítése </w:t>
      </w:r>
    </w:p>
    <w:p w14:paraId="6378CC61"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 beruházás célja a kulturális ágazat versenyképességével kapcsolatos kihívások kezelése a kulturális és kreatív ágazatok üzleti szerkezetének ellenálló képességének javítása, valamint digitális átállásuk elősegítése révén.</w:t>
      </w:r>
    </w:p>
    <w:p w14:paraId="2C4586F2"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 célból az e beruházás keretében végrehajtott intézkedéseket a következő három projektkategóriába sorolják:</w:t>
      </w:r>
    </w:p>
    <w:p w14:paraId="0256C65D" w14:textId="77777777" w:rsidR="00D65CB4" w:rsidRPr="00BC4EE7" w:rsidRDefault="00572307">
      <w:pPr>
        <w:pStyle w:val="P68B1DB1-Normal4"/>
        <w:numPr>
          <w:ilvl w:val="0"/>
          <w:numId w:val="157"/>
        </w:numPr>
        <w:spacing w:before="120" w:after="120" w:line="240" w:lineRule="auto"/>
        <w:ind w:left="426" w:hanging="426"/>
        <w:jc w:val="both"/>
        <w:rPr>
          <w:rFonts w:cs="Times New Roman"/>
          <w:noProof/>
        </w:rPr>
      </w:pPr>
      <w:r w:rsidRPr="00BC4EE7">
        <w:rPr>
          <w:rFonts w:cs="Times New Roman"/>
          <w:noProof/>
        </w:rPr>
        <w:t>A kulturális és kreatív ágazatok versenyképessége és professzionalizálása a következők révén: i. a kulturális szakemberek vállalkozói és pénzügyi készségeinek erősítése ösztöndíjprogram révén; az előadó- és zeneművészeti szakemberek vezetői szakképzése; valamint iii. a kulturális akcelerátorok támogatása a nagy növekedési potenciállal rendelkező kulturális projektek fejlesztéséhez;</w:t>
      </w:r>
    </w:p>
    <w:p w14:paraId="56048618" w14:textId="77777777" w:rsidR="00D65CB4" w:rsidRPr="00BC4EE7" w:rsidRDefault="00572307">
      <w:pPr>
        <w:pStyle w:val="P68B1DB1-Normal4"/>
        <w:numPr>
          <w:ilvl w:val="0"/>
          <w:numId w:val="157"/>
        </w:numPr>
        <w:spacing w:before="120" w:after="120" w:line="240" w:lineRule="auto"/>
        <w:ind w:left="426" w:hanging="426"/>
        <w:jc w:val="both"/>
        <w:rPr>
          <w:rFonts w:cs="Times New Roman"/>
          <w:noProof/>
        </w:rPr>
      </w:pPr>
      <w:r w:rsidRPr="00BC4EE7">
        <w:rPr>
          <w:rFonts w:cs="Times New Roman"/>
          <w:noProof/>
        </w:rPr>
        <w:t>A szellemi tulajdon kezelésére szolgáló rendszerek digitalizálása a következők révén: i. a szellemi tulajdonjogok kezelésével foglalkozó gazdasági szereplők digitalizálására irányuló projektek támogatása; és ii. a szellemitulajdon-jogokat kezelő közigazgatási szervek digitális átalakításának támogatása;</w:t>
      </w:r>
    </w:p>
    <w:p w14:paraId="06993C4A" w14:textId="77777777" w:rsidR="00D65CB4" w:rsidRPr="00BC4EE7" w:rsidRDefault="00572307">
      <w:pPr>
        <w:pStyle w:val="P68B1DB1-Normal4"/>
        <w:numPr>
          <w:ilvl w:val="0"/>
          <w:numId w:val="157"/>
        </w:numPr>
        <w:spacing w:before="120" w:after="120" w:line="240" w:lineRule="auto"/>
        <w:ind w:left="426" w:hanging="426"/>
        <w:jc w:val="both"/>
        <w:rPr>
          <w:rFonts w:cs="Times New Roman"/>
          <w:noProof/>
        </w:rPr>
      </w:pPr>
      <w:r w:rsidRPr="00BC4EE7">
        <w:rPr>
          <w:rFonts w:cs="Times New Roman"/>
          <w:noProof/>
        </w:rPr>
        <w:t>A kulturális és kreatív ágazatok nemzetközivé válása a következők révén: i. a könyvágazat előmozdítása és digitalizálása, ii. az előadó-művészeti és zenei ágazat irányításának korszerűsítéséhez és korszerűsítéséhez nyújtott támogatás; valamint iii. olyan intézkedések, amelyek támogatják a kulturális és kreatív vállalkozásokat és szakembereket abban, hogy növeljék jelenlétüket a nemzeti és nemzetközi piacokon.</w:t>
      </w:r>
    </w:p>
    <w:p w14:paraId="3FAA86C6" w14:textId="77777777" w:rsidR="00D65CB4" w:rsidRPr="00BC4EE7" w:rsidRDefault="00572307">
      <w:pPr>
        <w:pStyle w:val="Text1"/>
        <w:ind w:left="0"/>
        <w:rPr>
          <w:rFonts w:ascii="Times New Roman" w:hAnsi="Times New Roman" w:cs="Times New Roman"/>
          <w:noProof/>
          <w:highlight w:val="green"/>
        </w:rPr>
      </w:pPr>
      <w:r w:rsidRPr="00BC4EE7">
        <w:rPr>
          <w:rFonts w:ascii="Times New Roman" w:hAnsi="Times New Roman" w:cs="Times New Roman"/>
          <w:noProof/>
        </w:rPr>
        <w:t>Annak biztosítása érdekében, hogy az intézkedés megfeleljen a jelentős károkozás elkerülését célzó elvről szóló technikai iránymutatásnak (2021/C58/01), a soron következő pályázati felhívásokra vonatkozó feladatmeghatározásban szereplő támogathatósági kritériumok nem tartalmazzák a tevékenységek alábbi listáját: a fosszilis tüzelőanyagokkal kapcsolatos tevékenységek, beleértve a továbbfelhasználást is</w:t>
      </w:r>
      <w:r w:rsidRPr="00BC4EE7">
        <w:rPr>
          <w:rStyle w:val="FootnoteReference"/>
          <w:rFonts w:ascii="Times New Roman" w:hAnsi="Times New Roman" w:cs="Times New Roman"/>
          <w:noProof/>
        </w:rPr>
        <w:footnoteReference w:id="198"/>
      </w:r>
      <w:r w:rsidRPr="00BC4EE7">
        <w:rPr>
          <w:rFonts w:ascii="Times New Roman" w:hAnsi="Times New Roman" w:cs="Times New Roman"/>
          <w:noProof/>
        </w:rPr>
        <w:t>; ii. az uniós kibocsátáskereskedelmi rendszer (ETS) keretében végzett tevékenységek, amelyek elérik a vonatkozó referenciaértékeket meg nem haladó, előre jelzett üvegházhatásúgáz-kibocsátást</w:t>
      </w:r>
      <w:r w:rsidRPr="00BC4EE7">
        <w:rPr>
          <w:rStyle w:val="FootnoteReference"/>
          <w:rFonts w:ascii="Times New Roman" w:hAnsi="Times New Roman" w:cs="Times New Roman"/>
          <w:noProof/>
        </w:rPr>
        <w:footnoteReference w:id="199"/>
      </w:r>
      <w:r w:rsidRPr="00BC4EE7">
        <w:rPr>
          <w:rFonts w:ascii="Times New Roman" w:hAnsi="Times New Roman" w:cs="Times New Roman"/>
          <w:noProof/>
        </w:rPr>
        <w:t>; hulladéklerakókkal, hulladékégetőkkel</w:t>
      </w:r>
      <w:r w:rsidRPr="00BC4EE7">
        <w:rPr>
          <w:rStyle w:val="FootnoteReference"/>
          <w:rFonts w:ascii="Times New Roman" w:hAnsi="Times New Roman" w:cs="Times New Roman"/>
          <w:noProof/>
        </w:rPr>
        <w:footnoteReference w:id="200"/>
      </w:r>
      <w:r w:rsidRPr="00BC4EE7">
        <w:rPr>
          <w:rFonts w:ascii="Times New Roman" w:hAnsi="Times New Roman" w:cs="Times New Roman"/>
          <w:noProof/>
        </w:rPr>
        <w:t xml:space="preserve"> és mechanikai-biológiai hulladékkezelő létesítményekkel kapcsolatos tevékenységek</w:t>
      </w:r>
      <w:r w:rsidRPr="00BC4EE7">
        <w:rPr>
          <w:rStyle w:val="FootnoteReference"/>
          <w:rFonts w:ascii="Times New Roman" w:hAnsi="Times New Roman" w:cs="Times New Roman"/>
          <w:noProof/>
        </w:rPr>
        <w:footnoteReference w:id="201"/>
      </w:r>
      <w:r w:rsidRPr="00BC4EE7">
        <w:rPr>
          <w:rFonts w:ascii="Times New Roman" w:hAnsi="Times New Roman" w:cs="Times New Roman"/>
          <w:noProof/>
        </w:rPr>
        <w:t>; valamint iv. azok a tevékenységek, amelyek esetében a hulladék hosszú távú ártalmatlanítása károsíthatja a környezetet. A feladatmeghatározás előírja továbbá, hogy csak olyan tevékenységek választhatók ki, amelyek megfelelnek a vonatkozó uniós és nemzeti környezetvédelmi jogszabályoknak.</w:t>
      </w:r>
    </w:p>
    <w:p w14:paraId="0C0133FF" w14:textId="75BAD118"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beruházás végrehajtását 2026. június 30-ig be kell fejezni. </w:t>
      </w:r>
    </w:p>
    <w:p w14:paraId="25347DDA"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 xml:space="preserve">Beruházás (C24.I2) – A kultúra </w:t>
      </w:r>
      <w:bookmarkStart w:id="59" w:name="_Hlk144898113"/>
      <w:r w:rsidRPr="00BC4EE7">
        <w:rPr>
          <w:rFonts w:cs="Times New Roman"/>
          <w:noProof/>
        </w:rPr>
        <w:t xml:space="preserve">fellendítése az egész területen </w:t>
      </w:r>
      <w:bookmarkEnd w:id="59"/>
    </w:p>
    <w:p w14:paraId="69CCE138"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 beruházás célja a területi és társadalmi kohézió javítása a kultúrához való hozzáférés megkönnyítése révén, valamint a kulturális ágazat fenntarthatóságának és megszilárdításának támogatása az egész területen. Az e beruházás keretében végrehajtott egyedi intézkedések a következő négy projektkategóriába sorolhatók: </w:t>
      </w:r>
    </w:p>
    <w:p w14:paraId="73E9170E" w14:textId="77777777" w:rsidR="00D65CB4" w:rsidRPr="00BC4EE7" w:rsidRDefault="00572307">
      <w:pPr>
        <w:pStyle w:val="P68B1DB1-Normal4"/>
        <w:numPr>
          <w:ilvl w:val="0"/>
          <w:numId w:val="158"/>
        </w:numPr>
        <w:spacing w:before="120" w:after="120" w:line="240" w:lineRule="auto"/>
        <w:ind w:left="426" w:hanging="426"/>
        <w:jc w:val="both"/>
        <w:rPr>
          <w:rFonts w:cs="Times New Roman"/>
          <w:noProof/>
        </w:rPr>
      </w:pPr>
      <w:r w:rsidRPr="00BC4EE7">
        <w:rPr>
          <w:rFonts w:cs="Times New Roman"/>
          <w:noProof/>
        </w:rPr>
        <w:t>Az előadó- és zeneművészeti infrastruktúra korszerűsítésének és fenntartható kezelésének, valamint a területek közötti terjesztési csatornák előmozdításának támogatása az alábbiak révén: i. források átcsoportosítása az autonóm közösségekhez az előadóművészi és zenei infrastruktúrák korszerűsítésének és fenntartható kezelésének támogatása, valamint ii. a kulturális előadások autonóm közösségek közötti összehangolásának elősegítése érdekében;</w:t>
      </w:r>
    </w:p>
    <w:p w14:paraId="50265BA3" w14:textId="77777777" w:rsidR="00D65CB4" w:rsidRPr="00BC4EE7" w:rsidRDefault="00572307">
      <w:pPr>
        <w:pStyle w:val="P68B1DB1-Normal4"/>
        <w:numPr>
          <w:ilvl w:val="0"/>
          <w:numId w:val="158"/>
        </w:numPr>
        <w:spacing w:before="120" w:after="120" w:line="240" w:lineRule="auto"/>
        <w:ind w:left="426" w:hanging="426"/>
        <w:jc w:val="both"/>
        <w:rPr>
          <w:rFonts w:cs="Times New Roman"/>
          <w:noProof/>
        </w:rPr>
      </w:pPr>
      <w:r w:rsidRPr="00BC4EE7">
        <w:rPr>
          <w:rFonts w:cs="Times New Roman"/>
          <w:noProof/>
        </w:rPr>
        <w:t xml:space="preserve">A spanyol kulturális örökség megőrzésére, helyreállítására és fejlesztésére irányuló intézkedések, az alábbiakkal kapcsolatos intézkedések révén: i. a kulturális jelentőségűnek nyilvánított örökség azonosítása és ii. a kulturális és sportminisztérium felelősségi körébe tartozó örökség hasznosítása, különösen a madridi </w:t>
      </w:r>
      <w:r w:rsidRPr="00BC4EE7">
        <w:rPr>
          <w:rFonts w:cs="Times New Roman"/>
          <w:i/>
          <w:noProof/>
        </w:rPr>
        <w:t>Tabacalera</w:t>
      </w:r>
      <w:r w:rsidRPr="00BC4EE7">
        <w:rPr>
          <w:rFonts w:cs="Times New Roman"/>
          <w:noProof/>
        </w:rPr>
        <w:t xml:space="preserve"> épület átfogó helyreállítása révén;</w:t>
      </w:r>
    </w:p>
    <w:p w14:paraId="6A965740" w14:textId="77777777" w:rsidR="00D65CB4" w:rsidRPr="00BC4EE7" w:rsidRDefault="00572307">
      <w:pPr>
        <w:pStyle w:val="P68B1DB1-Normal4"/>
        <w:numPr>
          <w:ilvl w:val="0"/>
          <w:numId w:val="158"/>
        </w:numPr>
        <w:spacing w:before="120" w:after="120" w:line="240" w:lineRule="auto"/>
        <w:ind w:left="426" w:hanging="426"/>
        <w:jc w:val="both"/>
        <w:rPr>
          <w:rFonts w:cs="Times New Roman"/>
          <w:noProof/>
        </w:rPr>
      </w:pPr>
      <w:r w:rsidRPr="00BC4EE7">
        <w:rPr>
          <w:rFonts w:cs="Times New Roman"/>
          <w:noProof/>
        </w:rPr>
        <w:t>A könyvtárak megalapítása az alábbiak révén: i. digitális könyvekre vonatkozó licencek vásárlása és ii. papírkönyvek vásárlása; és</w:t>
      </w:r>
    </w:p>
    <w:p w14:paraId="249E26B1" w14:textId="77777777" w:rsidR="00D65CB4" w:rsidRPr="00BC4EE7" w:rsidRDefault="00572307">
      <w:pPr>
        <w:pStyle w:val="P68B1DB1-Normal4"/>
        <w:numPr>
          <w:ilvl w:val="0"/>
          <w:numId w:val="158"/>
        </w:numPr>
        <w:spacing w:before="120" w:after="120" w:line="240" w:lineRule="auto"/>
        <w:ind w:left="426" w:hanging="426"/>
        <w:jc w:val="both"/>
        <w:rPr>
          <w:rFonts w:cs="Times New Roman"/>
          <w:noProof/>
        </w:rPr>
      </w:pPr>
      <w:r w:rsidRPr="00BC4EE7">
        <w:rPr>
          <w:rFonts w:cs="Times New Roman"/>
          <w:noProof/>
        </w:rPr>
        <w:t>A kulturális kínálat bővítéséhez és diverzifikálásához nyújtott támogatás a nem városi területeken, az alábbiak révén: a kulturális innováció és a vállalkozói szellem előmozdítása a nem városi területeken; a kultúrához való egyenlő hozzáférés biztosítása; valamint iii. a természeti erőforrások felelősségteljes és fenntartható használatának előmozdítása a kultúrán keresztül.</w:t>
      </w:r>
    </w:p>
    <w:p w14:paraId="623F121D" w14:textId="77777777" w:rsidR="00D65CB4" w:rsidRPr="00BC4EE7" w:rsidRDefault="00572307">
      <w:pPr>
        <w:pStyle w:val="Text1"/>
        <w:ind w:left="0"/>
        <w:rPr>
          <w:rFonts w:ascii="Times New Roman" w:hAnsi="Times New Roman" w:cs="Times New Roman"/>
          <w:noProof/>
          <w:highlight w:val="green"/>
        </w:rPr>
      </w:pPr>
      <w:r w:rsidRPr="00BC4EE7">
        <w:rPr>
          <w:rFonts w:ascii="Times New Roman" w:hAnsi="Times New Roman" w:cs="Times New Roman"/>
          <w:noProof/>
        </w:rPr>
        <w:t>Annak biztosítása érdekében, hogy az intézkedés megfeleljen a jelentős károkozás elkerülését célzó elvről szóló technikai iránymutatásnak (2021/C58/01), a soron következő pályázati felhívásokra vonatkozó feladatmeghatározásban szereplő támogathatósági kritériumok nem tartalmazzák a tevékenységek alábbi listáját: a fosszilis tüzelőanyagokkal kapcsolatos tevékenységek, beleértve a továbbfelhasználást is</w:t>
      </w:r>
      <w:r w:rsidRPr="00BC4EE7">
        <w:rPr>
          <w:rStyle w:val="FootnoteReference"/>
          <w:rFonts w:ascii="Times New Roman" w:hAnsi="Times New Roman" w:cs="Times New Roman"/>
          <w:noProof/>
        </w:rPr>
        <w:footnoteReference w:id="202"/>
      </w:r>
      <w:r w:rsidRPr="00BC4EE7">
        <w:rPr>
          <w:rFonts w:ascii="Times New Roman" w:hAnsi="Times New Roman" w:cs="Times New Roman"/>
          <w:noProof/>
        </w:rPr>
        <w:t>; ii. az uniós kibocsátáskereskedelmi rendszer (ETS) keretében végzett tevékenységek, amelyek elérik a vonatkozó referenciaértékeket meg nem haladó, előre jelzett üvegházhatásúgáz-kibocsátást</w:t>
      </w:r>
      <w:r w:rsidRPr="00BC4EE7">
        <w:rPr>
          <w:rStyle w:val="FootnoteReference"/>
          <w:rFonts w:ascii="Times New Roman" w:hAnsi="Times New Roman" w:cs="Times New Roman"/>
          <w:noProof/>
        </w:rPr>
        <w:footnoteReference w:id="203"/>
      </w:r>
      <w:r w:rsidRPr="00BC4EE7">
        <w:rPr>
          <w:rFonts w:ascii="Times New Roman" w:hAnsi="Times New Roman" w:cs="Times New Roman"/>
          <w:noProof/>
        </w:rPr>
        <w:t>; hulladéklerakókkal, hulladékégetőkkel</w:t>
      </w:r>
      <w:r w:rsidRPr="00BC4EE7">
        <w:rPr>
          <w:rStyle w:val="FootnoteReference"/>
          <w:rFonts w:ascii="Times New Roman" w:hAnsi="Times New Roman" w:cs="Times New Roman"/>
          <w:noProof/>
        </w:rPr>
        <w:footnoteReference w:id="204"/>
      </w:r>
      <w:r w:rsidRPr="00BC4EE7">
        <w:rPr>
          <w:rFonts w:ascii="Times New Roman" w:hAnsi="Times New Roman" w:cs="Times New Roman"/>
          <w:noProof/>
        </w:rPr>
        <w:t xml:space="preserve"> és mechanikai-biológiai hulladékkezelő létesítményekkel kapcsolatos tevékenységek</w:t>
      </w:r>
      <w:r w:rsidRPr="00BC4EE7">
        <w:rPr>
          <w:rStyle w:val="FootnoteReference"/>
          <w:rFonts w:ascii="Times New Roman" w:hAnsi="Times New Roman" w:cs="Times New Roman"/>
          <w:noProof/>
        </w:rPr>
        <w:footnoteReference w:id="205"/>
      </w:r>
      <w:r w:rsidRPr="00BC4EE7">
        <w:rPr>
          <w:rFonts w:ascii="Times New Roman" w:hAnsi="Times New Roman" w:cs="Times New Roman"/>
          <w:noProof/>
        </w:rPr>
        <w:t>; valamint iv. azok a tevékenységek, amelyek esetében a hulladék hosszú távú ártalmatlanítása károsíthatja a környezetet. A feladatmeghatározás előírja továbbá, hogy csak olyan tevékenységek választhatók ki, amelyek megfelelnek a vonatkozó uniós és nemzeti környezetvédelmi jogszabályoknak.</w:t>
      </w:r>
    </w:p>
    <w:p w14:paraId="28A6DD1F" w14:textId="31B76FB0"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beruházás végrehajtását 2026. június 30-ig be kell fejezni. </w:t>
      </w:r>
    </w:p>
    <w:p w14:paraId="247DA809"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 xml:space="preserve">Beruházás (C24.I3) – A főbb kulturális szolgáltatások digitalizálása és népszerűsítése </w:t>
      </w:r>
    </w:p>
    <w:p w14:paraId="03A41679"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Ennek az intézkedésnek a célja a nagyobb kulturális intézmények digitalizálása és támogatása. Az ezen intézkedés keretében végrehajtott konkrét beruházások célja a következők támogatása:</w:t>
      </w:r>
    </w:p>
    <w:p w14:paraId="48FED215" w14:textId="77777777" w:rsidR="00D65CB4" w:rsidRPr="00BC4EE7" w:rsidRDefault="00572307">
      <w:pPr>
        <w:pStyle w:val="P68B1DB1-Normal4"/>
        <w:numPr>
          <w:ilvl w:val="0"/>
          <w:numId w:val="159"/>
        </w:numPr>
        <w:spacing w:before="120" w:after="120" w:line="240" w:lineRule="auto"/>
        <w:ind w:left="426" w:hanging="426"/>
        <w:jc w:val="both"/>
        <w:rPr>
          <w:rFonts w:cs="Times New Roman"/>
          <w:noProof/>
        </w:rPr>
      </w:pPr>
      <w:r w:rsidRPr="00BC4EE7">
        <w:rPr>
          <w:rFonts w:cs="Times New Roman"/>
          <w:noProof/>
        </w:rPr>
        <w:t xml:space="preserve">A Nemzeti Prado Múzeum képviseletében: i. hozzáférhetőségének és a városszerkezetbe való integrálásának javítása, ii. valamennyi érzékelő integrálása egyetlen ellenőrzött rendszerbe, iii. inkluzív élmény kialakítása annak érdekében, hogy a múzeum több látogató számára hozzáférhető legyen, iv. a múzeumok közötti interoperábilis digitális platform kialakítása, v. a közigazgatás digitális eszközeinek fejlesztése és vi. multimédiás tartalmak létrehozása;  </w:t>
      </w:r>
    </w:p>
    <w:p w14:paraId="72CE5D52" w14:textId="77777777" w:rsidR="00D65CB4" w:rsidRPr="00BC4EE7" w:rsidRDefault="00572307">
      <w:pPr>
        <w:pStyle w:val="P68B1DB1-Normal4"/>
        <w:numPr>
          <w:ilvl w:val="0"/>
          <w:numId w:val="159"/>
        </w:numPr>
        <w:spacing w:before="120" w:after="120" w:line="240" w:lineRule="auto"/>
        <w:ind w:left="426" w:hanging="426"/>
        <w:jc w:val="both"/>
        <w:rPr>
          <w:rFonts w:cs="Times New Roman"/>
          <w:noProof/>
        </w:rPr>
      </w:pPr>
      <w:r w:rsidRPr="00BC4EE7">
        <w:rPr>
          <w:rFonts w:cs="Times New Roman"/>
          <w:noProof/>
        </w:rPr>
        <w:t>A Centro de Arte Reina Sofia Nemzeti Múzeum ösztöndíjakat és kutatóhelyeket kínál fiatal művészek és gondolkodók számára, különös tekintettel a kulturális örökség digitalizálására irányuló intézkedések kidolgozására;</w:t>
      </w:r>
    </w:p>
    <w:p w14:paraId="71DF0FFE" w14:textId="77777777" w:rsidR="00D65CB4" w:rsidRPr="00BC4EE7" w:rsidRDefault="00572307">
      <w:pPr>
        <w:pStyle w:val="P68B1DB1-Normal4"/>
        <w:numPr>
          <w:ilvl w:val="0"/>
          <w:numId w:val="159"/>
        </w:numPr>
        <w:spacing w:before="120" w:after="120" w:line="240" w:lineRule="auto"/>
        <w:ind w:left="426" w:hanging="426"/>
        <w:jc w:val="both"/>
        <w:rPr>
          <w:rFonts w:cs="Times New Roman"/>
          <w:noProof/>
        </w:rPr>
      </w:pPr>
      <w:r w:rsidRPr="00BC4EE7">
        <w:rPr>
          <w:rFonts w:cs="Times New Roman"/>
          <w:noProof/>
        </w:rPr>
        <w:t>A spanyol nemzeti könyvtár azáltal, hogy előmozdítja digitális adatainak és gyűjteményeinek felhasználását és további felhasználását az oktatás, a kutatás, a kulturális iparágak és a technológiai fejlődés támogatása érdekében;</w:t>
      </w:r>
    </w:p>
    <w:p w14:paraId="15757132" w14:textId="77777777" w:rsidR="00D65CB4" w:rsidRPr="00BC4EE7" w:rsidRDefault="00572307">
      <w:pPr>
        <w:pStyle w:val="P68B1DB1-Normal4"/>
        <w:numPr>
          <w:ilvl w:val="0"/>
          <w:numId w:val="159"/>
        </w:numPr>
        <w:spacing w:before="120" w:after="120" w:line="240" w:lineRule="auto"/>
        <w:ind w:left="426" w:hanging="426"/>
        <w:jc w:val="both"/>
        <w:rPr>
          <w:rFonts w:cs="Times New Roman"/>
          <w:noProof/>
        </w:rPr>
      </w:pPr>
      <w:r w:rsidRPr="00BC4EE7">
        <w:rPr>
          <w:rFonts w:cs="Times New Roman"/>
          <w:noProof/>
        </w:rPr>
        <w:t>Az állami közigazgatások vagy magánszervezetek más könyvtári örökségének digitalizálására és az azokhoz való hozzáférésre vonatkozó terv azzal a céllal, hogy azokat digitális adattárakon keresztül a polgárok rendelkezésére bocsássák;</w:t>
      </w:r>
    </w:p>
    <w:p w14:paraId="5584509F" w14:textId="77777777" w:rsidR="00D65CB4" w:rsidRPr="00BC4EE7" w:rsidRDefault="00572307">
      <w:pPr>
        <w:pStyle w:val="P68B1DB1-Normal4"/>
        <w:numPr>
          <w:ilvl w:val="0"/>
          <w:numId w:val="159"/>
        </w:numPr>
        <w:spacing w:before="120" w:after="120" w:line="240" w:lineRule="auto"/>
        <w:ind w:left="426" w:hanging="426"/>
        <w:jc w:val="both"/>
        <w:rPr>
          <w:rFonts w:cs="Times New Roman"/>
          <w:noProof/>
        </w:rPr>
      </w:pPr>
      <w:r w:rsidRPr="00BC4EE7">
        <w:rPr>
          <w:rFonts w:cs="Times New Roman"/>
          <w:noProof/>
        </w:rPr>
        <w:t>Az irattári rendszerek valamennyi típusának digitalizálása, kapacitásának bővítése és interoperabilitása, valamint a történelmi örökség leltárai és nyilvántartásai, beleértve az audiovizuális örökséget is; és</w:t>
      </w:r>
    </w:p>
    <w:p w14:paraId="5015CC36" w14:textId="77777777" w:rsidR="00D65CB4" w:rsidRPr="00BC4EE7" w:rsidRDefault="00572307">
      <w:pPr>
        <w:pStyle w:val="P68B1DB1-Normal4"/>
        <w:numPr>
          <w:ilvl w:val="0"/>
          <w:numId w:val="159"/>
        </w:numPr>
        <w:spacing w:before="120" w:after="120" w:line="240" w:lineRule="auto"/>
        <w:ind w:left="426" w:hanging="426"/>
        <w:jc w:val="both"/>
        <w:rPr>
          <w:rFonts w:cs="Times New Roman"/>
          <w:noProof/>
        </w:rPr>
      </w:pPr>
      <w:r w:rsidRPr="00BC4EE7">
        <w:rPr>
          <w:rFonts w:cs="Times New Roman"/>
          <w:noProof/>
        </w:rPr>
        <w:t>Az állami irányítási eszközök korszerűsítésére és az INAEM (</w:t>
      </w:r>
      <w:r w:rsidRPr="00BC4EE7">
        <w:rPr>
          <w:rFonts w:cs="Times New Roman"/>
          <w:i/>
          <w:noProof/>
        </w:rPr>
        <w:t>Instituto Nacional de las Artes Escénicas y de la Música</w:t>
      </w:r>
      <w:r w:rsidRPr="00BC4EE7">
        <w:rPr>
          <w:rFonts w:cs="Times New Roman"/>
          <w:noProof/>
        </w:rPr>
        <w:t>) forrásainak, eszközeinek, struktúráinak és infrastruktúrájának digitalizálására és katalogizálására szolgáló integrált rendszer megvalósítására irányuló intézkedések, beleértve az olyan intézkedéseket, mint az előadói és zenei ágazatok állami támogatási rendszereinek tervezésére, kezelésére és hatásvizsgálatára szolgáló különböző fejlett eszközök bevezetése, valamint az INAEM dokumentációjának, archiválási szolgáltatásainak, valamint struktúráinak és infrastruktúrájának digitalizálására és katalogizálására szolgáló digitális integrált rendszer (INAEM DIGITAL) megvalósítása.</w:t>
      </w:r>
    </w:p>
    <w:p w14:paraId="6F481565" w14:textId="77777777" w:rsidR="00D65CB4" w:rsidRPr="00BC4EE7" w:rsidRDefault="00572307">
      <w:pPr>
        <w:pStyle w:val="Text1"/>
        <w:ind w:left="0"/>
        <w:rPr>
          <w:rFonts w:ascii="Times New Roman" w:hAnsi="Times New Roman" w:cs="Times New Roman"/>
          <w:noProof/>
          <w:highlight w:val="green"/>
        </w:rPr>
      </w:pPr>
      <w:r w:rsidRPr="00BC4EE7">
        <w:rPr>
          <w:rFonts w:ascii="Times New Roman" w:hAnsi="Times New Roman" w:cs="Times New Roman"/>
          <w:noProof/>
        </w:rPr>
        <w:t>Annak biztosítása érdekében, hogy az intézkedés megfeleljen a jelentős károkozás elkerülését célzó elvről szóló technikai iránymutatásnak (2021/C58/01), a soron következő pályázati felhívásokra vonatkozó feladatmeghatározásban szereplő támogathatósági kritériumok nem tartalmazzák a tevékenységek alábbi listáját: a fosszilis tüzelőanyagokkal kapcsolatos tevékenységek, beleértve a továbbfelhasználást is</w:t>
      </w:r>
      <w:r w:rsidRPr="00BC4EE7">
        <w:rPr>
          <w:rStyle w:val="FootnoteReference"/>
          <w:rFonts w:ascii="Times New Roman" w:hAnsi="Times New Roman" w:cs="Times New Roman"/>
          <w:noProof/>
        </w:rPr>
        <w:footnoteReference w:id="206"/>
      </w:r>
      <w:r w:rsidRPr="00BC4EE7">
        <w:rPr>
          <w:rFonts w:ascii="Times New Roman" w:hAnsi="Times New Roman" w:cs="Times New Roman"/>
          <w:noProof/>
        </w:rPr>
        <w:t>; ii. az uniós kibocsátáskereskedelmi rendszer (ETS) keretében végzett tevékenységek, amelyek elérik a vonatkozó referenciaértékeket meg nem haladó, előre jelzett üvegházhatásúgáz-kibocsátást</w:t>
      </w:r>
      <w:r w:rsidRPr="00BC4EE7">
        <w:rPr>
          <w:rStyle w:val="FootnoteReference"/>
          <w:rFonts w:ascii="Times New Roman" w:hAnsi="Times New Roman" w:cs="Times New Roman"/>
          <w:noProof/>
        </w:rPr>
        <w:footnoteReference w:id="207"/>
      </w:r>
      <w:r w:rsidRPr="00BC4EE7">
        <w:rPr>
          <w:rFonts w:ascii="Times New Roman" w:hAnsi="Times New Roman" w:cs="Times New Roman"/>
          <w:noProof/>
        </w:rPr>
        <w:t>; hulladéklerakókkal, hulladékégetőkkel</w:t>
      </w:r>
      <w:r w:rsidRPr="00BC4EE7">
        <w:rPr>
          <w:rStyle w:val="FootnoteReference"/>
          <w:rFonts w:ascii="Times New Roman" w:hAnsi="Times New Roman" w:cs="Times New Roman"/>
          <w:noProof/>
        </w:rPr>
        <w:footnoteReference w:id="208"/>
      </w:r>
      <w:r w:rsidRPr="00BC4EE7">
        <w:rPr>
          <w:rFonts w:ascii="Times New Roman" w:hAnsi="Times New Roman" w:cs="Times New Roman"/>
          <w:noProof/>
        </w:rPr>
        <w:t xml:space="preserve"> és mechanikai-biológiai hulladékkezelő létesítményekkel kapcsolatos tevékenységek</w:t>
      </w:r>
      <w:r w:rsidRPr="00BC4EE7">
        <w:rPr>
          <w:rStyle w:val="FootnoteReference"/>
          <w:rFonts w:ascii="Times New Roman" w:hAnsi="Times New Roman" w:cs="Times New Roman"/>
          <w:noProof/>
        </w:rPr>
        <w:footnoteReference w:id="209"/>
      </w:r>
      <w:r w:rsidRPr="00BC4EE7">
        <w:rPr>
          <w:rFonts w:ascii="Times New Roman" w:hAnsi="Times New Roman" w:cs="Times New Roman"/>
          <w:noProof/>
        </w:rPr>
        <w:t>; valamint iv. azok a tevékenységek, amelyek esetében a hulladék hosszú távú ártalmatlanítása károsíthatja a környezetet. A feladatmeghatározás előírja továbbá, hogy csak olyan tevékenységek választhatók ki, amelyek megfelelnek a vonatkozó uniós és nemzeti környezetvédelmi jogszabályoknak.</w:t>
      </w:r>
    </w:p>
    <w:p w14:paraId="3B69C578" w14:textId="7FE1373B"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beruházás végrehajtását 2023. december 31-ig be kell fejezni. </w:t>
      </w:r>
    </w:p>
    <w:p w14:paraId="3E211C61" w14:textId="77777777" w:rsidR="00D65CB4" w:rsidRPr="00BC4EE7" w:rsidRDefault="00572307">
      <w:pPr>
        <w:spacing w:before="120" w:after="120" w:line="240" w:lineRule="auto"/>
        <w:ind w:left="720"/>
        <w:jc w:val="both"/>
        <w:rPr>
          <w:rFonts w:ascii="Times New Roman" w:hAnsi="Times New Roman" w:cs="Times New Roman"/>
          <w:b/>
          <w:noProof/>
          <w:sz w:val="24"/>
          <w:u w:val="single"/>
        </w:rPr>
      </w:pPr>
      <w:r w:rsidRPr="00BC4EE7">
        <w:rPr>
          <w:rFonts w:ascii="Times New Roman" w:hAnsi="Times New Roman" w:cs="Times New Roman"/>
          <w:b/>
          <w:noProof/>
          <w:sz w:val="24"/>
          <w:u w:val="single"/>
        </w:rPr>
        <w:t xml:space="preserve">X.2.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Vissza nem térítendő pénzügyi támogatás – a végrehajtáshoz és a nyomon követéshez kapcsolódó mérföldkövek, célok, mutatók és ütemterv</w:t>
      </w:r>
    </w:p>
    <w:p w14:paraId="174A8B55" w14:textId="77777777" w:rsidR="00D65CB4" w:rsidRPr="00BC4EE7" w:rsidRDefault="00572307">
      <w:pPr>
        <w:pStyle w:val="P68B1DB1-Normal4"/>
        <w:spacing w:before="120" w:after="120" w:line="240" w:lineRule="auto"/>
        <w:jc w:val="both"/>
        <w:rPr>
          <w:rFonts w:cs="Times New Roman"/>
          <w:noProof/>
        </w:rPr>
      </w:pPr>
      <w:r w:rsidRPr="00BC4EE7">
        <w:rPr>
          <w:rFonts w:cs="Times New Roman"/>
          <w:i/>
          <w:noProof/>
        </w:rPr>
        <w:t>Táblázat alább.</w:t>
      </w:r>
      <w:r w:rsidRPr="00BC4EE7">
        <w:rPr>
          <w:rFonts w:cs="Times New Roman"/>
          <w:noProof/>
        </w:rPr>
        <w:t xml:space="preserve"> </w:t>
      </w:r>
      <w:r w:rsidRPr="00BC4EE7">
        <w:rPr>
          <w:rFonts w:cs="Times New Roman"/>
          <w:i/>
          <w:noProof/>
        </w:rPr>
        <w:t>Az összes mutató esetében az alapforgatókönyv időpontja 2020. február 1., kivéve, ha az intézkedés leírása ettől eltérően rendelkezik. A táblázatban szereplő összegek nem tartalmazzák a héát.</w:t>
      </w:r>
    </w:p>
    <w:p w14:paraId="21D00A68" w14:textId="77777777" w:rsidR="00D65CB4" w:rsidRPr="00BC4EE7" w:rsidRDefault="00D65CB4">
      <w:pPr>
        <w:spacing w:before="120" w:after="120" w:line="240" w:lineRule="auto"/>
        <w:jc w:val="both"/>
        <w:rPr>
          <w:rFonts w:ascii="Times New Roman" w:hAnsi="Times New Roman" w:cs="Times New Roman"/>
          <w:noProof/>
          <w:sz w:val="24"/>
        </w:rPr>
        <w:sectPr w:rsidR="00D65CB4" w:rsidRPr="00BC4EE7" w:rsidSect="00B511EF">
          <w:headerReference w:type="even" r:id="rId478"/>
          <w:headerReference w:type="default" r:id="rId479"/>
          <w:footerReference w:type="even" r:id="rId480"/>
          <w:footerReference w:type="default" r:id="rId481"/>
          <w:headerReference w:type="first" r:id="rId482"/>
          <w:footerReference w:type="first" r:id="rId483"/>
          <w:pgSz w:w="11907" w:h="16839"/>
          <w:pgMar w:top="1134" w:right="1134" w:bottom="1134" w:left="1134" w:header="567" w:footer="567" w:gutter="0"/>
          <w:cols w:space="720"/>
          <w:docGrid w:linePitch="360"/>
        </w:sectPr>
      </w:pPr>
    </w:p>
    <w:tbl>
      <w:tblPr>
        <w:tblW w:w="1548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30"/>
        <w:gridCol w:w="968"/>
        <w:gridCol w:w="929"/>
        <w:gridCol w:w="1554"/>
        <w:gridCol w:w="966"/>
        <w:gridCol w:w="691"/>
        <w:gridCol w:w="966"/>
        <w:gridCol w:w="691"/>
        <w:gridCol w:w="691"/>
        <w:gridCol w:w="553"/>
        <w:gridCol w:w="6646"/>
      </w:tblGrid>
      <w:tr w:rsidR="00D65CB4" w:rsidRPr="00BC4EE7" w14:paraId="47E093BB" w14:textId="77777777" w:rsidTr="00572307">
        <w:trPr>
          <w:trHeight w:val="309"/>
          <w:tblHeader/>
        </w:trPr>
        <w:tc>
          <w:tcPr>
            <w:tcW w:w="830" w:type="dxa"/>
            <w:tcBorders>
              <w:bottom w:val="nil"/>
            </w:tcBorders>
            <w:shd w:val="clear" w:color="auto" w:fill="C6D9F1" w:themeFill="text2" w:themeFillTint="33"/>
            <w:noWrap/>
            <w:vAlign w:val="center"/>
          </w:tcPr>
          <w:p w14:paraId="452BF90B"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Szám</w:t>
            </w:r>
          </w:p>
        </w:tc>
        <w:tc>
          <w:tcPr>
            <w:tcW w:w="968" w:type="dxa"/>
            <w:tcBorders>
              <w:bottom w:val="nil"/>
            </w:tcBorders>
            <w:shd w:val="clear" w:color="auto" w:fill="C6D9F1" w:themeFill="text2" w:themeFillTint="33"/>
            <w:noWrap/>
            <w:vAlign w:val="center"/>
          </w:tcPr>
          <w:p w14:paraId="42FDFCDA"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Intézkedés</w:t>
            </w:r>
          </w:p>
        </w:tc>
        <w:tc>
          <w:tcPr>
            <w:tcW w:w="929" w:type="dxa"/>
            <w:tcBorders>
              <w:bottom w:val="nil"/>
            </w:tcBorders>
            <w:shd w:val="clear" w:color="auto" w:fill="C6D9F1" w:themeFill="text2" w:themeFillTint="33"/>
            <w:noWrap/>
            <w:vAlign w:val="center"/>
          </w:tcPr>
          <w:p w14:paraId="24DA1994" w14:textId="77777777" w:rsidR="00D65CB4" w:rsidRPr="00BC4EE7" w:rsidRDefault="00572307">
            <w:pPr>
              <w:spacing w:after="0" w:line="240" w:lineRule="auto"/>
              <w:jc w:val="center"/>
              <w:rPr>
                <w:rFonts w:ascii="Times New Roman" w:hAnsi="Times New Roman" w:cs="Times New Roman"/>
                <w:b/>
                <w:noProof/>
                <w:sz w:val="18"/>
              </w:rPr>
            </w:pPr>
            <w:r w:rsidRPr="00BC4EE7">
              <w:rPr>
                <w:rFonts w:ascii="Times New Roman" w:hAnsi="Times New Roman" w:cs="Times New Roman"/>
                <w:b/>
                <w:noProof/>
                <w:sz w:val="18"/>
              </w:rPr>
              <w:t>Mérföldkő</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b/>
                <w:noProof/>
                <w:sz w:val="18"/>
              </w:rPr>
              <w:t xml:space="preserve"> /Cél</w:t>
            </w:r>
          </w:p>
        </w:tc>
        <w:tc>
          <w:tcPr>
            <w:tcW w:w="1554" w:type="dxa"/>
            <w:tcBorders>
              <w:bottom w:val="nil"/>
            </w:tcBorders>
            <w:shd w:val="clear" w:color="auto" w:fill="C6D9F1" w:themeFill="text2" w:themeFillTint="33"/>
            <w:noWrap/>
            <w:vAlign w:val="center"/>
          </w:tcPr>
          <w:p w14:paraId="5E140932"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Név</w:t>
            </w:r>
          </w:p>
        </w:tc>
        <w:tc>
          <w:tcPr>
            <w:tcW w:w="966" w:type="dxa"/>
            <w:tcBorders>
              <w:bottom w:val="nil"/>
            </w:tcBorders>
            <w:shd w:val="clear" w:color="auto" w:fill="C6D9F1" w:themeFill="text2" w:themeFillTint="33"/>
            <w:noWrap/>
            <w:vAlign w:val="center"/>
          </w:tcPr>
          <w:p w14:paraId="41B1B97A"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mérföldkövek minőségi mutatója</w:t>
            </w:r>
          </w:p>
        </w:tc>
        <w:tc>
          <w:tcPr>
            <w:tcW w:w="2348" w:type="dxa"/>
            <w:gridSpan w:val="3"/>
            <w:shd w:val="clear" w:color="auto" w:fill="C6D9F1" w:themeFill="text2" w:themeFillTint="33"/>
            <w:noWrap/>
            <w:vAlign w:val="center"/>
          </w:tcPr>
          <w:p w14:paraId="5A254FE4"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célérték mennyiségi mutatója</w:t>
            </w:r>
          </w:p>
        </w:tc>
        <w:tc>
          <w:tcPr>
            <w:tcW w:w="1244" w:type="dxa"/>
            <w:gridSpan w:val="2"/>
            <w:shd w:val="clear" w:color="auto" w:fill="C6D9F1" w:themeFill="text2" w:themeFillTint="33"/>
            <w:noWrap/>
            <w:vAlign w:val="center"/>
          </w:tcPr>
          <w:p w14:paraId="6476BE1C"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Idő</w:t>
            </w:r>
          </w:p>
        </w:tc>
        <w:tc>
          <w:tcPr>
            <w:tcW w:w="6646" w:type="dxa"/>
            <w:tcBorders>
              <w:bottom w:val="nil"/>
            </w:tcBorders>
            <w:shd w:val="clear" w:color="auto" w:fill="C6D9F1" w:themeFill="text2" w:themeFillTint="33"/>
            <w:noWrap/>
            <w:vAlign w:val="center"/>
          </w:tcPr>
          <w:p w14:paraId="3A6821AC"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Az egyes mérföldkövek és célértékek leírása</w:t>
            </w:r>
          </w:p>
        </w:tc>
      </w:tr>
      <w:tr w:rsidR="00D65CB4" w:rsidRPr="00BC4EE7" w14:paraId="7B4E4ABA" w14:textId="77777777" w:rsidTr="00572307">
        <w:trPr>
          <w:trHeight w:val="309"/>
          <w:tblHeader/>
        </w:trPr>
        <w:tc>
          <w:tcPr>
            <w:tcW w:w="830" w:type="dxa"/>
            <w:tcBorders>
              <w:top w:val="nil"/>
            </w:tcBorders>
            <w:shd w:val="clear" w:color="auto" w:fill="C6D9F1" w:themeFill="text2" w:themeFillTint="33"/>
            <w:noWrap/>
          </w:tcPr>
          <w:p w14:paraId="0D905B62" w14:textId="77777777" w:rsidR="00D65CB4" w:rsidRPr="00BC4EE7" w:rsidRDefault="00D65CB4">
            <w:pPr>
              <w:spacing w:after="0" w:line="240" w:lineRule="auto"/>
              <w:jc w:val="center"/>
              <w:rPr>
                <w:rFonts w:ascii="Times New Roman" w:hAnsi="Times New Roman" w:cs="Times New Roman"/>
                <w:b/>
                <w:noProof/>
                <w:sz w:val="18"/>
              </w:rPr>
            </w:pPr>
          </w:p>
        </w:tc>
        <w:tc>
          <w:tcPr>
            <w:tcW w:w="968" w:type="dxa"/>
            <w:tcBorders>
              <w:top w:val="nil"/>
            </w:tcBorders>
            <w:shd w:val="clear" w:color="auto" w:fill="C6D9F1" w:themeFill="text2" w:themeFillTint="33"/>
            <w:noWrap/>
          </w:tcPr>
          <w:p w14:paraId="760E6809" w14:textId="77777777" w:rsidR="00D65CB4" w:rsidRPr="00BC4EE7" w:rsidRDefault="00D65CB4">
            <w:pPr>
              <w:spacing w:after="0" w:line="240" w:lineRule="auto"/>
              <w:jc w:val="center"/>
              <w:rPr>
                <w:rFonts w:ascii="Times New Roman" w:hAnsi="Times New Roman" w:cs="Times New Roman"/>
                <w:b/>
                <w:noProof/>
                <w:sz w:val="18"/>
              </w:rPr>
            </w:pPr>
          </w:p>
        </w:tc>
        <w:tc>
          <w:tcPr>
            <w:tcW w:w="929" w:type="dxa"/>
            <w:tcBorders>
              <w:top w:val="nil"/>
            </w:tcBorders>
            <w:shd w:val="clear" w:color="auto" w:fill="C6D9F1" w:themeFill="text2" w:themeFillTint="33"/>
            <w:noWrap/>
          </w:tcPr>
          <w:p w14:paraId="21BA0C45" w14:textId="77777777" w:rsidR="00D65CB4" w:rsidRPr="00BC4EE7" w:rsidRDefault="00D65CB4">
            <w:pPr>
              <w:spacing w:after="0" w:line="240" w:lineRule="auto"/>
              <w:jc w:val="center"/>
              <w:rPr>
                <w:rFonts w:ascii="Times New Roman" w:hAnsi="Times New Roman" w:cs="Times New Roman"/>
                <w:b/>
                <w:noProof/>
                <w:sz w:val="18"/>
              </w:rPr>
            </w:pPr>
          </w:p>
        </w:tc>
        <w:tc>
          <w:tcPr>
            <w:tcW w:w="1554" w:type="dxa"/>
            <w:tcBorders>
              <w:top w:val="nil"/>
            </w:tcBorders>
            <w:shd w:val="clear" w:color="auto" w:fill="C6D9F1" w:themeFill="text2" w:themeFillTint="33"/>
            <w:noWrap/>
          </w:tcPr>
          <w:p w14:paraId="7975753A" w14:textId="77777777" w:rsidR="00D65CB4" w:rsidRPr="00BC4EE7" w:rsidRDefault="00D65CB4">
            <w:pPr>
              <w:spacing w:after="0" w:line="240" w:lineRule="auto"/>
              <w:rPr>
                <w:rFonts w:ascii="Times New Roman" w:hAnsi="Times New Roman" w:cs="Times New Roman"/>
                <w:b/>
                <w:noProof/>
                <w:sz w:val="18"/>
              </w:rPr>
            </w:pPr>
          </w:p>
        </w:tc>
        <w:tc>
          <w:tcPr>
            <w:tcW w:w="966" w:type="dxa"/>
            <w:tcBorders>
              <w:top w:val="nil"/>
            </w:tcBorders>
            <w:shd w:val="clear" w:color="auto" w:fill="C6D9F1" w:themeFill="text2" w:themeFillTint="33"/>
            <w:noWrap/>
          </w:tcPr>
          <w:p w14:paraId="2A1F1AD2" w14:textId="77777777" w:rsidR="00D65CB4" w:rsidRPr="00BC4EE7" w:rsidRDefault="00D65CB4">
            <w:pPr>
              <w:spacing w:after="0" w:line="240" w:lineRule="auto"/>
              <w:jc w:val="center"/>
              <w:rPr>
                <w:rFonts w:ascii="Times New Roman" w:hAnsi="Times New Roman" w:cs="Times New Roman"/>
                <w:b/>
                <w:noProof/>
                <w:sz w:val="18"/>
              </w:rPr>
            </w:pPr>
          </w:p>
        </w:tc>
        <w:tc>
          <w:tcPr>
            <w:tcW w:w="691" w:type="dxa"/>
            <w:shd w:val="clear" w:color="auto" w:fill="C6D9F1" w:themeFill="text2" w:themeFillTint="33"/>
            <w:noWrap/>
            <w:vAlign w:val="center"/>
          </w:tcPr>
          <w:p w14:paraId="0654C1BC"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Egység</w:t>
            </w:r>
          </w:p>
        </w:tc>
        <w:tc>
          <w:tcPr>
            <w:tcW w:w="966" w:type="dxa"/>
            <w:shd w:val="clear" w:color="auto" w:fill="C6D9F1" w:themeFill="text2" w:themeFillTint="33"/>
            <w:noWrap/>
            <w:vAlign w:val="center"/>
          </w:tcPr>
          <w:p w14:paraId="7C98FBCC" w14:textId="1816274F" w:rsidR="00D65CB4" w:rsidRPr="00BC4EE7" w:rsidRDefault="00572307">
            <w:pPr>
              <w:pStyle w:val="P68B1DB1-Normal8"/>
              <w:spacing w:after="0" w:line="240" w:lineRule="auto"/>
              <w:jc w:val="center"/>
              <w:rPr>
                <w:rFonts w:cs="Times New Roman"/>
                <w:noProof/>
              </w:rPr>
            </w:pPr>
            <w:r w:rsidRPr="00BC4EE7">
              <w:rPr>
                <w:rFonts w:cs="Times New Roman"/>
                <w:noProof/>
              </w:rPr>
              <w:t>Kiindulási</w:t>
            </w:r>
          </w:p>
        </w:tc>
        <w:tc>
          <w:tcPr>
            <w:tcW w:w="691" w:type="dxa"/>
            <w:shd w:val="clear" w:color="auto" w:fill="C6D9F1" w:themeFill="text2" w:themeFillTint="33"/>
            <w:noWrap/>
            <w:vAlign w:val="center"/>
          </w:tcPr>
          <w:p w14:paraId="1400AB49"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Cél</w:t>
            </w:r>
          </w:p>
        </w:tc>
        <w:tc>
          <w:tcPr>
            <w:tcW w:w="691" w:type="dxa"/>
            <w:shd w:val="clear" w:color="auto" w:fill="C6D9F1" w:themeFill="text2" w:themeFillTint="33"/>
            <w:noWrap/>
            <w:vAlign w:val="center"/>
          </w:tcPr>
          <w:p w14:paraId="78B7D1D4"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Q</w:t>
            </w:r>
          </w:p>
        </w:tc>
        <w:tc>
          <w:tcPr>
            <w:tcW w:w="553" w:type="dxa"/>
            <w:shd w:val="clear" w:color="auto" w:fill="C6D9F1" w:themeFill="text2" w:themeFillTint="33"/>
            <w:noWrap/>
            <w:vAlign w:val="center"/>
          </w:tcPr>
          <w:p w14:paraId="3EF9A8B4"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Éve</w:t>
            </w:r>
          </w:p>
        </w:tc>
        <w:tc>
          <w:tcPr>
            <w:tcW w:w="6646" w:type="dxa"/>
            <w:tcBorders>
              <w:top w:val="nil"/>
            </w:tcBorders>
            <w:shd w:val="clear" w:color="auto" w:fill="C6D9F1" w:themeFill="text2" w:themeFillTint="33"/>
            <w:noWrap/>
          </w:tcPr>
          <w:p w14:paraId="0AC9D072" w14:textId="77777777" w:rsidR="00D65CB4" w:rsidRPr="00BC4EE7" w:rsidRDefault="00D65CB4">
            <w:pPr>
              <w:spacing w:after="0" w:line="240" w:lineRule="auto"/>
              <w:rPr>
                <w:rFonts w:ascii="Times New Roman" w:hAnsi="Times New Roman" w:cs="Times New Roman"/>
                <w:b/>
                <w:noProof/>
                <w:sz w:val="18"/>
              </w:rPr>
            </w:pPr>
          </w:p>
        </w:tc>
      </w:tr>
      <w:tr w:rsidR="00D65CB4" w:rsidRPr="00BC4EE7" w14:paraId="5984E482" w14:textId="77777777" w:rsidTr="00572307">
        <w:trPr>
          <w:trHeight w:val="309"/>
        </w:trPr>
        <w:tc>
          <w:tcPr>
            <w:tcW w:w="830" w:type="dxa"/>
            <w:shd w:val="clear" w:color="auto" w:fill="C6EFCE"/>
            <w:noWrap/>
          </w:tcPr>
          <w:p w14:paraId="0595ACF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352</w:t>
            </w:r>
          </w:p>
        </w:tc>
        <w:tc>
          <w:tcPr>
            <w:tcW w:w="968" w:type="dxa"/>
            <w:shd w:val="clear" w:color="auto" w:fill="C6EFCE"/>
            <w:noWrap/>
          </w:tcPr>
          <w:p w14:paraId="5A187EA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C24.R1</w:t>
            </w:r>
          </w:p>
        </w:tc>
        <w:tc>
          <w:tcPr>
            <w:tcW w:w="929" w:type="dxa"/>
            <w:shd w:val="clear" w:color="auto" w:fill="C6EFCE"/>
            <w:noWrap/>
          </w:tcPr>
          <w:p w14:paraId="78BEC19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1554" w:type="dxa"/>
            <w:shd w:val="clear" w:color="auto" w:fill="C6EFCE"/>
            <w:noWrap/>
          </w:tcPr>
          <w:p w14:paraId="491605FD"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művész alapszabályának, szponzorálásának és az adókedvezmények rendszerének hatálybalépése.</w:t>
            </w:r>
          </w:p>
        </w:tc>
        <w:tc>
          <w:tcPr>
            <w:tcW w:w="966" w:type="dxa"/>
            <w:shd w:val="clear" w:color="auto" w:fill="C6EFCE"/>
            <w:noWrap/>
          </w:tcPr>
          <w:p w14:paraId="6CF09B0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A hatálybalépésről szóló rendelet rendelkezései</w:t>
            </w:r>
          </w:p>
        </w:tc>
        <w:tc>
          <w:tcPr>
            <w:tcW w:w="691" w:type="dxa"/>
            <w:shd w:val="clear" w:color="auto" w:fill="C6EFCE"/>
            <w:noWrap/>
          </w:tcPr>
          <w:p w14:paraId="6578D08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66" w:type="dxa"/>
            <w:shd w:val="clear" w:color="auto" w:fill="C6EFCE"/>
            <w:noWrap/>
          </w:tcPr>
          <w:p w14:paraId="66E5D696"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691" w:type="dxa"/>
            <w:shd w:val="clear" w:color="auto" w:fill="C6EFCE"/>
            <w:noWrap/>
          </w:tcPr>
          <w:p w14:paraId="1A663420"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691" w:type="dxa"/>
            <w:shd w:val="clear" w:color="auto" w:fill="C6EFCE"/>
            <w:noWrap/>
          </w:tcPr>
          <w:p w14:paraId="5DEA7E3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53" w:type="dxa"/>
            <w:shd w:val="clear" w:color="auto" w:fill="C6EFCE"/>
            <w:noWrap/>
          </w:tcPr>
          <w:p w14:paraId="07F93F4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2022</w:t>
            </w:r>
          </w:p>
        </w:tc>
        <w:tc>
          <w:tcPr>
            <w:tcW w:w="6646" w:type="dxa"/>
            <w:shd w:val="clear" w:color="auto" w:fill="C6EFCE"/>
            <w:noWrap/>
          </w:tcPr>
          <w:p w14:paraId="7FFE4AB4"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művészek statútumának végrehajtására vonatkozó szabályozási változások hatálybalépése és az alábbi szempontok szabályozása a művészek munkakörülményeinek javítása érdekében: a héa megfelelősége; személyi jövedelemadó; a közművészek szakszervezeti reprezentativitása, egészségügyi és különleges munkaviszonya; a szponzorálás jobb szabályozása és az adókedvezmények rendszere.</w:t>
            </w:r>
          </w:p>
        </w:tc>
      </w:tr>
      <w:tr w:rsidR="00D65CB4" w:rsidRPr="00BC4EE7" w14:paraId="7E3571B0" w14:textId="77777777" w:rsidTr="00572307">
        <w:trPr>
          <w:trHeight w:val="309"/>
        </w:trPr>
        <w:tc>
          <w:tcPr>
            <w:tcW w:w="830" w:type="dxa"/>
            <w:shd w:val="clear" w:color="auto" w:fill="C6EFCE"/>
            <w:noWrap/>
          </w:tcPr>
          <w:p w14:paraId="5A3F38A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353</w:t>
            </w:r>
          </w:p>
        </w:tc>
        <w:tc>
          <w:tcPr>
            <w:tcW w:w="968" w:type="dxa"/>
            <w:shd w:val="clear" w:color="auto" w:fill="C6EFCE"/>
            <w:noWrap/>
          </w:tcPr>
          <w:p w14:paraId="466D27F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C24.R2</w:t>
            </w:r>
          </w:p>
        </w:tc>
        <w:tc>
          <w:tcPr>
            <w:tcW w:w="929" w:type="dxa"/>
            <w:shd w:val="clear" w:color="auto" w:fill="C6EFCE"/>
            <w:noWrap/>
          </w:tcPr>
          <w:p w14:paraId="64A2617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1554" w:type="dxa"/>
            <w:shd w:val="clear" w:color="auto" w:fill="C6EFCE"/>
            <w:noWrap/>
          </w:tcPr>
          <w:p w14:paraId="44827B1C"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szerzői és szomszédos jogok megerősítését célzó jogalkotási és szabályozási intézkedések hatálybalépése</w:t>
            </w:r>
          </w:p>
        </w:tc>
        <w:tc>
          <w:tcPr>
            <w:tcW w:w="966" w:type="dxa"/>
            <w:shd w:val="clear" w:color="auto" w:fill="C6EFCE"/>
            <w:noWrap/>
          </w:tcPr>
          <w:p w14:paraId="5CB9A954"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A hatálybalépésről szóló jogi aktusok rendelkezései</w:t>
            </w:r>
          </w:p>
        </w:tc>
        <w:tc>
          <w:tcPr>
            <w:tcW w:w="691" w:type="dxa"/>
            <w:shd w:val="clear" w:color="auto" w:fill="C6EFCE"/>
            <w:noWrap/>
          </w:tcPr>
          <w:p w14:paraId="59A1D24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66" w:type="dxa"/>
            <w:shd w:val="clear" w:color="auto" w:fill="C6EFCE"/>
            <w:noWrap/>
          </w:tcPr>
          <w:p w14:paraId="300CFB09"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691" w:type="dxa"/>
            <w:shd w:val="clear" w:color="auto" w:fill="C6EFCE"/>
            <w:noWrap/>
          </w:tcPr>
          <w:p w14:paraId="7D074ACD"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691" w:type="dxa"/>
            <w:shd w:val="clear" w:color="auto" w:fill="C6EFCE"/>
            <w:noWrap/>
          </w:tcPr>
          <w:p w14:paraId="1BCDA61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53" w:type="dxa"/>
            <w:shd w:val="clear" w:color="auto" w:fill="C6EFCE"/>
            <w:noWrap/>
          </w:tcPr>
          <w:p w14:paraId="3B689CF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2023</w:t>
            </w:r>
          </w:p>
        </w:tc>
        <w:tc>
          <w:tcPr>
            <w:tcW w:w="6646" w:type="dxa"/>
            <w:shd w:val="clear" w:color="auto" w:fill="C6EFCE"/>
            <w:noWrap/>
          </w:tcPr>
          <w:p w14:paraId="375976F5"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Az európai digitális egységes piacon a szellemitulajdon-jogokról szóló törvény elfogadása a 2019/789 SatCab és az (EU) 2019/790 irányelv teljes körű átültetésével; A szellemi tulajdon nyilvántartásáról szóló rendeletet jóváhagyó királyi rendelet; A szellemi tulajdonnal foglalkozó bizottság működésének szabályozásáról szóló, 2006. december 30-i 1889/2011. sz. királyi rendeletet módosító királyi rendelet; és 4) A megfelelő normatív aktus és a spanyol szerzői jogi hivatal alapszabályának jóváhagyása</w:t>
            </w:r>
          </w:p>
        </w:tc>
      </w:tr>
      <w:tr w:rsidR="00D65CB4" w:rsidRPr="00BC4EE7" w14:paraId="6ECFC41B" w14:textId="77777777" w:rsidTr="00572307">
        <w:trPr>
          <w:trHeight w:val="309"/>
        </w:trPr>
        <w:tc>
          <w:tcPr>
            <w:tcW w:w="830" w:type="dxa"/>
            <w:shd w:val="clear" w:color="auto" w:fill="C6EFCE"/>
            <w:noWrap/>
          </w:tcPr>
          <w:p w14:paraId="6357613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354</w:t>
            </w:r>
          </w:p>
        </w:tc>
        <w:tc>
          <w:tcPr>
            <w:tcW w:w="968" w:type="dxa"/>
            <w:shd w:val="clear" w:color="auto" w:fill="C6EFCE"/>
            <w:noWrap/>
          </w:tcPr>
          <w:p w14:paraId="2A39C45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C24.I1</w:t>
            </w:r>
          </w:p>
        </w:tc>
        <w:tc>
          <w:tcPr>
            <w:tcW w:w="929" w:type="dxa"/>
            <w:shd w:val="clear" w:color="auto" w:fill="C6EFCE"/>
            <w:noWrap/>
          </w:tcPr>
          <w:p w14:paraId="052D0D8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1554" w:type="dxa"/>
            <w:shd w:val="clear" w:color="auto" w:fill="C6EFCE"/>
            <w:noWrap/>
          </w:tcPr>
          <w:p w14:paraId="2C6CAD11" w14:textId="77777777" w:rsidR="00D65CB4" w:rsidRPr="00BC4EE7" w:rsidRDefault="00572307">
            <w:pPr>
              <w:pStyle w:val="P68B1DB1-Normal12"/>
              <w:spacing w:after="0" w:line="240" w:lineRule="auto"/>
              <w:rPr>
                <w:rFonts w:cs="Times New Roman"/>
                <w:noProof/>
              </w:rPr>
            </w:pPr>
            <w:r w:rsidRPr="00BC4EE7">
              <w:rPr>
                <w:rFonts w:cs="Times New Roman"/>
                <w:noProof/>
              </w:rPr>
              <w:t xml:space="preserve">A kulturális iparágak versenyképességének erősítése </w:t>
            </w:r>
          </w:p>
        </w:tc>
        <w:tc>
          <w:tcPr>
            <w:tcW w:w="966" w:type="dxa"/>
            <w:shd w:val="clear" w:color="auto" w:fill="C6EFCE"/>
            <w:noWrap/>
          </w:tcPr>
          <w:p w14:paraId="6038216B"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691" w:type="dxa"/>
            <w:shd w:val="clear" w:color="auto" w:fill="C6EFCE"/>
            <w:noWrap/>
          </w:tcPr>
          <w:p w14:paraId="6466E13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Szám</w:t>
            </w:r>
          </w:p>
        </w:tc>
        <w:tc>
          <w:tcPr>
            <w:tcW w:w="966" w:type="dxa"/>
            <w:shd w:val="clear" w:color="auto" w:fill="C6EFCE"/>
            <w:noWrap/>
          </w:tcPr>
          <w:p w14:paraId="59DA9834"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0</w:t>
            </w:r>
          </w:p>
        </w:tc>
        <w:tc>
          <w:tcPr>
            <w:tcW w:w="691" w:type="dxa"/>
            <w:shd w:val="clear" w:color="auto" w:fill="C6EFCE"/>
            <w:noWrap/>
          </w:tcPr>
          <w:p w14:paraId="320DD696"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1 216</w:t>
            </w:r>
          </w:p>
        </w:tc>
        <w:tc>
          <w:tcPr>
            <w:tcW w:w="691" w:type="dxa"/>
            <w:shd w:val="clear" w:color="auto" w:fill="C6EFCE"/>
            <w:noWrap/>
          </w:tcPr>
          <w:p w14:paraId="57EE0E3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53" w:type="dxa"/>
            <w:shd w:val="clear" w:color="auto" w:fill="C6EFCE"/>
            <w:noWrap/>
          </w:tcPr>
          <w:p w14:paraId="62A3FFA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2023</w:t>
            </w:r>
          </w:p>
        </w:tc>
        <w:tc>
          <w:tcPr>
            <w:tcW w:w="6646" w:type="dxa"/>
            <w:shd w:val="clear" w:color="auto" w:fill="C6EFCE"/>
            <w:noWrap/>
          </w:tcPr>
          <w:p w14:paraId="4893F2A0" w14:textId="77777777" w:rsidR="00D65CB4" w:rsidRPr="00BC4EE7" w:rsidRDefault="00572307">
            <w:pPr>
              <w:spacing w:after="0" w:line="240" w:lineRule="auto"/>
              <w:rPr>
                <w:rFonts w:ascii="Times New Roman" w:eastAsia="Times New Roman" w:hAnsi="Times New Roman" w:cs="Times New Roman"/>
                <w:noProof/>
                <w:sz w:val="18"/>
              </w:rPr>
            </w:pPr>
            <w:r w:rsidRPr="00BC4EE7">
              <w:rPr>
                <w:rFonts w:ascii="Times New Roman" w:hAnsi="Times New Roman" w:cs="Times New Roman"/>
                <w:noProof/>
                <w:sz w:val="18"/>
              </w:rPr>
              <w:t xml:space="preserve">A támogatási rendszerből finanszírozásban részesülő szervezetek és projektek száma a következők tekintetében: </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 kulturális és kreatív ágazatok szakembereinek vállalkozói és pénzügyi készségei (legalább 900 szervezet);</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a digitalizáció tervezése és a digitális transzformáció megvitatására létrehozott eszközök (legalább 16 projekt);</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a kulturális és kreatív ágazatok nemzetközivé válása (legalább 300 szervezet).</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 projekteknek a kizárási lista, valamint a vonatkozó uniós és nemzeti környezetvédelmi jogszabályoknak való megfelelés követelménye révén meg kell felelniük a jelentős károkozás elkerülését célzó technikai iránymutatásnak (2021/C58/01).</w:t>
            </w:r>
          </w:p>
        </w:tc>
      </w:tr>
      <w:tr w:rsidR="00D65CB4" w:rsidRPr="00BC4EE7" w14:paraId="3BF070AF" w14:textId="77777777" w:rsidTr="00572307">
        <w:trPr>
          <w:trHeight w:val="309"/>
        </w:trPr>
        <w:tc>
          <w:tcPr>
            <w:tcW w:w="830" w:type="dxa"/>
            <w:shd w:val="clear" w:color="auto" w:fill="C6EFCE"/>
            <w:noWrap/>
          </w:tcPr>
          <w:p w14:paraId="4BFC32D5" w14:textId="5211CAC5" w:rsidR="00D65CB4" w:rsidRPr="00BC4EE7" w:rsidRDefault="00572307">
            <w:pPr>
              <w:pStyle w:val="P68B1DB1-Normal12"/>
              <w:spacing w:after="0" w:line="240" w:lineRule="auto"/>
              <w:jc w:val="center"/>
              <w:rPr>
                <w:rFonts w:cs="Times New Roman"/>
                <w:noProof/>
              </w:rPr>
            </w:pPr>
            <w:r w:rsidRPr="00BC4EE7">
              <w:rPr>
                <w:rFonts w:cs="Times New Roman"/>
                <w:noProof/>
              </w:rPr>
              <w:t>475</w:t>
            </w:r>
          </w:p>
        </w:tc>
        <w:tc>
          <w:tcPr>
            <w:tcW w:w="968" w:type="dxa"/>
            <w:shd w:val="clear" w:color="auto" w:fill="C6EFCE"/>
            <w:noWrap/>
          </w:tcPr>
          <w:p w14:paraId="2536F61D" w14:textId="0F9CC23C" w:rsidR="00D65CB4" w:rsidRPr="00BC4EE7" w:rsidRDefault="00572307">
            <w:pPr>
              <w:pStyle w:val="P68B1DB1-Normal12"/>
              <w:spacing w:after="0" w:line="240" w:lineRule="auto"/>
              <w:jc w:val="center"/>
              <w:rPr>
                <w:rFonts w:cs="Times New Roman"/>
                <w:noProof/>
              </w:rPr>
            </w:pPr>
            <w:r w:rsidRPr="00BC4EE7">
              <w:rPr>
                <w:rFonts w:cs="Times New Roman"/>
                <w:noProof/>
              </w:rPr>
              <w:t>C24.I1</w:t>
            </w:r>
          </w:p>
        </w:tc>
        <w:tc>
          <w:tcPr>
            <w:tcW w:w="929" w:type="dxa"/>
            <w:shd w:val="clear" w:color="auto" w:fill="C6EFCE"/>
            <w:noWrap/>
          </w:tcPr>
          <w:p w14:paraId="488C7D1E" w14:textId="0BD42309"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1554" w:type="dxa"/>
            <w:shd w:val="clear" w:color="auto" w:fill="C6EFCE"/>
            <w:noWrap/>
          </w:tcPr>
          <w:p w14:paraId="50A8C5C8" w14:textId="31CADCD5" w:rsidR="00D65CB4" w:rsidRPr="00BC4EE7" w:rsidRDefault="00572307">
            <w:pPr>
              <w:pStyle w:val="P68B1DB1-Normal12"/>
              <w:spacing w:after="0" w:line="240" w:lineRule="auto"/>
              <w:rPr>
                <w:rFonts w:cs="Times New Roman"/>
                <w:noProof/>
              </w:rPr>
            </w:pPr>
            <w:r w:rsidRPr="00BC4EE7">
              <w:rPr>
                <w:rFonts w:cs="Times New Roman"/>
                <w:noProof/>
              </w:rPr>
              <w:t>A kulturális iparágak versenyképességének erősítését célzó kezdeményezések és projektek lezárása</w:t>
            </w:r>
          </w:p>
        </w:tc>
        <w:tc>
          <w:tcPr>
            <w:tcW w:w="966" w:type="dxa"/>
            <w:shd w:val="clear" w:color="auto" w:fill="C6EFCE"/>
            <w:noWrap/>
          </w:tcPr>
          <w:p w14:paraId="75B87A58" w14:textId="77777777" w:rsidR="00D65CB4" w:rsidRPr="00BC4EE7" w:rsidRDefault="00D65CB4">
            <w:pPr>
              <w:spacing w:after="0" w:line="240" w:lineRule="auto"/>
              <w:jc w:val="center"/>
              <w:rPr>
                <w:rFonts w:ascii="Times New Roman" w:hAnsi="Times New Roman" w:cs="Times New Roman"/>
                <w:noProof/>
                <w:sz w:val="18"/>
              </w:rPr>
            </w:pPr>
          </w:p>
        </w:tc>
        <w:tc>
          <w:tcPr>
            <w:tcW w:w="691" w:type="dxa"/>
            <w:shd w:val="clear" w:color="auto" w:fill="C6EFCE"/>
            <w:noWrap/>
          </w:tcPr>
          <w:p w14:paraId="413A895D" w14:textId="0855B4DE" w:rsidR="00D65CB4" w:rsidRPr="00BC4EE7" w:rsidRDefault="00572307">
            <w:pPr>
              <w:pStyle w:val="P68B1DB1-Normal12"/>
              <w:spacing w:after="0" w:line="240" w:lineRule="auto"/>
              <w:jc w:val="center"/>
              <w:rPr>
                <w:rFonts w:cs="Times New Roman"/>
                <w:noProof/>
              </w:rPr>
            </w:pPr>
            <w:r w:rsidRPr="00BC4EE7">
              <w:rPr>
                <w:rFonts w:cs="Times New Roman"/>
                <w:noProof/>
              </w:rPr>
              <w:t>Szám</w:t>
            </w:r>
          </w:p>
        </w:tc>
        <w:tc>
          <w:tcPr>
            <w:tcW w:w="966" w:type="dxa"/>
            <w:shd w:val="clear" w:color="auto" w:fill="C6EFCE"/>
            <w:noWrap/>
          </w:tcPr>
          <w:p w14:paraId="7DB49750" w14:textId="5B084DA9" w:rsidR="00D65CB4" w:rsidRPr="00BC4EE7" w:rsidRDefault="00572307">
            <w:pPr>
              <w:pStyle w:val="P68B1DB1-Normal12"/>
              <w:spacing w:after="0" w:line="240" w:lineRule="auto"/>
              <w:jc w:val="right"/>
              <w:rPr>
                <w:rFonts w:cs="Times New Roman"/>
                <w:noProof/>
              </w:rPr>
            </w:pPr>
            <w:r w:rsidRPr="00BC4EE7">
              <w:rPr>
                <w:rFonts w:cs="Times New Roman"/>
                <w:noProof/>
              </w:rPr>
              <w:t>0</w:t>
            </w:r>
          </w:p>
        </w:tc>
        <w:tc>
          <w:tcPr>
            <w:tcW w:w="691" w:type="dxa"/>
            <w:shd w:val="clear" w:color="auto" w:fill="C6EFCE"/>
            <w:noWrap/>
          </w:tcPr>
          <w:p w14:paraId="141DD2CC" w14:textId="68984241" w:rsidR="00D65CB4" w:rsidRPr="00BC4EE7" w:rsidRDefault="00572307">
            <w:pPr>
              <w:pStyle w:val="P68B1DB1-Normal12"/>
              <w:spacing w:after="0" w:line="240" w:lineRule="auto"/>
              <w:jc w:val="right"/>
              <w:rPr>
                <w:rFonts w:cs="Times New Roman"/>
                <w:noProof/>
              </w:rPr>
            </w:pPr>
            <w:r w:rsidRPr="00BC4EE7">
              <w:rPr>
                <w:rFonts w:cs="Times New Roman"/>
                <w:noProof/>
              </w:rPr>
              <w:t>1 216</w:t>
            </w:r>
          </w:p>
        </w:tc>
        <w:tc>
          <w:tcPr>
            <w:tcW w:w="691" w:type="dxa"/>
            <w:shd w:val="clear" w:color="auto" w:fill="C6EFCE"/>
            <w:noWrap/>
          </w:tcPr>
          <w:p w14:paraId="572CA3F7" w14:textId="3432AD1A" w:rsidR="00D65CB4" w:rsidRPr="00BC4EE7" w:rsidRDefault="00572307">
            <w:pPr>
              <w:spacing w:after="0" w:line="240" w:lineRule="auto"/>
              <w:jc w:val="center"/>
              <w:rPr>
                <w:rFonts w:ascii="Times New Roman" w:hAnsi="Times New Roman" w:cs="Times New Roman"/>
                <w:noProof/>
                <w:sz w:val="18"/>
              </w:rPr>
            </w:pPr>
            <w:r w:rsidRPr="00BC4EE7">
              <w:rPr>
                <w:rFonts w:ascii="Times New Roman" w:hAnsi="Times New Roman" w:cs="Times New Roman"/>
                <w:noProof/>
              </w:rPr>
              <w:t>Q2</w:t>
            </w:r>
          </w:p>
        </w:tc>
        <w:tc>
          <w:tcPr>
            <w:tcW w:w="553" w:type="dxa"/>
            <w:shd w:val="clear" w:color="auto" w:fill="C6EFCE"/>
            <w:noWrap/>
          </w:tcPr>
          <w:p w14:paraId="669B1BFC" w14:textId="17279118" w:rsidR="00D65CB4" w:rsidRPr="00BC4EE7" w:rsidRDefault="00572307">
            <w:pPr>
              <w:pStyle w:val="P68B1DB1-Normal12"/>
              <w:spacing w:after="0" w:line="240" w:lineRule="auto"/>
              <w:jc w:val="center"/>
              <w:rPr>
                <w:rFonts w:cs="Times New Roman"/>
                <w:noProof/>
              </w:rPr>
            </w:pPr>
            <w:r w:rsidRPr="00BC4EE7">
              <w:rPr>
                <w:rFonts w:cs="Times New Roman"/>
                <w:noProof/>
              </w:rPr>
              <w:t>2026</w:t>
            </w:r>
          </w:p>
        </w:tc>
        <w:tc>
          <w:tcPr>
            <w:tcW w:w="6646" w:type="dxa"/>
            <w:shd w:val="clear" w:color="auto" w:fill="C6EFCE"/>
            <w:noWrap/>
          </w:tcPr>
          <w:p w14:paraId="678D89E8" w14:textId="63F6069B" w:rsidR="00D65CB4" w:rsidRPr="00BC4EE7" w:rsidRDefault="00572307">
            <w:pPr>
              <w:spacing w:after="0" w:line="240" w:lineRule="auto"/>
              <w:rPr>
                <w:rFonts w:ascii="Times New Roman" w:hAnsi="Times New Roman" w:cs="Times New Roman"/>
                <w:noProof/>
                <w:sz w:val="18"/>
              </w:rPr>
            </w:pPr>
            <w:r w:rsidRPr="00BC4EE7">
              <w:rPr>
                <w:rFonts w:ascii="Times New Roman" w:hAnsi="Times New Roman" w:cs="Times New Roman"/>
                <w:noProof/>
                <w:sz w:val="18"/>
              </w:rPr>
              <w:t>A kulturális iparágak versenyképességének előmozdítását célzó 1216 intézkedés lezárása a következők révén:</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 kulturális és kreatív ágazatok szakembereinek vállalkozói és pénzügyi készségei (legalább 900 szervezet);</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a digitalizáció tervezése és a digitális transzformáció megvitatására létrehozott eszközök (legalább 16 projekt);</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a kulturális és kreatív ágazatok nemzetközivé válása (legalább 300 szervezet).</w:t>
            </w:r>
          </w:p>
        </w:tc>
      </w:tr>
      <w:tr w:rsidR="00D65CB4" w:rsidRPr="00BC4EE7" w14:paraId="0CB8057E" w14:textId="77777777" w:rsidTr="00572307">
        <w:trPr>
          <w:trHeight w:val="309"/>
        </w:trPr>
        <w:tc>
          <w:tcPr>
            <w:tcW w:w="830" w:type="dxa"/>
            <w:shd w:val="clear" w:color="auto" w:fill="C6EFCE"/>
            <w:noWrap/>
          </w:tcPr>
          <w:p w14:paraId="33A333C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355</w:t>
            </w:r>
          </w:p>
        </w:tc>
        <w:tc>
          <w:tcPr>
            <w:tcW w:w="968" w:type="dxa"/>
            <w:shd w:val="clear" w:color="auto" w:fill="C6EFCE"/>
            <w:noWrap/>
          </w:tcPr>
          <w:p w14:paraId="1706F9D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C24.I2</w:t>
            </w:r>
          </w:p>
        </w:tc>
        <w:tc>
          <w:tcPr>
            <w:tcW w:w="929" w:type="dxa"/>
            <w:shd w:val="clear" w:color="auto" w:fill="C6EFCE"/>
            <w:noWrap/>
          </w:tcPr>
          <w:p w14:paraId="01AB9A0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1554" w:type="dxa"/>
            <w:shd w:val="clear" w:color="auto" w:fill="C6EFCE"/>
            <w:noWrap/>
          </w:tcPr>
          <w:p w14:paraId="2F41C29C"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Az előadó- és zeneművészeti infrastruktúra korszerűsítése és fenntartható kezelése</w:t>
            </w:r>
          </w:p>
        </w:tc>
        <w:tc>
          <w:tcPr>
            <w:tcW w:w="966" w:type="dxa"/>
            <w:shd w:val="clear" w:color="auto" w:fill="C6EFCE"/>
            <w:noWrap/>
          </w:tcPr>
          <w:p w14:paraId="08D3A50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691" w:type="dxa"/>
            <w:shd w:val="clear" w:color="auto" w:fill="C6EFCE"/>
            <w:noWrap/>
          </w:tcPr>
          <w:p w14:paraId="3A6DE90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Szám</w:t>
            </w:r>
          </w:p>
        </w:tc>
        <w:tc>
          <w:tcPr>
            <w:tcW w:w="966" w:type="dxa"/>
            <w:shd w:val="clear" w:color="auto" w:fill="C6EFCE"/>
            <w:noWrap/>
          </w:tcPr>
          <w:p w14:paraId="2591D7A9"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0</w:t>
            </w:r>
          </w:p>
        </w:tc>
        <w:tc>
          <w:tcPr>
            <w:tcW w:w="691" w:type="dxa"/>
            <w:shd w:val="clear" w:color="auto" w:fill="C6EFCE"/>
            <w:noWrap/>
          </w:tcPr>
          <w:p w14:paraId="670B3C9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200</w:t>
            </w:r>
          </w:p>
        </w:tc>
        <w:tc>
          <w:tcPr>
            <w:tcW w:w="691" w:type="dxa"/>
            <w:shd w:val="clear" w:color="auto" w:fill="C6EFCE"/>
            <w:noWrap/>
          </w:tcPr>
          <w:p w14:paraId="35216B84"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53" w:type="dxa"/>
            <w:shd w:val="clear" w:color="auto" w:fill="C6EFCE"/>
            <w:noWrap/>
          </w:tcPr>
          <w:p w14:paraId="5E2672E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2023</w:t>
            </w:r>
          </w:p>
        </w:tc>
        <w:tc>
          <w:tcPr>
            <w:tcW w:w="6646" w:type="dxa"/>
            <w:shd w:val="clear" w:color="auto" w:fill="C6EFCE"/>
            <w:noWrap/>
          </w:tcPr>
          <w:p w14:paraId="0413F559"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Az öregedő előadóművészi és zeneművészeti infrastruktúra korszerűsítése és fenntartható kezelése: legalább 200 intézkedés végrehajtása legalább 17 régióban a jelentős károkozás elkerülését célzó technikai iránymutatásnak (2021/C58/01) megfelelően kizárási lista, valamint a vonatkozó uniós és nemzeti környezetvédelmi jogszabályoknak való megfelelés követelménye révén.</w:t>
            </w:r>
          </w:p>
        </w:tc>
      </w:tr>
      <w:tr w:rsidR="00D65CB4" w:rsidRPr="00BC4EE7" w14:paraId="3C74A095" w14:textId="77777777" w:rsidTr="00572307">
        <w:trPr>
          <w:trHeight w:val="309"/>
        </w:trPr>
        <w:tc>
          <w:tcPr>
            <w:tcW w:w="830" w:type="dxa"/>
            <w:shd w:val="clear" w:color="auto" w:fill="C6EFCE"/>
            <w:noWrap/>
          </w:tcPr>
          <w:p w14:paraId="3DC32C70" w14:textId="331FCEF3" w:rsidR="00D65CB4" w:rsidRPr="00BC4EE7" w:rsidRDefault="00572307">
            <w:pPr>
              <w:pStyle w:val="P68B1DB1-Normal12"/>
              <w:spacing w:after="0" w:line="240" w:lineRule="auto"/>
              <w:jc w:val="center"/>
              <w:rPr>
                <w:rFonts w:cs="Times New Roman"/>
                <w:noProof/>
              </w:rPr>
            </w:pPr>
            <w:r w:rsidRPr="00BC4EE7">
              <w:rPr>
                <w:rFonts w:cs="Times New Roman"/>
                <w:noProof/>
              </w:rPr>
              <w:t>357</w:t>
            </w:r>
          </w:p>
        </w:tc>
        <w:tc>
          <w:tcPr>
            <w:tcW w:w="968" w:type="dxa"/>
            <w:shd w:val="clear" w:color="auto" w:fill="C6EFCE"/>
            <w:noWrap/>
          </w:tcPr>
          <w:p w14:paraId="038CA8F2" w14:textId="6653001D" w:rsidR="00D65CB4" w:rsidRPr="00BC4EE7" w:rsidRDefault="00572307">
            <w:pPr>
              <w:pStyle w:val="P68B1DB1-Normal12"/>
              <w:spacing w:after="0" w:line="240" w:lineRule="auto"/>
              <w:jc w:val="center"/>
              <w:rPr>
                <w:rFonts w:cs="Times New Roman"/>
                <w:noProof/>
              </w:rPr>
            </w:pPr>
            <w:r w:rsidRPr="00BC4EE7">
              <w:rPr>
                <w:rFonts w:cs="Times New Roman"/>
                <w:noProof/>
              </w:rPr>
              <w:t>C24.I2</w:t>
            </w:r>
          </w:p>
        </w:tc>
        <w:tc>
          <w:tcPr>
            <w:tcW w:w="929" w:type="dxa"/>
            <w:shd w:val="clear" w:color="auto" w:fill="C6EFCE"/>
            <w:noWrap/>
          </w:tcPr>
          <w:p w14:paraId="463A00BD" w14:textId="19384F73"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1554" w:type="dxa"/>
            <w:shd w:val="clear" w:color="auto" w:fill="C6EFCE"/>
            <w:noWrap/>
          </w:tcPr>
          <w:p w14:paraId="3A3B2EAC" w14:textId="204CAC5F" w:rsidR="00D65CB4" w:rsidRPr="00BC4EE7" w:rsidRDefault="00572307">
            <w:pPr>
              <w:pStyle w:val="P68B1DB1-Normal12"/>
              <w:spacing w:after="0" w:line="240" w:lineRule="auto"/>
              <w:rPr>
                <w:rFonts w:cs="Times New Roman"/>
                <w:noProof/>
              </w:rPr>
            </w:pPr>
            <w:r w:rsidRPr="00BC4EE7">
              <w:rPr>
                <w:rFonts w:cs="Times New Roman"/>
                <w:noProof/>
              </w:rPr>
              <w:t>Könyvtári e-könyvengedélyek</w:t>
            </w:r>
          </w:p>
        </w:tc>
        <w:tc>
          <w:tcPr>
            <w:tcW w:w="966" w:type="dxa"/>
            <w:shd w:val="clear" w:color="auto" w:fill="C6EFCE"/>
            <w:noWrap/>
          </w:tcPr>
          <w:p w14:paraId="0B7A586D" w14:textId="387D77D4" w:rsidR="00D65CB4" w:rsidRPr="00BC4EE7" w:rsidRDefault="00572307">
            <w:pPr>
              <w:pStyle w:val="P68B1DB1-Normal12"/>
              <w:spacing w:after="0" w:line="240" w:lineRule="auto"/>
              <w:jc w:val="center"/>
              <w:rPr>
                <w:rFonts w:cs="Times New Roman"/>
                <w:noProof/>
              </w:rPr>
            </w:pPr>
            <w:r w:rsidRPr="00BC4EE7">
              <w:rPr>
                <w:rFonts w:cs="Times New Roman"/>
                <w:noProof/>
              </w:rPr>
              <w:t>–</w:t>
            </w:r>
          </w:p>
        </w:tc>
        <w:tc>
          <w:tcPr>
            <w:tcW w:w="691" w:type="dxa"/>
            <w:shd w:val="clear" w:color="auto" w:fill="C6EFCE"/>
            <w:noWrap/>
          </w:tcPr>
          <w:p w14:paraId="6F9EFC33" w14:textId="406AC626" w:rsidR="00D65CB4" w:rsidRPr="00BC4EE7" w:rsidRDefault="00572307">
            <w:pPr>
              <w:pStyle w:val="P68B1DB1-Normal12"/>
              <w:spacing w:after="0" w:line="240" w:lineRule="auto"/>
              <w:jc w:val="center"/>
              <w:rPr>
                <w:rFonts w:cs="Times New Roman"/>
                <w:noProof/>
              </w:rPr>
            </w:pPr>
            <w:r w:rsidRPr="00BC4EE7">
              <w:rPr>
                <w:rFonts w:cs="Times New Roman"/>
                <w:noProof/>
              </w:rPr>
              <w:t>Szám</w:t>
            </w:r>
          </w:p>
        </w:tc>
        <w:tc>
          <w:tcPr>
            <w:tcW w:w="966" w:type="dxa"/>
            <w:shd w:val="clear" w:color="auto" w:fill="C6EFCE"/>
            <w:noWrap/>
          </w:tcPr>
          <w:p w14:paraId="413E2FFB" w14:textId="5B407A3E" w:rsidR="00D65CB4" w:rsidRPr="00BC4EE7" w:rsidRDefault="00572307">
            <w:pPr>
              <w:pStyle w:val="P68B1DB1-Normal12"/>
              <w:spacing w:after="0" w:line="240" w:lineRule="auto"/>
              <w:jc w:val="right"/>
              <w:rPr>
                <w:rFonts w:cs="Times New Roman"/>
                <w:noProof/>
              </w:rPr>
            </w:pPr>
            <w:r w:rsidRPr="00BC4EE7">
              <w:rPr>
                <w:rFonts w:cs="Times New Roman"/>
                <w:noProof/>
              </w:rPr>
              <w:t>0</w:t>
            </w:r>
          </w:p>
        </w:tc>
        <w:tc>
          <w:tcPr>
            <w:tcW w:w="691" w:type="dxa"/>
            <w:shd w:val="clear" w:color="auto" w:fill="C6EFCE"/>
            <w:noWrap/>
          </w:tcPr>
          <w:p w14:paraId="09C388FA" w14:textId="539E7F94" w:rsidR="00D65CB4" w:rsidRPr="00BC4EE7" w:rsidRDefault="00572307">
            <w:pPr>
              <w:pStyle w:val="P68B1DB1-Normal12"/>
              <w:spacing w:after="0" w:line="240" w:lineRule="auto"/>
              <w:jc w:val="center"/>
              <w:rPr>
                <w:rFonts w:cs="Times New Roman"/>
                <w:noProof/>
              </w:rPr>
            </w:pPr>
            <w:r w:rsidRPr="00BC4EE7">
              <w:rPr>
                <w:rFonts w:cs="Times New Roman"/>
                <w:noProof/>
              </w:rPr>
              <w:t>300 000</w:t>
            </w:r>
          </w:p>
        </w:tc>
        <w:tc>
          <w:tcPr>
            <w:tcW w:w="691" w:type="dxa"/>
            <w:shd w:val="clear" w:color="auto" w:fill="C6EFCE"/>
            <w:noWrap/>
          </w:tcPr>
          <w:p w14:paraId="2D6A9BAA" w14:textId="02912F8E"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553" w:type="dxa"/>
            <w:shd w:val="clear" w:color="auto" w:fill="C6EFCE"/>
            <w:noWrap/>
          </w:tcPr>
          <w:p w14:paraId="6DE28F1D" w14:textId="16DA0573" w:rsidR="00D65CB4" w:rsidRPr="00BC4EE7" w:rsidRDefault="00572307">
            <w:pPr>
              <w:pStyle w:val="P68B1DB1-Normal12"/>
              <w:spacing w:after="0" w:line="240" w:lineRule="auto"/>
              <w:jc w:val="center"/>
              <w:rPr>
                <w:rFonts w:cs="Times New Roman"/>
                <w:noProof/>
              </w:rPr>
            </w:pPr>
            <w:r w:rsidRPr="00BC4EE7">
              <w:rPr>
                <w:rFonts w:cs="Times New Roman"/>
                <w:noProof/>
              </w:rPr>
              <w:t>2023</w:t>
            </w:r>
          </w:p>
        </w:tc>
        <w:tc>
          <w:tcPr>
            <w:tcW w:w="6646" w:type="dxa"/>
            <w:shd w:val="clear" w:color="auto" w:fill="C6EFCE"/>
            <w:noWrap/>
          </w:tcPr>
          <w:p w14:paraId="27993AE1" w14:textId="450FBC5C" w:rsidR="00D65CB4" w:rsidRPr="00BC4EE7" w:rsidRDefault="00572307">
            <w:pPr>
              <w:pStyle w:val="P68B1DB1-Normal12"/>
              <w:spacing w:after="0" w:line="240" w:lineRule="auto"/>
              <w:rPr>
                <w:rFonts w:cs="Times New Roman"/>
                <w:noProof/>
              </w:rPr>
            </w:pPr>
            <w:r w:rsidRPr="00BC4EE7">
              <w:rPr>
                <w:rFonts w:cs="Times New Roman"/>
                <w:noProof/>
              </w:rPr>
              <w:t xml:space="preserve">Nyilvános könyvtárak részére vásárolt és biztosított elektronikus könyvengedélyek (legalább 300000) </w:t>
            </w:r>
          </w:p>
        </w:tc>
      </w:tr>
      <w:tr w:rsidR="00D65CB4" w:rsidRPr="00BC4EE7" w14:paraId="007BE4E8" w14:textId="77777777" w:rsidTr="00572307">
        <w:trPr>
          <w:trHeight w:val="309"/>
        </w:trPr>
        <w:tc>
          <w:tcPr>
            <w:tcW w:w="830" w:type="dxa"/>
            <w:shd w:val="clear" w:color="auto" w:fill="C6EFCE"/>
            <w:noWrap/>
          </w:tcPr>
          <w:p w14:paraId="476522C9" w14:textId="23ED8A21" w:rsidR="00D65CB4" w:rsidRPr="00BC4EE7" w:rsidRDefault="00572307">
            <w:pPr>
              <w:pStyle w:val="P68B1DB1-Normal12"/>
              <w:spacing w:after="0" w:line="240" w:lineRule="auto"/>
              <w:jc w:val="center"/>
              <w:rPr>
                <w:rFonts w:cs="Times New Roman"/>
                <w:noProof/>
              </w:rPr>
            </w:pPr>
            <w:r w:rsidRPr="00BC4EE7">
              <w:rPr>
                <w:rFonts w:cs="Times New Roman"/>
                <w:noProof/>
              </w:rPr>
              <w:t>359</w:t>
            </w:r>
          </w:p>
        </w:tc>
        <w:tc>
          <w:tcPr>
            <w:tcW w:w="968" w:type="dxa"/>
            <w:shd w:val="clear" w:color="auto" w:fill="C6EFCE"/>
            <w:noWrap/>
          </w:tcPr>
          <w:p w14:paraId="0DF44586" w14:textId="6AD8D732" w:rsidR="00D65CB4" w:rsidRPr="00BC4EE7" w:rsidRDefault="00572307">
            <w:pPr>
              <w:pStyle w:val="P68B1DB1-Normal12"/>
              <w:spacing w:after="0" w:line="240" w:lineRule="auto"/>
              <w:jc w:val="center"/>
              <w:rPr>
                <w:rFonts w:cs="Times New Roman"/>
                <w:noProof/>
              </w:rPr>
            </w:pPr>
            <w:r w:rsidRPr="00BC4EE7">
              <w:rPr>
                <w:rFonts w:cs="Times New Roman"/>
                <w:noProof/>
              </w:rPr>
              <w:t>C24.I2</w:t>
            </w:r>
          </w:p>
        </w:tc>
        <w:tc>
          <w:tcPr>
            <w:tcW w:w="929" w:type="dxa"/>
            <w:shd w:val="clear" w:color="auto" w:fill="C6EFCE"/>
            <w:noWrap/>
          </w:tcPr>
          <w:p w14:paraId="6F1BEA9C" w14:textId="1BC496BF"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1554" w:type="dxa"/>
            <w:shd w:val="clear" w:color="auto" w:fill="C6EFCE"/>
            <w:noWrap/>
          </w:tcPr>
          <w:p w14:paraId="1D046713" w14:textId="5FD7E158" w:rsidR="00D65CB4" w:rsidRPr="00BC4EE7" w:rsidRDefault="00572307">
            <w:pPr>
              <w:pStyle w:val="P68B1DB1-Normal12"/>
              <w:spacing w:after="0" w:line="240" w:lineRule="auto"/>
              <w:rPr>
                <w:rFonts w:cs="Times New Roman"/>
                <w:noProof/>
              </w:rPr>
            </w:pPr>
            <w:r w:rsidRPr="00BC4EE7">
              <w:rPr>
                <w:rFonts w:cs="Times New Roman"/>
                <w:noProof/>
              </w:rPr>
              <w:t xml:space="preserve">A kulturális és kreatív kezdeményezések ösztönzése </w:t>
            </w:r>
          </w:p>
        </w:tc>
        <w:tc>
          <w:tcPr>
            <w:tcW w:w="966" w:type="dxa"/>
            <w:shd w:val="clear" w:color="auto" w:fill="C6EFCE"/>
            <w:noWrap/>
          </w:tcPr>
          <w:p w14:paraId="4CF2F5E1" w14:textId="77ECE381" w:rsidR="00D65CB4" w:rsidRPr="00BC4EE7" w:rsidRDefault="00572307">
            <w:pPr>
              <w:pStyle w:val="P68B1DB1-Normal12"/>
              <w:spacing w:after="0" w:line="240" w:lineRule="auto"/>
              <w:jc w:val="center"/>
              <w:rPr>
                <w:rFonts w:cs="Times New Roman"/>
                <w:noProof/>
              </w:rPr>
            </w:pPr>
            <w:r w:rsidRPr="00BC4EE7">
              <w:rPr>
                <w:rFonts w:cs="Times New Roman"/>
                <w:noProof/>
              </w:rPr>
              <w:t>–</w:t>
            </w:r>
          </w:p>
        </w:tc>
        <w:tc>
          <w:tcPr>
            <w:tcW w:w="691" w:type="dxa"/>
            <w:shd w:val="clear" w:color="auto" w:fill="C6EFCE"/>
            <w:noWrap/>
          </w:tcPr>
          <w:p w14:paraId="1FCF9880" w14:textId="55E0B357" w:rsidR="00D65CB4" w:rsidRPr="00BC4EE7" w:rsidRDefault="00572307">
            <w:pPr>
              <w:pStyle w:val="P68B1DB1-Normal12"/>
              <w:spacing w:after="0" w:line="240" w:lineRule="auto"/>
              <w:jc w:val="center"/>
              <w:rPr>
                <w:rFonts w:cs="Times New Roman"/>
                <w:noProof/>
              </w:rPr>
            </w:pPr>
            <w:r w:rsidRPr="00BC4EE7">
              <w:rPr>
                <w:rFonts w:cs="Times New Roman"/>
                <w:noProof/>
              </w:rPr>
              <w:t>Szám</w:t>
            </w:r>
          </w:p>
        </w:tc>
        <w:tc>
          <w:tcPr>
            <w:tcW w:w="966" w:type="dxa"/>
            <w:shd w:val="clear" w:color="auto" w:fill="C6EFCE"/>
            <w:noWrap/>
          </w:tcPr>
          <w:p w14:paraId="7A1A1F38" w14:textId="284CE49A" w:rsidR="00D65CB4" w:rsidRPr="00BC4EE7" w:rsidRDefault="00572307">
            <w:pPr>
              <w:pStyle w:val="P68B1DB1-Normal12"/>
              <w:spacing w:after="0" w:line="240" w:lineRule="auto"/>
              <w:jc w:val="right"/>
              <w:rPr>
                <w:rFonts w:cs="Times New Roman"/>
                <w:noProof/>
              </w:rPr>
            </w:pPr>
            <w:r w:rsidRPr="00BC4EE7">
              <w:rPr>
                <w:rFonts w:cs="Times New Roman"/>
                <w:noProof/>
              </w:rPr>
              <w:t>0</w:t>
            </w:r>
          </w:p>
        </w:tc>
        <w:tc>
          <w:tcPr>
            <w:tcW w:w="691" w:type="dxa"/>
            <w:shd w:val="clear" w:color="auto" w:fill="C6EFCE"/>
            <w:noWrap/>
          </w:tcPr>
          <w:p w14:paraId="572C9470" w14:textId="28EAB32D" w:rsidR="00D65CB4" w:rsidRPr="00BC4EE7" w:rsidRDefault="00572307">
            <w:pPr>
              <w:pStyle w:val="P68B1DB1-Normal12"/>
              <w:spacing w:after="0" w:line="240" w:lineRule="auto"/>
              <w:jc w:val="center"/>
              <w:rPr>
                <w:rFonts w:cs="Times New Roman"/>
                <w:noProof/>
              </w:rPr>
            </w:pPr>
            <w:r w:rsidRPr="00BC4EE7">
              <w:rPr>
                <w:rFonts w:cs="Times New Roman"/>
                <w:noProof/>
              </w:rPr>
              <w:t>400</w:t>
            </w:r>
          </w:p>
        </w:tc>
        <w:tc>
          <w:tcPr>
            <w:tcW w:w="691" w:type="dxa"/>
            <w:shd w:val="clear" w:color="auto" w:fill="C6EFCE"/>
            <w:noWrap/>
          </w:tcPr>
          <w:p w14:paraId="64477882" w14:textId="4EE886E9"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553" w:type="dxa"/>
            <w:shd w:val="clear" w:color="auto" w:fill="C6EFCE"/>
            <w:noWrap/>
          </w:tcPr>
          <w:p w14:paraId="24E6FBAE" w14:textId="498C7003" w:rsidR="00D65CB4" w:rsidRPr="00BC4EE7" w:rsidRDefault="00572307">
            <w:pPr>
              <w:pStyle w:val="P68B1DB1-Normal12"/>
              <w:spacing w:after="0" w:line="240" w:lineRule="auto"/>
              <w:jc w:val="center"/>
              <w:rPr>
                <w:rFonts w:cs="Times New Roman"/>
                <w:noProof/>
              </w:rPr>
            </w:pPr>
            <w:r w:rsidRPr="00BC4EE7">
              <w:rPr>
                <w:rFonts w:cs="Times New Roman"/>
                <w:noProof/>
              </w:rPr>
              <w:t>2023</w:t>
            </w:r>
          </w:p>
        </w:tc>
        <w:tc>
          <w:tcPr>
            <w:tcW w:w="6646" w:type="dxa"/>
            <w:shd w:val="clear" w:color="auto" w:fill="C6EFCE"/>
            <w:noWrap/>
          </w:tcPr>
          <w:p w14:paraId="4C51FDA1" w14:textId="2BB1F4FD" w:rsidR="00D65CB4" w:rsidRPr="00BC4EE7" w:rsidRDefault="00572307">
            <w:pPr>
              <w:pStyle w:val="P68B1DB1-Normal12"/>
              <w:spacing w:after="0" w:line="240" w:lineRule="auto"/>
              <w:rPr>
                <w:rFonts w:cs="Times New Roman"/>
                <w:noProof/>
              </w:rPr>
            </w:pPr>
            <w:r w:rsidRPr="00BC4EE7">
              <w:rPr>
                <w:rFonts w:cs="Times New Roman"/>
                <w:noProof/>
              </w:rPr>
              <w:t>A nonprofit és nonprofit szervezetek kulturális tevékenységének fellendítése a nem városi területeken (400 kezdeményezés).</w:t>
            </w:r>
          </w:p>
        </w:tc>
      </w:tr>
      <w:tr w:rsidR="00D65CB4" w:rsidRPr="00BC4EE7" w14:paraId="088863CB" w14:textId="77777777" w:rsidTr="00572307">
        <w:trPr>
          <w:trHeight w:val="309"/>
        </w:trPr>
        <w:tc>
          <w:tcPr>
            <w:tcW w:w="830" w:type="dxa"/>
            <w:shd w:val="clear" w:color="auto" w:fill="C6EFCE"/>
            <w:noWrap/>
          </w:tcPr>
          <w:p w14:paraId="43E4F141" w14:textId="61730DA1" w:rsidR="00D65CB4" w:rsidRPr="00BC4EE7" w:rsidRDefault="00572307">
            <w:pPr>
              <w:pStyle w:val="P68B1DB1-Normal12"/>
              <w:spacing w:after="0" w:line="240" w:lineRule="auto"/>
              <w:jc w:val="center"/>
              <w:rPr>
                <w:rFonts w:cs="Times New Roman"/>
                <w:noProof/>
              </w:rPr>
            </w:pPr>
            <w:r w:rsidRPr="00BC4EE7">
              <w:rPr>
                <w:rFonts w:cs="Times New Roman"/>
                <w:noProof/>
              </w:rPr>
              <w:t>358</w:t>
            </w:r>
          </w:p>
        </w:tc>
        <w:tc>
          <w:tcPr>
            <w:tcW w:w="968" w:type="dxa"/>
            <w:shd w:val="clear" w:color="auto" w:fill="C6EFCE"/>
            <w:noWrap/>
          </w:tcPr>
          <w:p w14:paraId="4108274D" w14:textId="15DEBE32" w:rsidR="00D65CB4" w:rsidRPr="00BC4EE7" w:rsidRDefault="00572307">
            <w:pPr>
              <w:pStyle w:val="P68B1DB1-Normal12"/>
              <w:spacing w:after="0" w:line="240" w:lineRule="auto"/>
              <w:jc w:val="center"/>
              <w:rPr>
                <w:rFonts w:cs="Times New Roman"/>
                <w:noProof/>
              </w:rPr>
            </w:pPr>
            <w:r w:rsidRPr="00BC4EE7">
              <w:rPr>
                <w:rFonts w:cs="Times New Roman"/>
                <w:noProof/>
              </w:rPr>
              <w:t>C24.I2</w:t>
            </w:r>
          </w:p>
        </w:tc>
        <w:tc>
          <w:tcPr>
            <w:tcW w:w="929" w:type="dxa"/>
            <w:shd w:val="clear" w:color="auto" w:fill="C6EFCE"/>
            <w:noWrap/>
          </w:tcPr>
          <w:p w14:paraId="70D882E5" w14:textId="1D3347E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1554" w:type="dxa"/>
            <w:shd w:val="clear" w:color="auto" w:fill="C6EFCE"/>
            <w:noWrap/>
          </w:tcPr>
          <w:p w14:paraId="3D2287CC" w14:textId="535A242F" w:rsidR="00D65CB4" w:rsidRPr="00BC4EE7" w:rsidRDefault="00572307">
            <w:pPr>
              <w:pStyle w:val="P68B1DB1-Normal12"/>
              <w:spacing w:after="0" w:line="240" w:lineRule="auto"/>
              <w:rPr>
                <w:rFonts w:cs="Times New Roman"/>
                <w:noProof/>
              </w:rPr>
            </w:pPr>
            <w:r w:rsidRPr="00BC4EE7">
              <w:rPr>
                <w:rFonts w:cs="Times New Roman"/>
                <w:noProof/>
              </w:rPr>
              <w:t>Könyvvásárlás könyvtárak számára</w:t>
            </w:r>
          </w:p>
        </w:tc>
        <w:tc>
          <w:tcPr>
            <w:tcW w:w="966" w:type="dxa"/>
            <w:shd w:val="clear" w:color="auto" w:fill="C6EFCE"/>
            <w:noWrap/>
          </w:tcPr>
          <w:p w14:paraId="70C079A5" w14:textId="442B12EA" w:rsidR="00D65CB4" w:rsidRPr="00BC4EE7" w:rsidRDefault="00572307">
            <w:pPr>
              <w:pStyle w:val="P68B1DB1-Normal12"/>
              <w:spacing w:after="0" w:line="240" w:lineRule="auto"/>
              <w:jc w:val="center"/>
              <w:rPr>
                <w:rFonts w:cs="Times New Roman"/>
                <w:noProof/>
              </w:rPr>
            </w:pPr>
            <w:r w:rsidRPr="00BC4EE7">
              <w:rPr>
                <w:rFonts w:cs="Times New Roman"/>
                <w:noProof/>
              </w:rPr>
              <w:t>–</w:t>
            </w:r>
          </w:p>
        </w:tc>
        <w:tc>
          <w:tcPr>
            <w:tcW w:w="691" w:type="dxa"/>
            <w:shd w:val="clear" w:color="auto" w:fill="C6EFCE"/>
            <w:noWrap/>
          </w:tcPr>
          <w:p w14:paraId="2307954C" w14:textId="43816DCE" w:rsidR="00D65CB4" w:rsidRPr="00BC4EE7" w:rsidRDefault="00572307">
            <w:pPr>
              <w:pStyle w:val="P68B1DB1-Normal12"/>
              <w:spacing w:after="0" w:line="240" w:lineRule="auto"/>
              <w:jc w:val="center"/>
              <w:rPr>
                <w:rFonts w:cs="Times New Roman"/>
                <w:noProof/>
              </w:rPr>
            </w:pPr>
            <w:r w:rsidRPr="00BC4EE7">
              <w:rPr>
                <w:rFonts w:cs="Times New Roman"/>
                <w:noProof/>
              </w:rPr>
              <w:t>Szám</w:t>
            </w:r>
          </w:p>
        </w:tc>
        <w:tc>
          <w:tcPr>
            <w:tcW w:w="966" w:type="dxa"/>
            <w:shd w:val="clear" w:color="auto" w:fill="C6EFCE"/>
            <w:noWrap/>
          </w:tcPr>
          <w:p w14:paraId="74F73CE1" w14:textId="575E46A9" w:rsidR="00D65CB4" w:rsidRPr="00BC4EE7" w:rsidRDefault="00572307">
            <w:pPr>
              <w:pStyle w:val="P68B1DB1-Normal12"/>
              <w:spacing w:after="0" w:line="240" w:lineRule="auto"/>
              <w:jc w:val="right"/>
              <w:rPr>
                <w:rFonts w:cs="Times New Roman"/>
                <w:noProof/>
              </w:rPr>
            </w:pPr>
            <w:r w:rsidRPr="00BC4EE7">
              <w:rPr>
                <w:rFonts w:cs="Times New Roman"/>
                <w:noProof/>
              </w:rPr>
              <w:t>0</w:t>
            </w:r>
          </w:p>
        </w:tc>
        <w:tc>
          <w:tcPr>
            <w:tcW w:w="691" w:type="dxa"/>
            <w:shd w:val="clear" w:color="auto" w:fill="C6EFCE"/>
            <w:noWrap/>
          </w:tcPr>
          <w:p w14:paraId="4BE76D63" w14:textId="56C99E88" w:rsidR="00D65CB4" w:rsidRPr="00BC4EE7" w:rsidRDefault="00572307">
            <w:pPr>
              <w:pStyle w:val="P68B1DB1-Normal12"/>
              <w:spacing w:after="0" w:line="240" w:lineRule="auto"/>
              <w:jc w:val="center"/>
              <w:rPr>
                <w:rFonts w:cs="Times New Roman"/>
                <w:noProof/>
              </w:rPr>
            </w:pPr>
            <w:r w:rsidRPr="00BC4EE7">
              <w:rPr>
                <w:rFonts w:cs="Times New Roman"/>
                <w:noProof/>
              </w:rPr>
              <w:t>450 000</w:t>
            </w:r>
          </w:p>
        </w:tc>
        <w:tc>
          <w:tcPr>
            <w:tcW w:w="691" w:type="dxa"/>
            <w:shd w:val="clear" w:color="auto" w:fill="C6EFCE"/>
            <w:noWrap/>
          </w:tcPr>
          <w:p w14:paraId="085C4D4E" w14:textId="0FD398C8"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553" w:type="dxa"/>
            <w:shd w:val="clear" w:color="auto" w:fill="C6EFCE"/>
            <w:noWrap/>
          </w:tcPr>
          <w:p w14:paraId="580E50BF" w14:textId="4398EE2C" w:rsidR="00D65CB4" w:rsidRPr="00BC4EE7" w:rsidRDefault="00572307">
            <w:pPr>
              <w:pStyle w:val="P68B1DB1-Normal12"/>
              <w:spacing w:after="0" w:line="240" w:lineRule="auto"/>
              <w:jc w:val="center"/>
              <w:rPr>
                <w:rFonts w:cs="Times New Roman"/>
                <w:noProof/>
              </w:rPr>
            </w:pPr>
            <w:r w:rsidRPr="00BC4EE7">
              <w:rPr>
                <w:rFonts w:cs="Times New Roman"/>
                <w:noProof/>
              </w:rPr>
              <w:t>2024</w:t>
            </w:r>
          </w:p>
        </w:tc>
        <w:tc>
          <w:tcPr>
            <w:tcW w:w="6646" w:type="dxa"/>
            <w:shd w:val="clear" w:color="auto" w:fill="C6EFCE"/>
            <w:noWrap/>
          </w:tcPr>
          <w:p w14:paraId="383C9E0E" w14:textId="5CF5ECB1" w:rsidR="00D65CB4" w:rsidRPr="00BC4EE7" w:rsidRDefault="00572307">
            <w:pPr>
              <w:pStyle w:val="P68B1DB1-Normal12"/>
              <w:spacing w:after="0" w:line="240" w:lineRule="auto"/>
              <w:rPr>
                <w:rFonts w:cs="Times New Roman"/>
                <w:noProof/>
              </w:rPr>
            </w:pPr>
            <w:r w:rsidRPr="00BC4EE7">
              <w:rPr>
                <w:rFonts w:cs="Times New Roman"/>
                <w:noProof/>
              </w:rPr>
              <w:t xml:space="preserve">Közkönyvtárakba vásárolt és átutalt papírkönyvek (legalább 450000) </w:t>
            </w:r>
          </w:p>
        </w:tc>
      </w:tr>
      <w:tr w:rsidR="00D65CB4" w:rsidRPr="00BC4EE7" w14:paraId="7A3790D5" w14:textId="77777777" w:rsidTr="00572307">
        <w:trPr>
          <w:trHeight w:val="309"/>
        </w:trPr>
        <w:tc>
          <w:tcPr>
            <w:tcW w:w="830" w:type="dxa"/>
            <w:shd w:val="clear" w:color="auto" w:fill="C6EFCE"/>
            <w:noWrap/>
          </w:tcPr>
          <w:p w14:paraId="0AB7620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356</w:t>
            </w:r>
          </w:p>
        </w:tc>
        <w:tc>
          <w:tcPr>
            <w:tcW w:w="968" w:type="dxa"/>
            <w:shd w:val="clear" w:color="auto" w:fill="C6EFCE"/>
            <w:noWrap/>
          </w:tcPr>
          <w:p w14:paraId="38397E2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C24.I2</w:t>
            </w:r>
          </w:p>
        </w:tc>
        <w:tc>
          <w:tcPr>
            <w:tcW w:w="929" w:type="dxa"/>
            <w:shd w:val="clear" w:color="auto" w:fill="C6EFCE"/>
            <w:noWrap/>
          </w:tcPr>
          <w:p w14:paraId="10A9EB4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1554" w:type="dxa"/>
            <w:shd w:val="clear" w:color="auto" w:fill="C6EFCE"/>
            <w:noWrap/>
          </w:tcPr>
          <w:p w14:paraId="61B2AF7E"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spanyol kulturális örökség megőrzése, helyreállítása és fejlesztése</w:t>
            </w:r>
          </w:p>
        </w:tc>
        <w:tc>
          <w:tcPr>
            <w:tcW w:w="966" w:type="dxa"/>
            <w:shd w:val="clear" w:color="auto" w:fill="C6EFCE"/>
            <w:noWrap/>
          </w:tcPr>
          <w:p w14:paraId="1F036C4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691" w:type="dxa"/>
            <w:shd w:val="clear" w:color="auto" w:fill="C6EFCE"/>
            <w:noWrap/>
          </w:tcPr>
          <w:p w14:paraId="615DFB7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Szám</w:t>
            </w:r>
          </w:p>
        </w:tc>
        <w:tc>
          <w:tcPr>
            <w:tcW w:w="966" w:type="dxa"/>
            <w:shd w:val="clear" w:color="auto" w:fill="C6EFCE"/>
            <w:noWrap/>
          </w:tcPr>
          <w:p w14:paraId="6D85FBD8"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0</w:t>
            </w:r>
          </w:p>
        </w:tc>
        <w:tc>
          <w:tcPr>
            <w:tcW w:w="691" w:type="dxa"/>
            <w:shd w:val="clear" w:color="auto" w:fill="C6EFCE"/>
            <w:noWrap/>
          </w:tcPr>
          <w:p w14:paraId="481B7CF6" w14:textId="65448DF9"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19</w:t>
            </w:r>
          </w:p>
        </w:tc>
        <w:tc>
          <w:tcPr>
            <w:tcW w:w="691" w:type="dxa"/>
            <w:shd w:val="clear" w:color="auto" w:fill="C6EFCE"/>
            <w:noWrap/>
          </w:tcPr>
          <w:p w14:paraId="6195CDFF" w14:textId="44759E5F"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53" w:type="dxa"/>
            <w:shd w:val="clear" w:color="auto" w:fill="C6EFCE"/>
            <w:noWrap/>
          </w:tcPr>
          <w:p w14:paraId="4B0C874D" w14:textId="6F4976BB"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2025</w:t>
            </w:r>
          </w:p>
        </w:tc>
        <w:tc>
          <w:tcPr>
            <w:tcW w:w="6646" w:type="dxa"/>
            <w:shd w:val="clear" w:color="auto" w:fill="C6EFCE"/>
            <w:noWrap/>
          </w:tcPr>
          <w:p w14:paraId="3AAF82BE" w14:textId="705CC410"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 spanyol kulturális örökség megőrzésére, helyreállítására és fejlesztésére irányuló intézkedésekkel támogatott kulturális helyszínek: legalább 15 régióban legalább 19 helyszín, összhangban a jelentős károkozás elkerülését célzó technikai iránymutatással (2021/C58/01) a kizárási lista, valamint a vonatkozó uniós és nemzeti környezetvédelmi jogszabályoknak való megfelelés követelménye révén. </w:t>
            </w:r>
          </w:p>
        </w:tc>
      </w:tr>
      <w:tr w:rsidR="00D65CB4" w:rsidRPr="00BC4EE7" w14:paraId="08616C98" w14:textId="77777777" w:rsidTr="00572307">
        <w:trPr>
          <w:trHeight w:val="309"/>
        </w:trPr>
        <w:tc>
          <w:tcPr>
            <w:tcW w:w="830" w:type="dxa"/>
            <w:shd w:val="clear" w:color="auto" w:fill="C6EFCE"/>
            <w:noWrap/>
          </w:tcPr>
          <w:p w14:paraId="7998F435" w14:textId="1B76DA72" w:rsidR="00D65CB4" w:rsidRPr="00BC4EE7" w:rsidRDefault="00572307">
            <w:pPr>
              <w:pStyle w:val="P68B1DB1-Normal12"/>
              <w:spacing w:after="0" w:line="240" w:lineRule="auto"/>
              <w:jc w:val="center"/>
              <w:rPr>
                <w:rFonts w:cs="Times New Roman"/>
                <w:noProof/>
              </w:rPr>
            </w:pPr>
            <w:r w:rsidRPr="00BC4EE7">
              <w:rPr>
                <w:rFonts w:cs="Times New Roman"/>
                <w:noProof/>
              </w:rPr>
              <w:t>474</w:t>
            </w:r>
          </w:p>
        </w:tc>
        <w:tc>
          <w:tcPr>
            <w:tcW w:w="968" w:type="dxa"/>
            <w:shd w:val="clear" w:color="auto" w:fill="C6EFCE"/>
            <w:noWrap/>
          </w:tcPr>
          <w:p w14:paraId="7BDD887E" w14:textId="39A7132B" w:rsidR="00D65CB4" w:rsidRPr="00BC4EE7" w:rsidRDefault="00572307">
            <w:pPr>
              <w:pStyle w:val="P68B1DB1-Normal12"/>
              <w:spacing w:after="0" w:line="240" w:lineRule="auto"/>
              <w:jc w:val="center"/>
              <w:rPr>
                <w:rFonts w:cs="Times New Roman"/>
                <w:noProof/>
              </w:rPr>
            </w:pPr>
            <w:r w:rsidRPr="00BC4EE7">
              <w:rPr>
                <w:rFonts w:cs="Times New Roman"/>
                <w:noProof/>
              </w:rPr>
              <w:t>C24.I2</w:t>
            </w:r>
          </w:p>
        </w:tc>
        <w:tc>
          <w:tcPr>
            <w:tcW w:w="929" w:type="dxa"/>
            <w:shd w:val="clear" w:color="auto" w:fill="C6EFCE"/>
            <w:noWrap/>
          </w:tcPr>
          <w:p w14:paraId="7CCA31B2" w14:textId="59972499"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1554" w:type="dxa"/>
            <w:shd w:val="clear" w:color="auto" w:fill="C6EFCE"/>
            <w:noWrap/>
          </w:tcPr>
          <w:p w14:paraId="73E17777" w14:textId="1663E278" w:rsidR="00D65CB4" w:rsidRPr="00BC4EE7" w:rsidRDefault="00572307">
            <w:pPr>
              <w:pStyle w:val="P68B1DB1-Normal12"/>
              <w:spacing w:after="0" w:line="240" w:lineRule="auto"/>
              <w:rPr>
                <w:rFonts w:cs="Times New Roman"/>
                <w:noProof/>
              </w:rPr>
            </w:pPr>
            <w:r w:rsidRPr="00BC4EE7">
              <w:rPr>
                <w:rFonts w:cs="Times New Roman"/>
                <w:noProof/>
              </w:rPr>
              <w:t>A spanyol kulturális örökség megőrzése, helyreállítása és fejlesztése (Tabacalera)</w:t>
            </w:r>
          </w:p>
        </w:tc>
        <w:tc>
          <w:tcPr>
            <w:tcW w:w="966" w:type="dxa"/>
            <w:shd w:val="clear" w:color="auto" w:fill="C6EFCE"/>
            <w:noWrap/>
          </w:tcPr>
          <w:p w14:paraId="2BB10F89" w14:textId="77777777" w:rsidR="00D65CB4" w:rsidRPr="00BC4EE7" w:rsidRDefault="00D65CB4">
            <w:pPr>
              <w:spacing w:after="0" w:line="240" w:lineRule="auto"/>
              <w:jc w:val="center"/>
              <w:rPr>
                <w:rFonts w:ascii="Times New Roman" w:hAnsi="Times New Roman" w:cs="Times New Roman"/>
                <w:noProof/>
                <w:sz w:val="18"/>
              </w:rPr>
            </w:pPr>
          </w:p>
        </w:tc>
        <w:tc>
          <w:tcPr>
            <w:tcW w:w="691" w:type="dxa"/>
            <w:shd w:val="clear" w:color="auto" w:fill="C6EFCE"/>
            <w:noWrap/>
          </w:tcPr>
          <w:p w14:paraId="42ADC5A0" w14:textId="77777777" w:rsidR="00D65CB4" w:rsidRPr="00BC4EE7" w:rsidRDefault="00D65CB4">
            <w:pPr>
              <w:spacing w:after="0" w:line="240" w:lineRule="auto"/>
              <w:jc w:val="center"/>
              <w:rPr>
                <w:rFonts w:ascii="Times New Roman" w:hAnsi="Times New Roman" w:cs="Times New Roman"/>
                <w:noProof/>
                <w:sz w:val="18"/>
              </w:rPr>
            </w:pPr>
          </w:p>
        </w:tc>
        <w:tc>
          <w:tcPr>
            <w:tcW w:w="966" w:type="dxa"/>
            <w:shd w:val="clear" w:color="auto" w:fill="C6EFCE"/>
            <w:noWrap/>
          </w:tcPr>
          <w:p w14:paraId="1F835036" w14:textId="77777777" w:rsidR="00D65CB4" w:rsidRPr="00BC4EE7" w:rsidRDefault="00D65CB4">
            <w:pPr>
              <w:spacing w:after="0" w:line="240" w:lineRule="auto"/>
              <w:jc w:val="right"/>
              <w:rPr>
                <w:rFonts w:ascii="Times New Roman" w:hAnsi="Times New Roman" w:cs="Times New Roman"/>
                <w:noProof/>
                <w:sz w:val="18"/>
              </w:rPr>
            </w:pPr>
          </w:p>
        </w:tc>
        <w:tc>
          <w:tcPr>
            <w:tcW w:w="691" w:type="dxa"/>
            <w:shd w:val="clear" w:color="auto" w:fill="C6EFCE"/>
            <w:noWrap/>
          </w:tcPr>
          <w:p w14:paraId="0BA8ED3B" w14:textId="77777777" w:rsidR="00D65CB4" w:rsidRPr="00BC4EE7" w:rsidRDefault="00D65CB4">
            <w:pPr>
              <w:spacing w:after="0" w:line="240" w:lineRule="auto"/>
              <w:jc w:val="center"/>
              <w:rPr>
                <w:rFonts w:ascii="Times New Roman" w:hAnsi="Times New Roman" w:cs="Times New Roman"/>
                <w:noProof/>
                <w:sz w:val="18"/>
              </w:rPr>
            </w:pPr>
          </w:p>
        </w:tc>
        <w:tc>
          <w:tcPr>
            <w:tcW w:w="691" w:type="dxa"/>
            <w:shd w:val="clear" w:color="auto" w:fill="C6EFCE"/>
            <w:noWrap/>
          </w:tcPr>
          <w:p w14:paraId="6AA19A17" w14:textId="10F3C3C1" w:rsidR="00D65CB4" w:rsidRPr="00BC4EE7" w:rsidRDefault="00572307">
            <w:pPr>
              <w:pStyle w:val="P68B1DB1-Normal12"/>
              <w:spacing w:after="0" w:line="240" w:lineRule="auto"/>
              <w:jc w:val="center"/>
              <w:rPr>
                <w:rFonts w:cs="Times New Roman"/>
                <w:noProof/>
              </w:rPr>
            </w:pPr>
            <w:r w:rsidRPr="00BC4EE7">
              <w:rPr>
                <w:rFonts w:cs="Times New Roman"/>
                <w:noProof/>
              </w:rPr>
              <w:t>Q2</w:t>
            </w:r>
          </w:p>
        </w:tc>
        <w:tc>
          <w:tcPr>
            <w:tcW w:w="553" w:type="dxa"/>
            <w:shd w:val="clear" w:color="auto" w:fill="C6EFCE"/>
            <w:noWrap/>
          </w:tcPr>
          <w:p w14:paraId="54A16442" w14:textId="72A97264" w:rsidR="00D65CB4" w:rsidRPr="00BC4EE7" w:rsidRDefault="00572307">
            <w:pPr>
              <w:pStyle w:val="P68B1DB1-Normal12"/>
              <w:spacing w:after="0" w:line="240" w:lineRule="auto"/>
              <w:jc w:val="center"/>
              <w:rPr>
                <w:rFonts w:cs="Times New Roman"/>
                <w:noProof/>
              </w:rPr>
            </w:pPr>
            <w:r w:rsidRPr="00BC4EE7">
              <w:rPr>
                <w:rFonts w:cs="Times New Roman"/>
                <w:noProof/>
              </w:rPr>
              <w:t>2026</w:t>
            </w:r>
          </w:p>
        </w:tc>
        <w:tc>
          <w:tcPr>
            <w:tcW w:w="6646" w:type="dxa"/>
            <w:shd w:val="clear" w:color="auto" w:fill="C6EFCE"/>
            <w:noWrap/>
          </w:tcPr>
          <w:p w14:paraId="4E901423" w14:textId="699657C4" w:rsidR="00D65CB4" w:rsidRPr="00BC4EE7" w:rsidRDefault="00572307">
            <w:pPr>
              <w:pStyle w:val="P68B1DB1-Normal12"/>
              <w:spacing w:after="0" w:line="240" w:lineRule="auto"/>
              <w:rPr>
                <w:rFonts w:cs="Times New Roman"/>
                <w:noProof/>
              </w:rPr>
            </w:pPr>
            <w:r w:rsidRPr="00BC4EE7">
              <w:rPr>
                <w:rFonts w:cs="Times New Roman"/>
                <w:noProof/>
              </w:rPr>
              <w:t>A madridi Tabacalera kulturális helyszínét a spanyol kulturális örökség megőrzésére, helyreállítására és javítására irányuló intézkedésekkel támogatták.</w:t>
            </w:r>
          </w:p>
        </w:tc>
      </w:tr>
      <w:tr w:rsidR="00D65CB4" w:rsidRPr="00BC4EE7" w14:paraId="339482E8" w14:textId="77777777" w:rsidTr="00572307">
        <w:trPr>
          <w:trHeight w:val="309"/>
        </w:trPr>
        <w:tc>
          <w:tcPr>
            <w:tcW w:w="830" w:type="dxa"/>
            <w:shd w:val="clear" w:color="auto" w:fill="C6EFCE"/>
            <w:noWrap/>
          </w:tcPr>
          <w:p w14:paraId="4ED0330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360</w:t>
            </w:r>
          </w:p>
        </w:tc>
        <w:tc>
          <w:tcPr>
            <w:tcW w:w="968" w:type="dxa"/>
            <w:shd w:val="clear" w:color="auto" w:fill="C6EFCE"/>
            <w:noWrap/>
          </w:tcPr>
          <w:p w14:paraId="2441C25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C24.I3</w:t>
            </w:r>
          </w:p>
        </w:tc>
        <w:tc>
          <w:tcPr>
            <w:tcW w:w="929" w:type="dxa"/>
            <w:shd w:val="clear" w:color="auto" w:fill="C6EFCE"/>
            <w:noWrap/>
          </w:tcPr>
          <w:p w14:paraId="09C8B88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1554" w:type="dxa"/>
            <w:shd w:val="clear" w:color="auto" w:fill="C6EFCE"/>
            <w:noWrap/>
          </w:tcPr>
          <w:p w14:paraId="745BECBB"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Digitalizáció és a főbb kulturális szolgáltatások előmozdítása </w:t>
            </w:r>
          </w:p>
        </w:tc>
        <w:tc>
          <w:tcPr>
            <w:tcW w:w="966" w:type="dxa"/>
            <w:shd w:val="clear" w:color="auto" w:fill="C6EFCE"/>
            <w:noWrap/>
          </w:tcPr>
          <w:p w14:paraId="0595AC0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691" w:type="dxa"/>
            <w:shd w:val="clear" w:color="auto" w:fill="C6EFCE"/>
            <w:noWrap/>
          </w:tcPr>
          <w:p w14:paraId="59F5908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Millió EUR</w:t>
            </w:r>
          </w:p>
        </w:tc>
        <w:tc>
          <w:tcPr>
            <w:tcW w:w="966" w:type="dxa"/>
            <w:shd w:val="clear" w:color="auto" w:fill="C6EFCE"/>
            <w:noWrap/>
          </w:tcPr>
          <w:p w14:paraId="3CB6CB9C"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0</w:t>
            </w:r>
          </w:p>
        </w:tc>
        <w:tc>
          <w:tcPr>
            <w:tcW w:w="691" w:type="dxa"/>
            <w:shd w:val="clear" w:color="auto" w:fill="C6EFCE"/>
            <w:noWrap/>
          </w:tcPr>
          <w:p w14:paraId="4BADF27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40</w:t>
            </w:r>
          </w:p>
        </w:tc>
        <w:tc>
          <w:tcPr>
            <w:tcW w:w="691" w:type="dxa"/>
            <w:shd w:val="clear" w:color="auto" w:fill="C6EFCE"/>
            <w:noWrap/>
          </w:tcPr>
          <w:p w14:paraId="6B3BB46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Q2</w:t>
            </w:r>
          </w:p>
        </w:tc>
        <w:tc>
          <w:tcPr>
            <w:tcW w:w="553" w:type="dxa"/>
            <w:shd w:val="clear" w:color="auto" w:fill="C6EFCE"/>
            <w:noWrap/>
          </w:tcPr>
          <w:p w14:paraId="6C854A0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2022</w:t>
            </w:r>
          </w:p>
        </w:tc>
        <w:tc>
          <w:tcPr>
            <w:tcW w:w="6646" w:type="dxa"/>
            <w:shd w:val="clear" w:color="auto" w:fill="C6EFCE"/>
            <w:noWrap/>
          </w:tcPr>
          <w:p w14:paraId="5075002C" w14:textId="77777777" w:rsidR="00D65CB4" w:rsidRPr="00BC4EE7" w:rsidRDefault="00572307">
            <w:pPr>
              <w:spacing w:after="0" w:line="240" w:lineRule="auto"/>
              <w:rPr>
                <w:rFonts w:ascii="Times New Roman" w:eastAsia="Times New Roman" w:hAnsi="Times New Roman" w:cs="Times New Roman"/>
                <w:noProof/>
                <w:sz w:val="18"/>
              </w:rPr>
            </w:pPr>
            <w:r w:rsidRPr="00BC4EE7">
              <w:rPr>
                <w:rFonts w:ascii="Times New Roman" w:hAnsi="Times New Roman" w:cs="Times New Roman"/>
                <w:noProof/>
                <w:sz w:val="18"/>
              </w:rPr>
              <w:t xml:space="preserve">Legalább 40 000 000 EUR összegű kumulatív költségvetés a következőkhöz való hozzájárulásra: a) a Nemzeti Prado Múzeum és a Reina Sofia Múzeum fellendítése és digitalizálása; </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 spanyol nemzeti könyvtár digitális gyűjteménye éves felhasználóinak növelésére irányuló intézkedések</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 Az egyéb bibliográfiai örökség digitalizálása [digitalizált bibliográfiai örökséggyűjtemények];</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A bibliográfiai örökséghez való digitális hozzáférés és a nyilvános levéltári rendszerek valamennyi típusának interoperabilitása, valamint a spanyol történelmi örökség leltári és levéltári rendszerek adattárolási kapacitásának bővítése;</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Az INAEM erőforrásainak, eszközeinek, struktúráinak és infrastruktúrájának digitalizálására és katalogizálására szolgáló integrált rendszer befejezése</w:t>
            </w:r>
          </w:p>
        </w:tc>
      </w:tr>
      <w:tr w:rsidR="00D65CB4" w:rsidRPr="00BC4EE7" w14:paraId="6111FB52" w14:textId="77777777" w:rsidTr="00572307">
        <w:trPr>
          <w:trHeight w:val="309"/>
        </w:trPr>
        <w:tc>
          <w:tcPr>
            <w:tcW w:w="830" w:type="dxa"/>
            <w:shd w:val="clear" w:color="auto" w:fill="C6EFCE"/>
            <w:noWrap/>
          </w:tcPr>
          <w:p w14:paraId="636EDFD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361</w:t>
            </w:r>
          </w:p>
        </w:tc>
        <w:tc>
          <w:tcPr>
            <w:tcW w:w="968" w:type="dxa"/>
            <w:shd w:val="clear" w:color="auto" w:fill="C6EFCE"/>
            <w:noWrap/>
          </w:tcPr>
          <w:p w14:paraId="2F8E019D"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C24.I3</w:t>
            </w:r>
          </w:p>
        </w:tc>
        <w:tc>
          <w:tcPr>
            <w:tcW w:w="929" w:type="dxa"/>
            <w:shd w:val="clear" w:color="auto" w:fill="C6EFCE"/>
            <w:noWrap/>
          </w:tcPr>
          <w:p w14:paraId="75E0BAF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1554" w:type="dxa"/>
            <w:shd w:val="clear" w:color="auto" w:fill="C6EFCE"/>
            <w:noWrap/>
          </w:tcPr>
          <w:p w14:paraId="4970F117"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 digitalizáció befejezése és a főbb kulturális szolgáltatások előmozdítása </w:t>
            </w:r>
          </w:p>
        </w:tc>
        <w:tc>
          <w:tcPr>
            <w:tcW w:w="966" w:type="dxa"/>
            <w:shd w:val="clear" w:color="auto" w:fill="C6EFCE"/>
            <w:noWrap/>
          </w:tcPr>
          <w:p w14:paraId="0CDDE01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691" w:type="dxa"/>
            <w:shd w:val="clear" w:color="auto" w:fill="C6EFCE"/>
            <w:noWrap/>
          </w:tcPr>
          <w:p w14:paraId="36EA98F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Szám</w:t>
            </w:r>
          </w:p>
        </w:tc>
        <w:tc>
          <w:tcPr>
            <w:tcW w:w="966" w:type="dxa"/>
            <w:shd w:val="clear" w:color="auto" w:fill="C6EFCE"/>
            <w:noWrap/>
          </w:tcPr>
          <w:p w14:paraId="60FA0D12"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0</w:t>
            </w:r>
          </w:p>
        </w:tc>
        <w:tc>
          <w:tcPr>
            <w:tcW w:w="691" w:type="dxa"/>
            <w:shd w:val="clear" w:color="auto" w:fill="C6EFCE"/>
            <w:noWrap/>
          </w:tcPr>
          <w:p w14:paraId="73D45C3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200</w:t>
            </w:r>
          </w:p>
        </w:tc>
        <w:tc>
          <w:tcPr>
            <w:tcW w:w="691" w:type="dxa"/>
            <w:shd w:val="clear" w:color="auto" w:fill="C6EFCE"/>
            <w:noWrap/>
          </w:tcPr>
          <w:p w14:paraId="34E3247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53" w:type="dxa"/>
            <w:shd w:val="clear" w:color="auto" w:fill="C6EFCE"/>
            <w:noWrap/>
          </w:tcPr>
          <w:p w14:paraId="08FACBC4"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2023</w:t>
            </w:r>
          </w:p>
        </w:tc>
        <w:tc>
          <w:tcPr>
            <w:tcW w:w="6646" w:type="dxa"/>
            <w:shd w:val="clear" w:color="auto" w:fill="C6EFCE"/>
            <w:noWrap/>
          </w:tcPr>
          <w:p w14:paraId="1867CC36" w14:textId="77777777" w:rsidR="00D65CB4" w:rsidRPr="00BC4EE7" w:rsidRDefault="00572307">
            <w:pPr>
              <w:spacing w:after="0" w:line="240" w:lineRule="auto"/>
              <w:rPr>
                <w:rFonts w:ascii="Times New Roman" w:eastAsia="Times New Roman" w:hAnsi="Times New Roman" w:cs="Times New Roman"/>
                <w:noProof/>
                <w:sz w:val="18"/>
              </w:rPr>
            </w:pPr>
            <w:r w:rsidRPr="00BC4EE7">
              <w:rPr>
                <w:rFonts w:ascii="Times New Roman" w:hAnsi="Times New Roman" w:cs="Times New Roman"/>
                <w:noProof/>
                <w:sz w:val="18"/>
              </w:rPr>
              <w:t>Legalább 200 projekt lezárása a jelentős károkozás elkerülését célzó technikai iránymutatásnak (2021/C58/01) megfelelően kizárási lista, valamint a vonatkozó uniós és nemzeti környezetvédelmi jogszabályoknak való megfelelés követelménye révén:</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A Nemzeti Prado Múzeum és a Reina Sofia Múzeum fellendítése és digitalizálása; </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 spanyol nemzeti könyvtár digitális gyűjteményének éves felhasználói számának növelésére irányuló intézkedések;</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A bibliográfiai örökséghez való digitális hozzáférés és a nyilvános levéltári rendszerek valamennyi típusának interoperabilitása, valamint a spanyol történelmi örökség leltári és levéltári rendszerek adattárolási kapacitásának bővítése;</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Az INAEM erőforrásainak, eszközeinek, struktúráinak és infrastruktúrájának digitalizálására és katalogizálására szolgáló integrált rendszer megvalósítása.</w:t>
            </w:r>
          </w:p>
        </w:tc>
      </w:tr>
      <w:tr w:rsidR="00D65CB4" w:rsidRPr="00BC4EE7" w14:paraId="111C0343" w14:textId="77777777" w:rsidTr="00572307">
        <w:trPr>
          <w:trHeight w:val="309"/>
        </w:trPr>
        <w:tc>
          <w:tcPr>
            <w:tcW w:w="830" w:type="dxa"/>
            <w:shd w:val="clear" w:color="auto" w:fill="C6EFCE"/>
            <w:noWrap/>
          </w:tcPr>
          <w:p w14:paraId="09E3727A"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362</w:t>
            </w:r>
          </w:p>
        </w:tc>
        <w:tc>
          <w:tcPr>
            <w:tcW w:w="968" w:type="dxa"/>
            <w:shd w:val="clear" w:color="auto" w:fill="C6EFCE"/>
            <w:noWrap/>
          </w:tcPr>
          <w:p w14:paraId="75AB6532"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C24.I3</w:t>
            </w:r>
          </w:p>
        </w:tc>
        <w:tc>
          <w:tcPr>
            <w:tcW w:w="929" w:type="dxa"/>
            <w:shd w:val="clear" w:color="auto" w:fill="C6EFCE"/>
            <w:noWrap/>
          </w:tcPr>
          <w:p w14:paraId="4B5615D1"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1554" w:type="dxa"/>
            <w:shd w:val="clear" w:color="auto" w:fill="C6EFCE"/>
            <w:noWrap/>
          </w:tcPr>
          <w:p w14:paraId="408FC712" w14:textId="77777777" w:rsidR="00D65CB4" w:rsidRPr="00BC4EE7" w:rsidRDefault="00572307">
            <w:pPr>
              <w:pStyle w:val="P68B1DB1-Normal12"/>
              <w:spacing w:after="0" w:line="240" w:lineRule="auto"/>
              <w:rPr>
                <w:rFonts w:cs="Times New Roman"/>
                <w:noProof/>
              </w:rPr>
            </w:pPr>
            <w:r w:rsidRPr="00BC4EE7">
              <w:rPr>
                <w:rFonts w:cs="Times New Roman"/>
                <w:noProof/>
              </w:rPr>
              <w:t xml:space="preserve">A bibliográfiai örökség digitalizálásának befejezése </w:t>
            </w:r>
          </w:p>
        </w:tc>
        <w:tc>
          <w:tcPr>
            <w:tcW w:w="966" w:type="dxa"/>
            <w:shd w:val="clear" w:color="auto" w:fill="C6EFCE"/>
            <w:noWrap/>
          </w:tcPr>
          <w:p w14:paraId="66D4D6B4"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 xml:space="preserve"> </w:t>
            </w:r>
          </w:p>
        </w:tc>
        <w:tc>
          <w:tcPr>
            <w:tcW w:w="691" w:type="dxa"/>
            <w:shd w:val="clear" w:color="auto" w:fill="C6EFCE"/>
            <w:noWrap/>
          </w:tcPr>
          <w:p w14:paraId="0E3D9714"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Száma (millió fő)</w:t>
            </w:r>
          </w:p>
        </w:tc>
        <w:tc>
          <w:tcPr>
            <w:tcW w:w="966" w:type="dxa"/>
            <w:shd w:val="clear" w:color="auto" w:fill="C6EFCE"/>
            <w:noWrap/>
          </w:tcPr>
          <w:p w14:paraId="6BD98C04"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10</w:t>
            </w:r>
          </w:p>
        </w:tc>
        <w:tc>
          <w:tcPr>
            <w:tcW w:w="691" w:type="dxa"/>
            <w:shd w:val="clear" w:color="auto" w:fill="C6EFCE"/>
            <w:noWrap/>
          </w:tcPr>
          <w:p w14:paraId="13DD66AC"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12</w:t>
            </w:r>
          </w:p>
        </w:tc>
        <w:tc>
          <w:tcPr>
            <w:tcW w:w="691" w:type="dxa"/>
            <w:shd w:val="clear" w:color="auto" w:fill="C6EFCE"/>
            <w:noWrap/>
          </w:tcPr>
          <w:p w14:paraId="2FB899A5"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553" w:type="dxa"/>
            <w:shd w:val="clear" w:color="auto" w:fill="C6EFCE"/>
            <w:noWrap/>
          </w:tcPr>
          <w:p w14:paraId="57EB1B84"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2023</w:t>
            </w:r>
          </w:p>
        </w:tc>
        <w:tc>
          <w:tcPr>
            <w:tcW w:w="6646" w:type="dxa"/>
            <w:shd w:val="clear" w:color="auto" w:fill="C6EFCE"/>
            <w:noWrap/>
          </w:tcPr>
          <w:p w14:paraId="718B8937" w14:textId="77777777" w:rsidR="00D65CB4" w:rsidRPr="00BC4EE7" w:rsidRDefault="00572307">
            <w:pPr>
              <w:pStyle w:val="P68B1DB1-Normal12"/>
              <w:spacing w:after="0" w:line="240" w:lineRule="auto"/>
              <w:rPr>
                <w:rFonts w:cs="Times New Roman"/>
                <w:noProof/>
              </w:rPr>
            </w:pPr>
            <w:r w:rsidRPr="00BC4EE7">
              <w:rPr>
                <w:rFonts w:cs="Times New Roman"/>
                <w:noProof/>
              </w:rPr>
              <w:t>A bibliográfiai örökség digitalizálása (köz- és magángyűjtemények) (összesen 12 millió örökségfelhasználó/gyűjtemény digitalizált)</w:t>
            </w:r>
          </w:p>
        </w:tc>
      </w:tr>
    </w:tbl>
    <w:p w14:paraId="3AB46BF3" w14:textId="5E8B3104" w:rsidR="00D65CB4" w:rsidRPr="00BC4EE7" w:rsidRDefault="00D65CB4">
      <w:pPr>
        <w:keepNext/>
        <w:spacing w:before="120" w:after="360" w:line="240" w:lineRule="auto"/>
        <w:rPr>
          <w:rFonts w:ascii="Times New Roman" w:hAnsi="Times New Roman" w:cs="Times New Roman"/>
          <w:b/>
          <w:smallCaps/>
          <w:noProof/>
          <w:sz w:val="28"/>
        </w:rPr>
        <w:sectPr w:rsidR="00D65CB4" w:rsidRPr="00BC4EE7" w:rsidSect="00B511EF">
          <w:headerReference w:type="even" r:id="rId484"/>
          <w:headerReference w:type="default" r:id="rId485"/>
          <w:footerReference w:type="even" r:id="rId486"/>
          <w:footerReference w:type="default" r:id="rId487"/>
          <w:headerReference w:type="first" r:id="rId488"/>
          <w:footerReference w:type="first" r:id="rId489"/>
          <w:pgSz w:w="16839" w:h="11907" w:orient="landscape"/>
          <w:pgMar w:top="1134" w:right="1134" w:bottom="1134" w:left="1134" w:header="567" w:footer="567" w:gutter="0"/>
          <w:cols w:space="720"/>
          <w:docGrid w:linePitch="360"/>
        </w:sectPr>
      </w:pPr>
    </w:p>
    <w:p w14:paraId="60B46F4E" w14:textId="77777777" w:rsidR="00D65CB4" w:rsidRPr="00BC4EE7" w:rsidRDefault="00572307">
      <w:pPr>
        <w:pStyle w:val="P68B1DB1-Heading12"/>
        <w:rPr>
          <w:rFonts w:cs="Times New Roman"/>
          <w:noProof/>
        </w:rPr>
      </w:pPr>
      <w:r w:rsidRPr="00BC4EE7">
        <w:rPr>
          <w:rFonts w:cs="Times New Roman"/>
          <w:noProof/>
        </w:rPr>
        <w:t>Y. 25. KOMPONENS: Spanyolország audiovizuális központja</w:t>
      </w:r>
    </w:p>
    <w:p w14:paraId="051EE69F" w14:textId="77777777" w:rsidR="00D65CB4" w:rsidRPr="00BC4EE7" w:rsidRDefault="00572307">
      <w:pPr>
        <w:pStyle w:val="P68B1DB1-Normal4"/>
        <w:tabs>
          <w:tab w:val="left" w:pos="1134"/>
        </w:tabs>
        <w:spacing w:before="120" w:after="120" w:line="240" w:lineRule="auto"/>
        <w:jc w:val="both"/>
        <w:rPr>
          <w:rFonts w:cs="Times New Roman"/>
          <w:noProof/>
        </w:rPr>
      </w:pPr>
      <w:r w:rsidRPr="00BC4EE7">
        <w:rPr>
          <w:rFonts w:cs="Times New Roman"/>
          <w:noProof/>
        </w:rPr>
        <w:t xml:space="preserve">A spanyol helyreállítási és rezilienciaépítési terv e komponense egy sor beruházást és reformot foglal magában, amelyek célja az audiovizuális ágazat újjáélesztése és megerősítése. Célja a beruházási környezet javítása, Spanyolországnak az audiovizuális beruházások nemzetközi platformjaként való megszilárdítása, valamint Spanyolország referenciaként való felvétele az audiovizuális termékek – többek között a videojátékok és a digitális alkotás – exportjában. Ez a komponens magában foglalja a vállalkozások nemzetközivé válásának előmozdítására, az ágazaton belüli innováció fokozására és a jobb szabályozás végrehajtására irányuló intézkedéseket is. </w:t>
      </w:r>
    </w:p>
    <w:p w14:paraId="0D8208BA" w14:textId="77777777" w:rsidR="00D65CB4" w:rsidRPr="00BC4EE7" w:rsidRDefault="00572307">
      <w:pPr>
        <w:pStyle w:val="P68B1DB1-Normal4"/>
        <w:tabs>
          <w:tab w:val="left" w:pos="1134"/>
        </w:tabs>
        <w:spacing w:before="120" w:after="120" w:line="240" w:lineRule="auto"/>
        <w:jc w:val="both"/>
        <w:rPr>
          <w:rFonts w:cs="Times New Roman"/>
          <w:noProof/>
        </w:rPr>
      </w:pPr>
      <w:r w:rsidRPr="00BC4EE7">
        <w:rPr>
          <w:rFonts w:cs="Times New Roman"/>
          <w:noProof/>
        </w:rPr>
        <w:t xml:space="preserve">A „Spanyolország Digitális 2025” tervvel és a nemrégiben jóváhagyott „Spanyolország audiovizuális európai audiovizuális központ” tervvel összhangban a komponens várhatóan támogatni fogja a munkahelyteremtést, különösen a fiatalok és az idegenforgalmi ágazat körében, és olyan intézkedéseket is tartalmaz, amelyek csökkentik a nemek közötti szakadékot. </w:t>
      </w:r>
    </w:p>
    <w:p w14:paraId="50958C6E" w14:textId="77777777" w:rsidR="00D65CB4" w:rsidRPr="00BC4EE7" w:rsidRDefault="00572307">
      <w:pPr>
        <w:pStyle w:val="P68B1DB1-Normal4"/>
        <w:tabs>
          <w:tab w:val="left" w:pos="1134"/>
        </w:tabs>
        <w:spacing w:before="120" w:after="120" w:line="240" w:lineRule="auto"/>
        <w:jc w:val="both"/>
        <w:rPr>
          <w:rFonts w:cs="Times New Roman"/>
          <w:noProof/>
        </w:rPr>
      </w:pPr>
      <w:r w:rsidRPr="00BC4EE7">
        <w:rPr>
          <w:rFonts w:cs="Times New Roman"/>
          <w:noProof/>
        </w:rPr>
        <w:t>A komponens az innovációs beruházások előmozdításáról szóló országspecifikus ajánlásokkal (2019. évi 3. országspecifikus ajánlás), valamint a beruházásoknak a zöld és digitális átállásra való összpontosításával foglalkozik (2020. évi 3. országspecifikus ajánlás).</w:t>
      </w:r>
    </w:p>
    <w:p w14:paraId="14392F08" w14:textId="77777777" w:rsidR="00D65CB4" w:rsidRPr="00BC4EE7" w:rsidRDefault="00572307">
      <w:pPr>
        <w:pStyle w:val="P68B1DB1-Normal4"/>
        <w:tabs>
          <w:tab w:val="left" w:pos="1134"/>
        </w:tabs>
        <w:spacing w:before="120" w:after="120" w:line="240" w:lineRule="auto"/>
        <w:jc w:val="both"/>
        <w:rPr>
          <w:rFonts w:cs="Times New Roman"/>
          <w:noProof/>
        </w:rPr>
      </w:pPr>
      <w:r w:rsidRPr="00BC4EE7">
        <w:rPr>
          <w:rFonts w:cs="Times New Roman"/>
          <w:noProof/>
        </w:rPr>
        <w:t xml:space="preserve">A jelentős károkozás elkerülését célzó elvről szóló technikai iránymutatásnak (2021/C58/01) megfelelően a helyreállítási és rezilienciaépítési tervben meghatározott intézkedések leírását és a helyreállítási és rezilienciaépítési tervben meghatározott enyhítő lépéseket figyelembe véve ebben a komponensben várhatóan egyetlen intézkedés sem sérti jelentős mértékben az (EU) 2020/852 rendelet 17. cikke szerinti környezeti célkitűzéseket. </w:t>
      </w:r>
    </w:p>
    <w:p w14:paraId="70CDFBED" w14:textId="77777777" w:rsidR="00D65CB4" w:rsidRPr="00BC4EE7" w:rsidRDefault="00572307">
      <w:pPr>
        <w:spacing w:before="120" w:after="120" w:line="240" w:lineRule="auto"/>
        <w:ind w:left="720"/>
        <w:jc w:val="both"/>
        <w:rPr>
          <w:rFonts w:ascii="Times New Roman" w:hAnsi="Times New Roman" w:cs="Times New Roman"/>
          <w:b/>
          <w:i/>
          <w:noProof/>
          <w:sz w:val="24"/>
        </w:rPr>
      </w:pPr>
      <w:r w:rsidRPr="00BC4EE7">
        <w:rPr>
          <w:rFonts w:ascii="Times New Roman" w:hAnsi="Times New Roman" w:cs="Times New Roman"/>
          <w:b/>
          <w:noProof/>
          <w:sz w:val="24"/>
          <w:u w:val="single"/>
        </w:rPr>
        <w:t xml:space="preserve">Y.1.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Vissza nem térítendő pénzügyi támogatás – a reformok és beruházások ismertetése</w:t>
      </w:r>
    </w:p>
    <w:p w14:paraId="2946B1E1"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 xml:space="preserve">Reform (C25.R1):  Az audiovizuális szabályozási keret reformja </w:t>
      </w:r>
    </w:p>
    <w:p w14:paraId="1822C51B"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Az audiovizuális szabályozási keret reformja két törvény elfogadását és egy ágazati terv jóváhagyását foglalja magában:</w:t>
      </w:r>
    </w:p>
    <w:p w14:paraId="08F05169" w14:textId="77777777" w:rsidR="00D65CB4" w:rsidRPr="00BC4EE7" w:rsidRDefault="00572307">
      <w:pPr>
        <w:pStyle w:val="P68B1DB1-Normal4"/>
        <w:numPr>
          <w:ilvl w:val="0"/>
          <w:numId w:val="161"/>
        </w:numPr>
        <w:spacing w:before="120" w:after="120" w:line="240" w:lineRule="auto"/>
        <w:jc w:val="both"/>
        <w:rPr>
          <w:rFonts w:cs="Times New Roman"/>
          <w:noProof/>
        </w:rPr>
      </w:pPr>
      <w:r w:rsidRPr="00BC4EE7">
        <w:rPr>
          <w:rFonts w:cs="Times New Roman"/>
          <w:noProof/>
        </w:rPr>
        <w:t xml:space="preserve">Az audiovizuális kommunikációról szóló általános törvény hatálybalépése, amelynek célkitűzései eltérőek. Először is a spanyolországi audiovizuális médiaszolgáltatásokra és a platform videocsere-szolgáltatásokra vonatkozó jogi keret kiigazítása és korszerűsítése. Másodszor, olyan mechanizmusok létrehozása, amelyek garantálják a felhasználók jogait, mint például a kiskorúak és a nyilvánosság bizonyos típusú tartalmakkal szembeni védelme. Harmadszor, az európai audiovizuális munka előmozdítása a független audiovizuális alkotások támogatásának megkétszerezésével. Negyedszer, a fogyatékossággal élő személyek integrációjának javítása. A törvény 2022 első negyedévének végén lép hatályba. </w:t>
      </w:r>
    </w:p>
    <w:p w14:paraId="066FF041" w14:textId="77777777" w:rsidR="00D65CB4" w:rsidRPr="00BC4EE7" w:rsidRDefault="00572307">
      <w:pPr>
        <w:pStyle w:val="P68B1DB1-Normal4"/>
        <w:numPr>
          <w:ilvl w:val="0"/>
          <w:numId w:val="161"/>
        </w:numPr>
        <w:spacing w:before="120" w:after="120" w:line="240" w:lineRule="auto"/>
        <w:jc w:val="both"/>
        <w:rPr>
          <w:rFonts w:cs="Times New Roman"/>
          <w:noProof/>
        </w:rPr>
      </w:pPr>
      <w:r w:rsidRPr="00BC4EE7">
        <w:rPr>
          <w:rFonts w:cs="Times New Roman"/>
          <w:noProof/>
        </w:rPr>
        <w:t xml:space="preserve">A filmművészetről szóló 55/2007. sz. törvény reformja, amelynek célja i. a törvény rendelkezéseinek hozzáigazítása az ágazat új valóságához; a szabályozási keret összehangolása az európai jogi kerettel, beleértve az állami támogatásokra vonatkozó szabályokat is; valamint iii. az audiovizuális ágazat pénzügyi támogatására szolgáló mechanizmus aktualizálása és módosítása. Ezt 2023. december 31-ig kell megadni.   </w:t>
      </w:r>
    </w:p>
    <w:p w14:paraId="0F60AF8E" w14:textId="77777777" w:rsidR="00D65CB4" w:rsidRPr="00BC4EE7" w:rsidRDefault="00572307">
      <w:pPr>
        <w:pStyle w:val="P68B1DB1-Normal4"/>
        <w:numPr>
          <w:ilvl w:val="0"/>
          <w:numId w:val="161"/>
        </w:numPr>
        <w:spacing w:before="120" w:after="120" w:line="240" w:lineRule="auto"/>
        <w:jc w:val="both"/>
        <w:rPr>
          <w:rFonts w:cs="Times New Roman"/>
          <w:noProof/>
        </w:rPr>
      </w:pPr>
      <w:r w:rsidRPr="00BC4EE7">
        <w:rPr>
          <w:rFonts w:cs="Times New Roman"/>
          <w:noProof/>
        </w:rPr>
        <w:t>A „Spanyolország audiovizuális központ Európa számára” elnevezésű terv elfogadása és végrehajtása, amelynek célja, hogy Spanyolország globális beruházási platformmá váljon, vonzza a külföldi befektetéseket és audiovizuális termékeket exportáljon. Ezt a tervet a Miniszterek Tanácsa 2021 márciusában fogadta el. Ide tartoznak az audiovizuális ipar teljes értékláncának javítására irányuló beruházások, amelyek Spanyolországnak az ágazaton belüli komparatív előnyein alapulnak, beleértve a jól működő audiovizuális ágazatot, a jól képzett humántőkét és a globálisan elismert kreatív kapacitást. A terv magában foglalja az audiovizuális ágazat valamennyi formátumát (például filmszínházat, sorozatot, reklámot, videojátékot és animációt). A spanyolországi audiovizuális központ célja, hogy szinergiákat alakítson ki más ágazatokkal, például a kultúrával és az idegenforgalommal. A benne foglalt intézkedések négy prioritásra épülnek: i. Spanyolországnak az audiovizuális alkotások vonzerejének központjává való alakítása, ii. az ágazathoz kapcsolódó adminisztratív és szabályozási költségek csökkentése, iii. az ágazatban működő vállalkozások versenyképességének javítása a digitalizációba való beruházás révén, valamint iv. tehetségteremtés és a nemek közötti szakadék csökkentése.</w:t>
      </w:r>
    </w:p>
    <w:p w14:paraId="0B3B8812"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Az intézkedés végrehajtását 2023. december 31-ig be kell fejezni. </w:t>
      </w:r>
    </w:p>
    <w:p w14:paraId="05DFD7D6"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 xml:space="preserve">Beruházás (C25.I1): Az audiovizuális ágazat előmozdítását, korszerűsítését és digitalizálását célzó program </w:t>
      </w:r>
    </w:p>
    <w:p w14:paraId="7767D02E"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 beruházás célja az audiovizuális ágazat üzleti és kreatív szerkezetének versenyképességének és ellenálló képességének javítása, valamint az ágazat nemzetközivé válásának előmozdítása és a külföldi befektetések vonzása. Ehhez a beruházáson belül három különálló program létezik. </w:t>
      </w:r>
    </w:p>
    <w:p w14:paraId="64AA71B0" w14:textId="77777777" w:rsidR="00D65CB4" w:rsidRPr="00BC4EE7" w:rsidRDefault="00572307">
      <w:pPr>
        <w:pStyle w:val="P68B1DB1-Normal4"/>
        <w:numPr>
          <w:ilvl w:val="0"/>
          <w:numId w:val="160"/>
        </w:numPr>
        <w:spacing w:before="120" w:after="120" w:line="240" w:lineRule="auto"/>
        <w:jc w:val="both"/>
        <w:rPr>
          <w:rFonts w:cs="Times New Roman"/>
          <w:noProof/>
        </w:rPr>
      </w:pPr>
      <w:r w:rsidRPr="00BC4EE7">
        <w:rPr>
          <w:rFonts w:cs="Times New Roman"/>
          <w:noProof/>
        </w:rPr>
        <w:t xml:space="preserve">Az audiovizuális ágazat előmozdítását, korszerűsítését és digitalizálását, valamint az audiovizuális ágazat üzleti és kreatív szerkezetének versenyképességét és ellenálló képességét javító program. A programnak támogatnia kell továbbá a digitális technológiák bevezetését és integrálását az audiovizuális tartalmak előállításába és előmozdításába, valamint az alkotók javadalmazási eszközének digitalizálásába. </w:t>
      </w:r>
    </w:p>
    <w:p w14:paraId="79D86C3D" w14:textId="77777777" w:rsidR="00D65CB4" w:rsidRPr="00BC4EE7" w:rsidRDefault="00572307">
      <w:pPr>
        <w:pStyle w:val="P68B1DB1-Normal4"/>
        <w:numPr>
          <w:ilvl w:val="0"/>
          <w:numId w:val="160"/>
        </w:numPr>
        <w:spacing w:before="120" w:after="120" w:line="240" w:lineRule="auto"/>
        <w:jc w:val="both"/>
        <w:rPr>
          <w:rFonts w:cs="Times New Roman"/>
          <w:noProof/>
        </w:rPr>
      </w:pPr>
      <w:r w:rsidRPr="00BC4EE7">
        <w:rPr>
          <w:rFonts w:cs="Times New Roman"/>
          <w:noProof/>
        </w:rPr>
        <w:t xml:space="preserve">Az audiovizuális ágazat internalizálását előmozdító program az audiovizuális üzleti konferenciákon, platformokon és projektfejlesztő laboratóriumokban és vásárokon való részvétel révén. A cél különböző mechanizmusok bevezetése a spanyol audiovizuális iparban rejlő lehetőségek teljes körű kiaknázása és a helyi tehetségek globális környezetben való népszerűsítése érdekében. </w:t>
      </w:r>
    </w:p>
    <w:p w14:paraId="7EBD514C" w14:textId="77777777" w:rsidR="00D65CB4" w:rsidRPr="00BC4EE7" w:rsidRDefault="00572307">
      <w:pPr>
        <w:pStyle w:val="P68B1DB1-Normal4"/>
        <w:numPr>
          <w:ilvl w:val="0"/>
          <w:numId w:val="160"/>
        </w:numPr>
        <w:spacing w:before="120" w:after="120" w:line="240" w:lineRule="auto"/>
        <w:jc w:val="both"/>
        <w:rPr>
          <w:rFonts w:cs="Times New Roman"/>
          <w:noProof/>
        </w:rPr>
      </w:pPr>
      <w:r w:rsidRPr="00BC4EE7">
        <w:rPr>
          <w:rFonts w:cs="Times New Roman"/>
          <w:noProof/>
        </w:rPr>
        <w:t xml:space="preserve">Az audiovizuális ágazatba irányuló közvetlen külföldi befektetések vonzó befektetési környezet létrehozása, az adminisztratív terhek csökkentése és a különböző adminisztratív eljárások megkönnyítése révén történő vonzására irányuló program (amely magában foglalja az általános, regionális és helyi szintű közigazgatással való kapcsolatokat).  </w:t>
      </w:r>
    </w:p>
    <w:p w14:paraId="3FE4DB9A"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Ezt a beruházást köz- és magánszervezetekkel kötött megállapodások, a digitális technológiák audiovizuális termékekbe és szolgáltatásokba való beépítését támogató pályázati felhívások, a különböző formátumú audiovizuális és digitális tartalmak létrehozására és fejlesztésére irányuló innováció támogatására irányuló felhívások, az audiovizuális ágazat digitalizálása és adatelemzése, az audiovizuális tartalmak nemzetközi promócióját és digitális forgalmazását szolgáló új eszközök, például az online B2B és B2C eszközök révén kell megvalósítani. </w:t>
      </w:r>
    </w:p>
    <w:p w14:paraId="49C97AB0"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Ez a beruházás a vállalkozásokat, a szakembereket és az audiovizuális értéklánc valamennyi szereplőjét célozza meg, és különös figyelmet fordít az audiovizuális tartalmakat előállító kkv-kra, az alkotók javadalmazásának kezelésére szakosodott kkv-kra, valamint az olyan technológiai tanácsadó cégekre, amelyek valamennyi érdekelt fél számára nyitott platformokat fejleszthetnek. </w:t>
      </w:r>
    </w:p>
    <w:p w14:paraId="51748050" w14:textId="2A985A19" w:rsidR="00D65CB4" w:rsidRPr="00BC4EE7" w:rsidRDefault="00572307">
      <w:pPr>
        <w:pStyle w:val="P68B1DB1-Normal4"/>
        <w:spacing w:before="120" w:after="120" w:line="240" w:lineRule="auto"/>
        <w:jc w:val="both"/>
        <w:rPr>
          <w:rFonts w:cs="Times New Roman"/>
          <w:noProof/>
        </w:rPr>
      </w:pPr>
      <w:r w:rsidRPr="00BC4EE7">
        <w:rPr>
          <w:rFonts w:cs="Times New Roman"/>
          <w:noProof/>
        </w:rPr>
        <w:t>Az intézkedés végrehajtását 2024. december 31-ig be kell fejezni.</w:t>
      </w:r>
    </w:p>
    <w:p w14:paraId="7D6B56C0" w14:textId="77777777" w:rsidR="00D65CB4" w:rsidRPr="00BC4EE7" w:rsidRDefault="00572307">
      <w:pPr>
        <w:spacing w:before="120" w:after="120" w:line="240" w:lineRule="auto"/>
        <w:ind w:left="720"/>
        <w:jc w:val="both"/>
        <w:rPr>
          <w:rFonts w:ascii="Times New Roman" w:hAnsi="Times New Roman" w:cs="Times New Roman"/>
          <w:b/>
          <w:noProof/>
          <w:sz w:val="24"/>
          <w:u w:val="single"/>
        </w:rPr>
      </w:pPr>
      <w:r w:rsidRPr="00BC4EE7">
        <w:rPr>
          <w:rFonts w:ascii="Times New Roman" w:hAnsi="Times New Roman" w:cs="Times New Roman"/>
          <w:b/>
          <w:noProof/>
          <w:sz w:val="24"/>
          <w:u w:val="single"/>
        </w:rPr>
        <w:t xml:space="preserve">Y.2.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Vissza nem térítendő pénzügyi támogatás – a végrehajtáshoz és a nyomon követéshez kapcsolódó mérföldkövek, célok, mutatók és ütemterv</w:t>
      </w:r>
    </w:p>
    <w:p w14:paraId="19EBEDDA" w14:textId="77777777" w:rsidR="00D65CB4" w:rsidRPr="00BC4EE7" w:rsidRDefault="00572307">
      <w:pPr>
        <w:pStyle w:val="P68B1DB1-Normal4"/>
        <w:spacing w:before="120" w:after="120" w:line="240" w:lineRule="auto"/>
        <w:rPr>
          <w:rFonts w:cs="Times New Roman"/>
          <w:b/>
          <w:noProof/>
          <w:u w:val="single"/>
        </w:rPr>
      </w:pPr>
      <w:r w:rsidRPr="00BC4EE7">
        <w:rPr>
          <w:rFonts w:cs="Times New Roman"/>
          <w:i/>
          <w:noProof/>
        </w:rPr>
        <w:t>Táblázat alább.</w:t>
      </w:r>
      <w:r w:rsidRPr="00BC4EE7">
        <w:rPr>
          <w:rFonts w:cs="Times New Roman"/>
          <w:noProof/>
        </w:rPr>
        <w:t xml:space="preserve"> </w:t>
      </w:r>
      <w:r w:rsidRPr="00BC4EE7">
        <w:rPr>
          <w:rFonts w:cs="Times New Roman"/>
          <w:i/>
          <w:noProof/>
        </w:rPr>
        <w:t>Az összes mutató esetében a kiindulási időpont a tevékenység kezdete, kivéve, ha a tevékenység leírása ettől eltérően rendelkezik. A táblázatban szereplő összegek nem tartalmazzák a héát.</w:t>
      </w:r>
    </w:p>
    <w:p w14:paraId="0B107F78" w14:textId="77777777" w:rsidR="00D65CB4" w:rsidRPr="00BC4EE7" w:rsidRDefault="00D65CB4">
      <w:pPr>
        <w:rPr>
          <w:rFonts w:ascii="Times New Roman" w:hAnsi="Times New Roman" w:cs="Times New Roman"/>
          <w:b/>
          <w:noProof/>
          <w:sz w:val="24"/>
          <w:u w:val="single"/>
        </w:rPr>
        <w:sectPr w:rsidR="00D65CB4" w:rsidRPr="00BC4EE7" w:rsidSect="00B511EF">
          <w:headerReference w:type="even" r:id="rId490"/>
          <w:headerReference w:type="default" r:id="rId491"/>
          <w:footerReference w:type="even" r:id="rId492"/>
          <w:footerReference w:type="default" r:id="rId493"/>
          <w:headerReference w:type="first" r:id="rId494"/>
          <w:footerReference w:type="first" r:id="rId495"/>
          <w:pgSz w:w="11907" w:h="16839"/>
          <w:pgMar w:top="1134" w:right="1134" w:bottom="1134" w:left="1134" w:header="567" w:footer="567" w:gutter="0"/>
          <w:cols w:space="720"/>
          <w:docGrid w:linePitch="360"/>
        </w:sectPr>
      </w:pPr>
    </w:p>
    <w:p w14:paraId="12F6C5B6" w14:textId="77777777" w:rsidR="00D65CB4" w:rsidRPr="00BC4EE7" w:rsidRDefault="00D65CB4">
      <w:pPr>
        <w:spacing w:before="120" w:after="120" w:line="240" w:lineRule="auto"/>
        <w:jc w:val="both"/>
        <w:rPr>
          <w:rFonts w:ascii="Times New Roman" w:hAnsi="Times New Roman" w:cs="Times New Roman"/>
          <w:b/>
          <w:noProof/>
          <w:sz w:val="24"/>
          <w:u w:val="single"/>
        </w:rPr>
      </w:pPr>
    </w:p>
    <w:tbl>
      <w:tblPr>
        <w:tblW w:w="15452"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10"/>
        <w:gridCol w:w="952"/>
        <w:gridCol w:w="890"/>
        <w:gridCol w:w="2281"/>
        <w:gridCol w:w="966"/>
        <w:gridCol w:w="829"/>
        <w:gridCol w:w="966"/>
        <w:gridCol w:w="553"/>
        <w:gridCol w:w="415"/>
        <w:gridCol w:w="553"/>
        <w:gridCol w:w="6337"/>
      </w:tblGrid>
      <w:tr w:rsidR="00D65CB4" w:rsidRPr="00BC4EE7" w14:paraId="3F5F0FEE" w14:textId="77777777" w:rsidTr="00572307">
        <w:trPr>
          <w:trHeight w:val="309"/>
          <w:tblHeader/>
        </w:trPr>
        <w:tc>
          <w:tcPr>
            <w:tcW w:w="710" w:type="dxa"/>
            <w:tcBorders>
              <w:bottom w:val="nil"/>
            </w:tcBorders>
            <w:shd w:val="clear" w:color="auto" w:fill="C6D9F1" w:themeFill="text2" w:themeFillTint="33"/>
            <w:noWrap/>
            <w:vAlign w:val="center"/>
          </w:tcPr>
          <w:p w14:paraId="200B838D" w14:textId="5F6ED304" w:rsidR="00D65CB4" w:rsidRPr="00BC4EE7" w:rsidRDefault="00572307">
            <w:pPr>
              <w:pStyle w:val="P68B1DB1-Normal8"/>
              <w:spacing w:after="0" w:line="240" w:lineRule="auto"/>
              <w:jc w:val="center"/>
              <w:rPr>
                <w:rFonts w:cs="Times New Roman"/>
                <w:noProof/>
              </w:rPr>
            </w:pPr>
            <w:r w:rsidRPr="00BC4EE7">
              <w:rPr>
                <w:rFonts w:cs="Times New Roman"/>
                <w:noProof/>
              </w:rPr>
              <w:t>Szám</w:t>
            </w:r>
          </w:p>
        </w:tc>
        <w:tc>
          <w:tcPr>
            <w:tcW w:w="952" w:type="dxa"/>
            <w:tcBorders>
              <w:bottom w:val="nil"/>
            </w:tcBorders>
            <w:shd w:val="clear" w:color="auto" w:fill="C6D9F1" w:themeFill="text2" w:themeFillTint="33"/>
            <w:noWrap/>
            <w:vAlign w:val="center"/>
          </w:tcPr>
          <w:p w14:paraId="74C2870B"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Intézkedés</w:t>
            </w:r>
          </w:p>
        </w:tc>
        <w:tc>
          <w:tcPr>
            <w:tcW w:w="890" w:type="dxa"/>
            <w:tcBorders>
              <w:bottom w:val="nil"/>
            </w:tcBorders>
            <w:shd w:val="clear" w:color="auto" w:fill="C6D9F1" w:themeFill="text2" w:themeFillTint="33"/>
            <w:noWrap/>
            <w:vAlign w:val="center"/>
          </w:tcPr>
          <w:p w14:paraId="65C3B47E" w14:textId="77777777" w:rsidR="00D65CB4" w:rsidRPr="00BC4EE7" w:rsidRDefault="00572307">
            <w:pPr>
              <w:spacing w:after="0" w:line="240" w:lineRule="auto"/>
              <w:jc w:val="center"/>
              <w:rPr>
                <w:rFonts w:ascii="Times New Roman" w:hAnsi="Times New Roman" w:cs="Times New Roman"/>
                <w:b/>
                <w:noProof/>
                <w:sz w:val="18"/>
              </w:rPr>
            </w:pPr>
            <w:r w:rsidRPr="00BC4EE7">
              <w:rPr>
                <w:rFonts w:ascii="Times New Roman" w:hAnsi="Times New Roman" w:cs="Times New Roman"/>
                <w:b/>
                <w:noProof/>
                <w:sz w:val="18"/>
              </w:rPr>
              <w:t>Mérföldkő</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b/>
                <w:noProof/>
                <w:sz w:val="18"/>
              </w:rPr>
              <w:t xml:space="preserve"> /Cél</w:t>
            </w:r>
          </w:p>
        </w:tc>
        <w:tc>
          <w:tcPr>
            <w:tcW w:w="2281" w:type="dxa"/>
            <w:tcBorders>
              <w:bottom w:val="nil"/>
            </w:tcBorders>
            <w:shd w:val="clear" w:color="auto" w:fill="C6D9F1" w:themeFill="text2" w:themeFillTint="33"/>
            <w:noWrap/>
            <w:vAlign w:val="center"/>
          </w:tcPr>
          <w:p w14:paraId="1FF03D96"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Név</w:t>
            </w:r>
          </w:p>
        </w:tc>
        <w:tc>
          <w:tcPr>
            <w:tcW w:w="966" w:type="dxa"/>
            <w:tcBorders>
              <w:bottom w:val="nil"/>
            </w:tcBorders>
            <w:shd w:val="clear" w:color="auto" w:fill="C6D9F1" w:themeFill="text2" w:themeFillTint="33"/>
            <w:noWrap/>
            <w:vAlign w:val="center"/>
          </w:tcPr>
          <w:p w14:paraId="5E7767FA"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mérföldkövek minőségi mutatója</w:t>
            </w:r>
          </w:p>
        </w:tc>
        <w:tc>
          <w:tcPr>
            <w:tcW w:w="2348" w:type="dxa"/>
            <w:gridSpan w:val="3"/>
            <w:shd w:val="clear" w:color="auto" w:fill="C6D9F1" w:themeFill="text2" w:themeFillTint="33"/>
            <w:noWrap/>
            <w:vAlign w:val="center"/>
          </w:tcPr>
          <w:p w14:paraId="25DCBC69"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célérték mennyiségi mutatója</w:t>
            </w:r>
          </w:p>
        </w:tc>
        <w:tc>
          <w:tcPr>
            <w:tcW w:w="968" w:type="dxa"/>
            <w:gridSpan w:val="2"/>
            <w:shd w:val="clear" w:color="auto" w:fill="C6D9F1" w:themeFill="text2" w:themeFillTint="33"/>
            <w:noWrap/>
            <w:vAlign w:val="center"/>
          </w:tcPr>
          <w:p w14:paraId="2034D2C6"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Idő</w:t>
            </w:r>
          </w:p>
        </w:tc>
        <w:tc>
          <w:tcPr>
            <w:tcW w:w="6337" w:type="dxa"/>
            <w:tcBorders>
              <w:bottom w:val="nil"/>
            </w:tcBorders>
            <w:shd w:val="clear" w:color="auto" w:fill="C6D9F1" w:themeFill="text2" w:themeFillTint="33"/>
            <w:noWrap/>
            <w:vAlign w:val="center"/>
          </w:tcPr>
          <w:p w14:paraId="2586CC79"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Az egyes mérföldkövek és célértékek leírása</w:t>
            </w:r>
          </w:p>
        </w:tc>
      </w:tr>
      <w:tr w:rsidR="00D65CB4" w:rsidRPr="00BC4EE7" w14:paraId="5464D46B" w14:textId="77777777" w:rsidTr="00572307">
        <w:trPr>
          <w:trHeight w:val="22"/>
          <w:tblHeader/>
        </w:trPr>
        <w:tc>
          <w:tcPr>
            <w:tcW w:w="710" w:type="dxa"/>
            <w:tcBorders>
              <w:top w:val="nil"/>
            </w:tcBorders>
            <w:shd w:val="clear" w:color="auto" w:fill="C6D9F1" w:themeFill="text2" w:themeFillTint="33"/>
            <w:noWrap/>
          </w:tcPr>
          <w:p w14:paraId="3CF2EC5C" w14:textId="77777777" w:rsidR="00D65CB4" w:rsidRPr="00BC4EE7" w:rsidRDefault="00D65CB4">
            <w:pPr>
              <w:spacing w:after="0" w:line="240" w:lineRule="auto"/>
              <w:jc w:val="center"/>
              <w:rPr>
                <w:rFonts w:ascii="Times New Roman" w:hAnsi="Times New Roman" w:cs="Times New Roman"/>
                <w:b/>
                <w:noProof/>
                <w:sz w:val="18"/>
              </w:rPr>
            </w:pPr>
          </w:p>
        </w:tc>
        <w:tc>
          <w:tcPr>
            <w:tcW w:w="952" w:type="dxa"/>
            <w:tcBorders>
              <w:top w:val="nil"/>
            </w:tcBorders>
            <w:shd w:val="clear" w:color="auto" w:fill="C6D9F1" w:themeFill="text2" w:themeFillTint="33"/>
            <w:noWrap/>
          </w:tcPr>
          <w:p w14:paraId="4E626987" w14:textId="77777777" w:rsidR="00D65CB4" w:rsidRPr="00BC4EE7" w:rsidRDefault="00D65CB4">
            <w:pPr>
              <w:spacing w:after="0" w:line="240" w:lineRule="auto"/>
              <w:jc w:val="center"/>
              <w:rPr>
                <w:rFonts w:ascii="Times New Roman" w:hAnsi="Times New Roman" w:cs="Times New Roman"/>
                <w:b/>
                <w:noProof/>
                <w:sz w:val="18"/>
              </w:rPr>
            </w:pPr>
          </w:p>
        </w:tc>
        <w:tc>
          <w:tcPr>
            <w:tcW w:w="890" w:type="dxa"/>
            <w:tcBorders>
              <w:top w:val="nil"/>
            </w:tcBorders>
            <w:shd w:val="clear" w:color="auto" w:fill="C6D9F1" w:themeFill="text2" w:themeFillTint="33"/>
            <w:noWrap/>
          </w:tcPr>
          <w:p w14:paraId="30772D4C" w14:textId="77777777" w:rsidR="00D65CB4" w:rsidRPr="00BC4EE7" w:rsidRDefault="00D65CB4">
            <w:pPr>
              <w:spacing w:after="0" w:line="240" w:lineRule="auto"/>
              <w:jc w:val="center"/>
              <w:rPr>
                <w:rFonts w:ascii="Times New Roman" w:hAnsi="Times New Roman" w:cs="Times New Roman"/>
                <w:b/>
                <w:noProof/>
                <w:sz w:val="18"/>
              </w:rPr>
            </w:pPr>
          </w:p>
        </w:tc>
        <w:tc>
          <w:tcPr>
            <w:tcW w:w="2281" w:type="dxa"/>
            <w:tcBorders>
              <w:top w:val="nil"/>
            </w:tcBorders>
            <w:shd w:val="clear" w:color="auto" w:fill="C6D9F1" w:themeFill="text2" w:themeFillTint="33"/>
            <w:noWrap/>
          </w:tcPr>
          <w:p w14:paraId="67117A80" w14:textId="77777777" w:rsidR="00D65CB4" w:rsidRPr="00BC4EE7" w:rsidRDefault="00D65CB4">
            <w:pPr>
              <w:spacing w:after="0" w:line="240" w:lineRule="auto"/>
              <w:rPr>
                <w:rFonts w:ascii="Times New Roman" w:hAnsi="Times New Roman" w:cs="Times New Roman"/>
                <w:b/>
                <w:noProof/>
                <w:sz w:val="18"/>
              </w:rPr>
            </w:pPr>
          </w:p>
        </w:tc>
        <w:tc>
          <w:tcPr>
            <w:tcW w:w="966" w:type="dxa"/>
            <w:tcBorders>
              <w:top w:val="nil"/>
            </w:tcBorders>
            <w:shd w:val="clear" w:color="auto" w:fill="C6D9F1" w:themeFill="text2" w:themeFillTint="33"/>
            <w:noWrap/>
          </w:tcPr>
          <w:p w14:paraId="24955BB1" w14:textId="77777777" w:rsidR="00D65CB4" w:rsidRPr="00BC4EE7" w:rsidRDefault="00D65CB4">
            <w:pPr>
              <w:spacing w:after="0" w:line="240" w:lineRule="auto"/>
              <w:jc w:val="center"/>
              <w:rPr>
                <w:rFonts w:ascii="Times New Roman" w:hAnsi="Times New Roman" w:cs="Times New Roman"/>
                <w:b/>
                <w:noProof/>
                <w:sz w:val="18"/>
              </w:rPr>
            </w:pPr>
          </w:p>
        </w:tc>
        <w:tc>
          <w:tcPr>
            <w:tcW w:w="829" w:type="dxa"/>
            <w:shd w:val="clear" w:color="auto" w:fill="C6D9F1" w:themeFill="text2" w:themeFillTint="33"/>
            <w:noWrap/>
          </w:tcPr>
          <w:p w14:paraId="10EB4AF4"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Egység</w:t>
            </w:r>
          </w:p>
        </w:tc>
        <w:tc>
          <w:tcPr>
            <w:tcW w:w="966" w:type="dxa"/>
            <w:shd w:val="clear" w:color="auto" w:fill="C6D9F1" w:themeFill="text2" w:themeFillTint="33"/>
            <w:noWrap/>
          </w:tcPr>
          <w:p w14:paraId="2DA72837" w14:textId="5065571E" w:rsidR="00D65CB4" w:rsidRPr="00BC4EE7" w:rsidRDefault="00572307">
            <w:pPr>
              <w:pStyle w:val="P68B1DB1-Normal8"/>
              <w:spacing w:after="0" w:line="240" w:lineRule="auto"/>
              <w:jc w:val="center"/>
              <w:rPr>
                <w:rFonts w:cs="Times New Roman"/>
                <w:noProof/>
              </w:rPr>
            </w:pPr>
            <w:r w:rsidRPr="00BC4EE7">
              <w:rPr>
                <w:rFonts w:cs="Times New Roman"/>
                <w:noProof/>
              </w:rPr>
              <w:t>Kiindulási</w:t>
            </w:r>
          </w:p>
        </w:tc>
        <w:tc>
          <w:tcPr>
            <w:tcW w:w="553" w:type="dxa"/>
            <w:shd w:val="clear" w:color="auto" w:fill="C6D9F1" w:themeFill="text2" w:themeFillTint="33"/>
            <w:noWrap/>
          </w:tcPr>
          <w:p w14:paraId="00BE9AF4"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Cél</w:t>
            </w:r>
          </w:p>
        </w:tc>
        <w:tc>
          <w:tcPr>
            <w:tcW w:w="415" w:type="dxa"/>
            <w:shd w:val="clear" w:color="auto" w:fill="C6D9F1" w:themeFill="text2" w:themeFillTint="33"/>
            <w:noWrap/>
          </w:tcPr>
          <w:p w14:paraId="2B4B355E"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Q</w:t>
            </w:r>
          </w:p>
        </w:tc>
        <w:tc>
          <w:tcPr>
            <w:tcW w:w="553" w:type="dxa"/>
            <w:shd w:val="clear" w:color="auto" w:fill="C6D9F1" w:themeFill="text2" w:themeFillTint="33"/>
            <w:noWrap/>
          </w:tcPr>
          <w:p w14:paraId="7F4B2FDC"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Éve</w:t>
            </w:r>
          </w:p>
        </w:tc>
        <w:tc>
          <w:tcPr>
            <w:tcW w:w="6337" w:type="dxa"/>
            <w:tcBorders>
              <w:top w:val="nil"/>
            </w:tcBorders>
            <w:shd w:val="clear" w:color="auto" w:fill="C6D9F1" w:themeFill="text2" w:themeFillTint="33"/>
            <w:noWrap/>
          </w:tcPr>
          <w:p w14:paraId="02781907" w14:textId="77777777" w:rsidR="00D65CB4" w:rsidRPr="00BC4EE7" w:rsidRDefault="00D65CB4">
            <w:pPr>
              <w:spacing w:after="0" w:line="240" w:lineRule="auto"/>
              <w:rPr>
                <w:rFonts w:ascii="Times New Roman" w:hAnsi="Times New Roman" w:cs="Times New Roman"/>
                <w:b/>
                <w:noProof/>
                <w:sz w:val="18"/>
              </w:rPr>
            </w:pPr>
          </w:p>
        </w:tc>
      </w:tr>
      <w:tr w:rsidR="00D65CB4" w:rsidRPr="00BC4EE7" w14:paraId="3F3875A4" w14:textId="77777777" w:rsidTr="00572307">
        <w:trPr>
          <w:trHeight w:val="309"/>
        </w:trPr>
        <w:tc>
          <w:tcPr>
            <w:tcW w:w="710" w:type="dxa"/>
            <w:shd w:val="clear" w:color="auto" w:fill="C6EFCE"/>
            <w:noWrap/>
          </w:tcPr>
          <w:p w14:paraId="3B35F38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363</w:t>
            </w:r>
          </w:p>
        </w:tc>
        <w:tc>
          <w:tcPr>
            <w:tcW w:w="952" w:type="dxa"/>
            <w:shd w:val="clear" w:color="auto" w:fill="C6EFCE"/>
            <w:noWrap/>
          </w:tcPr>
          <w:p w14:paraId="1FCC46AE"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C25.R1</w:t>
            </w:r>
          </w:p>
        </w:tc>
        <w:tc>
          <w:tcPr>
            <w:tcW w:w="890" w:type="dxa"/>
            <w:shd w:val="clear" w:color="auto" w:fill="C6EFCE"/>
            <w:noWrap/>
          </w:tcPr>
          <w:p w14:paraId="7AC0435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2281" w:type="dxa"/>
            <w:shd w:val="clear" w:color="auto" w:fill="C6EFCE"/>
            <w:noWrap/>
          </w:tcPr>
          <w:p w14:paraId="3CE57C43"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Terv: „Spanyolország, Európa audiovizuális központja”.</w:t>
            </w:r>
          </w:p>
        </w:tc>
        <w:tc>
          <w:tcPr>
            <w:tcW w:w="966" w:type="dxa"/>
            <w:shd w:val="clear" w:color="auto" w:fill="C6EFCE"/>
            <w:noWrap/>
          </w:tcPr>
          <w:p w14:paraId="4ADCEDC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A Miniszterek Tanácsa általi jóváhagyás</w:t>
            </w:r>
          </w:p>
        </w:tc>
        <w:tc>
          <w:tcPr>
            <w:tcW w:w="829" w:type="dxa"/>
            <w:shd w:val="clear" w:color="auto" w:fill="C6EFCE"/>
            <w:noWrap/>
          </w:tcPr>
          <w:p w14:paraId="189AEA8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66" w:type="dxa"/>
            <w:shd w:val="clear" w:color="auto" w:fill="C6EFCE"/>
            <w:noWrap/>
          </w:tcPr>
          <w:p w14:paraId="0A23DA7E"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553" w:type="dxa"/>
            <w:shd w:val="clear" w:color="auto" w:fill="C6EFCE"/>
            <w:noWrap/>
          </w:tcPr>
          <w:p w14:paraId="1C81D603"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415" w:type="dxa"/>
            <w:shd w:val="clear" w:color="auto" w:fill="C6EFCE"/>
            <w:noWrap/>
          </w:tcPr>
          <w:p w14:paraId="3BFBFA7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Q1</w:t>
            </w:r>
          </w:p>
        </w:tc>
        <w:tc>
          <w:tcPr>
            <w:tcW w:w="553" w:type="dxa"/>
            <w:shd w:val="clear" w:color="auto" w:fill="C6EFCE"/>
            <w:noWrap/>
          </w:tcPr>
          <w:p w14:paraId="4CC3BA9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2021</w:t>
            </w:r>
          </w:p>
        </w:tc>
        <w:tc>
          <w:tcPr>
            <w:tcW w:w="6337" w:type="dxa"/>
            <w:shd w:val="clear" w:color="auto" w:fill="C6EFCE"/>
            <w:noWrap/>
          </w:tcPr>
          <w:p w14:paraId="0BD9D7CC"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 Miniszterek Tanácsa jóváhagyta a „Spanyolország, Európa audiovizuális központja” tervet. A terv ötvözi azokat a közberuházásokat és reformokat, amelyek célja i. az ágazat nemzetközivé tétele és Spanyolország vonzerejének növelése a külföldi beruházások célpontjaként; a szabályozási és adminisztratív költségek csökkentése; valamennyi vállalkozás versenyképességének javítása új technológiák bevezetése révén annak érdekében, hogy a vállalkozás versenyképes legyen a digitalizált piacon; valamint iv. a humán tőke előmozdítása a nemek közötti szakadék csökkentése révén. </w:t>
            </w:r>
          </w:p>
        </w:tc>
      </w:tr>
      <w:tr w:rsidR="00D65CB4" w:rsidRPr="00BC4EE7" w14:paraId="20B60638" w14:textId="77777777" w:rsidTr="00572307">
        <w:trPr>
          <w:trHeight w:val="309"/>
        </w:trPr>
        <w:tc>
          <w:tcPr>
            <w:tcW w:w="710" w:type="dxa"/>
            <w:shd w:val="clear" w:color="auto" w:fill="C6EFCE"/>
            <w:noWrap/>
          </w:tcPr>
          <w:p w14:paraId="7405E7D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364</w:t>
            </w:r>
          </w:p>
        </w:tc>
        <w:tc>
          <w:tcPr>
            <w:tcW w:w="952" w:type="dxa"/>
            <w:shd w:val="clear" w:color="auto" w:fill="C6EFCE"/>
            <w:noWrap/>
          </w:tcPr>
          <w:p w14:paraId="219B5BED"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C25.R1</w:t>
            </w:r>
          </w:p>
        </w:tc>
        <w:tc>
          <w:tcPr>
            <w:tcW w:w="890" w:type="dxa"/>
            <w:shd w:val="clear" w:color="auto" w:fill="C6EFCE"/>
            <w:noWrap/>
          </w:tcPr>
          <w:p w14:paraId="602257A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2281" w:type="dxa"/>
            <w:shd w:val="clear" w:color="auto" w:fill="C6EFCE"/>
            <w:noWrap/>
          </w:tcPr>
          <w:p w14:paraId="2089A997"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Az audiovizuális kommunikációról szóló általános törvény hatálybalépése.</w:t>
            </w:r>
          </w:p>
        </w:tc>
        <w:tc>
          <w:tcPr>
            <w:tcW w:w="966" w:type="dxa"/>
            <w:shd w:val="clear" w:color="auto" w:fill="C6EFCE"/>
            <w:noWrap/>
          </w:tcPr>
          <w:p w14:paraId="5C3BCC5D"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A hatálybalépésről szóló törvény rendelkezései</w:t>
            </w:r>
          </w:p>
        </w:tc>
        <w:tc>
          <w:tcPr>
            <w:tcW w:w="829" w:type="dxa"/>
            <w:shd w:val="clear" w:color="auto" w:fill="C6EFCE"/>
            <w:noWrap/>
          </w:tcPr>
          <w:p w14:paraId="7D1BE2B3"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66" w:type="dxa"/>
            <w:shd w:val="clear" w:color="auto" w:fill="C6EFCE"/>
            <w:noWrap/>
          </w:tcPr>
          <w:p w14:paraId="31D4E1D7"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553" w:type="dxa"/>
            <w:shd w:val="clear" w:color="auto" w:fill="C6EFCE"/>
            <w:noWrap/>
          </w:tcPr>
          <w:p w14:paraId="4EE8D5D6"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415" w:type="dxa"/>
            <w:shd w:val="clear" w:color="auto" w:fill="C6EFCE"/>
            <w:noWrap/>
          </w:tcPr>
          <w:p w14:paraId="55605FB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Q1</w:t>
            </w:r>
          </w:p>
        </w:tc>
        <w:tc>
          <w:tcPr>
            <w:tcW w:w="553" w:type="dxa"/>
            <w:shd w:val="clear" w:color="auto" w:fill="C6EFCE"/>
            <w:noWrap/>
          </w:tcPr>
          <w:p w14:paraId="6D43C0D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2022</w:t>
            </w:r>
          </w:p>
        </w:tc>
        <w:tc>
          <w:tcPr>
            <w:tcW w:w="6337" w:type="dxa"/>
            <w:shd w:val="clear" w:color="auto" w:fill="C6EFCE"/>
            <w:noWrap/>
          </w:tcPr>
          <w:p w14:paraId="5B4928FB"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Az audiovizuális kommunikációról szóló általános törvény hatálybalépése. Ez a törvény szabályozza az audiovizuális hírközlési szolgáltatások spanyolországi nyújtásának jogi keretét, és ténylegesen átülteti a nemzeti jogrendbe az audiovizuális kommunikációs szolgáltatásokról szóló (EU) 2018/1808 irányelvet. Célja a spanyolországi audiovizuális kommunikációs szolgáltatásokra és videomegosztóplatform-szolgáltatásokra alkalmazandó jogi keret kiigazítása és aktualizálása. A törvény arra is törekszik, hogy egyenlő versenyfeltételeket biztosítson a piacon jelen lévő valamennyi különböző szereplő számára. Végezetül a törvény tartalmaz néhány mechanizmust a felhasználók jogainak biztosítására (például a kiskorúak és a nyilvánosság védelme bizonyos típusú tartalmakkal szemben). </w:t>
            </w:r>
          </w:p>
        </w:tc>
      </w:tr>
      <w:tr w:rsidR="00D65CB4" w:rsidRPr="00BC4EE7" w14:paraId="1788D00F" w14:textId="77777777" w:rsidTr="00572307">
        <w:trPr>
          <w:trHeight w:val="309"/>
        </w:trPr>
        <w:tc>
          <w:tcPr>
            <w:tcW w:w="710" w:type="dxa"/>
            <w:shd w:val="clear" w:color="auto" w:fill="C6EFCE"/>
            <w:noWrap/>
          </w:tcPr>
          <w:p w14:paraId="02194E7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365</w:t>
            </w:r>
          </w:p>
        </w:tc>
        <w:tc>
          <w:tcPr>
            <w:tcW w:w="952" w:type="dxa"/>
            <w:shd w:val="clear" w:color="auto" w:fill="C6EFCE"/>
            <w:noWrap/>
          </w:tcPr>
          <w:p w14:paraId="1FE2EC1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C25.R1</w:t>
            </w:r>
          </w:p>
        </w:tc>
        <w:tc>
          <w:tcPr>
            <w:tcW w:w="890" w:type="dxa"/>
            <w:shd w:val="clear" w:color="auto" w:fill="C6EFCE"/>
            <w:noWrap/>
          </w:tcPr>
          <w:p w14:paraId="5F87FA2F"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2281" w:type="dxa"/>
            <w:shd w:val="clear" w:color="auto" w:fill="C6EFCE"/>
            <w:noWrap/>
          </w:tcPr>
          <w:p w14:paraId="7E95C705"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 A moziról szóló törvény hatálybalépése. </w:t>
            </w:r>
          </w:p>
        </w:tc>
        <w:tc>
          <w:tcPr>
            <w:tcW w:w="966" w:type="dxa"/>
            <w:shd w:val="clear" w:color="auto" w:fill="C6EFCE"/>
            <w:noWrap/>
          </w:tcPr>
          <w:p w14:paraId="530104E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A hatálybalépésről szóló törvény rendelkezései</w:t>
            </w:r>
          </w:p>
        </w:tc>
        <w:tc>
          <w:tcPr>
            <w:tcW w:w="829" w:type="dxa"/>
            <w:shd w:val="clear" w:color="auto" w:fill="C6EFCE"/>
            <w:noWrap/>
          </w:tcPr>
          <w:p w14:paraId="6924DB2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 </w:t>
            </w:r>
          </w:p>
        </w:tc>
        <w:tc>
          <w:tcPr>
            <w:tcW w:w="966" w:type="dxa"/>
            <w:shd w:val="clear" w:color="auto" w:fill="C6EFCE"/>
            <w:noWrap/>
          </w:tcPr>
          <w:p w14:paraId="45F8D9A3"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553" w:type="dxa"/>
            <w:shd w:val="clear" w:color="auto" w:fill="C6EFCE"/>
            <w:noWrap/>
          </w:tcPr>
          <w:p w14:paraId="76C213F5"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 xml:space="preserve"> </w:t>
            </w:r>
          </w:p>
        </w:tc>
        <w:tc>
          <w:tcPr>
            <w:tcW w:w="415" w:type="dxa"/>
            <w:shd w:val="clear" w:color="auto" w:fill="C6EFCE"/>
            <w:noWrap/>
          </w:tcPr>
          <w:p w14:paraId="0E84A4B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53" w:type="dxa"/>
            <w:shd w:val="clear" w:color="auto" w:fill="C6EFCE"/>
            <w:noWrap/>
          </w:tcPr>
          <w:p w14:paraId="11B03DD4"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2023</w:t>
            </w:r>
          </w:p>
        </w:tc>
        <w:tc>
          <w:tcPr>
            <w:tcW w:w="6337" w:type="dxa"/>
            <w:shd w:val="clear" w:color="auto" w:fill="C6EFCE"/>
            <w:noWrap/>
          </w:tcPr>
          <w:p w14:paraId="3140A1B8"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A filmművészeti törvény Parlament általi jóváhagyása és hatálybalépése. Ez a törvény az audiovizuális ágazat új valóságához és igényeihez igazítja a jogi keretet, hozzáigazítva a nemzeti szabályozást az európai jogi kerethez. </w:t>
            </w:r>
          </w:p>
        </w:tc>
      </w:tr>
      <w:tr w:rsidR="00D65CB4" w:rsidRPr="00BC4EE7" w14:paraId="488F4E29" w14:textId="77777777" w:rsidTr="00572307">
        <w:trPr>
          <w:trHeight w:val="309"/>
        </w:trPr>
        <w:tc>
          <w:tcPr>
            <w:tcW w:w="710" w:type="dxa"/>
            <w:shd w:val="clear" w:color="auto" w:fill="C6EFCE"/>
            <w:noWrap/>
          </w:tcPr>
          <w:p w14:paraId="76A29C79" w14:textId="77777777" w:rsidR="00D65CB4" w:rsidRPr="00BC4EE7" w:rsidRDefault="00572307">
            <w:pPr>
              <w:pStyle w:val="P68B1DB1-Normal12"/>
              <w:spacing w:after="0" w:line="240" w:lineRule="auto"/>
              <w:jc w:val="center"/>
              <w:rPr>
                <w:rFonts w:eastAsia="Times New Roman" w:cs="Times New Roman"/>
                <w:noProof/>
              </w:rPr>
            </w:pPr>
            <w:bookmarkStart w:id="60" w:name="_Hlk141276036"/>
            <w:r w:rsidRPr="00BC4EE7">
              <w:rPr>
                <w:rFonts w:cs="Times New Roman"/>
                <w:noProof/>
              </w:rPr>
              <w:t>366</w:t>
            </w:r>
          </w:p>
        </w:tc>
        <w:tc>
          <w:tcPr>
            <w:tcW w:w="952" w:type="dxa"/>
            <w:shd w:val="clear" w:color="auto" w:fill="C6EFCE"/>
            <w:noWrap/>
          </w:tcPr>
          <w:p w14:paraId="5759C3AB"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C25.I1</w:t>
            </w:r>
          </w:p>
        </w:tc>
        <w:tc>
          <w:tcPr>
            <w:tcW w:w="890" w:type="dxa"/>
            <w:shd w:val="clear" w:color="auto" w:fill="C6EFCE"/>
            <w:noWrap/>
          </w:tcPr>
          <w:p w14:paraId="29B45EC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2281" w:type="dxa"/>
            <w:shd w:val="clear" w:color="auto" w:fill="C6EFCE"/>
            <w:noWrap/>
          </w:tcPr>
          <w:p w14:paraId="07A3A73F"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kkv-k támogatása az audiovizuális ágazatban.</w:t>
            </w:r>
          </w:p>
        </w:tc>
        <w:tc>
          <w:tcPr>
            <w:tcW w:w="966" w:type="dxa"/>
            <w:shd w:val="clear" w:color="auto" w:fill="C6EFCE"/>
            <w:noWrap/>
          </w:tcPr>
          <w:p w14:paraId="2C53D7E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w:t>
            </w:r>
          </w:p>
        </w:tc>
        <w:tc>
          <w:tcPr>
            <w:tcW w:w="829" w:type="dxa"/>
            <w:shd w:val="clear" w:color="auto" w:fill="C6EFCE"/>
            <w:noWrap/>
          </w:tcPr>
          <w:p w14:paraId="278EA5B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Szám</w:t>
            </w:r>
          </w:p>
        </w:tc>
        <w:tc>
          <w:tcPr>
            <w:tcW w:w="966" w:type="dxa"/>
            <w:shd w:val="clear" w:color="auto" w:fill="C6EFCE"/>
            <w:noWrap/>
          </w:tcPr>
          <w:p w14:paraId="26782D6E"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0</w:t>
            </w:r>
          </w:p>
        </w:tc>
        <w:tc>
          <w:tcPr>
            <w:tcW w:w="553" w:type="dxa"/>
            <w:shd w:val="clear" w:color="auto" w:fill="C6EFCE"/>
            <w:noWrap/>
          </w:tcPr>
          <w:p w14:paraId="6B73A788" w14:textId="7777777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100</w:t>
            </w:r>
          </w:p>
        </w:tc>
        <w:tc>
          <w:tcPr>
            <w:tcW w:w="415" w:type="dxa"/>
            <w:shd w:val="clear" w:color="auto" w:fill="C6EFCE"/>
            <w:noWrap/>
          </w:tcPr>
          <w:p w14:paraId="4EEEECB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53" w:type="dxa"/>
            <w:shd w:val="clear" w:color="auto" w:fill="C6EFCE"/>
            <w:noWrap/>
          </w:tcPr>
          <w:p w14:paraId="3EFB0583"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2023</w:t>
            </w:r>
          </w:p>
        </w:tc>
        <w:tc>
          <w:tcPr>
            <w:tcW w:w="6337" w:type="dxa"/>
            <w:shd w:val="clear" w:color="auto" w:fill="C6EFCE"/>
            <w:noWrap/>
          </w:tcPr>
          <w:p w14:paraId="3F0F49CF"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Az audiovizuális ágazatban működő kkv-k támogatása digitalizációjukban, a nemek közötti egyenlőség előmozdításában, a nemzetközivé válásban és a közvetlen külföldi befektetések vonzásában a teljes program keretében, összesen 200 millió EUR költségvetési juttatással (legalább 100 kkv támogatott).</w:t>
            </w:r>
          </w:p>
        </w:tc>
      </w:tr>
      <w:tr w:rsidR="00D65CB4" w:rsidRPr="00BC4EE7" w14:paraId="3955C9E0" w14:textId="77777777" w:rsidTr="00572307">
        <w:trPr>
          <w:trHeight w:val="309"/>
        </w:trPr>
        <w:tc>
          <w:tcPr>
            <w:tcW w:w="710" w:type="dxa"/>
            <w:shd w:val="clear" w:color="auto" w:fill="C6EFCE"/>
            <w:noWrap/>
          </w:tcPr>
          <w:p w14:paraId="3CB64B11" w14:textId="76B8BAE8" w:rsidR="00D65CB4" w:rsidRPr="00BC4EE7" w:rsidRDefault="00572307">
            <w:pPr>
              <w:pStyle w:val="P68B1DB1-Normal12"/>
              <w:spacing w:after="0" w:line="240" w:lineRule="auto"/>
              <w:jc w:val="center"/>
              <w:rPr>
                <w:rFonts w:cs="Times New Roman"/>
                <w:noProof/>
              </w:rPr>
            </w:pPr>
            <w:r w:rsidRPr="00BC4EE7">
              <w:rPr>
                <w:rFonts w:cs="Times New Roman"/>
                <w:noProof/>
              </w:rPr>
              <w:t>476</w:t>
            </w:r>
          </w:p>
        </w:tc>
        <w:tc>
          <w:tcPr>
            <w:tcW w:w="952" w:type="dxa"/>
            <w:shd w:val="clear" w:color="auto" w:fill="C6EFCE"/>
            <w:noWrap/>
          </w:tcPr>
          <w:p w14:paraId="386AB2A7"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C25.I1</w:t>
            </w:r>
          </w:p>
        </w:tc>
        <w:tc>
          <w:tcPr>
            <w:tcW w:w="890" w:type="dxa"/>
            <w:shd w:val="clear" w:color="auto" w:fill="C6EFCE"/>
            <w:noWrap/>
          </w:tcPr>
          <w:p w14:paraId="70548496"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T</w:t>
            </w:r>
          </w:p>
        </w:tc>
        <w:tc>
          <w:tcPr>
            <w:tcW w:w="2281" w:type="dxa"/>
            <w:shd w:val="clear" w:color="auto" w:fill="C6EFCE"/>
            <w:noWrap/>
          </w:tcPr>
          <w:p w14:paraId="756F591D" w14:textId="1B8ED1C5" w:rsidR="00D65CB4" w:rsidRPr="00BC4EE7" w:rsidRDefault="00572307">
            <w:pPr>
              <w:pStyle w:val="P68B1DB1-Normal12"/>
              <w:spacing w:after="0" w:line="240" w:lineRule="auto"/>
              <w:rPr>
                <w:rFonts w:cs="Times New Roman"/>
                <w:noProof/>
              </w:rPr>
            </w:pPr>
            <w:r w:rsidRPr="00BC4EE7">
              <w:rPr>
                <w:rFonts w:cs="Times New Roman"/>
                <w:noProof/>
              </w:rPr>
              <w:t>Az audiovizuális ágazatban működő kkv-kat támogató projektek lezárása</w:t>
            </w:r>
          </w:p>
        </w:tc>
        <w:tc>
          <w:tcPr>
            <w:tcW w:w="966" w:type="dxa"/>
            <w:shd w:val="clear" w:color="auto" w:fill="C6EFCE"/>
            <w:noWrap/>
          </w:tcPr>
          <w:p w14:paraId="4BBA99A8" w14:textId="77777777" w:rsidR="00D65CB4" w:rsidRPr="00BC4EE7" w:rsidRDefault="00D65CB4">
            <w:pPr>
              <w:spacing w:after="0" w:line="240" w:lineRule="auto"/>
              <w:jc w:val="center"/>
              <w:rPr>
                <w:rFonts w:ascii="Times New Roman" w:hAnsi="Times New Roman" w:cs="Times New Roman"/>
                <w:noProof/>
                <w:sz w:val="18"/>
              </w:rPr>
            </w:pPr>
          </w:p>
        </w:tc>
        <w:tc>
          <w:tcPr>
            <w:tcW w:w="829" w:type="dxa"/>
            <w:shd w:val="clear" w:color="auto" w:fill="C6EFCE"/>
            <w:noWrap/>
          </w:tcPr>
          <w:p w14:paraId="50A5A011"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Szám</w:t>
            </w:r>
          </w:p>
        </w:tc>
        <w:tc>
          <w:tcPr>
            <w:tcW w:w="966" w:type="dxa"/>
            <w:shd w:val="clear" w:color="auto" w:fill="C6EFCE"/>
            <w:noWrap/>
          </w:tcPr>
          <w:p w14:paraId="7CFA8470"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0</w:t>
            </w:r>
          </w:p>
        </w:tc>
        <w:tc>
          <w:tcPr>
            <w:tcW w:w="553" w:type="dxa"/>
            <w:shd w:val="clear" w:color="auto" w:fill="C6EFCE"/>
            <w:noWrap/>
          </w:tcPr>
          <w:p w14:paraId="31B7BBD8" w14:textId="77777777" w:rsidR="00D65CB4" w:rsidRPr="00BC4EE7" w:rsidRDefault="00572307">
            <w:pPr>
              <w:pStyle w:val="P68B1DB1-Normal12"/>
              <w:spacing w:after="0" w:line="240" w:lineRule="auto"/>
              <w:jc w:val="right"/>
              <w:rPr>
                <w:rFonts w:cs="Times New Roman"/>
                <w:noProof/>
              </w:rPr>
            </w:pPr>
            <w:r w:rsidRPr="00BC4EE7">
              <w:rPr>
                <w:rFonts w:cs="Times New Roman"/>
                <w:noProof/>
              </w:rPr>
              <w:t>100</w:t>
            </w:r>
          </w:p>
        </w:tc>
        <w:tc>
          <w:tcPr>
            <w:tcW w:w="415" w:type="dxa"/>
            <w:shd w:val="clear" w:color="auto" w:fill="C6EFCE"/>
            <w:noWrap/>
          </w:tcPr>
          <w:p w14:paraId="70AE0A62"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Q4</w:t>
            </w:r>
          </w:p>
        </w:tc>
        <w:tc>
          <w:tcPr>
            <w:tcW w:w="553" w:type="dxa"/>
            <w:shd w:val="clear" w:color="auto" w:fill="C6EFCE"/>
            <w:noWrap/>
          </w:tcPr>
          <w:p w14:paraId="5FD1454A"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2024</w:t>
            </w:r>
          </w:p>
        </w:tc>
        <w:tc>
          <w:tcPr>
            <w:tcW w:w="6337" w:type="dxa"/>
            <w:shd w:val="clear" w:color="auto" w:fill="C6EFCE"/>
            <w:noWrap/>
          </w:tcPr>
          <w:p w14:paraId="7A5C131A" w14:textId="5F79330A" w:rsidR="00D65CB4" w:rsidRPr="00BC4EE7" w:rsidRDefault="00572307">
            <w:pPr>
              <w:pStyle w:val="P68B1DB1-Normal12"/>
              <w:spacing w:after="0" w:line="240" w:lineRule="auto"/>
              <w:rPr>
                <w:rFonts w:cs="Times New Roman"/>
                <w:noProof/>
              </w:rPr>
            </w:pPr>
            <w:r w:rsidRPr="00BC4EE7">
              <w:rPr>
                <w:rFonts w:cs="Times New Roman"/>
                <w:noProof/>
              </w:rPr>
              <w:t>Az audiovizuális ágazatban működő kkv-kat támogató projektek lezárása (legalább 100 kkv-t támogató projektek).</w:t>
            </w:r>
          </w:p>
        </w:tc>
      </w:tr>
      <w:bookmarkEnd w:id="60"/>
    </w:tbl>
    <w:p w14:paraId="2B2E72EA" w14:textId="77777777" w:rsidR="00D65CB4" w:rsidRPr="00BC4EE7" w:rsidRDefault="00D65CB4">
      <w:pPr>
        <w:rPr>
          <w:rFonts w:ascii="Times New Roman" w:hAnsi="Times New Roman" w:cs="Times New Roman"/>
          <w:noProof/>
          <w:sz w:val="24"/>
        </w:rPr>
        <w:sectPr w:rsidR="00D65CB4" w:rsidRPr="00BC4EE7" w:rsidSect="00B511EF">
          <w:headerReference w:type="even" r:id="rId496"/>
          <w:headerReference w:type="default" r:id="rId497"/>
          <w:footerReference w:type="even" r:id="rId498"/>
          <w:footerReference w:type="default" r:id="rId499"/>
          <w:headerReference w:type="first" r:id="rId500"/>
          <w:footerReference w:type="first" r:id="rId501"/>
          <w:pgSz w:w="16839" w:h="11907" w:orient="landscape"/>
          <w:pgMar w:top="1134" w:right="1134" w:bottom="1134" w:left="1134" w:header="567" w:footer="567" w:gutter="0"/>
          <w:cols w:space="720"/>
          <w:docGrid w:linePitch="360"/>
        </w:sectPr>
      </w:pPr>
    </w:p>
    <w:p w14:paraId="5413271F" w14:textId="77777777" w:rsidR="00D65CB4" w:rsidRPr="00BC4EE7" w:rsidRDefault="00572307">
      <w:pPr>
        <w:spacing w:before="120" w:after="120" w:line="240" w:lineRule="auto"/>
        <w:ind w:firstLine="720"/>
        <w:jc w:val="both"/>
        <w:rPr>
          <w:rFonts w:ascii="Times New Roman" w:hAnsi="Times New Roman" w:cs="Times New Roman"/>
          <w:b/>
          <w:noProof/>
          <w:sz w:val="24"/>
          <w:u w:val="single"/>
        </w:rPr>
      </w:pPr>
      <w:r w:rsidRPr="00BC4EE7">
        <w:rPr>
          <w:rFonts w:ascii="Times New Roman" w:hAnsi="Times New Roman" w:cs="Times New Roman"/>
          <w:b/>
          <w:noProof/>
          <w:sz w:val="24"/>
          <w:u w:val="single"/>
        </w:rPr>
        <w:t xml:space="preserve">Y.3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A hiteltámogatást célzó reformok és beruházások ismertetése</w:t>
      </w:r>
    </w:p>
    <w:p w14:paraId="7DD0ABF8" w14:textId="773FD445" w:rsidR="00D65CB4" w:rsidRPr="00BC4EE7" w:rsidRDefault="00572307">
      <w:pPr>
        <w:pStyle w:val="P68B1DB1-Normal5"/>
        <w:spacing w:before="120" w:after="120" w:line="240" w:lineRule="auto"/>
        <w:jc w:val="both"/>
        <w:rPr>
          <w:rFonts w:cs="Times New Roman"/>
          <w:noProof/>
        </w:rPr>
      </w:pPr>
      <w:r w:rsidRPr="00BC4EE7">
        <w:rPr>
          <w:rFonts w:cs="Times New Roman"/>
          <w:noProof/>
        </w:rPr>
        <w:t xml:space="preserve">Beruházás (C25.I2) – PERTE „Új nyelvgazdaság”: Információk spanyol nyelven és más hivatalos nyelveken. </w:t>
      </w:r>
    </w:p>
    <w:p w14:paraId="496255E2" w14:textId="77777777" w:rsidR="00D65CB4" w:rsidRPr="00BC4EE7" w:rsidRDefault="00572307">
      <w:pPr>
        <w:pStyle w:val="P68B1DB1-Normal4"/>
        <w:spacing w:before="120" w:after="120" w:line="240" w:lineRule="auto"/>
        <w:jc w:val="both"/>
        <w:rPr>
          <w:rFonts w:cs="Times New Roman"/>
          <w:noProof/>
          <w:shd w:val="clear" w:color="auto" w:fill="E6E6E6"/>
        </w:rPr>
      </w:pPr>
      <w:r w:rsidRPr="00BC4EE7">
        <w:rPr>
          <w:rFonts w:cs="Times New Roman"/>
          <w:noProof/>
        </w:rPr>
        <w:t>E beruházás célja a spanyol és a társhivatalos nyelvek gazdasági potenciáljának előmozdítása a médiaágazat e nyelveken való nemzetköziesítésének, terjesztésének és bővítésének előmozdítása révén. Ennek érdekében e beruházásnak támogatnia kell a tartalmak digitalizálására és terjesztésére irányuló projekteket, valamint a médiaágazatban működő vállalatok által a spanyol és a társhivatalos nyelveken megjelenő tartalmak kezelésére és feldolgozására szolgáló új technológiai eszközök elfogadását.</w:t>
      </w:r>
      <w:r w:rsidRPr="00BC4EE7">
        <w:rPr>
          <w:rFonts w:cs="Times New Roman"/>
          <w:noProof/>
          <w:shd w:val="clear" w:color="auto" w:fill="E6E6E6"/>
        </w:rPr>
        <w:t xml:space="preserve"> </w:t>
      </w:r>
    </w:p>
    <w:p w14:paraId="5C85A4A1" w14:textId="77777777" w:rsidR="00D65CB4" w:rsidRPr="00BC4EE7" w:rsidRDefault="00572307">
      <w:pPr>
        <w:pStyle w:val="P68B1DB1-Normal4"/>
        <w:spacing w:before="120" w:after="120" w:line="240" w:lineRule="auto"/>
        <w:jc w:val="both"/>
        <w:rPr>
          <w:rFonts w:cs="Times New Roman"/>
          <w:noProof/>
          <w:u w:val="single"/>
        </w:rPr>
      </w:pPr>
      <w:r w:rsidRPr="00BC4EE7">
        <w:rPr>
          <w:rFonts w:cs="Times New Roman"/>
          <w:noProof/>
        </w:rPr>
        <w:t>Az intézkedés végrehajtását 2026. augusztus 31-ig be kell fejezni.</w:t>
      </w:r>
    </w:p>
    <w:p w14:paraId="0E09930D"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 xml:space="preserve">Beruházás (C25.I3) – Audiovizuális központok alapja </w:t>
      </w:r>
    </w:p>
    <w:p w14:paraId="715AF067" w14:textId="66E94812" w:rsidR="00D65CB4" w:rsidRPr="00BC4EE7" w:rsidRDefault="00572307">
      <w:pPr>
        <w:pStyle w:val="P68B1DB1-LegalNumPar228"/>
        <w:numPr>
          <w:ilvl w:val="1"/>
          <w:numId w:val="0"/>
        </w:numPr>
        <w:spacing w:line="240" w:lineRule="auto"/>
        <w:jc w:val="both"/>
        <w:rPr>
          <w:rFonts w:cs="Times New Roman"/>
          <w:noProof/>
        </w:rPr>
      </w:pPr>
      <w:bookmarkStart w:id="61" w:name="_Hlk145612128"/>
      <w:r w:rsidRPr="00BC4EE7">
        <w:rPr>
          <w:rFonts w:cs="Times New Roman"/>
          <w:noProof/>
        </w:rPr>
        <w:t xml:space="preserve">Ez az intézkedés egy eszközbe, az ICO audiovizuális központ alapjába történő állami beruházásból áll, amelynek célja a magánberuházások ösztönzése és a finanszírozáshoz való hozzáférés javítása a filmekkel, fikciókkal, televízióval, tartalmakkal, digitális kultúrával, valamint multimédiás és interaktív tartalmakkal, például videojátékokkal, immerzív élményekkel és vizuális hatásokkal kapcsolatos projektek esetében, valamint a tőkepiacok fejlesztése ezen a területen. Az eszköz úgy működik, hogy közvetlenül vagy közvetítőkön keresztül közvetlen finanszírozást, vállalatikötvény-vásárlásokat, valamint sajáttőke- és kvázisajáttőke-befektetéseket nyújt a magánszektornak, valamint a hasonló tevékenységeket folytató közszektorbeli szervezeteknek. A Helyreállítási és Rezilienciaépítési Eszköz beruházásai alapján az eszköz célja kezdetben legalább 1 712 000 000 EUR összegű finanszírozás biztosítása. </w:t>
      </w:r>
    </w:p>
    <w:p w14:paraId="338959F3" w14:textId="74127BAC" w:rsidR="00D65CB4" w:rsidRPr="00BC4EE7" w:rsidRDefault="00572307">
      <w:pPr>
        <w:pStyle w:val="P68B1DB1-Normal4"/>
        <w:spacing w:line="240" w:lineRule="auto"/>
        <w:jc w:val="both"/>
        <w:rPr>
          <w:rFonts w:cs="Times New Roman"/>
          <w:noProof/>
        </w:rPr>
      </w:pPr>
      <w:r w:rsidRPr="00BC4EE7">
        <w:rPr>
          <w:rFonts w:cs="Times New Roman"/>
          <w:noProof/>
        </w:rPr>
        <w:t>Az eszközt végrehajtó partnerként az Instituto de Crédito Oficial (ICO) és az Axis (az ICO kockázati/magántőke-kezelője) kezeli. A beruházási keret a következő terméksorokat foglalja magában:</w:t>
      </w:r>
    </w:p>
    <w:p w14:paraId="22926004" w14:textId="72B030DB" w:rsidR="00D65CB4" w:rsidRPr="00BC4EE7" w:rsidRDefault="00572307">
      <w:pPr>
        <w:pStyle w:val="P68B1DB1-ListParagraph6"/>
        <w:numPr>
          <w:ilvl w:val="0"/>
          <w:numId w:val="692"/>
        </w:numPr>
        <w:spacing w:after="0" w:line="240" w:lineRule="auto"/>
        <w:jc w:val="both"/>
        <w:textAlignment w:val="baseline"/>
        <w:rPr>
          <w:rFonts w:cs="Times New Roman"/>
          <w:noProof/>
        </w:rPr>
      </w:pPr>
      <w:r w:rsidRPr="00BC4EE7">
        <w:rPr>
          <w:rFonts w:cs="Times New Roman"/>
          <w:noProof/>
        </w:rPr>
        <w:t>Közvetítési vonal: a közvetítői vonal az ICO által kereskedelmi bankoknak nyújtott kölcsönökből áll, amelyek a végső kedvezményezetteknek nyújtanak hiteleket az audiovizuális és kulturális ágazat projektjeinek finanszírozására. A végső kedvezményezettek magánvállalkozások (például kkv-k, vállalkozók, közepes piaci tőkeértékű vállalatok és nagyvállalatok) és állami vállalatok.   </w:t>
      </w:r>
    </w:p>
    <w:p w14:paraId="647A4D85" w14:textId="77777777" w:rsidR="00D65CB4" w:rsidRPr="00BC4EE7" w:rsidRDefault="00572307">
      <w:pPr>
        <w:pStyle w:val="P68B1DB1-ListParagraph6"/>
        <w:numPr>
          <w:ilvl w:val="0"/>
          <w:numId w:val="692"/>
        </w:numPr>
        <w:spacing w:after="0" w:line="240" w:lineRule="auto"/>
        <w:jc w:val="both"/>
        <w:textAlignment w:val="baseline"/>
        <w:rPr>
          <w:rFonts w:cs="Times New Roman"/>
          <w:noProof/>
        </w:rPr>
      </w:pPr>
      <w:r w:rsidRPr="00BC4EE7">
        <w:rPr>
          <w:rFonts w:cs="Times New Roman"/>
          <w:noProof/>
        </w:rPr>
        <w:t>ICO közvetlen finanszírozás: ez a sor közvetlen kölcsönöket nyújt magánvállalkozásoknak (például közepes piaci tőkeértékű vállalatok és nagyvállalatok) és állami vállalatoknak az audiovizuális ágazat projektjeinek finanszírozásához. A hiteleket közvetlenül az ICO nyújtja, és minden egyes projektet harmadik fél magánbefektető(k) társfinanszíroz. Az ICO által biztosított források a beruházáshoz nyújtott támogatás teljes összegének legfeljebb 70%-át tehetik ki. A beruházási támogatás teljes összegének legalább 30%-át magánbefektetők fedezik. </w:t>
      </w:r>
    </w:p>
    <w:p w14:paraId="42FCDFE0" w14:textId="77777777" w:rsidR="00D65CB4" w:rsidRPr="00BC4EE7" w:rsidRDefault="00572307">
      <w:pPr>
        <w:pStyle w:val="P68B1DB1-ListParagraph6"/>
        <w:numPr>
          <w:ilvl w:val="0"/>
          <w:numId w:val="692"/>
        </w:numPr>
        <w:spacing w:after="0" w:line="240" w:lineRule="auto"/>
        <w:jc w:val="both"/>
        <w:textAlignment w:val="baseline"/>
        <w:rPr>
          <w:rFonts w:cs="Times New Roman"/>
          <w:noProof/>
        </w:rPr>
      </w:pPr>
      <w:r w:rsidRPr="00BC4EE7">
        <w:rPr>
          <w:rFonts w:cs="Times New Roman"/>
          <w:noProof/>
        </w:rPr>
        <w:t>Vállalatikötvény-vásárlások: e sor értelmében az ICO spanyol társaságok által kibocsátott, előresorolt közép- és hosszú lejáratú, rögzített kamatozású értékpapírokat vásárol a szervezett másodlagos piacokon (például az alternatív rögzített kamatozású piacon (MARF) vagy a Pénzügyi Eszközök Közvetítőinek Szövetsége (AIAF)). Az értékpapírokat az értékpapírt kibocsátó társaság konkrét befektetési projektjéhez kell kötni.  </w:t>
      </w:r>
    </w:p>
    <w:p w14:paraId="7A25782D" w14:textId="1E7ED559" w:rsidR="00D65CB4" w:rsidRPr="00BC4EE7" w:rsidRDefault="00572307">
      <w:pPr>
        <w:pStyle w:val="P68B1DB1-ListParagraph6"/>
        <w:numPr>
          <w:ilvl w:val="0"/>
          <w:numId w:val="692"/>
        </w:numPr>
        <w:spacing w:after="0" w:line="240" w:lineRule="auto"/>
        <w:textAlignment w:val="baseline"/>
        <w:rPr>
          <w:rFonts w:cs="Times New Roman"/>
          <w:noProof/>
        </w:rPr>
      </w:pPr>
      <w:r w:rsidRPr="00BC4EE7">
        <w:rPr>
          <w:rFonts w:cs="Times New Roman"/>
          <w:noProof/>
        </w:rPr>
        <w:t>Sajáttőke- és kvázisajáttőke-befektetések: ez a sor a tengelyen keresztül történő közvetlen tőkebefektetések (az ICO kockázati/magántőke-kezelője) és/vagy az audiovizuális ágazatban működő vállalatokban tőkebefektetési műveleteket végző magán pénzügyi közvetítők által kezelt tőkealapokba vagy egyéb befektetési egységekbe történő transzferéből áll. Az Alap maximális részesedése nem haladhatja meg a befektetésieszköz-alapok 49%-át. Az Alap tőkebefektetései nem eredményezhetik azt, hogy a végső kedvezményezett állami tulajdonú tőkéje meghaladja a teljes saját tőke 49%-át.</w:t>
      </w:r>
    </w:p>
    <w:p w14:paraId="0A805475" w14:textId="1DB00ACA" w:rsidR="00D65CB4" w:rsidRPr="00BC4EE7" w:rsidRDefault="00D65CB4">
      <w:pPr>
        <w:pStyle w:val="ListParagraph"/>
        <w:spacing w:after="0" w:line="240" w:lineRule="auto"/>
        <w:textAlignment w:val="baseline"/>
        <w:rPr>
          <w:rFonts w:ascii="Times New Roman" w:hAnsi="Times New Roman" w:cs="Times New Roman"/>
          <w:noProof/>
          <w:sz w:val="24"/>
        </w:rPr>
      </w:pPr>
    </w:p>
    <w:bookmarkEnd w:id="61"/>
    <w:p w14:paraId="3BA0777B" w14:textId="77777777" w:rsidR="00D65CB4" w:rsidRPr="00BC4EE7" w:rsidRDefault="00572307">
      <w:pPr>
        <w:pStyle w:val="P68B1DB1-Normal4"/>
        <w:spacing w:line="240" w:lineRule="auto"/>
        <w:jc w:val="both"/>
        <w:rPr>
          <w:rFonts w:cs="Times New Roman"/>
          <w:noProof/>
        </w:rPr>
      </w:pPr>
      <w:r w:rsidRPr="00BC4EE7">
        <w:rPr>
          <w:rFonts w:cs="Times New Roman"/>
          <w:noProof/>
        </w:rPr>
        <w:t>Az eszközbe történő beruházás végrehajtása érdekében Spanyolország és az ICO végrehajtási megállapodást ír alá, amely a következő tartalmat tartalmazza:</w:t>
      </w:r>
    </w:p>
    <w:p w14:paraId="558DC0FD" w14:textId="54C19313" w:rsidR="00D65CB4" w:rsidRPr="00BC4EE7" w:rsidRDefault="00572307">
      <w:pPr>
        <w:pStyle w:val="P68B1DB1-LegalNumPar27"/>
        <w:numPr>
          <w:ilvl w:val="0"/>
          <w:numId w:val="756"/>
        </w:numPr>
        <w:jc w:val="both"/>
        <w:rPr>
          <w:rFonts w:eastAsia="Times New Roman" w:cs="Times New Roman"/>
          <w:noProof/>
        </w:rPr>
      </w:pPr>
      <w:r w:rsidRPr="00BC4EE7">
        <w:rPr>
          <w:rFonts w:cs="Times New Roman"/>
          <w:noProof/>
        </w:rPr>
        <w:t>Az eszköz döntéshozatali folyamatának leírása: Az eszköz végleges beruházási döntését beruházási bizottság vagy más, azzal egyenértékű irányító testület hozza meg, és a kormánytól független tagok szavazatainak többségével hagyja jóvá. A közvetített beruházások esetében a végső beruházási döntést közvetítők hozzák meg.</w:t>
      </w:r>
    </w:p>
    <w:p w14:paraId="2D179111" w14:textId="701E4D70" w:rsidR="00D65CB4" w:rsidRPr="00BC4EE7" w:rsidRDefault="00572307">
      <w:pPr>
        <w:pStyle w:val="P68B1DB1-LegalNumPar27"/>
        <w:numPr>
          <w:ilvl w:val="0"/>
          <w:numId w:val="756"/>
        </w:numPr>
        <w:jc w:val="both"/>
        <w:rPr>
          <w:rFonts w:eastAsia="Times New Roman" w:cs="Times New Roman"/>
          <w:noProof/>
        </w:rPr>
      </w:pPr>
      <w:r w:rsidRPr="00BC4EE7">
        <w:rPr>
          <w:rFonts w:cs="Times New Roman"/>
          <w:noProof/>
        </w:rPr>
        <w:t>A kapcsolódó beruházási politika fő követelményei,</w:t>
      </w:r>
      <w:r w:rsidRPr="00BC4EE7">
        <w:rPr>
          <w:rFonts w:cs="Times New Roman"/>
          <w:b/>
          <w:noProof/>
        </w:rPr>
        <w:t xml:space="preserve"> </w:t>
      </w:r>
      <w:r w:rsidRPr="00BC4EE7">
        <w:rPr>
          <w:rFonts w:cs="Times New Roman"/>
          <w:noProof/>
        </w:rPr>
        <w:t>amelyek a következőket foglalják magukban:</w:t>
      </w:r>
    </w:p>
    <w:p w14:paraId="7C250AB2" w14:textId="77777777" w:rsidR="00D65CB4" w:rsidRPr="00BC4EE7" w:rsidRDefault="00572307">
      <w:pPr>
        <w:pStyle w:val="P68B1DB1-LegalNumPar228"/>
        <w:numPr>
          <w:ilvl w:val="1"/>
          <w:numId w:val="757"/>
        </w:numPr>
        <w:jc w:val="both"/>
        <w:rPr>
          <w:rFonts w:cs="Times New Roman"/>
          <w:noProof/>
        </w:rPr>
      </w:pPr>
      <w:r w:rsidRPr="00BC4EE7">
        <w:rPr>
          <w:rFonts w:cs="Times New Roman"/>
          <w:noProof/>
        </w:rPr>
        <w:t xml:space="preserve">A pénzügyi termék(ek) és a támogatható végső kedvezményezettek leírása az intézkedés leírásával összhangban.   </w:t>
      </w:r>
    </w:p>
    <w:p w14:paraId="3418407B" w14:textId="77777777" w:rsidR="00D65CB4" w:rsidRPr="00BC4EE7" w:rsidRDefault="00572307">
      <w:pPr>
        <w:pStyle w:val="P68B1DB1-LegalNumPar228"/>
        <w:numPr>
          <w:ilvl w:val="1"/>
          <w:numId w:val="757"/>
        </w:numPr>
        <w:jc w:val="both"/>
        <w:rPr>
          <w:rFonts w:cs="Times New Roman"/>
          <w:noProof/>
        </w:rPr>
      </w:pPr>
      <w:r w:rsidRPr="00BC4EE7">
        <w:rPr>
          <w:rFonts w:cs="Times New Roman"/>
          <w:noProof/>
        </w:rPr>
        <w:t>Az a követelmény, hogy minden támogatott beruházás gazdaságilag életképes legyen</w:t>
      </w:r>
      <w:r w:rsidRPr="00BC4EE7">
        <w:rPr>
          <w:rFonts w:cs="Times New Roman"/>
          <w:b/>
          <w:noProof/>
        </w:rPr>
        <w:t>.</w:t>
      </w:r>
    </w:p>
    <w:p w14:paraId="216E853A" w14:textId="77777777" w:rsidR="00D65CB4" w:rsidRPr="00BC4EE7" w:rsidRDefault="00572307">
      <w:pPr>
        <w:pStyle w:val="P68B1DB1-LegalNumPar228"/>
        <w:numPr>
          <w:ilvl w:val="1"/>
          <w:numId w:val="757"/>
        </w:numPr>
        <w:jc w:val="both"/>
        <w:rPr>
          <w:rFonts w:cs="Times New Roman"/>
          <w:noProof/>
        </w:rPr>
      </w:pPr>
      <w:r w:rsidRPr="00BC4EE7">
        <w:rPr>
          <w:rFonts w:cs="Times New Roman"/>
          <w:noProof/>
        </w:rPr>
        <w:t>A fennálló hitelek refinanszírozásának tilalma.</w:t>
      </w:r>
    </w:p>
    <w:p w14:paraId="249AA9DD" w14:textId="7505F65A" w:rsidR="00D65CB4" w:rsidRPr="00BC4EE7" w:rsidRDefault="00572307">
      <w:pPr>
        <w:pStyle w:val="P68B1DB1-LegalNumPar228"/>
        <w:numPr>
          <w:ilvl w:val="1"/>
          <w:numId w:val="757"/>
        </w:numPr>
        <w:jc w:val="both"/>
        <w:rPr>
          <w:rFonts w:cs="Times New Roman"/>
          <w:noProof/>
        </w:rPr>
      </w:pPr>
      <w:r w:rsidRPr="00BC4EE7">
        <w:rPr>
          <w:rFonts w:cs="Times New Roman"/>
          <w:noProof/>
        </w:rPr>
        <w:t>A jelentős károkozás elkerülését célzó elvnek való megfelelés követelménye a DNSH technikai iránymutatásban (2021/C58/01) meghatározottak szerint. A beruházási politikának továbbá meg kell követelnie az eszköz végső kedvezményezettjeinek a vonatkozó uniós és nemzeti környezetvédelmi jogszabályoknak való megfelelését.</w:t>
      </w:r>
    </w:p>
    <w:p w14:paraId="5C73412D" w14:textId="3E779144" w:rsidR="00D65CB4" w:rsidRPr="00BC4EE7" w:rsidRDefault="00572307">
      <w:pPr>
        <w:pStyle w:val="P68B1DB1-ListParagraph6"/>
        <w:numPr>
          <w:ilvl w:val="1"/>
          <w:numId w:val="757"/>
        </w:numPr>
        <w:spacing w:line="240" w:lineRule="auto"/>
        <w:jc w:val="both"/>
        <w:rPr>
          <w:rFonts w:cs="Times New Roman"/>
          <w:noProof/>
        </w:rPr>
      </w:pPr>
      <w:r w:rsidRPr="00BC4EE7">
        <w:rPr>
          <w:rFonts w:cs="Times New Roman"/>
          <w:noProof/>
        </w:rPr>
        <w:t>Az a követelmény, hogy az eszköz végső kedvezményezettjei nem részesülhetnek támogatásban más uniós eszközökből ugyanazon költségek fedezésére.</w:t>
      </w:r>
    </w:p>
    <w:p w14:paraId="4C983689" w14:textId="4807E2E9" w:rsidR="00D65CB4" w:rsidRPr="00BC4EE7" w:rsidRDefault="00572307">
      <w:pPr>
        <w:pStyle w:val="P68B1DB1-LegalNumPar27"/>
        <w:numPr>
          <w:ilvl w:val="0"/>
          <w:numId w:val="756"/>
        </w:numPr>
        <w:jc w:val="both"/>
        <w:rPr>
          <w:rFonts w:cs="Times New Roman"/>
          <w:noProof/>
        </w:rPr>
      </w:pPr>
      <w:r w:rsidRPr="00BC4EE7">
        <w:rPr>
          <w:rFonts w:cs="Times New Roman"/>
          <w:noProof/>
        </w:rPr>
        <w:t>A végrehajtási megállapodás hatálya alá tartozó összeg, a végrehajtó partner díjstruktúrája, valamint az eszköz beruházási politikájának megfelelően a visszafolyó bevételek újbóli befektetésére vonatkozó követelmény, kivéve, ha azokat a Helyreállítási és Rezilienciaépítési Eszköz hiteltörlesztéseinek fedezésére használják fel.</w:t>
      </w:r>
    </w:p>
    <w:p w14:paraId="067101C9" w14:textId="77777777" w:rsidR="00D65CB4" w:rsidRPr="00BC4EE7" w:rsidRDefault="00572307">
      <w:pPr>
        <w:pStyle w:val="P68B1DB1-ListParagraph6"/>
        <w:numPr>
          <w:ilvl w:val="0"/>
          <w:numId w:val="756"/>
        </w:numPr>
        <w:spacing w:line="240" w:lineRule="auto"/>
        <w:jc w:val="both"/>
        <w:rPr>
          <w:rFonts w:cs="Times New Roman"/>
          <w:noProof/>
        </w:rPr>
      </w:pPr>
      <w:r w:rsidRPr="00BC4EE7">
        <w:rPr>
          <w:rFonts w:cs="Times New Roman"/>
          <w:noProof/>
        </w:rPr>
        <w:t>Nyomonkövetési, ellenőrzési és kontrollkövetelmények, beleértve a következőket:</w:t>
      </w:r>
    </w:p>
    <w:p w14:paraId="385E3198" w14:textId="60BC3E41" w:rsidR="00D65CB4" w:rsidRPr="00BC4EE7" w:rsidRDefault="00572307">
      <w:pPr>
        <w:pStyle w:val="P68B1DB1-ListParagraph6"/>
        <w:numPr>
          <w:ilvl w:val="0"/>
          <w:numId w:val="759"/>
        </w:numPr>
        <w:spacing w:line="240" w:lineRule="auto"/>
        <w:jc w:val="both"/>
        <w:rPr>
          <w:rFonts w:cs="Times New Roman"/>
          <w:noProof/>
        </w:rPr>
      </w:pPr>
      <w:r w:rsidRPr="00BC4EE7">
        <w:rPr>
          <w:rFonts w:cs="Times New Roman"/>
          <w:noProof/>
        </w:rPr>
        <w:t>A végrehajtó partner által a mozgósított beruházásról való jelentéstételhez használt monitoringrendszer leírása.</w:t>
      </w:r>
    </w:p>
    <w:p w14:paraId="10A16931" w14:textId="3852039A" w:rsidR="00D65CB4" w:rsidRPr="00BC4EE7" w:rsidRDefault="00572307">
      <w:pPr>
        <w:pStyle w:val="P68B1DB1-ListParagraph6"/>
        <w:numPr>
          <w:ilvl w:val="0"/>
          <w:numId w:val="759"/>
        </w:numPr>
        <w:spacing w:line="240" w:lineRule="auto"/>
        <w:jc w:val="both"/>
        <w:rPr>
          <w:rFonts w:cs="Times New Roman"/>
          <w:noProof/>
        </w:rPr>
      </w:pPr>
      <w:r w:rsidRPr="00BC4EE7">
        <w:rPr>
          <w:rFonts w:cs="Times New Roman"/>
          <w:noProof/>
        </w:rPr>
        <w:t>A végrehajtó partner azon eljárásainak leírása, amelyek biztosítják a csalás, a korrupció és az összeférhetetlenség megelőzését, felderítését és korrekcióját.</w:t>
      </w:r>
    </w:p>
    <w:p w14:paraId="1B4D2F88" w14:textId="4CAE3291" w:rsidR="00D65CB4" w:rsidRPr="00BC4EE7" w:rsidRDefault="00572307">
      <w:pPr>
        <w:pStyle w:val="P68B1DB1-ListParagraph6"/>
        <w:numPr>
          <w:ilvl w:val="0"/>
          <w:numId w:val="759"/>
        </w:numPr>
        <w:spacing w:line="240" w:lineRule="auto"/>
        <w:jc w:val="both"/>
        <w:rPr>
          <w:rFonts w:cs="Times New Roman"/>
          <w:noProof/>
        </w:rPr>
      </w:pPr>
      <w:r w:rsidRPr="00BC4EE7">
        <w:rPr>
          <w:rFonts w:cs="Times New Roman"/>
          <w:noProof/>
        </w:rPr>
        <w:t>Az egyes műveletek támogathatóságának a végrehajtási megállapodásban meghatározott követelményekkel összhangban történő, az egyes műveletek finanszírozására való kötelezettségvállalást megelőző ellenőrzésére vonatkozó kötelezettség.</w:t>
      </w:r>
    </w:p>
    <w:p w14:paraId="7B2526C1" w14:textId="3DB9595A" w:rsidR="00D65CB4" w:rsidRPr="00BC4EE7" w:rsidRDefault="00572307">
      <w:pPr>
        <w:pStyle w:val="ListParagraph"/>
        <w:numPr>
          <w:ilvl w:val="0"/>
          <w:numId w:val="759"/>
        </w:numPr>
        <w:spacing w:line="240" w:lineRule="auto"/>
        <w:jc w:val="both"/>
        <w:rPr>
          <w:rFonts w:ascii="Times New Roman" w:hAnsi="Times New Roman" w:cs="Times New Roman"/>
          <w:noProof/>
          <w:sz w:val="24"/>
        </w:rPr>
      </w:pPr>
      <w:r w:rsidRPr="00BC4EE7">
        <w:rPr>
          <w:rFonts w:ascii="Times New Roman" w:hAnsi="Times New Roman" w:cs="Times New Roman"/>
          <w:noProof/>
          <w:sz w:val="24"/>
        </w:rPr>
        <w:t>A kockázatalapú utólagos ellenőrzések elvégzésére vonatkozó kötelezettség az ICO ellenőrzési tervével összhangban. Ezeknek az ellenőrzéseknek meg kell győződniük i. arról, hogy az ellenőrzési rendszerek hatékonyak-e, beleértve a csalás, a korrupció és az összeférhetetlenség felderítését; a DNSH-elvnek, az állami támogatásokra vonatkozó szabályoknak és a digitális célkövetelményeknek való megfelelés; és iii. betartották azt a követelményt, amely szerint a közvetítőnek ellenőriznie kell, hogy a végső kedvezményezett felelősségteljes nyilatkozatot nyújt-e be annak ellenőrzése érdekében, hogy ugyanazt a költséget egy másik uniós eszköz fedezi-e. Az ellenőrzéseknek azt is meg kell vizsgálniuk, hogy az ügyletek jogszerűek-e, és hogy az alkalmazandó végrehajtási megállapodás és finanszírozási megállapodások feltételei teljesülnek-e,</w:t>
      </w:r>
      <w:r w:rsidRPr="00BC4EE7">
        <w:rPr>
          <w:rFonts w:ascii="Times New Roman" w:hAnsi="Times New Roman" w:cs="Times New Roman"/>
          <w:noProof/>
        </w:rPr>
        <w:t xml:space="preserve"> többek között a 10 000 000 EUR-t el nem érő műveletekre vonatkozó pozitív nyilatkozatok és/vagy önbevallások használatával, mielőtt kötelezettséget vállalnának egy művelet finanszírozására. </w:t>
      </w:r>
    </w:p>
    <w:p w14:paraId="5B4CBCB6" w14:textId="0DC71A12" w:rsidR="00D65CB4" w:rsidRPr="00BC4EE7" w:rsidRDefault="00572307">
      <w:pPr>
        <w:pStyle w:val="ListParagraph"/>
        <w:numPr>
          <w:ilvl w:val="0"/>
          <w:numId w:val="756"/>
        </w:numPr>
        <w:spacing w:line="240" w:lineRule="auto"/>
        <w:jc w:val="both"/>
        <w:rPr>
          <w:rFonts w:ascii="Times New Roman" w:hAnsi="Times New Roman" w:cs="Times New Roman"/>
          <w:noProof/>
          <w:sz w:val="24"/>
        </w:rPr>
      </w:pPr>
      <w:r w:rsidRPr="00BC4EE7">
        <w:rPr>
          <w:rFonts w:ascii="Times New Roman" w:hAnsi="Times New Roman" w:cs="Times New Roman"/>
          <w:noProof/>
          <w:sz w:val="24"/>
        </w:rPr>
        <w:t>A végrehajtó partner által végrehajtott digitális beruházásokra vonatkozó követelmények: a Helyreállítási és Rezilienciaépítési Eszközbe történő beruházásból legalább 1 712 000 000 EUR-nak a Helyreállítási és Rezilienciaépítési Eszközről szóló rendelet VII. mellékletével összhangban hozzá kell járulnia a digitális célkitűzésekhez.</w:t>
      </w:r>
      <w:r w:rsidRPr="00BC4EE7">
        <w:rPr>
          <w:rStyle w:val="FootnoteReference"/>
          <w:rFonts w:ascii="Times New Roman" w:hAnsi="Times New Roman" w:cs="Times New Roman"/>
          <w:noProof/>
          <w:sz w:val="24"/>
        </w:rPr>
        <w:footnoteReference w:id="210"/>
      </w:r>
    </w:p>
    <w:p w14:paraId="29F08309" w14:textId="7EA82975" w:rsidR="00D65CB4" w:rsidRPr="00BC4EE7" w:rsidRDefault="00572307">
      <w:pPr>
        <w:pStyle w:val="P68B1DB1-ListParagraph6"/>
        <w:numPr>
          <w:ilvl w:val="0"/>
          <w:numId w:val="756"/>
        </w:numPr>
        <w:rPr>
          <w:rFonts w:cs="Times New Roman"/>
          <w:noProof/>
        </w:rPr>
      </w:pPr>
      <w:r w:rsidRPr="00BC4EE7">
        <w:rPr>
          <w:rFonts w:cs="Times New Roman"/>
          <w:noProof/>
        </w:rPr>
        <w:t xml:space="preserve">A pénzügyi közvetítők kiválasztására vonatkozó követelmények: Az ICO nyílt, átlátható és megkülönböztetésmentes módon választja ki a pénzügyi közvetítőket. A pénzügyi közvetítőket érintő összeférhetetlenség hiányára vonatkozó ellenőrzéseket előzetesen el kell végezni az informatikai rendszeren, például a Minerván keresztül valamennyi érintett pénzügyi szereplő esetében. </w:t>
      </w:r>
    </w:p>
    <w:p w14:paraId="0ADFBFD9" w14:textId="77777777" w:rsidR="00D65CB4" w:rsidRPr="00BC4EE7" w:rsidRDefault="00572307">
      <w:pPr>
        <w:pStyle w:val="P68B1DB1-ListParagraph6"/>
        <w:numPr>
          <w:ilvl w:val="0"/>
          <w:numId w:val="756"/>
        </w:numPr>
        <w:spacing w:line="240" w:lineRule="auto"/>
        <w:jc w:val="both"/>
        <w:rPr>
          <w:rFonts w:cs="Times New Roman"/>
          <w:noProof/>
        </w:rPr>
      </w:pPr>
      <w:r w:rsidRPr="00BC4EE7">
        <w:rPr>
          <w:rFonts w:cs="Times New Roman"/>
          <w:noProof/>
        </w:rPr>
        <w:t xml:space="preserve">Finanszírozási megállapodások aláírására vonatkozó kötelezettség: Az ICO finanszírozási megállapodásokat ír alá a pénzügyi közvetítőkkel a végrehajtási megállapodás mellékleteként benyújtandó kulcsfontosságú követelményekkel összhangban. A finanszírozási megállapodás fő követelményeinek magukban kell foglalniuk mindazokat a követelményeket, amelyek alapján az eszköz működik, beleértve a következőket: </w:t>
      </w:r>
    </w:p>
    <w:p w14:paraId="44CF9790" w14:textId="77777777" w:rsidR="00D65CB4" w:rsidRPr="00BC4EE7" w:rsidRDefault="00572307">
      <w:pPr>
        <w:pStyle w:val="P68B1DB1-Normal4"/>
        <w:numPr>
          <w:ilvl w:val="0"/>
          <w:numId w:val="760"/>
        </w:numPr>
        <w:spacing w:after="160" w:line="240" w:lineRule="auto"/>
        <w:jc w:val="both"/>
        <w:rPr>
          <w:rFonts w:cs="Times New Roman"/>
          <w:noProof/>
        </w:rPr>
      </w:pPr>
      <w:r w:rsidRPr="00BC4EE7">
        <w:rPr>
          <w:rFonts w:cs="Times New Roman"/>
          <w:noProof/>
        </w:rPr>
        <w:t xml:space="preserve">A pénzügyi közvetítő azon kötelezettsége, hogy döntéseit </w:t>
      </w:r>
      <w:r w:rsidRPr="00BC4EE7">
        <w:rPr>
          <w:rFonts w:cs="Times New Roman"/>
          <w:i/>
          <w:noProof/>
        </w:rPr>
        <w:t>értelemszerűen</w:t>
      </w:r>
      <w:r w:rsidRPr="00BC4EE7">
        <w:rPr>
          <w:rFonts w:cs="Times New Roman"/>
          <w:noProof/>
        </w:rPr>
        <w:t xml:space="preserve"> a fent meghatározott döntéshozatali és beruházási politikai követelményeknek megfelelően hozza meg, beleértve a DNSH-elv tiszteletben tartásával kapcsolatos követelményeket is.</w:t>
      </w:r>
    </w:p>
    <w:p w14:paraId="6AF63DD6" w14:textId="77777777" w:rsidR="00D65CB4" w:rsidRPr="00BC4EE7" w:rsidRDefault="00572307">
      <w:pPr>
        <w:pStyle w:val="P68B1DB1-Normal4"/>
        <w:numPr>
          <w:ilvl w:val="0"/>
          <w:numId w:val="760"/>
        </w:numPr>
        <w:spacing w:after="160" w:line="240" w:lineRule="auto"/>
        <w:jc w:val="both"/>
        <w:rPr>
          <w:rFonts w:cs="Times New Roman"/>
          <w:noProof/>
        </w:rPr>
      </w:pPr>
      <w:r w:rsidRPr="00BC4EE7">
        <w:rPr>
          <w:rFonts w:cs="Times New Roman"/>
          <w:noProof/>
        </w:rPr>
        <w:t xml:space="preserve">A pénzügyi közvetítő által létrehozandó nyomonkövetési, ellenőrzési és kontrollkeret leírása, amelyre </w:t>
      </w:r>
      <w:r w:rsidRPr="00BC4EE7">
        <w:rPr>
          <w:rFonts w:cs="Times New Roman"/>
          <w:i/>
          <w:noProof/>
        </w:rPr>
        <w:t>értelemszerűen</w:t>
      </w:r>
      <w:r w:rsidRPr="00BC4EE7">
        <w:rPr>
          <w:rFonts w:cs="Times New Roman"/>
          <w:noProof/>
        </w:rPr>
        <w:t xml:space="preserve"> a fent meghatározott valamennyi nyomonkövetési, ellenőrzési és kontrollkövetelmény vonatkozik. </w:t>
      </w:r>
    </w:p>
    <w:p w14:paraId="37CEAEBE" w14:textId="77777777" w:rsidR="00D65CB4" w:rsidRPr="00BC4EE7" w:rsidRDefault="00572307">
      <w:pPr>
        <w:pStyle w:val="P68B1DB1-Normal4"/>
        <w:spacing w:before="120" w:after="120" w:line="240" w:lineRule="auto"/>
        <w:jc w:val="both"/>
        <w:rPr>
          <w:rFonts w:eastAsia="Times New Roman" w:cs="Times New Roman"/>
          <w:noProof/>
        </w:rPr>
      </w:pPr>
      <w:r w:rsidRPr="00BC4EE7">
        <w:rPr>
          <w:rFonts w:cs="Times New Roman"/>
          <w:noProof/>
        </w:rPr>
        <w:t>Az intézkedés végrehajtását 2026. augusztus 31-ig be kell fejezni.</w:t>
      </w:r>
    </w:p>
    <w:p w14:paraId="52B51381" w14:textId="1C8BB2A2" w:rsidR="00D65CB4" w:rsidRPr="00BC4EE7" w:rsidRDefault="00572307">
      <w:pPr>
        <w:spacing w:before="120" w:after="120" w:line="240" w:lineRule="auto"/>
        <w:ind w:left="720"/>
        <w:jc w:val="both"/>
        <w:rPr>
          <w:rFonts w:ascii="Times New Roman" w:hAnsi="Times New Roman" w:cs="Times New Roman"/>
          <w:b/>
          <w:noProof/>
          <w:sz w:val="24"/>
          <w:u w:val="single"/>
        </w:rPr>
      </w:pPr>
      <w:r w:rsidRPr="00BC4EE7">
        <w:rPr>
          <w:rFonts w:ascii="Times New Roman" w:hAnsi="Times New Roman" w:cs="Times New Roman"/>
          <w:b/>
          <w:noProof/>
          <w:sz w:val="24"/>
          <w:u w:val="single"/>
        </w:rPr>
        <w:t xml:space="preserve">Y.4. </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A hiteltámogatás nyomon követésére és végrehajtására vonatkozó mérföldkövek, célok, mutatók és ütemterv</w:t>
      </w:r>
    </w:p>
    <w:p w14:paraId="07BA10B0" w14:textId="19660C1F" w:rsidR="00D65CB4" w:rsidRPr="00BC4EE7" w:rsidRDefault="00572307">
      <w:pPr>
        <w:pStyle w:val="P68B1DB1-Normal4"/>
        <w:spacing w:before="120" w:after="120" w:line="240" w:lineRule="auto"/>
        <w:jc w:val="both"/>
        <w:rPr>
          <w:rFonts w:cs="Times New Roman"/>
          <w:noProof/>
          <w:u w:val="single"/>
        </w:rPr>
      </w:pPr>
      <w:r w:rsidRPr="00BC4EE7">
        <w:rPr>
          <w:rFonts w:cs="Times New Roman"/>
          <w:i/>
          <w:noProof/>
        </w:rPr>
        <w:t>Táblázat alább.</w:t>
      </w:r>
      <w:r w:rsidRPr="00BC4EE7">
        <w:rPr>
          <w:rFonts w:cs="Times New Roman"/>
          <w:noProof/>
        </w:rPr>
        <w:t xml:space="preserve"> </w:t>
      </w:r>
      <w:r w:rsidRPr="00BC4EE7">
        <w:rPr>
          <w:rFonts w:cs="Times New Roman"/>
          <w:i/>
          <w:noProof/>
        </w:rPr>
        <w:t>Az összes mutató esetében a kiindulási időpont a tevékenység kezdete, kivéve, ha a tevékenység leírása ettől eltérően rendelkezik. A táblázatban szereplő összegek nem tartalmazzák a C25.I2. intézkedéshez kapcsolódó héát.</w:t>
      </w:r>
    </w:p>
    <w:p w14:paraId="081ED4BB" w14:textId="77777777" w:rsidR="00D65CB4" w:rsidRPr="00BC4EE7" w:rsidRDefault="00D65CB4">
      <w:pPr>
        <w:spacing w:before="120" w:after="120" w:line="240" w:lineRule="auto"/>
        <w:jc w:val="both"/>
        <w:rPr>
          <w:rFonts w:ascii="Times New Roman" w:hAnsi="Times New Roman" w:cs="Times New Roman"/>
          <w:noProof/>
          <w:sz w:val="24"/>
          <w:u w:val="single"/>
        </w:rPr>
      </w:pPr>
    </w:p>
    <w:p w14:paraId="21D3C488" w14:textId="77777777" w:rsidR="00D65CB4" w:rsidRPr="00BC4EE7" w:rsidRDefault="00D65CB4">
      <w:pPr>
        <w:pStyle w:val="Text1"/>
        <w:ind w:left="0"/>
        <w:rPr>
          <w:rFonts w:ascii="Times New Roman" w:hAnsi="Times New Roman" w:cs="Times New Roman"/>
          <w:noProof/>
        </w:rPr>
        <w:sectPr w:rsidR="00D65CB4" w:rsidRPr="00BC4EE7" w:rsidSect="00B511EF">
          <w:headerReference w:type="even" r:id="rId502"/>
          <w:headerReference w:type="default" r:id="rId503"/>
          <w:footerReference w:type="even" r:id="rId504"/>
          <w:footerReference w:type="default" r:id="rId505"/>
          <w:headerReference w:type="first" r:id="rId506"/>
          <w:footerReference w:type="first" r:id="rId507"/>
          <w:pgSz w:w="11907" w:h="16839"/>
          <w:pgMar w:top="1134" w:right="1134" w:bottom="1134" w:left="1134" w:header="567" w:footer="567" w:gutter="0"/>
          <w:cols w:space="720"/>
          <w:docGrid w:linePitch="360"/>
        </w:sectPr>
      </w:pPr>
    </w:p>
    <w:p w14:paraId="54274A88" w14:textId="77777777" w:rsidR="00D65CB4" w:rsidRPr="00BC4EE7" w:rsidRDefault="00D65CB4">
      <w:pPr>
        <w:pStyle w:val="Text1"/>
        <w:ind w:left="0"/>
        <w:rPr>
          <w:rFonts w:ascii="Times New Roman" w:hAnsi="Times New Roman" w:cs="Times New Roman"/>
          <w:noProof/>
          <w:sz w:val="20"/>
        </w:rPr>
      </w:pPr>
    </w:p>
    <w:tbl>
      <w:tblPr>
        <w:tblW w:w="14993"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11"/>
        <w:gridCol w:w="991"/>
        <w:gridCol w:w="992"/>
        <w:gridCol w:w="1662"/>
        <w:gridCol w:w="1093"/>
        <w:gridCol w:w="726"/>
        <w:gridCol w:w="965"/>
        <w:gridCol w:w="665"/>
        <w:gridCol w:w="605"/>
        <w:gridCol w:w="514"/>
        <w:gridCol w:w="6069"/>
      </w:tblGrid>
      <w:tr w:rsidR="00D65CB4" w:rsidRPr="00BC4EE7" w14:paraId="7E0E8252" w14:textId="77777777" w:rsidTr="00572307">
        <w:trPr>
          <w:trHeight w:val="309"/>
          <w:tblHeader/>
        </w:trPr>
        <w:tc>
          <w:tcPr>
            <w:tcW w:w="711" w:type="dxa"/>
            <w:tcBorders>
              <w:bottom w:val="nil"/>
            </w:tcBorders>
            <w:shd w:val="clear" w:color="auto" w:fill="C6D9F1" w:themeFill="text2" w:themeFillTint="33"/>
            <w:noWrap/>
            <w:vAlign w:val="center"/>
          </w:tcPr>
          <w:p w14:paraId="2E26B9EA"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Szám</w:t>
            </w:r>
          </w:p>
        </w:tc>
        <w:tc>
          <w:tcPr>
            <w:tcW w:w="991" w:type="dxa"/>
            <w:tcBorders>
              <w:bottom w:val="nil"/>
            </w:tcBorders>
            <w:shd w:val="clear" w:color="auto" w:fill="C6D9F1" w:themeFill="text2" w:themeFillTint="33"/>
            <w:noWrap/>
            <w:vAlign w:val="center"/>
          </w:tcPr>
          <w:p w14:paraId="1EB71C7B"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Intézkedés</w:t>
            </w:r>
          </w:p>
        </w:tc>
        <w:tc>
          <w:tcPr>
            <w:tcW w:w="992" w:type="dxa"/>
            <w:tcBorders>
              <w:bottom w:val="nil"/>
            </w:tcBorders>
            <w:shd w:val="clear" w:color="auto" w:fill="C6D9F1" w:themeFill="text2" w:themeFillTint="33"/>
            <w:noWrap/>
            <w:vAlign w:val="center"/>
          </w:tcPr>
          <w:p w14:paraId="71CC5653" w14:textId="77777777" w:rsidR="00D65CB4" w:rsidRPr="00BC4EE7" w:rsidRDefault="00572307">
            <w:pPr>
              <w:spacing w:after="0" w:line="240" w:lineRule="auto"/>
              <w:jc w:val="center"/>
              <w:rPr>
                <w:rFonts w:ascii="Times New Roman" w:hAnsi="Times New Roman" w:cs="Times New Roman"/>
                <w:b/>
                <w:noProof/>
                <w:sz w:val="18"/>
              </w:rPr>
            </w:pPr>
            <w:r w:rsidRPr="00BC4EE7">
              <w:rPr>
                <w:rFonts w:ascii="Times New Roman" w:hAnsi="Times New Roman" w:cs="Times New Roman"/>
                <w:b/>
                <w:noProof/>
                <w:sz w:val="18"/>
              </w:rPr>
              <w:t>Mérföldkő</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b/>
                <w:noProof/>
                <w:sz w:val="18"/>
              </w:rPr>
              <w:t xml:space="preserve"> /Cél</w:t>
            </w:r>
          </w:p>
        </w:tc>
        <w:tc>
          <w:tcPr>
            <w:tcW w:w="1662" w:type="dxa"/>
            <w:tcBorders>
              <w:bottom w:val="nil"/>
            </w:tcBorders>
            <w:shd w:val="clear" w:color="auto" w:fill="C6D9F1" w:themeFill="text2" w:themeFillTint="33"/>
            <w:noWrap/>
            <w:vAlign w:val="center"/>
          </w:tcPr>
          <w:p w14:paraId="47189E78"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Név</w:t>
            </w:r>
          </w:p>
        </w:tc>
        <w:tc>
          <w:tcPr>
            <w:tcW w:w="1093" w:type="dxa"/>
            <w:tcBorders>
              <w:bottom w:val="nil"/>
            </w:tcBorders>
            <w:shd w:val="clear" w:color="auto" w:fill="C6D9F1" w:themeFill="text2" w:themeFillTint="33"/>
            <w:noWrap/>
            <w:vAlign w:val="center"/>
          </w:tcPr>
          <w:p w14:paraId="1684463A"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mérföldkövek minőségi mutatója</w:t>
            </w:r>
          </w:p>
        </w:tc>
        <w:tc>
          <w:tcPr>
            <w:tcW w:w="2356" w:type="dxa"/>
            <w:gridSpan w:val="3"/>
            <w:shd w:val="clear" w:color="auto" w:fill="C6D9F1" w:themeFill="text2" w:themeFillTint="33"/>
            <w:noWrap/>
            <w:vAlign w:val="center"/>
          </w:tcPr>
          <w:p w14:paraId="6B86D05F"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célérték mennyiségi mutatója</w:t>
            </w:r>
          </w:p>
        </w:tc>
        <w:tc>
          <w:tcPr>
            <w:tcW w:w="1119" w:type="dxa"/>
            <w:gridSpan w:val="2"/>
            <w:shd w:val="clear" w:color="auto" w:fill="C6D9F1" w:themeFill="text2" w:themeFillTint="33"/>
            <w:noWrap/>
            <w:vAlign w:val="center"/>
          </w:tcPr>
          <w:p w14:paraId="2DF4BA48"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Idő</w:t>
            </w:r>
          </w:p>
        </w:tc>
        <w:tc>
          <w:tcPr>
            <w:tcW w:w="6069" w:type="dxa"/>
            <w:tcBorders>
              <w:bottom w:val="nil"/>
            </w:tcBorders>
            <w:shd w:val="clear" w:color="auto" w:fill="C6D9F1" w:themeFill="text2" w:themeFillTint="33"/>
            <w:noWrap/>
            <w:vAlign w:val="center"/>
          </w:tcPr>
          <w:p w14:paraId="209B3A0B"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Az egyes mérföldkövek és célértékek leírása</w:t>
            </w:r>
          </w:p>
        </w:tc>
      </w:tr>
      <w:tr w:rsidR="00D65CB4" w:rsidRPr="00BC4EE7" w14:paraId="70DE08BA" w14:textId="77777777" w:rsidTr="00572307">
        <w:trPr>
          <w:trHeight w:val="309"/>
          <w:tblHeader/>
        </w:trPr>
        <w:tc>
          <w:tcPr>
            <w:tcW w:w="711" w:type="dxa"/>
            <w:tcBorders>
              <w:top w:val="nil"/>
              <w:left w:val="single" w:sz="4" w:space="0" w:color="auto"/>
              <w:bottom w:val="single" w:sz="4" w:space="0" w:color="auto"/>
              <w:right w:val="single" w:sz="4" w:space="0" w:color="auto"/>
            </w:tcBorders>
            <w:shd w:val="clear" w:color="auto" w:fill="C6D9F1" w:themeFill="text2" w:themeFillTint="33"/>
            <w:noWrap/>
          </w:tcPr>
          <w:p w14:paraId="0DAA8B30" w14:textId="77777777" w:rsidR="00D65CB4" w:rsidRPr="00BC4EE7" w:rsidRDefault="00D65CB4">
            <w:pPr>
              <w:spacing w:after="0" w:line="240" w:lineRule="auto"/>
              <w:jc w:val="center"/>
              <w:rPr>
                <w:rFonts w:ascii="Times New Roman" w:hAnsi="Times New Roman" w:cs="Times New Roman"/>
                <w:b/>
                <w:noProof/>
                <w:sz w:val="18"/>
              </w:rPr>
            </w:pPr>
          </w:p>
        </w:tc>
        <w:tc>
          <w:tcPr>
            <w:tcW w:w="991" w:type="dxa"/>
            <w:tcBorders>
              <w:top w:val="nil"/>
              <w:left w:val="single" w:sz="4" w:space="0" w:color="auto"/>
              <w:bottom w:val="single" w:sz="4" w:space="0" w:color="auto"/>
              <w:right w:val="single" w:sz="4" w:space="0" w:color="auto"/>
            </w:tcBorders>
            <w:shd w:val="clear" w:color="auto" w:fill="C6D9F1" w:themeFill="text2" w:themeFillTint="33"/>
            <w:noWrap/>
          </w:tcPr>
          <w:p w14:paraId="62AA6C9A" w14:textId="77777777" w:rsidR="00D65CB4" w:rsidRPr="00BC4EE7" w:rsidRDefault="00D65CB4">
            <w:pPr>
              <w:spacing w:after="0" w:line="240" w:lineRule="auto"/>
              <w:jc w:val="center"/>
              <w:rPr>
                <w:rFonts w:ascii="Times New Roman" w:hAnsi="Times New Roman" w:cs="Times New Roman"/>
                <w:b/>
                <w:noProof/>
                <w:sz w:val="18"/>
              </w:rPr>
            </w:pPr>
          </w:p>
        </w:tc>
        <w:tc>
          <w:tcPr>
            <w:tcW w:w="992" w:type="dxa"/>
            <w:tcBorders>
              <w:top w:val="nil"/>
              <w:left w:val="single" w:sz="4" w:space="0" w:color="auto"/>
              <w:bottom w:val="single" w:sz="4" w:space="0" w:color="auto"/>
              <w:right w:val="single" w:sz="4" w:space="0" w:color="auto"/>
            </w:tcBorders>
            <w:shd w:val="clear" w:color="auto" w:fill="C6D9F1" w:themeFill="text2" w:themeFillTint="33"/>
            <w:noWrap/>
          </w:tcPr>
          <w:p w14:paraId="3F154AAE" w14:textId="77777777" w:rsidR="00D65CB4" w:rsidRPr="00BC4EE7" w:rsidRDefault="00D65CB4">
            <w:pPr>
              <w:spacing w:after="0" w:line="240" w:lineRule="auto"/>
              <w:jc w:val="center"/>
              <w:rPr>
                <w:rFonts w:ascii="Times New Roman" w:hAnsi="Times New Roman" w:cs="Times New Roman"/>
                <w:b/>
                <w:noProof/>
                <w:sz w:val="18"/>
              </w:rPr>
            </w:pPr>
          </w:p>
        </w:tc>
        <w:tc>
          <w:tcPr>
            <w:tcW w:w="1662" w:type="dxa"/>
            <w:tcBorders>
              <w:top w:val="nil"/>
              <w:left w:val="single" w:sz="4" w:space="0" w:color="auto"/>
              <w:bottom w:val="single" w:sz="4" w:space="0" w:color="auto"/>
              <w:right w:val="single" w:sz="4" w:space="0" w:color="auto"/>
            </w:tcBorders>
            <w:shd w:val="clear" w:color="auto" w:fill="C6D9F1" w:themeFill="text2" w:themeFillTint="33"/>
            <w:noWrap/>
          </w:tcPr>
          <w:p w14:paraId="2EDEBCEB" w14:textId="77777777" w:rsidR="00D65CB4" w:rsidRPr="00BC4EE7" w:rsidRDefault="00D65CB4">
            <w:pPr>
              <w:spacing w:after="0" w:line="240" w:lineRule="auto"/>
              <w:rPr>
                <w:rFonts w:ascii="Times New Roman" w:hAnsi="Times New Roman" w:cs="Times New Roman"/>
                <w:b/>
                <w:noProof/>
                <w:sz w:val="18"/>
              </w:rPr>
            </w:pPr>
          </w:p>
        </w:tc>
        <w:tc>
          <w:tcPr>
            <w:tcW w:w="1093" w:type="dxa"/>
            <w:tcBorders>
              <w:top w:val="nil"/>
              <w:left w:val="single" w:sz="4" w:space="0" w:color="auto"/>
              <w:bottom w:val="single" w:sz="4" w:space="0" w:color="auto"/>
              <w:right w:val="single" w:sz="4" w:space="0" w:color="auto"/>
            </w:tcBorders>
            <w:shd w:val="clear" w:color="auto" w:fill="C6D9F1" w:themeFill="text2" w:themeFillTint="33"/>
            <w:noWrap/>
          </w:tcPr>
          <w:p w14:paraId="320256B1" w14:textId="77777777" w:rsidR="00D65CB4" w:rsidRPr="00BC4EE7" w:rsidRDefault="00D65CB4">
            <w:pPr>
              <w:spacing w:after="0" w:line="240" w:lineRule="auto"/>
              <w:jc w:val="center"/>
              <w:rPr>
                <w:rFonts w:ascii="Times New Roman" w:hAnsi="Times New Roman" w:cs="Times New Roman"/>
                <w:b/>
                <w:noProof/>
                <w:sz w:val="18"/>
              </w:rPr>
            </w:pPr>
          </w:p>
        </w:tc>
        <w:tc>
          <w:tcPr>
            <w:tcW w:w="72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EC49D8B"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Egység</w:t>
            </w:r>
          </w:p>
        </w:tc>
        <w:tc>
          <w:tcPr>
            <w:tcW w:w="96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77DC9DC8" w14:textId="0A1D2830" w:rsidR="00D65CB4" w:rsidRPr="00BC4EE7" w:rsidRDefault="00572307">
            <w:pPr>
              <w:pStyle w:val="P68B1DB1-Normal8"/>
              <w:spacing w:after="0" w:line="240" w:lineRule="auto"/>
              <w:jc w:val="center"/>
              <w:rPr>
                <w:rFonts w:cs="Times New Roman"/>
                <w:noProof/>
              </w:rPr>
            </w:pPr>
            <w:r w:rsidRPr="00BC4EE7">
              <w:rPr>
                <w:rFonts w:cs="Times New Roman"/>
                <w:noProof/>
              </w:rPr>
              <w:t>Kiindulási</w:t>
            </w:r>
          </w:p>
        </w:tc>
        <w:tc>
          <w:tcPr>
            <w:tcW w:w="66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59DFC03"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Cél</w:t>
            </w:r>
          </w:p>
        </w:tc>
        <w:tc>
          <w:tcPr>
            <w:tcW w:w="60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8D9F0C1"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Q</w:t>
            </w:r>
          </w:p>
        </w:tc>
        <w:tc>
          <w:tcPr>
            <w:tcW w:w="514"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BF60B01"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Éve</w:t>
            </w:r>
          </w:p>
        </w:tc>
        <w:tc>
          <w:tcPr>
            <w:tcW w:w="6069" w:type="dxa"/>
            <w:tcBorders>
              <w:top w:val="nil"/>
              <w:left w:val="single" w:sz="4" w:space="0" w:color="auto"/>
              <w:bottom w:val="single" w:sz="4" w:space="0" w:color="auto"/>
              <w:right w:val="single" w:sz="4" w:space="0" w:color="auto"/>
            </w:tcBorders>
            <w:shd w:val="clear" w:color="auto" w:fill="C6D9F1" w:themeFill="text2" w:themeFillTint="33"/>
            <w:noWrap/>
          </w:tcPr>
          <w:p w14:paraId="09111EFA" w14:textId="77777777" w:rsidR="00D65CB4" w:rsidRPr="00BC4EE7" w:rsidRDefault="00D65CB4">
            <w:pPr>
              <w:spacing w:after="0" w:line="240" w:lineRule="auto"/>
              <w:rPr>
                <w:rFonts w:ascii="Times New Roman" w:eastAsia="Times New Roman" w:hAnsi="Times New Roman" w:cs="Times New Roman"/>
                <w:noProof/>
                <w:sz w:val="18"/>
              </w:rPr>
            </w:pPr>
          </w:p>
        </w:tc>
      </w:tr>
      <w:tr w:rsidR="00D65CB4" w:rsidRPr="00BC4EE7" w14:paraId="2D6B053D" w14:textId="77777777" w:rsidTr="00572307">
        <w:trPr>
          <w:trHeight w:val="309"/>
        </w:trPr>
        <w:tc>
          <w:tcPr>
            <w:tcW w:w="711" w:type="dxa"/>
            <w:shd w:val="clear" w:color="auto" w:fill="C6EFCE"/>
            <w:noWrap/>
          </w:tcPr>
          <w:p w14:paraId="1101B259" w14:textId="46A7354F"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L75</w:t>
            </w:r>
          </w:p>
        </w:tc>
        <w:tc>
          <w:tcPr>
            <w:tcW w:w="991" w:type="dxa"/>
            <w:shd w:val="clear" w:color="auto" w:fill="C6EFCE"/>
            <w:noWrap/>
          </w:tcPr>
          <w:p w14:paraId="0923ADAB"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C25.I2</w:t>
            </w:r>
          </w:p>
        </w:tc>
        <w:tc>
          <w:tcPr>
            <w:tcW w:w="992" w:type="dxa"/>
            <w:shd w:val="clear" w:color="auto" w:fill="C6EFCE"/>
            <w:noWrap/>
          </w:tcPr>
          <w:p w14:paraId="38CA287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1662" w:type="dxa"/>
            <w:shd w:val="clear" w:color="auto" w:fill="C6EFCE"/>
            <w:noWrap/>
          </w:tcPr>
          <w:p w14:paraId="3E7FA25E" w14:textId="6DD6288E" w:rsidR="00D65CB4" w:rsidRPr="00BC4EE7" w:rsidRDefault="00572307">
            <w:pPr>
              <w:pStyle w:val="P68B1DB1-Normal12"/>
              <w:spacing w:after="0" w:line="240" w:lineRule="auto"/>
              <w:rPr>
                <w:rFonts w:eastAsia="Times New Roman" w:cs="Times New Roman"/>
                <w:noProof/>
              </w:rPr>
            </w:pPr>
            <w:r w:rsidRPr="00BC4EE7">
              <w:rPr>
                <w:rFonts w:cs="Times New Roman"/>
                <w:noProof/>
              </w:rPr>
              <w:t>A projektek digitalizálásának és tartalomterjesztésének finanszírozására odaítélt díjak közzététele</w:t>
            </w:r>
          </w:p>
        </w:tc>
        <w:tc>
          <w:tcPr>
            <w:tcW w:w="1093" w:type="dxa"/>
            <w:shd w:val="clear" w:color="auto" w:fill="C6EFCE"/>
            <w:noWrap/>
          </w:tcPr>
          <w:p w14:paraId="4184C604" w14:textId="79E7E0AC"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Közzététel a Hivatalos Lapban vagy a hivatalos honlapon</w:t>
            </w:r>
          </w:p>
        </w:tc>
        <w:tc>
          <w:tcPr>
            <w:tcW w:w="726" w:type="dxa"/>
            <w:shd w:val="clear" w:color="auto" w:fill="C6EFCE"/>
            <w:noWrap/>
          </w:tcPr>
          <w:p w14:paraId="1DAD6770" w14:textId="77777777" w:rsidR="00D65CB4" w:rsidRPr="00BC4EE7" w:rsidRDefault="00D65CB4">
            <w:pPr>
              <w:spacing w:after="0" w:line="240" w:lineRule="auto"/>
              <w:jc w:val="center"/>
              <w:rPr>
                <w:rFonts w:ascii="Times New Roman" w:eastAsia="Times New Roman" w:hAnsi="Times New Roman" w:cs="Times New Roman"/>
                <w:noProof/>
                <w:sz w:val="18"/>
              </w:rPr>
            </w:pPr>
          </w:p>
        </w:tc>
        <w:tc>
          <w:tcPr>
            <w:tcW w:w="965" w:type="dxa"/>
            <w:shd w:val="clear" w:color="auto" w:fill="C6EFCE"/>
            <w:noWrap/>
          </w:tcPr>
          <w:p w14:paraId="20660151" w14:textId="77777777" w:rsidR="00D65CB4" w:rsidRPr="00BC4EE7" w:rsidRDefault="00D65CB4">
            <w:pPr>
              <w:spacing w:after="0" w:line="240" w:lineRule="auto"/>
              <w:jc w:val="right"/>
              <w:rPr>
                <w:rFonts w:ascii="Times New Roman" w:eastAsia="Times New Roman" w:hAnsi="Times New Roman" w:cs="Times New Roman"/>
                <w:noProof/>
                <w:sz w:val="18"/>
              </w:rPr>
            </w:pPr>
          </w:p>
        </w:tc>
        <w:tc>
          <w:tcPr>
            <w:tcW w:w="665" w:type="dxa"/>
            <w:shd w:val="clear" w:color="auto" w:fill="C6EFCE"/>
            <w:noWrap/>
          </w:tcPr>
          <w:p w14:paraId="044D3ACD" w14:textId="77777777" w:rsidR="00D65CB4" w:rsidRPr="00BC4EE7" w:rsidRDefault="00D65CB4">
            <w:pPr>
              <w:spacing w:after="0" w:line="240" w:lineRule="auto"/>
              <w:jc w:val="right"/>
              <w:rPr>
                <w:rFonts w:ascii="Times New Roman" w:eastAsia="Times New Roman" w:hAnsi="Times New Roman" w:cs="Times New Roman"/>
                <w:noProof/>
                <w:sz w:val="18"/>
              </w:rPr>
            </w:pPr>
          </w:p>
        </w:tc>
        <w:tc>
          <w:tcPr>
            <w:tcW w:w="605" w:type="dxa"/>
            <w:shd w:val="clear" w:color="auto" w:fill="C6EFCE"/>
            <w:noWrap/>
          </w:tcPr>
          <w:p w14:paraId="21D56AB2"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Q3</w:t>
            </w:r>
          </w:p>
        </w:tc>
        <w:tc>
          <w:tcPr>
            <w:tcW w:w="514" w:type="dxa"/>
            <w:shd w:val="clear" w:color="auto" w:fill="C6EFCE"/>
            <w:noWrap/>
          </w:tcPr>
          <w:p w14:paraId="136AE630"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2025</w:t>
            </w:r>
          </w:p>
        </w:tc>
        <w:tc>
          <w:tcPr>
            <w:tcW w:w="6069" w:type="dxa"/>
            <w:shd w:val="clear" w:color="auto" w:fill="C6EFCE"/>
            <w:noWrap/>
          </w:tcPr>
          <w:p w14:paraId="070D89C5" w14:textId="05B14FAA" w:rsidR="00D65CB4" w:rsidRPr="00BC4EE7" w:rsidRDefault="00572307">
            <w:pPr>
              <w:pStyle w:val="P68B1DB1-Normal12"/>
              <w:spacing w:line="240" w:lineRule="auto"/>
              <w:rPr>
                <w:rFonts w:eastAsia="Times New Roman" w:cs="Times New Roman"/>
                <w:noProof/>
              </w:rPr>
            </w:pPr>
            <w:bookmarkStart w:id="62" w:name="_Hlk145587311"/>
            <w:r w:rsidRPr="00BC4EE7">
              <w:rPr>
                <w:rFonts w:cs="Times New Roman"/>
                <w:noProof/>
              </w:rPr>
              <w:t xml:space="preserve">Legalább 19 500 000 EUR összegű hitel közzététele </w:t>
            </w:r>
            <w:bookmarkEnd w:id="62"/>
            <w:r w:rsidRPr="00BC4EE7">
              <w:rPr>
                <w:rFonts w:cs="Times New Roman"/>
                <w:noProof/>
              </w:rPr>
              <w:t>a Hivatalos Lapban vagy a hivatalos honlapon a tartalmak és információk digitalizálására és terjesztésére, valamint a médiaágazatban működő vállalatok által a spanyol és a társhivatalos nyelveken megjelenő tartalmak kezelésére és feldolgozására szolgáló új technológiai eszközök elfogadására irányuló projektekhez nyújtott hitelek formájában.</w:t>
            </w:r>
          </w:p>
        </w:tc>
      </w:tr>
      <w:tr w:rsidR="00D65CB4" w:rsidRPr="00BC4EE7" w14:paraId="5DEC073D" w14:textId="77777777" w:rsidTr="00572307">
        <w:trPr>
          <w:trHeight w:val="309"/>
        </w:trPr>
        <w:tc>
          <w:tcPr>
            <w:tcW w:w="711" w:type="dxa"/>
            <w:shd w:val="clear" w:color="auto" w:fill="C6EFCE"/>
            <w:noWrap/>
          </w:tcPr>
          <w:p w14:paraId="7DB4B140" w14:textId="1F50BB51"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L76</w:t>
            </w:r>
          </w:p>
        </w:tc>
        <w:tc>
          <w:tcPr>
            <w:tcW w:w="991" w:type="dxa"/>
            <w:shd w:val="clear" w:color="auto" w:fill="C6EFCE"/>
            <w:noWrap/>
          </w:tcPr>
          <w:p w14:paraId="1800D804"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C25.I2</w:t>
            </w:r>
          </w:p>
        </w:tc>
        <w:tc>
          <w:tcPr>
            <w:tcW w:w="992" w:type="dxa"/>
            <w:shd w:val="clear" w:color="auto" w:fill="C6EFCE"/>
            <w:noWrap/>
          </w:tcPr>
          <w:p w14:paraId="736BDD5A"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1662" w:type="dxa"/>
            <w:shd w:val="clear" w:color="auto" w:fill="C6EFCE"/>
            <w:noWrap/>
          </w:tcPr>
          <w:p w14:paraId="0C17C5FA"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A tartalom digitalizálására és terjesztésére irányuló projektek végrehajtása</w:t>
            </w:r>
          </w:p>
        </w:tc>
        <w:tc>
          <w:tcPr>
            <w:tcW w:w="1093" w:type="dxa"/>
            <w:shd w:val="clear" w:color="auto" w:fill="C6EFCE"/>
            <w:noWrap/>
          </w:tcPr>
          <w:p w14:paraId="0712BA1A" w14:textId="77777777" w:rsidR="00D65CB4" w:rsidRPr="00BC4EE7" w:rsidRDefault="00D65CB4">
            <w:pPr>
              <w:spacing w:after="0" w:line="240" w:lineRule="auto"/>
              <w:jc w:val="center"/>
              <w:rPr>
                <w:rFonts w:ascii="Times New Roman" w:eastAsia="Times New Roman" w:hAnsi="Times New Roman" w:cs="Times New Roman"/>
                <w:noProof/>
                <w:sz w:val="18"/>
              </w:rPr>
            </w:pPr>
          </w:p>
        </w:tc>
        <w:tc>
          <w:tcPr>
            <w:tcW w:w="726" w:type="dxa"/>
            <w:shd w:val="clear" w:color="auto" w:fill="C6EFCE"/>
            <w:noWrap/>
          </w:tcPr>
          <w:p w14:paraId="747A2659" w14:textId="35FED01C"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Millió EUR</w:t>
            </w:r>
          </w:p>
        </w:tc>
        <w:tc>
          <w:tcPr>
            <w:tcW w:w="965" w:type="dxa"/>
            <w:shd w:val="clear" w:color="auto" w:fill="C6EFCE"/>
            <w:noWrap/>
          </w:tcPr>
          <w:p w14:paraId="0D1E194C" w14:textId="77777777" w:rsidR="00D65CB4" w:rsidRPr="00BC4EE7" w:rsidRDefault="00D65CB4">
            <w:pPr>
              <w:spacing w:after="0" w:line="240" w:lineRule="auto"/>
              <w:jc w:val="right"/>
              <w:rPr>
                <w:rFonts w:ascii="Times New Roman" w:eastAsia="Times New Roman" w:hAnsi="Times New Roman" w:cs="Times New Roman"/>
                <w:noProof/>
                <w:sz w:val="18"/>
              </w:rPr>
            </w:pPr>
          </w:p>
        </w:tc>
        <w:tc>
          <w:tcPr>
            <w:tcW w:w="665" w:type="dxa"/>
            <w:shd w:val="clear" w:color="auto" w:fill="C6EFCE"/>
            <w:noWrap/>
          </w:tcPr>
          <w:p w14:paraId="56BD40EA" w14:textId="2719BDB7" w:rsidR="00D65CB4" w:rsidRPr="00BC4EE7" w:rsidRDefault="00572307">
            <w:pPr>
              <w:pStyle w:val="P68B1DB1-Normal12"/>
              <w:spacing w:after="0" w:line="240" w:lineRule="auto"/>
              <w:jc w:val="right"/>
              <w:rPr>
                <w:rFonts w:eastAsia="Times New Roman" w:cs="Times New Roman"/>
                <w:noProof/>
              </w:rPr>
            </w:pPr>
            <w:r w:rsidRPr="00BC4EE7">
              <w:rPr>
                <w:rFonts w:cs="Times New Roman"/>
                <w:noProof/>
              </w:rPr>
              <w:t>17.55</w:t>
            </w:r>
          </w:p>
        </w:tc>
        <w:tc>
          <w:tcPr>
            <w:tcW w:w="605" w:type="dxa"/>
            <w:shd w:val="clear" w:color="auto" w:fill="C6EFCE"/>
            <w:noWrap/>
          </w:tcPr>
          <w:p w14:paraId="357035B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Q2</w:t>
            </w:r>
          </w:p>
        </w:tc>
        <w:tc>
          <w:tcPr>
            <w:tcW w:w="514" w:type="dxa"/>
            <w:shd w:val="clear" w:color="auto" w:fill="C6EFCE"/>
            <w:noWrap/>
          </w:tcPr>
          <w:p w14:paraId="2CC965C1"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2026</w:t>
            </w:r>
          </w:p>
        </w:tc>
        <w:tc>
          <w:tcPr>
            <w:tcW w:w="6069" w:type="dxa"/>
            <w:shd w:val="clear" w:color="auto" w:fill="C6EFCE"/>
            <w:noWrap/>
          </w:tcPr>
          <w:p w14:paraId="45516066" w14:textId="77777777" w:rsidR="00D65CB4" w:rsidRPr="00BC4EE7" w:rsidRDefault="00572307">
            <w:pPr>
              <w:pStyle w:val="P68B1DB1-Normal12"/>
              <w:spacing w:line="240" w:lineRule="auto"/>
              <w:rPr>
                <w:rFonts w:eastAsia="Times New Roman" w:cs="Times New Roman"/>
                <w:noProof/>
              </w:rPr>
            </w:pPr>
            <w:r w:rsidRPr="00BC4EE7">
              <w:rPr>
                <w:rFonts w:cs="Times New Roman"/>
                <w:noProof/>
              </w:rPr>
              <w:t xml:space="preserve">A legalább 17550000 eurós költségvetésnek megfelelő projektek véglegesítése a digitalizálás, a tartalmak terjesztése, valamint a spanyol és a társhivatalos nyelveken megjelenő tartalmak kezelésére és feldolgozására szolgáló új technológiai eszközök elfogadása tekintetében.   </w:t>
            </w:r>
          </w:p>
        </w:tc>
      </w:tr>
      <w:tr w:rsidR="00D65CB4" w:rsidRPr="00BC4EE7" w14:paraId="32C2E06A" w14:textId="77777777" w:rsidTr="00572307">
        <w:trPr>
          <w:trHeight w:val="309"/>
        </w:trPr>
        <w:tc>
          <w:tcPr>
            <w:tcW w:w="711" w:type="dxa"/>
            <w:shd w:val="clear" w:color="auto" w:fill="C6EFCE"/>
            <w:noWrap/>
          </w:tcPr>
          <w:p w14:paraId="42DE955D" w14:textId="08D4F92E"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L77</w:t>
            </w:r>
          </w:p>
        </w:tc>
        <w:tc>
          <w:tcPr>
            <w:tcW w:w="991" w:type="dxa"/>
            <w:shd w:val="clear" w:color="auto" w:fill="C6EFCE"/>
            <w:noWrap/>
          </w:tcPr>
          <w:p w14:paraId="7014E155"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C25.I3</w:t>
            </w:r>
          </w:p>
        </w:tc>
        <w:tc>
          <w:tcPr>
            <w:tcW w:w="992" w:type="dxa"/>
            <w:shd w:val="clear" w:color="auto" w:fill="C6EFCE"/>
            <w:noWrap/>
          </w:tcPr>
          <w:p w14:paraId="6C155DD5"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M</w:t>
            </w:r>
          </w:p>
        </w:tc>
        <w:tc>
          <w:tcPr>
            <w:tcW w:w="1662" w:type="dxa"/>
            <w:shd w:val="clear" w:color="auto" w:fill="C6EFCE"/>
            <w:noWrap/>
          </w:tcPr>
          <w:p w14:paraId="0ABD9A36" w14:textId="4BBEF6D8"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ICO Audiovizuális Platform Alap: Végrehajtási megállapodás </w:t>
            </w:r>
          </w:p>
          <w:p w14:paraId="26D1B766" w14:textId="77777777" w:rsidR="00D65CB4" w:rsidRPr="00BC4EE7" w:rsidRDefault="00D65CB4">
            <w:pPr>
              <w:spacing w:after="0" w:line="240" w:lineRule="auto"/>
              <w:rPr>
                <w:rFonts w:ascii="Times New Roman" w:eastAsia="Times New Roman" w:hAnsi="Times New Roman" w:cs="Times New Roman"/>
                <w:noProof/>
                <w:sz w:val="18"/>
              </w:rPr>
            </w:pPr>
          </w:p>
        </w:tc>
        <w:tc>
          <w:tcPr>
            <w:tcW w:w="1093" w:type="dxa"/>
            <w:shd w:val="clear" w:color="auto" w:fill="C6EFCE"/>
            <w:noWrap/>
          </w:tcPr>
          <w:p w14:paraId="56759D38" w14:textId="1314AE91"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A végrehajtási megállapodás hatálybalépése</w:t>
            </w:r>
          </w:p>
        </w:tc>
        <w:tc>
          <w:tcPr>
            <w:tcW w:w="726" w:type="dxa"/>
            <w:shd w:val="clear" w:color="auto" w:fill="C6EFCE"/>
            <w:noWrap/>
          </w:tcPr>
          <w:p w14:paraId="791D4D06" w14:textId="77777777" w:rsidR="00D65CB4" w:rsidRPr="00BC4EE7" w:rsidRDefault="00D65CB4">
            <w:pPr>
              <w:spacing w:after="0" w:line="240" w:lineRule="auto"/>
              <w:jc w:val="center"/>
              <w:rPr>
                <w:rFonts w:ascii="Times New Roman" w:hAnsi="Times New Roman" w:cs="Times New Roman"/>
                <w:noProof/>
                <w:sz w:val="18"/>
              </w:rPr>
            </w:pPr>
          </w:p>
        </w:tc>
        <w:tc>
          <w:tcPr>
            <w:tcW w:w="965" w:type="dxa"/>
            <w:shd w:val="clear" w:color="auto" w:fill="C6EFCE"/>
            <w:noWrap/>
          </w:tcPr>
          <w:p w14:paraId="7420DDA8" w14:textId="77777777" w:rsidR="00D65CB4" w:rsidRPr="00BC4EE7" w:rsidRDefault="00D65CB4">
            <w:pPr>
              <w:spacing w:after="0" w:line="240" w:lineRule="auto"/>
              <w:jc w:val="right"/>
              <w:rPr>
                <w:rFonts w:ascii="Times New Roman" w:hAnsi="Times New Roman" w:cs="Times New Roman"/>
                <w:noProof/>
                <w:sz w:val="18"/>
              </w:rPr>
            </w:pPr>
          </w:p>
        </w:tc>
        <w:tc>
          <w:tcPr>
            <w:tcW w:w="665" w:type="dxa"/>
            <w:shd w:val="clear" w:color="auto" w:fill="C6EFCE"/>
            <w:noWrap/>
          </w:tcPr>
          <w:p w14:paraId="2BE46740" w14:textId="77777777" w:rsidR="00D65CB4" w:rsidRPr="00BC4EE7" w:rsidRDefault="00D65CB4">
            <w:pPr>
              <w:spacing w:after="0" w:line="240" w:lineRule="auto"/>
              <w:jc w:val="right"/>
              <w:rPr>
                <w:rFonts w:ascii="Times New Roman" w:hAnsi="Times New Roman" w:cs="Times New Roman"/>
                <w:noProof/>
                <w:sz w:val="18"/>
              </w:rPr>
            </w:pPr>
          </w:p>
        </w:tc>
        <w:tc>
          <w:tcPr>
            <w:tcW w:w="605" w:type="dxa"/>
            <w:shd w:val="clear" w:color="auto" w:fill="C6EFCE"/>
            <w:noWrap/>
          </w:tcPr>
          <w:p w14:paraId="7459C76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Q4</w:t>
            </w:r>
          </w:p>
        </w:tc>
        <w:tc>
          <w:tcPr>
            <w:tcW w:w="514" w:type="dxa"/>
            <w:shd w:val="clear" w:color="auto" w:fill="C6EFCE"/>
            <w:noWrap/>
          </w:tcPr>
          <w:p w14:paraId="3343D3B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2023</w:t>
            </w:r>
          </w:p>
        </w:tc>
        <w:tc>
          <w:tcPr>
            <w:tcW w:w="6069" w:type="dxa"/>
            <w:shd w:val="clear" w:color="auto" w:fill="C6EFCE"/>
            <w:noWrap/>
          </w:tcPr>
          <w:p w14:paraId="4C1E2C42" w14:textId="662EA4FF" w:rsidR="00D65CB4" w:rsidRPr="00BC4EE7" w:rsidRDefault="00572307">
            <w:pPr>
              <w:pStyle w:val="P68B1DB1-Normal12"/>
              <w:rPr>
                <w:rFonts w:eastAsia="Times New Roman" w:cs="Times New Roman"/>
                <w:noProof/>
              </w:rPr>
            </w:pPr>
            <w:r w:rsidRPr="00BC4EE7">
              <w:rPr>
                <w:rFonts w:cs="Times New Roman"/>
                <w:noProof/>
              </w:rPr>
              <w:t>A végrehajtási megállapodás hatálybalépése.</w:t>
            </w:r>
          </w:p>
          <w:p w14:paraId="3C94C7D4" w14:textId="77777777" w:rsidR="00D65CB4" w:rsidRPr="00BC4EE7" w:rsidRDefault="00D65CB4">
            <w:pPr>
              <w:spacing w:after="0" w:line="240" w:lineRule="auto"/>
              <w:jc w:val="both"/>
              <w:rPr>
                <w:rFonts w:ascii="Times New Roman" w:eastAsia="Times New Roman" w:hAnsi="Times New Roman" w:cs="Times New Roman"/>
                <w:noProof/>
                <w:sz w:val="18"/>
              </w:rPr>
            </w:pPr>
          </w:p>
        </w:tc>
      </w:tr>
      <w:tr w:rsidR="00D65CB4" w:rsidRPr="00BC4EE7" w14:paraId="68AB993F" w14:textId="77777777" w:rsidTr="00572307">
        <w:trPr>
          <w:trHeight w:val="309"/>
        </w:trPr>
        <w:tc>
          <w:tcPr>
            <w:tcW w:w="711" w:type="dxa"/>
            <w:shd w:val="clear" w:color="auto" w:fill="C6EFCE"/>
            <w:noWrap/>
          </w:tcPr>
          <w:p w14:paraId="79281886" w14:textId="0C23939C"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L78</w:t>
            </w:r>
          </w:p>
        </w:tc>
        <w:tc>
          <w:tcPr>
            <w:tcW w:w="991" w:type="dxa"/>
            <w:shd w:val="clear" w:color="auto" w:fill="C6EFCE"/>
            <w:noWrap/>
          </w:tcPr>
          <w:p w14:paraId="1241BA9A"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C25.I3</w:t>
            </w:r>
          </w:p>
        </w:tc>
        <w:tc>
          <w:tcPr>
            <w:tcW w:w="992" w:type="dxa"/>
            <w:shd w:val="clear" w:color="auto" w:fill="C6EFCE"/>
            <w:noWrap/>
          </w:tcPr>
          <w:p w14:paraId="7EA06B66"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1662" w:type="dxa"/>
            <w:shd w:val="clear" w:color="auto" w:fill="C6EFCE"/>
            <w:noWrap/>
          </w:tcPr>
          <w:p w14:paraId="6B4536DE" w14:textId="23838B67"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ICO Audiovizuális Platform Alap: A végső kedvezményezettekkel aláírt jogi finanszírozási megállapodások (beleértve a tőkealapokat is) (I).  </w:t>
            </w:r>
          </w:p>
        </w:tc>
        <w:tc>
          <w:tcPr>
            <w:tcW w:w="1093" w:type="dxa"/>
            <w:shd w:val="clear" w:color="auto" w:fill="C6EFCE"/>
            <w:noWrap/>
          </w:tcPr>
          <w:p w14:paraId="5956C494" w14:textId="77777777" w:rsidR="00D65CB4" w:rsidRPr="00BC4EE7" w:rsidRDefault="00D65CB4">
            <w:pPr>
              <w:spacing w:after="0" w:line="240" w:lineRule="auto"/>
              <w:jc w:val="center"/>
              <w:rPr>
                <w:rFonts w:ascii="Times New Roman" w:eastAsia="Times New Roman" w:hAnsi="Times New Roman" w:cs="Times New Roman"/>
                <w:noProof/>
                <w:sz w:val="18"/>
              </w:rPr>
            </w:pPr>
          </w:p>
        </w:tc>
        <w:tc>
          <w:tcPr>
            <w:tcW w:w="726" w:type="dxa"/>
            <w:shd w:val="clear" w:color="auto" w:fill="C6EFCE"/>
            <w:noWrap/>
          </w:tcPr>
          <w:p w14:paraId="70C04B30" w14:textId="62E33394" w:rsidR="00D65CB4" w:rsidRPr="00BC4EE7" w:rsidRDefault="00D65CB4">
            <w:pPr>
              <w:spacing w:after="0" w:line="240" w:lineRule="auto"/>
              <w:jc w:val="center"/>
              <w:rPr>
                <w:rFonts w:ascii="Times New Roman" w:hAnsi="Times New Roman" w:cs="Times New Roman"/>
                <w:noProof/>
                <w:sz w:val="18"/>
              </w:rPr>
            </w:pPr>
          </w:p>
        </w:tc>
        <w:tc>
          <w:tcPr>
            <w:tcW w:w="965" w:type="dxa"/>
            <w:shd w:val="clear" w:color="auto" w:fill="C6EFCE"/>
            <w:noWrap/>
          </w:tcPr>
          <w:p w14:paraId="1C116015" w14:textId="13D5DE7E" w:rsidR="00D65CB4" w:rsidRPr="00BC4EE7" w:rsidRDefault="00572307">
            <w:pPr>
              <w:tabs>
                <w:tab w:val="left" w:pos="210"/>
                <w:tab w:val="center" w:pos="291"/>
              </w:tabs>
              <w:spacing w:after="0" w:line="240" w:lineRule="auto"/>
              <w:rPr>
                <w:rFonts w:ascii="Times New Roman" w:hAnsi="Times New Roman" w:cs="Times New Roman"/>
                <w:noProof/>
                <w:sz w:val="18"/>
              </w:rPr>
            </w:pPr>
            <w:r w:rsidRPr="00BC4EE7">
              <w:rPr>
                <w:rFonts w:ascii="Times New Roman" w:hAnsi="Times New Roman" w:cs="Times New Roman"/>
                <w:noProof/>
              </w:rPr>
              <w:tab/>
            </w:r>
            <w:r w:rsidRPr="00BC4EE7">
              <w:rPr>
                <w:rFonts w:ascii="Times New Roman" w:hAnsi="Times New Roman" w:cs="Times New Roman"/>
                <w:noProof/>
              </w:rPr>
              <w:tab/>
            </w:r>
            <w:r w:rsidRPr="00BC4EE7">
              <w:rPr>
                <w:rFonts w:ascii="Times New Roman" w:hAnsi="Times New Roman" w:cs="Times New Roman"/>
                <w:noProof/>
                <w:sz w:val="18"/>
              </w:rPr>
              <w:t>0</w:t>
            </w:r>
          </w:p>
        </w:tc>
        <w:tc>
          <w:tcPr>
            <w:tcW w:w="665" w:type="dxa"/>
            <w:shd w:val="clear" w:color="auto" w:fill="C6EFCE"/>
            <w:noWrap/>
          </w:tcPr>
          <w:p w14:paraId="619FD1FB" w14:textId="32E6E221" w:rsidR="00D65CB4" w:rsidRPr="00BC4EE7" w:rsidRDefault="00572307">
            <w:pPr>
              <w:pStyle w:val="P68B1DB1-Normal12"/>
              <w:spacing w:after="0" w:line="240" w:lineRule="auto"/>
              <w:jc w:val="right"/>
              <w:rPr>
                <w:rFonts w:cs="Times New Roman"/>
                <w:noProof/>
              </w:rPr>
            </w:pPr>
            <w:r w:rsidRPr="00BC4EE7">
              <w:rPr>
                <w:rFonts w:cs="Times New Roman"/>
                <w:noProof/>
              </w:rPr>
              <w:t>50%</w:t>
            </w:r>
          </w:p>
        </w:tc>
        <w:tc>
          <w:tcPr>
            <w:tcW w:w="605" w:type="dxa"/>
            <w:shd w:val="clear" w:color="auto" w:fill="C6EFCE"/>
            <w:noWrap/>
          </w:tcPr>
          <w:p w14:paraId="4B47678B"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Q2</w:t>
            </w:r>
          </w:p>
        </w:tc>
        <w:tc>
          <w:tcPr>
            <w:tcW w:w="514" w:type="dxa"/>
            <w:shd w:val="clear" w:color="auto" w:fill="C6EFCE"/>
            <w:noWrap/>
          </w:tcPr>
          <w:p w14:paraId="0D5C25C7"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2025</w:t>
            </w:r>
          </w:p>
        </w:tc>
        <w:tc>
          <w:tcPr>
            <w:tcW w:w="6069" w:type="dxa"/>
            <w:shd w:val="clear" w:color="auto" w:fill="C6EFCE"/>
            <w:noWrap/>
          </w:tcPr>
          <w:p w14:paraId="2321F473" w14:textId="2CAEB37D" w:rsidR="00D65CB4" w:rsidRPr="00BC4EE7" w:rsidRDefault="00572307">
            <w:pPr>
              <w:pStyle w:val="P68B1DB1-Normal12"/>
              <w:spacing w:after="0" w:line="240" w:lineRule="auto"/>
              <w:rPr>
                <w:rFonts w:eastAsia="Times New Roman" w:cs="Times New Roman"/>
                <w:noProof/>
              </w:rPr>
            </w:pPr>
            <w:r w:rsidRPr="00BC4EE7">
              <w:rPr>
                <w:rFonts w:cs="Times New Roman"/>
                <w:noProof/>
              </w:rPr>
              <w:t>Az ICO/Axis és az ICO által kiválasztott közvetítők jogi finanszírozási megállapodásokat kötnek a végső kedvezményezettekkel a Helyreállítási és Rezilienciaépítési Eszközbe történő beruházás legalább 50%-ának felhasználásához szükséges összegről (figyelembe véve az irányítási díjakat). A finanszírozás legalább 2,5%-a tőkealapokkal aláírt finanszírozási megállapodásoknak, legalább 50%-ának pedig a végső kedvezményezettekkel aláírt finanszírozási megállapodásoknak kell megfelelnie minden egyéb befektetési termék tekintetében (beleértve a végrehajtó partner közvetlen tőkebefektetéseit is). Az ICO-nak a Helyreállítási és Rezilienciaépítési Eszközről szóló rendelet VII. mellékletében foglalt módszertan alkalmazásával jelentést kell készítenie, amelyben részletezi e finanszírozás azon százalékos arányát, amely hozzájárul a digitális célkitűzésekhez.</w:t>
            </w:r>
          </w:p>
        </w:tc>
      </w:tr>
      <w:tr w:rsidR="00D65CB4" w:rsidRPr="00BC4EE7" w14:paraId="43F220DB" w14:textId="77777777" w:rsidTr="00572307">
        <w:trPr>
          <w:trHeight w:val="915"/>
        </w:trPr>
        <w:tc>
          <w:tcPr>
            <w:tcW w:w="711" w:type="dxa"/>
            <w:shd w:val="clear" w:color="auto" w:fill="C6EFCE"/>
            <w:noWrap/>
          </w:tcPr>
          <w:p w14:paraId="1A22EBF1" w14:textId="01DCA8AB" w:rsidR="00D65CB4" w:rsidRPr="00BC4EE7" w:rsidRDefault="00572307">
            <w:pPr>
              <w:pStyle w:val="P68B1DB1-Normal12"/>
              <w:spacing w:line="240" w:lineRule="auto"/>
              <w:jc w:val="center"/>
              <w:rPr>
                <w:rFonts w:eastAsia="Times New Roman" w:cs="Times New Roman"/>
                <w:noProof/>
              </w:rPr>
            </w:pPr>
            <w:r w:rsidRPr="00BC4EE7">
              <w:rPr>
                <w:rFonts w:cs="Times New Roman"/>
                <w:noProof/>
              </w:rPr>
              <w:t>L79</w:t>
            </w:r>
          </w:p>
        </w:tc>
        <w:tc>
          <w:tcPr>
            <w:tcW w:w="991" w:type="dxa"/>
            <w:shd w:val="clear" w:color="auto" w:fill="C6EFCE"/>
            <w:noWrap/>
          </w:tcPr>
          <w:p w14:paraId="48C23F29" w14:textId="77777777" w:rsidR="00D65CB4" w:rsidRPr="00BC4EE7" w:rsidRDefault="00572307">
            <w:pPr>
              <w:pStyle w:val="P68B1DB1-Normal12"/>
              <w:spacing w:line="240" w:lineRule="auto"/>
              <w:rPr>
                <w:rFonts w:cs="Times New Roman"/>
                <w:noProof/>
              </w:rPr>
            </w:pPr>
            <w:r w:rsidRPr="00BC4EE7">
              <w:rPr>
                <w:rFonts w:cs="Times New Roman"/>
                <w:noProof/>
              </w:rPr>
              <w:t>C25.I3</w:t>
            </w:r>
          </w:p>
        </w:tc>
        <w:tc>
          <w:tcPr>
            <w:tcW w:w="992" w:type="dxa"/>
            <w:shd w:val="clear" w:color="auto" w:fill="C6EFCE"/>
            <w:noWrap/>
          </w:tcPr>
          <w:p w14:paraId="5EFDF417" w14:textId="77777777" w:rsidR="00D65CB4" w:rsidRPr="00BC4EE7" w:rsidRDefault="00572307">
            <w:pPr>
              <w:pStyle w:val="P68B1DB1-Normal12"/>
              <w:spacing w:line="240" w:lineRule="auto"/>
              <w:jc w:val="center"/>
              <w:rPr>
                <w:rFonts w:eastAsia="Times New Roman" w:cs="Times New Roman"/>
                <w:noProof/>
              </w:rPr>
            </w:pPr>
            <w:r w:rsidRPr="00BC4EE7">
              <w:rPr>
                <w:rFonts w:cs="Times New Roman"/>
                <w:noProof/>
              </w:rPr>
              <w:t>T</w:t>
            </w:r>
          </w:p>
        </w:tc>
        <w:tc>
          <w:tcPr>
            <w:tcW w:w="1662" w:type="dxa"/>
            <w:shd w:val="clear" w:color="auto" w:fill="C6EFCE"/>
            <w:noWrap/>
          </w:tcPr>
          <w:p w14:paraId="4F89FB49" w14:textId="3BDC296E" w:rsidR="00D65CB4" w:rsidRPr="00BC4EE7" w:rsidRDefault="00572307">
            <w:pPr>
              <w:pStyle w:val="P68B1DB1-Normal12"/>
              <w:spacing w:line="240" w:lineRule="auto"/>
              <w:rPr>
                <w:rFonts w:eastAsia="Times New Roman" w:cs="Times New Roman"/>
                <w:noProof/>
              </w:rPr>
            </w:pPr>
            <w:r w:rsidRPr="00BC4EE7">
              <w:rPr>
                <w:rFonts w:cs="Times New Roman"/>
                <w:noProof/>
              </w:rPr>
              <w:t>ICO Audiovizuális Platform Alap: A végső kedvezményezettekkel aláírt jogi finanszírozási megállapodások (beleértve a tőkealapokat is) (II.).</w:t>
            </w:r>
          </w:p>
        </w:tc>
        <w:tc>
          <w:tcPr>
            <w:tcW w:w="1093" w:type="dxa"/>
            <w:shd w:val="clear" w:color="auto" w:fill="C6EFCE"/>
            <w:noWrap/>
          </w:tcPr>
          <w:p w14:paraId="7B79ECB1" w14:textId="77777777" w:rsidR="00D65CB4" w:rsidRPr="00BC4EE7" w:rsidRDefault="00D65CB4">
            <w:pPr>
              <w:spacing w:line="240" w:lineRule="auto"/>
              <w:jc w:val="center"/>
              <w:rPr>
                <w:rFonts w:ascii="Times New Roman" w:eastAsia="Times New Roman" w:hAnsi="Times New Roman" w:cs="Times New Roman"/>
                <w:noProof/>
                <w:sz w:val="18"/>
              </w:rPr>
            </w:pPr>
          </w:p>
        </w:tc>
        <w:tc>
          <w:tcPr>
            <w:tcW w:w="726" w:type="dxa"/>
            <w:shd w:val="clear" w:color="auto" w:fill="C6EFCE"/>
            <w:noWrap/>
          </w:tcPr>
          <w:p w14:paraId="0F7A45F4" w14:textId="413E8D68" w:rsidR="00D65CB4" w:rsidRPr="00BC4EE7" w:rsidRDefault="00D65CB4">
            <w:pPr>
              <w:spacing w:line="240" w:lineRule="auto"/>
              <w:jc w:val="center"/>
              <w:rPr>
                <w:rFonts w:ascii="Times New Roman" w:hAnsi="Times New Roman" w:cs="Times New Roman"/>
                <w:noProof/>
                <w:sz w:val="18"/>
              </w:rPr>
            </w:pPr>
          </w:p>
        </w:tc>
        <w:tc>
          <w:tcPr>
            <w:tcW w:w="965" w:type="dxa"/>
            <w:shd w:val="clear" w:color="auto" w:fill="C6EFCE"/>
            <w:noWrap/>
          </w:tcPr>
          <w:p w14:paraId="60DA5AA9" w14:textId="67449F47" w:rsidR="00D65CB4" w:rsidRPr="00BC4EE7" w:rsidRDefault="00572307">
            <w:pPr>
              <w:pStyle w:val="P68B1DB1-Normal12"/>
              <w:spacing w:line="240" w:lineRule="auto"/>
              <w:jc w:val="center"/>
              <w:rPr>
                <w:rFonts w:cs="Times New Roman"/>
                <w:noProof/>
              </w:rPr>
            </w:pPr>
            <w:r w:rsidRPr="00BC4EE7">
              <w:rPr>
                <w:rFonts w:cs="Times New Roman"/>
                <w:noProof/>
              </w:rPr>
              <w:t>50%</w:t>
            </w:r>
          </w:p>
        </w:tc>
        <w:tc>
          <w:tcPr>
            <w:tcW w:w="665" w:type="dxa"/>
            <w:shd w:val="clear" w:color="auto" w:fill="C6EFCE"/>
            <w:noWrap/>
          </w:tcPr>
          <w:p w14:paraId="33D4E800" w14:textId="43CEC337" w:rsidR="00D65CB4" w:rsidRPr="00BC4EE7" w:rsidRDefault="00572307">
            <w:pPr>
              <w:pStyle w:val="P68B1DB1-Normal12"/>
              <w:spacing w:line="240" w:lineRule="auto"/>
              <w:jc w:val="right"/>
              <w:rPr>
                <w:rFonts w:cs="Times New Roman"/>
                <w:noProof/>
              </w:rPr>
            </w:pPr>
            <w:r w:rsidRPr="00BC4EE7">
              <w:rPr>
                <w:rFonts w:cs="Times New Roman"/>
                <w:noProof/>
              </w:rPr>
              <w:t>100%-OS</w:t>
            </w:r>
          </w:p>
        </w:tc>
        <w:tc>
          <w:tcPr>
            <w:tcW w:w="605" w:type="dxa"/>
            <w:shd w:val="clear" w:color="auto" w:fill="C6EFCE"/>
            <w:noWrap/>
          </w:tcPr>
          <w:p w14:paraId="09D52357" w14:textId="3BFB3944" w:rsidR="00D65CB4" w:rsidRPr="00BC4EE7" w:rsidRDefault="00572307">
            <w:pPr>
              <w:pStyle w:val="P68B1DB1-Normal12"/>
              <w:spacing w:line="240" w:lineRule="auto"/>
              <w:jc w:val="center"/>
              <w:rPr>
                <w:rFonts w:eastAsia="Times New Roman" w:cs="Times New Roman"/>
                <w:noProof/>
              </w:rPr>
            </w:pPr>
            <w:r w:rsidRPr="00BC4EE7">
              <w:rPr>
                <w:rFonts w:cs="Times New Roman"/>
                <w:noProof/>
              </w:rPr>
              <w:t>Q3</w:t>
            </w:r>
          </w:p>
        </w:tc>
        <w:tc>
          <w:tcPr>
            <w:tcW w:w="514" w:type="dxa"/>
            <w:shd w:val="clear" w:color="auto" w:fill="C6EFCE"/>
            <w:noWrap/>
          </w:tcPr>
          <w:p w14:paraId="50B98431" w14:textId="77777777" w:rsidR="00D65CB4" w:rsidRPr="00BC4EE7" w:rsidRDefault="00572307">
            <w:pPr>
              <w:pStyle w:val="P68B1DB1-Normal12"/>
              <w:spacing w:line="240" w:lineRule="auto"/>
              <w:jc w:val="center"/>
              <w:rPr>
                <w:rFonts w:eastAsia="Times New Roman" w:cs="Times New Roman"/>
                <w:noProof/>
              </w:rPr>
            </w:pPr>
            <w:r w:rsidRPr="00BC4EE7">
              <w:rPr>
                <w:rFonts w:cs="Times New Roman"/>
                <w:noProof/>
              </w:rPr>
              <w:t>2026</w:t>
            </w:r>
          </w:p>
        </w:tc>
        <w:tc>
          <w:tcPr>
            <w:tcW w:w="6069" w:type="dxa"/>
            <w:shd w:val="clear" w:color="auto" w:fill="C6EFCE"/>
            <w:noWrap/>
          </w:tcPr>
          <w:p w14:paraId="78111F7E" w14:textId="3E1B1229" w:rsidR="00D65CB4" w:rsidRPr="00BC4EE7" w:rsidRDefault="00572307">
            <w:pPr>
              <w:pStyle w:val="P68B1DB1-Normal12"/>
              <w:spacing w:line="257" w:lineRule="auto"/>
              <w:rPr>
                <w:rFonts w:eastAsia="Times New Roman" w:cs="Times New Roman"/>
                <w:noProof/>
              </w:rPr>
            </w:pPr>
            <w:r w:rsidRPr="00BC4EE7">
              <w:rPr>
                <w:rFonts w:cs="Times New Roman"/>
                <w:noProof/>
              </w:rPr>
              <w:t>Az ICO/Axis és az ICO által kiválasztott közvetítők jogi finanszírozási megállapodásokat kötnek a végső kedvezményezettekkel az RRF-beruházások 100%-ának az eszközbe történő felhasználásához szükséges összegről (figyelembe véve az irányítási díjakat). A finanszírozás legalább 10%-ának tőkealapokkal aláírt finanszírozási megállapodásoknak, legalább 50%-ának pedig a végső kedvezményezettekkel aláírt finanszírozási megállapodásoknak kell megfelelnie minden egyéb befektetési termék tekintetében (beleértve a végrehajtó partner közvetlen tőkebefektetéseit is). Az ICO-nak azt is biztosítania kell, hogy e finanszírozás 100%-a a Helyreállítási és Rezilienciaépítési Eszközről szóló rendelet VII. mellékletében foglalt módszertan alkalmazásával hozzájáruljon a digitális célkitűzésekhez.</w:t>
            </w:r>
          </w:p>
        </w:tc>
      </w:tr>
      <w:tr w:rsidR="00D65CB4" w:rsidRPr="00BC4EE7" w14:paraId="031FE21A" w14:textId="77777777" w:rsidTr="00572307">
        <w:trPr>
          <w:trHeight w:val="309"/>
        </w:trPr>
        <w:tc>
          <w:tcPr>
            <w:tcW w:w="711" w:type="dxa"/>
            <w:shd w:val="clear" w:color="auto" w:fill="C6EFCE"/>
            <w:noWrap/>
          </w:tcPr>
          <w:p w14:paraId="3AE3439B" w14:textId="509D1C0F" w:rsidR="00D65CB4" w:rsidRPr="00BC4EE7" w:rsidRDefault="00572307">
            <w:pPr>
              <w:pStyle w:val="P68B1DB1-Normal12"/>
              <w:spacing w:line="240" w:lineRule="auto"/>
              <w:jc w:val="center"/>
              <w:rPr>
                <w:rFonts w:eastAsia="Times New Roman" w:cs="Times New Roman"/>
                <w:noProof/>
              </w:rPr>
            </w:pPr>
            <w:r w:rsidRPr="00BC4EE7">
              <w:rPr>
                <w:rFonts w:cs="Times New Roman"/>
                <w:noProof/>
              </w:rPr>
              <w:t>L80</w:t>
            </w:r>
          </w:p>
        </w:tc>
        <w:tc>
          <w:tcPr>
            <w:tcW w:w="991" w:type="dxa"/>
            <w:shd w:val="clear" w:color="auto" w:fill="C6EFCE"/>
            <w:noWrap/>
          </w:tcPr>
          <w:p w14:paraId="3BA5672D" w14:textId="77777777" w:rsidR="00D65CB4" w:rsidRPr="00BC4EE7" w:rsidRDefault="00572307">
            <w:pPr>
              <w:pStyle w:val="P68B1DB1-Normal12"/>
              <w:spacing w:line="240" w:lineRule="auto"/>
              <w:jc w:val="center"/>
              <w:rPr>
                <w:rFonts w:cs="Times New Roman"/>
                <w:noProof/>
              </w:rPr>
            </w:pPr>
            <w:r w:rsidRPr="00BC4EE7">
              <w:rPr>
                <w:rFonts w:cs="Times New Roman"/>
                <w:noProof/>
              </w:rPr>
              <w:t>C25.I3</w:t>
            </w:r>
          </w:p>
        </w:tc>
        <w:tc>
          <w:tcPr>
            <w:tcW w:w="992" w:type="dxa"/>
            <w:shd w:val="clear" w:color="auto" w:fill="C6EFCE"/>
            <w:noWrap/>
          </w:tcPr>
          <w:p w14:paraId="53740954" w14:textId="77777777" w:rsidR="00D65CB4" w:rsidRPr="00BC4EE7" w:rsidRDefault="00572307">
            <w:pPr>
              <w:pStyle w:val="P68B1DB1-Normal12"/>
              <w:spacing w:line="240" w:lineRule="auto"/>
              <w:jc w:val="center"/>
              <w:rPr>
                <w:rFonts w:eastAsia="Times New Roman" w:cs="Times New Roman"/>
                <w:noProof/>
              </w:rPr>
            </w:pPr>
            <w:r w:rsidRPr="00BC4EE7">
              <w:rPr>
                <w:rFonts w:cs="Times New Roman"/>
                <w:noProof/>
              </w:rPr>
              <w:t>M</w:t>
            </w:r>
          </w:p>
        </w:tc>
        <w:tc>
          <w:tcPr>
            <w:tcW w:w="1662" w:type="dxa"/>
            <w:shd w:val="clear" w:color="auto" w:fill="C6EFCE"/>
            <w:noWrap/>
          </w:tcPr>
          <w:p w14:paraId="2596CF82" w14:textId="7C574AC4" w:rsidR="00D65CB4" w:rsidRPr="00BC4EE7" w:rsidRDefault="00572307">
            <w:pPr>
              <w:pStyle w:val="P68B1DB1-Normal12"/>
              <w:spacing w:line="240" w:lineRule="auto"/>
              <w:rPr>
                <w:rFonts w:eastAsia="Times New Roman" w:cs="Times New Roman"/>
                <w:noProof/>
              </w:rPr>
            </w:pPr>
            <w:r w:rsidRPr="00BC4EE7">
              <w:rPr>
                <w:rFonts w:cs="Times New Roman"/>
                <w:noProof/>
              </w:rPr>
              <w:t xml:space="preserve">ICO Audiovizuális Platform Alap: A minisztérium befejezte a beruházást </w:t>
            </w:r>
          </w:p>
        </w:tc>
        <w:tc>
          <w:tcPr>
            <w:tcW w:w="1093" w:type="dxa"/>
            <w:shd w:val="clear" w:color="auto" w:fill="C6EFCE"/>
            <w:noWrap/>
          </w:tcPr>
          <w:p w14:paraId="25A36899" w14:textId="77777777" w:rsidR="00D65CB4" w:rsidRPr="00BC4EE7" w:rsidRDefault="00D65CB4">
            <w:pPr>
              <w:spacing w:line="240" w:lineRule="auto"/>
              <w:jc w:val="center"/>
              <w:rPr>
                <w:rFonts w:ascii="Times New Roman" w:eastAsia="Times New Roman" w:hAnsi="Times New Roman" w:cs="Times New Roman"/>
                <w:noProof/>
                <w:sz w:val="18"/>
              </w:rPr>
            </w:pPr>
          </w:p>
        </w:tc>
        <w:tc>
          <w:tcPr>
            <w:tcW w:w="726" w:type="dxa"/>
            <w:shd w:val="clear" w:color="auto" w:fill="C6EFCE"/>
            <w:noWrap/>
          </w:tcPr>
          <w:p w14:paraId="08F07C2B" w14:textId="5D61538D" w:rsidR="00D65CB4" w:rsidRPr="00BC4EE7" w:rsidRDefault="00572307">
            <w:pPr>
              <w:pStyle w:val="P68B1DB1-Normal12"/>
              <w:tabs>
                <w:tab w:val="left" w:pos="210"/>
                <w:tab w:val="center" w:pos="291"/>
              </w:tabs>
              <w:spacing w:after="0" w:line="240" w:lineRule="auto"/>
              <w:jc w:val="center"/>
              <w:rPr>
                <w:rFonts w:cs="Times New Roman"/>
                <w:noProof/>
              </w:rPr>
            </w:pPr>
            <w:r w:rsidRPr="00BC4EE7">
              <w:rPr>
                <w:rFonts w:cs="Times New Roman"/>
                <w:noProof/>
              </w:rPr>
              <w:t>Millió EUR</w:t>
            </w:r>
          </w:p>
        </w:tc>
        <w:tc>
          <w:tcPr>
            <w:tcW w:w="965" w:type="dxa"/>
            <w:shd w:val="clear" w:color="auto" w:fill="C6EFCE"/>
            <w:noWrap/>
          </w:tcPr>
          <w:p w14:paraId="0CD83525" w14:textId="680D76AB" w:rsidR="00D65CB4" w:rsidRPr="00BC4EE7" w:rsidRDefault="00572307">
            <w:pPr>
              <w:pStyle w:val="P68B1DB1-Normal12"/>
              <w:tabs>
                <w:tab w:val="left" w:pos="210"/>
                <w:tab w:val="center" w:pos="291"/>
              </w:tabs>
              <w:spacing w:after="0" w:line="240" w:lineRule="auto"/>
              <w:jc w:val="center"/>
              <w:rPr>
                <w:rFonts w:cs="Times New Roman"/>
                <w:noProof/>
              </w:rPr>
            </w:pPr>
            <w:r w:rsidRPr="00BC4EE7">
              <w:rPr>
                <w:rFonts w:cs="Times New Roman"/>
                <w:noProof/>
              </w:rPr>
              <w:t>0</w:t>
            </w:r>
          </w:p>
        </w:tc>
        <w:tc>
          <w:tcPr>
            <w:tcW w:w="665" w:type="dxa"/>
            <w:shd w:val="clear" w:color="auto" w:fill="C6EFCE"/>
            <w:noWrap/>
          </w:tcPr>
          <w:p w14:paraId="5D7B96C5" w14:textId="011C2A51" w:rsidR="00D65CB4" w:rsidRPr="00BC4EE7" w:rsidRDefault="00572307">
            <w:pPr>
              <w:pStyle w:val="P68B1DB1-Normal12"/>
              <w:tabs>
                <w:tab w:val="left" w:pos="210"/>
                <w:tab w:val="center" w:pos="291"/>
              </w:tabs>
              <w:spacing w:after="0" w:line="240" w:lineRule="auto"/>
              <w:jc w:val="center"/>
              <w:rPr>
                <w:rFonts w:cs="Times New Roman"/>
                <w:noProof/>
              </w:rPr>
            </w:pPr>
            <w:r w:rsidRPr="00BC4EE7">
              <w:rPr>
                <w:rFonts w:cs="Times New Roman"/>
                <w:noProof/>
              </w:rPr>
              <w:t xml:space="preserve">1 712 </w:t>
            </w:r>
          </w:p>
        </w:tc>
        <w:tc>
          <w:tcPr>
            <w:tcW w:w="605" w:type="dxa"/>
            <w:shd w:val="clear" w:color="auto" w:fill="C6EFCE"/>
            <w:noWrap/>
          </w:tcPr>
          <w:p w14:paraId="6953E499" w14:textId="2FD0AE03" w:rsidR="00D65CB4" w:rsidRPr="00BC4EE7" w:rsidRDefault="00572307">
            <w:pPr>
              <w:pStyle w:val="P68B1DB1-Normal12"/>
              <w:tabs>
                <w:tab w:val="left" w:pos="210"/>
                <w:tab w:val="center" w:pos="291"/>
              </w:tabs>
              <w:spacing w:after="0" w:line="240" w:lineRule="auto"/>
              <w:jc w:val="center"/>
              <w:rPr>
                <w:rFonts w:cs="Times New Roman"/>
                <w:noProof/>
              </w:rPr>
            </w:pPr>
            <w:r w:rsidRPr="00BC4EE7">
              <w:rPr>
                <w:rFonts w:cs="Times New Roman"/>
                <w:noProof/>
              </w:rPr>
              <w:t>Q3</w:t>
            </w:r>
          </w:p>
        </w:tc>
        <w:tc>
          <w:tcPr>
            <w:tcW w:w="514" w:type="dxa"/>
            <w:shd w:val="clear" w:color="auto" w:fill="C6EFCE"/>
            <w:noWrap/>
          </w:tcPr>
          <w:p w14:paraId="5275A409" w14:textId="77777777" w:rsidR="00D65CB4" w:rsidRPr="00BC4EE7" w:rsidRDefault="00572307">
            <w:pPr>
              <w:pStyle w:val="P68B1DB1-Normal12"/>
              <w:spacing w:line="240" w:lineRule="auto"/>
              <w:jc w:val="center"/>
              <w:rPr>
                <w:rFonts w:eastAsia="Times New Roman" w:cs="Times New Roman"/>
                <w:noProof/>
              </w:rPr>
            </w:pPr>
            <w:r w:rsidRPr="00BC4EE7">
              <w:rPr>
                <w:rFonts w:cs="Times New Roman"/>
                <w:noProof/>
              </w:rPr>
              <w:t>2026</w:t>
            </w:r>
          </w:p>
        </w:tc>
        <w:tc>
          <w:tcPr>
            <w:tcW w:w="6069" w:type="dxa"/>
            <w:shd w:val="clear" w:color="auto" w:fill="C6EFCE"/>
            <w:noWrap/>
          </w:tcPr>
          <w:p w14:paraId="0622E10A" w14:textId="4E99A256" w:rsidR="00D65CB4" w:rsidRPr="00BC4EE7" w:rsidRDefault="00572307">
            <w:pPr>
              <w:pStyle w:val="P68B1DB1-Normal12"/>
              <w:spacing w:line="240" w:lineRule="auto"/>
              <w:rPr>
                <w:rFonts w:eastAsia="Times New Roman" w:cs="Times New Roman"/>
                <w:noProof/>
              </w:rPr>
            </w:pPr>
            <w:r w:rsidRPr="00BC4EE7">
              <w:rPr>
                <w:rFonts w:cs="Times New Roman"/>
                <w:noProof/>
              </w:rPr>
              <w:t>Spanyolország 1 712 000 000 EUR-t utal át az ICO-nak az eszköz céljára.</w:t>
            </w:r>
          </w:p>
        </w:tc>
      </w:tr>
    </w:tbl>
    <w:p w14:paraId="7931AC06" w14:textId="77777777" w:rsidR="00D65CB4" w:rsidRPr="00BC4EE7" w:rsidRDefault="00D65CB4">
      <w:pPr>
        <w:rPr>
          <w:rFonts w:ascii="Times New Roman" w:hAnsi="Times New Roman" w:cs="Times New Roman"/>
          <w:noProof/>
        </w:rPr>
      </w:pPr>
    </w:p>
    <w:p w14:paraId="01A16550" w14:textId="77777777" w:rsidR="00D65CB4" w:rsidRPr="00BC4EE7" w:rsidRDefault="00D65CB4">
      <w:pPr>
        <w:pStyle w:val="Text1"/>
        <w:rPr>
          <w:rFonts w:ascii="Times New Roman" w:hAnsi="Times New Roman" w:cs="Times New Roman"/>
          <w:noProof/>
        </w:rPr>
        <w:sectPr w:rsidR="00D65CB4" w:rsidRPr="00BC4EE7" w:rsidSect="00B511EF">
          <w:headerReference w:type="even" r:id="rId508"/>
          <w:headerReference w:type="default" r:id="rId509"/>
          <w:footerReference w:type="even" r:id="rId510"/>
          <w:footerReference w:type="default" r:id="rId511"/>
          <w:headerReference w:type="first" r:id="rId512"/>
          <w:footerReference w:type="first" r:id="rId513"/>
          <w:pgSz w:w="16839" w:h="11907" w:orient="landscape"/>
          <w:pgMar w:top="1134" w:right="1134" w:bottom="1134" w:left="1134" w:header="567" w:footer="567" w:gutter="0"/>
          <w:cols w:space="720"/>
          <w:docGrid w:linePitch="360"/>
        </w:sectPr>
      </w:pPr>
    </w:p>
    <w:p w14:paraId="27B84D4F" w14:textId="77777777" w:rsidR="00D65CB4" w:rsidRPr="00BC4EE7" w:rsidRDefault="00572307">
      <w:pPr>
        <w:pStyle w:val="P68B1DB1-Heading12"/>
        <w:rPr>
          <w:rFonts w:cs="Times New Roman"/>
          <w:noProof/>
        </w:rPr>
      </w:pPr>
      <w:r w:rsidRPr="00BC4EE7">
        <w:rPr>
          <w:rFonts w:cs="Times New Roman"/>
          <w:noProof/>
        </w:rPr>
        <w:t xml:space="preserve">Z. 26. KOMPONENS: A sport népszerűsítése </w:t>
      </w:r>
    </w:p>
    <w:p w14:paraId="647A9FB9" w14:textId="77777777" w:rsidR="00D65CB4" w:rsidRPr="00BC4EE7" w:rsidRDefault="00572307">
      <w:pPr>
        <w:pStyle w:val="P68B1DB1-Text118"/>
        <w:ind w:left="0"/>
        <w:rPr>
          <w:rFonts w:cs="Times New Roman"/>
          <w:noProof/>
        </w:rPr>
      </w:pPr>
      <w:r w:rsidRPr="00BC4EE7">
        <w:rPr>
          <w:rFonts w:cs="Times New Roman"/>
          <w:noProof/>
        </w:rPr>
        <w:t xml:space="preserve">A spanyol helyreállítási és rezilienciaépítési terv szerint a sportágazat Spanyolországban a GDP 3,1%-át teszi ki, és közvetlenül vagy közvetve az ország teljes foglalkoztatásának 2,1%-át biztosítja. </w:t>
      </w:r>
    </w:p>
    <w:p w14:paraId="4F4E613F" w14:textId="77777777" w:rsidR="00D65CB4" w:rsidRPr="00BC4EE7" w:rsidRDefault="00572307">
      <w:pPr>
        <w:pStyle w:val="P68B1DB1-Text118"/>
        <w:ind w:left="0"/>
        <w:rPr>
          <w:rFonts w:cs="Times New Roman"/>
          <w:noProof/>
        </w:rPr>
      </w:pPr>
      <w:r w:rsidRPr="00BC4EE7">
        <w:rPr>
          <w:rFonts w:cs="Times New Roman"/>
          <w:noProof/>
        </w:rPr>
        <w:t>A spanyol helyreállítási és rezilienciaépítési terv e komponensének fő célkitűzése a sportágazat átalakításának fokozása a sportszervezetek digitalizálása és a sportlétesítmények környezeti fenntarthatóságuk és hozzáférhetőségük biztosítása érdekében történő korszerűsítése révén. Támogatja továbbá a sport egészségügyi célú előmozdítását, különösen az elnéptelenedés kockázatának kitett területeken a testmozgáshoz való jobb hozzáférés, valamint az e területen végzett kutatások révén. Végezetül a komponensnek tartalmaznia kell a nők szakmai és amatőr sportban való részvételének előmozdítását célzó célzott beruházásokat.</w:t>
      </w:r>
    </w:p>
    <w:p w14:paraId="0CF598BD" w14:textId="3500705E" w:rsidR="00D65CB4" w:rsidRPr="00BC4EE7" w:rsidRDefault="00572307">
      <w:pPr>
        <w:pStyle w:val="P68B1DB1-Normal4"/>
        <w:tabs>
          <w:tab w:val="left" w:pos="1134"/>
        </w:tabs>
        <w:spacing w:before="120" w:after="120" w:line="240" w:lineRule="auto"/>
        <w:jc w:val="both"/>
        <w:rPr>
          <w:rFonts w:cs="Times New Roman"/>
          <w:noProof/>
        </w:rPr>
      </w:pPr>
      <w:r w:rsidRPr="00BC4EE7">
        <w:rPr>
          <w:rFonts w:cs="Times New Roman"/>
          <w:noProof/>
        </w:rPr>
        <w:t>A komponens az innovációba és az energiahatékonyságba történő beruházások előmozdításáról (2019. évi 3. országspecifikus ajánlás), a köz- és magánberuházások előmozdításáról és a zöld átállás előmozdításáról (1., 2023., 1., 2022. és 3. országspecifikus ajánlás), valamint az egészségügyi rendszer rezilienciájának megerősítéséről (2020. évi 1. országspecifikus ajánlás) szóló országspecifikus ajánlásokkal foglalkozik.</w:t>
      </w:r>
    </w:p>
    <w:p w14:paraId="44F13EE3" w14:textId="77777777" w:rsidR="00D65CB4" w:rsidRPr="00BC4EE7" w:rsidRDefault="00572307">
      <w:pPr>
        <w:pStyle w:val="P68B1DB1-Text118"/>
        <w:ind w:left="0"/>
        <w:rPr>
          <w:rFonts w:cs="Times New Roman"/>
          <w:noProof/>
        </w:rPr>
      </w:pPr>
      <w:r w:rsidRPr="00BC4EE7">
        <w:rPr>
          <w:rFonts w:cs="Times New Roman"/>
          <w:noProof/>
        </w:rPr>
        <w:t>Ez a komponens támogatja és kiegészíti a terv más részeiben előirányzott intézkedéseket, például a 18. komponens (Az egészségügyi rendszer reformja) keretében az egészséges életmód előmozdítására irányuló intézkedéseket. A meglévő sportinfrastruktúrák optimalizálása és korszerűsítése révén ki kell egészítenie a 2. komponens (Megújítás) keretében hozott intézkedéseket is, és támogatnia kell a spanyolországi idegenforgalmi ágazat átalakítását a 14. komponenssel (Turizmus) összhangban.</w:t>
      </w:r>
    </w:p>
    <w:p w14:paraId="76065517" w14:textId="77777777" w:rsidR="00D65CB4" w:rsidRPr="00BC4EE7" w:rsidRDefault="00572307">
      <w:pPr>
        <w:pStyle w:val="P68B1DB1-Text118"/>
        <w:ind w:left="0"/>
        <w:rPr>
          <w:rFonts w:cs="Times New Roman"/>
          <w:noProof/>
        </w:rPr>
      </w:pPr>
      <w:r w:rsidRPr="00BC4EE7">
        <w:rPr>
          <w:rFonts w:cs="Times New Roman"/>
          <w:noProof/>
        </w:rPr>
        <w:t>A jelentős károkozás elkerülését célzó elvről szóló technikai iránymutatásnak (2021/C58/01) megfelelően a helyreállítási és rezilienciaépítési tervben meghatározott intézkedések leírását és a helyreállítási és rezilienciaépítési tervben meghatározott enyhítő lépéseket figyelembe véve ebben a komponensben várhatóan egyetlen intézkedés sem sérti jelentős mértékben az (EU) 2020/852 rendelet 17. cikke szerinti környezeti célkitűzéseket.</w:t>
      </w:r>
    </w:p>
    <w:p w14:paraId="6BFB5042" w14:textId="77777777" w:rsidR="00D65CB4" w:rsidRPr="00BC4EE7" w:rsidRDefault="00572307">
      <w:pPr>
        <w:pStyle w:val="Text1"/>
        <w:ind w:left="709"/>
        <w:rPr>
          <w:rFonts w:ascii="Times New Roman" w:hAnsi="Times New Roman" w:cs="Times New Roman"/>
          <w:b/>
          <w:i/>
          <w:noProof/>
        </w:rPr>
      </w:pPr>
      <w:r w:rsidRPr="00BC4EE7">
        <w:rPr>
          <w:rFonts w:ascii="Times New Roman" w:hAnsi="Times New Roman" w:cs="Times New Roman"/>
          <w:b/>
          <w:noProof/>
          <w:u w:val="single"/>
        </w:rPr>
        <w:t xml:space="preserve">Z.1. </w:t>
      </w:r>
      <w:r w:rsidRPr="00BC4EE7">
        <w:rPr>
          <w:rFonts w:ascii="Times New Roman" w:hAnsi="Times New Roman" w:cs="Times New Roman"/>
          <w:noProof/>
        </w:rPr>
        <w:t xml:space="preserve"> </w:t>
      </w:r>
      <w:r w:rsidRPr="00BC4EE7">
        <w:rPr>
          <w:rFonts w:ascii="Times New Roman" w:hAnsi="Times New Roman" w:cs="Times New Roman"/>
          <w:b/>
          <w:noProof/>
          <w:u w:val="single"/>
        </w:rPr>
        <w:t>Vissza nem térítendő pénzügyi támogatás – a reformok és beruházások ismertetése</w:t>
      </w:r>
    </w:p>
    <w:p w14:paraId="2342EC63" w14:textId="77777777" w:rsidR="00D65CB4" w:rsidRPr="00BC4EE7" w:rsidRDefault="00572307">
      <w:pPr>
        <w:pStyle w:val="P68B1DB1-Normal5"/>
        <w:spacing w:line="240" w:lineRule="auto"/>
        <w:rPr>
          <w:rFonts w:cs="Times New Roman"/>
          <w:noProof/>
        </w:rPr>
      </w:pPr>
      <w:r w:rsidRPr="00BC4EE7">
        <w:rPr>
          <w:rFonts w:cs="Times New Roman"/>
          <w:noProof/>
        </w:rPr>
        <w:t>Reform (C26.R1) – Sporttörvény</w:t>
      </w:r>
    </w:p>
    <w:p w14:paraId="597367E8" w14:textId="77777777" w:rsidR="00D65CB4" w:rsidRPr="00BC4EE7" w:rsidRDefault="00572307">
      <w:pPr>
        <w:pStyle w:val="P68B1DB1-Normal4"/>
        <w:spacing w:line="240" w:lineRule="auto"/>
        <w:jc w:val="both"/>
        <w:rPr>
          <w:rFonts w:cs="Times New Roman"/>
          <w:noProof/>
        </w:rPr>
      </w:pPr>
      <w:r w:rsidRPr="00BC4EE7">
        <w:rPr>
          <w:rFonts w:cs="Times New Roman"/>
          <w:noProof/>
        </w:rPr>
        <w:t xml:space="preserve">E jogalkotási intézkedés célja az egészség és a biztonság biztosítása a sport minden szintjén, a nemek közötti egyenlőség, a hozzáférhetőség és a társadalmi kohézió szempontjainak beépítése a sport szabályozásába, a sportszervezetek és -infrastruktúrák digitalizálás és ökológiai átalakulás révén történő korszerűsítése, valamint az ágazat nemzetközivé válásának előmozdítása. A jogszabálynak hozzá kell igazítania a sport szervezeti struktúráit az előtte álló jelenlegi kihívásokhoz, figyelembe véve a világjárvány tanulságait. </w:t>
      </w:r>
    </w:p>
    <w:p w14:paraId="3B66163C" w14:textId="77777777" w:rsidR="00D65CB4" w:rsidRPr="00BC4EE7" w:rsidRDefault="00572307">
      <w:pPr>
        <w:pStyle w:val="P68B1DB1-Normal4"/>
        <w:spacing w:line="240" w:lineRule="auto"/>
        <w:rPr>
          <w:rFonts w:cs="Times New Roman"/>
          <w:noProof/>
        </w:rPr>
      </w:pPr>
      <w:r w:rsidRPr="00BC4EE7">
        <w:rPr>
          <w:rFonts w:cs="Times New Roman"/>
          <w:noProof/>
        </w:rPr>
        <w:t>Az intézkedés végrehajtását 2022. december 31-ig be kell fejezni.</w:t>
      </w:r>
    </w:p>
    <w:p w14:paraId="566FC54D" w14:textId="77777777" w:rsidR="00D65CB4" w:rsidRPr="00BC4EE7" w:rsidRDefault="00572307">
      <w:pPr>
        <w:pStyle w:val="P68B1DB1-Normal5"/>
        <w:spacing w:line="240" w:lineRule="auto"/>
        <w:rPr>
          <w:rFonts w:cs="Times New Roman"/>
          <w:noProof/>
        </w:rPr>
      </w:pPr>
      <w:r w:rsidRPr="00BC4EE7">
        <w:rPr>
          <w:rFonts w:cs="Times New Roman"/>
          <w:noProof/>
        </w:rPr>
        <w:t>Reform (C26.R2) – Sportszakemberekről szóló törvény</w:t>
      </w:r>
    </w:p>
    <w:p w14:paraId="18F0FC15" w14:textId="77777777" w:rsidR="00D65CB4" w:rsidRPr="00BC4EE7" w:rsidRDefault="00572307">
      <w:pPr>
        <w:pStyle w:val="P68B1DB1-Normal4"/>
        <w:spacing w:line="240" w:lineRule="auto"/>
        <w:jc w:val="both"/>
        <w:rPr>
          <w:rFonts w:cs="Times New Roman"/>
          <w:noProof/>
        </w:rPr>
      </w:pPr>
      <w:r w:rsidRPr="00BC4EE7">
        <w:rPr>
          <w:rFonts w:cs="Times New Roman"/>
          <w:noProof/>
        </w:rPr>
        <w:t>E jogalkotási intézkedés célja annak biztosítása, hogy az új sportszakmai szakmák szabályozása ne akadályozza a spanyol területen történő letelepedést és szolgáltatásnyújtást. Az intézkedésnek foglalkoznia kell a regionális szintű szabályozási heterogenitásból eredő kihívásokkal (beleértve a régiók eltérő hozzáférési követelményeit is). Az intézkedésnek biztosítania kell az uniós jognak, különösen a szükségesség és az arányosság elvének való megfelelést.</w:t>
      </w:r>
    </w:p>
    <w:p w14:paraId="700374B0" w14:textId="77777777" w:rsidR="00D65CB4" w:rsidRPr="00BC4EE7" w:rsidRDefault="00572307">
      <w:pPr>
        <w:pStyle w:val="P68B1DB1-Normal4"/>
        <w:spacing w:line="240" w:lineRule="auto"/>
        <w:rPr>
          <w:rFonts w:cs="Times New Roman"/>
          <w:noProof/>
        </w:rPr>
      </w:pPr>
      <w:r w:rsidRPr="00BC4EE7">
        <w:rPr>
          <w:rFonts w:cs="Times New Roman"/>
          <w:noProof/>
        </w:rPr>
        <w:t>Az intézkedés végrehajtását 2023. december 31-ig be kell fejezni.</w:t>
      </w:r>
    </w:p>
    <w:p w14:paraId="4FA07394" w14:textId="77777777" w:rsidR="00D65CB4" w:rsidRPr="00BC4EE7" w:rsidRDefault="00572307">
      <w:pPr>
        <w:pStyle w:val="P68B1DB1-Normal5"/>
        <w:keepNext/>
        <w:spacing w:line="240" w:lineRule="auto"/>
        <w:rPr>
          <w:rFonts w:cs="Times New Roman"/>
          <w:noProof/>
        </w:rPr>
      </w:pPr>
      <w:r w:rsidRPr="00BC4EE7">
        <w:rPr>
          <w:rFonts w:cs="Times New Roman"/>
          <w:noProof/>
        </w:rPr>
        <w:t>Reform (C26.R3) – A sport előmozdítására irányuló nemzeti stratégia</w:t>
      </w:r>
    </w:p>
    <w:p w14:paraId="597EE77B" w14:textId="77777777" w:rsidR="00D65CB4" w:rsidRPr="00BC4EE7" w:rsidRDefault="00572307">
      <w:pPr>
        <w:pStyle w:val="P68B1DB1-Normal4"/>
        <w:keepNext/>
        <w:spacing w:line="240" w:lineRule="auto"/>
        <w:jc w:val="both"/>
        <w:rPr>
          <w:rFonts w:cs="Times New Roman"/>
          <w:noProof/>
        </w:rPr>
      </w:pPr>
      <w:r w:rsidRPr="00BC4EE7">
        <w:rPr>
          <w:rFonts w:cs="Times New Roman"/>
          <w:noProof/>
        </w:rPr>
        <w:t xml:space="preserve">E stratégia célja a sportolás előmozdítása annak érdekében, hogy elkerülhetők legyenek azok a negatív következmények, amelyeket az ülő életmód és a mozgásszegény életmód az egészségre és a jóllétre gyakorolhat. Az intézkedés többek között a következőket foglalja magában: a) a bevált gyakorlatok és az egészséges szokások bevezetésére irányuló intézkedések; b) elemző eszköz a stratégia hatásának mérésére és javítására. </w:t>
      </w:r>
    </w:p>
    <w:p w14:paraId="7483370B" w14:textId="77777777" w:rsidR="00D65CB4" w:rsidRPr="00BC4EE7" w:rsidRDefault="00572307">
      <w:pPr>
        <w:pStyle w:val="P68B1DB1-Normal4"/>
        <w:spacing w:line="240" w:lineRule="auto"/>
        <w:rPr>
          <w:rFonts w:cs="Times New Roman"/>
          <w:noProof/>
        </w:rPr>
      </w:pPr>
      <w:r w:rsidRPr="00BC4EE7">
        <w:rPr>
          <w:rFonts w:cs="Times New Roman"/>
          <w:noProof/>
        </w:rPr>
        <w:t xml:space="preserve">Az intézkedés végrehajtását 2023. december 31-ig be kell fejezni. </w:t>
      </w:r>
    </w:p>
    <w:p w14:paraId="68E38745" w14:textId="77777777" w:rsidR="00D65CB4" w:rsidRPr="00BC4EE7" w:rsidRDefault="00572307">
      <w:pPr>
        <w:pStyle w:val="P68B1DB1-Normal5"/>
        <w:spacing w:line="240" w:lineRule="auto"/>
        <w:rPr>
          <w:rFonts w:cs="Times New Roman"/>
          <w:noProof/>
        </w:rPr>
      </w:pPr>
      <w:r w:rsidRPr="00BC4EE7">
        <w:rPr>
          <w:rFonts w:cs="Times New Roman"/>
          <w:noProof/>
        </w:rPr>
        <w:t xml:space="preserve">Beruházás (C26.I1) – A sportra vonatkozó digitális terv </w:t>
      </w:r>
    </w:p>
    <w:p w14:paraId="7BC96004" w14:textId="77777777" w:rsidR="00D65CB4" w:rsidRPr="00BC4EE7" w:rsidRDefault="00572307">
      <w:pPr>
        <w:pStyle w:val="P68B1DB1-Normal4"/>
        <w:spacing w:line="240" w:lineRule="auto"/>
        <w:jc w:val="both"/>
        <w:rPr>
          <w:rFonts w:cs="Times New Roman"/>
          <w:noProof/>
        </w:rPr>
      </w:pPr>
      <w:r w:rsidRPr="00BC4EE7">
        <w:rPr>
          <w:rFonts w:cs="Times New Roman"/>
          <w:noProof/>
        </w:rPr>
        <w:t>Ezen intézkedés célja a sportszövetségek digitalizálása, beleértve költségvetési gazdálkodásukat és a sportengedélyek megadására vonatkozó eljárásokat. Javítja továbbá a sportgyakorlatból származó adatok elemzését, többek között az egészséges életmód előmozdítása és kutatási célok érdekében. Végezetül elősegíti az állami sportorvosi központok digitalizálását és a dopping elleni küzdelmet.</w:t>
      </w:r>
    </w:p>
    <w:p w14:paraId="7775869D" w14:textId="0884DC29" w:rsidR="00D65CB4" w:rsidRPr="00BC4EE7" w:rsidRDefault="00572307">
      <w:pPr>
        <w:pStyle w:val="P68B1DB1-Normal4"/>
        <w:spacing w:line="240" w:lineRule="auto"/>
        <w:rPr>
          <w:rFonts w:cs="Times New Roman"/>
          <w:noProof/>
        </w:rPr>
      </w:pPr>
      <w:r w:rsidRPr="00BC4EE7">
        <w:rPr>
          <w:rFonts w:cs="Times New Roman"/>
          <w:noProof/>
        </w:rPr>
        <w:t xml:space="preserve">A reform végrehajtását 2025. szeptember 30-ig be kell fejezni. </w:t>
      </w:r>
    </w:p>
    <w:p w14:paraId="72BA3D54" w14:textId="77777777" w:rsidR="00D65CB4" w:rsidRPr="00BC4EE7" w:rsidRDefault="00572307">
      <w:pPr>
        <w:pStyle w:val="P68B1DB1-Normal5"/>
        <w:spacing w:line="240" w:lineRule="auto"/>
        <w:rPr>
          <w:rFonts w:cs="Times New Roman"/>
          <w:noProof/>
        </w:rPr>
      </w:pPr>
      <w:r w:rsidRPr="00BC4EE7">
        <w:rPr>
          <w:rFonts w:cs="Times New Roman"/>
          <w:noProof/>
        </w:rPr>
        <w:t xml:space="preserve"> Beruházás (C26.I2) – A sportlétesítmények ökológiai átállására vonatkozó terv </w:t>
      </w:r>
    </w:p>
    <w:p w14:paraId="6DCFA8F0" w14:textId="77777777" w:rsidR="00D65CB4" w:rsidRPr="00BC4EE7" w:rsidRDefault="00572307">
      <w:pPr>
        <w:pStyle w:val="P68B1DB1-Normal4"/>
        <w:spacing w:line="240" w:lineRule="auto"/>
        <w:jc w:val="both"/>
        <w:rPr>
          <w:rFonts w:cs="Times New Roman"/>
          <w:noProof/>
        </w:rPr>
      </w:pPr>
      <w:r w:rsidRPr="00BC4EE7">
        <w:rPr>
          <w:rFonts w:cs="Times New Roman"/>
          <w:noProof/>
        </w:rPr>
        <w:t xml:space="preserve">Ezen intézkedés célja a meglévő sportlétesítmények korszerűsítése, beleértve az olyan sportlétesítményeket is, amelyek vonzzák a turizmust és a nagy teljesítményű sportközpontokat. Ezt az optimális felhasználást célzó digitalizálással és energiahatékonyságuk javításával kell elérni, amely várhatóan a primerenergia-igény legalább 30%-ának megfelelő megtakarítást eredményez. Az intézkedésnek a testmozgást ösztönző monitorok hálózatának létrehozásával elő kell mozdítania a vidéki területeken a sportot is. </w:t>
      </w:r>
    </w:p>
    <w:p w14:paraId="5290EEE8" w14:textId="27DBB257" w:rsidR="00D65CB4" w:rsidRPr="00BC4EE7" w:rsidRDefault="00572307">
      <w:pPr>
        <w:spacing w:line="240" w:lineRule="auto"/>
        <w:jc w:val="both"/>
        <w:rPr>
          <w:rFonts w:ascii="Times New Roman" w:hAnsi="Times New Roman" w:cs="Times New Roman"/>
          <w:noProof/>
          <w:sz w:val="24"/>
        </w:rPr>
      </w:pPr>
      <w:r w:rsidRPr="00BC4EE7">
        <w:rPr>
          <w:rFonts w:ascii="Times New Roman" w:hAnsi="Times New Roman" w:cs="Times New Roman"/>
          <w:noProof/>
          <w:sz w:val="24"/>
        </w:rPr>
        <w:t>Az ezen komponens keretében végrehajtott beruházásokra vonatkozó kiválasztási kritériumoknak biztosítaniuk kell a 100%-os éghajlat-politikai nyomon követésnek való megfelelést legalább 106 000 000 EUR értékben. Az energiahatékonyság javítására használt mutatókat az épületek energiahatékonyságáról szóló, 2010. május 19-i 2010/31/EU európai parlamenti és tanácsi irányelv keretében kiadott megfelelő energiahatékonysági tanúsítvány révén kell akkreditálni</w:t>
      </w:r>
      <w:r w:rsidRPr="00BC4EE7">
        <w:rPr>
          <w:rStyle w:val="FootnoteReference"/>
          <w:rFonts w:ascii="Times New Roman" w:hAnsi="Times New Roman" w:cs="Times New Roman"/>
          <w:noProof/>
          <w:sz w:val="24"/>
        </w:rPr>
        <w:footnoteReference w:id="211"/>
      </w:r>
      <w:r w:rsidRPr="00BC4EE7">
        <w:rPr>
          <w:rFonts w:ascii="Times New Roman" w:hAnsi="Times New Roman" w:cs="Times New Roman"/>
          <w:noProof/>
        </w:rPr>
        <w:t>.</w:t>
      </w:r>
    </w:p>
    <w:p w14:paraId="1D2A0D87" w14:textId="77777777" w:rsidR="00D65CB4" w:rsidRPr="00BC4EE7" w:rsidRDefault="00572307">
      <w:pPr>
        <w:pStyle w:val="P68B1DB1-Normal4"/>
        <w:spacing w:line="240" w:lineRule="auto"/>
        <w:rPr>
          <w:rFonts w:cs="Times New Roman"/>
          <w:noProof/>
        </w:rPr>
      </w:pPr>
      <w:r w:rsidRPr="00BC4EE7">
        <w:rPr>
          <w:rFonts w:cs="Times New Roman"/>
          <w:noProof/>
        </w:rPr>
        <w:t xml:space="preserve">A beruházás végrehajtását 2025. december 31-ig be kell fejezni. </w:t>
      </w:r>
    </w:p>
    <w:p w14:paraId="7155C650" w14:textId="77777777" w:rsidR="00D65CB4" w:rsidRPr="00BC4EE7" w:rsidRDefault="00572307">
      <w:pPr>
        <w:pStyle w:val="P68B1DB1-Normal5"/>
        <w:spacing w:line="240" w:lineRule="auto"/>
        <w:rPr>
          <w:rFonts w:cs="Times New Roman"/>
          <w:noProof/>
        </w:rPr>
      </w:pPr>
      <w:r w:rsidRPr="00BC4EE7">
        <w:rPr>
          <w:rFonts w:cs="Times New Roman"/>
          <w:noProof/>
        </w:rPr>
        <w:t>Beruházás (C26.I3) – A sportra vonatkozó szociális terv</w:t>
      </w:r>
    </w:p>
    <w:p w14:paraId="02A5D5D7" w14:textId="77777777" w:rsidR="00D65CB4" w:rsidRPr="00BC4EE7" w:rsidRDefault="00572307">
      <w:pPr>
        <w:pStyle w:val="P68B1DB1-Normal4"/>
        <w:spacing w:line="240" w:lineRule="auto"/>
        <w:jc w:val="both"/>
        <w:rPr>
          <w:rFonts w:cs="Times New Roman"/>
          <w:noProof/>
          <w:u w:val="single"/>
        </w:rPr>
      </w:pPr>
      <w:r w:rsidRPr="00BC4EE7">
        <w:rPr>
          <w:rFonts w:cs="Times New Roman"/>
          <w:noProof/>
        </w:rPr>
        <w:t>Ennek az intézkedésnek kettős célja van. Egyrészt célja a meglévő sportlétesítmények korszerűsítése digitalizálásuk, energiahatékonyságuk és hozzáférhetőségük javítása révén annak érdekében, hogy Spanyolország nemzetközi sportversenyek megrendezésére pályázhasson. Másrészt célja a nők hivatásos sportokban való részvételének előmozdítása jelenlétük és láthatóságuk növelésére, képzésükre, valamint a női sportok, különösen a labdarúgás professzionalizálásának lehetővé tételére irányuló intézkedések révén.</w:t>
      </w:r>
      <w:r w:rsidRPr="00BC4EE7">
        <w:rPr>
          <w:rFonts w:cs="Times New Roman"/>
          <w:noProof/>
          <w:u w:val="single"/>
        </w:rPr>
        <w:t xml:space="preserve"> </w:t>
      </w:r>
    </w:p>
    <w:p w14:paraId="2F094670" w14:textId="77777777" w:rsidR="00D65CB4" w:rsidRPr="00BC4EE7" w:rsidRDefault="00572307">
      <w:pPr>
        <w:pStyle w:val="P68B1DB1-Normal4"/>
        <w:spacing w:line="240" w:lineRule="auto"/>
        <w:jc w:val="both"/>
        <w:rPr>
          <w:rFonts w:cs="Times New Roman"/>
          <w:noProof/>
        </w:rPr>
      </w:pPr>
      <w:r w:rsidRPr="00BC4EE7">
        <w:rPr>
          <w:rFonts w:cs="Times New Roman"/>
          <w:noProof/>
        </w:rPr>
        <w:t>Az ezen komponens keretében végrehajtott beruházásokra vonatkozó kiválasztási kritériumoknak biztosítaniuk kell a 100%-os éghajlat-politikai nyomon követésnek való megfelelést a teljes beruházásból legalább 27 500 000 EUR értékben. Az energiahatékonyság javítására használt mutatókat az épületek energiahatékonyságáról szóló, 2010. május 19-i 2010/31/EU európai parlamenti és tanácsi irányelv keretében kiadott megfelelő energiahatékonysági tanúsítvány révén kell akkreditálni.</w:t>
      </w:r>
    </w:p>
    <w:p w14:paraId="11E00C69" w14:textId="77777777" w:rsidR="00D65CB4" w:rsidRPr="00BC4EE7" w:rsidRDefault="00572307">
      <w:pPr>
        <w:pStyle w:val="P68B1DB1-Normal4"/>
        <w:spacing w:line="240" w:lineRule="auto"/>
        <w:rPr>
          <w:rFonts w:cs="Times New Roman"/>
          <w:noProof/>
        </w:rPr>
      </w:pPr>
      <w:r w:rsidRPr="00BC4EE7">
        <w:rPr>
          <w:rFonts w:cs="Times New Roman"/>
          <w:noProof/>
        </w:rPr>
        <w:t xml:space="preserve">A beruházás végrehajtását 2023. december 31-ig be kell fejezni. </w:t>
      </w:r>
    </w:p>
    <w:p w14:paraId="5B48DAD4" w14:textId="77777777" w:rsidR="00D65CB4" w:rsidRPr="00BC4EE7" w:rsidRDefault="00572307">
      <w:pPr>
        <w:pStyle w:val="Text1"/>
        <w:ind w:left="720"/>
        <w:rPr>
          <w:rFonts w:ascii="Times New Roman" w:hAnsi="Times New Roman" w:cs="Times New Roman"/>
          <w:b/>
          <w:noProof/>
          <w:u w:val="single"/>
        </w:rPr>
      </w:pPr>
      <w:r w:rsidRPr="00BC4EE7">
        <w:rPr>
          <w:rFonts w:ascii="Times New Roman" w:hAnsi="Times New Roman" w:cs="Times New Roman"/>
          <w:b/>
          <w:noProof/>
          <w:u w:val="single"/>
        </w:rPr>
        <w:t xml:space="preserve">Z.2. </w:t>
      </w:r>
      <w:r w:rsidRPr="00BC4EE7">
        <w:rPr>
          <w:rFonts w:ascii="Times New Roman" w:hAnsi="Times New Roman" w:cs="Times New Roman"/>
          <w:noProof/>
        </w:rPr>
        <w:t xml:space="preserve"> </w:t>
      </w:r>
      <w:r w:rsidRPr="00BC4EE7">
        <w:rPr>
          <w:rFonts w:ascii="Times New Roman" w:hAnsi="Times New Roman" w:cs="Times New Roman"/>
          <w:b/>
          <w:noProof/>
          <w:u w:val="single"/>
        </w:rPr>
        <w:t>Vissza nem térítendő pénzügyi támogatás – a végrehajtáshoz és a nyomon követéshez kapcsolódó mérföldkövek, célok, mutatók és ütemterv</w:t>
      </w:r>
    </w:p>
    <w:p w14:paraId="14FFEA2F" w14:textId="77777777" w:rsidR="00D65CB4" w:rsidRPr="00BC4EE7" w:rsidRDefault="00572307">
      <w:pPr>
        <w:pStyle w:val="P68B1DB1-Text135"/>
        <w:ind w:left="0"/>
        <w:rPr>
          <w:rFonts w:cs="Times New Roman"/>
          <w:b/>
          <w:noProof/>
          <w:u w:val="single"/>
        </w:rPr>
      </w:pPr>
      <w:r w:rsidRPr="00BC4EE7">
        <w:rPr>
          <w:rFonts w:cs="Times New Roman"/>
          <w:noProof/>
        </w:rPr>
        <w:t>Táblázat alább. Az összes mutató esetében az alapforgatókönyv időpontja 2020. február 1., kivéve, ha az intézkedés leírása ettől eltérően rendelkezik. A táblázatban szereplő összegek a héát is tartalmazzák.</w:t>
      </w:r>
    </w:p>
    <w:p w14:paraId="38C7C785" w14:textId="77777777" w:rsidR="00D65CB4" w:rsidRPr="00BC4EE7" w:rsidRDefault="00D65CB4">
      <w:pPr>
        <w:pStyle w:val="Text1"/>
        <w:ind w:left="0"/>
        <w:rPr>
          <w:rFonts w:ascii="Times New Roman" w:hAnsi="Times New Roman" w:cs="Times New Roman"/>
          <w:noProof/>
        </w:rPr>
        <w:sectPr w:rsidR="00D65CB4" w:rsidRPr="00BC4EE7" w:rsidSect="00B511EF">
          <w:headerReference w:type="even" r:id="rId514"/>
          <w:headerReference w:type="default" r:id="rId515"/>
          <w:footerReference w:type="even" r:id="rId516"/>
          <w:footerReference w:type="default" r:id="rId517"/>
          <w:headerReference w:type="first" r:id="rId518"/>
          <w:footerReference w:type="first" r:id="rId519"/>
          <w:pgSz w:w="11907" w:h="16839"/>
          <w:pgMar w:top="1134" w:right="1134" w:bottom="1134" w:left="1134" w:header="567" w:footer="567" w:gutter="0"/>
          <w:cols w:space="720"/>
          <w:docGrid w:linePitch="360"/>
        </w:sectPr>
      </w:pPr>
    </w:p>
    <w:p w14:paraId="633E06DE" w14:textId="77777777" w:rsidR="00D65CB4" w:rsidRPr="00BC4EE7" w:rsidRDefault="00D65CB4">
      <w:pPr>
        <w:pStyle w:val="Text1"/>
        <w:ind w:left="0"/>
        <w:rPr>
          <w:rFonts w:ascii="Times New Roman" w:hAnsi="Times New Roman" w:cs="Times New Roman"/>
          <w:noProof/>
          <w:sz w:val="20"/>
        </w:rPr>
      </w:pPr>
    </w:p>
    <w:tbl>
      <w:tblPr>
        <w:tblpPr w:leftFromText="180" w:rightFromText="180" w:vertAnchor="text" w:tblpXSpec="right" w:tblpY="1"/>
        <w:tblOverlap w:val="never"/>
        <w:tblW w:w="15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3"/>
        <w:gridCol w:w="1026"/>
        <w:gridCol w:w="993"/>
        <w:gridCol w:w="2203"/>
        <w:gridCol w:w="1407"/>
        <w:gridCol w:w="986"/>
        <w:gridCol w:w="1266"/>
        <w:gridCol w:w="845"/>
        <w:gridCol w:w="422"/>
        <w:gridCol w:w="563"/>
        <w:gridCol w:w="4754"/>
        <w:gridCol w:w="29"/>
      </w:tblGrid>
      <w:tr w:rsidR="00D65CB4" w:rsidRPr="00BC4EE7" w14:paraId="5823193C" w14:textId="77777777" w:rsidTr="00572307">
        <w:trPr>
          <w:gridAfter w:val="1"/>
          <w:wAfter w:w="29" w:type="dxa"/>
          <w:trHeight w:val="309"/>
          <w:tblHeader/>
        </w:trPr>
        <w:tc>
          <w:tcPr>
            <w:tcW w:w="703" w:type="dxa"/>
            <w:tcBorders>
              <w:bottom w:val="nil"/>
            </w:tcBorders>
            <w:shd w:val="clear" w:color="auto" w:fill="C6D9F1" w:themeFill="text2" w:themeFillTint="33"/>
            <w:noWrap/>
            <w:vAlign w:val="center"/>
          </w:tcPr>
          <w:p w14:paraId="5D9A4C69" w14:textId="77777777" w:rsidR="00D65CB4" w:rsidRPr="00BC4EE7" w:rsidRDefault="00572307">
            <w:pPr>
              <w:pStyle w:val="P68B1DB1-Normal8"/>
              <w:spacing w:after="0"/>
              <w:jc w:val="center"/>
              <w:rPr>
                <w:rFonts w:cs="Times New Roman"/>
                <w:noProof/>
              </w:rPr>
            </w:pPr>
            <w:r w:rsidRPr="00BC4EE7">
              <w:rPr>
                <w:rFonts w:cs="Times New Roman"/>
                <w:noProof/>
              </w:rPr>
              <w:t>Szám</w:t>
            </w:r>
          </w:p>
        </w:tc>
        <w:tc>
          <w:tcPr>
            <w:tcW w:w="1026" w:type="dxa"/>
            <w:tcBorders>
              <w:bottom w:val="nil"/>
            </w:tcBorders>
            <w:shd w:val="clear" w:color="auto" w:fill="C6D9F1" w:themeFill="text2" w:themeFillTint="33"/>
            <w:noWrap/>
            <w:vAlign w:val="center"/>
          </w:tcPr>
          <w:p w14:paraId="03724937" w14:textId="77777777" w:rsidR="00D65CB4" w:rsidRPr="00BC4EE7" w:rsidRDefault="00572307">
            <w:pPr>
              <w:pStyle w:val="P68B1DB1-Normal8"/>
              <w:spacing w:after="0"/>
              <w:jc w:val="center"/>
              <w:rPr>
                <w:rFonts w:cs="Times New Roman"/>
                <w:noProof/>
              </w:rPr>
            </w:pPr>
            <w:r w:rsidRPr="00BC4EE7">
              <w:rPr>
                <w:rFonts w:cs="Times New Roman"/>
                <w:noProof/>
              </w:rPr>
              <w:t>Intézkedés</w:t>
            </w:r>
          </w:p>
        </w:tc>
        <w:tc>
          <w:tcPr>
            <w:tcW w:w="993" w:type="dxa"/>
            <w:tcBorders>
              <w:bottom w:val="nil"/>
            </w:tcBorders>
            <w:shd w:val="clear" w:color="auto" w:fill="C6D9F1" w:themeFill="text2" w:themeFillTint="33"/>
            <w:noWrap/>
            <w:vAlign w:val="center"/>
          </w:tcPr>
          <w:p w14:paraId="526F7A20" w14:textId="77777777" w:rsidR="00D65CB4" w:rsidRPr="00BC4EE7" w:rsidRDefault="00572307">
            <w:pPr>
              <w:spacing w:after="0"/>
              <w:jc w:val="center"/>
              <w:rPr>
                <w:rFonts w:ascii="Times New Roman" w:hAnsi="Times New Roman" w:cs="Times New Roman"/>
                <w:b/>
                <w:noProof/>
                <w:sz w:val="18"/>
              </w:rPr>
            </w:pPr>
            <w:r w:rsidRPr="00BC4EE7">
              <w:rPr>
                <w:rFonts w:ascii="Times New Roman" w:hAnsi="Times New Roman" w:cs="Times New Roman"/>
                <w:b/>
                <w:noProof/>
                <w:sz w:val="18"/>
              </w:rPr>
              <w:t>Mérföldkő</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b/>
                <w:noProof/>
                <w:sz w:val="18"/>
              </w:rPr>
              <w:t xml:space="preserve"> /Cél</w:t>
            </w:r>
          </w:p>
        </w:tc>
        <w:tc>
          <w:tcPr>
            <w:tcW w:w="2203" w:type="dxa"/>
            <w:tcBorders>
              <w:bottom w:val="nil"/>
            </w:tcBorders>
            <w:shd w:val="clear" w:color="auto" w:fill="C6D9F1" w:themeFill="text2" w:themeFillTint="33"/>
            <w:noWrap/>
            <w:vAlign w:val="center"/>
          </w:tcPr>
          <w:p w14:paraId="1F923462" w14:textId="77777777" w:rsidR="00D65CB4" w:rsidRPr="00BC4EE7" w:rsidRDefault="00572307">
            <w:pPr>
              <w:pStyle w:val="P68B1DB1-Normal8"/>
              <w:spacing w:after="0"/>
              <w:jc w:val="center"/>
              <w:rPr>
                <w:rFonts w:cs="Times New Roman"/>
                <w:noProof/>
              </w:rPr>
            </w:pPr>
            <w:r w:rsidRPr="00BC4EE7">
              <w:rPr>
                <w:rFonts w:cs="Times New Roman"/>
                <w:noProof/>
              </w:rPr>
              <w:t>Név</w:t>
            </w:r>
          </w:p>
        </w:tc>
        <w:tc>
          <w:tcPr>
            <w:tcW w:w="1407" w:type="dxa"/>
            <w:tcBorders>
              <w:bottom w:val="nil"/>
            </w:tcBorders>
            <w:shd w:val="clear" w:color="auto" w:fill="C6D9F1" w:themeFill="text2" w:themeFillTint="33"/>
            <w:noWrap/>
            <w:vAlign w:val="center"/>
          </w:tcPr>
          <w:p w14:paraId="46F04DD2" w14:textId="77777777" w:rsidR="00D65CB4" w:rsidRPr="00BC4EE7" w:rsidRDefault="00572307">
            <w:pPr>
              <w:pStyle w:val="P68B1DB1-Normal8"/>
              <w:spacing w:after="0"/>
              <w:jc w:val="center"/>
              <w:rPr>
                <w:rFonts w:cs="Times New Roman"/>
                <w:noProof/>
              </w:rPr>
            </w:pPr>
            <w:r w:rsidRPr="00BC4EE7">
              <w:rPr>
                <w:rFonts w:cs="Times New Roman"/>
                <w:noProof/>
              </w:rPr>
              <w:t>A mérföldkövek minőségi mutatója</w:t>
            </w:r>
          </w:p>
        </w:tc>
        <w:tc>
          <w:tcPr>
            <w:tcW w:w="3097" w:type="dxa"/>
            <w:gridSpan w:val="3"/>
            <w:shd w:val="clear" w:color="auto" w:fill="C6D9F1" w:themeFill="text2" w:themeFillTint="33"/>
            <w:noWrap/>
            <w:vAlign w:val="center"/>
          </w:tcPr>
          <w:p w14:paraId="0BE6504D" w14:textId="77777777" w:rsidR="00D65CB4" w:rsidRPr="00BC4EE7" w:rsidRDefault="00572307">
            <w:pPr>
              <w:pStyle w:val="P68B1DB1-Normal8"/>
              <w:spacing w:after="0"/>
              <w:jc w:val="center"/>
              <w:rPr>
                <w:rFonts w:cs="Times New Roman"/>
                <w:noProof/>
              </w:rPr>
            </w:pPr>
            <w:r w:rsidRPr="00BC4EE7">
              <w:rPr>
                <w:rFonts w:cs="Times New Roman"/>
                <w:noProof/>
              </w:rPr>
              <w:t>A célérték mennyiségi mutatója</w:t>
            </w:r>
          </w:p>
        </w:tc>
        <w:tc>
          <w:tcPr>
            <w:tcW w:w="985" w:type="dxa"/>
            <w:gridSpan w:val="2"/>
            <w:shd w:val="clear" w:color="auto" w:fill="C6D9F1" w:themeFill="text2" w:themeFillTint="33"/>
            <w:noWrap/>
            <w:vAlign w:val="center"/>
          </w:tcPr>
          <w:p w14:paraId="1DA359BD" w14:textId="77777777" w:rsidR="00D65CB4" w:rsidRPr="00BC4EE7" w:rsidRDefault="00572307">
            <w:pPr>
              <w:pStyle w:val="P68B1DB1-Normal8"/>
              <w:spacing w:after="0"/>
              <w:jc w:val="center"/>
              <w:rPr>
                <w:rFonts w:cs="Times New Roman"/>
                <w:noProof/>
              </w:rPr>
            </w:pPr>
            <w:r w:rsidRPr="00BC4EE7">
              <w:rPr>
                <w:rFonts w:cs="Times New Roman"/>
                <w:noProof/>
              </w:rPr>
              <w:t>Idő</w:t>
            </w:r>
          </w:p>
        </w:tc>
        <w:tc>
          <w:tcPr>
            <w:tcW w:w="4754" w:type="dxa"/>
            <w:tcBorders>
              <w:bottom w:val="nil"/>
            </w:tcBorders>
            <w:shd w:val="clear" w:color="auto" w:fill="C6D9F1" w:themeFill="text2" w:themeFillTint="33"/>
            <w:noWrap/>
            <w:vAlign w:val="center"/>
          </w:tcPr>
          <w:p w14:paraId="1EB6713E" w14:textId="77777777" w:rsidR="00D65CB4" w:rsidRPr="00BC4EE7" w:rsidRDefault="00572307">
            <w:pPr>
              <w:pStyle w:val="P68B1DB1-Normal8"/>
              <w:spacing w:after="0"/>
              <w:jc w:val="center"/>
              <w:rPr>
                <w:rFonts w:cs="Times New Roman"/>
                <w:noProof/>
              </w:rPr>
            </w:pPr>
            <w:r w:rsidRPr="00BC4EE7">
              <w:rPr>
                <w:rFonts w:cs="Times New Roman"/>
                <w:noProof/>
              </w:rPr>
              <w:t>Az egyes mérföldkövek és célértékek leírása</w:t>
            </w:r>
          </w:p>
        </w:tc>
      </w:tr>
      <w:tr w:rsidR="00D65CB4" w:rsidRPr="00BC4EE7" w14:paraId="731CE1FE" w14:textId="77777777" w:rsidTr="00572307">
        <w:trPr>
          <w:gridAfter w:val="1"/>
          <w:wAfter w:w="29" w:type="dxa"/>
          <w:trHeight w:val="309"/>
          <w:tblHeader/>
        </w:trPr>
        <w:tc>
          <w:tcPr>
            <w:tcW w:w="703" w:type="dxa"/>
            <w:tcBorders>
              <w:top w:val="nil"/>
            </w:tcBorders>
            <w:shd w:val="clear" w:color="auto" w:fill="C6D9F1" w:themeFill="text2" w:themeFillTint="33"/>
            <w:noWrap/>
          </w:tcPr>
          <w:p w14:paraId="558BF819" w14:textId="77777777" w:rsidR="00D65CB4" w:rsidRPr="00BC4EE7" w:rsidRDefault="00D65CB4">
            <w:pPr>
              <w:spacing w:after="0"/>
              <w:jc w:val="center"/>
              <w:rPr>
                <w:rFonts w:ascii="Times New Roman" w:hAnsi="Times New Roman" w:cs="Times New Roman"/>
                <w:b/>
                <w:noProof/>
                <w:sz w:val="18"/>
              </w:rPr>
            </w:pPr>
          </w:p>
        </w:tc>
        <w:tc>
          <w:tcPr>
            <w:tcW w:w="1026" w:type="dxa"/>
            <w:tcBorders>
              <w:top w:val="nil"/>
            </w:tcBorders>
            <w:shd w:val="clear" w:color="auto" w:fill="C6D9F1" w:themeFill="text2" w:themeFillTint="33"/>
            <w:noWrap/>
          </w:tcPr>
          <w:p w14:paraId="75B9C719" w14:textId="77777777" w:rsidR="00D65CB4" w:rsidRPr="00BC4EE7" w:rsidRDefault="00D65CB4">
            <w:pPr>
              <w:spacing w:after="0"/>
              <w:jc w:val="center"/>
              <w:rPr>
                <w:rFonts w:ascii="Times New Roman" w:hAnsi="Times New Roman" w:cs="Times New Roman"/>
                <w:b/>
                <w:noProof/>
                <w:sz w:val="18"/>
              </w:rPr>
            </w:pPr>
          </w:p>
        </w:tc>
        <w:tc>
          <w:tcPr>
            <w:tcW w:w="993" w:type="dxa"/>
            <w:tcBorders>
              <w:top w:val="nil"/>
            </w:tcBorders>
            <w:shd w:val="clear" w:color="auto" w:fill="C6D9F1" w:themeFill="text2" w:themeFillTint="33"/>
            <w:noWrap/>
          </w:tcPr>
          <w:p w14:paraId="7317F91F" w14:textId="77777777" w:rsidR="00D65CB4" w:rsidRPr="00BC4EE7" w:rsidRDefault="00D65CB4">
            <w:pPr>
              <w:spacing w:after="0"/>
              <w:jc w:val="center"/>
              <w:rPr>
                <w:rFonts w:ascii="Times New Roman" w:hAnsi="Times New Roman" w:cs="Times New Roman"/>
                <w:b/>
                <w:noProof/>
                <w:sz w:val="18"/>
              </w:rPr>
            </w:pPr>
          </w:p>
        </w:tc>
        <w:tc>
          <w:tcPr>
            <w:tcW w:w="2203" w:type="dxa"/>
            <w:tcBorders>
              <w:top w:val="nil"/>
            </w:tcBorders>
            <w:shd w:val="clear" w:color="auto" w:fill="C6D9F1" w:themeFill="text2" w:themeFillTint="33"/>
            <w:noWrap/>
          </w:tcPr>
          <w:p w14:paraId="79BD21F4" w14:textId="77777777" w:rsidR="00D65CB4" w:rsidRPr="00BC4EE7" w:rsidRDefault="00D65CB4">
            <w:pPr>
              <w:spacing w:after="0"/>
              <w:rPr>
                <w:rFonts w:ascii="Times New Roman" w:hAnsi="Times New Roman" w:cs="Times New Roman"/>
                <w:b/>
                <w:noProof/>
                <w:sz w:val="18"/>
              </w:rPr>
            </w:pPr>
          </w:p>
        </w:tc>
        <w:tc>
          <w:tcPr>
            <w:tcW w:w="1407" w:type="dxa"/>
            <w:tcBorders>
              <w:top w:val="nil"/>
            </w:tcBorders>
            <w:shd w:val="clear" w:color="auto" w:fill="C6D9F1" w:themeFill="text2" w:themeFillTint="33"/>
            <w:noWrap/>
          </w:tcPr>
          <w:p w14:paraId="67CC8C0B" w14:textId="77777777" w:rsidR="00D65CB4" w:rsidRPr="00BC4EE7" w:rsidRDefault="00D65CB4">
            <w:pPr>
              <w:spacing w:after="0"/>
              <w:jc w:val="center"/>
              <w:rPr>
                <w:rFonts w:ascii="Times New Roman" w:hAnsi="Times New Roman" w:cs="Times New Roman"/>
                <w:b/>
                <w:noProof/>
                <w:sz w:val="18"/>
              </w:rPr>
            </w:pPr>
          </w:p>
        </w:tc>
        <w:tc>
          <w:tcPr>
            <w:tcW w:w="986" w:type="dxa"/>
            <w:shd w:val="clear" w:color="auto" w:fill="C6D9F1" w:themeFill="text2" w:themeFillTint="33"/>
            <w:noWrap/>
          </w:tcPr>
          <w:p w14:paraId="2D256C52" w14:textId="77777777" w:rsidR="00D65CB4" w:rsidRPr="00BC4EE7" w:rsidRDefault="00572307">
            <w:pPr>
              <w:pStyle w:val="P68B1DB1-Normal8"/>
              <w:spacing w:after="0"/>
              <w:jc w:val="center"/>
              <w:rPr>
                <w:rFonts w:cs="Times New Roman"/>
                <w:noProof/>
              </w:rPr>
            </w:pPr>
            <w:r w:rsidRPr="00BC4EE7">
              <w:rPr>
                <w:rFonts w:cs="Times New Roman"/>
                <w:noProof/>
              </w:rPr>
              <w:t>Egység</w:t>
            </w:r>
          </w:p>
        </w:tc>
        <w:tc>
          <w:tcPr>
            <w:tcW w:w="1266" w:type="dxa"/>
            <w:shd w:val="clear" w:color="auto" w:fill="C6D9F1" w:themeFill="text2" w:themeFillTint="33"/>
            <w:noWrap/>
          </w:tcPr>
          <w:p w14:paraId="0FB955F7" w14:textId="77777777" w:rsidR="00D65CB4" w:rsidRPr="00BC4EE7" w:rsidRDefault="00572307">
            <w:pPr>
              <w:pStyle w:val="P68B1DB1-Normal8"/>
              <w:spacing w:after="0"/>
              <w:jc w:val="center"/>
              <w:rPr>
                <w:rFonts w:cs="Times New Roman"/>
                <w:noProof/>
              </w:rPr>
            </w:pPr>
            <w:r w:rsidRPr="00BC4EE7">
              <w:rPr>
                <w:rFonts w:cs="Times New Roman"/>
                <w:noProof/>
              </w:rPr>
              <w:t>Kiindulási</w:t>
            </w:r>
          </w:p>
        </w:tc>
        <w:tc>
          <w:tcPr>
            <w:tcW w:w="845" w:type="dxa"/>
            <w:shd w:val="clear" w:color="auto" w:fill="C6D9F1" w:themeFill="text2" w:themeFillTint="33"/>
            <w:noWrap/>
          </w:tcPr>
          <w:p w14:paraId="5423A5D8" w14:textId="77777777" w:rsidR="00D65CB4" w:rsidRPr="00BC4EE7" w:rsidRDefault="00572307">
            <w:pPr>
              <w:pStyle w:val="P68B1DB1-Normal8"/>
              <w:spacing w:after="0"/>
              <w:jc w:val="center"/>
              <w:rPr>
                <w:rFonts w:cs="Times New Roman"/>
                <w:noProof/>
              </w:rPr>
            </w:pPr>
            <w:r w:rsidRPr="00BC4EE7">
              <w:rPr>
                <w:rFonts w:cs="Times New Roman"/>
                <w:noProof/>
              </w:rPr>
              <w:t>Cél</w:t>
            </w:r>
          </w:p>
        </w:tc>
        <w:tc>
          <w:tcPr>
            <w:tcW w:w="422" w:type="dxa"/>
            <w:shd w:val="clear" w:color="auto" w:fill="C6D9F1" w:themeFill="text2" w:themeFillTint="33"/>
            <w:noWrap/>
          </w:tcPr>
          <w:p w14:paraId="769E2363" w14:textId="77777777" w:rsidR="00D65CB4" w:rsidRPr="00BC4EE7" w:rsidRDefault="00572307">
            <w:pPr>
              <w:pStyle w:val="P68B1DB1-Normal8"/>
              <w:spacing w:after="0"/>
              <w:jc w:val="center"/>
              <w:rPr>
                <w:rFonts w:cs="Times New Roman"/>
                <w:noProof/>
              </w:rPr>
            </w:pPr>
            <w:r w:rsidRPr="00BC4EE7">
              <w:rPr>
                <w:rFonts w:cs="Times New Roman"/>
                <w:noProof/>
              </w:rPr>
              <w:t>Q</w:t>
            </w:r>
          </w:p>
        </w:tc>
        <w:tc>
          <w:tcPr>
            <w:tcW w:w="563" w:type="dxa"/>
            <w:shd w:val="clear" w:color="auto" w:fill="C6D9F1" w:themeFill="text2" w:themeFillTint="33"/>
            <w:noWrap/>
          </w:tcPr>
          <w:p w14:paraId="2BC07797" w14:textId="77777777" w:rsidR="00D65CB4" w:rsidRPr="00BC4EE7" w:rsidRDefault="00572307">
            <w:pPr>
              <w:pStyle w:val="P68B1DB1-Normal8"/>
              <w:spacing w:after="0"/>
              <w:jc w:val="center"/>
              <w:rPr>
                <w:rFonts w:cs="Times New Roman"/>
                <w:noProof/>
              </w:rPr>
            </w:pPr>
            <w:r w:rsidRPr="00BC4EE7">
              <w:rPr>
                <w:rFonts w:cs="Times New Roman"/>
                <w:noProof/>
              </w:rPr>
              <w:t>Éve</w:t>
            </w:r>
          </w:p>
        </w:tc>
        <w:tc>
          <w:tcPr>
            <w:tcW w:w="4754" w:type="dxa"/>
            <w:tcBorders>
              <w:top w:val="nil"/>
            </w:tcBorders>
            <w:shd w:val="clear" w:color="auto" w:fill="C6D9F1" w:themeFill="text2" w:themeFillTint="33"/>
            <w:noWrap/>
          </w:tcPr>
          <w:p w14:paraId="11B8A19E" w14:textId="77777777" w:rsidR="00D65CB4" w:rsidRPr="00BC4EE7" w:rsidRDefault="00D65CB4">
            <w:pPr>
              <w:spacing w:after="0"/>
              <w:rPr>
                <w:rFonts w:ascii="Times New Roman" w:hAnsi="Times New Roman" w:cs="Times New Roman"/>
                <w:b/>
                <w:noProof/>
                <w:sz w:val="18"/>
              </w:rPr>
            </w:pPr>
          </w:p>
        </w:tc>
      </w:tr>
      <w:tr w:rsidR="00D65CB4" w:rsidRPr="00BC4EE7" w14:paraId="5FD7E706" w14:textId="77777777" w:rsidTr="00572307">
        <w:trPr>
          <w:trHeight w:val="309"/>
        </w:trPr>
        <w:tc>
          <w:tcPr>
            <w:tcW w:w="703" w:type="dxa"/>
            <w:shd w:val="clear" w:color="auto" w:fill="C6EFCE"/>
            <w:noWrap/>
          </w:tcPr>
          <w:p w14:paraId="3616C4EF"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367</w:t>
            </w:r>
          </w:p>
        </w:tc>
        <w:tc>
          <w:tcPr>
            <w:tcW w:w="1026" w:type="dxa"/>
            <w:shd w:val="clear" w:color="auto" w:fill="C6EFCE"/>
            <w:noWrap/>
          </w:tcPr>
          <w:p w14:paraId="228DE1D0"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C26.R1</w:t>
            </w:r>
          </w:p>
        </w:tc>
        <w:tc>
          <w:tcPr>
            <w:tcW w:w="993" w:type="dxa"/>
            <w:shd w:val="clear" w:color="auto" w:fill="C6EFCE"/>
            <w:noWrap/>
          </w:tcPr>
          <w:p w14:paraId="381CAC00"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2203" w:type="dxa"/>
            <w:shd w:val="clear" w:color="auto" w:fill="C6EFCE"/>
            <w:noWrap/>
          </w:tcPr>
          <w:p w14:paraId="3EFF41C2" w14:textId="77777777" w:rsidR="00D65CB4" w:rsidRPr="00BC4EE7" w:rsidRDefault="00572307">
            <w:pPr>
              <w:pStyle w:val="P68B1DB1-Normal12"/>
              <w:spacing w:after="0"/>
              <w:rPr>
                <w:rFonts w:eastAsia="Times New Roman" w:cs="Times New Roman"/>
                <w:noProof/>
              </w:rPr>
            </w:pPr>
            <w:r w:rsidRPr="00BC4EE7">
              <w:rPr>
                <w:rFonts w:cs="Times New Roman"/>
                <w:noProof/>
              </w:rPr>
              <w:t xml:space="preserve">A sporttörvény hatálybalépése </w:t>
            </w:r>
          </w:p>
        </w:tc>
        <w:tc>
          <w:tcPr>
            <w:tcW w:w="1407" w:type="dxa"/>
            <w:shd w:val="clear" w:color="auto" w:fill="C6EFCE"/>
            <w:noWrap/>
          </w:tcPr>
          <w:p w14:paraId="618A8D6F"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A törvény hatálybalépését feltüntető rendelkezés </w:t>
            </w:r>
          </w:p>
        </w:tc>
        <w:tc>
          <w:tcPr>
            <w:tcW w:w="986" w:type="dxa"/>
            <w:shd w:val="clear" w:color="auto" w:fill="C6EFCE"/>
            <w:noWrap/>
          </w:tcPr>
          <w:p w14:paraId="1B60D2FD"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 </w:t>
            </w:r>
          </w:p>
        </w:tc>
        <w:tc>
          <w:tcPr>
            <w:tcW w:w="1266" w:type="dxa"/>
            <w:shd w:val="clear" w:color="auto" w:fill="C6EFCE"/>
            <w:noWrap/>
          </w:tcPr>
          <w:p w14:paraId="6C8AEA75" w14:textId="77777777" w:rsidR="00D65CB4" w:rsidRPr="00BC4EE7" w:rsidRDefault="00572307">
            <w:pPr>
              <w:pStyle w:val="P68B1DB1-Normal12"/>
              <w:spacing w:after="0"/>
              <w:jc w:val="center"/>
              <w:rPr>
                <w:rFonts w:cs="Times New Roman"/>
                <w:noProof/>
              </w:rPr>
            </w:pPr>
            <w:r w:rsidRPr="00BC4EE7">
              <w:rPr>
                <w:rFonts w:cs="Times New Roman"/>
                <w:noProof/>
              </w:rPr>
              <w:t xml:space="preserve"> </w:t>
            </w:r>
          </w:p>
        </w:tc>
        <w:tc>
          <w:tcPr>
            <w:tcW w:w="845" w:type="dxa"/>
            <w:shd w:val="clear" w:color="auto" w:fill="C6EFCE"/>
            <w:noWrap/>
          </w:tcPr>
          <w:p w14:paraId="28516D56"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422" w:type="dxa"/>
            <w:shd w:val="clear" w:color="auto" w:fill="C6EFCE"/>
            <w:noWrap/>
          </w:tcPr>
          <w:p w14:paraId="56DC4632"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Q4</w:t>
            </w:r>
          </w:p>
        </w:tc>
        <w:tc>
          <w:tcPr>
            <w:tcW w:w="563" w:type="dxa"/>
            <w:shd w:val="clear" w:color="auto" w:fill="C6EFCE"/>
            <w:noWrap/>
          </w:tcPr>
          <w:p w14:paraId="5B7DD0B7"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2022</w:t>
            </w:r>
          </w:p>
        </w:tc>
        <w:tc>
          <w:tcPr>
            <w:tcW w:w="4783" w:type="dxa"/>
            <w:gridSpan w:val="2"/>
            <w:shd w:val="clear" w:color="auto" w:fill="C6EFCE"/>
            <w:noWrap/>
          </w:tcPr>
          <w:p w14:paraId="04BCF38C" w14:textId="73B0676D" w:rsidR="00D65CB4" w:rsidRPr="00BC4EE7" w:rsidRDefault="00572307">
            <w:pPr>
              <w:pStyle w:val="P68B1DB1-Normal12"/>
              <w:spacing w:after="0"/>
              <w:rPr>
                <w:rFonts w:eastAsia="Times New Roman" w:cs="Times New Roman"/>
                <w:noProof/>
              </w:rPr>
            </w:pPr>
            <w:r w:rsidRPr="00BC4EE7">
              <w:rPr>
                <w:rFonts w:cs="Times New Roman"/>
                <w:noProof/>
              </w:rPr>
              <w:t xml:space="preserve">A törvény a sport minden szintjén előmozdítja az egészséget és a biztonságot, a nemek közötti egyenlőséget, a társadalmi befogadást és a hozzáférhetőséget, a modell nemzetközi dimenziójának előmozdítását, valamint a szervezetek és az infrastruktúrák korszerűsítését a környezet tiszteletben tartása és a digitalizálás révén. </w:t>
            </w:r>
          </w:p>
        </w:tc>
      </w:tr>
      <w:tr w:rsidR="00D65CB4" w:rsidRPr="00BC4EE7" w14:paraId="794C580C" w14:textId="77777777" w:rsidTr="00572307">
        <w:trPr>
          <w:trHeight w:val="309"/>
        </w:trPr>
        <w:tc>
          <w:tcPr>
            <w:tcW w:w="703" w:type="dxa"/>
            <w:shd w:val="clear" w:color="auto" w:fill="C6EFCE"/>
            <w:noWrap/>
          </w:tcPr>
          <w:p w14:paraId="78C6AE9D"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368</w:t>
            </w:r>
          </w:p>
        </w:tc>
        <w:tc>
          <w:tcPr>
            <w:tcW w:w="1026" w:type="dxa"/>
            <w:shd w:val="clear" w:color="auto" w:fill="C6EFCE"/>
            <w:noWrap/>
          </w:tcPr>
          <w:p w14:paraId="7925AA47"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C26.R2</w:t>
            </w:r>
          </w:p>
        </w:tc>
        <w:tc>
          <w:tcPr>
            <w:tcW w:w="993" w:type="dxa"/>
            <w:shd w:val="clear" w:color="auto" w:fill="C6EFCE"/>
            <w:noWrap/>
          </w:tcPr>
          <w:p w14:paraId="35025FB4"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2203" w:type="dxa"/>
            <w:shd w:val="clear" w:color="auto" w:fill="C6EFCE"/>
            <w:noWrap/>
          </w:tcPr>
          <w:p w14:paraId="371E443F" w14:textId="77777777" w:rsidR="00D65CB4" w:rsidRPr="00BC4EE7" w:rsidRDefault="00572307">
            <w:pPr>
              <w:pStyle w:val="P68B1DB1-Normal12"/>
              <w:spacing w:after="0"/>
              <w:rPr>
                <w:rFonts w:eastAsia="Times New Roman" w:cs="Times New Roman"/>
                <w:noProof/>
              </w:rPr>
            </w:pPr>
            <w:r w:rsidRPr="00BC4EE7">
              <w:rPr>
                <w:rFonts w:cs="Times New Roman"/>
                <w:noProof/>
              </w:rPr>
              <w:t xml:space="preserve">Az egyes sportfoglalkozások szabályozásáról szóló törvény hatálybalépése </w:t>
            </w:r>
          </w:p>
        </w:tc>
        <w:tc>
          <w:tcPr>
            <w:tcW w:w="1407" w:type="dxa"/>
            <w:shd w:val="clear" w:color="auto" w:fill="C6EFCE"/>
            <w:noWrap/>
          </w:tcPr>
          <w:p w14:paraId="1F2D0625"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 A hatálybalépést feltüntető törvényi rendelkezés</w:t>
            </w:r>
          </w:p>
        </w:tc>
        <w:tc>
          <w:tcPr>
            <w:tcW w:w="986" w:type="dxa"/>
            <w:shd w:val="clear" w:color="auto" w:fill="C6EFCE"/>
            <w:noWrap/>
          </w:tcPr>
          <w:p w14:paraId="1D518A71"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 </w:t>
            </w:r>
          </w:p>
        </w:tc>
        <w:tc>
          <w:tcPr>
            <w:tcW w:w="1266" w:type="dxa"/>
            <w:shd w:val="clear" w:color="auto" w:fill="C6EFCE"/>
            <w:noWrap/>
          </w:tcPr>
          <w:p w14:paraId="5C38D216"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845" w:type="dxa"/>
            <w:shd w:val="clear" w:color="auto" w:fill="C6EFCE"/>
            <w:noWrap/>
          </w:tcPr>
          <w:p w14:paraId="0AE0894F"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422" w:type="dxa"/>
            <w:shd w:val="clear" w:color="auto" w:fill="C6EFCE"/>
            <w:noWrap/>
          </w:tcPr>
          <w:p w14:paraId="63006414"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Q4</w:t>
            </w:r>
          </w:p>
        </w:tc>
        <w:tc>
          <w:tcPr>
            <w:tcW w:w="563" w:type="dxa"/>
            <w:shd w:val="clear" w:color="auto" w:fill="C6EFCE"/>
            <w:noWrap/>
          </w:tcPr>
          <w:p w14:paraId="210C3EF1"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2023</w:t>
            </w:r>
          </w:p>
        </w:tc>
        <w:tc>
          <w:tcPr>
            <w:tcW w:w="4783" w:type="dxa"/>
            <w:gridSpan w:val="2"/>
            <w:shd w:val="clear" w:color="auto" w:fill="C6EFCE"/>
            <w:noWrap/>
          </w:tcPr>
          <w:p w14:paraId="6DD757B3" w14:textId="77777777" w:rsidR="00D65CB4" w:rsidRPr="00BC4EE7" w:rsidRDefault="00572307">
            <w:pPr>
              <w:pStyle w:val="P68B1DB1-Normal12"/>
              <w:spacing w:after="0"/>
              <w:rPr>
                <w:rFonts w:eastAsia="Times New Roman" w:cs="Times New Roman"/>
                <w:noProof/>
              </w:rPr>
            </w:pPr>
            <w:r w:rsidRPr="00BC4EE7">
              <w:rPr>
                <w:rFonts w:cs="Times New Roman"/>
                <w:noProof/>
              </w:rPr>
              <w:t>Az egyes sportszakmai szakmák szabályozásáról szóló törvény elfogadása a szabályozás heterogenitásából eredő kihívások kezelése, valamint a szükségesség és az arányosság elvének kellő figyelembevétele érdekében.</w:t>
            </w:r>
          </w:p>
        </w:tc>
      </w:tr>
      <w:tr w:rsidR="00D65CB4" w:rsidRPr="00BC4EE7" w14:paraId="4CA26C0B" w14:textId="77777777" w:rsidTr="00572307">
        <w:trPr>
          <w:trHeight w:val="309"/>
        </w:trPr>
        <w:tc>
          <w:tcPr>
            <w:tcW w:w="703" w:type="dxa"/>
            <w:shd w:val="clear" w:color="auto" w:fill="C6EFCE"/>
            <w:noWrap/>
          </w:tcPr>
          <w:p w14:paraId="00DAC577"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369</w:t>
            </w:r>
          </w:p>
        </w:tc>
        <w:tc>
          <w:tcPr>
            <w:tcW w:w="1026" w:type="dxa"/>
            <w:shd w:val="clear" w:color="auto" w:fill="C6EFCE"/>
            <w:noWrap/>
          </w:tcPr>
          <w:p w14:paraId="63D61881"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C26.R3</w:t>
            </w:r>
          </w:p>
        </w:tc>
        <w:tc>
          <w:tcPr>
            <w:tcW w:w="993" w:type="dxa"/>
            <w:shd w:val="clear" w:color="auto" w:fill="C6EFCE"/>
            <w:noWrap/>
          </w:tcPr>
          <w:p w14:paraId="2777087F"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2203" w:type="dxa"/>
            <w:shd w:val="clear" w:color="auto" w:fill="C6EFCE"/>
            <w:noWrap/>
          </w:tcPr>
          <w:p w14:paraId="1C8DCA34" w14:textId="77777777" w:rsidR="00D65CB4" w:rsidRPr="00BC4EE7" w:rsidRDefault="00572307">
            <w:pPr>
              <w:pStyle w:val="P68B1DB1-Normal12"/>
              <w:spacing w:after="0"/>
              <w:rPr>
                <w:rFonts w:eastAsia="Times New Roman" w:cs="Times New Roman"/>
                <w:noProof/>
              </w:rPr>
            </w:pPr>
            <w:r w:rsidRPr="00BC4EE7">
              <w:rPr>
                <w:rFonts w:cs="Times New Roman"/>
                <w:noProof/>
              </w:rPr>
              <w:t>A sportnak az ülő életmód és az inaktivitás elleni küzdelemre irányuló nemzeti stratégiája</w:t>
            </w:r>
          </w:p>
        </w:tc>
        <w:tc>
          <w:tcPr>
            <w:tcW w:w="1407" w:type="dxa"/>
            <w:shd w:val="clear" w:color="auto" w:fill="C6EFCE"/>
            <w:noWrap/>
          </w:tcPr>
          <w:p w14:paraId="0692ED1C"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Közzététel a honlapon</w:t>
            </w:r>
          </w:p>
        </w:tc>
        <w:tc>
          <w:tcPr>
            <w:tcW w:w="986" w:type="dxa"/>
            <w:shd w:val="clear" w:color="auto" w:fill="C6EFCE"/>
            <w:noWrap/>
          </w:tcPr>
          <w:p w14:paraId="4D9EF1D6"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 </w:t>
            </w:r>
          </w:p>
        </w:tc>
        <w:tc>
          <w:tcPr>
            <w:tcW w:w="1266" w:type="dxa"/>
            <w:shd w:val="clear" w:color="auto" w:fill="C6EFCE"/>
            <w:noWrap/>
          </w:tcPr>
          <w:p w14:paraId="65B06E17"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 </w:t>
            </w:r>
          </w:p>
        </w:tc>
        <w:tc>
          <w:tcPr>
            <w:tcW w:w="845" w:type="dxa"/>
            <w:shd w:val="clear" w:color="auto" w:fill="C6EFCE"/>
            <w:noWrap/>
          </w:tcPr>
          <w:p w14:paraId="3C7C4FE8"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422" w:type="dxa"/>
            <w:shd w:val="clear" w:color="auto" w:fill="C6EFCE"/>
            <w:noWrap/>
          </w:tcPr>
          <w:p w14:paraId="0812522C"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Q4</w:t>
            </w:r>
          </w:p>
        </w:tc>
        <w:tc>
          <w:tcPr>
            <w:tcW w:w="563" w:type="dxa"/>
            <w:shd w:val="clear" w:color="auto" w:fill="C6EFCE"/>
            <w:noWrap/>
          </w:tcPr>
          <w:p w14:paraId="41E72220"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2023</w:t>
            </w:r>
          </w:p>
        </w:tc>
        <w:tc>
          <w:tcPr>
            <w:tcW w:w="4783" w:type="dxa"/>
            <w:gridSpan w:val="2"/>
            <w:shd w:val="clear" w:color="auto" w:fill="C6EFCE"/>
            <w:noWrap/>
          </w:tcPr>
          <w:p w14:paraId="5B14EBAE" w14:textId="77777777" w:rsidR="00D65CB4" w:rsidRPr="00BC4EE7" w:rsidRDefault="00572307">
            <w:pPr>
              <w:pStyle w:val="P68B1DB1-Normal12"/>
              <w:spacing w:after="0"/>
              <w:rPr>
                <w:rFonts w:eastAsia="Times New Roman" w:cs="Times New Roman"/>
                <w:noProof/>
              </w:rPr>
            </w:pPr>
            <w:r w:rsidRPr="00BC4EE7">
              <w:rPr>
                <w:rFonts w:cs="Times New Roman"/>
                <w:noProof/>
              </w:rPr>
              <w:t>A sport ülő életmód és a mozgásszegény életmód elleni küzdelemre irányuló nemzeti stratégia végrehajtásának spanyol kormány általi jóváhagyása. A stratégia célkitűzései a következők: állandó elemzési eszköz bevezetése a stratégia hatásának elemzésére, mérésére és javítására; b) olyan intézkedések végrehajtása, amelyek célja a bevált gyakorlatok és az egészséges szokások meghatározása az elemzést követően. A stratégia kötelező a regionális és helyi hatóságokra nézve.</w:t>
            </w:r>
          </w:p>
        </w:tc>
      </w:tr>
      <w:tr w:rsidR="00D65CB4" w:rsidRPr="00BC4EE7" w14:paraId="5716DF99" w14:textId="77777777" w:rsidTr="00572307">
        <w:trPr>
          <w:trHeight w:val="309"/>
        </w:trPr>
        <w:tc>
          <w:tcPr>
            <w:tcW w:w="703" w:type="dxa"/>
            <w:shd w:val="clear" w:color="auto" w:fill="C6EFCE"/>
            <w:noWrap/>
          </w:tcPr>
          <w:p w14:paraId="0E17C92D"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370</w:t>
            </w:r>
          </w:p>
        </w:tc>
        <w:tc>
          <w:tcPr>
            <w:tcW w:w="1026" w:type="dxa"/>
            <w:shd w:val="clear" w:color="auto" w:fill="C6EFCE"/>
            <w:noWrap/>
          </w:tcPr>
          <w:p w14:paraId="418D7B65"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C26.I1</w:t>
            </w:r>
          </w:p>
        </w:tc>
        <w:tc>
          <w:tcPr>
            <w:tcW w:w="993" w:type="dxa"/>
            <w:shd w:val="clear" w:color="auto" w:fill="C6EFCE"/>
            <w:noWrap/>
          </w:tcPr>
          <w:p w14:paraId="6BC3A66F"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2203" w:type="dxa"/>
            <w:shd w:val="clear" w:color="auto" w:fill="C6EFCE"/>
            <w:noWrap/>
          </w:tcPr>
          <w:p w14:paraId="4BD4DADF" w14:textId="77777777" w:rsidR="00D65CB4" w:rsidRPr="00BC4EE7" w:rsidRDefault="00572307">
            <w:pPr>
              <w:pStyle w:val="P68B1DB1-Normal12"/>
              <w:spacing w:after="0"/>
              <w:rPr>
                <w:rFonts w:eastAsia="Times New Roman" w:cs="Times New Roman"/>
                <w:noProof/>
              </w:rPr>
            </w:pPr>
            <w:r w:rsidRPr="00BC4EE7">
              <w:rPr>
                <w:rFonts w:cs="Times New Roman"/>
                <w:noProof/>
              </w:rPr>
              <w:t>A sportágazat digitalizációja</w:t>
            </w:r>
          </w:p>
        </w:tc>
        <w:tc>
          <w:tcPr>
            <w:tcW w:w="1407" w:type="dxa"/>
            <w:shd w:val="clear" w:color="auto" w:fill="C6EFCE"/>
            <w:noWrap/>
          </w:tcPr>
          <w:p w14:paraId="3FDD823D"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A Hivatalos Lapban való közzététel </w:t>
            </w:r>
          </w:p>
        </w:tc>
        <w:tc>
          <w:tcPr>
            <w:tcW w:w="986" w:type="dxa"/>
            <w:shd w:val="clear" w:color="auto" w:fill="C6EFCE"/>
            <w:noWrap/>
          </w:tcPr>
          <w:p w14:paraId="2FDA4736"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 </w:t>
            </w:r>
          </w:p>
        </w:tc>
        <w:tc>
          <w:tcPr>
            <w:tcW w:w="1266" w:type="dxa"/>
            <w:shd w:val="clear" w:color="auto" w:fill="C6EFCE"/>
            <w:noWrap/>
          </w:tcPr>
          <w:p w14:paraId="63EAAF6B" w14:textId="77777777" w:rsidR="00D65CB4" w:rsidRPr="00BC4EE7" w:rsidRDefault="00D65CB4">
            <w:pPr>
              <w:spacing w:after="0"/>
              <w:jc w:val="right"/>
              <w:rPr>
                <w:rFonts w:ascii="Times New Roman" w:eastAsia="Times New Roman" w:hAnsi="Times New Roman" w:cs="Times New Roman"/>
                <w:noProof/>
                <w:sz w:val="18"/>
              </w:rPr>
            </w:pPr>
          </w:p>
        </w:tc>
        <w:tc>
          <w:tcPr>
            <w:tcW w:w="845" w:type="dxa"/>
            <w:shd w:val="clear" w:color="auto" w:fill="C6EFCE"/>
            <w:noWrap/>
          </w:tcPr>
          <w:p w14:paraId="3D587CAE"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422" w:type="dxa"/>
            <w:shd w:val="clear" w:color="auto" w:fill="C6EFCE"/>
            <w:noWrap/>
          </w:tcPr>
          <w:p w14:paraId="06B3ECC4" w14:textId="6BFEC711" w:rsidR="00D65CB4" w:rsidRPr="00BC4EE7" w:rsidRDefault="00572307">
            <w:pPr>
              <w:pStyle w:val="P68B1DB1-Normal12"/>
              <w:spacing w:after="0"/>
              <w:rPr>
                <w:rFonts w:cs="Times New Roman"/>
                <w:noProof/>
              </w:rPr>
            </w:pPr>
            <w:r w:rsidRPr="00BC4EE7">
              <w:rPr>
                <w:rFonts w:cs="Times New Roman"/>
                <w:noProof/>
              </w:rPr>
              <w:t>Q3</w:t>
            </w:r>
          </w:p>
        </w:tc>
        <w:tc>
          <w:tcPr>
            <w:tcW w:w="563" w:type="dxa"/>
            <w:shd w:val="clear" w:color="auto" w:fill="C6EFCE"/>
            <w:noWrap/>
          </w:tcPr>
          <w:p w14:paraId="3F8ECE9B" w14:textId="2827BD88" w:rsidR="00D65CB4" w:rsidRPr="00BC4EE7" w:rsidRDefault="00572307">
            <w:pPr>
              <w:pStyle w:val="P68B1DB1-Normal12"/>
              <w:spacing w:after="0"/>
              <w:rPr>
                <w:rFonts w:cs="Times New Roman"/>
                <w:noProof/>
              </w:rPr>
            </w:pPr>
            <w:r w:rsidRPr="00BC4EE7">
              <w:rPr>
                <w:rFonts w:cs="Times New Roman"/>
                <w:noProof/>
              </w:rPr>
              <w:t>2025</w:t>
            </w:r>
          </w:p>
        </w:tc>
        <w:tc>
          <w:tcPr>
            <w:tcW w:w="4783" w:type="dxa"/>
            <w:gridSpan w:val="2"/>
            <w:shd w:val="clear" w:color="auto" w:fill="C6EFCE"/>
            <w:noWrap/>
          </w:tcPr>
          <w:p w14:paraId="6498DB03" w14:textId="77777777" w:rsidR="00D65CB4" w:rsidRPr="00BC4EE7" w:rsidRDefault="00572307">
            <w:pPr>
              <w:pStyle w:val="P68B1DB1-Normal12"/>
              <w:spacing w:after="0"/>
              <w:rPr>
                <w:rFonts w:eastAsia="Times New Roman" w:cs="Times New Roman"/>
                <w:noProof/>
              </w:rPr>
            </w:pPr>
            <w:r w:rsidRPr="00BC4EE7">
              <w:rPr>
                <w:rFonts w:cs="Times New Roman"/>
                <w:noProof/>
              </w:rPr>
              <w:t>A költségvetés végrehajtása legalább 75,6 millió EUR, aminek jelentős javulást kell eredményeznie az ágazat digitalizációjában, nevezetesen: a) a sportszövetség digitalizálása (beleértve a költségvetés- és engedélykezelést) egy új informatikai rendszerrel; b) adatelemzésre szolgáló informatikai adattároló rendszer; C) a dolgok internete (IoT) nagy teljesítményű központokban; d) a versenytársi minták meghatározására vagy az egyes sportolók képzésének optimalizálására szolgáló rendszerek; 10 kutatási projekt közzététele az egészségfejlesztő testmozgás (HEPA) területén; az informatikai rendszer tesztelése a Sportgyógyászati Nemzeti Központban; elektronikus hivatal létrehozása a doppingellenes igazgatásban, beleértve a dömpingellenes ellenőrzések „papírmentes” rendszerének bevezetését; valamint h) a sportágazat digitalizálásához szükséges digitalizációs igények (például alkalmazások, sportszövetségek, sportgyógyászat, egészségvédő testmozgás és dopping elleni küzdelem) tanulmányozása.</w:t>
            </w:r>
          </w:p>
        </w:tc>
      </w:tr>
      <w:tr w:rsidR="00D65CB4" w:rsidRPr="00BC4EE7" w14:paraId="22C0CBB8" w14:textId="77777777" w:rsidTr="00572307">
        <w:trPr>
          <w:trHeight w:val="309"/>
        </w:trPr>
        <w:tc>
          <w:tcPr>
            <w:tcW w:w="703" w:type="dxa"/>
            <w:shd w:val="clear" w:color="auto" w:fill="C6EFCE"/>
            <w:noWrap/>
          </w:tcPr>
          <w:p w14:paraId="238CE4CC"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371</w:t>
            </w:r>
          </w:p>
        </w:tc>
        <w:tc>
          <w:tcPr>
            <w:tcW w:w="1026" w:type="dxa"/>
            <w:shd w:val="clear" w:color="auto" w:fill="C6EFCE"/>
            <w:noWrap/>
          </w:tcPr>
          <w:p w14:paraId="6F323562"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C26.I1</w:t>
            </w:r>
          </w:p>
        </w:tc>
        <w:tc>
          <w:tcPr>
            <w:tcW w:w="993" w:type="dxa"/>
            <w:shd w:val="clear" w:color="auto" w:fill="C6EFCE"/>
            <w:noWrap/>
          </w:tcPr>
          <w:p w14:paraId="7436D12E"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T</w:t>
            </w:r>
          </w:p>
        </w:tc>
        <w:tc>
          <w:tcPr>
            <w:tcW w:w="2203" w:type="dxa"/>
            <w:shd w:val="clear" w:color="auto" w:fill="C6EFCE"/>
            <w:noWrap/>
          </w:tcPr>
          <w:p w14:paraId="7603D728" w14:textId="77777777" w:rsidR="00D65CB4" w:rsidRPr="00BC4EE7" w:rsidRDefault="00572307">
            <w:pPr>
              <w:pStyle w:val="P68B1DB1-Normal12"/>
              <w:spacing w:after="0"/>
              <w:rPr>
                <w:rFonts w:eastAsia="Times New Roman" w:cs="Times New Roman"/>
                <w:noProof/>
              </w:rPr>
            </w:pPr>
            <w:r w:rsidRPr="00BC4EE7">
              <w:rPr>
                <w:rFonts w:cs="Times New Roman"/>
                <w:noProof/>
              </w:rPr>
              <w:t xml:space="preserve">Sportorvosi központok </w:t>
            </w:r>
          </w:p>
        </w:tc>
        <w:tc>
          <w:tcPr>
            <w:tcW w:w="1407" w:type="dxa"/>
            <w:shd w:val="clear" w:color="auto" w:fill="C6EFCE"/>
            <w:noWrap/>
          </w:tcPr>
          <w:p w14:paraId="0C6206B5"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w:t>
            </w:r>
          </w:p>
        </w:tc>
        <w:tc>
          <w:tcPr>
            <w:tcW w:w="986" w:type="dxa"/>
            <w:shd w:val="clear" w:color="auto" w:fill="C6EFCE"/>
            <w:noWrap/>
          </w:tcPr>
          <w:p w14:paraId="27A7F3E5"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Szám</w:t>
            </w:r>
          </w:p>
        </w:tc>
        <w:tc>
          <w:tcPr>
            <w:tcW w:w="1266" w:type="dxa"/>
            <w:shd w:val="clear" w:color="auto" w:fill="C6EFCE"/>
            <w:noWrap/>
          </w:tcPr>
          <w:p w14:paraId="71445D1F"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845" w:type="dxa"/>
            <w:shd w:val="clear" w:color="auto" w:fill="C6EFCE"/>
            <w:noWrap/>
          </w:tcPr>
          <w:p w14:paraId="66B572A8"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20</w:t>
            </w:r>
          </w:p>
        </w:tc>
        <w:tc>
          <w:tcPr>
            <w:tcW w:w="422" w:type="dxa"/>
            <w:shd w:val="clear" w:color="auto" w:fill="C6EFCE"/>
            <w:noWrap/>
          </w:tcPr>
          <w:p w14:paraId="59FC95BC"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Q4</w:t>
            </w:r>
          </w:p>
        </w:tc>
        <w:tc>
          <w:tcPr>
            <w:tcW w:w="563" w:type="dxa"/>
            <w:shd w:val="clear" w:color="auto" w:fill="C6EFCE"/>
            <w:noWrap/>
          </w:tcPr>
          <w:p w14:paraId="4A092D0E"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2023</w:t>
            </w:r>
          </w:p>
        </w:tc>
        <w:tc>
          <w:tcPr>
            <w:tcW w:w="4783" w:type="dxa"/>
            <w:gridSpan w:val="2"/>
            <w:shd w:val="clear" w:color="auto" w:fill="C6EFCE"/>
            <w:noWrap/>
          </w:tcPr>
          <w:p w14:paraId="5D12512B" w14:textId="77777777" w:rsidR="00D65CB4" w:rsidRPr="00BC4EE7" w:rsidRDefault="00572307">
            <w:pPr>
              <w:pStyle w:val="P68B1DB1-Normal12"/>
              <w:spacing w:after="0"/>
              <w:rPr>
                <w:rFonts w:eastAsia="Times New Roman" w:cs="Times New Roman"/>
                <w:noProof/>
              </w:rPr>
            </w:pPr>
            <w:r w:rsidRPr="00BC4EE7">
              <w:rPr>
                <w:rFonts w:cs="Times New Roman"/>
                <w:noProof/>
              </w:rPr>
              <w:t xml:space="preserve">A 23 sportorvosi központból legalább 20-nak az új informatikai technológiát kell használnia. </w:t>
            </w:r>
          </w:p>
        </w:tc>
      </w:tr>
      <w:tr w:rsidR="00D65CB4" w:rsidRPr="00BC4EE7" w14:paraId="536BCA59" w14:textId="77777777" w:rsidTr="00572307">
        <w:trPr>
          <w:trHeight w:val="309"/>
        </w:trPr>
        <w:tc>
          <w:tcPr>
            <w:tcW w:w="703" w:type="dxa"/>
            <w:shd w:val="clear" w:color="auto" w:fill="C6EFCE"/>
            <w:noWrap/>
          </w:tcPr>
          <w:p w14:paraId="5954174D"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372</w:t>
            </w:r>
          </w:p>
        </w:tc>
        <w:tc>
          <w:tcPr>
            <w:tcW w:w="1026" w:type="dxa"/>
            <w:shd w:val="clear" w:color="auto" w:fill="C6EFCE"/>
            <w:noWrap/>
          </w:tcPr>
          <w:p w14:paraId="0A0ECD6D"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C26.I1</w:t>
            </w:r>
          </w:p>
        </w:tc>
        <w:tc>
          <w:tcPr>
            <w:tcW w:w="993" w:type="dxa"/>
            <w:shd w:val="clear" w:color="auto" w:fill="C6EFCE"/>
            <w:noWrap/>
          </w:tcPr>
          <w:p w14:paraId="74EB8A03"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2203" w:type="dxa"/>
            <w:shd w:val="clear" w:color="auto" w:fill="C6EFCE"/>
            <w:noWrap/>
          </w:tcPr>
          <w:p w14:paraId="0B1A96DF" w14:textId="77777777" w:rsidR="00D65CB4" w:rsidRPr="00BC4EE7" w:rsidRDefault="00572307">
            <w:pPr>
              <w:pStyle w:val="P68B1DB1-Normal12"/>
              <w:spacing w:after="0"/>
              <w:rPr>
                <w:rFonts w:eastAsia="Times New Roman" w:cs="Times New Roman"/>
                <w:noProof/>
              </w:rPr>
            </w:pPr>
            <w:r w:rsidRPr="00BC4EE7">
              <w:rPr>
                <w:rFonts w:cs="Times New Roman"/>
                <w:noProof/>
              </w:rPr>
              <w:t>Informatikai projektek lezárása a nagy teljesítményű központokban és a doppingellenes igazgatásban</w:t>
            </w:r>
          </w:p>
        </w:tc>
        <w:tc>
          <w:tcPr>
            <w:tcW w:w="1407" w:type="dxa"/>
            <w:shd w:val="clear" w:color="auto" w:fill="C6EFCE"/>
            <w:noWrap/>
          </w:tcPr>
          <w:p w14:paraId="161A8D34"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Adatgyűjtés a nagy teljesítményű központoktól; Az AD kontrollalkalmazás tesztelésének megkezdése </w:t>
            </w:r>
          </w:p>
        </w:tc>
        <w:tc>
          <w:tcPr>
            <w:tcW w:w="986" w:type="dxa"/>
            <w:shd w:val="clear" w:color="auto" w:fill="C6EFCE"/>
            <w:noWrap/>
          </w:tcPr>
          <w:p w14:paraId="13A7D378"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 </w:t>
            </w:r>
          </w:p>
        </w:tc>
        <w:tc>
          <w:tcPr>
            <w:tcW w:w="1266" w:type="dxa"/>
            <w:shd w:val="clear" w:color="auto" w:fill="C6EFCE"/>
            <w:noWrap/>
          </w:tcPr>
          <w:p w14:paraId="28685253"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845" w:type="dxa"/>
            <w:shd w:val="clear" w:color="auto" w:fill="C6EFCE"/>
            <w:noWrap/>
          </w:tcPr>
          <w:p w14:paraId="452B08AD" w14:textId="77777777" w:rsidR="00D65CB4" w:rsidRPr="00BC4EE7" w:rsidRDefault="00572307">
            <w:pPr>
              <w:pStyle w:val="P68B1DB1-Normal12"/>
              <w:spacing w:after="0"/>
              <w:rPr>
                <w:rFonts w:eastAsia="Times New Roman" w:cs="Times New Roman"/>
                <w:noProof/>
              </w:rPr>
            </w:pPr>
            <w:r w:rsidRPr="00BC4EE7">
              <w:rPr>
                <w:rFonts w:cs="Times New Roman"/>
                <w:noProof/>
              </w:rPr>
              <w:t xml:space="preserve"> </w:t>
            </w:r>
          </w:p>
        </w:tc>
        <w:tc>
          <w:tcPr>
            <w:tcW w:w="422" w:type="dxa"/>
            <w:shd w:val="clear" w:color="auto" w:fill="C6EFCE"/>
            <w:noWrap/>
          </w:tcPr>
          <w:p w14:paraId="1EF8BC7A" w14:textId="179EC2AE" w:rsidR="00D65CB4" w:rsidRPr="00BC4EE7" w:rsidRDefault="00572307">
            <w:pPr>
              <w:pStyle w:val="P68B1DB1-Normal12"/>
              <w:spacing w:after="0"/>
              <w:jc w:val="center"/>
              <w:rPr>
                <w:rFonts w:eastAsia="Times New Roman" w:cs="Times New Roman"/>
                <w:noProof/>
              </w:rPr>
            </w:pPr>
            <w:r w:rsidRPr="00BC4EE7">
              <w:rPr>
                <w:rFonts w:cs="Times New Roman"/>
                <w:noProof/>
              </w:rPr>
              <w:t>KÉRDÉS</w:t>
            </w:r>
            <w:r w:rsidRPr="00BC4EE7">
              <w:rPr>
                <w:rFonts w:cs="Times New Roman"/>
                <w:noProof/>
                <w:shd w:val="clear" w:color="auto" w:fill="E6E6E6"/>
              </w:rPr>
              <w:t>:</w:t>
            </w:r>
          </w:p>
        </w:tc>
        <w:tc>
          <w:tcPr>
            <w:tcW w:w="563" w:type="dxa"/>
            <w:shd w:val="clear" w:color="auto" w:fill="C6EFCE"/>
            <w:noWrap/>
          </w:tcPr>
          <w:p w14:paraId="47634FD0" w14:textId="409F507F" w:rsidR="00D65CB4" w:rsidRPr="00BC4EE7" w:rsidRDefault="00572307">
            <w:pPr>
              <w:pStyle w:val="P68B1DB1-Normal12"/>
              <w:spacing w:after="0"/>
              <w:jc w:val="center"/>
              <w:rPr>
                <w:rFonts w:eastAsia="Segoe UI" w:cs="Times New Roman"/>
                <w:noProof/>
              </w:rPr>
            </w:pPr>
            <w:r w:rsidRPr="00BC4EE7">
              <w:rPr>
                <w:rFonts w:cs="Times New Roman"/>
                <w:noProof/>
              </w:rPr>
              <w:t>202</w:t>
            </w:r>
            <w:r w:rsidRPr="00BC4EE7">
              <w:rPr>
                <w:rFonts w:cs="Times New Roman"/>
                <w:noProof/>
                <w:shd w:val="clear" w:color="auto" w:fill="E6E6E6"/>
              </w:rPr>
              <w:t>5</w:t>
            </w:r>
          </w:p>
        </w:tc>
        <w:tc>
          <w:tcPr>
            <w:tcW w:w="4783" w:type="dxa"/>
            <w:gridSpan w:val="2"/>
            <w:shd w:val="clear" w:color="auto" w:fill="C6EFCE"/>
            <w:noWrap/>
          </w:tcPr>
          <w:p w14:paraId="47F9C0F1" w14:textId="77777777" w:rsidR="00D65CB4" w:rsidRPr="00BC4EE7" w:rsidRDefault="00572307">
            <w:pPr>
              <w:pStyle w:val="P68B1DB1-Normal12"/>
              <w:spacing w:after="0"/>
              <w:rPr>
                <w:rFonts w:eastAsia="Times New Roman" w:cs="Times New Roman"/>
                <w:noProof/>
              </w:rPr>
            </w:pPr>
            <w:r w:rsidRPr="00BC4EE7">
              <w:rPr>
                <w:rFonts w:cs="Times New Roman"/>
                <w:noProof/>
              </w:rPr>
              <w:t xml:space="preserve">Informatikai rendszerfejlesztés (beleértve a dolgok internetét is) befejezése a nagy teljesítményű központokban. Elektronikus hivatal létrehozása a doppingellenes igazgatásban, beleértve a dömpingellenes ellenőrzések „papírmentes” rendszerének bevezetését. </w:t>
            </w:r>
          </w:p>
        </w:tc>
      </w:tr>
      <w:tr w:rsidR="00D65CB4" w:rsidRPr="00BC4EE7" w14:paraId="40394112" w14:textId="77777777" w:rsidTr="00572307">
        <w:trPr>
          <w:trHeight w:val="309"/>
        </w:trPr>
        <w:tc>
          <w:tcPr>
            <w:tcW w:w="703" w:type="dxa"/>
            <w:shd w:val="clear" w:color="auto" w:fill="C6EFCE"/>
            <w:noWrap/>
          </w:tcPr>
          <w:p w14:paraId="693E8847"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373</w:t>
            </w:r>
          </w:p>
        </w:tc>
        <w:tc>
          <w:tcPr>
            <w:tcW w:w="1026" w:type="dxa"/>
            <w:shd w:val="clear" w:color="auto" w:fill="C6EFCE"/>
            <w:noWrap/>
          </w:tcPr>
          <w:p w14:paraId="1EFF04BB"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C26.I2</w:t>
            </w:r>
          </w:p>
        </w:tc>
        <w:tc>
          <w:tcPr>
            <w:tcW w:w="993" w:type="dxa"/>
            <w:shd w:val="clear" w:color="auto" w:fill="C6EFCE"/>
            <w:noWrap/>
          </w:tcPr>
          <w:p w14:paraId="386533DB"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T</w:t>
            </w:r>
          </w:p>
        </w:tc>
        <w:tc>
          <w:tcPr>
            <w:tcW w:w="2203" w:type="dxa"/>
            <w:shd w:val="clear" w:color="auto" w:fill="C6EFCE"/>
            <w:noWrap/>
          </w:tcPr>
          <w:p w14:paraId="1D831BB2" w14:textId="77777777" w:rsidR="00D65CB4" w:rsidRPr="00BC4EE7" w:rsidRDefault="00572307">
            <w:pPr>
              <w:pStyle w:val="P68B1DB1-Normal12"/>
              <w:spacing w:after="0"/>
              <w:rPr>
                <w:rFonts w:eastAsia="Times New Roman" w:cs="Times New Roman"/>
                <w:noProof/>
              </w:rPr>
            </w:pPr>
            <w:r w:rsidRPr="00BC4EE7">
              <w:rPr>
                <w:rFonts w:cs="Times New Roman"/>
                <w:noProof/>
              </w:rPr>
              <w:t xml:space="preserve">A sport- és sportlétesítmények műszaki központjainak felújítása és fejlesztése </w:t>
            </w:r>
          </w:p>
        </w:tc>
        <w:tc>
          <w:tcPr>
            <w:tcW w:w="1407" w:type="dxa"/>
            <w:shd w:val="clear" w:color="auto" w:fill="C6EFCE"/>
            <w:noWrap/>
          </w:tcPr>
          <w:p w14:paraId="49CA4BE9"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 </w:t>
            </w:r>
          </w:p>
        </w:tc>
        <w:tc>
          <w:tcPr>
            <w:tcW w:w="986" w:type="dxa"/>
            <w:shd w:val="clear" w:color="auto" w:fill="C6EFCE"/>
            <w:noWrap/>
          </w:tcPr>
          <w:p w14:paraId="70CF1816"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Szám</w:t>
            </w:r>
          </w:p>
        </w:tc>
        <w:tc>
          <w:tcPr>
            <w:tcW w:w="1266" w:type="dxa"/>
            <w:shd w:val="clear" w:color="auto" w:fill="C6EFCE"/>
            <w:noWrap/>
          </w:tcPr>
          <w:p w14:paraId="53DBFA27"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0</w:t>
            </w:r>
          </w:p>
        </w:tc>
        <w:tc>
          <w:tcPr>
            <w:tcW w:w="845" w:type="dxa"/>
            <w:shd w:val="clear" w:color="auto" w:fill="C6EFCE"/>
            <w:noWrap/>
          </w:tcPr>
          <w:p w14:paraId="3918953E"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95</w:t>
            </w:r>
          </w:p>
        </w:tc>
        <w:tc>
          <w:tcPr>
            <w:tcW w:w="422" w:type="dxa"/>
            <w:shd w:val="clear" w:color="auto" w:fill="C6EFCE"/>
            <w:noWrap/>
          </w:tcPr>
          <w:p w14:paraId="7F2234A6"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Q4</w:t>
            </w:r>
          </w:p>
        </w:tc>
        <w:tc>
          <w:tcPr>
            <w:tcW w:w="563" w:type="dxa"/>
            <w:shd w:val="clear" w:color="auto" w:fill="C6EFCE"/>
            <w:noWrap/>
          </w:tcPr>
          <w:p w14:paraId="5E4ACF4C"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2025</w:t>
            </w:r>
          </w:p>
        </w:tc>
        <w:tc>
          <w:tcPr>
            <w:tcW w:w="4783" w:type="dxa"/>
            <w:gridSpan w:val="2"/>
            <w:shd w:val="clear" w:color="auto" w:fill="C6EFCE"/>
            <w:noWrap/>
          </w:tcPr>
          <w:p w14:paraId="76FF6E59" w14:textId="3ADFF652" w:rsidR="00D65CB4" w:rsidRPr="00BC4EE7" w:rsidRDefault="00572307">
            <w:pPr>
              <w:pStyle w:val="P68B1DB1-Normal12"/>
              <w:spacing w:after="0"/>
              <w:rPr>
                <w:rFonts w:eastAsia="Times New Roman" w:cs="Times New Roman"/>
                <w:noProof/>
              </w:rPr>
            </w:pPr>
            <w:r w:rsidRPr="00BC4EE7">
              <w:rPr>
                <w:rFonts w:cs="Times New Roman"/>
                <w:noProof/>
              </w:rPr>
              <w:t>Legalább 40 műszaki központot és 45 sportlétesítményt fel kellújítani, és a digitalizáció és/vagy a hozzáférhetőség javítása révén javítani kell az energiahatékonyságot és/vagy a használat optimalizálását. A munkálatok befejezésének igazolási módja a munkálatok befejezéséről szóló igazolás. Az energiahatékonysággal kapcsolatos beavatkozásoknak átlagosan legalább 30%-os primerenergia-kereslet-csökkentést kell elérniük.  A létesítmények jegyzékét nyilvánosságra kell hozni.</w:t>
            </w:r>
          </w:p>
        </w:tc>
      </w:tr>
      <w:tr w:rsidR="00D65CB4" w:rsidRPr="00BC4EE7" w14:paraId="4BDA43E6" w14:textId="77777777" w:rsidTr="00572307">
        <w:trPr>
          <w:trHeight w:val="309"/>
        </w:trPr>
        <w:tc>
          <w:tcPr>
            <w:tcW w:w="703" w:type="dxa"/>
            <w:shd w:val="clear" w:color="auto" w:fill="C6EFCE"/>
            <w:noWrap/>
          </w:tcPr>
          <w:p w14:paraId="6F822960"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374</w:t>
            </w:r>
          </w:p>
        </w:tc>
        <w:tc>
          <w:tcPr>
            <w:tcW w:w="1026" w:type="dxa"/>
            <w:shd w:val="clear" w:color="auto" w:fill="C6EFCE"/>
            <w:noWrap/>
          </w:tcPr>
          <w:p w14:paraId="6F7A3FE8"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C26.I3</w:t>
            </w:r>
          </w:p>
        </w:tc>
        <w:tc>
          <w:tcPr>
            <w:tcW w:w="993" w:type="dxa"/>
            <w:shd w:val="clear" w:color="auto" w:fill="C6EFCE"/>
            <w:noWrap/>
          </w:tcPr>
          <w:p w14:paraId="3FF2A72F"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2203" w:type="dxa"/>
            <w:shd w:val="clear" w:color="auto" w:fill="C6EFCE"/>
            <w:noWrap/>
          </w:tcPr>
          <w:p w14:paraId="5B04924F" w14:textId="77777777" w:rsidR="00D65CB4" w:rsidRPr="00BC4EE7" w:rsidRDefault="00572307">
            <w:pPr>
              <w:pStyle w:val="P68B1DB1-Normal12"/>
              <w:spacing w:after="0"/>
              <w:rPr>
                <w:rFonts w:eastAsia="Times New Roman" w:cs="Times New Roman"/>
                <w:noProof/>
              </w:rPr>
            </w:pPr>
            <w:r w:rsidRPr="00BC4EE7">
              <w:rPr>
                <w:rFonts w:cs="Times New Roman"/>
                <w:noProof/>
              </w:rPr>
              <w:t xml:space="preserve">A sporton belüli egyenlőség előmozdítását célzó projektek </w:t>
            </w:r>
          </w:p>
        </w:tc>
        <w:tc>
          <w:tcPr>
            <w:tcW w:w="1407" w:type="dxa"/>
            <w:shd w:val="clear" w:color="auto" w:fill="C6EFCE"/>
            <w:noWrap/>
          </w:tcPr>
          <w:p w14:paraId="596DD18A"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A Hivatalos Lapban való közzététel</w:t>
            </w:r>
          </w:p>
        </w:tc>
        <w:tc>
          <w:tcPr>
            <w:tcW w:w="986" w:type="dxa"/>
            <w:shd w:val="clear" w:color="auto" w:fill="C6EFCE"/>
            <w:noWrap/>
          </w:tcPr>
          <w:p w14:paraId="650C8A1A"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 </w:t>
            </w:r>
          </w:p>
        </w:tc>
        <w:tc>
          <w:tcPr>
            <w:tcW w:w="1266" w:type="dxa"/>
            <w:shd w:val="clear" w:color="auto" w:fill="C6EFCE"/>
            <w:noWrap/>
          </w:tcPr>
          <w:p w14:paraId="2D1AE1A9" w14:textId="77777777" w:rsidR="00D65CB4" w:rsidRPr="00BC4EE7" w:rsidRDefault="00D65CB4">
            <w:pPr>
              <w:tabs>
                <w:tab w:val="center" w:pos="605"/>
                <w:tab w:val="right" w:pos="1210"/>
              </w:tabs>
              <w:spacing w:after="0"/>
              <w:rPr>
                <w:rFonts w:ascii="Times New Roman" w:eastAsia="Times New Roman" w:hAnsi="Times New Roman" w:cs="Times New Roman"/>
                <w:noProof/>
                <w:sz w:val="18"/>
              </w:rPr>
            </w:pPr>
          </w:p>
        </w:tc>
        <w:tc>
          <w:tcPr>
            <w:tcW w:w="845" w:type="dxa"/>
            <w:shd w:val="clear" w:color="auto" w:fill="C6EFCE"/>
            <w:noWrap/>
          </w:tcPr>
          <w:p w14:paraId="7B4FDE8B"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422" w:type="dxa"/>
            <w:shd w:val="clear" w:color="auto" w:fill="C6EFCE"/>
            <w:noWrap/>
          </w:tcPr>
          <w:p w14:paraId="421965A5"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Q2</w:t>
            </w:r>
          </w:p>
        </w:tc>
        <w:tc>
          <w:tcPr>
            <w:tcW w:w="563" w:type="dxa"/>
            <w:shd w:val="clear" w:color="auto" w:fill="C6EFCE"/>
            <w:noWrap/>
          </w:tcPr>
          <w:p w14:paraId="635D3B30"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2022</w:t>
            </w:r>
          </w:p>
        </w:tc>
        <w:tc>
          <w:tcPr>
            <w:tcW w:w="4783" w:type="dxa"/>
            <w:gridSpan w:val="2"/>
            <w:shd w:val="clear" w:color="auto" w:fill="C6EFCE"/>
            <w:noWrap/>
          </w:tcPr>
          <w:p w14:paraId="0AB48EE3" w14:textId="77777777" w:rsidR="00D65CB4" w:rsidRPr="00BC4EE7" w:rsidRDefault="00572307">
            <w:pPr>
              <w:pStyle w:val="P68B1DB1-Normal12"/>
              <w:spacing w:after="0"/>
              <w:rPr>
                <w:rFonts w:eastAsia="Times New Roman" w:cs="Times New Roman"/>
                <w:noProof/>
              </w:rPr>
            </w:pPr>
            <w:r w:rsidRPr="00BC4EE7">
              <w:rPr>
                <w:rFonts w:cs="Times New Roman"/>
                <w:noProof/>
              </w:rPr>
              <w:t>A CSD (Nemzeti Sporttanács) pályázati felhívást ítél oda a Hivatalos Lapban, amely várhatóan legalább 15 kedvezményezett projektet választ ki a sporton belüli egyenlőség előmozdítására, nevezetesen képzés, a női sportok professzionalizálása és a női sportok láthatósága révén. A felhívás összesített költségvetése 11 700 000 EUR.</w:t>
            </w:r>
          </w:p>
        </w:tc>
      </w:tr>
      <w:tr w:rsidR="00D65CB4" w:rsidRPr="00BC4EE7" w14:paraId="6370569A" w14:textId="77777777" w:rsidTr="00572307">
        <w:trPr>
          <w:trHeight w:val="309"/>
        </w:trPr>
        <w:tc>
          <w:tcPr>
            <w:tcW w:w="703" w:type="dxa"/>
            <w:shd w:val="clear" w:color="auto" w:fill="C6EFCE"/>
            <w:noWrap/>
          </w:tcPr>
          <w:p w14:paraId="0F6BB98E"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375</w:t>
            </w:r>
          </w:p>
        </w:tc>
        <w:tc>
          <w:tcPr>
            <w:tcW w:w="1026" w:type="dxa"/>
            <w:shd w:val="clear" w:color="auto" w:fill="C6EFCE"/>
            <w:noWrap/>
          </w:tcPr>
          <w:p w14:paraId="32BA3EC0"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C26.I3</w:t>
            </w:r>
          </w:p>
        </w:tc>
        <w:tc>
          <w:tcPr>
            <w:tcW w:w="993" w:type="dxa"/>
            <w:shd w:val="clear" w:color="auto" w:fill="C6EFCE"/>
            <w:noWrap/>
          </w:tcPr>
          <w:p w14:paraId="2E060E23"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T</w:t>
            </w:r>
          </w:p>
        </w:tc>
        <w:tc>
          <w:tcPr>
            <w:tcW w:w="2203" w:type="dxa"/>
            <w:shd w:val="clear" w:color="auto" w:fill="C6EFCE"/>
            <w:noWrap/>
          </w:tcPr>
          <w:p w14:paraId="39592C02" w14:textId="77777777" w:rsidR="00D65CB4" w:rsidRPr="00BC4EE7" w:rsidRDefault="00572307">
            <w:pPr>
              <w:pStyle w:val="P68B1DB1-Normal12"/>
              <w:spacing w:after="0"/>
              <w:rPr>
                <w:rFonts w:eastAsia="Times New Roman" w:cs="Times New Roman"/>
                <w:noProof/>
              </w:rPr>
            </w:pPr>
            <w:r w:rsidRPr="00BC4EE7">
              <w:rPr>
                <w:rFonts w:cs="Times New Roman"/>
                <w:noProof/>
              </w:rPr>
              <w:t>A sportra vonatkozó szociális terv intézkedéseinek lezárása</w:t>
            </w:r>
          </w:p>
        </w:tc>
        <w:tc>
          <w:tcPr>
            <w:tcW w:w="1407" w:type="dxa"/>
            <w:shd w:val="clear" w:color="auto" w:fill="C6EFCE"/>
            <w:noWrap/>
          </w:tcPr>
          <w:p w14:paraId="2CFA13A8"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 </w:t>
            </w:r>
          </w:p>
        </w:tc>
        <w:tc>
          <w:tcPr>
            <w:tcW w:w="986" w:type="dxa"/>
            <w:shd w:val="clear" w:color="auto" w:fill="C6EFCE"/>
            <w:noWrap/>
          </w:tcPr>
          <w:p w14:paraId="10D0E016"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Szám</w:t>
            </w:r>
          </w:p>
        </w:tc>
        <w:tc>
          <w:tcPr>
            <w:tcW w:w="1266" w:type="dxa"/>
            <w:shd w:val="clear" w:color="auto" w:fill="C6EFCE"/>
            <w:noWrap/>
          </w:tcPr>
          <w:p w14:paraId="38316D7B"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0</w:t>
            </w:r>
          </w:p>
        </w:tc>
        <w:tc>
          <w:tcPr>
            <w:tcW w:w="845" w:type="dxa"/>
            <w:shd w:val="clear" w:color="auto" w:fill="C6EFCE"/>
            <w:noWrap/>
          </w:tcPr>
          <w:p w14:paraId="5B41D815"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40</w:t>
            </w:r>
          </w:p>
        </w:tc>
        <w:tc>
          <w:tcPr>
            <w:tcW w:w="422" w:type="dxa"/>
            <w:shd w:val="clear" w:color="auto" w:fill="C6EFCE"/>
            <w:noWrap/>
          </w:tcPr>
          <w:p w14:paraId="080B73A6"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Q4</w:t>
            </w:r>
          </w:p>
        </w:tc>
        <w:tc>
          <w:tcPr>
            <w:tcW w:w="563" w:type="dxa"/>
            <w:shd w:val="clear" w:color="auto" w:fill="C6EFCE"/>
            <w:noWrap/>
          </w:tcPr>
          <w:p w14:paraId="3A606EDD"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2023</w:t>
            </w:r>
          </w:p>
        </w:tc>
        <w:tc>
          <w:tcPr>
            <w:tcW w:w="4783" w:type="dxa"/>
            <w:gridSpan w:val="2"/>
            <w:shd w:val="clear" w:color="auto" w:fill="C6EFCE"/>
            <w:noWrap/>
          </w:tcPr>
          <w:p w14:paraId="2089D9AC" w14:textId="77777777" w:rsidR="00D65CB4" w:rsidRPr="00BC4EE7" w:rsidRDefault="00572307">
            <w:pPr>
              <w:pStyle w:val="P68B1DB1-Normal12"/>
              <w:spacing w:after="0"/>
              <w:rPr>
                <w:rFonts w:eastAsia="Times New Roman" w:cs="Times New Roman"/>
                <w:noProof/>
              </w:rPr>
            </w:pPr>
            <w:r w:rsidRPr="00BC4EE7">
              <w:rPr>
                <w:rFonts w:cs="Times New Roman"/>
                <w:noProof/>
              </w:rPr>
              <w:t>A sportra vonatkozó szociális terv intézkedéseinek lezárása, beleértve legalább 40 sportlétesítmény felújítását, valamint a nők hivatásos sportban való jelenlétének előmozdítását célzó intézkedéseket (képzési programok, marketingkampányok és tanulmányok). Az energiahatékonysággal kapcsolatos beavatkozásoknak átlagosan legalább 30%-os primerenergia-kereslet-csökkentést kell elérniük. A létesítmények jegyzékét nyilvánosságra kell hozni.</w:t>
            </w:r>
          </w:p>
        </w:tc>
      </w:tr>
    </w:tbl>
    <w:p w14:paraId="67B737D8" w14:textId="77777777" w:rsidR="00D65CB4" w:rsidRPr="00BC4EE7" w:rsidRDefault="00D65CB4">
      <w:pPr>
        <w:pStyle w:val="SectionTitle"/>
        <w:rPr>
          <w:rFonts w:ascii="Times New Roman" w:hAnsi="Times New Roman" w:cs="Times New Roman"/>
          <w:noProof/>
        </w:rPr>
        <w:sectPr w:rsidR="00D65CB4" w:rsidRPr="00BC4EE7" w:rsidSect="00B511EF">
          <w:headerReference w:type="even" r:id="rId520"/>
          <w:headerReference w:type="default" r:id="rId521"/>
          <w:footerReference w:type="even" r:id="rId522"/>
          <w:footerReference w:type="default" r:id="rId523"/>
          <w:headerReference w:type="first" r:id="rId524"/>
          <w:footerReference w:type="first" r:id="rId525"/>
          <w:pgSz w:w="16839" w:h="11907" w:orient="landscape"/>
          <w:pgMar w:top="1134" w:right="1134" w:bottom="1134" w:left="1134" w:header="567" w:footer="567" w:gutter="0"/>
          <w:cols w:space="720"/>
          <w:docGrid w:linePitch="360"/>
        </w:sectPr>
      </w:pPr>
    </w:p>
    <w:p w14:paraId="7AE65ADE" w14:textId="77777777" w:rsidR="00D65CB4" w:rsidRPr="00BC4EE7" w:rsidRDefault="00572307">
      <w:pPr>
        <w:pStyle w:val="P68B1DB1-Heading12"/>
        <w:rPr>
          <w:rFonts w:cs="Times New Roman"/>
          <w:noProof/>
        </w:rPr>
      </w:pPr>
      <w:r w:rsidRPr="00BC4EE7">
        <w:rPr>
          <w:rFonts w:cs="Times New Roman"/>
          <w:noProof/>
        </w:rPr>
        <w:t>AA. KOMPONENS: Az adócsalás megelőzésére és leküzdésére irányuló intézkedések és fellépés</w:t>
      </w:r>
    </w:p>
    <w:p w14:paraId="7238EB16" w14:textId="77777777" w:rsidR="00D65CB4" w:rsidRPr="00BC4EE7" w:rsidRDefault="00572307">
      <w:pPr>
        <w:pStyle w:val="P68B1DB1-Text118"/>
        <w:ind w:left="0"/>
        <w:rPr>
          <w:rFonts w:cs="Times New Roman"/>
          <w:noProof/>
        </w:rPr>
      </w:pPr>
      <w:r w:rsidRPr="00BC4EE7">
        <w:rPr>
          <w:rFonts w:cs="Times New Roman"/>
          <w:noProof/>
        </w:rPr>
        <w:t xml:space="preserve">A spanyol helyreállítási és rezilienciaépítési terv ezen komponense az adócsalás és az adókikerülés megelőzésével és leküzdésével kapcsolatos kihívásokkal foglalkozik. A komponens célja az adózási fegyelem növelése és több adóbevétel beszedése. A komponens többek között a költségvetési és közbeszerzési kereteknek a kormányzat valamennyi szintjén történő megerősítéséről szóló országspecifikus ajánlásokkal (2019. évi 1. országspecifikus ajánlás), valamint – amennyiben a gazdasági feltételek lehetővé teszik – a prudens középtávú költségvetési pozíció elérését és az adósság fenntarthatóságának biztosítását célzó költségvetési politikák folytatásával foglalkozik, miközben ösztönzi a beruházásokat (2020. évi 1. országspecifikus ajánlás). </w:t>
      </w:r>
    </w:p>
    <w:p w14:paraId="0C9F8F53" w14:textId="77777777" w:rsidR="00D65CB4" w:rsidRPr="00BC4EE7" w:rsidRDefault="00572307">
      <w:pPr>
        <w:pStyle w:val="P68B1DB1-Text118"/>
        <w:ind w:left="0"/>
        <w:rPr>
          <w:rFonts w:cs="Times New Roman"/>
          <w:noProof/>
        </w:rPr>
      </w:pPr>
      <w:r w:rsidRPr="00BC4EE7">
        <w:rPr>
          <w:rFonts w:cs="Times New Roman"/>
          <w:noProof/>
        </w:rPr>
        <w:t>A jelentős károkozás elkerülését célzó elvről szóló technikai iránymutatásnak (2021/C58/01) megfelelően a helyreállítási és rezilienciaépítési tervben meghatározott intézkedések leírását és a helyreállítási és rezilienciaépítési tervben meghatározott enyhítő lépéseket figyelembe véve ebben a komponensben várhatóan egyetlen intézkedés sem sérti jelentős mértékben az (EU) 2020/852 rendelet 17. cikke szerinti környezeti célkitűzéseket.</w:t>
      </w:r>
    </w:p>
    <w:p w14:paraId="604A1F05" w14:textId="77777777" w:rsidR="00D65CB4" w:rsidRPr="00BC4EE7" w:rsidRDefault="00572307">
      <w:pPr>
        <w:pStyle w:val="Text1"/>
        <w:ind w:left="709"/>
        <w:rPr>
          <w:rFonts w:ascii="Times New Roman" w:hAnsi="Times New Roman" w:cs="Times New Roman"/>
          <w:b/>
          <w:i/>
          <w:noProof/>
        </w:rPr>
      </w:pPr>
      <w:r w:rsidRPr="00BC4EE7">
        <w:rPr>
          <w:rFonts w:ascii="Times New Roman" w:hAnsi="Times New Roman" w:cs="Times New Roman"/>
          <w:b/>
          <w:noProof/>
          <w:u w:val="single"/>
        </w:rPr>
        <w:t xml:space="preserve">AA.1. </w:t>
      </w:r>
      <w:r w:rsidRPr="00BC4EE7">
        <w:rPr>
          <w:rFonts w:ascii="Times New Roman" w:hAnsi="Times New Roman" w:cs="Times New Roman"/>
          <w:noProof/>
        </w:rPr>
        <w:t xml:space="preserve"> </w:t>
      </w:r>
      <w:r w:rsidRPr="00BC4EE7">
        <w:rPr>
          <w:rFonts w:ascii="Times New Roman" w:hAnsi="Times New Roman" w:cs="Times New Roman"/>
          <w:b/>
          <w:noProof/>
          <w:u w:val="single"/>
        </w:rPr>
        <w:t>Vissza nem térítendő pénzügyi támogatás – a reformok és beruházások ismertetése</w:t>
      </w:r>
    </w:p>
    <w:p w14:paraId="1694E1AE"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Reform (C27.R1) – A csalás elleni törvény elfogadása</w:t>
      </w:r>
    </w:p>
    <w:p w14:paraId="68A28209"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 reform célja a belső piac működését közvetlenül érintő adókikerülési gyakorlatok elleni szabályok megerősítése, valamint a közvetett és közvetlen adók, egyes helyi önkormányzati adók és szerencsejáték-szabályozás módosítása. A reform olyan változtatásokat vezet be a rendeletbe, amelyek célja az igazságos adózás paramétereinek megállapítása, valamint az adóellenőrzés megerősítése révén az adócsalás megelőzését és az ellene való küzdelmet célzó intézkedések megkönnyítése.</w:t>
      </w:r>
    </w:p>
    <w:p w14:paraId="3D638B74"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reform az adócsalás és adókijátszás elleni törvény elfogadásából és hatálybalépéséből áll, amely:</w:t>
      </w:r>
    </w:p>
    <w:p w14:paraId="2EE9C878" w14:textId="77777777" w:rsidR="00D65CB4" w:rsidRPr="00BC4EE7" w:rsidRDefault="00572307">
      <w:pPr>
        <w:pStyle w:val="P68B1DB1-ListParagraph6"/>
        <w:numPr>
          <w:ilvl w:val="0"/>
          <w:numId w:val="162"/>
        </w:numPr>
        <w:spacing w:before="120" w:after="120" w:line="240" w:lineRule="auto"/>
        <w:jc w:val="both"/>
        <w:rPr>
          <w:rFonts w:cs="Times New Roman"/>
          <w:noProof/>
        </w:rPr>
      </w:pPr>
      <w:r w:rsidRPr="00BC4EE7">
        <w:rPr>
          <w:rFonts w:cs="Times New Roman"/>
          <w:noProof/>
        </w:rPr>
        <w:t>Kibővíti azon tranzakciók körét, amelyek esetében az elektronikus fizetések engedélyezettek (aláírások és szakemberek), és jogi küszöbértéket állapít meg a készpénzfizetésekre vonatkozóan;</w:t>
      </w:r>
    </w:p>
    <w:p w14:paraId="59BC6993" w14:textId="77777777" w:rsidR="00D65CB4" w:rsidRPr="00BC4EE7" w:rsidRDefault="00572307">
      <w:pPr>
        <w:pStyle w:val="P68B1DB1-ListParagraph6"/>
        <w:numPr>
          <w:ilvl w:val="0"/>
          <w:numId w:val="162"/>
        </w:numPr>
        <w:spacing w:before="120" w:after="120" w:line="240" w:lineRule="auto"/>
        <w:jc w:val="both"/>
        <w:rPr>
          <w:rFonts w:cs="Times New Roman"/>
          <w:noProof/>
        </w:rPr>
      </w:pPr>
      <w:r w:rsidRPr="00BC4EE7">
        <w:rPr>
          <w:rFonts w:cs="Times New Roman"/>
          <w:noProof/>
        </w:rPr>
        <w:t>Aktualizálja az adóparadicsomok listáját az átláthatóság, az adózás mellőzése és a káros adórendszerek kritériumainak megfelelően;</w:t>
      </w:r>
    </w:p>
    <w:p w14:paraId="2C2B1F45" w14:textId="77777777" w:rsidR="00D65CB4" w:rsidRPr="00BC4EE7" w:rsidRDefault="00572307">
      <w:pPr>
        <w:pStyle w:val="P68B1DB1-ListParagraph6"/>
        <w:numPr>
          <w:ilvl w:val="0"/>
          <w:numId w:val="162"/>
        </w:numPr>
        <w:spacing w:before="120" w:after="120" w:line="240" w:lineRule="auto"/>
        <w:jc w:val="both"/>
        <w:rPr>
          <w:rFonts w:cs="Times New Roman"/>
          <w:noProof/>
        </w:rPr>
      </w:pPr>
      <w:r w:rsidRPr="00BC4EE7">
        <w:rPr>
          <w:rFonts w:cs="Times New Roman"/>
          <w:noProof/>
        </w:rPr>
        <w:t>Módosítja az adóhátralékos emberekre vonatkozó szabályokat;</w:t>
      </w:r>
    </w:p>
    <w:p w14:paraId="0D5B5F01" w14:textId="77777777" w:rsidR="00D65CB4" w:rsidRPr="00BC4EE7" w:rsidRDefault="00572307">
      <w:pPr>
        <w:pStyle w:val="P68B1DB1-ListParagraph6"/>
        <w:numPr>
          <w:ilvl w:val="0"/>
          <w:numId w:val="162"/>
        </w:numPr>
        <w:spacing w:before="120" w:after="120" w:line="240" w:lineRule="auto"/>
        <w:jc w:val="both"/>
        <w:rPr>
          <w:rFonts w:cs="Times New Roman"/>
          <w:noProof/>
        </w:rPr>
      </w:pPr>
      <w:r w:rsidRPr="00BC4EE7">
        <w:rPr>
          <w:rFonts w:cs="Times New Roman"/>
          <w:noProof/>
        </w:rPr>
        <w:t>Betiltja a „kettős felhasználású szoftvereket”;</w:t>
      </w:r>
    </w:p>
    <w:p w14:paraId="0558610A" w14:textId="77777777" w:rsidR="00D65CB4" w:rsidRPr="00BC4EE7" w:rsidRDefault="00572307">
      <w:pPr>
        <w:pStyle w:val="P68B1DB1-ListParagraph6"/>
        <w:numPr>
          <w:ilvl w:val="0"/>
          <w:numId w:val="162"/>
        </w:numPr>
        <w:spacing w:before="120" w:after="120" w:line="240" w:lineRule="auto"/>
        <w:jc w:val="both"/>
        <w:rPr>
          <w:rFonts w:cs="Times New Roman"/>
          <w:noProof/>
        </w:rPr>
      </w:pPr>
      <w:r w:rsidRPr="00BC4EE7">
        <w:rPr>
          <w:rFonts w:cs="Times New Roman"/>
          <w:noProof/>
        </w:rPr>
        <w:t>Az ingatlanadó területén bevezeti az adóalapra vonatkozó referenciaértéket.</w:t>
      </w:r>
    </w:p>
    <w:p w14:paraId="2A8F6E89"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törvényt 2021. június 30-ig kell elfogadni. A törvény 2022. június 30-án lép hatályba. A reform a törvény 2022. december 31-ig történő ideiglenes értékelését irányozza elő, és ezen értékelés alapján 2023-ban módosításokra kerülhet sor.</w:t>
      </w:r>
    </w:p>
    <w:p w14:paraId="5B90568F"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Reform (C27.R2) – Az adóhatóság korszerűsítése</w:t>
      </w:r>
    </w:p>
    <w:p w14:paraId="4B558F27"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Az adóhatóság feladata az állami adórendszer és a vámrendszer végrehajtása, és tevékenységét a 2020–2023-as stratégiai terv keretében végzi. Ezt a stratégiai tervet, amely nagymértékben támaszkodik az informatikai megoldások használatára, minden évben felülvizsgálják annak biztosítása érdekében, hogy igazodjon az új adópolitikai fejleményekhez, az információforrásokhoz, az adófizetők magatartásához és a technológiai fejlődéshez. E reform célja a 2020–2023-as időszakra vonatkozó stratégiai terv végrehajtásának és éves felülvizsgálatának támogatása, amelynek célja az ügynökség szolgáltatásnyújtásának korszerűsítése az adócsalás és az adókijátszás csökkentése érdekében. A 2. reform szorosan összefügg az e komponenst érintő egyéb reformokkal. A reform a következőket foglalja magában: </w:t>
      </w:r>
    </w:p>
    <w:p w14:paraId="2C61B7E4" w14:textId="77777777" w:rsidR="00D65CB4" w:rsidRPr="00BC4EE7" w:rsidRDefault="00572307">
      <w:pPr>
        <w:pStyle w:val="P68B1DB1-ListParagraph6"/>
        <w:numPr>
          <w:ilvl w:val="0"/>
          <w:numId w:val="788"/>
        </w:numPr>
        <w:spacing w:before="120" w:after="120" w:line="240" w:lineRule="auto"/>
        <w:jc w:val="both"/>
        <w:rPr>
          <w:rFonts w:cs="Times New Roman"/>
          <w:noProof/>
        </w:rPr>
      </w:pPr>
      <w:r w:rsidRPr="00BC4EE7">
        <w:rPr>
          <w:rFonts w:cs="Times New Roman"/>
          <w:noProof/>
        </w:rPr>
        <w:t xml:space="preserve">Az adóhatóság emberi erőforrásainak növelése középtávú szükségleteivel összhangban, valamint </w:t>
      </w:r>
    </w:p>
    <w:p w14:paraId="3BD86ECF" w14:textId="77777777" w:rsidR="00D65CB4" w:rsidRPr="00BC4EE7" w:rsidRDefault="00572307">
      <w:pPr>
        <w:pStyle w:val="P68B1DB1-ListParagraph6"/>
        <w:numPr>
          <w:ilvl w:val="0"/>
          <w:numId w:val="788"/>
        </w:numPr>
        <w:spacing w:before="120" w:after="120" w:line="240" w:lineRule="auto"/>
        <w:jc w:val="both"/>
        <w:rPr>
          <w:rFonts w:cs="Times New Roman"/>
          <w:noProof/>
        </w:rPr>
      </w:pPr>
      <w:r w:rsidRPr="00BC4EE7">
        <w:rPr>
          <w:rFonts w:cs="Times New Roman"/>
          <w:noProof/>
        </w:rPr>
        <w:t xml:space="preserve">Az Ügynökség épületeinek felülvizsgálata a technológia korszerűsítése és az energiahatékonyság növelése érdekében. </w:t>
      </w:r>
    </w:p>
    <w:p w14:paraId="791FD1E3"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reformot 2023. december 31-ig végre kell hajtani.</w:t>
      </w:r>
    </w:p>
    <w:p w14:paraId="54C3F7BC"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Reform (C27.R3) – Az adófizetőknek nyújtott fokozott segítségnyújtás</w:t>
      </w:r>
    </w:p>
    <w:p w14:paraId="7D03D450"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 reform célja az adófizetőknek nyújtott támogatás javítása. Az adóhatóság 2020–2023-as stratégiájának egyik kulcseleme az adófizetőknek nyújtott szolgáltatások javítása az elektronikus platformok (az úgynevezett „ADI”, „Integral Digital Administration”) fokozott használata révén. A reform új szolgáltatásokat nyújt a társasági és személyi jövedelemadó, valamint a héa adóztatásának megkönnyítése érdekében. Az új szolgáltatások közé tartoznak a továbbfejlesztett kommunikációs módszerek, ügyfélszolgálati szolgáltatások, a felhasználói adatokba való betekintés, valamint az adóbevallások és a bevallások kezelése. Az ilyen szolgáltatások nyújtását a tervek szerint a 2021–2023-as időszakban három hullámban fogják növelni, azzal a céllal, hogy fokozatosan egyre több fogyasztó választhassa az elektronikus szolgáltatások használatát a helyi adóhivatalok látogatása helyett. Ezekkel az intézkedésekkel a Hivatal célja, hogy megkönnyítse ügyfeleik számára az adótörvénynek való megfelelést, és ezáltal növelje az adóbevételeket. </w:t>
      </w:r>
    </w:p>
    <w:p w14:paraId="16F50C48"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reform végrehajtását 2023. december 31-ig be kell fejezni.</w:t>
      </w:r>
    </w:p>
    <w:p w14:paraId="51E4EC83"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Reform (C27.R4) – Nemzetközi dimenzió</w:t>
      </w:r>
    </w:p>
    <w:p w14:paraId="56524CEF"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 reform célja az informatikai rendszerek használatának fokozása és optimalizálása a nemzetközi együttműködésben az adócsalás és az adókijátszás elleni küzdelem érdekében. Ez a szakpolitikai területen kötött nemzetközi megállapodásokat követő reform olyan intézkedések meghozatalát foglalja magában, amelyek megkönnyítik az adófizetők adókötelezettségeinek (többek között a személyi jövedelemadóban szereplő adatoknak) való megfelelését, fokozzák a be nem jelentett tevékenységek és az árnyékgazdaság elleni küzdelmet, valamint felülvizsgálják a különböző országoktól kapott információk minőségét és hasznosságát. Ezek a célok várhatóan a kifinomultabb informatikai rendszerek nagyobb mértékű használatával és az adófizetőknek nyújtott online szolgáltatások bevezetésével érhetők el. </w:t>
      </w:r>
    </w:p>
    <w:p w14:paraId="2E5E4385"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reformot 2021. december 31-ig végre kell hajtani.</w:t>
      </w:r>
    </w:p>
    <w:p w14:paraId="7150FEDC"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Reform (C27.R5) – Szövetkezeti modell</w:t>
      </w:r>
    </w:p>
    <w:p w14:paraId="4B4E2AF1"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 reform célja, hogy javítsa az adóhivatalnak az érdekelt felekkel, például nagyvállalatokkal, kkv-kkal, önálló vállalkozókkal és érintett szövetségekkel, valamint az igazságszolgáltatási rendszerrel való kapcsolatait az adókötelezettségeknek való jobb megfelelés elérésének egyik módjaként. Ami az adófizetőket illeti, az Ügynökség célja, hogy az adózás átláthatóságáról szóló önkéntes jelentések révén javítsa az együttműködést és fokozza a megfelelést. A bírákkal, az ügyészekkel és a bíróságokkal folytatott együttműködés fokozása várhatóan fokozódni fog az adóvizsgálatok fokozásával.</w:t>
      </w:r>
    </w:p>
    <w:p w14:paraId="10D2447B"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reformot 2021. december 31-ig végre kell hajtani.</w:t>
      </w:r>
    </w:p>
    <w:p w14:paraId="6D99EFDB" w14:textId="77777777" w:rsidR="00D65CB4" w:rsidRPr="00BC4EE7" w:rsidRDefault="00572307">
      <w:pPr>
        <w:pStyle w:val="Text1"/>
        <w:ind w:left="709"/>
        <w:rPr>
          <w:rFonts w:ascii="Times New Roman" w:hAnsi="Times New Roman" w:cs="Times New Roman"/>
          <w:b/>
          <w:noProof/>
          <w:u w:val="single"/>
        </w:rPr>
      </w:pPr>
      <w:r w:rsidRPr="00BC4EE7">
        <w:rPr>
          <w:rFonts w:ascii="Times New Roman" w:hAnsi="Times New Roman" w:cs="Times New Roman"/>
          <w:b/>
          <w:noProof/>
          <w:u w:val="single"/>
        </w:rPr>
        <w:t xml:space="preserve">AA.2. </w:t>
      </w:r>
      <w:r w:rsidRPr="00BC4EE7">
        <w:rPr>
          <w:rFonts w:ascii="Times New Roman" w:hAnsi="Times New Roman" w:cs="Times New Roman"/>
          <w:noProof/>
        </w:rPr>
        <w:t xml:space="preserve"> </w:t>
      </w:r>
      <w:r w:rsidRPr="00BC4EE7">
        <w:rPr>
          <w:rFonts w:ascii="Times New Roman" w:hAnsi="Times New Roman" w:cs="Times New Roman"/>
          <w:b/>
          <w:noProof/>
          <w:u w:val="single"/>
        </w:rPr>
        <w:t>Vissza nem térítendő pénzügyi támogatás – a végrehajtáshoz és a nyomon követéshez kapcsolódó mérföldkövek, célok, mutatók és ütemterv</w:t>
      </w:r>
    </w:p>
    <w:p w14:paraId="4593A835" w14:textId="77777777" w:rsidR="00D65CB4" w:rsidRPr="00BC4EE7" w:rsidRDefault="00572307">
      <w:pPr>
        <w:pStyle w:val="P68B1DB1-Normal4"/>
        <w:spacing w:before="120" w:after="120" w:line="240" w:lineRule="auto"/>
        <w:rPr>
          <w:rFonts w:cs="Times New Roman"/>
          <w:i/>
          <w:noProof/>
        </w:rPr>
        <w:sectPr w:rsidR="00D65CB4" w:rsidRPr="00BC4EE7" w:rsidSect="00B511EF">
          <w:headerReference w:type="even" r:id="rId526"/>
          <w:headerReference w:type="default" r:id="rId527"/>
          <w:footerReference w:type="even" r:id="rId528"/>
          <w:footerReference w:type="default" r:id="rId529"/>
          <w:headerReference w:type="first" r:id="rId530"/>
          <w:footerReference w:type="first" r:id="rId531"/>
          <w:pgSz w:w="11907" w:h="16839"/>
          <w:pgMar w:top="1134" w:right="1134" w:bottom="1134" w:left="1134" w:header="567" w:footer="567" w:gutter="0"/>
          <w:cols w:space="720"/>
          <w:docGrid w:linePitch="360"/>
        </w:sectPr>
      </w:pPr>
      <w:r w:rsidRPr="00BC4EE7">
        <w:rPr>
          <w:rFonts w:cs="Times New Roman"/>
          <w:i/>
          <w:noProof/>
        </w:rPr>
        <w:t>Táblázat alább.</w:t>
      </w:r>
      <w:r w:rsidRPr="00BC4EE7">
        <w:rPr>
          <w:rFonts w:cs="Times New Roman"/>
          <w:noProof/>
        </w:rPr>
        <w:t xml:space="preserve"> </w:t>
      </w:r>
      <w:r w:rsidRPr="00BC4EE7">
        <w:rPr>
          <w:rFonts w:cs="Times New Roman"/>
          <w:i/>
          <w:noProof/>
        </w:rPr>
        <w:t>Az összes mutató esetében az alapforgatókönyv időpontja 2020. február 1., kivéve, ha az intézkedés leírása ettől eltérően rendelkezik. A táblázatban szereplő összegek nem tartalmazzák a héát.</w:t>
      </w:r>
    </w:p>
    <w:tbl>
      <w:tblPr>
        <w:tblpPr w:leftFromText="180" w:rightFromText="180" w:vertAnchor="text" w:tblpXSpec="right" w:tblpY="1"/>
        <w:tblOverlap w:val="never"/>
        <w:tblW w:w="15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96"/>
        <w:gridCol w:w="892"/>
        <w:gridCol w:w="992"/>
        <w:gridCol w:w="2707"/>
        <w:gridCol w:w="1113"/>
        <w:gridCol w:w="836"/>
        <w:gridCol w:w="974"/>
        <w:gridCol w:w="697"/>
        <w:gridCol w:w="418"/>
        <w:gridCol w:w="697"/>
        <w:gridCol w:w="5032"/>
      </w:tblGrid>
      <w:tr w:rsidR="00D65CB4" w:rsidRPr="00BC4EE7" w14:paraId="65222294" w14:textId="77777777" w:rsidTr="00572307">
        <w:trPr>
          <w:trHeight w:val="309"/>
          <w:tblHeader/>
        </w:trPr>
        <w:tc>
          <w:tcPr>
            <w:tcW w:w="696" w:type="dxa"/>
            <w:tcBorders>
              <w:bottom w:val="nil"/>
            </w:tcBorders>
            <w:shd w:val="clear" w:color="auto" w:fill="C6D9F1" w:themeFill="text2" w:themeFillTint="33"/>
            <w:noWrap/>
            <w:vAlign w:val="center"/>
          </w:tcPr>
          <w:p w14:paraId="4CA8D8A3" w14:textId="77777777" w:rsidR="00D65CB4" w:rsidRPr="00BC4EE7" w:rsidRDefault="00572307">
            <w:pPr>
              <w:pStyle w:val="P68B1DB1-Normal8"/>
              <w:spacing w:after="0"/>
              <w:jc w:val="center"/>
              <w:rPr>
                <w:rFonts w:cs="Times New Roman"/>
                <w:noProof/>
              </w:rPr>
            </w:pPr>
            <w:r w:rsidRPr="00BC4EE7">
              <w:rPr>
                <w:rFonts w:cs="Times New Roman"/>
                <w:noProof/>
              </w:rPr>
              <w:t>Szám</w:t>
            </w:r>
          </w:p>
        </w:tc>
        <w:tc>
          <w:tcPr>
            <w:tcW w:w="892" w:type="dxa"/>
            <w:tcBorders>
              <w:bottom w:val="nil"/>
            </w:tcBorders>
            <w:shd w:val="clear" w:color="auto" w:fill="C6D9F1" w:themeFill="text2" w:themeFillTint="33"/>
            <w:noWrap/>
            <w:vAlign w:val="center"/>
          </w:tcPr>
          <w:p w14:paraId="048BC7D3" w14:textId="77777777" w:rsidR="00D65CB4" w:rsidRPr="00BC4EE7" w:rsidRDefault="00572307">
            <w:pPr>
              <w:pStyle w:val="P68B1DB1-Normal8"/>
              <w:spacing w:after="0"/>
              <w:jc w:val="center"/>
              <w:rPr>
                <w:rFonts w:cs="Times New Roman"/>
                <w:noProof/>
              </w:rPr>
            </w:pPr>
            <w:r w:rsidRPr="00BC4EE7">
              <w:rPr>
                <w:rFonts w:cs="Times New Roman"/>
                <w:noProof/>
              </w:rPr>
              <w:t>Intézkedés</w:t>
            </w:r>
          </w:p>
        </w:tc>
        <w:tc>
          <w:tcPr>
            <w:tcW w:w="992" w:type="dxa"/>
            <w:tcBorders>
              <w:bottom w:val="nil"/>
            </w:tcBorders>
            <w:shd w:val="clear" w:color="auto" w:fill="C6D9F1" w:themeFill="text2" w:themeFillTint="33"/>
            <w:noWrap/>
            <w:vAlign w:val="center"/>
          </w:tcPr>
          <w:p w14:paraId="017D9EA1" w14:textId="77777777" w:rsidR="00D65CB4" w:rsidRPr="00BC4EE7" w:rsidRDefault="00572307">
            <w:pPr>
              <w:spacing w:after="0"/>
              <w:jc w:val="center"/>
              <w:rPr>
                <w:rFonts w:ascii="Times New Roman" w:hAnsi="Times New Roman" w:cs="Times New Roman"/>
                <w:b/>
                <w:noProof/>
                <w:sz w:val="18"/>
              </w:rPr>
            </w:pPr>
            <w:r w:rsidRPr="00BC4EE7">
              <w:rPr>
                <w:rFonts w:ascii="Times New Roman" w:hAnsi="Times New Roman" w:cs="Times New Roman"/>
                <w:b/>
                <w:noProof/>
                <w:sz w:val="18"/>
              </w:rPr>
              <w:t>Mérföldkő</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b/>
                <w:noProof/>
                <w:sz w:val="18"/>
              </w:rPr>
              <w:t xml:space="preserve"> /Cél</w:t>
            </w:r>
          </w:p>
        </w:tc>
        <w:tc>
          <w:tcPr>
            <w:tcW w:w="2707" w:type="dxa"/>
            <w:tcBorders>
              <w:bottom w:val="nil"/>
            </w:tcBorders>
            <w:shd w:val="clear" w:color="auto" w:fill="C6D9F1" w:themeFill="text2" w:themeFillTint="33"/>
            <w:noWrap/>
            <w:vAlign w:val="center"/>
          </w:tcPr>
          <w:p w14:paraId="4B3B4A13" w14:textId="77777777" w:rsidR="00D65CB4" w:rsidRPr="00BC4EE7" w:rsidRDefault="00572307">
            <w:pPr>
              <w:pStyle w:val="P68B1DB1-Normal8"/>
              <w:spacing w:after="0"/>
              <w:jc w:val="center"/>
              <w:rPr>
                <w:rFonts w:cs="Times New Roman"/>
                <w:noProof/>
              </w:rPr>
            </w:pPr>
            <w:r w:rsidRPr="00BC4EE7">
              <w:rPr>
                <w:rFonts w:cs="Times New Roman"/>
                <w:noProof/>
              </w:rPr>
              <w:t>Név</w:t>
            </w:r>
          </w:p>
        </w:tc>
        <w:tc>
          <w:tcPr>
            <w:tcW w:w="1113" w:type="dxa"/>
            <w:tcBorders>
              <w:bottom w:val="nil"/>
            </w:tcBorders>
            <w:shd w:val="clear" w:color="auto" w:fill="C6D9F1" w:themeFill="text2" w:themeFillTint="33"/>
            <w:noWrap/>
            <w:vAlign w:val="center"/>
          </w:tcPr>
          <w:p w14:paraId="3C958E99" w14:textId="77777777" w:rsidR="00D65CB4" w:rsidRPr="00BC4EE7" w:rsidRDefault="00572307">
            <w:pPr>
              <w:pStyle w:val="P68B1DB1-Normal8"/>
              <w:spacing w:after="0"/>
              <w:jc w:val="center"/>
              <w:rPr>
                <w:rFonts w:cs="Times New Roman"/>
                <w:noProof/>
              </w:rPr>
            </w:pPr>
            <w:r w:rsidRPr="00BC4EE7">
              <w:rPr>
                <w:rFonts w:cs="Times New Roman"/>
                <w:noProof/>
              </w:rPr>
              <w:t>A mérföldkövek minőségi mutatója</w:t>
            </w:r>
          </w:p>
        </w:tc>
        <w:tc>
          <w:tcPr>
            <w:tcW w:w="2507" w:type="dxa"/>
            <w:gridSpan w:val="3"/>
            <w:shd w:val="clear" w:color="auto" w:fill="C6D9F1" w:themeFill="text2" w:themeFillTint="33"/>
            <w:noWrap/>
            <w:vAlign w:val="center"/>
          </w:tcPr>
          <w:p w14:paraId="508C64C3" w14:textId="77777777" w:rsidR="00D65CB4" w:rsidRPr="00BC4EE7" w:rsidRDefault="00572307">
            <w:pPr>
              <w:pStyle w:val="P68B1DB1-Normal8"/>
              <w:spacing w:after="0"/>
              <w:jc w:val="center"/>
              <w:rPr>
                <w:rFonts w:cs="Times New Roman"/>
                <w:noProof/>
              </w:rPr>
            </w:pPr>
            <w:r w:rsidRPr="00BC4EE7">
              <w:rPr>
                <w:rFonts w:cs="Times New Roman"/>
                <w:noProof/>
              </w:rPr>
              <w:t>A célérték mennyiségi mutatója</w:t>
            </w:r>
          </w:p>
        </w:tc>
        <w:tc>
          <w:tcPr>
            <w:tcW w:w="1115" w:type="dxa"/>
            <w:gridSpan w:val="2"/>
            <w:shd w:val="clear" w:color="auto" w:fill="C6D9F1" w:themeFill="text2" w:themeFillTint="33"/>
            <w:noWrap/>
            <w:vAlign w:val="center"/>
          </w:tcPr>
          <w:p w14:paraId="35027D3C" w14:textId="77777777" w:rsidR="00D65CB4" w:rsidRPr="00BC4EE7" w:rsidRDefault="00572307">
            <w:pPr>
              <w:pStyle w:val="P68B1DB1-Normal8"/>
              <w:spacing w:after="0"/>
              <w:jc w:val="center"/>
              <w:rPr>
                <w:rFonts w:cs="Times New Roman"/>
                <w:noProof/>
              </w:rPr>
            </w:pPr>
            <w:r w:rsidRPr="00BC4EE7">
              <w:rPr>
                <w:rFonts w:cs="Times New Roman"/>
                <w:noProof/>
              </w:rPr>
              <w:t>Idő</w:t>
            </w:r>
          </w:p>
        </w:tc>
        <w:tc>
          <w:tcPr>
            <w:tcW w:w="5032" w:type="dxa"/>
            <w:tcBorders>
              <w:bottom w:val="nil"/>
            </w:tcBorders>
            <w:shd w:val="clear" w:color="auto" w:fill="C6D9F1" w:themeFill="text2" w:themeFillTint="33"/>
            <w:noWrap/>
            <w:vAlign w:val="center"/>
          </w:tcPr>
          <w:p w14:paraId="3B8B2BF5" w14:textId="77777777" w:rsidR="00D65CB4" w:rsidRPr="00BC4EE7" w:rsidRDefault="00572307">
            <w:pPr>
              <w:pStyle w:val="P68B1DB1-Normal8"/>
              <w:spacing w:after="0"/>
              <w:jc w:val="center"/>
              <w:rPr>
                <w:rFonts w:cs="Times New Roman"/>
                <w:noProof/>
              </w:rPr>
            </w:pPr>
            <w:r w:rsidRPr="00BC4EE7">
              <w:rPr>
                <w:rFonts w:cs="Times New Roman"/>
                <w:noProof/>
              </w:rPr>
              <w:t>Az egyes mérföldkövek és célértékek leírása</w:t>
            </w:r>
          </w:p>
        </w:tc>
      </w:tr>
      <w:tr w:rsidR="00D65CB4" w:rsidRPr="00BC4EE7" w14:paraId="6423CD2F" w14:textId="77777777" w:rsidTr="00572307">
        <w:trPr>
          <w:trHeight w:val="309"/>
          <w:tblHeader/>
        </w:trPr>
        <w:tc>
          <w:tcPr>
            <w:tcW w:w="696" w:type="dxa"/>
            <w:tcBorders>
              <w:top w:val="nil"/>
            </w:tcBorders>
            <w:shd w:val="clear" w:color="auto" w:fill="C6D9F1" w:themeFill="text2" w:themeFillTint="33"/>
            <w:noWrap/>
          </w:tcPr>
          <w:p w14:paraId="69957A07" w14:textId="77777777" w:rsidR="00D65CB4" w:rsidRPr="00BC4EE7" w:rsidRDefault="00D65CB4">
            <w:pPr>
              <w:spacing w:after="0"/>
              <w:jc w:val="center"/>
              <w:rPr>
                <w:rFonts w:ascii="Times New Roman" w:hAnsi="Times New Roman" w:cs="Times New Roman"/>
                <w:b/>
                <w:noProof/>
                <w:sz w:val="18"/>
              </w:rPr>
            </w:pPr>
          </w:p>
        </w:tc>
        <w:tc>
          <w:tcPr>
            <w:tcW w:w="892" w:type="dxa"/>
            <w:tcBorders>
              <w:top w:val="nil"/>
            </w:tcBorders>
            <w:shd w:val="clear" w:color="auto" w:fill="C6D9F1" w:themeFill="text2" w:themeFillTint="33"/>
            <w:noWrap/>
          </w:tcPr>
          <w:p w14:paraId="26775ED2" w14:textId="77777777" w:rsidR="00D65CB4" w:rsidRPr="00BC4EE7" w:rsidRDefault="00D65CB4">
            <w:pPr>
              <w:spacing w:after="0"/>
              <w:jc w:val="center"/>
              <w:rPr>
                <w:rFonts w:ascii="Times New Roman" w:hAnsi="Times New Roman" w:cs="Times New Roman"/>
                <w:b/>
                <w:noProof/>
                <w:sz w:val="18"/>
              </w:rPr>
            </w:pPr>
          </w:p>
        </w:tc>
        <w:tc>
          <w:tcPr>
            <w:tcW w:w="992" w:type="dxa"/>
            <w:tcBorders>
              <w:top w:val="nil"/>
            </w:tcBorders>
            <w:shd w:val="clear" w:color="auto" w:fill="C6D9F1" w:themeFill="text2" w:themeFillTint="33"/>
            <w:noWrap/>
          </w:tcPr>
          <w:p w14:paraId="4C7D76EE" w14:textId="77777777" w:rsidR="00D65CB4" w:rsidRPr="00BC4EE7" w:rsidRDefault="00D65CB4">
            <w:pPr>
              <w:spacing w:after="0"/>
              <w:jc w:val="center"/>
              <w:rPr>
                <w:rFonts w:ascii="Times New Roman" w:hAnsi="Times New Roman" w:cs="Times New Roman"/>
                <w:b/>
                <w:noProof/>
                <w:sz w:val="18"/>
              </w:rPr>
            </w:pPr>
          </w:p>
        </w:tc>
        <w:tc>
          <w:tcPr>
            <w:tcW w:w="2707" w:type="dxa"/>
            <w:tcBorders>
              <w:top w:val="nil"/>
            </w:tcBorders>
            <w:shd w:val="clear" w:color="auto" w:fill="C6D9F1" w:themeFill="text2" w:themeFillTint="33"/>
            <w:noWrap/>
          </w:tcPr>
          <w:p w14:paraId="04485DBC" w14:textId="77777777" w:rsidR="00D65CB4" w:rsidRPr="00BC4EE7" w:rsidRDefault="00D65CB4">
            <w:pPr>
              <w:spacing w:after="0"/>
              <w:rPr>
                <w:rFonts w:ascii="Times New Roman" w:hAnsi="Times New Roman" w:cs="Times New Roman"/>
                <w:b/>
                <w:noProof/>
                <w:sz w:val="18"/>
              </w:rPr>
            </w:pPr>
          </w:p>
        </w:tc>
        <w:tc>
          <w:tcPr>
            <w:tcW w:w="1113" w:type="dxa"/>
            <w:tcBorders>
              <w:top w:val="nil"/>
            </w:tcBorders>
            <w:shd w:val="clear" w:color="auto" w:fill="C6D9F1" w:themeFill="text2" w:themeFillTint="33"/>
            <w:noWrap/>
          </w:tcPr>
          <w:p w14:paraId="67409D88" w14:textId="77777777" w:rsidR="00D65CB4" w:rsidRPr="00BC4EE7" w:rsidRDefault="00D65CB4">
            <w:pPr>
              <w:spacing w:after="0"/>
              <w:jc w:val="center"/>
              <w:rPr>
                <w:rFonts w:ascii="Times New Roman" w:hAnsi="Times New Roman" w:cs="Times New Roman"/>
                <w:b/>
                <w:noProof/>
                <w:sz w:val="18"/>
              </w:rPr>
            </w:pPr>
          </w:p>
        </w:tc>
        <w:tc>
          <w:tcPr>
            <w:tcW w:w="836" w:type="dxa"/>
            <w:shd w:val="clear" w:color="auto" w:fill="C6D9F1" w:themeFill="text2" w:themeFillTint="33"/>
            <w:noWrap/>
          </w:tcPr>
          <w:p w14:paraId="34E85900" w14:textId="77777777" w:rsidR="00D65CB4" w:rsidRPr="00BC4EE7" w:rsidRDefault="00572307">
            <w:pPr>
              <w:pStyle w:val="P68B1DB1-Normal8"/>
              <w:spacing w:after="0"/>
              <w:jc w:val="center"/>
              <w:rPr>
                <w:rFonts w:cs="Times New Roman"/>
                <w:noProof/>
              </w:rPr>
            </w:pPr>
            <w:r w:rsidRPr="00BC4EE7">
              <w:rPr>
                <w:rFonts w:cs="Times New Roman"/>
                <w:noProof/>
              </w:rPr>
              <w:t>Egység</w:t>
            </w:r>
          </w:p>
        </w:tc>
        <w:tc>
          <w:tcPr>
            <w:tcW w:w="974" w:type="dxa"/>
            <w:shd w:val="clear" w:color="auto" w:fill="C6D9F1" w:themeFill="text2" w:themeFillTint="33"/>
            <w:noWrap/>
          </w:tcPr>
          <w:p w14:paraId="50AB32BC" w14:textId="439C3C05" w:rsidR="00D65CB4" w:rsidRPr="00BC4EE7" w:rsidRDefault="00572307">
            <w:pPr>
              <w:pStyle w:val="P68B1DB1-Normal8"/>
              <w:spacing w:after="0"/>
              <w:jc w:val="center"/>
              <w:rPr>
                <w:rFonts w:cs="Times New Roman"/>
                <w:noProof/>
              </w:rPr>
            </w:pPr>
            <w:r w:rsidRPr="00BC4EE7">
              <w:rPr>
                <w:rFonts w:cs="Times New Roman"/>
                <w:noProof/>
              </w:rPr>
              <w:t>Kiindulási</w:t>
            </w:r>
          </w:p>
        </w:tc>
        <w:tc>
          <w:tcPr>
            <w:tcW w:w="697" w:type="dxa"/>
            <w:shd w:val="clear" w:color="auto" w:fill="C6D9F1" w:themeFill="text2" w:themeFillTint="33"/>
            <w:noWrap/>
          </w:tcPr>
          <w:p w14:paraId="52C6390D" w14:textId="77777777" w:rsidR="00D65CB4" w:rsidRPr="00BC4EE7" w:rsidRDefault="00572307">
            <w:pPr>
              <w:pStyle w:val="P68B1DB1-Normal8"/>
              <w:spacing w:after="0"/>
              <w:jc w:val="center"/>
              <w:rPr>
                <w:rFonts w:cs="Times New Roman"/>
                <w:noProof/>
              </w:rPr>
            </w:pPr>
            <w:r w:rsidRPr="00BC4EE7">
              <w:rPr>
                <w:rFonts w:cs="Times New Roman"/>
                <w:noProof/>
              </w:rPr>
              <w:t>Cél</w:t>
            </w:r>
          </w:p>
        </w:tc>
        <w:tc>
          <w:tcPr>
            <w:tcW w:w="418" w:type="dxa"/>
            <w:shd w:val="clear" w:color="auto" w:fill="C6D9F1" w:themeFill="text2" w:themeFillTint="33"/>
            <w:noWrap/>
          </w:tcPr>
          <w:p w14:paraId="19879100" w14:textId="77777777" w:rsidR="00D65CB4" w:rsidRPr="00BC4EE7" w:rsidRDefault="00572307">
            <w:pPr>
              <w:pStyle w:val="P68B1DB1-Normal8"/>
              <w:spacing w:after="0"/>
              <w:jc w:val="center"/>
              <w:rPr>
                <w:rFonts w:cs="Times New Roman"/>
                <w:noProof/>
              </w:rPr>
            </w:pPr>
            <w:r w:rsidRPr="00BC4EE7">
              <w:rPr>
                <w:rFonts w:cs="Times New Roman"/>
                <w:noProof/>
              </w:rPr>
              <w:t>Q</w:t>
            </w:r>
          </w:p>
        </w:tc>
        <w:tc>
          <w:tcPr>
            <w:tcW w:w="697" w:type="dxa"/>
            <w:shd w:val="clear" w:color="auto" w:fill="C6D9F1" w:themeFill="text2" w:themeFillTint="33"/>
            <w:noWrap/>
          </w:tcPr>
          <w:p w14:paraId="00D26859" w14:textId="77777777" w:rsidR="00D65CB4" w:rsidRPr="00BC4EE7" w:rsidRDefault="00572307">
            <w:pPr>
              <w:pStyle w:val="P68B1DB1-Normal8"/>
              <w:spacing w:after="0"/>
              <w:jc w:val="center"/>
              <w:rPr>
                <w:rFonts w:cs="Times New Roman"/>
                <w:noProof/>
              </w:rPr>
            </w:pPr>
            <w:r w:rsidRPr="00BC4EE7">
              <w:rPr>
                <w:rFonts w:cs="Times New Roman"/>
                <w:noProof/>
              </w:rPr>
              <w:t>Éve</w:t>
            </w:r>
          </w:p>
        </w:tc>
        <w:tc>
          <w:tcPr>
            <w:tcW w:w="5032" w:type="dxa"/>
            <w:tcBorders>
              <w:top w:val="nil"/>
            </w:tcBorders>
            <w:shd w:val="clear" w:color="auto" w:fill="C6D9F1" w:themeFill="text2" w:themeFillTint="33"/>
            <w:noWrap/>
          </w:tcPr>
          <w:p w14:paraId="22F9CC6A" w14:textId="77777777" w:rsidR="00D65CB4" w:rsidRPr="00BC4EE7" w:rsidRDefault="00D65CB4">
            <w:pPr>
              <w:spacing w:after="0"/>
              <w:rPr>
                <w:rFonts w:ascii="Times New Roman" w:hAnsi="Times New Roman" w:cs="Times New Roman"/>
                <w:b/>
                <w:noProof/>
                <w:sz w:val="18"/>
              </w:rPr>
            </w:pPr>
          </w:p>
        </w:tc>
      </w:tr>
      <w:tr w:rsidR="00D65CB4" w:rsidRPr="00BC4EE7" w14:paraId="3209D1B2" w14:textId="77777777" w:rsidTr="00572307">
        <w:trPr>
          <w:trHeight w:val="309"/>
        </w:trPr>
        <w:tc>
          <w:tcPr>
            <w:tcW w:w="696" w:type="dxa"/>
            <w:shd w:val="clear" w:color="auto" w:fill="C6EFCE"/>
            <w:noWrap/>
          </w:tcPr>
          <w:p w14:paraId="4C835EC6" w14:textId="77777777" w:rsidR="00D65CB4" w:rsidRPr="00BC4EE7" w:rsidRDefault="00572307">
            <w:pPr>
              <w:pStyle w:val="P68B1DB1-Normal12"/>
              <w:spacing w:after="0"/>
              <w:jc w:val="center"/>
              <w:rPr>
                <w:rFonts w:cs="Times New Roman"/>
                <w:noProof/>
              </w:rPr>
            </w:pPr>
            <w:r w:rsidRPr="00BC4EE7">
              <w:rPr>
                <w:rFonts w:cs="Times New Roman"/>
                <w:noProof/>
              </w:rPr>
              <w:t>376</w:t>
            </w:r>
          </w:p>
        </w:tc>
        <w:tc>
          <w:tcPr>
            <w:tcW w:w="892" w:type="dxa"/>
            <w:shd w:val="clear" w:color="auto" w:fill="C6EFCE"/>
            <w:noWrap/>
          </w:tcPr>
          <w:p w14:paraId="66D7BA3A" w14:textId="77777777" w:rsidR="00D65CB4" w:rsidRPr="00BC4EE7" w:rsidRDefault="00572307">
            <w:pPr>
              <w:pStyle w:val="P68B1DB1-Normal12"/>
              <w:spacing w:after="0"/>
              <w:jc w:val="center"/>
              <w:rPr>
                <w:rFonts w:cs="Times New Roman"/>
                <w:noProof/>
              </w:rPr>
            </w:pPr>
            <w:r w:rsidRPr="00BC4EE7">
              <w:rPr>
                <w:rFonts w:cs="Times New Roman"/>
                <w:noProof/>
              </w:rPr>
              <w:t>C27.R1</w:t>
            </w:r>
          </w:p>
        </w:tc>
        <w:tc>
          <w:tcPr>
            <w:tcW w:w="992" w:type="dxa"/>
            <w:shd w:val="clear" w:color="auto" w:fill="C6EFCE"/>
            <w:noWrap/>
          </w:tcPr>
          <w:p w14:paraId="7D103D46" w14:textId="77777777" w:rsidR="00D65CB4" w:rsidRPr="00BC4EE7" w:rsidRDefault="00572307">
            <w:pPr>
              <w:pStyle w:val="P68B1DB1-Normal12"/>
              <w:spacing w:after="0"/>
              <w:jc w:val="center"/>
              <w:rPr>
                <w:rFonts w:cs="Times New Roman"/>
                <w:noProof/>
              </w:rPr>
            </w:pPr>
            <w:r w:rsidRPr="00BC4EE7">
              <w:rPr>
                <w:rFonts w:cs="Times New Roman"/>
                <w:noProof/>
              </w:rPr>
              <w:t>M</w:t>
            </w:r>
          </w:p>
        </w:tc>
        <w:tc>
          <w:tcPr>
            <w:tcW w:w="2707" w:type="dxa"/>
            <w:shd w:val="clear" w:color="auto" w:fill="C6EFCE"/>
            <w:noWrap/>
          </w:tcPr>
          <w:p w14:paraId="730BB072" w14:textId="77777777" w:rsidR="00D65CB4" w:rsidRPr="00BC4EE7" w:rsidRDefault="00572307">
            <w:pPr>
              <w:pStyle w:val="P68B1DB1-Normal12"/>
              <w:spacing w:after="0"/>
              <w:rPr>
                <w:rFonts w:cs="Times New Roman"/>
                <w:noProof/>
              </w:rPr>
            </w:pPr>
            <w:r w:rsidRPr="00BC4EE7">
              <w:rPr>
                <w:rFonts w:cs="Times New Roman"/>
                <w:noProof/>
              </w:rPr>
              <w:t>Az adókijátszás és az adócsalás elleni törvény hatálybalépése</w:t>
            </w:r>
          </w:p>
        </w:tc>
        <w:tc>
          <w:tcPr>
            <w:tcW w:w="1113" w:type="dxa"/>
            <w:shd w:val="clear" w:color="auto" w:fill="C6EFCE"/>
            <w:noWrap/>
          </w:tcPr>
          <w:p w14:paraId="227CF5BC" w14:textId="77777777" w:rsidR="00D65CB4" w:rsidRPr="00BC4EE7" w:rsidRDefault="00572307">
            <w:pPr>
              <w:pStyle w:val="P68B1DB1-Normal12"/>
              <w:spacing w:after="0"/>
              <w:jc w:val="center"/>
              <w:rPr>
                <w:rFonts w:cs="Times New Roman"/>
                <w:noProof/>
              </w:rPr>
            </w:pPr>
            <w:r w:rsidRPr="00BC4EE7">
              <w:rPr>
                <w:rFonts w:cs="Times New Roman"/>
                <w:noProof/>
              </w:rPr>
              <w:t xml:space="preserve">A hatálybalépést feltüntető törvényi rendelkezés </w:t>
            </w:r>
          </w:p>
        </w:tc>
        <w:tc>
          <w:tcPr>
            <w:tcW w:w="836" w:type="dxa"/>
            <w:shd w:val="clear" w:color="auto" w:fill="C6EFCE"/>
            <w:noWrap/>
          </w:tcPr>
          <w:p w14:paraId="2EEBEB90" w14:textId="77777777" w:rsidR="00D65CB4" w:rsidRPr="00BC4EE7" w:rsidRDefault="00572307">
            <w:pPr>
              <w:pStyle w:val="P68B1DB1-Normal12"/>
              <w:spacing w:after="0"/>
              <w:jc w:val="center"/>
              <w:rPr>
                <w:rFonts w:cs="Times New Roman"/>
                <w:noProof/>
              </w:rPr>
            </w:pPr>
            <w:r w:rsidRPr="00BC4EE7">
              <w:rPr>
                <w:rFonts w:cs="Times New Roman"/>
                <w:noProof/>
              </w:rPr>
              <w:t xml:space="preserve"> </w:t>
            </w:r>
          </w:p>
        </w:tc>
        <w:tc>
          <w:tcPr>
            <w:tcW w:w="974" w:type="dxa"/>
            <w:shd w:val="clear" w:color="auto" w:fill="C6EFCE"/>
            <w:noWrap/>
          </w:tcPr>
          <w:p w14:paraId="2BB8CAFB" w14:textId="77777777" w:rsidR="00D65CB4" w:rsidRPr="00BC4EE7" w:rsidRDefault="00572307">
            <w:pPr>
              <w:pStyle w:val="P68B1DB1-Normal12"/>
              <w:spacing w:after="0"/>
              <w:jc w:val="right"/>
              <w:rPr>
                <w:rFonts w:cs="Times New Roman"/>
                <w:noProof/>
              </w:rPr>
            </w:pPr>
            <w:r w:rsidRPr="00BC4EE7">
              <w:rPr>
                <w:rFonts w:cs="Times New Roman"/>
                <w:noProof/>
              </w:rPr>
              <w:t xml:space="preserve"> </w:t>
            </w:r>
          </w:p>
        </w:tc>
        <w:tc>
          <w:tcPr>
            <w:tcW w:w="697" w:type="dxa"/>
            <w:shd w:val="clear" w:color="auto" w:fill="C6EFCE"/>
            <w:noWrap/>
          </w:tcPr>
          <w:p w14:paraId="6B4FC697" w14:textId="77777777" w:rsidR="00D65CB4" w:rsidRPr="00BC4EE7" w:rsidRDefault="00572307">
            <w:pPr>
              <w:pStyle w:val="P68B1DB1-Normal12"/>
              <w:spacing w:after="0"/>
              <w:rPr>
                <w:rFonts w:cs="Times New Roman"/>
                <w:noProof/>
              </w:rPr>
            </w:pPr>
            <w:r w:rsidRPr="00BC4EE7">
              <w:rPr>
                <w:rFonts w:cs="Times New Roman"/>
                <w:noProof/>
              </w:rPr>
              <w:t xml:space="preserve"> </w:t>
            </w:r>
          </w:p>
        </w:tc>
        <w:tc>
          <w:tcPr>
            <w:tcW w:w="418" w:type="dxa"/>
            <w:shd w:val="clear" w:color="auto" w:fill="C6EFCE"/>
            <w:noWrap/>
          </w:tcPr>
          <w:p w14:paraId="6E826CAA" w14:textId="77777777" w:rsidR="00D65CB4" w:rsidRPr="00BC4EE7" w:rsidRDefault="00572307">
            <w:pPr>
              <w:pStyle w:val="P68B1DB1-Normal12"/>
              <w:spacing w:after="0"/>
              <w:jc w:val="center"/>
              <w:rPr>
                <w:rFonts w:cs="Times New Roman"/>
                <w:noProof/>
              </w:rPr>
            </w:pPr>
            <w:r w:rsidRPr="00BC4EE7">
              <w:rPr>
                <w:rFonts w:cs="Times New Roman"/>
                <w:noProof/>
              </w:rPr>
              <w:t>Q2</w:t>
            </w:r>
          </w:p>
        </w:tc>
        <w:tc>
          <w:tcPr>
            <w:tcW w:w="697" w:type="dxa"/>
            <w:shd w:val="clear" w:color="auto" w:fill="C6EFCE"/>
            <w:noWrap/>
          </w:tcPr>
          <w:p w14:paraId="1C8F9F7C" w14:textId="77777777" w:rsidR="00D65CB4" w:rsidRPr="00BC4EE7" w:rsidRDefault="00572307">
            <w:pPr>
              <w:pStyle w:val="P68B1DB1-Normal12"/>
              <w:spacing w:after="0"/>
              <w:jc w:val="center"/>
              <w:rPr>
                <w:rFonts w:cs="Times New Roman"/>
                <w:noProof/>
              </w:rPr>
            </w:pPr>
            <w:r w:rsidRPr="00BC4EE7">
              <w:rPr>
                <w:rFonts w:cs="Times New Roman"/>
                <w:noProof/>
              </w:rPr>
              <w:t>2022</w:t>
            </w:r>
          </w:p>
        </w:tc>
        <w:tc>
          <w:tcPr>
            <w:tcW w:w="5032" w:type="dxa"/>
            <w:shd w:val="clear" w:color="auto" w:fill="C6EFCE"/>
            <w:noWrap/>
          </w:tcPr>
          <w:p w14:paraId="4CE616E9" w14:textId="77777777" w:rsidR="00D65CB4" w:rsidRPr="00BC4EE7" w:rsidRDefault="00572307">
            <w:pPr>
              <w:spacing w:after="0"/>
              <w:rPr>
                <w:rFonts w:ascii="Times New Roman" w:hAnsi="Times New Roman" w:cs="Times New Roman"/>
                <w:noProof/>
                <w:sz w:val="18"/>
              </w:rPr>
            </w:pPr>
            <w:r w:rsidRPr="00BC4EE7">
              <w:rPr>
                <w:rFonts w:ascii="Times New Roman" w:hAnsi="Times New Roman" w:cs="Times New Roman"/>
                <w:noProof/>
                <w:sz w:val="18"/>
              </w:rPr>
              <w:t>Az adókijátszás és az adócsalás elleni törvény (</w:t>
            </w:r>
            <w:r w:rsidRPr="00BC4EE7">
              <w:rPr>
                <w:rFonts w:ascii="Times New Roman" w:hAnsi="Times New Roman" w:cs="Times New Roman"/>
                <w:i/>
                <w:noProof/>
                <w:sz w:val="18"/>
              </w:rPr>
              <w:t>Ley de medidas de prevención y lucha contra el fraude fiscal)</w:t>
            </w:r>
            <w:r w:rsidRPr="00BC4EE7">
              <w:rPr>
                <w:rFonts w:ascii="Times New Roman" w:hAnsi="Times New Roman" w:cs="Times New Roman"/>
                <w:noProof/>
                <w:sz w:val="18"/>
              </w:rPr>
              <w:t>hatálybalépése, amely:</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–Kibővíti azon tranzakciók körét, amelyek esetében kötelező az elektronikus fizetés (cégek és szakemberek), és jogi küszöbértékeket állapít meg a készpénzfizetésekre vonatkozóan </w:t>
            </w:r>
            <w:r w:rsidRPr="00BC4EE7">
              <w:rPr>
                <w:rFonts w:ascii="Times New Roman" w:hAnsi="Times New Roman" w:cs="Times New Roman"/>
                <w:noProof/>
              </w:rPr>
              <w:t xml:space="preserve"> </w:t>
            </w:r>
            <w:r w:rsidRPr="00BC4EE7">
              <w:rPr>
                <w:rFonts w:ascii="Times New Roman" w:hAnsi="Times New Roman" w:cs="Times New Roman"/>
                <w:noProof/>
              </w:rPr>
              <w:br/>
              <w:t xml:space="preserve"> </w:t>
            </w:r>
            <w:r w:rsidRPr="00BC4EE7">
              <w:rPr>
                <w:rFonts w:ascii="Times New Roman" w:hAnsi="Times New Roman" w:cs="Times New Roman"/>
                <w:noProof/>
                <w:sz w:val="18"/>
              </w:rPr>
              <w:t>Az adóparadicsomok listáját az átláthatóság, az adózás elmaradása és a káros adórendszerek kritériumainak megfelelően frissíti.</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Az adóhátralékos személyek jegyzékbe vételére vonatkozó szabályok módosítását hajtja végre.</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Bevezeti a „kettős felhasználású szoftverek” tilalmát.</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–Az ingatlanadózásban referenciaértéket vezet be az adóalapra vonatkozóan. </w:t>
            </w:r>
          </w:p>
        </w:tc>
      </w:tr>
      <w:tr w:rsidR="00D65CB4" w:rsidRPr="00BC4EE7" w14:paraId="45161A29" w14:textId="77777777" w:rsidTr="00572307">
        <w:trPr>
          <w:trHeight w:val="309"/>
        </w:trPr>
        <w:tc>
          <w:tcPr>
            <w:tcW w:w="696" w:type="dxa"/>
            <w:shd w:val="clear" w:color="auto" w:fill="C6EFCE"/>
            <w:noWrap/>
          </w:tcPr>
          <w:p w14:paraId="3DBE6677" w14:textId="77777777" w:rsidR="00D65CB4" w:rsidRPr="00BC4EE7" w:rsidRDefault="00572307">
            <w:pPr>
              <w:pStyle w:val="P68B1DB1-Normal12"/>
              <w:spacing w:after="0"/>
              <w:jc w:val="center"/>
              <w:rPr>
                <w:rFonts w:cs="Times New Roman"/>
                <w:noProof/>
              </w:rPr>
            </w:pPr>
            <w:r w:rsidRPr="00BC4EE7">
              <w:rPr>
                <w:rFonts w:cs="Times New Roman"/>
                <w:noProof/>
              </w:rPr>
              <w:t>377</w:t>
            </w:r>
          </w:p>
        </w:tc>
        <w:tc>
          <w:tcPr>
            <w:tcW w:w="892" w:type="dxa"/>
            <w:shd w:val="clear" w:color="auto" w:fill="C6EFCE"/>
            <w:noWrap/>
          </w:tcPr>
          <w:p w14:paraId="4C6DC40A" w14:textId="77777777" w:rsidR="00D65CB4" w:rsidRPr="00BC4EE7" w:rsidRDefault="00572307">
            <w:pPr>
              <w:pStyle w:val="P68B1DB1-Normal12"/>
              <w:spacing w:after="0"/>
              <w:jc w:val="center"/>
              <w:rPr>
                <w:rFonts w:cs="Times New Roman"/>
                <w:noProof/>
              </w:rPr>
            </w:pPr>
            <w:r w:rsidRPr="00BC4EE7">
              <w:rPr>
                <w:rFonts w:cs="Times New Roman"/>
                <w:noProof/>
              </w:rPr>
              <w:t>C27.R1</w:t>
            </w:r>
          </w:p>
        </w:tc>
        <w:tc>
          <w:tcPr>
            <w:tcW w:w="992" w:type="dxa"/>
            <w:shd w:val="clear" w:color="auto" w:fill="C6EFCE"/>
            <w:noWrap/>
          </w:tcPr>
          <w:p w14:paraId="2A06812F" w14:textId="77777777" w:rsidR="00D65CB4" w:rsidRPr="00BC4EE7" w:rsidRDefault="00572307">
            <w:pPr>
              <w:pStyle w:val="P68B1DB1-Normal12"/>
              <w:spacing w:after="0"/>
              <w:jc w:val="center"/>
              <w:rPr>
                <w:rFonts w:cs="Times New Roman"/>
                <w:noProof/>
              </w:rPr>
            </w:pPr>
            <w:r w:rsidRPr="00BC4EE7">
              <w:rPr>
                <w:rFonts w:cs="Times New Roman"/>
                <w:noProof/>
              </w:rPr>
              <w:t>M</w:t>
            </w:r>
          </w:p>
        </w:tc>
        <w:tc>
          <w:tcPr>
            <w:tcW w:w="2707" w:type="dxa"/>
            <w:shd w:val="clear" w:color="auto" w:fill="C6EFCE"/>
            <w:noWrap/>
          </w:tcPr>
          <w:p w14:paraId="5696C1D6" w14:textId="77777777" w:rsidR="00D65CB4" w:rsidRPr="00BC4EE7" w:rsidRDefault="00572307">
            <w:pPr>
              <w:pStyle w:val="P68B1DB1-Normal12"/>
              <w:spacing w:after="0"/>
              <w:rPr>
                <w:rFonts w:cs="Times New Roman"/>
                <w:noProof/>
              </w:rPr>
            </w:pPr>
            <w:r w:rsidRPr="00BC4EE7">
              <w:rPr>
                <w:rFonts w:cs="Times New Roman"/>
                <w:noProof/>
              </w:rPr>
              <w:t>Az adókijátszás és az adócsalás elleni törvény hatásainak időközi értékelése.</w:t>
            </w:r>
          </w:p>
        </w:tc>
        <w:tc>
          <w:tcPr>
            <w:tcW w:w="1113" w:type="dxa"/>
            <w:shd w:val="clear" w:color="auto" w:fill="C6EFCE"/>
            <w:noWrap/>
          </w:tcPr>
          <w:p w14:paraId="70971FCE" w14:textId="77777777" w:rsidR="00D65CB4" w:rsidRPr="00BC4EE7" w:rsidRDefault="00572307">
            <w:pPr>
              <w:pStyle w:val="P68B1DB1-Normal12"/>
              <w:spacing w:after="0"/>
              <w:jc w:val="center"/>
              <w:rPr>
                <w:rFonts w:cs="Times New Roman"/>
                <w:noProof/>
              </w:rPr>
            </w:pPr>
            <w:r w:rsidRPr="00BC4EE7">
              <w:rPr>
                <w:rFonts w:cs="Times New Roman"/>
                <w:noProof/>
              </w:rPr>
              <w:t>A jelentés közzététele a Pénzügyminisztérium honlapján.</w:t>
            </w:r>
          </w:p>
        </w:tc>
        <w:tc>
          <w:tcPr>
            <w:tcW w:w="836" w:type="dxa"/>
            <w:shd w:val="clear" w:color="auto" w:fill="C6EFCE"/>
            <w:noWrap/>
          </w:tcPr>
          <w:p w14:paraId="70AC25B5" w14:textId="77777777" w:rsidR="00D65CB4" w:rsidRPr="00BC4EE7" w:rsidRDefault="00572307">
            <w:pPr>
              <w:pStyle w:val="P68B1DB1-Normal12"/>
              <w:spacing w:after="0"/>
              <w:jc w:val="center"/>
              <w:rPr>
                <w:rFonts w:cs="Times New Roman"/>
                <w:noProof/>
              </w:rPr>
            </w:pPr>
            <w:r w:rsidRPr="00BC4EE7">
              <w:rPr>
                <w:rFonts w:cs="Times New Roman"/>
                <w:noProof/>
              </w:rPr>
              <w:t xml:space="preserve"> </w:t>
            </w:r>
          </w:p>
        </w:tc>
        <w:tc>
          <w:tcPr>
            <w:tcW w:w="974" w:type="dxa"/>
            <w:shd w:val="clear" w:color="auto" w:fill="C6EFCE"/>
            <w:noWrap/>
          </w:tcPr>
          <w:p w14:paraId="172F84F8" w14:textId="77777777" w:rsidR="00D65CB4" w:rsidRPr="00BC4EE7" w:rsidRDefault="00572307">
            <w:pPr>
              <w:pStyle w:val="P68B1DB1-Normal12"/>
              <w:spacing w:after="0"/>
              <w:jc w:val="right"/>
              <w:rPr>
                <w:rFonts w:cs="Times New Roman"/>
                <w:noProof/>
              </w:rPr>
            </w:pPr>
            <w:r w:rsidRPr="00BC4EE7">
              <w:rPr>
                <w:rFonts w:cs="Times New Roman"/>
                <w:noProof/>
              </w:rPr>
              <w:t xml:space="preserve"> </w:t>
            </w:r>
          </w:p>
        </w:tc>
        <w:tc>
          <w:tcPr>
            <w:tcW w:w="697" w:type="dxa"/>
            <w:shd w:val="clear" w:color="auto" w:fill="C6EFCE"/>
            <w:noWrap/>
          </w:tcPr>
          <w:p w14:paraId="150CED72" w14:textId="77777777" w:rsidR="00D65CB4" w:rsidRPr="00BC4EE7" w:rsidRDefault="00572307">
            <w:pPr>
              <w:pStyle w:val="P68B1DB1-Normal12"/>
              <w:spacing w:after="0"/>
              <w:rPr>
                <w:rFonts w:cs="Times New Roman"/>
                <w:noProof/>
              </w:rPr>
            </w:pPr>
            <w:r w:rsidRPr="00BC4EE7">
              <w:rPr>
                <w:rFonts w:cs="Times New Roman"/>
                <w:noProof/>
              </w:rPr>
              <w:t xml:space="preserve"> </w:t>
            </w:r>
          </w:p>
        </w:tc>
        <w:tc>
          <w:tcPr>
            <w:tcW w:w="418" w:type="dxa"/>
            <w:shd w:val="clear" w:color="auto" w:fill="C6EFCE"/>
            <w:noWrap/>
          </w:tcPr>
          <w:p w14:paraId="2BFDEF9A" w14:textId="77777777" w:rsidR="00D65CB4" w:rsidRPr="00BC4EE7" w:rsidRDefault="00572307">
            <w:pPr>
              <w:pStyle w:val="P68B1DB1-Normal12"/>
              <w:spacing w:after="0"/>
              <w:jc w:val="center"/>
              <w:rPr>
                <w:rFonts w:cs="Times New Roman"/>
                <w:noProof/>
              </w:rPr>
            </w:pPr>
            <w:r w:rsidRPr="00BC4EE7">
              <w:rPr>
                <w:rFonts w:cs="Times New Roman"/>
                <w:noProof/>
              </w:rPr>
              <w:t>Q4</w:t>
            </w:r>
          </w:p>
        </w:tc>
        <w:tc>
          <w:tcPr>
            <w:tcW w:w="697" w:type="dxa"/>
            <w:shd w:val="clear" w:color="auto" w:fill="C6EFCE"/>
            <w:noWrap/>
          </w:tcPr>
          <w:p w14:paraId="47DDC1D5" w14:textId="77777777" w:rsidR="00D65CB4" w:rsidRPr="00BC4EE7" w:rsidRDefault="00572307">
            <w:pPr>
              <w:pStyle w:val="P68B1DB1-Normal12"/>
              <w:spacing w:after="0"/>
              <w:jc w:val="center"/>
              <w:rPr>
                <w:rFonts w:cs="Times New Roman"/>
                <w:noProof/>
              </w:rPr>
            </w:pPr>
            <w:r w:rsidRPr="00BC4EE7">
              <w:rPr>
                <w:rFonts w:cs="Times New Roman"/>
                <w:noProof/>
              </w:rPr>
              <w:t>2022</w:t>
            </w:r>
          </w:p>
        </w:tc>
        <w:tc>
          <w:tcPr>
            <w:tcW w:w="5032" w:type="dxa"/>
            <w:shd w:val="clear" w:color="auto" w:fill="C6EFCE"/>
            <w:noWrap/>
          </w:tcPr>
          <w:p w14:paraId="2161EEE2" w14:textId="77777777" w:rsidR="00D65CB4" w:rsidRPr="00BC4EE7" w:rsidRDefault="00572307">
            <w:pPr>
              <w:pStyle w:val="P68B1DB1-Normal12"/>
              <w:spacing w:after="0"/>
              <w:rPr>
                <w:rFonts w:cs="Times New Roman"/>
                <w:noProof/>
              </w:rPr>
            </w:pPr>
            <w:r w:rsidRPr="00BC4EE7">
              <w:rPr>
                <w:rFonts w:cs="Times New Roman"/>
                <w:noProof/>
              </w:rPr>
              <w:t>A Pénzügyminisztérium elvégzi az adókijátszás és az adócsalás elleni törvény időközi értékelését. Ezt az értékelést a lehetséges javítási ajánlásokkal együtt közzétesszük a Pénzügyminisztérium honlapján.</w:t>
            </w:r>
          </w:p>
        </w:tc>
      </w:tr>
      <w:tr w:rsidR="00D65CB4" w:rsidRPr="00BC4EE7" w14:paraId="6EC44DEC" w14:textId="77777777" w:rsidTr="00572307">
        <w:trPr>
          <w:trHeight w:val="309"/>
        </w:trPr>
        <w:tc>
          <w:tcPr>
            <w:tcW w:w="696" w:type="dxa"/>
            <w:shd w:val="clear" w:color="auto" w:fill="C6EFCE"/>
            <w:noWrap/>
          </w:tcPr>
          <w:p w14:paraId="7BF66A5C" w14:textId="77777777" w:rsidR="00D65CB4" w:rsidRPr="00BC4EE7" w:rsidRDefault="00572307">
            <w:pPr>
              <w:pStyle w:val="P68B1DB1-Normal12"/>
              <w:spacing w:after="0"/>
              <w:jc w:val="center"/>
              <w:rPr>
                <w:rFonts w:cs="Times New Roman"/>
                <w:noProof/>
              </w:rPr>
            </w:pPr>
            <w:r w:rsidRPr="00BC4EE7">
              <w:rPr>
                <w:rFonts w:cs="Times New Roman"/>
                <w:noProof/>
              </w:rPr>
              <w:t>378</w:t>
            </w:r>
          </w:p>
        </w:tc>
        <w:tc>
          <w:tcPr>
            <w:tcW w:w="892" w:type="dxa"/>
            <w:shd w:val="clear" w:color="auto" w:fill="C6EFCE"/>
            <w:noWrap/>
          </w:tcPr>
          <w:p w14:paraId="375B58F6" w14:textId="77777777" w:rsidR="00D65CB4" w:rsidRPr="00BC4EE7" w:rsidRDefault="00572307">
            <w:pPr>
              <w:pStyle w:val="P68B1DB1-Normal12"/>
              <w:spacing w:after="0"/>
              <w:jc w:val="center"/>
              <w:rPr>
                <w:rFonts w:cs="Times New Roman"/>
                <w:noProof/>
              </w:rPr>
            </w:pPr>
            <w:r w:rsidRPr="00BC4EE7">
              <w:rPr>
                <w:rFonts w:cs="Times New Roman"/>
                <w:noProof/>
              </w:rPr>
              <w:t>C27.R2</w:t>
            </w:r>
          </w:p>
        </w:tc>
        <w:tc>
          <w:tcPr>
            <w:tcW w:w="992" w:type="dxa"/>
            <w:shd w:val="clear" w:color="auto" w:fill="C6EFCE"/>
            <w:noWrap/>
          </w:tcPr>
          <w:p w14:paraId="4670B3DA" w14:textId="77777777" w:rsidR="00D65CB4" w:rsidRPr="00BC4EE7" w:rsidRDefault="00572307">
            <w:pPr>
              <w:pStyle w:val="P68B1DB1-Normal12"/>
              <w:spacing w:after="0"/>
              <w:jc w:val="center"/>
              <w:rPr>
                <w:rFonts w:cs="Times New Roman"/>
                <w:noProof/>
              </w:rPr>
            </w:pPr>
            <w:r w:rsidRPr="00BC4EE7">
              <w:rPr>
                <w:rFonts w:cs="Times New Roman"/>
                <w:noProof/>
              </w:rPr>
              <w:t>T</w:t>
            </w:r>
          </w:p>
        </w:tc>
        <w:tc>
          <w:tcPr>
            <w:tcW w:w="2707" w:type="dxa"/>
            <w:shd w:val="clear" w:color="auto" w:fill="C6EFCE"/>
            <w:noWrap/>
          </w:tcPr>
          <w:p w14:paraId="6CB08DE8" w14:textId="77777777" w:rsidR="00D65CB4" w:rsidRPr="00BC4EE7" w:rsidRDefault="00572307">
            <w:pPr>
              <w:pStyle w:val="P68B1DB1-Normal12"/>
              <w:spacing w:after="0"/>
              <w:rPr>
                <w:rFonts w:cs="Times New Roman"/>
                <w:noProof/>
              </w:rPr>
            </w:pPr>
            <w:r w:rsidRPr="00BC4EE7">
              <w:rPr>
                <w:rFonts w:cs="Times New Roman"/>
                <w:noProof/>
              </w:rPr>
              <w:t>Az adóhatóság korszerűsítése – Az adóhatóság személyzetének létszáma</w:t>
            </w:r>
          </w:p>
        </w:tc>
        <w:tc>
          <w:tcPr>
            <w:tcW w:w="1113" w:type="dxa"/>
            <w:shd w:val="clear" w:color="auto" w:fill="C6EFCE"/>
            <w:noWrap/>
          </w:tcPr>
          <w:p w14:paraId="4C40E3B5" w14:textId="77777777" w:rsidR="00D65CB4" w:rsidRPr="00BC4EE7" w:rsidRDefault="00572307">
            <w:pPr>
              <w:pStyle w:val="P68B1DB1-Normal12"/>
              <w:spacing w:after="0"/>
              <w:jc w:val="center"/>
              <w:rPr>
                <w:rFonts w:cs="Times New Roman"/>
                <w:noProof/>
              </w:rPr>
            </w:pPr>
            <w:r w:rsidRPr="00BC4EE7">
              <w:rPr>
                <w:rFonts w:cs="Times New Roman"/>
                <w:noProof/>
              </w:rPr>
              <w:t xml:space="preserve"> </w:t>
            </w:r>
          </w:p>
        </w:tc>
        <w:tc>
          <w:tcPr>
            <w:tcW w:w="836" w:type="dxa"/>
            <w:shd w:val="clear" w:color="auto" w:fill="C6EFCE"/>
            <w:noWrap/>
          </w:tcPr>
          <w:p w14:paraId="706C7C47" w14:textId="77777777" w:rsidR="00D65CB4" w:rsidRPr="00BC4EE7" w:rsidRDefault="00572307">
            <w:pPr>
              <w:pStyle w:val="P68B1DB1-Normal12"/>
              <w:spacing w:after="0"/>
              <w:jc w:val="center"/>
              <w:rPr>
                <w:rFonts w:cs="Times New Roman"/>
                <w:noProof/>
              </w:rPr>
            </w:pPr>
            <w:r w:rsidRPr="00BC4EE7">
              <w:rPr>
                <w:rFonts w:cs="Times New Roman"/>
                <w:noProof/>
              </w:rPr>
              <w:t xml:space="preserve">Szám </w:t>
            </w:r>
          </w:p>
        </w:tc>
        <w:tc>
          <w:tcPr>
            <w:tcW w:w="974" w:type="dxa"/>
            <w:shd w:val="clear" w:color="auto" w:fill="C6EFCE"/>
            <w:noWrap/>
          </w:tcPr>
          <w:p w14:paraId="0CE8B4B8" w14:textId="77777777" w:rsidR="00D65CB4" w:rsidRPr="00BC4EE7" w:rsidRDefault="00572307">
            <w:pPr>
              <w:pStyle w:val="P68B1DB1-Normal12"/>
              <w:spacing w:after="0"/>
              <w:jc w:val="right"/>
              <w:rPr>
                <w:rFonts w:cs="Times New Roman"/>
                <w:noProof/>
              </w:rPr>
            </w:pPr>
            <w:r w:rsidRPr="00BC4EE7">
              <w:rPr>
                <w:rFonts w:cs="Times New Roman"/>
                <w:noProof/>
              </w:rPr>
              <w:t xml:space="preserve">25 325 </w:t>
            </w:r>
          </w:p>
        </w:tc>
        <w:tc>
          <w:tcPr>
            <w:tcW w:w="697" w:type="dxa"/>
            <w:shd w:val="clear" w:color="auto" w:fill="C6EFCE"/>
            <w:noWrap/>
          </w:tcPr>
          <w:p w14:paraId="5669B34F" w14:textId="77777777" w:rsidR="00D65CB4" w:rsidRPr="00BC4EE7" w:rsidRDefault="00572307">
            <w:pPr>
              <w:pStyle w:val="P68B1DB1-Normal12"/>
              <w:spacing w:after="0"/>
              <w:rPr>
                <w:rFonts w:cs="Times New Roman"/>
                <w:noProof/>
              </w:rPr>
            </w:pPr>
            <w:r w:rsidRPr="00BC4EE7">
              <w:rPr>
                <w:rFonts w:cs="Times New Roman"/>
                <w:noProof/>
              </w:rPr>
              <w:t>26 320</w:t>
            </w:r>
          </w:p>
        </w:tc>
        <w:tc>
          <w:tcPr>
            <w:tcW w:w="418" w:type="dxa"/>
            <w:shd w:val="clear" w:color="auto" w:fill="C6EFCE"/>
            <w:noWrap/>
          </w:tcPr>
          <w:p w14:paraId="3010CDF1" w14:textId="77777777" w:rsidR="00D65CB4" w:rsidRPr="00BC4EE7" w:rsidRDefault="00572307">
            <w:pPr>
              <w:pStyle w:val="P68B1DB1-Normal12"/>
              <w:spacing w:after="0"/>
              <w:jc w:val="center"/>
              <w:rPr>
                <w:rFonts w:cs="Times New Roman"/>
                <w:noProof/>
              </w:rPr>
            </w:pPr>
            <w:r w:rsidRPr="00BC4EE7">
              <w:rPr>
                <w:rFonts w:cs="Times New Roman"/>
                <w:noProof/>
              </w:rPr>
              <w:t>Q4</w:t>
            </w:r>
          </w:p>
        </w:tc>
        <w:tc>
          <w:tcPr>
            <w:tcW w:w="697" w:type="dxa"/>
            <w:shd w:val="clear" w:color="auto" w:fill="C6EFCE"/>
            <w:noWrap/>
          </w:tcPr>
          <w:p w14:paraId="0FB97424" w14:textId="77777777" w:rsidR="00D65CB4" w:rsidRPr="00BC4EE7" w:rsidRDefault="00572307">
            <w:pPr>
              <w:pStyle w:val="P68B1DB1-Normal12"/>
              <w:spacing w:after="0"/>
              <w:jc w:val="center"/>
              <w:rPr>
                <w:rFonts w:cs="Times New Roman"/>
                <w:noProof/>
              </w:rPr>
            </w:pPr>
            <w:r w:rsidRPr="00BC4EE7">
              <w:rPr>
                <w:rFonts w:cs="Times New Roman"/>
                <w:noProof/>
              </w:rPr>
              <w:t>2021</w:t>
            </w:r>
          </w:p>
        </w:tc>
        <w:tc>
          <w:tcPr>
            <w:tcW w:w="5032" w:type="dxa"/>
            <w:shd w:val="clear" w:color="auto" w:fill="C6EFCE"/>
            <w:noWrap/>
          </w:tcPr>
          <w:p w14:paraId="58A93788" w14:textId="77777777" w:rsidR="00D65CB4" w:rsidRPr="00BC4EE7" w:rsidRDefault="00572307">
            <w:pPr>
              <w:pStyle w:val="P68B1DB1-Normal12"/>
              <w:spacing w:after="0"/>
              <w:rPr>
                <w:rFonts w:cs="Times New Roman"/>
                <w:noProof/>
              </w:rPr>
            </w:pPr>
            <w:r w:rsidRPr="00BC4EE7">
              <w:rPr>
                <w:rFonts w:cs="Times New Roman"/>
                <w:noProof/>
              </w:rPr>
              <w:t xml:space="preserve">Az adóhatóság személyzetének létszámát legalább 26320 főre kell növelni. Az alapforgatókönyv időpontja: 2020. december 31. </w:t>
            </w:r>
          </w:p>
        </w:tc>
      </w:tr>
      <w:tr w:rsidR="00D65CB4" w:rsidRPr="00BC4EE7" w14:paraId="7E1D7CFC" w14:textId="77777777" w:rsidTr="00572307">
        <w:trPr>
          <w:trHeight w:val="309"/>
        </w:trPr>
        <w:tc>
          <w:tcPr>
            <w:tcW w:w="696" w:type="dxa"/>
            <w:shd w:val="clear" w:color="auto" w:fill="C6EFCE"/>
            <w:noWrap/>
          </w:tcPr>
          <w:p w14:paraId="7BEE37B0"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379</w:t>
            </w:r>
          </w:p>
        </w:tc>
        <w:tc>
          <w:tcPr>
            <w:tcW w:w="892" w:type="dxa"/>
            <w:shd w:val="clear" w:color="auto" w:fill="C6EFCE"/>
            <w:noWrap/>
          </w:tcPr>
          <w:p w14:paraId="7CDB5CEF"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C27.R2</w:t>
            </w:r>
          </w:p>
        </w:tc>
        <w:tc>
          <w:tcPr>
            <w:tcW w:w="992" w:type="dxa"/>
            <w:shd w:val="clear" w:color="auto" w:fill="C6EFCE"/>
            <w:noWrap/>
          </w:tcPr>
          <w:p w14:paraId="068942BA"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T</w:t>
            </w:r>
          </w:p>
        </w:tc>
        <w:tc>
          <w:tcPr>
            <w:tcW w:w="2707" w:type="dxa"/>
            <w:shd w:val="clear" w:color="auto" w:fill="C6EFCE"/>
            <w:noWrap/>
          </w:tcPr>
          <w:p w14:paraId="5AD17D76" w14:textId="77777777" w:rsidR="00D65CB4" w:rsidRPr="00BC4EE7" w:rsidRDefault="00572307">
            <w:pPr>
              <w:pStyle w:val="P68B1DB1-Normal12"/>
              <w:spacing w:after="0"/>
              <w:rPr>
                <w:rFonts w:eastAsia="Times New Roman" w:cs="Times New Roman"/>
                <w:noProof/>
              </w:rPr>
            </w:pPr>
            <w:r w:rsidRPr="00BC4EE7">
              <w:rPr>
                <w:rFonts w:cs="Times New Roman"/>
                <w:noProof/>
              </w:rPr>
              <w:t>Az adóhatóság korszerűsítése – adóügyi vizsgálatok</w:t>
            </w:r>
          </w:p>
        </w:tc>
        <w:tc>
          <w:tcPr>
            <w:tcW w:w="1113" w:type="dxa"/>
            <w:shd w:val="clear" w:color="auto" w:fill="C6EFCE"/>
            <w:noWrap/>
          </w:tcPr>
          <w:p w14:paraId="31C6F1EF"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 </w:t>
            </w:r>
          </w:p>
        </w:tc>
        <w:tc>
          <w:tcPr>
            <w:tcW w:w="836" w:type="dxa"/>
            <w:shd w:val="clear" w:color="auto" w:fill="C6EFCE"/>
            <w:noWrap/>
          </w:tcPr>
          <w:p w14:paraId="383C1E0A"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Szám</w:t>
            </w:r>
          </w:p>
        </w:tc>
        <w:tc>
          <w:tcPr>
            <w:tcW w:w="974" w:type="dxa"/>
            <w:shd w:val="clear" w:color="auto" w:fill="C6EFCE"/>
            <w:noWrap/>
          </w:tcPr>
          <w:p w14:paraId="755932A8"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5 743</w:t>
            </w:r>
          </w:p>
        </w:tc>
        <w:tc>
          <w:tcPr>
            <w:tcW w:w="697" w:type="dxa"/>
            <w:shd w:val="clear" w:color="auto" w:fill="C6EFCE"/>
            <w:noWrap/>
          </w:tcPr>
          <w:p w14:paraId="79F94CBE" w14:textId="77777777" w:rsidR="00D65CB4" w:rsidRPr="00BC4EE7" w:rsidRDefault="00572307">
            <w:pPr>
              <w:pStyle w:val="P68B1DB1-Normal12"/>
              <w:spacing w:after="0"/>
              <w:rPr>
                <w:rFonts w:eastAsia="Times New Roman" w:cs="Times New Roman"/>
                <w:noProof/>
              </w:rPr>
            </w:pPr>
            <w:r w:rsidRPr="00BC4EE7">
              <w:rPr>
                <w:rFonts w:cs="Times New Roman"/>
                <w:noProof/>
              </w:rPr>
              <w:t>6 591</w:t>
            </w:r>
          </w:p>
        </w:tc>
        <w:tc>
          <w:tcPr>
            <w:tcW w:w="418" w:type="dxa"/>
            <w:shd w:val="clear" w:color="auto" w:fill="C6EFCE"/>
            <w:noWrap/>
          </w:tcPr>
          <w:p w14:paraId="6C01FCA6"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Q4</w:t>
            </w:r>
          </w:p>
        </w:tc>
        <w:tc>
          <w:tcPr>
            <w:tcW w:w="697" w:type="dxa"/>
            <w:shd w:val="clear" w:color="auto" w:fill="C6EFCE"/>
            <w:noWrap/>
          </w:tcPr>
          <w:p w14:paraId="23464E3D"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2021</w:t>
            </w:r>
          </w:p>
        </w:tc>
        <w:tc>
          <w:tcPr>
            <w:tcW w:w="5032" w:type="dxa"/>
            <w:shd w:val="clear" w:color="auto" w:fill="C6EFCE"/>
            <w:noWrap/>
          </w:tcPr>
          <w:p w14:paraId="5B343D38" w14:textId="77777777" w:rsidR="00D65CB4" w:rsidRPr="00BC4EE7" w:rsidRDefault="00572307">
            <w:pPr>
              <w:pStyle w:val="P68B1DB1-Normal12"/>
              <w:spacing w:after="0"/>
              <w:rPr>
                <w:rFonts w:eastAsia="Times New Roman" w:cs="Times New Roman"/>
                <w:noProof/>
              </w:rPr>
            </w:pPr>
            <w:r w:rsidRPr="00BC4EE7">
              <w:rPr>
                <w:rFonts w:cs="Times New Roman"/>
                <w:noProof/>
              </w:rPr>
              <w:t>A hatóságok 6591 adóellenőrzést végeznek (a 2021-ben végzett adóvizsgálatok száma) a be nem jelentett adóköteles tevékenységek feltárása érdekében. Az alapforgatókönyv időpontja: 2020. december 31.</w:t>
            </w:r>
          </w:p>
        </w:tc>
      </w:tr>
      <w:tr w:rsidR="00D65CB4" w:rsidRPr="00BC4EE7" w14:paraId="12127392" w14:textId="77777777" w:rsidTr="00572307">
        <w:trPr>
          <w:trHeight w:val="433"/>
        </w:trPr>
        <w:tc>
          <w:tcPr>
            <w:tcW w:w="696" w:type="dxa"/>
            <w:shd w:val="clear" w:color="auto" w:fill="C6EFCE"/>
            <w:noWrap/>
          </w:tcPr>
          <w:p w14:paraId="4C50C21D"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380</w:t>
            </w:r>
          </w:p>
        </w:tc>
        <w:tc>
          <w:tcPr>
            <w:tcW w:w="892" w:type="dxa"/>
            <w:shd w:val="clear" w:color="auto" w:fill="C6EFCE"/>
            <w:noWrap/>
          </w:tcPr>
          <w:p w14:paraId="5133A209"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C27.R3</w:t>
            </w:r>
          </w:p>
        </w:tc>
        <w:tc>
          <w:tcPr>
            <w:tcW w:w="992" w:type="dxa"/>
            <w:shd w:val="clear" w:color="auto" w:fill="C6EFCE"/>
            <w:noWrap/>
          </w:tcPr>
          <w:p w14:paraId="44DC0265"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T</w:t>
            </w:r>
          </w:p>
        </w:tc>
        <w:tc>
          <w:tcPr>
            <w:tcW w:w="2707" w:type="dxa"/>
            <w:shd w:val="clear" w:color="auto" w:fill="C6EFCE"/>
            <w:noWrap/>
          </w:tcPr>
          <w:p w14:paraId="4754AF56" w14:textId="77777777" w:rsidR="00D65CB4" w:rsidRPr="00BC4EE7" w:rsidRDefault="00572307">
            <w:pPr>
              <w:pStyle w:val="P68B1DB1-Normal12"/>
              <w:spacing w:after="0"/>
              <w:rPr>
                <w:rFonts w:eastAsia="Times New Roman" w:cs="Times New Roman"/>
                <w:noProof/>
              </w:rPr>
            </w:pPr>
            <w:r w:rsidRPr="00BC4EE7">
              <w:rPr>
                <w:rFonts w:cs="Times New Roman"/>
                <w:noProof/>
              </w:rPr>
              <w:t>Fokozott segítségnyújtás az adófizetőknek – Sociedades Web korszerűsítve és legalább 1666123 adófizető számára elérhető.</w:t>
            </w:r>
          </w:p>
        </w:tc>
        <w:tc>
          <w:tcPr>
            <w:tcW w:w="1113" w:type="dxa"/>
            <w:shd w:val="clear" w:color="auto" w:fill="C6EFCE"/>
            <w:noWrap/>
          </w:tcPr>
          <w:p w14:paraId="16D75D7F"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 </w:t>
            </w:r>
          </w:p>
        </w:tc>
        <w:tc>
          <w:tcPr>
            <w:tcW w:w="836" w:type="dxa"/>
            <w:shd w:val="clear" w:color="auto" w:fill="C6EFCE"/>
            <w:noWrap/>
          </w:tcPr>
          <w:p w14:paraId="5F2A9026"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Szám</w:t>
            </w:r>
          </w:p>
        </w:tc>
        <w:tc>
          <w:tcPr>
            <w:tcW w:w="974" w:type="dxa"/>
            <w:shd w:val="clear" w:color="auto" w:fill="C6EFCE"/>
            <w:noWrap/>
          </w:tcPr>
          <w:p w14:paraId="7EE8F8CA"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0</w:t>
            </w:r>
          </w:p>
        </w:tc>
        <w:tc>
          <w:tcPr>
            <w:tcW w:w="697" w:type="dxa"/>
            <w:shd w:val="clear" w:color="auto" w:fill="C6EFCE"/>
            <w:noWrap/>
          </w:tcPr>
          <w:p w14:paraId="4A9D484E" w14:textId="77777777" w:rsidR="00D65CB4" w:rsidRPr="00BC4EE7" w:rsidRDefault="00572307">
            <w:pPr>
              <w:pStyle w:val="P68B1DB1-Normal12"/>
              <w:spacing w:after="0"/>
              <w:rPr>
                <w:rFonts w:eastAsia="Times New Roman" w:cs="Times New Roman"/>
                <w:noProof/>
              </w:rPr>
            </w:pPr>
            <w:r w:rsidRPr="00BC4EE7">
              <w:rPr>
                <w:rFonts w:cs="Times New Roman"/>
                <w:noProof/>
              </w:rPr>
              <w:t>1 666 123</w:t>
            </w:r>
          </w:p>
        </w:tc>
        <w:tc>
          <w:tcPr>
            <w:tcW w:w="418" w:type="dxa"/>
            <w:shd w:val="clear" w:color="auto" w:fill="C6EFCE"/>
            <w:noWrap/>
          </w:tcPr>
          <w:p w14:paraId="0EEBB9F9"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Q4</w:t>
            </w:r>
          </w:p>
        </w:tc>
        <w:tc>
          <w:tcPr>
            <w:tcW w:w="697" w:type="dxa"/>
            <w:shd w:val="clear" w:color="auto" w:fill="C6EFCE"/>
            <w:noWrap/>
          </w:tcPr>
          <w:p w14:paraId="044A2C93"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2021</w:t>
            </w:r>
          </w:p>
        </w:tc>
        <w:tc>
          <w:tcPr>
            <w:tcW w:w="5032" w:type="dxa"/>
            <w:shd w:val="clear" w:color="auto" w:fill="C6EFCE"/>
            <w:noWrap/>
          </w:tcPr>
          <w:p w14:paraId="2C9CAFD6" w14:textId="77777777" w:rsidR="00D65CB4" w:rsidRPr="00BC4EE7" w:rsidRDefault="00572307">
            <w:pPr>
              <w:pStyle w:val="P68B1DB1-Normal12"/>
              <w:spacing w:after="0"/>
              <w:rPr>
                <w:rFonts w:eastAsia="Times New Roman" w:cs="Times New Roman"/>
                <w:noProof/>
              </w:rPr>
            </w:pPr>
            <w:r w:rsidRPr="00BC4EE7">
              <w:rPr>
                <w:rFonts w:cs="Times New Roman"/>
                <w:noProof/>
              </w:rPr>
              <w:t>Korszerűsíteni kell a</w:t>
            </w:r>
            <w:r w:rsidRPr="00BC4EE7">
              <w:rPr>
                <w:rFonts w:cs="Times New Roman"/>
                <w:i/>
                <w:noProof/>
              </w:rPr>
              <w:t>Sociedades Web</w:t>
            </w:r>
            <w:r w:rsidRPr="00BC4EE7">
              <w:rPr>
                <w:rFonts w:cs="Times New Roman"/>
                <w:noProof/>
              </w:rPr>
              <w:t xml:space="preserve"> -szolgáltatást, amely a társasági jövedelemben részesülő adófizetőknek szól, és automatikusan be kell mutatnia a vállalatok által a közigazgatásnak korábban bejelentett, az adóbevallás szempontjából releváns adóügyi információkat. A korszerűsítés befejezését követően a szolgáltatást 1666123 társasági jövedelemmel rendelkező adózó rendelkezésére kell bocsátani. Az alapforgatókönyv időpontja: 2020. december 31.</w:t>
            </w:r>
          </w:p>
        </w:tc>
      </w:tr>
      <w:tr w:rsidR="00D65CB4" w:rsidRPr="00BC4EE7" w14:paraId="11128318" w14:textId="77777777" w:rsidTr="00572307">
        <w:trPr>
          <w:trHeight w:val="309"/>
        </w:trPr>
        <w:tc>
          <w:tcPr>
            <w:tcW w:w="696" w:type="dxa"/>
            <w:shd w:val="clear" w:color="auto" w:fill="C6EFCE"/>
            <w:noWrap/>
          </w:tcPr>
          <w:p w14:paraId="68E85ECF" w14:textId="77777777" w:rsidR="00D65CB4" w:rsidRPr="00BC4EE7" w:rsidRDefault="00572307">
            <w:pPr>
              <w:pStyle w:val="P68B1DB1-Normal12"/>
              <w:spacing w:after="0"/>
              <w:jc w:val="center"/>
              <w:rPr>
                <w:rFonts w:cs="Times New Roman"/>
                <w:noProof/>
              </w:rPr>
            </w:pPr>
            <w:r w:rsidRPr="00BC4EE7">
              <w:rPr>
                <w:rFonts w:cs="Times New Roman"/>
                <w:noProof/>
              </w:rPr>
              <w:t>381</w:t>
            </w:r>
          </w:p>
        </w:tc>
        <w:tc>
          <w:tcPr>
            <w:tcW w:w="892" w:type="dxa"/>
            <w:shd w:val="clear" w:color="auto" w:fill="C6EFCE"/>
            <w:noWrap/>
          </w:tcPr>
          <w:p w14:paraId="358A22F0" w14:textId="77777777" w:rsidR="00D65CB4" w:rsidRPr="00BC4EE7" w:rsidRDefault="00572307">
            <w:pPr>
              <w:pStyle w:val="P68B1DB1-Normal12"/>
              <w:spacing w:after="0"/>
              <w:jc w:val="center"/>
              <w:rPr>
                <w:rFonts w:cs="Times New Roman"/>
                <w:noProof/>
              </w:rPr>
            </w:pPr>
            <w:r w:rsidRPr="00BC4EE7">
              <w:rPr>
                <w:rFonts w:cs="Times New Roman"/>
                <w:noProof/>
              </w:rPr>
              <w:t>C27.R3</w:t>
            </w:r>
          </w:p>
        </w:tc>
        <w:tc>
          <w:tcPr>
            <w:tcW w:w="992" w:type="dxa"/>
            <w:shd w:val="clear" w:color="auto" w:fill="C6EFCE"/>
            <w:noWrap/>
          </w:tcPr>
          <w:p w14:paraId="0F6B0EB5" w14:textId="77777777" w:rsidR="00D65CB4" w:rsidRPr="00BC4EE7" w:rsidRDefault="00572307">
            <w:pPr>
              <w:pStyle w:val="P68B1DB1-Normal12"/>
              <w:spacing w:after="0"/>
              <w:jc w:val="center"/>
              <w:rPr>
                <w:rFonts w:cs="Times New Roman"/>
                <w:noProof/>
              </w:rPr>
            </w:pPr>
            <w:r w:rsidRPr="00BC4EE7">
              <w:rPr>
                <w:rFonts w:cs="Times New Roman"/>
                <w:noProof/>
              </w:rPr>
              <w:t>T</w:t>
            </w:r>
          </w:p>
        </w:tc>
        <w:tc>
          <w:tcPr>
            <w:tcW w:w="2707" w:type="dxa"/>
            <w:shd w:val="clear" w:color="auto" w:fill="C6EFCE"/>
            <w:noWrap/>
          </w:tcPr>
          <w:p w14:paraId="191FEE1A" w14:textId="77777777" w:rsidR="00D65CB4" w:rsidRPr="00BC4EE7" w:rsidRDefault="00572307">
            <w:pPr>
              <w:pStyle w:val="P68B1DB1-Normal12"/>
              <w:spacing w:after="0"/>
              <w:rPr>
                <w:rFonts w:cs="Times New Roman"/>
                <w:noProof/>
              </w:rPr>
            </w:pPr>
            <w:r w:rsidRPr="00BC4EE7">
              <w:rPr>
                <w:rFonts w:cs="Times New Roman"/>
                <w:noProof/>
              </w:rPr>
              <w:t>Fokozott segítségnyújtás az adófizetőknek – a Renta Web korszerűsítése és legalább 1779505 adóalany számára elérhető</w:t>
            </w:r>
          </w:p>
        </w:tc>
        <w:tc>
          <w:tcPr>
            <w:tcW w:w="1113" w:type="dxa"/>
            <w:shd w:val="clear" w:color="auto" w:fill="C6EFCE"/>
            <w:noWrap/>
          </w:tcPr>
          <w:p w14:paraId="78FE25B2" w14:textId="77777777" w:rsidR="00D65CB4" w:rsidRPr="00BC4EE7" w:rsidRDefault="00572307">
            <w:pPr>
              <w:pStyle w:val="P68B1DB1-Normal12"/>
              <w:spacing w:after="0"/>
              <w:jc w:val="center"/>
              <w:rPr>
                <w:rFonts w:cs="Times New Roman"/>
                <w:noProof/>
              </w:rPr>
            </w:pPr>
            <w:r w:rsidRPr="00BC4EE7">
              <w:rPr>
                <w:rFonts w:cs="Times New Roman"/>
                <w:noProof/>
              </w:rPr>
              <w:t xml:space="preserve"> </w:t>
            </w:r>
          </w:p>
        </w:tc>
        <w:tc>
          <w:tcPr>
            <w:tcW w:w="836" w:type="dxa"/>
            <w:shd w:val="clear" w:color="auto" w:fill="C6EFCE"/>
            <w:noWrap/>
          </w:tcPr>
          <w:p w14:paraId="48F91E17" w14:textId="77777777" w:rsidR="00D65CB4" w:rsidRPr="00BC4EE7" w:rsidRDefault="00572307">
            <w:pPr>
              <w:pStyle w:val="P68B1DB1-Normal12"/>
              <w:spacing w:after="0"/>
              <w:jc w:val="center"/>
              <w:rPr>
                <w:rFonts w:cs="Times New Roman"/>
                <w:noProof/>
              </w:rPr>
            </w:pPr>
            <w:r w:rsidRPr="00BC4EE7">
              <w:rPr>
                <w:rFonts w:cs="Times New Roman"/>
                <w:noProof/>
              </w:rPr>
              <w:t>Szám</w:t>
            </w:r>
          </w:p>
        </w:tc>
        <w:tc>
          <w:tcPr>
            <w:tcW w:w="974" w:type="dxa"/>
            <w:shd w:val="clear" w:color="auto" w:fill="C6EFCE"/>
            <w:noWrap/>
          </w:tcPr>
          <w:p w14:paraId="18043F16" w14:textId="77777777" w:rsidR="00D65CB4" w:rsidRPr="00BC4EE7" w:rsidRDefault="00572307">
            <w:pPr>
              <w:pStyle w:val="P68B1DB1-Normal12"/>
              <w:spacing w:after="0"/>
              <w:rPr>
                <w:rFonts w:cs="Times New Roman"/>
                <w:noProof/>
              </w:rPr>
            </w:pPr>
            <w:r w:rsidRPr="00BC4EE7">
              <w:rPr>
                <w:rFonts w:cs="Times New Roman"/>
                <w:noProof/>
              </w:rPr>
              <w:t>0</w:t>
            </w:r>
          </w:p>
        </w:tc>
        <w:tc>
          <w:tcPr>
            <w:tcW w:w="697" w:type="dxa"/>
            <w:shd w:val="clear" w:color="auto" w:fill="C6EFCE"/>
            <w:noWrap/>
          </w:tcPr>
          <w:p w14:paraId="75F4E397" w14:textId="77777777" w:rsidR="00D65CB4" w:rsidRPr="00BC4EE7" w:rsidRDefault="00572307">
            <w:pPr>
              <w:pStyle w:val="P68B1DB1-Normal12"/>
              <w:spacing w:after="0"/>
              <w:rPr>
                <w:rFonts w:cs="Times New Roman"/>
                <w:noProof/>
              </w:rPr>
            </w:pPr>
            <w:r w:rsidRPr="00BC4EE7">
              <w:rPr>
                <w:rFonts w:cs="Times New Roman"/>
                <w:noProof/>
              </w:rPr>
              <w:t>1 779 505</w:t>
            </w:r>
          </w:p>
        </w:tc>
        <w:tc>
          <w:tcPr>
            <w:tcW w:w="418" w:type="dxa"/>
            <w:shd w:val="clear" w:color="auto" w:fill="C6EFCE"/>
            <w:noWrap/>
          </w:tcPr>
          <w:p w14:paraId="4ECC0553" w14:textId="77777777" w:rsidR="00D65CB4" w:rsidRPr="00BC4EE7" w:rsidRDefault="00572307">
            <w:pPr>
              <w:pStyle w:val="P68B1DB1-Normal12"/>
              <w:spacing w:after="0"/>
              <w:jc w:val="center"/>
              <w:rPr>
                <w:rFonts w:cs="Times New Roman"/>
                <w:noProof/>
              </w:rPr>
            </w:pPr>
            <w:r w:rsidRPr="00BC4EE7">
              <w:rPr>
                <w:rFonts w:cs="Times New Roman"/>
                <w:noProof/>
              </w:rPr>
              <w:t>Q4</w:t>
            </w:r>
          </w:p>
        </w:tc>
        <w:tc>
          <w:tcPr>
            <w:tcW w:w="697" w:type="dxa"/>
            <w:shd w:val="clear" w:color="auto" w:fill="C6EFCE"/>
            <w:noWrap/>
          </w:tcPr>
          <w:p w14:paraId="03F52988" w14:textId="77777777" w:rsidR="00D65CB4" w:rsidRPr="00BC4EE7" w:rsidRDefault="00572307">
            <w:pPr>
              <w:pStyle w:val="P68B1DB1-Normal12"/>
              <w:spacing w:after="0"/>
              <w:jc w:val="center"/>
              <w:rPr>
                <w:rFonts w:cs="Times New Roman"/>
                <w:noProof/>
              </w:rPr>
            </w:pPr>
            <w:r w:rsidRPr="00BC4EE7">
              <w:rPr>
                <w:rFonts w:cs="Times New Roman"/>
                <w:noProof/>
              </w:rPr>
              <w:t>2021</w:t>
            </w:r>
          </w:p>
        </w:tc>
        <w:tc>
          <w:tcPr>
            <w:tcW w:w="5032" w:type="dxa"/>
            <w:shd w:val="clear" w:color="auto" w:fill="C6EFCE"/>
            <w:noWrap/>
          </w:tcPr>
          <w:p w14:paraId="6F46FADA" w14:textId="77777777" w:rsidR="00D65CB4" w:rsidRPr="00BC4EE7" w:rsidRDefault="00572307">
            <w:pPr>
              <w:pStyle w:val="P68B1DB1-Normal12"/>
              <w:spacing w:after="0"/>
              <w:rPr>
                <w:rFonts w:cs="Times New Roman"/>
                <w:noProof/>
              </w:rPr>
            </w:pPr>
            <w:r w:rsidRPr="00BC4EE7">
              <w:rPr>
                <w:rFonts w:cs="Times New Roman"/>
                <w:i/>
                <w:noProof/>
              </w:rPr>
              <w:t>A Renta Web</w:t>
            </w:r>
            <w:r w:rsidRPr="00BC4EE7">
              <w:rPr>
                <w:rFonts w:cs="Times New Roman"/>
                <w:noProof/>
              </w:rPr>
              <w:t xml:space="preserve"> a személyi jövedelemadót célzó szoftver, amely lehetővé teszi a „libros</w:t>
            </w:r>
            <w:r w:rsidRPr="00BC4EE7">
              <w:rPr>
                <w:rFonts w:cs="Times New Roman"/>
                <w:i/>
                <w:noProof/>
              </w:rPr>
              <w:t>registro”</w:t>
            </w:r>
            <w:r w:rsidRPr="00BC4EE7">
              <w:rPr>
                <w:rFonts w:cs="Times New Roman"/>
                <w:noProof/>
              </w:rPr>
              <w:t>közvetlen bevitelét a személyi jövedelemadó-bevallásokba. Ez 1779505 személyes jövedelemmel rendelkező adózó számára lesz elérhető. Az alapforgatókönyv időpontja: 2020. december 31.</w:t>
            </w:r>
          </w:p>
        </w:tc>
      </w:tr>
      <w:tr w:rsidR="00D65CB4" w:rsidRPr="00BC4EE7" w14:paraId="68C1902E" w14:textId="77777777" w:rsidTr="00572307">
        <w:trPr>
          <w:trHeight w:val="309"/>
        </w:trPr>
        <w:tc>
          <w:tcPr>
            <w:tcW w:w="696" w:type="dxa"/>
            <w:shd w:val="clear" w:color="auto" w:fill="C6EFCE"/>
            <w:noWrap/>
          </w:tcPr>
          <w:p w14:paraId="0E3BF9FA"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382</w:t>
            </w:r>
          </w:p>
        </w:tc>
        <w:tc>
          <w:tcPr>
            <w:tcW w:w="892" w:type="dxa"/>
            <w:shd w:val="clear" w:color="auto" w:fill="C6EFCE"/>
            <w:noWrap/>
          </w:tcPr>
          <w:p w14:paraId="2DF19F86"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C27.R3</w:t>
            </w:r>
          </w:p>
        </w:tc>
        <w:tc>
          <w:tcPr>
            <w:tcW w:w="992" w:type="dxa"/>
            <w:shd w:val="clear" w:color="auto" w:fill="C6EFCE"/>
            <w:noWrap/>
          </w:tcPr>
          <w:p w14:paraId="298197E5"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2707" w:type="dxa"/>
            <w:shd w:val="clear" w:color="auto" w:fill="C6EFCE"/>
            <w:noWrap/>
          </w:tcPr>
          <w:p w14:paraId="6BACF937" w14:textId="77777777" w:rsidR="00D65CB4" w:rsidRPr="00BC4EE7" w:rsidRDefault="00572307">
            <w:pPr>
              <w:pStyle w:val="P68B1DB1-Normal12"/>
              <w:spacing w:after="0"/>
              <w:rPr>
                <w:rFonts w:eastAsia="Times New Roman" w:cs="Times New Roman"/>
                <w:noProof/>
              </w:rPr>
            </w:pPr>
            <w:r w:rsidRPr="00BC4EE7">
              <w:rPr>
                <w:rFonts w:cs="Times New Roman"/>
                <w:noProof/>
              </w:rPr>
              <w:t>Négy digitális támogatási platform megvalósítása</w:t>
            </w:r>
          </w:p>
        </w:tc>
        <w:tc>
          <w:tcPr>
            <w:tcW w:w="1113" w:type="dxa"/>
            <w:shd w:val="clear" w:color="auto" w:fill="C6EFCE"/>
            <w:noWrap/>
          </w:tcPr>
          <w:p w14:paraId="65E1A8B1"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Az adóhatóság jelentésének közzététele </w:t>
            </w:r>
          </w:p>
        </w:tc>
        <w:tc>
          <w:tcPr>
            <w:tcW w:w="836" w:type="dxa"/>
            <w:shd w:val="clear" w:color="auto" w:fill="C6EFCE"/>
            <w:noWrap/>
          </w:tcPr>
          <w:p w14:paraId="1D1175EE"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 </w:t>
            </w:r>
          </w:p>
        </w:tc>
        <w:tc>
          <w:tcPr>
            <w:tcW w:w="974" w:type="dxa"/>
            <w:shd w:val="clear" w:color="auto" w:fill="C6EFCE"/>
            <w:noWrap/>
          </w:tcPr>
          <w:p w14:paraId="41E5E6F4"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697" w:type="dxa"/>
            <w:shd w:val="clear" w:color="auto" w:fill="C6EFCE"/>
            <w:noWrap/>
          </w:tcPr>
          <w:p w14:paraId="2BDA0106"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418" w:type="dxa"/>
            <w:shd w:val="clear" w:color="auto" w:fill="C6EFCE"/>
            <w:noWrap/>
          </w:tcPr>
          <w:p w14:paraId="6566099C"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Q4</w:t>
            </w:r>
          </w:p>
        </w:tc>
        <w:tc>
          <w:tcPr>
            <w:tcW w:w="697" w:type="dxa"/>
            <w:shd w:val="clear" w:color="auto" w:fill="C6EFCE"/>
            <w:noWrap/>
          </w:tcPr>
          <w:p w14:paraId="168B9BFD"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2023</w:t>
            </w:r>
          </w:p>
        </w:tc>
        <w:tc>
          <w:tcPr>
            <w:tcW w:w="5032" w:type="dxa"/>
            <w:shd w:val="clear" w:color="auto" w:fill="C6EFCE"/>
            <w:noWrap/>
          </w:tcPr>
          <w:p w14:paraId="04EBE51F" w14:textId="77777777" w:rsidR="00D65CB4" w:rsidRPr="00BC4EE7" w:rsidRDefault="00572307">
            <w:pPr>
              <w:pStyle w:val="P68B1DB1-Normal12"/>
              <w:spacing w:after="0"/>
              <w:rPr>
                <w:rFonts w:eastAsia="Times New Roman" w:cs="Times New Roman"/>
                <w:noProof/>
              </w:rPr>
            </w:pPr>
            <w:r w:rsidRPr="00BC4EE7">
              <w:rPr>
                <w:rFonts w:cs="Times New Roman"/>
                <w:noProof/>
              </w:rPr>
              <w:t>Az adóhivatal négy digitális adóügyi támogatási platformot hoz létre és működtet az adófizetőknek nyújtott szolgáltatások javítása érdekében. A DSP-k virtuális online pultként működnek, amelyek szélesebb körű segítségnyújtási szolgáltatást nyújtanak az adófizetőknek, lehetővé téve számukra, hogy különböző nyelveken kapcsolatba lépjenek az adóhatósággal annak érdekében, hogy online ugyanazokat a támogatási eljárásokat hajthassák végre, mint a hagyományos irodákban rendelkezésre álló támogatási eljárások, mint például az általános információs szolgáltatások, a különböző eljárásokban nyújtott segítség és az adóbevallások benyújtásához nyújtott segítség.</w:t>
            </w:r>
          </w:p>
        </w:tc>
      </w:tr>
      <w:tr w:rsidR="00D65CB4" w:rsidRPr="00BC4EE7" w14:paraId="2CC903A3" w14:textId="77777777" w:rsidTr="00572307">
        <w:trPr>
          <w:trHeight w:val="309"/>
        </w:trPr>
        <w:tc>
          <w:tcPr>
            <w:tcW w:w="696" w:type="dxa"/>
            <w:shd w:val="clear" w:color="auto" w:fill="C6EFCE"/>
            <w:noWrap/>
          </w:tcPr>
          <w:p w14:paraId="64C51E35"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383</w:t>
            </w:r>
          </w:p>
        </w:tc>
        <w:tc>
          <w:tcPr>
            <w:tcW w:w="892" w:type="dxa"/>
            <w:shd w:val="clear" w:color="auto" w:fill="C6EFCE"/>
            <w:noWrap/>
          </w:tcPr>
          <w:p w14:paraId="7924CDDD"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C27.R4</w:t>
            </w:r>
          </w:p>
        </w:tc>
        <w:tc>
          <w:tcPr>
            <w:tcW w:w="992" w:type="dxa"/>
            <w:shd w:val="clear" w:color="auto" w:fill="C6EFCE"/>
            <w:noWrap/>
          </w:tcPr>
          <w:p w14:paraId="13FA85BC"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T</w:t>
            </w:r>
          </w:p>
        </w:tc>
        <w:tc>
          <w:tcPr>
            <w:tcW w:w="2707" w:type="dxa"/>
            <w:shd w:val="clear" w:color="auto" w:fill="C6EFCE"/>
            <w:noWrap/>
          </w:tcPr>
          <w:p w14:paraId="0CE926E3" w14:textId="77777777" w:rsidR="00D65CB4" w:rsidRPr="00BC4EE7" w:rsidRDefault="00572307">
            <w:pPr>
              <w:pStyle w:val="P68B1DB1-Normal12"/>
              <w:spacing w:after="0"/>
              <w:rPr>
                <w:rFonts w:eastAsia="Times New Roman" w:cs="Times New Roman"/>
                <w:noProof/>
              </w:rPr>
            </w:pPr>
            <w:r w:rsidRPr="00BC4EE7">
              <w:rPr>
                <w:rFonts w:cs="Times New Roman"/>
                <w:noProof/>
              </w:rPr>
              <w:t xml:space="preserve">Nemzetközi dimenzió – A regisztrált külföldi adófizetők azonosítása </w:t>
            </w:r>
          </w:p>
        </w:tc>
        <w:tc>
          <w:tcPr>
            <w:tcW w:w="1113" w:type="dxa"/>
            <w:shd w:val="clear" w:color="auto" w:fill="C6EFCE"/>
            <w:noWrap/>
          </w:tcPr>
          <w:p w14:paraId="67857EAC"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 </w:t>
            </w:r>
          </w:p>
        </w:tc>
        <w:tc>
          <w:tcPr>
            <w:tcW w:w="836" w:type="dxa"/>
            <w:shd w:val="clear" w:color="auto" w:fill="C6EFCE"/>
            <w:noWrap/>
          </w:tcPr>
          <w:p w14:paraId="07596CC5"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Szám (%)</w:t>
            </w:r>
          </w:p>
        </w:tc>
        <w:tc>
          <w:tcPr>
            <w:tcW w:w="974" w:type="dxa"/>
            <w:shd w:val="clear" w:color="auto" w:fill="C6EFCE"/>
            <w:noWrap/>
          </w:tcPr>
          <w:p w14:paraId="0CAE84B5"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0</w:t>
            </w:r>
          </w:p>
        </w:tc>
        <w:tc>
          <w:tcPr>
            <w:tcW w:w="697" w:type="dxa"/>
            <w:shd w:val="clear" w:color="auto" w:fill="C6EFCE"/>
            <w:noWrap/>
          </w:tcPr>
          <w:p w14:paraId="1E25BDA4"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85</w:t>
            </w:r>
          </w:p>
        </w:tc>
        <w:tc>
          <w:tcPr>
            <w:tcW w:w="418" w:type="dxa"/>
            <w:shd w:val="clear" w:color="auto" w:fill="C6EFCE"/>
            <w:noWrap/>
          </w:tcPr>
          <w:p w14:paraId="28E904A9"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Q4</w:t>
            </w:r>
          </w:p>
        </w:tc>
        <w:tc>
          <w:tcPr>
            <w:tcW w:w="697" w:type="dxa"/>
            <w:shd w:val="clear" w:color="auto" w:fill="C6EFCE"/>
            <w:noWrap/>
          </w:tcPr>
          <w:p w14:paraId="0E649732"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2021</w:t>
            </w:r>
          </w:p>
        </w:tc>
        <w:tc>
          <w:tcPr>
            <w:tcW w:w="5032" w:type="dxa"/>
            <w:shd w:val="clear" w:color="auto" w:fill="C6EFCE"/>
            <w:noWrap/>
          </w:tcPr>
          <w:p w14:paraId="44091DCC" w14:textId="77777777" w:rsidR="00D65CB4" w:rsidRPr="00BC4EE7" w:rsidRDefault="00572307">
            <w:pPr>
              <w:pStyle w:val="P68B1DB1-Normal12"/>
              <w:spacing w:after="0"/>
              <w:rPr>
                <w:rFonts w:eastAsia="Times New Roman" w:cs="Times New Roman"/>
                <w:noProof/>
              </w:rPr>
            </w:pPr>
            <w:r w:rsidRPr="00BC4EE7">
              <w:rPr>
                <w:rFonts w:cs="Times New Roman"/>
                <w:noProof/>
              </w:rPr>
              <w:t>Az adójogszabályoknak való megfelelés javítása érdekében – különösen a nyilvántartásban külföldi adózóként szereplő adózók esetében – az adóhatóság projektet hajt végre, amely az adózókra vonatkozó, különböző nemzetközi forrásokból, például a FATCA-ból és a CRS-ből származó új információkat használja fel. A projekt befejezését követően a kapott nemzetközi információk várhatóan alkalmasak lesznek kockázatelemzésre. A projekt célja, hogy azon nyilvántartott külföldi adózók legalább 85%-ának adóadatait azonosítsák, amelyekről az adóhatóság 2019-ben információkat kapott, és adóadatait 2021. december 31-ig kockázatelemzés céljából ellenőrizzék. Az alapforgatókönyv időpontja: 2020. december 31.</w:t>
            </w:r>
          </w:p>
        </w:tc>
      </w:tr>
      <w:tr w:rsidR="00D65CB4" w:rsidRPr="00BC4EE7" w14:paraId="2E94181E" w14:textId="77777777" w:rsidTr="00572307">
        <w:trPr>
          <w:trHeight w:val="309"/>
        </w:trPr>
        <w:tc>
          <w:tcPr>
            <w:tcW w:w="696" w:type="dxa"/>
            <w:shd w:val="clear" w:color="auto" w:fill="C6EFCE"/>
            <w:noWrap/>
          </w:tcPr>
          <w:p w14:paraId="369D469A"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384</w:t>
            </w:r>
          </w:p>
        </w:tc>
        <w:tc>
          <w:tcPr>
            <w:tcW w:w="892" w:type="dxa"/>
            <w:shd w:val="clear" w:color="auto" w:fill="C6EFCE"/>
            <w:noWrap/>
          </w:tcPr>
          <w:p w14:paraId="4AAA593D"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C27.R5</w:t>
            </w:r>
          </w:p>
        </w:tc>
        <w:tc>
          <w:tcPr>
            <w:tcW w:w="992" w:type="dxa"/>
            <w:shd w:val="clear" w:color="auto" w:fill="C6EFCE"/>
            <w:noWrap/>
          </w:tcPr>
          <w:p w14:paraId="042E4418"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T</w:t>
            </w:r>
          </w:p>
        </w:tc>
        <w:tc>
          <w:tcPr>
            <w:tcW w:w="2707" w:type="dxa"/>
            <w:shd w:val="clear" w:color="auto" w:fill="C6EFCE"/>
            <w:noWrap/>
          </w:tcPr>
          <w:p w14:paraId="7DF6F267" w14:textId="77777777" w:rsidR="00D65CB4" w:rsidRPr="00BC4EE7" w:rsidRDefault="00572307">
            <w:pPr>
              <w:pStyle w:val="P68B1DB1-Normal12"/>
              <w:spacing w:after="0"/>
              <w:rPr>
                <w:rFonts w:eastAsia="Times New Roman" w:cs="Times New Roman"/>
                <w:noProof/>
              </w:rPr>
            </w:pPr>
            <w:r w:rsidRPr="00BC4EE7">
              <w:rPr>
                <w:rFonts w:cs="Times New Roman"/>
                <w:noProof/>
              </w:rPr>
              <w:t>Együttműködési modell – Átláthatósági jelentések</w:t>
            </w:r>
          </w:p>
        </w:tc>
        <w:tc>
          <w:tcPr>
            <w:tcW w:w="1113" w:type="dxa"/>
            <w:shd w:val="clear" w:color="auto" w:fill="C6EFCE"/>
            <w:noWrap/>
          </w:tcPr>
          <w:p w14:paraId="05BE67A3"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 </w:t>
            </w:r>
          </w:p>
        </w:tc>
        <w:tc>
          <w:tcPr>
            <w:tcW w:w="836" w:type="dxa"/>
            <w:shd w:val="clear" w:color="auto" w:fill="C6EFCE"/>
            <w:noWrap/>
          </w:tcPr>
          <w:p w14:paraId="749A8266"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Szám </w:t>
            </w:r>
          </w:p>
        </w:tc>
        <w:tc>
          <w:tcPr>
            <w:tcW w:w="974" w:type="dxa"/>
            <w:shd w:val="clear" w:color="auto" w:fill="C6EFCE"/>
            <w:noWrap/>
          </w:tcPr>
          <w:p w14:paraId="66896702"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0</w:t>
            </w:r>
          </w:p>
        </w:tc>
        <w:tc>
          <w:tcPr>
            <w:tcW w:w="697" w:type="dxa"/>
            <w:shd w:val="clear" w:color="auto" w:fill="C6EFCE"/>
            <w:noWrap/>
          </w:tcPr>
          <w:p w14:paraId="40419D8E"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20</w:t>
            </w:r>
          </w:p>
        </w:tc>
        <w:tc>
          <w:tcPr>
            <w:tcW w:w="418" w:type="dxa"/>
            <w:shd w:val="clear" w:color="auto" w:fill="C6EFCE"/>
            <w:noWrap/>
          </w:tcPr>
          <w:p w14:paraId="304624A8"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Q4</w:t>
            </w:r>
          </w:p>
        </w:tc>
        <w:tc>
          <w:tcPr>
            <w:tcW w:w="697" w:type="dxa"/>
            <w:shd w:val="clear" w:color="auto" w:fill="C6EFCE"/>
            <w:noWrap/>
          </w:tcPr>
          <w:p w14:paraId="0DF9133B"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2021</w:t>
            </w:r>
          </w:p>
        </w:tc>
        <w:tc>
          <w:tcPr>
            <w:tcW w:w="5032" w:type="dxa"/>
            <w:shd w:val="clear" w:color="auto" w:fill="C6EFCE"/>
            <w:noWrap/>
          </w:tcPr>
          <w:p w14:paraId="27637BE0" w14:textId="77777777" w:rsidR="00D65CB4" w:rsidRPr="00BC4EE7" w:rsidRDefault="00572307">
            <w:pPr>
              <w:pStyle w:val="P68B1DB1-Normal12"/>
              <w:spacing w:after="0"/>
              <w:rPr>
                <w:rFonts w:eastAsia="Times New Roman" w:cs="Times New Roman"/>
                <w:noProof/>
              </w:rPr>
            </w:pPr>
            <w:r w:rsidRPr="00BC4EE7">
              <w:rPr>
                <w:rFonts w:cs="Times New Roman"/>
                <w:noProof/>
              </w:rPr>
              <w:t>Az adóhatóság 2021-ben olyan projektet hajt végre, amely arra ösztönzi a multinacionális vállalatokat, hogy tegyék közzé a működésükre vonatkozó információkat. Ezek a közzétételek következményekkel járhatnak az említett társaságok adózására nézve. A cél 2021-ben benyújtott 20 átláthatósági jelentés.</w:t>
            </w:r>
          </w:p>
        </w:tc>
      </w:tr>
    </w:tbl>
    <w:p w14:paraId="51CD281E" w14:textId="77777777" w:rsidR="00D65CB4" w:rsidRPr="00BC4EE7" w:rsidRDefault="00D65CB4" w:rsidP="00572307">
      <w:pPr>
        <w:pStyle w:val="SectionTitle"/>
        <w:jc w:val="left"/>
        <w:rPr>
          <w:rFonts w:ascii="Times New Roman" w:hAnsi="Times New Roman" w:cs="Times New Roman"/>
          <w:noProof/>
        </w:rPr>
        <w:sectPr w:rsidR="00D65CB4" w:rsidRPr="00BC4EE7" w:rsidSect="00B511EF">
          <w:headerReference w:type="even" r:id="rId532"/>
          <w:headerReference w:type="default" r:id="rId533"/>
          <w:footerReference w:type="even" r:id="rId534"/>
          <w:footerReference w:type="default" r:id="rId535"/>
          <w:headerReference w:type="first" r:id="rId536"/>
          <w:footerReference w:type="first" r:id="rId537"/>
          <w:pgSz w:w="16839" w:h="11907" w:orient="landscape"/>
          <w:pgMar w:top="1134" w:right="1134" w:bottom="1134" w:left="1134" w:header="567" w:footer="567" w:gutter="0"/>
          <w:cols w:space="720"/>
          <w:docGrid w:linePitch="360"/>
        </w:sectPr>
      </w:pPr>
    </w:p>
    <w:p w14:paraId="4688F100" w14:textId="77777777" w:rsidR="00D65CB4" w:rsidRPr="00BC4EE7" w:rsidRDefault="00572307">
      <w:pPr>
        <w:pStyle w:val="P68B1DB1-Heading12"/>
        <w:rPr>
          <w:rFonts w:cs="Times New Roman"/>
          <w:noProof/>
        </w:rPr>
      </w:pPr>
      <w:r w:rsidRPr="00BC4EE7">
        <w:rPr>
          <w:rFonts w:cs="Times New Roman"/>
          <w:noProof/>
        </w:rPr>
        <w:t>AB. KOMPONENS: Az adórendszer hozzáigazítása a XXI. század valóságához</w:t>
      </w:r>
    </w:p>
    <w:p w14:paraId="0E925F46" w14:textId="33528176" w:rsidR="00D65CB4" w:rsidRPr="00BC4EE7" w:rsidRDefault="00572307">
      <w:pPr>
        <w:pStyle w:val="P68B1DB1-Text118"/>
        <w:ind w:left="0"/>
        <w:rPr>
          <w:rFonts w:cs="Times New Roman"/>
          <w:noProof/>
        </w:rPr>
      </w:pPr>
      <w:r w:rsidRPr="00BC4EE7">
        <w:rPr>
          <w:rFonts w:cs="Times New Roman"/>
          <w:noProof/>
        </w:rPr>
        <w:t xml:space="preserve">A spanyol helyreállítási és rezilienciaépítési terv 28. komponensében szereplő intézkedések különböző adóügyi intézkedéseket foglalnak magukban, mint például a gazdasági válság 2020-as akut szakaszában hozott szükséghelyzeti intézkedések, új adók bevezetése a 2021. évi állami költségvetés keretében, valamint az adórendszer felülvizsgálatára és fejlesztésére irányuló középtávú projektek. Az intézkedések adóösztönzőket is tartalmaznak a zöld átállás felgyorsítása érdekében. A spanyol adórendszer reformjának célja, hogy méltányosabbá, progresszívebbé, fenntarthatóbbá és méltányosabbá tegye azt, miközben elmélyíti a zöld adózás kialakítását, magában foglalja a nemi dimenziót, és erősíti az általános érdekű közpolitikákat, például az egészségvédelmet. A reformok célja továbbá, hogy pozitívan járuljanak hozzá a gazdasági növekedéshez, a munkahelyteremtéshez, a gazdasági ellenálló képességhez és a területek közötti kohézióhoz. Mivel Spanyolországban az adóbevételek GDP-hez viszonyított aránya összességében alacsonyabb, mint a hasonló gazdaságokban, van lehetőség a bevételek növelésére és az államháztartás közép- és hosszú távú fenntarthatóságának előmozdítására. </w:t>
      </w:r>
    </w:p>
    <w:p w14:paraId="205DC4D7" w14:textId="72087E5C" w:rsidR="00D65CB4" w:rsidRPr="00BC4EE7" w:rsidRDefault="00572307">
      <w:pPr>
        <w:pStyle w:val="P68B1DB1-Text118"/>
        <w:ind w:left="0"/>
        <w:rPr>
          <w:rFonts w:cs="Times New Roman"/>
          <w:noProof/>
        </w:rPr>
      </w:pPr>
      <w:r w:rsidRPr="00BC4EE7">
        <w:rPr>
          <w:rFonts w:cs="Times New Roman"/>
          <w:noProof/>
        </w:rPr>
        <w:t xml:space="preserve">A komponens többek között a következőkről szóló országspecifikus ajánlásokkal foglalkozik: a költségvetési és közbeszerzési kereteknek a kormányzat valamennyi szintjén történő megerősítése (2019. évi 1. országspecifikus ajánlás), – amennyiben a gazdasági feltételek lehetővé teszik – a prudens középtávú költségvetési pozíció elérésére és az adósság fenntarthatóságának biztosítására irányuló költségvetési politikák folytatására, a beruházások ösztönzése mellett (1. országspecifikus ajánlás, 2020. évi 1. országspecifikus ajánlás), a közlekedés villamosítására (2023. és 4. országspecifikus ajánlás), az ökológiai és digitális átállásba történő beruházások növelésére (1., 2023., 1. és 2020. évi 3. sz. országspecifikus ajánlás), valamint a szociális és megfizethető energiahatékony lakások rendelkezésre állásának különösen felújítás révén történő növelésére (2023. és 4. országspecifikus ajánlás). </w:t>
      </w:r>
    </w:p>
    <w:p w14:paraId="48553FBA" w14:textId="77777777" w:rsidR="00D65CB4" w:rsidRPr="00BC4EE7" w:rsidRDefault="00572307">
      <w:pPr>
        <w:pStyle w:val="P68B1DB1-Text118"/>
        <w:ind w:left="0"/>
        <w:rPr>
          <w:rFonts w:cs="Times New Roman"/>
          <w:noProof/>
        </w:rPr>
      </w:pPr>
      <w:r w:rsidRPr="00BC4EE7">
        <w:rPr>
          <w:rFonts w:cs="Times New Roman"/>
          <w:noProof/>
        </w:rPr>
        <w:t>A jelentős károkozás elkerülését célzó elvről szóló technikai iránymutatásnak (2021/C58/01) megfelelően a helyreállítási és rezilienciaépítési tervben meghatározott intézkedések leírását és a helyreállítási és rezilienciaépítési tervben meghatározott enyhítő lépéseket figyelembe véve ebben a komponensben várhatóan egyetlen intézkedés sem sérti jelentős mértékben az (EU) 2020/852 rendelet 17. cikke szerinti környezeti célkitűzéseket.</w:t>
      </w:r>
    </w:p>
    <w:p w14:paraId="097A9153" w14:textId="77777777" w:rsidR="00D65CB4" w:rsidRPr="00BC4EE7" w:rsidRDefault="00572307">
      <w:pPr>
        <w:pStyle w:val="Text1"/>
        <w:ind w:left="709"/>
        <w:rPr>
          <w:rFonts w:ascii="Times New Roman" w:hAnsi="Times New Roman" w:cs="Times New Roman"/>
          <w:b/>
          <w:i/>
          <w:noProof/>
        </w:rPr>
      </w:pPr>
      <w:r w:rsidRPr="00BC4EE7">
        <w:rPr>
          <w:rFonts w:ascii="Times New Roman" w:hAnsi="Times New Roman" w:cs="Times New Roman"/>
          <w:b/>
          <w:noProof/>
          <w:u w:val="single"/>
        </w:rPr>
        <w:t xml:space="preserve">AB.1. </w:t>
      </w:r>
      <w:r w:rsidRPr="00BC4EE7">
        <w:rPr>
          <w:rFonts w:ascii="Times New Roman" w:hAnsi="Times New Roman" w:cs="Times New Roman"/>
          <w:noProof/>
        </w:rPr>
        <w:t xml:space="preserve"> </w:t>
      </w:r>
      <w:r w:rsidRPr="00BC4EE7">
        <w:rPr>
          <w:rFonts w:ascii="Times New Roman" w:hAnsi="Times New Roman" w:cs="Times New Roman"/>
          <w:b/>
          <w:noProof/>
          <w:u w:val="single"/>
        </w:rPr>
        <w:t>Vissza nem térítendő pénzügyi támogatás – a reformok és beruházások ismertetése</w:t>
      </w:r>
    </w:p>
    <w:p w14:paraId="3E25CCF5" w14:textId="77777777" w:rsidR="00D65CB4" w:rsidRPr="00BC4EE7" w:rsidRDefault="00572307">
      <w:pPr>
        <w:pStyle w:val="P68B1DB1-Text119"/>
        <w:ind w:left="0"/>
        <w:rPr>
          <w:rFonts w:cs="Times New Roman"/>
          <w:noProof/>
        </w:rPr>
      </w:pPr>
      <w:r w:rsidRPr="00BC4EE7">
        <w:rPr>
          <w:rFonts w:cs="Times New Roman"/>
          <w:noProof/>
        </w:rPr>
        <w:t>Reform (C28.R1) – A Covid19-világjárvány hatásainak enyhítése érdekében 2020-ban és 2021-ben hozott intézkedések</w:t>
      </w:r>
    </w:p>
    <w:p w14:paraId="4B34A87F" w14:textId="77777777" w:rsidR="00D65CB4" w:rsidRPr="00BC4EE7" w:rsidRDefault="00572307">
      <w:pPr>
        <w:pStyle w:val="P68B1DB1-Text118"/>
        <w:ind w:left="0"/>
        <w:rPr>
          <w:rFonts w:cs="Times New Roman"/>
          <w:noProof/>
        </w:rPr>
      </w:pPr>
      <w:r w:rsidRPr="00BC4EE7">
        <w:rPr>
          <w:rFonts w:cs="Times New Roman"/>
          <w:noProof/>
        </w:rPr>
        <w:t xml:space="preserve">Spanyolország 2020-ban és 2021-ben számos adóintézkedést vezetett be a Covid19-járvány okozta gazdasági válság negatív hatásainak enyhítése érdekében. Ezen intézkedések közé tartozott az adó- és vámtartozások elhalasztása, az adómegállapítási határidők felfüggesztése és meghosszabbítása, az egyszerűsített személyi jövedelemadó lehetőségei, a kkv-k társaságiadó- és héarendszere, az egészségügyi válság leküzdéséhez szükséges bizonyos áruk héakulcsának ideiglenes csökkentése, valamint a nem pénzügyi vállalatok fizetésképtelenségi alapjának létrehozása. Ezen intézkedések célja a világjárvány gazdasági és társadalmi hatásainak enyhítése volt. Ezek az intézkedések 2020. február 1-jén lépnek hatályba, és néhány intézkedés 2021-ben is folytatódik. </w:t>
      </w:r>
    </w:p>
    <w:p w14:paraId="3E30F3A4" w14:textId="77777777" w:rsidR="00D65CB4" w:rsidRPr="00BC4EE7" w:rsidRDefault="00572307">
      <w:pPr>
        <w:pStyle w:val="P68B1DB1-Text118"/>
        <w:ind w:left="0"/>
        <w:rPr>
          <w:rFonts w:cs="Times New Roman"/>
          <w:noProof/>
        </w:rPr>
      </w:pPr>
      <w:r w:rsidRPr="00BC4EE7">
        <w:rPr>
          <w:rFonts w:cs="Times New Roman"/>
          <w:noProof/>
        </w:rPr>
        <w:t>Az intézkedés végrehajtását 2021. március 31-ig be kell fejezni.</w:t>
      </w:r>
    </w:p>
    <w:p w14:paraId="5598FB2E" w14:textId="77777777" w:rsidR="00D65CB4" w:rsidRPr="00BC4EE7" w:rsidRDefault="00D65CB4">
      <w:pPr>
        <w:pStyle w:val="Text1"/>
        <w:ind w:left="0"/>
        <w:rPr>
          <w:rFonts w:ascii="Times New Roman" w:hAnsi="Times New Roman" w:cs="Times New Roman"/>
          <w:noProof/>
          <w:u w:val="single"/>
        </w:rPr>
        <w:sectPr w:rsidR="00D65CB4" w:rsidRPr="00BC4EE7" w:rsidSect="00B511EF">
          <w:headerReference w:type="even" r:id="rId538"/>
          <w:headerReference w:type="default" r:id="rId539"/>
          <w:footerReference w:type="even" r:id="rId540"/>
          <w:footerReference w:type="default" r:id="rId541"/>
          <w:headerReference w:type="first" r:id="rId542"/>
          <w:footerReference w:type="first" r:id="rId543"/>
          <w:pgSz w:w="11907" w:h="16839"/>
          <w:pgMar w:top="1134" w:right="1134" w:bottom="1134" w:left="1134" w:header="567" w:footer="567" w:gutter="0"/>
          <w:cols w:space="720"/>
          <w:docGrid w:linePitch="360"/>
        </w:sectPr>
      </w:pPr>
    </w:p>
    <w:p w14:paraId="76FFBCCE" w14:textId="77777777" w:rsidR="00D65CB4" w:rsidRPr="00BC4EE7" w:rsidRDefault="00572307">
      <w:pPr>
        <w:pStyle w:val="P68B1DB1-Text119"/>
        <w:ind w:left="0"/>
        <w:rPr>
          <w:rFonts w:cs="Times New Roman"/>
          <w:noProof/>
        </w:rPr>
      </w:pPr>
      <w:r w:rsidRPr="00BC4EE7">
        <w:rPr>
          <w:rFonts w:cs="Times New Roman"/>
          <w:noProof/>
        </w:rPr>
        <w:t>Reform (C28.R2) – Az adóelőny elemzése</w:t>
      </w:r>
    </w:p>
    <w:p w14:paraId="4BFB300F" w14:textId="77777777" w:rsidR="00D65CB4" w:rsidRPr="00BC4EE7" w:rsidRDefault="00572307">
      <w:pPr>
        <w:pStyle w:val="P68B1DB1-Text118"/>
        <w:ind w:left="0"/>
        <w:rPr>
          <w:rFonts w:cs="Times New Roman"/>
          <w:noProof/>
          <w:sz w:val="20"/>
        </w:rPr>
      </w:pPr>
      <w:r w:rsidRPr="00BC4EE7">
        <w:rPr>
          <w:rFonts w:cs="Times New Roman"/>
          <w:noProof/>
        </w:rPr>
        <w:t>A független költségvetési hatóság (autoridad</w:t>
      </w:r>
      <w:r w:rsidRPr="00BC4EE7">
        <w:rPr>
          <w:rFonts w:cs="Times New Roman"/>
          <w:i/>
          <w:noProof/>
        </w:rPr>
        <w:t>Independiente de Responsabilidad Fiscal</w:t>
      </w:r>
      <w:r w:rsidRPr="00BC4EE7">
        <w:rPr>
          <w:rFonts w:cs="Times New Roman"/>
          <w:noProof/>
        </w:rPr>
        <w:t>, AIReF) által a személyi jövedelemadóval, a jövedéki adókkal és a héával kapcsolatos adókedvezmények tekintetében végzett kiadási felülvizsgálat bizonyos adókedvezmények módosításának lehetőségeit azonosította. 2020-ban módosították a személyi jövedelemadó-rendszerek adókedvezményeit, valamint az üdítőitalokra és gyümölcslevekre, valamint egyes hozzáadott cukrot és/vagy édesítőszereket tartalmazó italokra vonatkozó kedvezményes héamértéket. A további szabályozási reformok 2023. március 31-ig történő végrehajtása egy 15 adókedvezmény értékelésére létrehozott munkacsoport ajánlásain alapul. E munkacsoport célja, hogy ajánlásokat fogalmazzon meg arra vonatkozóan, hogy az elkövetkező években miként lehet tovább módosítani vagy megszüntetni az adókedvezményeket az adórendszer hatékonyabbá tétele, a bevételek növelése, a zöld átállás támogatása és a méltányosság előmozdítása érdekében.</w:t>
      </w:r>
      <w:r w:rsidRPr="00BC4EE7">
        <w:rPr>
          <w:rFonts w:cs="Times New Roman"/>
          <w:noProof/>
          <w:sz w:val="20"/>
        </w:rPr>
        <w:t xml:space="preserve"> </w:t>
      </w:r>
    </w:p>
    <w:p w14:paraId="7E6F87C9" w14:textId="77777777" w:rsidR="00D65CB4" w:rsidRPr="00BC4EE7" w:rsidRDefault="00572307">
      <w:pPr>
        <w:pStyle w:val="P68B1DB1-Text118"/>
        <w:ind w:left="0"/>
        <w:rPr>
          <w:rFonts w:cs="Times New Roman"/>
          <w:noProof/>
        </w:rPr>
      </w:pPr>
      <w:r w:rsidRPr="00BC4EE7">
        <w:rPr>
          <w:rFonts w:cs="Times New Roman"/>
          <w:noProof/>
        </w:rPr>
        <w:t>Az intézkedés végrehajtását 2023. március 31-ig be kell fejezni.</w:t>
      </w:r>
    </w:p>
    <w:p w14:paraId="17B93025" w14:textId="77777777" w:rsidR="00D65CB4" w:rsidRPr="00BC4EE7" w:rsidRDefault="00572307">
      <w:pPr>
        <w:pStyle w:val="P68B1DB1-Text119"/>
        <w:ind w:left="0"/>
        <w:rPr>
          <w:rFonts w:cs="Times New Roman"/>
          <w:noProof/>
        </w:rPr>
      </w:pPr>
      <w:r w:rsidRPr="00BC4EE7">
        <w:rPr>
          <w:rFonts w:cs="Times New Roman"/>
          <w:noProof/>
        </w:rPr>
        <w:t>Reform (C28.R3) – Az adóreformmal foglalkozó szakértői bizottság létrehozása</w:t>
      </w:r>
    </w:p>
    <w:p w14:paraId="3678B450" w14:textId="77777777" w:rsidR="00D65CB4" w:rsidRPr="00BC4EE7" w:rsidRDefault="00572307">
      <w:pPr>
        <w:pStyle w:val="P68B1DB1-Text118"/>
        <w:ind w:left="0"/>
        <w:rPr>
          <w:rFonts w:cs="Times New Roman"/>
          <w:noProof/>
        </w:rPr>
      </w:pPr>
      <w:r w:rsidRPr="00BC4EE7">
        <w:rPr>
          <w:rFonts w:cs="Times New Roman"/>
          <w:noProof/>
        </w:rPr>
        <w:t>A hatóságok 2021. április 12-én szakértői bizottságot hoznak létre, amely megvizsgálja az optimális adórendszer jellemzőit, és ajánlásokat fogalmaz meg arra vonatkozóan, hogy miként lehet koherens módon korszerűsíteni és kiigazítani a jelenlegi adózást. A szakértői bizottság különösen a következő területekre fordít figyelmet:</w:t>
      </w:r>
    </w:p>
    <w:p w14:paraId="4FAA35BB" w14:textId="77777777" w:rsidR="00D65CB4" w:rsidRPr="00BC4EE7" w:rsidRDefault="00572307">
      <w:pPr>
        <w:pStyle w:val="P68B1DB1-Text118"/>
        <w:numPr>
          <w:ilvl w:val="0"/>
          <w:numId w:val="716"/>
        </w:numPr>
        <w:rPr>
          <w:rFonts w:cs="Times New Roman"/>
          <w:noProof/>
        </w:rPr>
      </w:pPr>
      <w:r w:rsidRPr="00BC4EE7">
        <w:rPr>
          <w:rFonts w:cs="Times New Roman"/>
          <w:noProof/>
        </w:rPr>
        <w:t xml:space="preserve">környezetvédelmi adók; </w:t>
      </w:r>
    </w:p>
    <w:p w14:paraId="4FDC2A83" w14:textId="77777777" w:rsidR="00D65CB4" w:rsidRPr="00BC4EE7" w:rsidRDefault="00572307">
      <w:pPr>
        <w:pStyle w:val="P68B1DB1-Text118"/>
        <w:numPr>
          <w:ilvl w:val="0"/>
          <w:numId w:val="716"/>
        </w:numPr>
        <w:rPr>
          <w:rFonts w:cs="Times New Roman"/>
          <w:noProof/>
        </w:rPr>
      </w:pPr>
      <w:r w:rsidRPr="00BC4EE7">
        <w:rPr>
          <w:rFonts w:cs="Times New Roman"/>
          <w:noProof/>
        </w:rPr>
        <w:t>társasági adózás;</w:t>
      </w:r>
    </w:p>
    <w:p w14:paraId="4C57CCCA" w14:textId="77777777" w:rsidR="00D65CB4" w:rsidRPr="00BC4EE7" w:rsidRDefault="00572307">
      <w:pPr>
        <w:pStyle w:val="P68B1DB1-Text118"/>
        <w:numPr>
          <w:ilvl w:val="0"/>
          <w:numId w:val="716"/>
        </w:numPr>
        <w:rPr>
          <w:rFonts w:cs="Times New Roman"/>
          <w:noProof/>
        </w:rPr>
      </w:pPr>
      <w:r w:rsidRPr="00BC4EE7">
        <w:rPr>
          <w:rFonts w:cs="Times New Roman"/>
          <w:noProof/>
        </w:rPr>
        <w:t>a digitalizált gazdaság adóztatása;</w:t>
      </w:r>
    </w:p>
    <w:p w14:paraId="5F583C1F" w14:textId="77777777" w:rsidR="00D65CB4" w:rsidRPr="00BC4EE7" w:rsidRDefault="00572307">
      <w:pPr>
        <w:pStyle w:val="P68B1DB1-Text118"/>
        <w:numPr>
          <w:ilvl w:val="0"/>
          <w:numId w:val="716"/>
        </w:numPr>
        <w:rPr>
          <w:rFonts w:cs="Times New Roman"/>
          <w:noProof/>
        </w:rPr>
      </w:pPr>
      <w:r w:rsidRPr="00BC4EE7">
        <w:rPr>
          <w:rFonts w:cs="Times New Roman"/>
          <w:noProof/>
        </w:rPr>
        <w:t>a vagyon adóztatása, beleértve az ingatlanadót és a harmonizáció konkrét végrehajtását ezen a területen;</w:t>
      </w:r>
    </w:p>
    <w:p w14:paraId="570749D3" w14:textId="77777777" w:rsidR="00D65CB4" w:rsidRPr="00BC4EE7" w:rsidRDefault="00572307">
      <w:pPr>
        <w:pStyle w:val="P68B1DB1-Text118"/>
        <w:numPr>
          <w:ilvl w:val="0"/>
          <w:numId w:val="716"/>
        </w:numPr>
        <w:rPr>
          <w:rFonts w:cs="Times New Roman"/>
          <w:noProof/>
        </w:rPr>
      </w:pPr>
      <w:r w:rsidRPr="00BC4EE7">
        <w:rPr>
          <w:rFonts w:cs="Times New Roman"/>
          <w:noProof/>
        </w:rPr>
        <w:t>a kialakulóban lévő gazdasági tevékenységek adóztatása; és</w:t>
      </w:r>
    </w:p>
    <w:p w14:paraId="4DA81851" w14:textId="77777777" w:rsidR="00D65CB4" w:rsidRPr="00BC4EE7" w:rsidRDefault="00572307">
      <w:pPr>
        <w:pStyle w:val="P68B1DB1-Text118"/>
        <w:numPr>
          <w:ilvl w:val="0"/>
          <w:numId w:val="716"/>
        </w:numPr>
        <w:rPr>
          <w:rFonts w:cs="Times New Roman"/>
          <w:noProof/>
        </w:rPr>
      </w:pPr>
      <w:r w:rsidRPr="00BC4EE7">
        <w:rPr>
          <w:rFonts w:cs="Times New Roman"/>
          <w:noProof/>
        </w:rPr>
        <w:t>nemek közötti egyenlőség.</w:t>
      </w:r>
    </w:p>
    <w:p w14:paraId="44B9AE26" w14:textId="77777777" w:rsidR="00D65CB4" w:rsidRPr="00BC4EE7" w:rsidRDefault="00572307">
      <w:pPr>
        <w:pStyle w:val="P68B1DB1-Text118"/>
        <w:ind w:left="0"/>
        <w:rPr>
          <w:rFonts w:cs="Times New Roman"/>
          <w:noProof/>
        </w:rPr>
      </w:pPr>
      <w:r w:rsidRPr="00BC4EE7">
        <w:rPr>
          <w:rFonts w:cs="Times New Roman"/>
          <w:noProof/>
        </w:rPr>
        <w:t>A reformot az elosztási hatás elemzésének is kísérnie kell, különös tekintettel a gyermekes családokra. Az elemzésnek legalább a következő elemeket kell tartalmaznia: az adórendszer általános költségvetési progresszivitására gyakorolt hatás; a veszélyeztetett csoportokra gyakorolt hatás; iii. a gyermekes családokra gyakorolt hatás; a nagyvállalatok adóztatása; és v. az adózás megoszlása a munkát terhelő adók és a tőke adóztatása között.</w:t>
      </w:r>
    </w:p>
    <w:p w14:paraId="225AAFAA" w14:textId="77777777" w:rsidR="00D65CB4" w:rsidRPr="00BC4EE7" w:rsidRDefault="00572307">
      <w:pPr>
        <w:pStyle w:val="P68B1DB1-Text118"/>
        <w:ind w:left="0"/>
        <w:rPr>
          <w:rFonts w:cs="Times New Roman"/>
          <w:noProof/>
        </w:rPr>
      </w:pPr>
      <w:r w:rsidRPr="00BC4EE7">
        <w:rPr>
          <w:rFonts w:cs="Times New Roman"/>
          <w:noProof/>
        </w:rPr>
        <w:t xml:space="preserve">A szakértői bizottság 2022 februárjában teszi közzé jelentését. Az adórendszernek a jelentés ajánlásain alapuló módosításai 2023. március 31-ig lépnek hatályba. </w:t>
      </w:r>
    </w:p>
    <w:p w14:paraId="0C11C7A8" w14:textId="77777777" w:rsidR="00D65CB4" w:rsidRPr="00BC4EE7" w:rsidRDefault="00572307">
      <w:pPr>
        <w:pStyle w:val="P68B1DB1-Text118"/>
        <w:ind w:left="0"/>
        <w:rPr>
          <w:rFonts w:cs="Times New Roman"/>
          <w:noProof/>
        </w:rPr>
      </w:pPr>
      <w:r w:rsidRPr="00BC4EE7">
        <w:rPr>
          <w:rFonts w:cs="Times New Roman"/>
          <w:noProof/>
        </w:rPr>
        <w:t>Az intézkedés végrehajtását 2023. március 31-ig be kell fejezni.</w:t>
      </w:r>
    </w:p>
    <w:p w14:paraId="212522AB" w14:textId="77777777" w:rsidR="00D65CB4" w:rsidRPr="00BC4EE7" w:rsidRDefault="00572307">
      <w:pPr>
        <w:pStyle w:val="P68B1DB1-Text119"/>
        <w:ind w:left="0"/>
        <w:rPr>
          <w:rFonts w:cs="Times New Roman"/>
          <w:noProof/>
        </w:rPr>
      </w:pPr>
      <w:r w:rsidRPr="00BC4EE7">
        <w:rPr>
          <w:rFonts w:cs="Times New Roman"/>
          <w:noProof/>
        </w:rPr>
        <w:t>Reform (C28.R4) – Az ökológiai átálláshoz hozzájáruló adóintézkedések reformja</w:t>
      </w:r>
    </w:p>
    <w:p w14:paraId="28AFBB29" w14:textId="77777777" w:rsidR="00D65CB4" w:rsidRPr="00BC4EE7" w:rsidRDefault="00572307">
      <w:pPr>
        <w:pStyle w:val="P68B1DB1-Text118"/>
        <w:ind w:left="0"/>
        <w:rPr>
          <w:rFonts w:cs="Times New Roman"/>
          <w:noProof/>
        </w:rPr>
      </w:pPr>
      <w:r w:rsidRPr="00BC4EE7">
        <w:rPr>
          <w:rFonts w:cs="Times New Roman"/>
          <w:noProof/>
        </w:rPr>
        <w:t xml:space="preserve">Ez a reform olyan adóintézkedéseket tartalmaz, amelyek célja a zöld átállás támogatása. Az intézkedések a következőket foglalják magukban: </w:t>
      </w:r>
    </w:p>
    <w:p w14:paraId="78ABE0D8" w14:textId="77777777" w:rsidR="00D65CB4" w:rsidRPr="00BC4EE7" w:rsidRDefault="00572307">
      <w:pPr>
        <w:pStyle w:val="P68B1DB1-Text118"/>
        <w:numPr>
          <w:ilvl w:val="0"/>
          <w:numId w:val="165"/>
        </w:numPr>
        <w:rPr>
          <w:rFonts w:cs="Times New Roman"/>
          <w:noProof/>
        </w:rPr>
      </w:pPr>
      <w:r w:rsidRPr="00BC4EE7">
        <w:rPr>
          <w:rFonts w:cs="Times New Roman"/>
          <w:noProof/>
        </w:rPr>
        <w:t>a hulladéklerakókban és hulladékégető művekben történő lerakására vonatkozó adó megállapítása;</w:t>
      </w:r>
    </w:p>
    <w:p w14:paraId="74DDAD36" w14:textId="77777777" w:rsidR="00D65CB4" w:rsidRPr="00BC4EE7" w:rsidRDefault="00572307">
      <w:pPr>
        <w:pStyle w:val="P68B1DB1-Text118"/>
        <w:numPr>
          <w:ilvl w:val="0"/>
          <w:numId w:val="165"/>
        </w:numPr>
        <w:rPr>
          <w:rFonts w:cs="Times New Roman"/>
          <w:noProof/>
        </w:rPr>
      </w:pPr>
      <w:r w:rsidRPr="00BC4EE7">
        <w:rPr>
          <w:rFonts w:cs="Times New Roman"/>
          <w:noProof/>
        </w:rPr>
        <w:t xml:space="preserve">a nem újrahasználható műanyag csomagolásokra kivetett adó bevezetése; </w:t>
      </w:r>
    </w:p>
    <w:p w14:paraId="774ADC70" w14:textId="77777777" w:rsidR="00D65CB4" w:rsidRPr="00BC4EE7" w:rsidRDefault="00572307">
      <w:pPr>
        <w:pStyle w:val="P68B1DB1-Text118"/>
        <w:numPr>
          <w:ilvl w:val="0"/>
          <w:numId w:val="165"/>
        </w:numPr>
        <w:rPr>
          <w:rFonts w:cs="Times New Roman"/>
          <w:noProof/>
        </w:rPr>
      </w:pPr>
      <w:r w:rsidRPr="00BC4EE7">
        <w:rPr>
          <w:rFonts w:cs="Times New Roman"/>
          <w:noProof/>
        </w:rPr>
        <w:t xml:space="preserve">a fluortartalmú üvegházhatású gázokra kivetett adó módosítása; </w:t>
      </w:r>
    </w:p>
    <w:p w14:paraId="0DF79D37" w14:textId="77777777" w:rsidR="00D65CB4" w:rsidRPr="00BC4EE7" w:rsidRDefault="00572307">
      <w:pPr>
        <w:pStyle w:val="P68B1DB1-Text118"/>
        <w:numPr>
          <w:ilvl w:val="0"/>
          <w:numId w:val="165"/>
        </w:numPr>
        <w:rPr>
          <w:rFonts w:cs="Times New Roman"/>
          <w:noProof/>
        </w:rPr>
      </w:pPr>
      <w:r w:rsidRPr="00BC4EE7">
        <w:rPr>
          <w:rFonts w:cs="Times New Roman"/>
          <w:noProof/>
        </w:rPr>
        <w:t>a mobilitással kapcsolatos adók vagy befizetések, például az úthasználati díjak és a gépjármű-regisztrációs adók; valamint,</w:t>
      </w:r>
    </w:p>
    <w:p w14:paraId="6F570970" w14:textId="77777777" w:rsidR="00D65CB4" w:rsidRPr="00BC4EE7" w:rsidRDefault="00572307">
      <w:pPr>
        <w:pStyle w:val="P68B1DB1-Text118"/>
        <w:numPr>
          <w:ilvl w:val="0"/>
          <w:numId w:val="165"/>
        </w:numPr>
        <w:rPr>
          <w:rFonts w:cs="Times New Roman"/>
          <w:noProof/>
        </w:rPr>
      </w:pPr>
      <w:r w:rsidRPr="00BC4EE7">
        <w:rPr>
          <w:rFonts w:cs="Times New Roman"/>
          <w:noProof/>
        </w:rPr>
        <w:t xml:space="preserve">az üzemanyagként felhasznált ásványolajokra vonatkozó támogatások felülvizsgálata. </w:t>
      </w:r>
    </w:p>
    <w:p w14:paraId="7912124F" w14:textId="77777777" w:rsidR="00D65CB4" w:rsidRPr="00BC4EE7" w:rsidRDefault="00572307">
      <w:pPr>
        <w:pStyle w:val="P68B1DB1-Text118"/>
        <w:ind w:left="0"/>
        <w:rPr>
          <w:rFonts w:cs="Times New Roman"/>
          <w:noProof/>
        </w:rPr>
      </w:pPr>
      <w:r w:rsidRPr="00BC4EE7">
        <w:rPr>
          <w:rFonts w:cs="Times New Roman"/>
          <w:noProof/>
        </w:rPr>
        <w:t xml:space="preserve">Az intézkedések végrehajtását 2022. június 30-ig be kell fejezni. </w:t>
      </w:r>
    </w:p>
    <w:p w14:paraId="45554E05" w14:textId="77777777" w:rsidR="00D65CB4" w:rsidRPr="00BC4EE7" w:rsidRDefault="00572307">
      <w:pPr>
        <w:pStyle w:val="P68B1DB1-Text119"/>
        <w:ind w:left="0"/>
        <w:rPr>
          <w:rFonts w:cs="Times New Roman"/>
          <w:noProof/>
        </w:rPr>
      </w:pPr>
      <w:r w:rsidRPr="00BC4EE7">
        <w:rPr>
          <w:rFonts w:cs="Times New Roman"/>
          <w:noProof/>
        </w:rPr>
        <w:t>Reform (C28.R5) – A digitális szolgáltatási adó jóváhagyása</w:t>
      </w:r>
    </w:p>
    <w:p w14:paraId="749EF041" w14:textId="77777777" w:rsidR="00D65CB4" w:rsidRPr="00BC4EE7" w:rsidRDefault="00572307">
      <w:pPr>
        <w:pStyle w:val="P68B1DB1-Text118"/>
        <w:ind w:left="0"/>
        <w:rPr>
          <w:rFonts w:cs="Times New Roman"/>
          <w:noProof/>
        </w:rPr>
      </w:pPr>
      <w:r w:rsidRPr="00BC4EE7">
        <w:rPr>
          <w:rFonts w:cs="Times New Roman"/>
          <w:noProof/>
        </w:rPr>
        <w:t xml:space="preserve">Ez a reform a 750 000 000 EUR-t meghaladó nettó árbevétellel és bizonyos digitális szolgáltatások, például online hirdetési és közvetítő szolgáltatások spanyolországi nyújtásából származó bevétellel rendelkező vállalkozások árbevételén alapuló illetéket vezet be. Az illeték független attól, hogy a társaság spanyol területen rendelkezik-e illetőséggel vagy sem. Az illeték 2021 első negyedévében lép hatályba. A reformnak tartalmaznia kell az intézkedésről szóló hatásvizsgálati jelentést is, amelyet 2022. és 2023. március 31-ig kell kiadni. </w:t>
      </w:r>
    </w:p>
    <w:p w14:paraId="1073D0AC" w14:textId="77777777" w:rsidR="00D65CB4" w:rsidRPr="00BC4EE7" w:rsidRDefault="00572307">
      <w:pPr>
        <w:pStyle w:val="P68B1DB1-Text118"/>
        <w:ind w:left="0"/>
        <w:rPr>
          <w:rFonts w:cs="Times New Roman"/>
          <w:noProof/>
        </w:rPr>
      </w:pPr>
      <w:r w:rsidRPr="00BC4EE7">
        <w:rPr>
          <w:rFonts w:cs="Times New Roman"/>
          <w:noProof/>
        </w:rPr>
        <w:t>Az intézkedés végrehajtását 2021. március 31-ig be kell fejezni.</w:t>
      </w:r>
    </w:p>
    <w:p w14:paraId="46190F0E" w14:textId="77777777" w:rsidR="00D65CB4" w:rsidRPr="00BC4EE7" w:rsidRDefault="00572307">
      <w:pPr>
        <w:pStyle w:val="P68B1DB1-Text119"/>
        <w:ind w:left="0"/>
        <w:rPr>
          <w:rFonts w:cs="Times New Roman"/>
          <w:noProof/>
        </w:rPr>
      </w:pPr>
      <w:r w:rsidRPr="00BC4EE7">
        <w:rPr>
          <w:rFonts w:cs="Times New Roman"/>
          <w:noProof/>
        </w:rPr>
        <w:t>Reform (C28.R6) – A pénzügyi tranzakciós adó jóváhagyása</w:t>
      </w:r>
    </w:p>
    <w:p w14:paraId="4A636B3F" w14:textId="77777777" w:rsidR="00D65CB4" w:rsidRPr="00BC4EE7" w:rsidRDefault="00572307">
      <w:pPr>
        <w:pStyle w:val="P68B1DB1-Text118"/>
        <w:ind w:left="0"/>
        <w:rPr>
          <w:rFonts w:cs="Times New Roman"/>
          <w:noProof/>
        </w:rPr>
      </w:pPr>
      <w:r w:rsidRPr="00BC4EE7">
        <w:rPr>
          <w:rFonts w:cs="Times New Roman"/>
          <w:noProof/>
        </w:rPr>
        <w:t xml:space="preserve">Ez az intézkedés az 1 000 000 000 EUR-t meghaladó piaci kapitalizációval rendelkező, tőzsdén jegyzett spanyol társaságok részvényeinek vételi értékén alapuló illetéket vezet be. A reform végrehajtása 2021 első negyedévében lépett hatályba. A reformnak tartalmaznia kell az intézkedésről szóló hatásvizsgálati jelentést is, amelyet 2022. és 2023. március 31-ig kell kiadni. </w:t>
      </w:r>
    </w:p>
    <w:p w14:paraId="63161D96" w14:textId="77777777" w:rsidR="00D65CB4" w:rsidRPr="00BC4EE7" w:rsidRDefault="00572307">
      <w:pPr>
        <w:pStyle w:val="P68B1DB1-Text118"/>
        <w:ind w:left="0"/>
        <w:rPr>
          <w:rFonts w:cs="Times New Roman"/>
          <w:noProof/>
        </w:rPr>
      </w:pPr>
      <w:r w:rsidRPr="00BC4EE7">
        <w:rPr>
          <w:rFonts w:cs="Times New Roman"/>
          <w:noProof/>
        </w:rPr>
        <w:t>Az intézkedés végrehajtását 2021. március 31-ig be kell fejezni.</w:t>
      </w:r>
    </w:p>
    <w:p w14:paraId="6279EB31" w14:textId="77777777" w:rsidR="00D65CB4" w:rsidRPr="00BC4EE7" w:rsidRDefault="00572307">
      <w:pPr>
        <w:pStyle w:val="P68B1DB1-Text119"/>
        <w:keepNext/>
        <w:ind w:left="0"/>
        <w:rPr>
          <w:rFonts w:cs="Times New Roman"/>
          <w:noProof/>
        </w:rPr>
      </w:pPr>
      <w:r w:rsidRPr="00BC4EE7">
        <w:rPr>
          <w:rFonts w:cs="Times New Roman"/>
          <w:noProof/>
        </w:rPr>
        <w:t>Reform (C28.R7) – A személyi adókra vonatkozó rövid távú adóintézkedések</w:t>
      </w:r>
    </w:p>
    <w:p w14:paraId="7A409F9F" w14:textId="77777777" w:rsidR="00D65CB4" w:rsidRPr="00BC4EE7" w:rsidRDefault="00572307">
      <w:pPr>
        <w:pStyle w:val="P68B1DB1-Text118"/>
        <w:keepNext/>
        <w:ind w:left="0"/>
        <w:rPr>
          <w:rFonts w:cs="Times New Roman"/>
          <w:noProof/>
        </w:rPr>
      </w:pPr>
      <w:r w:rsidRPr="00BC4EE7">
        <w:rPr>
          <w:rFonts w:cs="Times New Roman"/>
          <w:noProof/>
        </w:rPr>
        <w:t>A reformnak növelnie kell a személyi jövedelemadó progresszivitásának és újraelosztásának mértékét a személyi jövedelemadóról szóló törvény és a vagyonadóról szóló törvény módosításával. Nevezetesen az általános nemzeti skálán az általános értékelési alapként szolgáló 300000 euróról 2 százalékponttal, a 200 000 EUR-ról pedig 3 százalékponttal csökkenti az általános nemzeti skálát. Ezen túlmenően az egyéni nyugdíjjárulékok 8000 euróról 2000 euróra történő csökkentésének korlátját csökkenteni kell, és a társaság által a munkavállalójának fizetett járulékok jelenlegi felső határát 8 000 EUR-ról 10 000 EUR-ra kell emelni. Ezenkívül a vagyonadó tekintetében a reformnak 1 százalékponttal, 2,5%-ról 3,5%-ra kell emelnie a tarifa utolsó sávjára alkalmazandó kulcsot (a 10 000 000 EUR-t meghaladó eszközök esetében). A reform végrehajtását 2021. január 1-jéig kellett befejezni.</w:t>
      </w:r>
    </w:p>
    <w:p w14:paraId="1C389B63" w14:textId="77777777" w:rsidR="00D65CB4" w:rsidRPr="00BC4EE7" w:rsidRDefault="00572307">
      <w:pPr>
        <w:pStyle w:val="P68B1DB1-Text118"/>
        <w:ind w:left="0"/>
        <w:rPr>
          <w:rFonts w:cs="Times New Roman"/>
          <w:noProof/>
        </w:rPr>
      </w:pPr>
      <w:r w:rsidRPr="00BC4EE7">
        <w:rPr>
          <w:rFonts w:cs="Times New Roman"/>
          <w:noProof/>
        </w:rPr>
        <w:t>Az intézkedés végrehajtását 2021. március 31-ig be kell fejezni.</w:t>
      </w:r>
    </w:p>
    <w:p w14:paraId="42ADEBEC" w14:textId="77777777" w:rsidR="00D65CB4" w:rsidRPr="00BC4EE7" w:rsidRDefault="00572307">
      <w:pPr>
        <w:pStyle w:val="P68B1DB1-Text119"/>
        <w:ind w:left="0"/>
        <w:rPr>
          <w:rFonts w:cs="Times New Roman"/>
          <w:noProof/>
        </w:rPr>
      </w:pPr>
      <w:r w:rsidRPr="00BC4EE7">
        <w:rPr>
          <w:rFonts w:cs="Times New Roman"/>
          <w:noProof/>
        </w:rPr>
        <w:t>Reform (C28.R8) – Rövid távú adóintézkedések a társasági adó területén</w:t>
      </w:r>
    </w:p>
    <w:p w14:paraId="2540971A"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reformnak módosítania kell a társasági adóról szóló törvényt annak érdekében, hogy növelje ezen adónak a közkiadások támogatásához való hozzájárulását, ugyanakkor egyszerűsíti a mentességeket és levonásokat annak érdekében, hogy az adózók legalább 15%-os adókulcsot biztosítsanak. Ezzel szemben a spanyol területen belföldi és külföldi illetőségű leányvállalatokban való részesedésükből származó osztalékok és tőkenyereségek adómentessége 5%-kal csökken. </w:t>
      </w:r>
    </w:p>
    <w:p w14:paraId="39F1762B" w14:textId="77777777" w:rsidR="00D65CB4" w:rsidRPr="00BC4EE7" w:rsidRDefault="00572307">
      <w:pPr>
        <w:pStyle w:val="P68B1DB1-Text118"/>
        <w:ind w:left="0"/>
        <w:rPr>
          <w:rFonts w:cs="Times New Roman"/>
          <w:noProof/>
        </w:rPr>
      </w:pPr>
      <w:r w:rsidRPr="00BC4EE7">
        <w:rPr>
          <w:rFonts w:cs="Times New Roman"/>
          <w:noProof/>
        </w:rPr>
        <w:t>Az intézkedés végrehajtását 2021. március 31-ig be kell fejezni.</w:t>
      </w:r>
    </w:p>
    <w:p w14:paraId="7F4F3286"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Reform (C28.R9) – Rövid távú adóintézkedések a közvetett adók területén</w:t>
      </w:r>
    </w:p>
    <w:p w14:paraId="1C5235E5"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reform az üdítőitalokra, a gyümölcslevekre és a hozzáadott cukrot tartalmazó gáznemű italokra kiterjeszti a 21%-os általános héamérték alkalmazását. Egy ilyen intézkedés társadalmi kötelezettségvállalást jelent az ilyen italkategóriák felelősségteljes fogyasztásának előmozdítására, és összhangban van a spanyol jóléti állam külső költségeinek finanszírozására irányuló céllal, amelyek ebben az esetben az egészségtelen étrendből erednek. Ezenkívül a biztosítási díjak adókulcsát két százalékponttal, 8%-ra kell emelni, azonban a szomszédos országokhoz viszonyítva a közepesen alacsony sávban marad. </w:t>
      </w:r>
    </w:p>
    <w:p w14:paraId="18EA455F" w14:textId="77777777" w:rsidR="00D65CB4" w:rsidRPr="00BC4EE7" w:rsidRDefault="00572307">
      <w:pPr>
        <w:pStyle w:val="P68B1DB1-Text118"/>
        <w:ind w:left="0"/>
        <w:rPr>
          <w:rFonts w:cs="Times New Roman"/>
          <w:noProof/>
        </w:rPr>
      </w:pPr>
      <w:r w:rsidRPr="00BC4EE7">
        <w:rPr>
          <w:rFonts w:cs="Times New Roman"/>
          <w:noProof/>
        </w:rPr>
        <w:t>Az intézkedés végrehajtását 2021. március 31-ig be kell fejezni.</w:t>
      </w:r>
    </w:p>
    <w:p w14:paraId="6E74034F" w14:textId="77777777" w:rsidR="00D65CB4" w:rsidRPr="00BC4EE7" w:rsidRDefault="00572307">
      <w:pPr>
        <w:pStyle w:val="Text1"/>
        <w:ind w:left="709"/>
        <w:rPr>
          <w:rFonts w:ascii="Times New Roman" w:hAnsi="Times New Roman" w:cs="Times New Roman"/>
          <w:b/>
          <w:noProof/>
          <w:u w:val="single"/>
        </w:rPr>
      </w:pPr>
      <w:r w:rsidRPr="00BC4EE7">
        <w:rPr>
          <w:rFonts w:ascii="Times New Roman" w:hAnsi="Times New Roman" w:cs="Times New Roman"/>
          <w:b/>
          <w:noProof/>
          <w:u w:val="single"/>
        </w:rPr>
        <w:t xml:space="preserve">AB.2. </w:t>
      </w:r>
      <w:r w:rsidRPr="00BC4EE7">
        <w:rPr>
          <w:rFonts w:ascii="Times New Roman" w:hAnsi="Times New Roman" w:cs="Times New Roman"/>
          <w:noProof/>
        </w:rPr>
        <w:t xml:space="preserve"> </w:t>
      </w:r>
      <w:r w:rsidRPr="00BC4EE7">
        <w:rPr>
          <w:rFonts w:ascii="Times New Roman" w:hAnsi="Times New Roman" w:cs="Times New Roman"/>
          <w:b/>
          <w:noProof/>
          <w:u w:val="single"/>
        </w:rPr>
        <w:t>Vissza nem térítendő pénzügyi támogatás – a végrehajtáshoz és a nyomon követéshez kapcsolódó mérföldkövek, célok, mutatók és ütemterv</w:t>
      </w:r>
    </w:p>
    <w:p w14:paraId="73AFD792" w14:textId="77777777" w:rsidR="00D65CB4" w:rsidRPr="00BC4EE7" w:rsidRDefault="00572307">
      <w:pPr>
        <w:pStyle w:val="P68B1DB1-Normal4"/>
        <w:spacing w:before="120" w:after="120" w:line="240" w:lineRule="auto"/>
        <w:rPr>
          <w:rFonts w:cs="Times New Roman"/>
          <w:noProof/>
        </w:rPr>
      </w:pPr>
      <w:r w:rsidRPr="00BC4EE7">
        <w:rPr>
          <w:rFonts w:cs="Times New Roman"/>
          <w:i/>
          <w:noProof/>
        </w:rPr>
        <w:t>Táblázat alább.</w:t>
      </w:r>
      <w:r w:rsidRPr="00BC4EE7">
        <w:rPr>
          <w:rFonts w:cs="Times New Roman"/>
          <w:noProof/>
        </w:rPr>
        <w:t xml:space="preserve"> </w:t>
      </w:r>
      <w:r w:rsidRPr="00BC4EE7">
        <w:rPr>
          <w:rFonts w:cs="Times New Roman"/>
          <w:i/>
          <w:noProof/>
        </w:rPr>
        <w:t>Az összes mutató esetében az alapforgatókönyv időpontja 2020. február 1., kivéve, ha az intézkedés leírása ettől eltérően rendelkezik. A táblázatban szereplő összegek nem tartalmazzák a héát.</w:t>
      </w:r>
      <w:r w:rsidRPr="00BC4EE7">
        <w:rPr>
          <w:rFonts w:cs="Times New Roman"/>
          <w:noProof/>
        </w:rPr>
        <w:t xml:space="preserve"> </w:t>
      </w:r>
    </w:p>
    <w:p w14:paraId="3BEDEF34" w14:textId="77777777" w:rsidR="00D65CB4" w:rsidRPr="00BC4EE7" w:rsidRDefault="00D65CB4">
      <w:pPr>
        <w:pStyle w:val="Text1"/>
        <w:ind w:left="0"/>
        <w:rPr>
          <w:rFonts w:ascii="Times New Roman" w:hAnsi="Times New Roman" w:cs="Times New Roman"/>
          <w:noProof/>
        </w:rPr>
        <w:sectPr w:rsidR="00D65CB4" w:rsidRPr="00BC4EE7" w:rsidSect="00B511EF">
          <w:headerReference w:type="even" r:id="rId544"/>
          <w:headerReference w:type="default" r:id="rId545"/>
          <w:footerReference w:type="even" r:id="rId546"/>
          <w:footerReference w:type="default" r:id="rId547"/>
          <w:headerReference w:type="first" r:id="rId548"/>
          <w:footerReference w:type="first" r:id="rId549"/>
          <w:pgSz w:w="11907" w:h="16839"/>
          <w:pgMar w:top="1134" w:right="1134" w:bottom="1134" w:left="1134" w:header="567" w:footer="567" w:gutter="0"/>
          <w:cols w:space="720"/>
          <w:docGrid w:linePitch="360"/>
        </w:sectPr>
      </w:pPr>
    </w:p>
    <w:tbl>
      <w:tblPr>
        <w:tblW w:w="15369"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52"/>
        <w:gridCol w:w="922"/>
        <w:gridCol w:w="1062"/>
        <w:gridCol w:w="2449"/>
        <w:gridCol w:w="948"/>
        <w:gridCol w:w="408"/>
        <w:gridCol w:w="961"/>
        <w:gridCol w:w="476"/>
        <w:gridCol w:w="408"/>
        <w:gridCol w:w="543"/>
        <w:gridCol w:w="6281"/>
        <w:gridCol w:w="59"/>
      </w:tblGrid>
      <w:tr w:rsidR="00D65CB4" w:rsidRPr="00BC4EE7" w14:paraId="587DC8A2" w14:textId="77777777" w:rsidTr="00572307">
        <w:trPr>
          <w:gridAfter w:val="1"/>
          <w:wAfter w:w="59" w:type="dxa"/>
          <w:trHeight w:val="309"/>
          <w:tblHeader/>
        </w:trPr>
        <w:tc>
          <w:tcPr>
            <w:tcW w:w="852" w:type="dxa"/>
            <w:tcBorders>
              <w:bottom w:val="nil"/>
            </w:tcBorders>
            <w:shd w:val="clear" w:color="auto" w:fill="C6D9F1" w:themeFill="text2" w:themeFillTint="33"/>
            <w:noWrap/>
            <w:vAlign w:val="center"/>
          </w:tcPr>
          <w:p w14:paraId="31FE7EC6" w14:textId="77777777" w:rsidR="00D65CB4" w:rsidRPr="00BC4EE7" w:rsidRDefault="00572307">
            <w:pPr>
              <w:pStyle w:val="P68B1DB1-Normal8"/>
              <w:spacing w:after="0"/>
              <w:jc w:val="center"/>
              <w:rPr>
                <w:rFonts w:cs="Times New Roman"/>
                <w:noProof/>
              </w:rPr>
            </w:pPr>
            <w:r w:rsidRPr="00BC4EE7">
              <w:rPr>
                <w:rFonts w:cs="Times New Roman"/>
                <w:noProof/>
              </w:rPr>
              <w:t>Szám</w:t>
            </w:r>
          </w:p>
        </w:tc>
        <w:tc>
          <w:tcPr>
            <w:tcW w:w="922" w:type="dxa"/>
            <w:tcBorders>
              <w:bottom w:val="nil"/>
            </w:tcBorders>
            <w:shd w:val="clear" w:color="auto" w:fill="C6D9F1" w:themeFill="text2" w:themeFillTint="33"/>
            <w:noWrap/>
            <w:vAlign w:val="center"/>
          </w:tcPr>
          <w:p w14:paraId="0B524674" w14:textId="77777777" w:rsidR="00D65CB4" w:rsidRPr="00BC4EE7" w:rsidRDefault="00572307">
            <w:pPr>
              <w:pStyle w:val="P68B1DB1-Normal8"/>
              <w:spacing w:after="0"/>
              <w:jc w:val="center"/>
              <w:rPr>
                <w:rFonts w:cs="Times New Roman"/>
                <w:noProof/>
              </w:rPr>
            </w:pPr>
            <w:r w:rsidRPr="00BC4EE7">
              <w:rPr>
                <w:rFonts w:cs="Times New Roman"/>
                <w:noProof/>
              </w:rPr>
              <w:t>Intézkedés</w:t>
            </w:r>
          </w:p>
        </w:tc>
        <w:tc>
          <w:tcPr>
            <w:tcW w:w="1062" w:type="dxa"/>
            <w:tcBorders>
              <w:bottom w:val="nil"/>
            </w:tcBorders>
            <w:shd w:val="clear" w:color="auto" w:fill="C6D9F1" w:themeFill="text2" w:themeFillTint="33"/>
            <w:noWrap/>
            <w:vAlign w:val="center"/>
          </w:tcPr>
          <w:p w14:paraId="6E657F6B" w14:textId="77777777" w:rsidR="00D65CB4" w:rsidRPr="00BC4EE7" w:rsidRDefault="00572307">
            <w:pPr>
              <w:spacing w:after="0"/>
              <w:jc w:val="center"/>
              <w:rPr>
                <w:rFonts w:ascii="Times New Roman" w:hAnsi="Times New Roman" w:cs="Times New Roman"/>
                <w:b/>
                <w:noProof/>
                <w:sz w:val="18"/>
              </w:rPr>
            </w:pPr>
            <w:r w:rsidRPr="00BC4EE7">
              <w:rPr>
                <w:rFonts w:ascii="Times New Roman" w:hAnsi="Times New Roman" w:cs="Times New Roman"/>
                <w:b/>
                <w:noProof/>
                <w:sz w:val="18"/>
              </w:rPr>
              <w:t>Mérföldkő</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b/>
                <w:noProof/>
                <w:sz w:val="18"/>
              </w:rPr>
              <w:t xml:space="preserve"> /Cél</w:t>
            </w:r>
          </w:p>
        </w:tc>
        <w:tc>
          <w:tcPr>
            <w:tcW w:w="2449" w:type="dxa"/>
            <w:tcBorders>
              <w:bottom w:val="nil"/>
            </w:tcBorders>
            <w:shd w:val="clear" w:color="auto" w:fill="C6D9F1" w:themeFill="text2" w:themeFillTint="33"/>
            <w:noWrap/>
            <w:vAlign w:val="center"/>
          </w:tcPr>
          <w:p w14:paraId="46D61D50" w14:textId="77777777" w:rsidR="00D65CB4" w:rsidRPr="00BC4EE7" w:rsidRDefault="00572307">
            <w:pPr>
              <w:pStyle w:val="P68B1DB1-Normal8"/>
              <w:spacing w:after="0"/>
              <w:jc w:val="center"/>
              <w:rPr>
                <w:rFonts w:cs="Times New Roman"/>
                <w:noProof/>
              </w:rPr>
            </w:pPr>
            <w:r w:rsidRPr="00BC4EE7">
              <w:rPr>
                <w:rFonts w:cs="Times New Roman"/>
                <w:noProof/>
              </w:rPr>
              <w:t>Név</w:t>
            </w:r>
          </w:p>
        </w:tc>
        <w:tc>
          <w:tcPr>
            <w:tcW w:w="948" w:type="dxa"/>
            <w:tcBorders>
              <w:bottom w:val="nil"/>
            </w:tcBorders>
            <w:shd w:val="clear" w:color="auto" w:fill="C6D9F1" w:themeFill="text2" w:themeFillTint="33"/>
            <w:noWrap/>
            <w:vAlign w:val="center"/>
          </w:tcPr>
          <w:p w14:paraId="1F2F6034" w14:textId="77777777" w:rsidR="00D65CB4" w:rsidRPr="00BC4EE7" w:rsidRDefault="00572307">
            <w:pPr>
              <w:pStyle w:val="P68B1DB1-Normal8"/>
              <w:spacing w:after="0"/>
              <w:jc w:val="center"/>
              <w:rPr>
                <w:rFonts w:cs="Times New Roman"/>
                <w:noProof/>
              </w:rPr>
            </w:pPr>
            <w:r w:rsidRPr="00BC4EE7">
              <w:rPr>
                <w:rFonts w:cs="Times New Roman"/>
                <w:noProof/>
              </w:rPr>
              <w:t>A mérföldkövek minőségi mutatója</w:t>
            </w:r>
          </w:p>
        </w:tc>
        <w:tc>
          <w:tcPr>
            <w:tcW w:w="1845" w:type="dxa"/>
            <w:gridSpan w:val="3"/>
            <w:shd w:val="clear" w:color="auto" w:fill="C6D9F1" w:themeFill="text2" w:themeFillTint="33"/>
            <w:noWrap/>
            <w:vAlign w:val="center"/>
          </w:tcPr>
          <w:p w14:paraId="778A7212" w14:textId="77777777" w:rsidR="00D65CB4" w:rsidRPr="00BC4EE7" w:rsidRDefault="00572307">
            <w:pPr>
              <w:pStyle w:val="P68B1DB1-Normal8"/>
              <w:spacing w:after="0"/>
              <w:jc w:val="center"/>
              <w:rPr>
                <w:rFonts w:cs="Times New Roman"/>
                <w:noProof/>
              </w:rPr>
            </w:pPr>
            <w:r w:rsidRPr="00BC4EE7">
              <w:rPr>
                <w:rFonts w:cs="Times New Roman"/>
                <w:noProof/>
              </w:rPr>
              <w:t>A célérték mennyiségi mutatója</w:t>
            </w:r>
          </w:p>
        </w:tc>
        <w:tc>
          <w:tcPr>
            <w:tcW w:w="951" w:type="dxa"/>
            <w:gridSpan w:val="2"/>
            <w:shd w:val="clear" w:color="auto" w:fill="C6D9F1" w:themeFill="text2" w:themeFillTint="33"/>
            <w:noWrap/>
            <w:vAlign w:val="center"/>
          </w:tcPr>
          <w:p w14:paraId="15470BCF" w14:textId="77777777" w:rsidR="00D65CB4" w:rsidRPr="00BC4EE7" w:rsidRDefault="00572307">
            <w:pPr>
              <w:pStyle w:val="P68B1DB1-Normal8"/>
              <w:spacing w:after="0"/>
              <w:jc w:val="center"/>
              <w:rPr>
                <w:rFonts w:cs="Times New Roman"/>
                <w:noProof/>
              </w:rPr>
            </w:pPr>
            <w:r w:rsidRPr="00BC4EE7">
              <w:rPr>
                <w:rFonts w:cs="Times New Roman"/>
                <w:noProof/>
              </w:rPr>
              <w:t>Idő</w:t>
            </w:r>
          </w:p>
        </w:tc>
        <w:tc>
          <w:tcPr>
            <w:tcW w:w="6281" w:type="dxa"/>
            <w:tcBorders>
              <w:bottom w:val="nil"/>
            </w:tcBorders>
            <w:shd w:val="clear" w:color="auto" w:fill="C6D9F1" w:themeFill="text2" w:themeFillTint="33"/>
            <w:noWrap/>
            <w:vAlign w:val="center"/>
          </w:tcPr>
          <w:p w14:paraId="619CD3FF" w14:textId="77777777" w:rsidR="00D65CB4" w:rsidRPr="00BC4EE7" w:rsidRDefault="00572307">
            <w:pPr>
              <w:pStyle w:val="P68B1DB1-Normal8"/>
              <w:spacing w:after="0"/>
              <w:jc w:val="center"/>
              <w:rPr>
                <w:rFonts w:cs="Times New Roman"/>
                <w:noProof/>
              </w:rPr>
            </w:pPr>
            <w:r w:rsidRPr="00BC4EE7">
              <w:rPr>
                <w:rFonts w:cs="Times New Roman"/>
                <w:noProof/>
              </w:rPr>
              <w:t>Az egyes mérföldkövek és célértékek leírása</w:t>
            </w:r>
          </w:p>
        </w:tc>
      </w:tr>
      <w:tr w:rsidR="00D65CB4" w:rsidRPr="00BC4EE7" w14:paraId="7AF10250" w14:textId="77777777" w:rsidTr="00572307">
        <w:trPr>
          <w:gridAfter w:val="1"/>
          <w:wAfter w:w="59" w:type="dxa"/>
          <w:trHeight w:val="309"/>
          <w:tblHeader/>
        </w:trPr>
        <w:tc>
          <w:tcPr>
            <w:tcW w:w="852" w:type="dxa"/>
            <w:tcBorders>
              <w:top w:val="nil"/>
            </w:tcBorders>
            <w:shd w:val="clear" w:color="auto" w:fill="C6D9F1" w:themeFill="text2" w:themeFillTint="33"/>
            <w:noWrap/>
          </w:tcPr>
          <w:p w14:paraId="6C86D760" w14:textId="77777777" w:rsidR="00D65CB4" w:rsidRPr="00BC4EE7" w:rsidRDefault="00D65CB4">
            <w:pPr>
              <w:spacing w:after="0"/>
              <w:jc w:val="center"/>
              <w:rPr>
                <w:rFonts w:ascii="Times New Roman" w:hAnsi="Times New Roman" w:cs="Times New Roman"/>
                <w:b/>
                <w:noProof/>
                <w:sz w:val="18"/>
              </w:rPr>
            </w:pPr>
          </w:p>
        </w:tc>
        <w:tc>
          <w:tcPr>
            <w:tcW w:w="922" w:type="dxa"/>
            <w:tcBorders>
              <w:top w:val="nil"/>
            </w:tcBorders>
            <w:shd w:val="clear" w:color="auto" w:fill="C6D9F1" w:themeFill="text2" w:themeFillTint="33"/>
            <w:noWrap/>
          </w:tcPr>
          <w:p w14:paraId="0C0166A1" w14:textId="77777777" w:rsidR="00D65CB4" w:rsidRPr="00BC4EE7" w:rsidRDefault="00D65CB4">
            <w:pPr>
              <w:spacing w:after="0"/>
              <w:jc w:val="center"/>
              <w:rPr>
                <w:rFonts w:ascii="Times New Roman" w:hAnsi="Times New Roman" w:cs="Times New Roman"/>
                <w:b/>
                <w:noProof/>
                <w:sz w:val="18"/>
              </w:rPr>
            </w:pPr>
          </w:p>
        </w:tc>
        <w:tc>
          <w:tcPr>
            <w:tcW w:w="1062" w:type="dxa"/>
            <w:tcBorders>
              <w:top w:val="nil"/>
            </w:tcBorders>
            <w:shd w:val="clear" w:color="auto" w:fill="C6D9F1" w:themeFill="text2" w:themeFillTint="33"/>
            <w:noWrap/>
          </w:tcPr>
          <w:p w14:paraId="2CCADF91" w14:textId="77777777" w:rsidR="00D65CB4" w:rsidRPr="00BC4EE7" w:rsidRDefault="00D65CB4">
            <w:pPr>
              <w:spacing w:after="0"/>
              <w:jc w:val="center"/>
              <w:rPr>
                <w:rFonts w:ascii="Times New Roman" w:hAnsi="Times New Roman" w:cs="Times New Roman"/>
                <w:b/>
                <w:noProof/>
                <w:sz w:val="18"/>
              </w:rPr>
            </w:pPr>
          </w:p>
        </w:tc>
        <w:tc>
          <w:tcPr>
            <w:tcW w:w="2449" w:type="dxa"/>
            <w:tcBorders>
              <w:top w:val="nil"/>
            </w:tcBorders>
            <w:shd w:val="clear" w:color="auto" w:fill="C6D9F1" w:themeFill="text2" w:themeFillTint="33"/>
            <w:noWrap/>
          </w:tcPr>
          <w:p w14:paraId="7DEF968A" w14:textId="77777777" w:rsidR="00D65CB4" w:rsidRPr="00BC4EE7" w:rsidRDefault="00D65CB4">
            <w:pPr>
              <w:spacing w:after="0"/>
              <w:rPr>
                <w:rFonts w:ascii="Times New Roman" w:hAnsi="Times New Roman" w:cs="Times New Roman"/>
                <w:b/>
                <w:noProof/>
                <w:sz w:val="18"/>
              </w:rPr>
            </w:pPr>
          </w:p>
        </w:tc>
        <w:tc>
          <w:tcPr>
            <w:tcW w:w="948" w:type="dxa"/>
            <w:tcBorders>
              <w:top w:val="nil"/>
            </w:tcBorders>
            <w:shd w:val="clear" w:color="auto" w:fill="C6D9F1" w:themeFill="text2" w:themeFillTint="33"/>
            <w:noWrap/>
          </w:tcPr>
          <w:p w14:paraId="6B6F164E" w14:textId="77777777" w:rsidR="00D65CB4" w:rsidRPr="00BC4EE7" w:rsidRDefault="00D65CB4">
            <w:pPr>
              <w:spacing w:after="0"/>
              <w:jc w:val="center"/>
              <w:rPr>
                <w:rFonts w:ascii="Times New Roman" w:hAnsi="Times New Roman" w:cs="Times New Roman"/>
                <w:b/>
                <w:noProof/>
                <w:sz w:val="18"/>
              </w:rPr>
            </w:pPr>
          </w:p>
        </w:tc>
        <w:tc>
          <w:tcPr>
            <w:tcW w:w="408" w:type="dxa"/>
            <w:shd w:val="clear" w:color="auto" w:fill="C6D9F1" w:themeFill="text2" w:themeFillTint="33"/>
            <w:noWrap/>
          </w:tcPr>
          <w:p w14:paraId="1FB79703" w14:textId="77777777" w:rsidR="00D65CB4" w:rsidRPr="00BC4EE7" w:rsidRDefault="00572307">
            <w:pPr>
              <w:pStyle w:val="P68B1DB1-Normal8"/>
              <w:spacing w:after="0"/>
              <w:jc w:val="center"/>
              <w:rPr>
                <w:rFonts w:cs="Times New Roman"/>
                <w:noProof/>
              </w:rPr>
            </w:pPr>
            <w:r w:rsidRPr="00BC4EE7">
              <w:rPr>
                <w:rFonts w:cs="Times New Roman"/>
                <w:noProof/>
              </w:rPr>
              <w:t>Egység</w:t>
            </w:r>
          </w:p>
        </w:tc>
        <w:tc>
          <w:tcPr>
            <w:tcW w:w="961" w:type="dxa"/>
            <w:shd w:val="clear" w:color="auto" w:fill="C6D9F1" w:themeFill="text2" w:themeFillTint="33"/>
            <w:noWrap/>
          </w:tcPr>
          <w:p w14:paraId="61291E7C" w14:textId="08E0A50B" w:rsidR="00D65CB4" w:rsidRPr="00BC4EE7" w:rsidRDefault="00572307">
            <w:pPr>
              <w:pStyle w:val="P68B1DB1-Normal8"/>
              <w:spacing w:after="0"/>
              <w:jc w:val="center"/>
              <w:rPr>
                <w:rFonts w:cs="Times New Roman"/>
                <w:noProof/>
              </w:rPr>
            </w:pPr>
            <w:r w:rsidRPr="00BC4EE7">
              <w:rPr>
                <w:rFonts w:cs="Times New Roman"/>
                <w:noProof/>
              </w:rPr>
              <w:t>Kiindulási</w:t>
            </w:r>
          </w:p>
        </w:tc>
        <w:tc>
          <w:tcPr>
            <w:tcW w:w="476" w:type="dxa"/>
            <w:shd w:val="clear" w:color="auto" w:fill="C6D9F1" w:themeFill="text2" w:themeFillTint="33"/>
            <w:noWrap/>
          </w:tcPr>
          <w:p w14:paraId="0183776F" w14:textId="77777777" w:rsidR="00D65CB4" w:rsidRPr="00BC4EE7" w:rsidRDefault="00572307">
            <w:pPr>
              <w:pStyle w:val="P68B1DB1-Normal8"/>
              <w:spacing w:after="0"/>
              <w:jc w:val="center"/>
              <w:rPr>
                <w:rFonts w:cs="Times New Roman"/>
                <w:noProof/>
              </w:rPr>
            </w:pPr>
            <w:r w:rsidRPr="00BC4EE7">
              <w:rPr>
                <w:rFonts w:cs="Times New Roman"/>
                <w:noProof/>
              </w:rPr>
              <w:t>Cél</w:t>
            </w:r>
          </w:p>
        </w:tc>
        <w:tc>
          <w:tcPr>
            <w:tcW w:w="408" w:type="dxa"/>
            <w:shd w:val="clear" w:color="auto" w:fill="C6D9F1" w:themeFill="text2" w:themeFillTint="33"/>
            <w:noWrap/>
          </w:tcPr>
          <w:p w14:paraId="2B897E85" w14:textId="77777777" w:rsidR="00D65CB4" w:rsidRPr="00BC4EE7" w:rsidRDefault="00572307">
            <w:pPr>
              <w:pStyle w:val="P68B1DB1-Normal8"/>
              <w:spacing w:after="0"/>
              <w:jc w:val="center"/>
              <w:rPr>
                <w:rFonts w:cs="Times New Roman"/>
                <w:noProof/>
              </w:rPr>
            </w:pPr>
            <w:r w:rsidRPr="00BC4EE7">
              <w:rPr>
                <w:rFonts w:cs="Times New Roman"/>
                <w:noProof/>
              </w:rPr>
              <w:t>Q</w:t>
            </w:r>
          </w:p>
        </w:tc>
        <w:tc>
          <w:tcPr>
            <w:tcW w:w="543" w:type="dxa"/>
            <w:shd w:val="clear" w:color="auto" w:fill="C6D9F1" w:themeFill="text2" w:themeFillTint="33"/>
            <w:noWrap/>
          </w:tcPr>
          <w:p w14:paraId="54C779B3" w14:textId="77777777" w:rsidR="00D65CB4" w:rsidRPr="00BC4EE7" w:rsidRDefault="00572307">
            <w:pPr>
              <w:pStyle w:val="P68B1DB1-Normal8"/>
              <w:spacing w:after="0"/>
              <w:jc w:val="center"/>
              <w:rPr>
                <w:rFonts w:cs="Times New Roman"/>
                <w:noProof/>
              </w:rPr>
            </w:pPr>
            <w:r w:rsidRPr="00BC4EE7">
              <w:rPr>
                <w:rFonts w:cs="Times New Roman"/>
                <w:noProof/>
              </w:rPr>
              <w:t>Éve</w:t>
            </w:r>
          </w:p>
        </w:tc>
        <w:tc>
          <w:tcPr>
            <w:tcW w:w="6281" w:type="dxa"/>
            <w:tcBorders>
              <w:top w:val="nil"/>
            </w:tcBorders>
            <w:shd w:val="clear" w:color="auto" w:fill="C6D9F1" w:themeFill="text2" w:themeFillTint="33"/>
            <w:noWrap/>
          </w:tcPr>
          <w:p w14:paraId="0394B504" w14:textId="77777777" w:rsidR="00D65CB4" w:rsidRPr="00BC4EE7" w:rsidRDefault="00D65CB4">
            <w:pPr>
              <w:spacing w:after="0"/>
              <w:rPr>
                <w:rFonts w:ascii="Times New Roman" w:hAnsi="Times New Roman" w:cs="Times New Roman"/>
                <w:b/>
                <w:noProof/>
                <w:sz w:val="18"/>
              </w:rPr>
            </w:pPr>
          </w:p>
        </w:tc>
      </w:tr>
      <w:tr w:rsidR="00D65CB4" w:rsidRPr="00BC4EE7" w14:paraId="73BE4C25" w14:textId="77777777" w:rsidTr="00572307">
        <w:trPr>
          <w:trHeight w:val="309"/>
        </w:trPr>
        <w:tc>
          <w:tcPr>
            <w:tcW w:w="852" w:type="dxa"/>
            <w:shd w:val="clear" w:color="auto" w:fill="C6EFCE"/>
            <w:noWrap/>
          </w:tcPr>
          <w:p w14:paraId="0AF2A92F"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385</w:t>
            </w:r>
          </w:p>
        </w:tc>
        <w:tc>
          <w:tcPr>
            <w:tcW w:w="922" w:type="dxa"/>
            <w:shd w:val="clear" w:color="auto" w:fill="C6EFCE"/>
            <w:noWrap/>
          </w:tcPr>
          <w:p w14:paraId="1A5115C4"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C28.R1</w:t>
            </w:r>
          </w:p>
        </w:tc>
        <w:tc>
          <w:tcPr>
            <w:tcW w:w="1062" w:type="dxa"/>
            <w:shd w:val="clear" w:color="auto" w:fill="C6EFCE"/>
            <w:noWrap/>
          </w:tcPr>
          <w:p w14:paraId="33BCC1B1"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2449" w:type="dxa"/>
            <w:shd w:val="clear" w:color="auto" w:fill="C6EFCE"/>
            <w:noWrap/>
          </w:tcPr>
          <w:p w14:paraId="6B5F73B2" w14:textId="77777777" w:rsidR="00D65CB4" w:rsidRPr="00BC4EE7" w:rsidRDefault="00572307">
            <w:pPr>
              <w:pStyle w:val="P68B1DB1-Normal12"/>
              <w:spacing w:after="0"/>
              <w:rPr>
                <w:rFonts w:eastAsia="Times New Roman" w:cs="Times New Roman"/>
                <w:noProof/>
              </w:rPr>
            </w:pPr>
            <w:r w:rsidRPr="00BC4EE7">
              <w:rPr>
                <w:rFonts w:cs="Times New Roman"/>
                <w:noProof/>
              </w:rPr>
              <w:t>A Covid19-világjárvány hatásainak enyhítése érdekében 2020-ban és 2021-ben elfogadott költségvetési intézkedések.</w:t>
            </w:r>
          </w:p>
        </w:tc>
        <w:tc>
          <w:tcPr>
            <w:tcW w:w="948" w:type="dxa"/>
            <w:shd w:val="clear" w:color="auto" w:fill="C6EFCE"/>
            <w:noWrap/>
          </w:tcPr>
          <w:p w14:paraId="47E6700B"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A hatálybalépésüket feltüntető törvények és királyi törvényerejű rendeletek rendelkezései </w:t>
            </w:r>
          </w:p>
        </w:tc>
        <w:tc>
          <w:tcPr>
            <w:tcW w:w="408" w:type="dxa"/>
            <w:shd w:val="clear" w:color="auto" w:fill="C6EFCE"/>
            <w:noWrap/>
          </w:tcPr>
          <w:p w14:paraId="6E6543EA"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 </w:t>
            </w:r>
          </w:p>
        </w:tc>
        <w:tc>
          <w:tcPr>
            <w:tcW w:w="961" w:type="dxa"/>
            <w:shd w:val="clear" w:color="auto" w:fill="C6EFCE"/>
            <w:noWrap/>
          </w:tcPr>
          <w:p w14:paraId="3DEB53C1"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476" w:type="dxa"/>
            <w:shd w:val="clear" w:color="auto" w:fill="C6EFCE"/>
            <w:noWrap/>
          </w:tcPr>
          <w:p w14:paraId="07F8F4C0"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408" w:type="dxa"/>
            <w:shd w:val="clear" w:color="auto" w:fill="C6EFCE"/>
            <w:noWrap/>
          </w:tcPr>
          <w:p w14:paraId="74D210DC"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Q1</w:t>
            </w:r>
          </w:p>
        </w:tc>
        <w:tc>
          <w:tcPr>
            <w:tcW w:w="543" w:type="dxa"/>
            <w:shd w:val="clear" w:color="auto" w:fill="C6EFCE"/>
            <w:noWrap/>
          </w:tcPr>
          <w:p w14:paraId="39DDC115"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2021</w:t>
            </w:r>
          </w:p>
        </w:tc>
        <w:tc>
          <w:tcPr>
            <w:tcW w:w="6340" w:type="dxa"/>
            <w:gridSpan w:val="2"/>
            <w:shd w:val="clear" w:color="auto" w:fill="C6EFCE"/>
            <w:noWrap/>
          </w:tcPr>
          <w:p w14:paraId="0B451188" w14:textId="77777777" w:rsidR="00D65CB4" w:rsidRPr="00BC4EE7" w:rsidRDefault="00572307">
            <w:pPr>
              <w:spacing w:after="0"/>
              <w:rPr>
                <w:rFonts w:ascii="Times New Roman" w:eastAsia="Times New Roman" w:hAnsi="Times New Roman" w:cs="Times New Roman"/>
                <w:noProof/>
                <w:sz w:val="18"/>
              </w:rPr>
            </w:pPr>
            <w:r w:rsidRPr="00BC4EE7">
              <w:rPr>
                <w:rFonts w:ascii="Times New Roman" w:hAnsi="Times New Roman" w:cs="Times New Roman"/>
                <w:noProof/>
                <w:sz w:val="18"/>
              </w:rPr>
              <w:t>A Covid19-világjárvány kedvezőtlen gazdasági és társadalmi hatásainak enyhítése érdekében 2020-ban és 2021-ben elfogadott adóintézkedések hatálybalépése:</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1. Átmeneti rendeletek: a kormány által a Covid19-világjárvány kezdete óta jóváhagyott különböző királyi törvényerejű rendeletek.</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2. Az állami szabályozások módosítása:</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A családon belüli átvitelről szóló adóról szóló törvény egységes szerkezetbe foglalt szövegének jóváhagyásáról szóló, 1993. szeptember 24-i 1/1993. sz. királyi törvényerejű rendelet és az okiratba foglalt jogi aktusok.</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A hozzáadottérték-adóról szóló, 1992. december 28-i 37/1992. sz. törvény.</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A nonprofit szervezetek adórendszeréről és a védnökségre vonatkozó adókedvezményekről szóló, 2002. december 23-i 49/2002. sz. törvény.</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A december 17-i 58/2003. sz. törvény, általános adó.</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A személyi jövedelemadóról szóló, november 28-i 35/2006. sz. törvény</w:t>
            </w:r>
          </w:p>
        </w:tc>
      </w:tr>
      <w:tr w:rsidR="00D65CB4" w:rsidRPr="00BC4EE7" w14:paraId="1B1174ED" w14:textId="77777777" w:rsidTr="00572307">
        <w:trPr>
          <w:trHeight w:val="309"/>
        </w:trPr>
        <w:tc>
          <w:tcPr>
            <w:tcW w:w="852" w:type="dxa"/>
            <w:shd w:val="clear" w:color="auto" w:fill="C6EFCE"/>
            <w:noWrap/>
          </w:tcPr>
          <w:p w14:paraId="667C1B0E"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386</w:t>
            </w:r>
          </w:p>
        </w:tc>
        <w:tc>
          <w:tcPr>
            <w:tcW w:w="922" w:type="dxa"/>
            <w:shd w:val="clear" w:color="auto" w:fill="C6EFCE"/>
            <w:noWrap/>
          </w:tcPr>
          <w:p w14:paraId="4226CC6A"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C28.R2</w:t>
            </w:r>
          </w:p>
        </w:tc>
        <w:tc>
          <w:tcPr>
            <w:tcW w:w="1062" w:type="dxa"/>
            <w:shd w:val="clear" w:color="auto" w:fill="C6EFCE"/>
            <w:noWrap/>
          </w:tcPr>
          <w:p w14:paraId="657CE0A9"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2449" w:type="dxa"/>
            <w:shd w:val="clear" w:color="auto" w:fill="C6EFCE"/>
            <w:noWrap/>
          </w:tcPr>
          <w:p w14:paraId="02C3B1A7" w14:textId="77777777" w:rsidR="00D65CB4" w:rsidRPr="00BC4EE7" w:rsidRDefault="00572307">
            <w:pPr>
              <w:pStyle w:val="P68B1DB1-Normal12"/>
              <w:spacing w:after="0"/>
              <w:rPr>
                <w:rFonts w:eastAsia="Times New Roman" w:cs="Times New Roman"/>
                <w:noProof/>
              </w:rPr>
            </w:pPr>
            <w:r w:rsidRPr="00BC4EE7">
              <w:rPr>
                <w:rFonts w:cs="Times New Roman"/>
                <w:noProof/>
              </w:rPr>
              <w:t>Adókedvezmények felülvizsgálata és módosítása</w:t>
            </w:r>
          </w:p>
        </w:tc>
        <w:tc>
          <w:tcPr>
            <w:tcW w:w="948" w:type="dxa"/>
            <w:shd w:val="clear" w:color="auto" w:fill="C6EFCE"/>
            <w:noWrap/>
          </w:tcPr>
          <w:p w14:paraId="2883099E"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A reformok azon rendelkezései, amelyek a hatálybalépésüket jelzik, és a munkacsoport ajánlásainak a pénzügyi honlapon való közzététele</w:t>
            </w:r>
          </w:p>
        </w:tc>
        <w:tc>
          <w:tcPr>
            <w:tcW w:w="408" w:type="dxa"/>
            <w:shd w:val="clear" w:color="auto" w:fill="C6EFCE"/>
            <w:noWrap/>
          </w:tcPr>
          <w:p w14:paraId="4614C3D9"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 </w:t>
            </w:r>
          </w:p>
        </w:tc>
        <w:tc>
          <w:tcPr>
            <w:tcW w:w="961" w:type="dxa"/>
            <w:shd w:val="clear" w:color="auto" w:fill="C6EFCE"/>
            <w:noWrap/>
          </w:tcPr>
          <w:p w14:paraId="25AA3752"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476" w:type="dxa"/>
            <w:shd w:val="clear" w:color="auto" w:fill="C6EFCE"/>
            <w:noWrap/>
          </w:tcPr>
          <w:p w14:paraId="0E191650"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408" w:type="dxa"/>
            <w:shd w:val="clear" w:color="auto" w:fill="C6EFCE"/>
            <w:noWrap/>
          </w:tcPr>
          <w:p w14:paraId="7379C683"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Q1</w:t>
            </w:r>
          </w:p>
        </w:tc>
        <w:tc>
          <w:tcPr>
            <w:tcW w:w="543" w:type="dxa"/>
            <w:shd w:val="clear" w:color="auto" w:fill="C6EFCE"/>
            <w:noWrap/>
          </w:tcPr>
          <w:p w14:paraId="21C18C6C"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2023</w:t>
            </w:r>
          </w:p>
        </w:tc>
        <w:tc>
          <w:tcPr>
            <w:tcW w:w="6340" w:type="dxa"/>
            <w:gridSpan w:val="2"/>
            <w:shd w:val="clear" w:color="auto" w:fill="C6EFCE"/>
            <w:noWrap/>
          </w:tcPr>
          <w:p w14:paraId="1934D664" w14:textId="77777777" w:rsidR="00D65CB4" w:rsidRPr="00BC4EE7" w:rsidRDefault="00572307">
            <w:pPr>
              <w:pStyle w:val="P68B1DB1-Normal12"/>
              <w:spacing w:after="0"/>
              <w:rPr>
                <w:rFonts w:eastAsia="Times New Roman" w:cs="Times New Roman"/>
                <w:noProof/>
              </w:rPr>
            </w:pPr>
            <w:r w:rsidRPr="00BC4EE7">
              <w:rPr>
                <w:rFonts w:cs="Times New Roman"/>
                <w:noProof/>
              </w:rPr>
              <w:t xml:space="preserve">A munkacsoport 15 adókedvezmény módosítására vagy megszüntetésére vonatkozó ajánlásainak végrehajtásához szükséges szabályozási reformok hatálybalépése. Az adókedvezményeket mennyiségi és minőségi jelentőségük alapján kell kiválasztani, és az AIReF-módszertan alapján kell értékelni. A szabályozási reformok célja az adórendszer hatékonyabbá tétele, a bevételek növelése, a zöld átállás támogatása és a méltányosság előmozdítása. </w:t>
            </w:r>
          </w:p>
        </w:tc>
      </w:tr>
      <w:tr w:rsidR="00D65CB4" w:rsidRPr="00BC4EE7" w14:paraId="15764595" w14:textId="77777777" w:rsidTr="00572307">
        <w:trPr>
          <w:trHeight w:val="309"/>
        </w:trPr>
        <w:tc>
          <w:tcPr>
            <w:tcW w:w="852" w:type="dxa"/>
            <w:shd w:val="clear" w:color="auto" w:fill="C6EFCE"/>
            <w:noWrap/>
          </w:tcPr>
          <w:p w14:paraId="07BF5D3A"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387</w:t>
            </w:r>
          </w:p>
        </w:tc>
        <w:tc>
          <w:tcPr>
            <w:tcW w:w="922" w:type="dxa"/>
            <w:shd w:val="clear" w:color="auto" w:fill="C6EFCE"/>
            <w:noWrap/>
          </w:tcPr>
          <w:p w14:paraId="5368253A"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C28.R3</w:t>
            </w:r>
          </w:p>
        </w:tc>
        <w:tc>
          <w:tcPr>
            <w:tcW w:w="1062" w:type="dxa"/>
            <w:shd w:val="clear" w:color="auto" w:fill="C6EFCE"/>
            <w:noWrap/>
          </w:tcPr>
          <w:p w14:paraId="5D6913E3"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2449" w:type="dxa"/>
            <w:shd w:val="clear" w:color="auto" w:fill="C6EFCE"/>
            <w:noWrap/>
          </w:tcPr>
          <w:p w14:paraId="232CC1EF" w14:textId="77777777" w:rsidR="00D65CB4" w:rsidRPr="00BC4EE7" w:rsidRDefault="00572307">
            <w:pPr>
              <w:pStyle w:val="P68B1DB1-Normal12"/>
              <w:spacing w:after="0"/>
              <w:rPr>
                <w:rFonts w:eastAsia="Times New Roman" w:cs="Times New Roman"/>
                <w:noProof/>
              </w:rPr>
            </w:pPr>
            <w:r w:rsidRPr="00BC4EE7">
              <w:rPr>
                <w:rFonts w:cs="Times New Roman"/>
                <w:noProof/>
              </w:rPr>
              <w:t>A szakértői bizottság pénzügyi államtitkár általi kinevezése.</w:t>
            </w:r>
          </w:p>
        </w:tc>
        <w:tc>
          <w:tcPr>
            <w:tcW w:w="948" w:type="dxa"/>
            <w:shd w:val="clear" w:color="auto" w:fill="C6EFCE"/>
            <w:noWrap/>
          </w:tcPr>
          <w:p w14:paraId="0718B8D5"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Közzététel a honlapon</w:t>
            </w:r>
          </w:p>
        </w:tc>
        <w:tc>
          <w:tcPr>
            <w:tcW w:w="408" w:type="dxa"/>
            <w:shd w:val="clear" w:color="auto" w:fill="C6EFCE"/>
            <w:noWrap/>
          </w:tcPr>
          <w:p w14:paraId="5A777009"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 </w:t>
            </w:r>
          </w:p>
        </w:tc>
        <w:tc>
          <w:tcPr>
            <w:tcW w:w="961" w:type="dxa"/>
            <w:shd w:val="clear" w:color="auto" w:fill="C6EFCE"/>
            <w:noWrap/>
          </w:tcPr>
          <w:p w14:paraId="3311ED00"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476" w:type="dxa"/>
            <w:shd w:val="clear" w:color="auto" w:fill="C6EFCE"/>
            <w:noWrap/>
          </w:tcPr>
          <w:p w14:paraId="51BDE9C6"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408" w:type="dxa"/>
            <w:shd w:val="clear" w:color="auto" w:fill="C6EFCE"/>
            <w:noWrap/>
          </w:tcPr>
          <w:p w14:paraId="7DBE236C"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Q2</w:t>
            </w:r>
          </w:p>
        </w:tc>
        <w:tc>
          <w:tcPr>
            <w:tcW w:w="543" w:type="dxa"/>
            <w:shd w:val="clear" w:color="auto" w:fill="C6EFCE"/>
            <w:noWrap/>
          </w:tcPr>
          <w:p w14:paraId="0261E5EB"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2021</w:t>
            </w:r>
          </w:p>
        </w:tc>
        <w:tc>
          <w:tcPr>
            <w:tcW w:w="6340" w:type="dxa"/>
            <w:gridSpan w:val="2"/>
            <w:shd w:val="clear" w:color="auto" w:fill="C6EFCE"/>
            <w:noWrap/>
          </w:tcPr>
          <w:p w14:paraId="00BE0945" w14:textId="77777777" w:rsidR="00D65CB4" w:rsidRPr="00BC4EE7" w:rsidRDefault="00572307">
            <w:pPr>
              <w:pStyle w:val="P68B1DB1-Normal12"/>
              <w:spacing w:after="0"/>
              <w:rPr>
                <w:rFonts w:eastAsia="Times New Roman" w:cs="Times New Roman"/>
                <w:noProof/>
              </w:rPr>
            </w:pPr>
            <w:r w:rsidRPr="00BC4EE7">
              <w:rPr>
                <w:rFonts w:cs="Times New Roman"/>
                <w:noProof/>
              </w:rPr>
              <w:t>Az adórendszer reformját irányító szakértői bizottság kinevezése. A bizottság felelős a szükséges reformok technikai elemzéséért, figyelembe véve a jelenlegi forgatókönyvet, valamint a közép- és hosszú távon várható helyzetet, különös tekintettel a következő területekre: környezetvédelmi adózás, társasági adózás, a digitális gazdaság adóztatása, vagyonadó és konkrét harmonizáció ezen a területen, a kialakulóban lévő gazdasági tevékenységek adóztatása.</w:t>
            </w:r>
          </w:p>
        </w:tc>
      </w:tr>
      <w:tr w:rsidR="00D65CB4" w:rsidRPr="00BC4EE7" w14:paraId="61D5D730" w14:textId="77777777" w:rsidTr="00572307">
        <w:trPr>
          <w:trHeight w:val="309"/>
        </w:trPr>
        <w:tc>
          <w:tcPr>
            <w:tcW w:w="852" w:type="dxa"/>
            <w:shd w:val="clear" w:color="auto" w:fill="C6EFCE"/>
            <w:noWrap/>
          </w:tcPr>
          <w:p w14:paraId="7558215D"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388</w:t>
            </w:r>
          </w:p>
        </w:tc>
        <w:tc>
          <w:tcPr>
            <w:tcW w:w="922" w:type="dxa"/>
            <w:shd w:val="clear" w:color="auto" w:fill="C6EFCE"/>
            <w:noWrap/>
          </w:tcPr>
          <w:p w14:paraId="5104DB5C"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C28.R3</w:t>
            </w:r>
          </w:p>
        </w:tc>
        <w:tc>
          <w:tcPr>
            <w:tcW w:w="1062" w:type="dxa"/>
            <w:shd w:val="clear" w:color="auto" w:fill="C6EFCE"/>
            <w:noWrap/>
          </w:tcPr>
          <w:p w14:paraId="42603E1A"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2449" w:type="dxa"/>
            <w:shd w:val="clear" w:color="auto" w:fill="C6EFCE"/>
            <w:noWrap/>
          </w:tcPr>
          <w:p w14:paraId="013B3195" w14:textId="77777777" w:rsidR="00D65CB4" w:rsidRPr="00BC4EE7" w:rsidRDefault="00572307">
            <w:pPr>
              <w:pStyle w:val="P68B1DB1-Normal12"/>
              <w:spacing w:after="0"/>
              <w:rPr>
                <w:rFonts w:eastAsia="Times New Roman" w:cs="Times New Roman"/>
                <w:noProof/>
              </w:rPr>
            </w:pPr>
            <w:r w:rsidRPr="00BC4EE7">
              <w:rPr>
                <w:rFonts w:cs="Times New Roman"/>
                <w:noProof/>
              </w:rPr>
              <w:t>Az EGSZB ajánlásain alapuló reformok hatálybalépése</w:t>
            </w:r>
          </w:p>
        </w:tc>
        <w:tc>
          <w:tcPr>
            <w:tcW w:w="948" w:type="dxa"/>
            <w:shd w:val="clear" w:color="auto" w:fill="C6EFCE"/>
            <w:noWrap/>
          </w:tcPr>
          <w:p w14:paraId="56E9D534"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A hatálybalépésüket jelző reformok rendelkezései </w:t>
            </w:r>
          </w:p>
        </w:tc>
        <w:tc>
          <w:tcPr>
            <w:tcW w:w="408" w:type="dxa"/>
            <w:shd w:val="clear" w:color="auto" w:fill="C6EFCE"/>
            <w:noWrap/>
          </w:tcPr>
          <w:p w14:paraId="63A50EF2"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 </w:t>
            </w:r>
          </w:p>
        </w:tc>
        <w:tc>
          <w:tcPr>
            <w:tcW w:w="961" w:type="dxa"/>
            <w:shd w:val="clear" w:color="auto" w:fill="C6EFCE"/>
            <w:noWrap/>
          </w:tcPr>
          <w:p w14:paraId="4E3B4429"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476" w:type="dxa"/>
            <w:shd w:val="clear" w:color="auto" w:fill="C6EFCE"/>
            <w:noWrap/>
          </w:tcPr>
          <w:p w14:paraId="52B2C876"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408" w:type="dxa"/>
            <w:shd w:val="clear" w:color="auto" w:fill="C6EFCE"/>
            <w:noWrap/>
          </w:tcPr>
          <w:p w14:paraId="2FC14277"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Q1</w:t>
            </w:r>
          </w:p>
        </w:tc>
        <w:tc>
          <w:tcPr>
            <w:tcW w:w="543" w:type="dxa"/>
            <w:shd w:val="clear" w:color="auto" w:fill="C6EFCE"/>
            <w:noWrap/>
          </w:tcPr>
          <w:p w14:paraId="241FA2C7"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2023</w:t>
            </w:r>
          </w:p>
        </w:tc>
        <w:tc>
          <w:tcPr>
            <w:tcW w:w="6340" w:type="dxa"/>
            <w:gridSpan w:val="2"/>
            <w:shd w:val="clear" w:color="auto" w:fill="C6EFCE"/>
            <w:noWrap/>
          </w:tcPr>
          <w:p w14:paraId="6CB47412" w14:textId="77777777" w:rsidR="00D65CB4" w:rsidRPr="00BC4EE7" w:rsidRDefault="00572307">
            <w:pPr>
              <w:pStyle w:val="P68B1DB1-Normal12"/>
              <w:spacing w:after="0"/>
              <w:rPr>
                <w:rFonts w:eastAsia="Times New Roman" w:cs="Times New Roman"/>
                <w:noProof/>
              </w:rPr>
            </w:pPr>
            <w:r w:rsidRPr="00BC4EE7">
              <w:rPr>
                <w:rFonts w:cs="Times New Roman"/>
                <w:noProof/>
              </w:rPr>
              <w:t>A szakértői bizottságnak a spanyol adórendszer különböző elemeire vonatkozó ajánlásaiból eredő reformok hatálybalépése, amelyek célja, hogy Spanyolország GDP-arányos államháztartási bevételét közelebb hozzák az uniós átlaghoz, biztosítsák a minimális társaságiadó-képzést, hatékonyabbá tegyék az adórendszert, korszerűsítsék és hozzáigazítsák azt az új tendenciákhoz, többek között a nemi dimenzióhoz, a környezetvédelmi adózásra, a társasági adózásra, a digitalizált gazdaság adóztatására, a vagyonadó harmonizációjára és a kialakulóban lévő gazdasági tevékenységek adóztatására összpontosítva. A reformokat az elosztási hatás elemzésének is kísérnie kell, különös tekintettel a gyermekes családokra.</w:t>
            </w:r>
          </w:p>
        </w:tc>
      </w:tr>
      <w:tr w:rsidR="00D65CB4" w:rsidRPr="00BC4EE7" w14:paraId="13CBA163" w14:textId="77777777" w:rsidTr="00572307">
        <w:trPr>
          <w:trHeight w:val="309"/>
        </w:trPr>
        <w:tc>
          <w:tcPr>
            <w:tcW w:w="852" w:type="dxa"/>
            <w:shd w:val="clear" w:color="auto" w:fill="C6EFCE"/>
            <w:noWrap/>
          </w:tcPr>
          <w:p w14:paraId="63AD47FE"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389</w:t>
            </w:r>
          </w:p>
        </w:tc>
        <w:tc>
          <w:tcPr>
            <w:tcW w:w="922" w:type="dxa"/>
            <w:shd w:val="clear" w:color="auto" w:fill="C6EFCE"/>
            <w:noWrap/>
          </w:tcPr>
          <w:p w14:paraId="09AFC946"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C28.R4</w:t>
            </w:r>
          </w:p>
        </w:tc>
        <w:tc>
          <w:tcPr>
            <w:tcW w:w="1062" w:type="dxa"/>
            <w:shd w:val="clear" w:color="auto" w:fill="C6EFCE"/>
            <w:noWrap/>
          </w:tcPr>
          <w:p w14:paraId="37C9286B"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2449" w:type="dxa"/>
            <w:shd w:val="clear" w:color="auto" w:fill="C6EFCE"/>
            <w:noWrap/>
          </w:tcPr>
          <w:p w14:paraId="3B206E3B" w14:textId="77777777" w:rsidR="00D65CB4" w:rsidRPr="00BC4EE7" w:rsidRDefault="00572307">
            <w:pPr>
              <w:pStyle w:val="P68B1DB1-Normal12"/>
              <w:spacing w:after="0"/>
              <w:rPr>
                <w:rFonts w:eastAsia="Times New Roman" w:cs="Times New Roman"/>
                <w:noProof/>
              </w:rPr>
            </w:pPr>
            <w:r w:rsidRPr="00BC4EE7">
              <w:rPr>
                <w:rFonts w:cs="Times New Roman"/>
                <w:noProof/>
              </w:rPr>
              <w:t>Az egyszer használatos műanyagokra és -hulladékokra kivetett adók</w:t>
            </w:r>
          </w:p>
        </w:tc>
        <w:tc>
          <w:tcPr>
            <w:tcW w:w="948" w:type="dxa"/>
            <w:shd w:val="clear" w:color="auto" w:fill="C6EFCE"/>
            <w:noWrap/>
          </w:tcPr>
          <w:p w14:paraId="6631B3B5"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A hatálybalépést feltüntető törvényi rendelkezés </w:t>
            </w:r>
          </w:p>
        </w:tc>
        <w:tc>
          <w:tcPr>
            <w:tcW w:w="408" w:type="dxa"/>
            <w:shd w:val="clear" w:color="auto" w:fill="C6EFCE"/>
            <w:noWrap/>
          </w:tcPr>
          <w:p w14:paraId="1BC824A3"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 </w:t>
            </w:r>
          </w:p>
        </w:tc>
        <w:tc>
          <w:tcPr>
            <w:tcW w:w="961" w:type="dxa"/>
            <w:shd w:val="clear" w:color="auto" w:fill="C6EFCE"/>
            <w:noWrap/>
          </w:tcPr>
          <w:p w14:paraId="68323AAF"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476" w:type="dxa"/>
            <w:shd w:val="clear" w:color="auto" w:fill="C6EFCE"/>
            <w:noWrap/>
          </w:tcPr>
          <w:p w14:paraId="6A0231A0"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408" w:type="dxa"/>
            <w:shd w:val="clear" w:color="auto" w:fill="C6EFCE"/>
            <w:noWrap/>
          </w:tcPr>
          <w:p w14:paraId="7136B019"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Q3</w:t>
            </w:r>
          </w:p>
        </w:tc>
        <w:tc>
          <w:tcPr>
            <w:tcW w:w="543" w:type="dxa"/>
            <w:shd w:val="clear" w:color="auto" w:fill="C6EFCE"/>
            <w:noWrap/>
          </w:tcPr>
          <w:p w14:paraId="5A0E9B47"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2021</w:t>
            </w:r>
          </w:p>
        </w:tc>
        <w:tc>
          <w:tcPr>
            <w:tcW w:w="6340" w:type="dxa"/>
            <w:gridSpan w:val="2"/>
            <w:shd w:val="clear" w:color="auto" w:fill="C6EFCE"/>
            <w:noWrap/>
          </w:tcPr>
          <w:p w14:paraId="7D67D7B8" w14:textId="77777777" w:rsidR="00D65CB4" w:rsidRPr="00BC4EE7" w:rsidRDefault="00572307">
            <w:pPr>
              <w:pStyle w:val="P68B1DB1-Normal12"/>
              <w:spacing w:after="0"/>
              <w:rPr>
                <w:rFonts w:eastAsia="Times New Roman" w:cs="Times New Roman"/>
                <w:noProof/>
              </w:rPr>
            </w:pPr>
            <w:r w:rsidRPr="00BC4EE7">
              <w:rPr>
                <w:rFonts w:cs="Times New Roman"/>
                <w:noProof/>
              </w:rPr>
              <w:t>A műanyagra, valamint a hulladéklerakásra és -égetésre kivetett adókat szabályozó törvény hatálybalépése a körforgásos gazdaság előmozdítása és az egyszer használatos műanyagok használatának csökkentése érdekében.</w:t>
            </w:r>
          </w:p>
        </w:tc>
      </w:tr>
      <w:tr w:rsidR="00D65CB4" w:rsidRPr="00BC4EE7" w14:paraId="37F913A7" w14:textId="77777777" w:rsidTr="00572307">
        <w:trPr>
          <w:trHeight w:val="309"/>
        </w:trPr>
        <w:tc>
          <w:tcPr>
            <w:tcW w:w="852" w:type="dxa"/>
            <w:shd w:val="clear" w:color="auto" w:fill="C6EFCE"/>
            <w:noWrap/>
          </w:tcPr>
          <w:p w14:paraId="05FB0A0A"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390</w:t>
            </w:r>
          </w:p>
        </w:tc>
        <w:tc>
          <w:tcPr>
            <w:tcW w:w="922" w:type="dxa"/>
            <w:shd w:val="clear" w:color="auto" w:fill="C6EFCE"/>
            <w:noWrap/>
          </w:tcPr>
          <w:p w14:paraId="0ABCE885"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C28.R4</w:t>
            </w:r>
          </w:p>
        </w:tc>
        <w:tc>
          <w:tcPr>
            <w:tcW w:w="1062" w:type="dxa"/>
            <w:shd w:val="clear" w:color="auto" w:fill="C6EFCE"/>
            <w:noWrap/>
          </w:tcPr>
          <w:p w14:paraId="0C30E35A"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2449" w:type="dxa"/>
            <w:shd w:val="clear" w:color="auto" w:fill="C6EFCE"/>
            <w:noWrap/>
          </w:tcPr>
          <w:p w14:paraId="4A8EAD8A" w14:textId="77777777" w:rsidR="00D65CB4" w:rsidRPr="00BC4EE7" w:rsidRDefault="00572307">
            <w:pPr>
              <w:pStyle w:val="P68B1DB1-Normal12"/>
              <w:spacing w:after="0"/>
              <w:rPr>
                <w:rFonts w:eastAsia="Times New Roman" w:cs="Times New Roman"/>
                <w:noProof/>
              </w:rPr>
            </w:pPr>
            <w:r w:rsidRPr="00BC4EE7">
              <w:rPr>
                <w:rFonts w:cs="Times New Roman"/>
                <w:noProof/>
              </w:rPr>
              <w:t>A gépjármű-nyilvántartási adó és a forgalmi adó elemzése</w:t>
            </w:r>
          </w:p>
        </w:tc>
        <w:tc>
          <w:tcPr>
            <w:tcW w:w="948" w:type="dxa"/>
            <w:shd w:val="clear" w:color="auto" w:fill="C6EFCE"/>
            <w:noWrap/>
          </w:tcPr>
          <w:p w14:paraId="5EA469A9"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Közzététel a honlapon</w:t>
            </w:r>
          </w:p>
        </w:tc>
        <w:tc>
          <w:tcPr>
            <w:tcW w:w="408" w:type="dxa"/>
            <w:shd w:val="clear" w:color="auto" w:fill="C6EFCE"/>
            <w:noWrap/>
          </w:tcPr>
          <w:p w14:paraId="64767320"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 </w:t>
            </w:r>
          </w:p>
        </w:tc>
        <w:tc>
          <w:tcPr>
            <w:tcW w:w="961" w:type="dxa"/>
            <w:shd w:val="clear" w:color="auto" w:fill="C6EFCE"/>
            <w:noWrap/>
          </w:tcPr>
          <w:p w14:paraId="2F2B80B2"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476" w:type="dxa"/>
            <w:shd w:val="clear" w:color="auto" w:fill="C6EFCE"/>
            <w:noWrap/>
          </w:tcPr>
          <w:p w14:paraId="32F4FFFC"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408" w:type="dxa"/>
            <w:shd w:val="clear" w:color="auto" w:fill="C6EFCE"/>
            <w:noWrap/>
          </w:tcPr>
          <w:p w14:paraId="7C0D3FC8"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Q1</w:t>
            </w:r>
          </w:p>
        </w:tc>
        <w:tc>
          <w:tcPr>
            <w:tcW w:w="543" w:type="dxa"/>
            <w:shd w:val="clear" w:color="auto" w:fill="C6EFCE"/>
            <w:noWrap/>
          </w:tcPr>
          <w:p w14:paraId="2354E8AC"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2022</w:t>
            </w:r>
          </w:p>
        </w:tc>
        <w:tc>
          <w:tcPr>
            <w:tcW w:w="6340" w:type="dxa"/>
            <w:gridSpan w:val="2"/>
            <w:shd w:val="clear" w:color="auto" w:fill="C6EFCE"/>
            <w:noWrap/>
          </w:tcPr>
          <w:p w14:paraId="0B6EE2A2" w14:textId="77777777" w:rsidR="00D65CB4" w:rsidRPr="00BC4EE7" w:rsidRDefault="00572307">
            <w:pPr>
              <w:pStyle w:val="P68B1DB1-Normal12"/>
              <w:spacing w:after="0"/>
              <w:rPr>
                <w:rFonts w:eastAsia="Times New Roman" w:cs="Times New Roman"/>
                <w:noProof/>
              </w:rPr>
            </w:pPr>
            <w:r w:rsidRPr="00BC4EE7">
              <w:rPr>
                <w:rFonts w:cs="Times New Roman"/>
                <w:noProof/>
              </w:rPr>
              <w:t xml:space="preserve">A reform előirányozza a gépjármű-nyilvántartási adó, a forgalmi adó vagy az útdíjak, például az úthasználati díjak elemzését. Ezen elemzés alapján mérlegelni kell a jogszabály felülvizsgálatát a fenntarthatóbb közúti közlekedés előmozdítása és az ÜHG-kibocsátás csökkentése érdekében. </w:t>
            </w:r>
          </w:p>
        </w:tc>
      </w:tr>
      <w:tr w:rsidR="00D65CB4" w:rsidRPr="00BC4EE7" w14:paraId="687375F6" w14:textId="77777777" w:rsidTr="00572307">
        <w:trPr>
          <w:trHeight w:val="309"/>
        </w:trPr>
        <w:tc>
          <w:tcPr>
            <w:tcW w:w="852" w:type="dxa"/>
            <w:shd w:val="clear" w:color="auto" w:fill="C6EFCE"/>
            <w:noWrap/>
          </w:tcPr>
          <w:p w14:paraId="6973CD59"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391</w:t>
            </w:r>
          </w:p>
        </w:tc>
        <w:tc>
          <w:tcPr>
            <w:tcW w:w="922" w:type="dxa"/>
            <w:shd w:val="clear" w:color="auto" w:fill="C6EFCE"/>
            <w:noWrap/>
          </w:tcPr>
          <w:p w14:paraId="1A99CDD0"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C28.R4</w:t>
            </w:r>
          </w:p>
        </w:tc>
        <w:tc>
          <w:tcPr>
            <w:tcW w:w="1062" w:type="dxa"/>
            <w:shd w:val="clear" w:color="auto" w:fill="C6EFCE"/>
            <w:noWrap/>
          </w:tcPr>
          <w:p w14:paraId="19796F6B"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2449" w:type="dxa"/>
            <w:shd w:val="clear" w:color="auto" w:fill="C6EFCE"/>
            <w:noWrap/>
          </w:tcPr>
          <w:p w14:paraId="62B420F4" w14:textId="77777777" w:rsidR="00D65CB4" w:rsidRPr="00BC4EE7" w:rsidRDefault="00572307">
            <w:pPr>
              <w:pStyle w:val="P68B1DB1-Normal12"/>
              <w:spacing w:after="0"/>
              <w:rPr>
                <w:rFonts w:eastAsia="Times New Roman" w:cs="Times New Roman"/>
                <w:noProof/>
              </w:rPr>
            </w:pPr>
            <w:r w:rsidRPr="00BC4EE7">
              <w:rPr>
                <w:rFonts w:cs="Times New Roman"/>
                <w:noProof/>
              </w:rPr>
              <w:t xml:space="preserve">A fluorozott gázokra kivetett adó reformjának hatálybalépése </w:t>
            </w:r>
          </w:p>
        </w:tc>
        <w:tc>
          <w:tcPr>
            <w:tcW w:w="948" w:type="dxa"/>
            <w:shd w:val="clear" w:color="auto" w:fill="C6EFCE"/>
            <w:noWrap/>
          </w:tcPr>
          <w:p w14:paraId="33611C9D"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A hatálybalépést feltüntető törvényi rendelkezés </w:t>
            </w:r>
          </w:p>
        </w:tc>
        <w:tc>
          <w:tcPr>
            <w:tcW w:w="408" w:type="dxa"/>
            <w:shd w:val="clear" w:color="auto" w:fill="C6EFCE"/>
            <w:noWrap/>
          </w:tcPr>
          <w:p w14:paraId="2F93830F"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 </w:t>
            </w:r>
          </w:p>
        </w:tc>
        <w:tc>
          <w:tcPr>
            <w:tcW w:w="961" w:type="dxa"/>
            <w:shd w:val="clear" w:color="auto" w:fill="C6EFCE"/>
            <w:noWrap/>
          </w:tcPr>
          <w:p w14:paraId="4917AFFD"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476" w:type="dxa"/>
            <w:shd w:val="clear" w:color="auto" w:fill="C6EFCE"/>
            <w:noWrap/>
          </w:tcPr>
          <w:p w14:paraId="2CC75913" w14:textId="77777777" w:rsidR="00D65CB4" w:rsidRPr="00BC4EE7" w:rsidRDefault="00572307">
            <w:pPr>
              <w:pStyle w:val="P68B1DB1-Normal12"/>
              <w:spacing w:after="0"/>
              <w:rPr>
                <w:rFonts w:eastAsia="Times New Roman" w:cs="Times New Roman"/>
                <w:noProof/>
              </w:rPr>
            </w:pPr>
            <w:r w:rsidRPr="00BC4EE7">
              <w:rPr>
                <w:rFonts w:cs="Times New Roman"/>
                <w:noProof/>
              </w:rPr>
              <w:t xml:space="preserve"> </w:t>
            </w:r>
          </w:p>
        </w:tc>
        <w:tc>
          <w:tcPr>
            <w:tcW w:w="408" w:type="dxa"/>
            <w:shd w:val="clear" w:color="auto" w:fill="C6EFCE"/>
            <w:noWrap/>
          </w:tcPr>
          <w:p w14:paraId="76B0F169"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Q2</w:t>
            </w:r>
          </w:p>
        </w:tc>
        <w:tc>
          <w:tcPr>
            <w:tcW w:w="543" w:type="dxa"/>
            <w:shd w:val="clear" w:color="auto" w:fill="C6EFCE"/>
            <w:noWrap/>
          </w:tcPr>
          <w:p w14:paraId="7D2A3C3B"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2022</w:t>
            </w:r>
          </w:p>
        </w:tc>
        <w:tc>
          <w:tcPr>
            <w:tcW w:w="6340" w:type="dxa"/>
            <w:gridSpan w:val="2"/>
            <w:shd w:val="clear" w:color="auto" w:fill="C6EFCE"/>
            <w:noWrap/>
          </w:tcPr>
          <w:p w14:paraId="5855A3A2" w14:textId="77777777" w:rsidR="00D65CB4" w:rsidRPr="00BC4EE7" w:rsidRDefault="00572307">
            <w:pPr>
              <w:pStyle w:val="P68B1DB1-Normal12"/>
              <w:spacing w:after="0"/>
              <w:rPr>
                <w:rFonts w:eastAsia="Times New Roman" w:cs="Times New Roman"/>
                <w:noProof/>
              </w:rPr>
            </w:pPr>
            <w:r w:rsidRPr="00BC4EE7">
              <w:rPr>
                <w:rFonts w:cs="Times New Roman"/>
                <w:noProof/>
              </w:rPr>
              <w:t xml:space="preserve">A fluorozott gázokat terhelő adó reformjának hatálybalépése a használatuk visszaszorítása és az adókikerülés csökkentése érdekében. </w:t>
            </w:r>
          </w:p>
        </w:tc>
      </w:tr>
      <w:tr w:rsidR="00D65CB4" w:rsidRPr="00BC4EE7" w14:paraId="47F6F49D" w14:textId="77777777" w:rsidTr="00572307">
        <w:trPr>
          <w:trHeight w:val="309"/>
        </w:trPr>
        <w:tc>
          <w:tcPr>
            <w:tcW w:w="852" w:type="dxa"/>
            <w:shd w:val="clear" w:color="auto" w:fill="C6EFCE"/>
            <w:noWrap/>
          </w:tcPr>
          <w:p w14:paraId="30813EBA"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392</w:t>
            </w:r>
          </w:p>
        </w:tc>
        <w:tc>
          <w:tcPr>
            <w:tcW w:w="922" w:type="dxa"/>
            <w:shd w:val="clear" w:color="auto" w:fill="C6EFCE"/>
            <w:noWrap/>
          </w:tcPr>
          <w:p w14:paraId="69502FAC"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C28.R5</w:t>
            </w:r>
          </w:p>
        </w:tc>
        <w:tc>
          <w:tcPr>
            <w:tcW w:w="1062" w:type="dxa"/>
            <w:shd w:val="clear" w:color="auto" w:fill="C6EFCE"/>
            <w:noWrap/>
          </w:tcPr>
          <w:p w14:paraId="4441CBFA"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2449" w:type="dxa"/>
            <w:shd w:val="clear" w:color="auto" w:fill="C6EFCE"/>
            <w:noWrap/>
          </w:tcPr>
          <w:p w14:paraId="2B3AFE47" w14:textId="77777777" w:rsidR="00D65CB4" w:rsidRPr="00BC4EE7" w:rsidRDefault="00572307">
            <w:pPr>
              <w:pStyle w:val="P68B1DB1-Normal12"/>
              <w:spacing w:after="0"/>
              <w:rPr>
                <w:rFonts w:eastAsia="Times New Roman" w:cs="Times New Roman"/>
                <w:noProof/>
              </w:rPr>
            </w:pPr>
            <w:r w:rsidRPr="00BC4EE7">
              <w:rPr>
                <w:rFonts w:cs="Times New Roman"/>
                <w:noProof/>
              </w:rPr>
              <w:t>Digitális szolgáltatási adó</w:t>
            </w:r>
          </w:p>
        </w:tc>
        <w:tc>
          <w:tcPr>
            <w:tcW w:w="948" w:type="dxa"/>
            <w:shd w:val="clear" w:color="auto" w:fill="C6EFCE"/>
            <w:noWrap/>
          </w:tcPr>
          <w:p w14:paraId="1139B613"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A hatálybalépést feltüntető törvényi rendelkezés </w:t>
            </w:r>
          </w:p>
        </w:tc>
        <w:tc>
          <w:tcPr>
            <w:tcW w:w="408" w:type="dxa"/>
            <w:shd w:val="clear" w:color="auto" w:fill="C6EFCE"/>
            <w:noWrap/>
          </w:tcPr>
          <w:p w14:paraId="6E0AA6EE"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 </w:t>
            </w:r>
          </w:p>
        </w:tc>
        <w:tc>
          <w:tcPr>
            <w:tcW w:w="961" w:type="dxa"/>
            <w:shd w:val="clear" w:color="auto" w:fill="C6EFCE"/>
            <w:noWrap/>
          </w:tcPr>
          <w:p w14:paraId="29B2E2DC"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476" w:type="dxa"/>
            <w:shd w:val="clear" w:color="auto" w:fill="C6EFCE"/>
            <w:noWrap/>
          </w:tcPr>
          <w:p w14:paraId="4EB5E910"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408" w:type="dxa"/>
            <w:shd w:val="clear" w:color="auto" w:fill="C6EFCE"/>
            <w:noWrap/>
          </w:tcPr>
          <w:p w14:paraId="33BAEE2B"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Q1</w:t>
            </w:r>
          </w:p>
        </w:tc>
        <w:tc>
          <w:tcPr>
            <w:tcW w:w="543" w:type="dxa"/>
            <w:shd w:val="clear" w:color="auto" w:fill="C6EFCE"/>
            <w:noWrap/>
          </w:tcPr>
          <w:p w14:paraId="254FBBEB"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2021</w:t>
            </w:r>
          </w:p>
        </w:tc>
        <w:tc>
          <w:tcPr>
            <w:tcW w:w="6340" w:type="dxa"/>
            <w:gridSpan w:val="2"/>
            <w:shd w:val="clear" w:color="auto" w:fill="C6EFCE"/>
            <w:noWrap/>
          </w:tcPr>
          <w:p w14:paraId="7EE8E71B" w14:textId="77777777" w:rsidR="00D65CB4" w:rsidRPr="00BC4EE7" w:rsidRDefault="00572307">
            <w:pPr>
              <w:pStyle w:val="P68B1DB1-Normal12"/>
              <w:spacing w:after="0"/>
              <w:rPr>
                <w:rFonts w:eastAsia="Times New Roman" w:cs="Times New Roman"/>
                <w:noProof/>
              </w:rPr>
            </w:pPr>
            <w:r w:rsidRPr="00BC4EE7">
              <w:rPr>
                <w:rFonts w:cs="Times New Roman"/>
                <w:noProof/>
              </w:rPr>
              <w:t>Az egyes digitális szolgáltatási adókról szóló törvény (</w:t>
            </w:r>
            <w:r w:rsidRPr="00BC4EE7">
              <w:rPr>
                <w:rFonts w:cs="Times New Roman"/>
                <w:i/>
                <w:noProof/>
              </w:rPr>
              <w:t>Ley 4/2020, de 15 de octubre, del Impuesto sobre Determinados Servicios Digitales)</w:t>
            </w:r>
            <w:r w:rsidRPr="00BC4EE7">
              <w:rPr>
                <w:rFonts w:cs="Times New Roman"/>
                <w:noProof/>
              </w:rPr>
              <w:t>hatálybalépése annak érdekében, hogy a feltörekvő üzleti ágazatokon alapuló új bevételi forrásokat teremtsen a kormány számára, miközben koherens módon és adott esetben nemzetközi összefüggésben fejleszti az adórendszert.</w:t>
            </w:r>
          </w:p>
        </w:tc>
      </w:tr>
      <w:tr w:rsidR="00D65CB4" w:rsidRPr="00BC4EE7" w14:paraId="241694F9" w14:textId="77777777" w:rsidTr="00572307">
        <w:trPr>
          <w:trHeight w:val="309"/>
        </w:trPr>
        <w:tc>
          <w:tcPr>
            <w:tcW w:w="852" w:type="dxa"/>
            <w:shd w:val="clear" w:color="auto" w:fill="C6EFCE"/>
            <w:noWrap/>
          </w:tcPr>
          <w:p w14:paraId="681303F9"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393</w:t>
            </w:r>
          </w:p>
        </w:tc>
        <w:tc>
          <w:tcPr>
            <w:tcW w:w="922" w:type="dxa"/>
            <w:shd w:val="clear" w:color="auto" w:fill="C6EFCE"/>
            <w:noWrap/>
          </w:tcPr>
          <w:p w14:paraId="3C8C5899"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C28.R6</w:t>
            </w:r>
          </w:p>
        </w:tc>
        <w:tc>
          <w:tcPr>
            <w:tcW w:w="1062" w:type="dxa"/>
            <w:shd w:val="clear" w:color="auto" w:fill="C6EFCE"/>
            <w:noWrap/>
          </w:tcPr>
          <w:p w14:paraId="6F2FCA0F"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2449" w:type="dxa"/>
            <w:shd w:val="clear" w:color="auto" w:fill="C6EFCE"/>
            <w:noWrap/>
          </w:tcPr>
          <w:p w14:paraId="1767918B" w14:textId="77777777" w:rsidR="00D65CB4" w:rsidRPr="00BC4EE7" w:rsidRDefault="00572307">
            <w:pPr>
              <w:pStyle w:val="P68B1DB1-Normal12"/>
              <w:spacing w:after="0"/>
              <w:rPr>
                <w:rFonts w:eastAsia="Times New Roman" w:cs="Times New Roman"/>
                <w:noProof/>
              </w:rPr>
            </w:pPr>
            <w:r w:rsidRPr="00BC4EE7">
              <w:rPr>
                <w:rFonts w:cs="Times New Roman"/>
                <w:noProof/>
              </w:rPr>
              <w:t>Pénzügyi tranzakciós adó</w:t>
            </w:r>
          </w:p>
        </w:tc>
        <w:tc>
          <w:tcPr>
            <w:tcW w:w="948" w:type="dxa"/>
            <w:shd w:val="clear" w:color="auto" w:fill="C6EFCE"/>
            <w:noWrap/>
          </w:tcPr>
          <w:p w14:paraId="7B475124"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A hatálybalépést feltüntető törvényi rendelkezés </w:t>
            </w:r>
          </w:p>
        </w:tc>
        <w:tc>
          <w:tcPr>
            <w:tcW w:w="408" w:type="dxa"/>
            <w:shd w:val="clear" w:color="auto" w:fill="C6EFCE"/>
            <w:noWrap/>
          </w:tcPr>
          <w:p w14:paraId="7A00D580"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 </w:t>
            </w:r>
          </w:p>
        </w:tc>
        <w:tc>
          <w:tcPr>
            <w:tcW w:w="961" w:type="dxa"/>
            <w:shd w:val="clear" w:color="auto" w:fill="C6EFCE"/>
            <w:noWrap/>
          </w:tcPr>
          <w:p w14:paraId="0D0B806C"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476" w:type="dxa"/>
            <w:shd w:val="clear" w:color="auto" w:fill="C6EFCE"/>
            <w:noWrap/>
          </w:tcPr>
          <w:p w14:paraId="0D4A5886"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408" w:type="dxa"/>
            <w:shd w:val="clear" w:color="auto" w:fill="C6EFCE"/>
            <w:noWrap/>
          </w:tcPr>
          <w:p w14:paraId="7832C360"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Q1</w:t>
            </w:r>
          </w:p>
        </w:tc>
        <w:tc>
          <w:tcPr>
            <w:tcW w:w="543" w:type="dxa"/>
            <w:shd w:val="clear" w:color="auto" w:fill="C6EFCE"/>
            <w:noWrap/>
          </w:tcPr>
          <w:p w14:paraId="4E7E2AA4"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2021</w:t>
            </w:r>
          </w:p>
        </w:tc>
        <w:tc>
          <w:tcPr>
            <w:tcW w:w="6340" w:type="dxa"/>
            <w:gridSpan w:val="2"/>
            <w:shd w:val="clear" w:color="auto" w:fill="C6EFCE"/>
            <w:noWrap/>
          </w:tcPr>
          <w:p w14:paraId="5936BDA7" w14:textId="77777777" w:rsidR="00D65CB4" w:rsidRPr="00BC4EE7" w:rsidRDefault="00572307">
            <w:pPr>
              <w:pStyle w:val="P68B1DB1-Normal12"/>
              <w:spacing w:after="0"/>
              <w:rPr>
                <w:rFonts w:eastAsia="Times New Roman" w:cs="Times New Roman"/>
                <w:noProof/>
              </w:rPr>
            </w:pPr>
            <w:r w:rsidRPr="00BC4EE7">
              <w:rPr>
                <w:rFonts w:cs="Times New Roman"/>
                <w:noProof/>
              </w:rPr>
              <w:t>A pénzügyi tranzakciós adóról szóló törvény (</w:t>
            </w:r>
            <w:r w:rsidRPr="00BC4EE7">
              <w:rPr>
                <w:rFonts w:cs="Times New Roman"/>
                <w:i/>
                <w:noProof/>
              </w:rPr>
              <w:t>Ley 5/2020, de 15 de octubre, del Impuesto sobre las Transacciones Financieras</w:t>
            </w:r>
            <w:r w:rsidRPr="00BC4EE7">
              <w:rPr>
                <w:rFonts w:cs="Times New Roman"/>
                <w:noProof/>
              </w:rPr>
              <w:t>) hatálybalépése új bevételi forrásokat generál a kormány számára, miközben koherens módon és adott esetben nemzetközi összefüggésben fejleszti az adórendszert.</w:t>
            </w:r>
          </w:p>
        </w:tc>
      </w:tr>
      <w:tr w:rsidR="00D65CB4" w:rsidRPr="00BC4EE7" w14:paraId="39BE8BCE" w14:textId="77777777" w:rsidTr="00572307">
        <w:trPr>
          <w:trHeight w:val="309"/>
        </w:trPr>
        <w:tc>
          <w:tcPr>
            <w:tcW w:w="852" w:type="dxa"/>
            <w:shd w:val="clear" w:color="auto" w:fill="C6EFCE"/>
            <w:noWrap/>
          </w:tcPr>
          <w:p w14:paraId="115DDE1D"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394</w:t>
            </w:r>
          </w:p>
        </w:tc>
        <w:tc>
          <w:tcPr>
            <w:tcW w:w="922" w:type="dxa"/>
            <w:shd w:val="clear" w:color="auto" w:fill="C6EFCE"/>
            <w:noWrap/>
          </w:tcPr>
          <w:p w14:paraId="591EC737"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C28.R7</w:t>
            </w:r>
          </w:p>
        </w:tc>
        <w:tc>
          <w:tcPr>
            <w:tcW w:w="1062" w:type="dxa"/>
            <w:shd w:val="clear" w:color="auto" w:fill="C6EFCE"/>
            <w:noWrap/>
          </w:tcPr>
          <w:p w14:paraId="0CCD6A2A"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2449" w:type="dxa"/>
            <w:shd w:val="clear" w:color="auto" w:fill="C6EFCE"/>
            <w:noWrap/>
          </w:tcPr>
          <w:p w14:paraId="3F6E974A" w14:textId="77777777" w:rsidR="00D65CB4" w:rsidRPr="00BC4EE7" w:rsidRDefault="00572307">
            <w:pPr>
              <w:pStyle w:val="P68B1DB1-Normal12"/>
              <w:spacing w:after="0"/>
              <w:rPr>
                <w:rFonts w:eastAsia="Times New Roman" w:cs="Times New Roman"/>
                <w:noProof/>
              </w:rPr>
            </w:pPr>
            <w:r w:rsidRPr="00BC4EE7">
              <w:rPr>
                <w:rFonts w:cs="Times New Roman"/>
                <w:noProof/>
              </w:rPr>
              <w:t>A személyi jövedelemadó és a vagyonadó módosítása 2021-ben</w:t>
            </w:r>
          </w:p>
        </w:tc>
        <w:tc>
          <w:tcPr>
            <w:tcW w:w="948" w:type="dxa"/>
            <w:shd w:val="clear" w:color="auto" w:fill="C6EFCE"/>
            <w:noWrap/>
          </w:tcPr>
          <w:p w14:paraId="10AEB70B"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A költségvetési törvény hatálybalépését feltüntető rendelkezése </w:t>
            </w:r>
          </w:p>
        </w:tc>
        <w:tc>
          <w:tcPr>
            <w:tcW w:w="408" w:type="dxa"/>
            <w:shd w:val="clear" w:color="auto" w:fill="C6EFCE"/>
            <w:noWrap/>
          </w:tcPr>
          <w:p w14:paraId="19B0ED93"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 </w:t>
            </w:r>
          </w:p>
        </w:tc>
        <w:tc>
          <w:tcPr>
            <w:tcW w:w="961" w:type="dxa"/>
            <w:shd w:val="clear" w:color="auto" w:fill="C6EFCE"/>
            <w:noWrap/>
          </w:tcPr>
          <w:p w14:paraId="3396EC4E"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476" w:type="dxa"/>
            <w:shd w:val="clear" w:color="auto" w:fill="C6EFCE"/>
            <w:noWrap/>
          </w:tcPr>
          <w:p w14:paraId="3FF44640"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408" w:type="dxa"/>
            <w:shd w:val="clear" w:color="auto" w:fill="C6EFCE"/>
            <w:noWrap/>
          </w:tcPr>
          <w:p w14:paraId="1937DDE5"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Q1</w:t>
            </w:r>
          </w:p>
        </w:tc>
        <w:tc>
          <w:tcPr>
            <w:tcW w:w="543" w:type="dxa"/>
            <w:shd w:val="clear" w:color="auto" w:fill="C6EFCE"/>
            <w:noWrap/>
          </w:tcPr>
          <w:p w14:paraId="0F48491A"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2021</w:t>
            </w:r>
          </w:p>
        </w:tc>
        <w:tc>
          <w:tcPr>
            <w:tcW w:w="6340" w:type="dxa"/>
            <w:gridSpan w:val="2"/>
            <w:shd w:val="clear" w:color="auto" w:fill="C6EFCE"/>
            <w:noWrap/>
          </w:tcPr>
          <w:p w14:paraId="632912AE" w14:textId="77777777" w:rsidR="00D65CB4" w:rsidRPr="00BC4EE7" w:rsidRDefault="00572307">
            <w:pPr>
              <w:pStyle w:val="P68B1DB1-Normal12"/>
              <w:spacing w:after="0"/>
              <w:rPr>
                <w:rFonts w:eastAsia="Times New Roman" w:cs="Times New Roman"/>
                <w:noProof/>
              </w:rPr>
            </w:pPr>
            <w:r w:rsidRPr="00BC4EE7">
              <w:rPr>
                <w:rFonts w:cs="Times New Roman"/>
                <w:noProof/>
              </w:rPr>
              <w:t>A 2021. évi költségvetési törvény által bevezetett módosítások, valamint a személyi jövedelemadóval és a vagyonadóval kapcsolatos fejlesztési szabályok hatálybalépése a költségvetési hiány csökkentése és a személyi jövedelemadó progresszívebbé tétele érdekében.</w:t>
            </w:r>
          </w:p>
        </w:tc>
      </w:tr>
      <w:tr w:rsidR="00D65CB4" w:rsidRPr="00BC4EE7" w14:paraId="30F44239" w14:textId="77777777" w:rsidTr="00572307">
        <w:trPr>
          <w:trHeight w:val="309"/>
        </w:trPr>
        <w:tc>
          <w:tcPr>
            <w:tcW w:w="852" w:type="dxa"/>
            <w:shd w:val="clear" w:color="auto" w:fill="C6EFCE"/>
            <w:noWrap/>
          </w:tcPr>
          <w:p w14:paraId="5E063B92"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395</w:t>
            </w:r>
          </w:p>
        </w:tc>
        <w:tc>
          <w:tcPr>
            <w:tcW w:w="922" w:type="dxa"/>
            <w:shd w:val="clear" w:color="auto" w:fill="C6EFCE"/>
            <w:noWrap/>
          </w:tcPr>
          <w:p w14:paraId="302832CC"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C28.R8</w:t>
            </w:r>
          </w:p>
        </w:tc>
        <w:tc>
          <w:tcPr>
            <w:tcW w:w="1062" w:type="dxa"/>
            <w:shd w:val="clear" w:color="auto" w:fill="C6EFCE"/>
            <w:noWrap/>
          </w:tcPr>
          <w:p w14:paraId="11317F06"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2449" w:type="dxa"/>
            <w:shd w:val="clear" w:color="auto" w:fill="C6EFCE"/>
            <w:noWrap/>
          </w:tcPr>
          <w:p w14:paraId="32E2C486" w14:textId="77777777" w:rsidR="00D65CB4" w:rsidRPr="00BC4EE7" w:rsidRDefault="00572307">
            <w:pPr>
              <w:pStyle w:val="P68B1DB1-Normal12"/>
              <w:spacing w:after="0"/>
              <w:rPr>
                <w:rFonts w:eastAsia="Times New Roman" w:cs="Times New Roman"/>
                <w:noProof/>
              </w:rPr>
            </w:pPr>
            <w:r w:rsidRPr="00BC4EE7">
              <w:rPr>
                <w:rFonts w:cs="Times New Roman"/>
                <w:noProof/>
              </w:rPr>
              <w:t>A társasági adó módosítása 2021-ben</w:t>
            </w:r>
          </w:p>
        </w:tc>
        <w:tc>
          <w:tcPr>
            <w:tcW w:w="948" w:type="dxa"/>
            <w:shd w:val="clear" w:color="auto" w:fill="C6EFCE"/>
            <w:noWrap/>
          </w:tcPr>
          <w:p w14:paraId="409A1D20"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A költségvetési törvény hatálybalépését feltüntető rendelkezése </w:t>
            </w:r>
          </w:p>
        </w:tc>
        <w:tc>
          <w:tcPr>
            <w:tcW w:w="408" w:type="dxa"/>
            <w:shd w:val="clear" w:color="auto" w:fill="C6EFCE"/>
            <w:noWrap/>
          </w:tcPr>
          <w:p w14:paraId="735C234C"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 </w:t>
            </w:r>
          </w:p>
        </w:tc>
        <w:tc>
          <w:tcPr>
            <w:tcW w:w="961" w:type="dxa"/>
            <w:shd w:val="clear" w:color="auto" w:fill="C6EFCE"/>
            <w:noWrap/>
          </w:tcPr>
          <w:p w14:paraId="30C3102C"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476" w:type="dxa"/>
            <w:shd w:val="clear" w:color="auto" w:fill="C6EFCE"/>
            <w:noWrap/>
          </w:tcPr>
          <w:p w14:paraId="465041AC"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408" w:type="dxa"/>
            <w:shd w:val="clear" w:color="auto" w:fill="C6EFCE"/>
            <w:noWrap/>
          </w:tcPr>
          <w:p w14:paraId="0FF44D96"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Q1</w:t>
            </w:r>
          </w:p>
        </w:tc>
        <w:tc>
          <w:tcPr>
            <w:tcW w:w="543" w:type="dxa"/>
            <w:shd w:val="clear" w:color="auto" w:fill="C6EFCE"/>
            <w:noWrap/>
          </w:tcPr>
          <w:p w14:paraId="2A512EC3"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2021</w:t>
            </w:r>
          </w:p>
        </w:tc>
        <w:tc>
          <w:tcPr>
            <w:tcW w:w="6340" w:type="dxa"/>
            <w:gridSpan w:val="2"/>
            <w:shd w:val="clear" w:color="auto" w:fill="C6EFCE"/>
            <w:noWrap/>
          </w:tcPr>
          <w:p w14:paraId="077BBC52" w14:textId="77777777" w:rsidR="00D65CB4" w:rsidRPr="00BC4EE7" w:rsidRDefault="00572307">
            <w:pPr>
              <w:pStyle w:val="P68B1DB1-Normal12"/>
              <w:spacing w:after="0"/>
              <w:rPr>
                <w:rFonts w:eastAsia="Times New Roman" w:cs="Times New Roman"/>
                <w:noProof/>
              </w:rPr>
            </w:pPr>
            <w:r w:rsidRPr="00BC4EE7">
              <w:rPr>
                <w:rFonts w:cs="Times New Roman"/>
                <w:noProof/>
              </w:rPr>
              <w:t>A 2021. évi költségvetési törvény által bevezetett módosítások és a társasági adóval kapcsolatos fejlesztési rendeletek hatálybalépése a társasági adóból származó bevételek növelése érdekében.</w:t>
            </w:r>
          </w:p>
        </w:tc>
      </w:tr>
      <w:tr w:rsidR="00D65CB4" w:rsidRPr="00BC4EE7" w14:paraId="49B73336" w14:textId="77777777" w:rsidTr="00572307">
        <w:trPr>
          <w:trHeight w:val="309"/>
        </w:trPr>
        <w:tc>
          <w:tcPr>
            <w:tcW w:w="852" w:type="dxa"/>
            <w:shd w:val="clear" w:color="auto" w:fill="C6EFCE"/>
            <w:noWrap/>
          </w:tcPr>
          <w:p w14:paraId="259D5389"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396</w:t>
            </w:r>
          </w:p>
        </w:tc>
        <w:tc>
          <w:tcPr>
            <w:tcW w:w="922" w:type="dxa"/>
            <w:shd w:val="clear" w:color="auto" w:fill="C6EFCE"/>
            <w:noWrap/>
          </w:tcPr>
          <w:p w14:paraId="1F9A658B"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C28.R9</w:t>
            </w:r>
          </w:p>
        </w:tc>
        <w:tc>
          <w:tcPr>
            <w:tcW w:w="1062" w:type="dxa"/>
            <w:shd w:val="clear" w:color="auto" w:fill="C6EFCE"/>
            <w:noWrap/>
          </w:tcPr>
          <w:p w14:paraId="013656DF"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2449" w:type="dxa"/>
            <w:shd w:val="clear" w:color="auto" w:fill="C6EFCE"/>
            <w:noWrap/>
          </w:tcPr>
          <w:p w14:paraId="1CAF6688" w14:textId="77777777" w:rsidR="00D65CB4" w:rsidRPr="00BC4EE7" w:rsidRDefault="00572307">
            <w:pPr>
              <w:pStyle w:val="P68B1DB1-Normal12"/>
              <w:spacing w:after="0"/>
              <w:rPr>
                <w:rFonts w:eastAsia="Times New Roman" w:cs="Times New Roman"/>
                <w:noProof/>
              </w:rPr>
            </w:pPr>
            <w:r w:rsidRPr="00BC4EE7">
              <w:rPr>
                <w:rFonts w:cs="Times New Roman"/>
                <w:noProof/>
              </w:rPr>
              <w:t>A közvetett adók módosítása 2021-ben</w:t>
            </w:r>
          </w:p>
        </w:tc>
        <w:tc>
          <w:tcPr>
            <w:tcW w:w="948" w:type="dxa"/>
            <w:shd w:val="clear" w:color="auto" w:fill="C6EFCE"/>
            <w:noWrap/>
          </w:tcPr>
          <w:p w14:paraId="0FFD27C2"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A költségvetési törvény hatálybalépését feltüntető rendelkezése </w:t>
            </w:r>
          </w:p>
        </w:tc>
        <w:tc>
          <w:tcPr>
            <w:tcW w:w="408" w:type="dxa"/>
            <w:shd w:val="clear" w:color="auto" w:fill="C6EFCE"/>
            <w:noWrap/>
          </w:tcPr>
          <w:p w14:paraId="7DEAECDE"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 </w:t>
            </w:r>
          </w:p>
        </w:tc>
        <w:tc>
          <w:tcPr>
            <w:tcW w:w="961" w:type="dxa"/>
            <w:shd w:val="clear" w:color="auto" w:fill="C6EFCE"/>
            <w:noWrap/>
          </w:tcPr>
          <w:p w14:paraId="388DE95D"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476" w:type="dxa"/>
            <w:shd w:val="clear" w:color="auto" w:fill="C6EFCE"/>
            <w:noWrap/>
          </w:tcPr>
          <w:p w14:paraId="373E5573"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408" w:type="dxa"/>
            <w:shd w:val="clear" w:color="auto" w:fill="C6EFCE"/>
            <w:noWrap/>
          </w:tcPr>
          <w:p w14:paraId="6D60ED3F"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Q1</w:t>
            </w:r>
          </w:p>
        </w:tc>
        <w:tc>
          <w:tcPr>
            <w:tcW w:w="543" w:type="dxa"/>
            <w:shd w:val="clear" w:color="auto" w:fill="C6EFCE"/>
            <w:noWrap/>
          </w:tcPr>
          <w:p w14:paraId="3A7A8D3D"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2021</w:t>
            </w:r>
          </w:p>
        </w:tc>
        <w:tc>
          <w:tcPr>
            <w:tcW w:w="6340" w:type="dxa"/>
            <w:gridSpan w:val="2"/>
            <w:shd w:val="clear" w:color="auto" w:fill="C6EFCE"/>
            <w:noWrap/>
          </w:tcPr>
          <w:p w14:paraId="0A8920AD" w14:textId="77777777" w:rsidR="00D65CB4" w:rsidRPr="00BC4EE7" w:rsidRDefault="00572307">
            <w:pPr>
              <w:pStyle w:val="P68B1DB1-Normal12"/>
              <w:spacing w:after="0"/>
              <w:rPr>
                <w:rFonts w:eastAsia="Times New Roman" w:cs="Times New Roman"/>
                <w:noProof/>
              </w:rPr>
            </w:pPr>
            <w:r w:rsidRPr="00BC4EE7">
              <w:rPr>
                <w:rFonts w:cs="Times New Roman"/>
                <w:noProof/>
              </w:rPr>
              <w:t>A 2021. évi költségvetési törvény által bevezetett módosítások és a közvetett adókkal kapcsolatos fejlesztési rendeletek hatálybalépése, amelyek célja az egészségesebb étrend előmozdítása bizonyos cukortartalmú italok fogyasztásának csökkentése révén, valamint a központi kormányzati bevételek növelése a biztosítási díjakra kivetett adó növelése révén.</w:t>
            </w:r>
          </w:p>
        </w:tc>
      </w:tr>
    </w:tbl>
    <w:p w14:paraId="14347876" w14:textId="77777777" w:rsidR="00D65CB4" w:rsidRPr="00BC4EE7" w:rsidRDefault="00D65CB4">
      <w:pPr>
        <w:pStyle w:val="SectionTitle"/>
        <w:jc w:val="left"/>
        <w:rPr>
          <w:rFonts w:ascii="Times New Roman" w:hAnsi="Times New Roman" w:cs="Times New Roman"/>
          <w:noProof/>
        </w:rPr>
        <w:sectPr w:rsidR="00D65CB4" w:rsidRPr="00BC4EE7" w:rsidSect="00B511EF">
          <w:headerReference w:type="even" r:id="rId550"/>
          <w:headerReference w:type="default" r:id="rId551"/>
          <w:footerReference w:type="even" r:id="rId552"/>
          <w:footerReference w:type="default" r:id="rId553"/>
          <w:headerReference w:type="first" r:id="rId554"/>
          <w:footerReference w:type="first" r:id="rId555"/>
          <w:pgSz w:w="16839" w:h="11907" w:orient="landscape"/>
          <w:pgMar w:top="1134" w:right="1134" w:bottom="1134" w:left="1134" w:header="567" w:footer="567" w:gutter="0"/>
          <w:cols w:space="720"/>
          <w:docGrid w:linePitch="360"/>
        </w:sectPr>
      </w:pPr>
    </w:p>
    <w:p w14:paraId="7DBDFDE2" w14:textId="6FA1EDBA" w:rsidR="00D65CB4" w:rsidRPr="00BC4EE7" w:rsidRDefault="00572307">
      <w:pPr>
        <w:pStyle w:val="Text1"/>
        <w:ind w:left="0" w:firstLine="720"/>
        <w:rPr>
          <w:rFonts w:ascii="Times New Roman" w:hAnsi="Times New Roman" w:cs="Times New Roman"/>
          <w:b/>
          <w:noProof/>
          <w:u w:val="single"/>
        </w:rPr>
      </w:pPr>
      <w:r w:rsidRPr="00BC4EE7">
        <w:rPr>
          <w:rFonts w:ascii="Times New Roman" w:hAnsi="Times New Roman" w:cs="Times New Roman"/>
          <w:b/>
          <w:noProof/>
          <w:u w:val="single"/>
        </w:rPr>
        <w:t>AB.3.</w:t>
      </w:r>
      <w:r w:rsidRPr="00BC4EE7">
        <w:rPr>
          <w:rFonts w:ascii="Times New Roman" w:hAnsi="Times New Roman" w:cs="Times New Roman"/>
          <w:noProof/>
        </w:rPr>
        <w:tab/>
      </w:r>
      <w:r w:rsidRPr="00BC4EE7">
        <w:rPr>
          <w:rFonts w:ascii="Times New Roman" w:hAnsi="Times New Roman" w:cs="Times New Roman"/>
          <w:b/>
          <w:noProof/>
          <w:u w:val="single"/>
        </w:rPr>
        <w:t>A hiteltámogatást célzó reformok és beruházások ismertetése</w:t>
      </w:r>
    </w:p>
    <w:p w14:paraId="2EEB6566" w14:textId="77777777" w:rsidR="00D65CB4" w:rsidRPr="00BC4EE7" w:rsidRDefault="00572307">
      <w:pPr>
        <w:pStyle w:val="P68B1DB1-Normal5"/>
        <w:spacing w:before="120" w:after="120" w:line="240" w:lineRule="auto"/>
        <w:jc w:val="both"/>
        <w:rPr>
          <w:rFonts w:cs="Times New Roman"/>
          <w:noProof/>
        </w:rPr>
      </w:pPr>
      <w:r w:rsidRPr="00BC4EE7">
        <w:rPr>
          <w:rFonts w:cs="Times New Roman"/>
          <w:noProof/>
        </w:rPr>
        <w:t>Beruházás (C28.I1) – Pénzügyi ösztönzők az energiahatékonysági felújításokhoz, valamint az elektromos járművek és töltőpontok beszerzéséhez</w:t>
      </w:r>
    </w:p>
    <w:p w14:paraId="179DBB9F" w14:textId="77777777" w:rsidR="00D65CB4" w:rsidRPr="00BC4EE7" w:rsidRDefault="00572307">
      <w:pPr>
        <w:pStyle w:val="P68B1DB1-Text118"/>
        <w:ind w:left="0"/>
        <w:rPr>
          <w:rFonts w:cs="Times New Roman"/>
          <w:noProof/>
        </w:rPr>
      </w:pPr>
      <w:r w:rsidRPr="00BC4EE7">
        <w:rPr>
          <w:rFonts w:cs="Times New Roman"/>
          <w:noProof/>
        </w:rPr>
        <w:t>Ezen intézkedés célja, hogy adóösztönzőket biztosítson i. az épületfelújítási munkálatok előmozdítása az energiahatékonyság javítása érdekében; valamint ii. az elektromos járművek és töltőállomások bevezetésének ösztönzése. Az intézkedés a C1.I2. és a C2.I1. beruházásra épül.</w:t>
      </w:r>
    </w:p>
    <w:p w14:paraId="65ECF819" w14:textId="0BF7FB2F" w:rsidR="00D65CB4" w:rsidRPr="00BC4EE7" w:rsidRDefault="00572307">
      <w:pPr>
        <w:pStyle w:val="P68B1DB1-Text118"/>
        <w:ind w:left="0"/>
        <w:rPr>
          <w:rFonts w:cs="Times New Roman"/>
          <w:noProof/>
        </w:rPr>
      </w:pPr>
      <w:r w:rsidRPr="00BC4EE7">
        <w:rPr>
          <w:rFonts w:cs="Times New Roman"/>
          <w:noProof/>
        </w:rPr>
        <w:t>Az intézkedésnek olyan felújítási intézkedésekhez kell vezetnie, amelyek javítják az energiahatékonyságot és átlagosan legalább 30%-kal</w:t>
      </w:r>
      <w:bookmarkStart w:id="63" w:name="_Hlk145838357"/>
      <w:r w:rsidRPr="00BC4EE7">
        <w:rPr>
          <w:rFonts w:cs="Times New Roman"/>
          <w:noProof/>
        </w:rPr>
        <w:t xml:space="preserve"> csökkentik az adófizetők primerenergia-fogyasztását. </w:t>
      </w:r>
    </w:p>
    <w:bookmarkEnd w:id="63"/>
    <w:p w14:paraId="4EF6C560" w14:textId="25C5FB97" w:rsidR="00D65CB4" w:rsidRPr="00BC4EE7" w:rsidRDefault="00572307">
      <w:pPr>
        <w:pStyle w:val="P68B1DB1-Text118"/>
        <w:ind w:left="0"/>
        <w:rPr>
          <w:rFonts w:cs="Times New Roman"/>
          <w:noProof/>
        </w:rPr>
      </w:pPr>
      <w:r w:rsidRPr="00BC4EE7">
        <w:rPr>
          <w:rFonts w:cs="Times New Roman"/>
          <w:noProof/>
        </w:rPr>
        <w:t>Ezen túlmenően ez az intézkedés adóösztönzőket biztosít a háztartások számára elektromos és hibrid járművek vásárlásához és töltőpontok telepítéséhez. Az adókedvezmények az új hibrid és elektromos járművek (BEV, REEV, PHEV, FCEV, FCHV) és töltőállomások vásárlásához nyújtott támogatásból állnak.</w:t>
      </w:r>
    </w:p>
    <w:p w14:paraId="6BFEDC19" w14:textId="17E2B1FF" w:rsidR="00D65CB4" w:rsidRPr="00BC4EE7" w:rsidRDefault="00572307">
      <w:pPr>
        <w:pStyle w:val="Text1"/>
        <w:ind w:left="0"/>
        <w:rPr>
          <w:rFonts w:ascii="Times New Roman" w:hAnsi="Times New Roman" w:cs="Times New Roman"/>
          <w:noProof/>
        </w:rPr>
      </w:pPr>
      <w:r w:rsidRPr="00BC4EE7">
        <w:rPr>
          <w:rFonts w:ascii="Times New Roman" w:hAnsi="Times New Roman" w:cs="Times New Roman"/>
          <w:noProof/>
        </w:rPr>
        <w:t>Annak biztosítása érdekében, hogy az intézkedés megfeleljen a jelentős károkozás elkerülését célzó technikai iránymutatásnak (2021/C58/01), a fiskális ösztönzők kiválasztási kritériumai csak kibocsátásmentes vagy alacsony kibocsátású járművek beszerzését finanszírozhatják</w:t>
      </w:r>
      <w:r w:rsidRPr="00BC4EE7">
        <w:rPr>
          <w:rStyle w:val="FootnoteReference"/>
          <w:rFonts w:ascii="Times New Roman" w:hAnsi="Times New Roman" w:cs="Times New Roman"/>
          <w:noProof/>
        </w:rPr>
        <w:footnoteReference w:id="212"/>
      </w:r>
      <w:r w:rsidRPr="00BC4EE7">
        <w:rPr>
          <w:rFonts w:ascii="Times New Roman" w:hAnsi="Times New Roman" w:cs="Times New Roman"/>
          <w:noProof/>
        </w:rPr>
        <w:t>.</w:t>
      </w:r>
    </w:p>
    <w:p w14:paraId="1DF51ED9" w14:textId="77777777" w:rsidR="00D65CB4" w:rsidRPr="00BC4EE7" w:rsidRDefault="00572307">
      <w:pPr>
        <w:pStyle w:val="P68B1DB1-Text118"/>
        <w:ind w:left="0"/>
        <w:rPr>
          <w:rFonts w:cs="Times New Roman"/>
          <w:noProof/>
        </w:rPr>
      </w:pPr>
      <w:r w:rsidRPr="00BC4EE7">
        <w:rPr>
          <w:rFonts w:cs="Times New Roman"/>
          <w:noProof/>
        </w:rPr>
        <w:t>Az intézkedések végrehajtását 2026. augusztus 31-ig be kell fejezni.</w:t>
      </w:r>
    </w:p>
    <w:p w14:paraId="533113CE" w14:textId="1F20636F" w:rsidR="00D65CB4" w:rsidRPr="00BC4EE7" w:rsidRDefault="00572307">
      <w:pPr>
        <w:pStyle w:val="Text1"/>
        <w:ind w:left="720"/>
        <w:rPr>
          <w:rFonts w:ascii="Times New Roman" w:hAnsi="Times New Roman" w:cs="Times New Roman"/>
          <w:b/>
          <w:noProof/>
          <w:u w:val="single"/>
        </w:rPr>
      </w:pPr>
      <w:r w:rsidRPr="00BC4EE7">
        <w:rPr>
          <w:rFonts w:ascii="Times New Roman" w:hAnsi="Times New Roman" w:cs="Times New Roman"/>
          <w:b/>
          <w:noProof/>
          <w:u w:val="single"/>
        </w:rPr>
        <w:t>AB.4.</w:t>
      </w:r>
      <w:r w:rsidRPr="00BC4EE7">
        <w:rPr>
          <w:rFonts w:ascii="Times New Roman" w:hAnsi="Times New Roman" w:cs="Times New Roman"/>
          <w:noProof/>
        </w:rPr>
        <w:tab/>
      </w:r>
      <w:r w:rsidRPr="00BC4EE7">
        <w:rPr>
          <w:rFonts w:ascii="Times New Roman" w:hAnsi="Times New Roman" w:cs="Times New Roman"/>
          <w:b/>
          <w:noProof/>
          <w:u w:val="single"/>
        </w:rPr>
        <w:t>A hiteltámogatás nyomon követésére és végrehajtására vonatkozó mérföldkövek, célok, mutatók és ütemterv</w:t>
      </w:r>
    </w:p>
    <w:p w14:paraId="00A56A71" w14:textId="5EB918D7" w:rsidR="00D65CB4" w:rsidRPr="00BC4EE7" w:rsidRDefault="00572307">
      <w:pPr>
        <w:pStyle w:val="P68B1DB1-Text118"/>
        <w:ind w:left="0"/>
        <w:rPr>
          <w:rFonts w:cs="Times New Roman"/>
          <w:noProof/>
        </w:rPr>
      </w:pPr>
      <w:r w:rsidRPr="00BC4EE7">
        <w:rPr>
          <w:rFonts w:cs="Times New Roman"/>
          <w:i/>
          <w:noProof/>
        </w:rPr>
        <w:t>Táblázat alább.</w:t>
      </w:r>
      <w:r w:rsidRPr="00BC4EE7">
        <w:rPr>
          <w:rFonts w:cs="Times New Roman"/>
          <w:noProof/>
        </w:rPr>
        <w:t xml:space="preserve"> </w:t>
      </w:r>
      <w:r w:rsidRPr="00BC4EE7">
        <w:rPr>
          <w:rFonts w:cs="Times New Roman"/>
          <w:i/>
          <w:noProof/>
        </w:rPr>
        <w:t>Az összes mutató esetében az alapforgatókönyv időpontja 2020. február 1., kivéve, ha az intézkedés leírása ettől eltérően rendelkezik. A táblázatban szereplő összegek nem tartalmazzák a héát.</w:t>
      </w:r>
      <w:r w:rsidRPr="00BC4EE7">
        <w:rPr>
          <w:rFonts w:cs="Times New Roman"/>
          <w:noProof/>
        </w:rPr>
        <w:t xml:space="preserve"> </w:t>
      </w:r>
    </w:p>
    <w:p w14:paraId="64F128F2" w14:textId="77777777" w:rsidR="00D65CB4" w:rsidRPr="00BC4EE7" w:rsidRDefault="00D65CB4">
      <w:pPr>
        <w:pStyle w:val="Text1"/>
        <w:ind w:left="0"/>
        <w:rPr>
          <w:rFonts w:ascii="Times New Roman" w:hAnsi="Times New Roman" w:cs="Times New Roman"/>
          <w:noProof/>
        </w:rPr>
        <w:sectPr w:rsidR="00D65CB4" w:rsidRPr="00BC4EE7" w:rsidSect="00B511EF">
          <w:headerReference w:type="even" r:id="rId556"/>
          <w:headerReference w:type="default" r:id="rId557"/>
          <w:footerReference w:type="even" r:id="rId558"/>
          <w:footerReference w:type="default" r:id="rId559"/>
          <w:headerReference w:type="first" r:id="rId560"/>
          <w:footerReference w:type="first" r:id="rId561"/>
          <w:pgSz w:w="11907" w:h="16839"/>
          <w:pgMar w:top="1134" w:right="1134" w:bottom="1134" w:left="1134" w:header="567" w:footer="567" w:gutter="0"/>
          <w:cols w:space="720"/>
          <w:docGrid w:linePitch="360"/>
        </w:sectPr>
      </w:pPr>
    </w:p>
    <w:p w14:paraId="12BCB917" w14:textId="77777777" w:rsidR="00D65CB4" w:rsidRPr="00BC4EE7" w:rsidRDefault="00D65CB4">
      <w:pPr>
        <w:pStyle w:val="Text1"/>
        <w:ind w:left="0"/>
        <w:rPr>
          <w:rFonts w:ascii="Times New Roman" w:hAnsi="Times New Roman" w:cs="Times New Roman"/>
          <w:noProof/>
        </w:rPr>
      </w:pPr>
    </w:p>
    <w:tbl>
      <w:tblPr>
        <w:tblW w:w="15419"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10"/>
        <w:gridCol w:w="992"/>
        <w:gridCol w:w="992"/>
        <w:gridCol w:w="1434"/>
        <w:gridCol w:w="1100"/>
        <w:gridCol w:w="656"/>
        <w:gridCol w:w="976"/>
        <w:gridCol w:w="688"/>
        <w:gridCol w:w="413"/>
        <w:gridCol w:w="550"/>
        <w:gridCol w:w="6908"/>
      </w:tblGrid>
      <w:tr w:rsidR="00D65CB4" w:rsidRPr="00BC4EE7" w14:paraId="0202CF4E" w14:textId="77777777" w:rsidTr="00572307">
        <w:trPr>
          <w:trHeight w:val="309"/>
          <w:tblHeader/>
        </w:trPr>
        <w:tc>
          <w:tcPr>
            <w:tcW w:w="710" w:type="dxa"/>
            <w:tcBorders>
              <w:bottom w:val="nil"/>
            </w:tcBorders>
            <w:shd w:val="clear" w:color="auto" w:fill="C6D9F1" w:themeFill="text2" w:themeFillTint="33"/>
            <w:noWrap/>
            <w:vAlign w:val="center"/>
          </w:tcPr>
          <w:p w14:paraId="66FFB269"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Szám</w:t>
            </w:r>
          </w:p>
        </w:tc>
        <w:tc>
          <w:tcPr>
            <w:tcW w:w="992" w:type="dxa"/>
            <w:tcBorders>
              <w:bottom w:val="nil"/>
            </w:tcBorders>
            <w:shd w:val="clear" w:color="auto" w:fill="C6D9F1" w:themeFill="text2" w:themeFillTint="33"/>
            <w:noWrap/>
            <w:vAlign w:val="center"/>
          </w:tcPr>
          <w:p w14:paraId="7A6C5DF4"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Intézkedés</w:t>
            </w:r>
          </w:p>
        </w:tc>
        <w:tc>
          <w:tcPr>
            <w:tcW w:w="992" w:type="dxa"/>
            <w:tcBorders>
              <w:bottom w:val="nil"/>
            </w:tcBorders>
            <w:shd w:val="clear" w:color="auto" w:fill="C6D9F1" w:themeFill="text2" w:themeFillTint="33"/>
            <w:noWrap/>
            <w:vAlign w:val="center"/>
          </w:tcPr>
          <w:p w14:paraId="2A5D447D" w14:textId="77777777" w:rsidR="00D65CB4" w:rsidRPr="00BC4EE7" w:rsidRDefault="00572307">
            <w:pPr>
              <w:spacing w:after="0" w:line="240" w:lineRule="auto"/>
              <w:jc w:val="center"/>
              <w:rPr>
                <w:rFonts w:ascii="Times New Roman" w:hAnsi="Times New Roman" w:cs="Times New Roman"/>
                <w:b/>
                <w:noProof/>
                <w:sz w:val="18"/>
              </w:rPr>
            </w:pPr>
            <w:r w:rsidRPr="00BC4EE7">
              <w:rPr>
                <w:rFonts w:ascii="Times New Roman" w:hAnsi="Times New Roman" w:cs="Times New Roman"/>
                <w:b/>
                <w:noProof/>
                <w:sz w:val="18"/>
              </w:rPr>
              <w:t>Mérföldkő</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b/>
                <w:noProof/>
                <w:sz w:val="18"/>
              </w:rPr>
              <w:t xml:space="preserve"> /Cél</w:t>
            </w:r>
          </w:p>
        </w:tc>
        <w:tc>
          <w:tcPr>
            <w:tcW w:w="1434" w:type="dxa"/>
            <w:tcBorders>
              <w:bottom w:val="nil"/>
            </w:tcBorders>
            <w:shd w:val="clear" w:color="auto" w:fill="C6D9F1" w:themeFill="text2" w:themeFillTint="33"/>
            <w:noWrap/>
            <w:vAlign w:val="center"/>
          </w:tcPr>
          <w:p w14:paraId="57194A26"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Név</w:t>
            </w:r>
          </w:p>
        </w:tc>
        <w:tc>
          <w:tcPr>
            <w:tcW w:w="1100" w:type="dxa"/>
            <w:tcBorders>
              <w:bottom w:val="nil"/>
            </w:tcBorders>
            <w:shd w:val="clear" w:color="auto" w:fill="C6D9F1" w:themeFill="text2" w:themeFillTint="33"/>
            <w:noWrap/>
            <w:vAlign w:val="center"/>
          </w:tcPr>
          <w:p w14:paraId="003E6C60"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mérföldkövek minőségi mutatója</w:t>
            </w:r>
          </w:p>
        </w:tc>
        <w:tc>
          <w:tcPr>
            <w:tcW w:w="2320" w:type="dxa"/>
            <w:gridSpan w:val="3"/>
            <w:shd w:val="clear" w:color="auto" w:fill="C6D9F1" w:themeFill="text2" w:themeFillTint="33"/>
            <w:noWrap/>
            <w:vAlign w:val="center"/>
          </w:tcPr>
          <w:p w14:paraId="75D046CF"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 célérték mennyiségi mutatója</w:t>
            </w:r>
          </w:p>
        </w:tc>
        <w:tc>
          <w:tcPr>
            <w:tcW w:w="963" w:type="dxa"/>
            <w:gridSpan w:val="2"/>
            <w:shd w:val="clear" w:color="auto" w:fill="C6D9F1" w:themeFill="text2" w:themeFillTint="33"/>
            <w:noWrap/>
            <w:vAlign w:val="center"/>
          </w:tcPr>
          <w:p w14:paraId="52396C49"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Idő</w:t>
            </w:r>
          </w:p>
        </w:tc>
        <w:tc>
          <w:tcPr>
            <w:tcW w:w="6908" w:type="dxa"/>
            <w:tcBorders>
              <w:bottom w:val="nil"/>
            </w:tcBorders>
            <w:shd w:val="clear" w:color="auto" w:fill="C6D9F1" w:themeFill="text2" w:themeFillTint="33"/>
            <w:noWrap/>
            <w:vAlign w:val="center"/>
          </w:tcPr>
          <w:p w14:paraId="7FFC02C2"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Az egyes mérföldkövek és célértékek leírása</w:t>
            </w:r>
          </w:p>
        </w:tc>
      </w:tr>
      <w:tr w:rsidR="00D65CB4" w:rsidRPr="00BC4EE7" w14:paraId="3465697A" w14:textId="77777777" w:rsidTr="00572307">
        <w:trPr>
          <w:trHeight w:val="309"/>
          <w:tblHeader/>
        </w:trPr>
        <w:tc>
          <w:tcPr>
            <w:tcW w:w="710" w:type="dxa"/>
            <w:tcBorders>
              <w:top w:val="nil"/>
              <w:left w:val="single" w:sz="4" w:space="0" w:color="auto"/>
              <w:bottom w:val="single" w:sz="4" w:space="0" w:color="auto"/>
              <w:right w:val="single" w:sz="4" w:space="0" w:color="auto"/>
            </w:tcBorders>
            <w:shd w:val="clear" w:color="auto" w:fill="C6D9F1" w:themeFill="text2" w:themeFillTint="33"/>
            <w:noWrap/>
          </w:tcPr>
          <w:p w14:paraId="40D79C82" w14:textId="77777777" w:rsidR="00D65CB4" w:rsidRPr="00BC4EE7" w:rsidRDefault="00D65CB4">
            <w:pPr>
              <w:spacing w:after="0" w:line="240" w:lineRule="auto"/>
              <w:jc w:val="center"/>
              <w:rPr>
                <w:rFonts w:ascii="Times New Roman" w:hAnsi="Times New Roman" w:cs="Times New Roman"/>
                <w:b/>
                <w:noProof/>
                <w:sz w:val="18"/>
              </w:rPr>
            </w:pPr>
          </w:p>
        </w:tc>
        <w:tc>
          <w:tcPr>
            <w:tcW w:w="992" w:type="dxa"/>
            <w:tcBorders>
              <w:top w:val="nil"/>
              <w:left w:val="single" w:sz="4" w:space="0" w:color="auto"/>
              <w:bottom w:val="single" w:sz="4" w:space="0" w:color="auto"/>
              <w:right w:val="single" w:sz="4" w:space="0" w:color="auto"/>
            </w:tcBorders>
            <w:shd w:val="clear" w:color="auto" w:fill="C6D9F1" w:themeFill="text2" w:themeFillTint="33"/>
            <w:noWrap/>
          </w:tcPr>
          <w:p w14:paraId="2A9BF169" w14:textId="77777777" w:rsidR="00D65CB4" w:rsidRPr="00BC4EE7" w:rsidRDefault="00D65CB4">
            <w:pPr>
              <w:spacing w:after="0" w:line="240" w:lineRule="auto"/>
              <w:jc w:val="center"/>
              <w:rPr>
                <w:rFonts w:ascii="Times New Roman" w:hAnsi="Times New Roman" w:cs="Times New Roman"/>
                <w:b/>
                <w:noProof/>
                <w:sz w:val="18"/>
              </w:rPr>
            </w:pPr>
          </w:p>
        </w:tc>
        <w:tc>
          <w:tcPr>
            <w:tcW w:w="992" w:type="dxa"/>
            <w:tcBorders>
              <w:top w:val="nil"/>
              <w:left w:val="single" w:sz="4" w:space="0" w:color="auto"/>
              <w:bottom w:val="single" w:sz="4" w:space="0" w:color="auto"/>
              <w:right w:val="single" w:sz="4" w:space="0" w:color="auto"/>
            </w:tcBorders>
            <w:shd w:val="clear" w:color="auto" w:fill="C6D9F1" w:themeFill="text2" w:themeFillTint="33"/>
            <w:noWrap/>
          </w:tcPr>
          <w:p w14:paraId="3B890CE1" w14:textId="77777777" w:rsidR="00D65CB4" w:rsidRPr="00BC4EE7" w:rsidRDefault="00D65CB4">
            <w:pPr>
              <w:spacing w:after="0" w:line="240" w:lineRule="auto"/>
              <w:jc w:val="center"/>
              <w:rPr>
                <w:rFonts w:ascii="Times New Roman" w:hAnsi="Times New Roman" w:cs="Times New Roman"/>
                <w:b/>
                <w:noProof/>
                <w:sz w:val="18"/>
              </w:rPr>
            </w:pPr>
          </w:p>
        </w:tc>
        <w:tc>
          <w:tcPr>
            <w:tcW w:w="1434" w:type="dxa"/>
            <w:tcBorders>
              <w:top w:val="nil"/>
              <w:left w:val="single" w:sz="4" w:space="0" w:color="auto"/>
              <w:bottom w:val="single" w:sz="4" w:space="0" w:color="auto"/>
              <w:right w:val="single" w:sz="4" w:space="0" w:color="auto"/>
            </w:tcBorders>
            <w:shd w:val="clear" w:color="auto" w:fill="C6D9F1" w:themeFill="text2" w:themeFillTint="33"/>
            <w:noWrap/>
          </w:tcPr>
          <w:p w14:paraId="13BFF55F" w14:textId="77777777" w:rsidR="00D65CB4" w:rsidRPr="00BC4EE7" w:rsidRDefault="00D65CB4">
            <w:pPr>
              <w:spacing w:after="0" w:line="240" w:lineRule="auto"/>
              <w:rPr>
                <w:rFonts w:ascii="Times New Roman" w:hAnsi="Times New Roman" w:cs="Times New Roman"/>
                <w:b/>
                <w:noProof/>
                <w:sz w:val="18"/>
              </w:rPr>
            </w:pPr>
          </w:p>
        </w:tc>
        <w:tc>
          <w:tcPr>
            <w:tcW w:w="1100" w:type="dxa"/>
            <w:tcBorders>
              <w:top w:val="nil"/>
              <w:left w:val="single" w:sz="4" w:space="0" w:color="auto"/>
              <w:bottom w:val="single" w:sz="4" w:space="0" w:color="auto"/>
              <w:right w:val="single" w:sz="4" w:space="0" w:color="auto"/>
            </w:tcBorders>
            <w:shd w:val="clear" w:color="auto" w:fill="C6D9F1" w:themeFill="text2" w:themeFillTint="33"/>
            <w:noWrap/>
          </w:tcPr>
          <w:p w14:paraId="46350AFD" w14:textId="77777777" w:rsidR="00D65CB4" w:rsidRPr="00BC4EE7" w:rsidRDefault="00D65CB4">
            <w:pPr>
              <w:spacing w:after="0" w:line="240" w:lineRule="auto"/>
              <w:jc w:val="center"/>
              <w:rPr>
                <w:rFonts w:ascii="Times New Roman" w:hAnsi="Times New Roman" w:cs="Times New Roman"/>
                <w:b/>
                <w:noProof/>
                <w:sz w:val="18"/>
              </w:rPr>
            </w:pPr>
          </w:p>
        </w:tc>
        <w:tc>
          <w:tcPr>
            <w:tcW w:w="65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7BF35EB4"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Egység</w:t>
            </w:r>
          </w:p>
        </w:tc>
        <w:tc>
          <w:tcPr>
            <w:tcW w:w="97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42851494" w14:textId="6EEA5FFD" w:rsidR="00D65CB4" w:rsidRPr="00BC4EE7" w:rsidRDefault="00572307">
            <w:pPr>
              <w:pStyle w:val="P68B1DB1-Normal8"/>
              <w:spacing w:after="0" w:line="240" w:lineRule="auto"/>
              <w:jc w:val="center"/>
              <w:rPr>
                <w:rFonts w:cs="Times New Roman"/>
                <w:noProof/>
              </w:rPr>
            </w:pPr>
            <w:r w:rsidRPr="00BC4EE7">
              <w:rPr>
                <w:rFonts w:cs="Times New Roman"/>
                <w:noProof/>
              </w:rPr>
              <w:t>Kiindulási</w:t>
            </w:r>
          </w:p>
        </w:tc>
        <w:tc>
          <w:tcPr>
            <w:tcW w:w="68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6734EE8"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Cél</w:t>
            </w:r>
          </w:p>
        </w:tc>
        <w:tc>
          <w:tcPr>
            <w:tcW w:w="41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0A6C54B"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Q</w:t>
            </w:r>
          </w:p>
        </w:tc>
        <w:tc>
          <w:tcPr>
            <w:tcW w:w="55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8EB8BC3" w14:textId="77777777" w:rsidR="00D65CB4" w:rsidRPr="00BC4EE7" w:rsidRDefault="00572307">
            <w:pPr>
              <w:pStyle w:val="P68B1DB1-Normal8"/>
              <w:spacing w:after="0" w:line="240" w:lineRule="auto"/>
              <w:jc w:val="center"/>
              <w:rPr>
                <w:rFonts w:cs="Times New Roman"/>
                <w:noProof/>
              </w:rPr>
            </w:pPr>
            <w:r w:rsidRPr="00BC4EE7">
              <w:rPr>
                <w:rFonts w:cs="Times New Roman"/>
                <w:noProof/>
              </w:rPr>
              <w:t>Éve</w:t>
            </w:r>
          </w:p>
        </w:tc>
        <w:tc>
          <w:tcPr>
            <w:tcW w:w="6908" w:type="dxa"/>
            <w:tcBorders>
              <w:top w:val="nil"/>
              <w:left w:val="single" w:sz="4" w:space="0" w:color="auto"/>
              <w:bottom w:val="single" w:sz="4" w:space="0" w:color="auto"/>
              <w:right w:val="single" w:sz="4" w:space="0" w:color="auto"/>
            </w:tcBorders>
            <w:shd w:val="clear" w:color="auto" w:fill="C6D9F1" w:themeFill="text2" w:themeFillTint="33"/>
            <w:noWrap/>
          </w:tcPr>
          <w:p w14:paraId="2F5D968D" w14:textId="77777777" w:rsidR="00D65CB4" w:rsidRPr="00BC4EE7" w:rsidRDefault="00D65CB4">
            <w:pPr>
              <w:spacing w:after="0" w:line="240" w:lineRule="auto"/>
              <w:rPr>
                <w:rFonts w:ascii="Times New Roman" w:hAnsi="Times New Roman" w:cs="Times New Roman"/>
                <w:b/>
                <w:noProof/>
                <w:sz w:val="18"/>
              </w:rPr>
            </w:pPr>
          </w:p>
        </w:tc>
      </w:tr>
      <w:tr w:rsidR="00D65CB4" w:rsidRPr="00BC4EE7" w14:paraId="07329F71" w14:textId="77777777" w:rsidTr="00572307">
        <w:trPr>
          <w:trHeight w:val="309"/>
        </w:trPr>
        <w:tc>
          <w:tcPr>
            <w:tcW w:w="710" w:type="dxa"/>
            <w:tcBorders>
              <w:top w:val="single" w:sz="4" w:space="0" w:color="auto"/>
              <w:left w:val="single" w:sz="4" w:space="0" w:color="auto"/>
              <w:bottom w:val="single" w:sz="4" w:space="0" w:color="auto"/>
              <w:right w:val="single" w:sz="4" w:space="0" w:color="auto"/>
            </w:tcBorders>
            <w:shd w:val="clear" w:color="auto" w:fill="C6EFCE"/>
            <w:noWrap/>
          </w:tcPr>
          <w:p w14:paraId="318C4763" w14:textId="455D51D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L81</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6D9B612D"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C28.I1</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7CEBEEBC"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1434" w:type="dxa"/>
            <w:tcBorders>
              <w:top w:val="single" w:sz="4" w:space="0" w:color="auto"/>
              <w:left w:val="single" w:sz="4" w:space="0" w:color="auto"/>
              <w:bottom w:val="single" w:sz="4" w:space="0" w:color="auto"/>
              <w:right w:val="single" w:sz="4" w:space="0" w:color="auto"/>
            </w:tcBorders>
            <w:shd w:val="clear" w:color="auto" w:fill="C6EFCE"/>
            <w:noWrap/>
          </w:tcPr>
          <w:p w14:paraId="02329803" w14:textId="77777777" w:rsidR="00D65CB4" w:rsidRPr="00BC4EE7" w:rsidRDefault="00572307">
            <w:pPr>
              <w:pStyle w:val="P68B1DB1-Normal12"/>
              <w:spacing w:after="0" w:line="240" w:lineRule="auto"/>
              <w:rPr>
                <w:rFonts w:eastAsia="Times New Roman" w:cs="Times New Roman"/>
                <w:noProof/>
              </w:rPr>
            </w:pPr>
            <w:r w:rsidRPr="00BC4EE7">
              <w:rPr>
                <w:rFonts w:cs="Times New Roman"/>
                <w:noProof/>
              </w:rPr>
              <w:t>Lakóépület-felújítási intézkedések befejezése, az energiahatékonyság javítása.</w:t>
            </w:r>
          </w:p>
        </w:tc>
        <w:tc>
          <w:tcPr>
            <w:tcW w:w="1100" w:type="dxa"/>
            <w:tcBorders>
              <w:top w:val="single" w:sz="4" w:space="0" w:color="auto"/>
              <w:left w:val="single" w:sz="4" w:space="0" w:color="auto"/>
              <w:bottom w:val="single" w:sz="4" w:space="0" w:color="auto"/>
              <w:right w:val="single" w:sz="4" w:space="0" w:color="auto"/>
            </w:tcBorders>
            <w:shd w:val="clear" w:color="auto" w:fill="C6EFCE"/>
            <w:noWrap/>
          </w:tcPr>
          <w:p w14:paraId="69FE6C5A" w14:textId="77777777" w:rsidR="00D65CB4" w:rsidRPr="00BC4EE7" w:rsidRDefault="00D65CB4">
            <w:pPr>
              <w:spacing w:after="0" w:line="240" w:lineRule="auto"/>
              <w:rPr>
                <w:rFonts w:ascii="Times New Roman" w:eastAsia="Times New Roman" w:hAnsi="Times New Roman" w:cs="Times New Roman"/>
                <w:noProof/>
                <w:sz w:val="18"/>
              </w:rPr>
            </w:pPr>
          </w:p>
        </w:tc>
        <w:tc>
          <w:tcPr>
            <w:tcW w:w="656" w:type="dxa"/>
            <w:tcBorders>
              <w:top w:val="single" w:sz="4" w:space="0" w:color="auto"/>
              <w:left w:val="single" w:sz="4" w:space="0" w:color="auto"/>
              <w:bottom w:val="single" w:sz="4" w:space="0" w:color="auto"/>
              <w:right w:val="single" w:sz="4" w:space="0" w:color="auto"/>
            </w:tcBorders>
            <w:shd w:val="clear" w:color="auto" w:fill="C6EFCE"/>
            <w:noWrap/>
          </w:tcPr>
          <w:p w14:paraId="608F9A8D"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Szám</w:t>
            </w:r>
          </w:p>
        </w:tc>
        <w:tc>
          <w:tcPr>
            <w:tcW w:w="976" w:type="dxa"/>
            <w:tcBorders>
              <w:top w:val="single" w:sz="4" w:space="0" w:color="auto"/>
              <w:left w:val="single" w:sz="4" w:space="0" w:color="auto"/>
              <w:bottom w:val="single" w:sz="4" w:space="0" w:color="auto"/>
              <w:right w:val="single" w:sz="4" w:space="0" w:color="auto"/>
            </w:tcBorders>
            <w:shd w:val="clear" w:color="auto" w:fill="C6EFCE"/>
            <w:noWrap/>
          </w:tcPr>
          <w:p w14:paraId="00290C9C" w14:textId="3A551783"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410 000</w:t>
            </w:r>
          </w:p>
        </w:tc>
        <w:tc>
          <w:tcPr>
            <w:tcW w:w="688" w:type="dxa"/>
            <w:tcBorders>
              <w:top w:val="single" w:sz="4" w:space="0" w:color="auto"/>
              <w:left w:val="single" w:sz="4" w:space="0" w:color="auto"/>
              <w:bottom w:val="single" w:sz="4" w:space="0" w:color="auto"/>
              <w:right w:val="single" w:sz="4" w:space="0" w:color="auto"/>
            </w:tcBorders>
            <w:shd w:val="clear" w:color="auto" w:fill="C6EFCE"/>
            <w:noWrap/>
          </w:tcPr>
          <w:p w14:paraId="41D57A0A" w14:textId="3DEB694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510 000</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35B7A26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Q3</w:t>
            </w:r>
          </w:p>
        </w:tc>
        <w:tc>
          <w:tcPr>
            <w:tcW w:w="550" w:type="dxa"/>
            <w:tcBorders>
              <w:top w:val="single" w:sz="4" w:space="0" w:color="auto"/>
              <w:left w:val="single" w:sz="4" w:space="0" w:color="auto"/>
              <w:bottom w:val="single" w:sz="4" w:space="0" w:color="auto"/>
              <w:right w:val="single" w:sz="4" w:space="0" w:color="auto"/>
            </w:tcBorders>
            <w:shd w:val="clear" w:color="auto" w:fill="C6EFCE"/>
            <w:noWrap/>
          </w:tcPr>
          <w:p w14:paraId="60DE50A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2026</w:t>
            </w:r>
          </w:p>
        </w:tc>
        <w:tc>
          <w:tcPr>
            <w:tcW w:w="6908" w:type="dxa"/>
            <w:tcBorders>
              <w:top w:val="single" w:sz="4" w:space="0" w:color="auto"/>
              <w:left w:val="single" w:sz="4" w:space="0" w:color="auto"/>
              <w:bottom w:val="single" w:sz="4" w:space="0" w:color="auto"/>
              <w:right w:val="single" w:sz="4" w:space="0" w:color="auto"/>
            </w:tcBorders>
            <w:shd w:val="clear" w:color="auto" w:fill="C6EFCE"/>
            <w:noWrap/>
          </w:tcPr>
          <w:p w14:paraId="4BC95E47" w14:textId="6B16861C" w:rsidR="00D65CB4" w:rsidRPr="00BC4EE7" w:rsidRDefault="00572307">
            <w:pPr>
              <w:pStyle w:val="P68B1DB1-Normal12"/>
              <w:rPr>
                <w:rFonts w:eastAsia="Times New Roman" w:cs="Times New Roman"/>
                <w:noProof/>
              </w:rPr>
            </w:pPr>
            <w:r w:rsidRPr="00BC4EE7">
              <w:rPr>
                <w:rFonts w:cs="Times New Roman"/>
                <w:noProof/>
              </w:rPr>
              <w:t>Legalább 510000 lakásfelújítási intézkedés végrehajtása legalább 355000 egyedi lakásban, amelyek átlagosan legalább 30%-os primerenergia-kereslet-csökkentést érnek el (kumulatív). A mutató alkalmazásában a lakás fogalmának összeegyeztethetőnek kell lennie az Eurostat meghatározásával („A lakás egy állandó épületben vagy az épület szerkezetileg elkülönített részén található szoba vagy szobák összessége – beleértve annak tartozékait, lobbiit és folyosóit is –, amelyet építésének, újraépítésének vagy átalakításának módja miatt egy magánháztartás egész évben lakhatásra jelölt ki”), és adott esetben magában foglalhat szociális vagy állami lakásokat is. Az energiahatékonyság javítására használt mutatókat az épületek energiahatékonyságáról szóló, 2010. május 19-i 2010/31/EU európai parlamenti és tanácsi irányelv keretében kiadott megfelelő energiahatékonysági tanúsítvány révén kell akkreditálni. A lakásfelújítások számát az adókedvezmények révén végrehajtott valamennyi fejlesztési és rehabilitációs intézkedés összegeként kell meghatározni. A 30%-os minimumértéknek való megfelelés céljából a primerenergia-fogyasztás átlagos százalékos megtakarítását a helyreállítási és rezilienciaépítési terv keretében alkalmazott támogatás vagy finanszírozás összegével való súlyozásával kell kiszámítani. Ez a mutató valamennyi település esetében magában foglalja a javítási és rehabilitációs intézkedéseket, függetlenül azok méretétől. Az elért energiamegtakarításnak való megfelelés igazolására a befejezett munkákra vonatkozó energiahatékonysági tanúsítványokat kell benyújtani és összesíteni kell az elért átlagos energiamegtakarítás megerősítése érdekében. (Alapforgatókönyv: 2026. június 30. a 2. komponens 29. céljával összhangban</w:t>
            </w:r>
          </w:p>
        </w:tc>
      </w:tr>
      <w:tr w:rsidR="00D65CB4" w:rsidRPr="00BC4EE7" w14:paraId="6CFE415C" w14:textId="77777777" w:rsidTr="00572307">
        <w:trPr>
          <w:trHeight w:val="309"/>
        </w:trPr>
        <w:tc>
          <w:tcPr>
            <w:tcW w:w="710" w:type="dxa"/>
            <w:tcBorders>
              <w:top w:val="single" w:sz="4" w:space="0" w:color="auto"/>
              <w:left w:val="single" w:sz="4" w:space="0" w:color="auto"/>
              <w:bottom w:val="single" w:sz="4" w:space="0" w:color="auto"/>
              <w:right w:val="single" w:sz="4" w:space="0" w:color="auto"/>
            </w:tcBorders>
            <w:shd w:val="clear" w:color="auto" w:fill="C6EFCE"/>
            <w:noWrap/>
          </w:tcPr>
          <w:p w14:paraId="3C1B56C4" w14:textId="0B90D2B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 xml:space="preserve">L82 </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7FDC7730"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C28.I1</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47D57269"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T</w:t>
            </w:r>
          </w:p>
        </w:tc>
        <w:tc>
          <w:tcPr>
            <w:tcW w:w="1434" w:type="dxa"/>
            <w:tcBorders>
              <w:top w:val="single" w:sz="4" w:space="0" w:color="auto"/>
              <w:left w:val="single" w:sz="4" w:space="0" w:color="auto"/>
              <w:bottom w:val="single" w:sz="4" w:space="0" w:color="auto"/>
              <w:right w:val="single" w:sz="4" w:space="0" w:color="auto"/>
            </w:tcBorders>
            <w:shd w:val="clear" w:color="auto" w:fill="C6EFCE"/>
            <w:noWrap/>
          </w:tcPr>
          <w:p w14:paraId="6292F74A" w14:textId="5E3D422B" w:rsidR="00D65CB4" w:rsidRPr="00BC4EE7" w:rsidRDefault="00572307">
            <w:pPr>
              <w:pStyle w:val="P68B1DB1-Normal12"/>
              <w:spacing w:after="0" w:line="240" w:lineRule="auto"/>
              <w:rPr>
                <w:rFonts w:eastAsia="Times New Roman" w:cs="Times New Roman"/>
                <w:noProof/>
              </w:rPr>
            </w:pPr>
            <w:r w:rsidRPr="00BC4EE7">
              <w:rPr>
                <w:rFonts w:cs="Times New Roman"/>
                <w:noProof/>
              </w:rPr>
              <w:t xml:space="preserve">Kiépített EVS és töltőinfrastruktúra </w:t>
            </w:r>
          </w:p>
        </w:tc>
        <w:tc>
          <w:tcPr>
            <w:tcW w:w="1100" w:type="dxa"/>
            <w:tcBorders>
              <w:top w:val="single" w:sz="4" w:space="0" w:color="auto"/>
              <w:left w:val="single" w:sz="4" w:space="0" w:color="auto"/>
              <w:bottom w:val="single" w:sz="4" w:space="0" w:color="auto"/>
              <w:right w:val="single" w:sz="4" w:space="0" w:color="auto"/>
            </w:tcBorders>
            <w:shd w:val="clear" w:color="auto" w:fill="C6EFCE"/>
            <w:noWrap/>
          </w:tcPr>
          <w:p w14:paraId="3B25C739" w14:textId="77777777" w:rsidR="00D65CB4" w:rsidRPr="00BC4EE7" w:rsidRDefault="00D65CB4">
            <w:pPr>
              <w:spacing w:after="0" w:line="240" w:lineRule="auto"/>
              <w:jc w:val="center"/>
              <w:rPr>
                <w:rFonts w:ascii="Times New Roman" w:eastAsia="Times New Roman" w:hAnsi="Times New Roman" w:cs="Times New Roman"/>
                <w:noProof/>
                <w:sz w:val="18"/>
              </w:rPr>
            </w:pPr>
          </w:p>
        </w:tc>
        <w:tc>
          <w:tcPr>
            <w:tcW w:w="656" w:type="dxa"/>
            <w:tcBorders>
              <w:top w:val="single" w:sz="4" w:space="0" w:color="auto"/>
              <w:left w:val="single" w:sz="4" w:space="0" w:color="auto"/>
              <w:bottom w:val="single" w:sz="4" w:space="0" w:color="auto"/>
              <w:right w:val="single" w:sz="4" w:space="0" w:color="auto"/>
            </w:tcBorders>
            <w:shd w:val="clear" w:color="auto" w:fill="C6EFCE"/>
            <w:noWrap/>
          </w:tcPr>
          <w:p w14:paraId="33589A6B"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Szám</w:t>
            </w:r>
          </w:p>
        </w:tc>
        <w:tc>
          <w:tcPr>
            <w:tcW w:w="976" w:type="dxa"/>
            <w:tcBorders>
              <w:top w:val="single" w:sz="4" w:space="0" w:color="auto"/>
              <w:left w:val="single" w:sz="4" w:space="0" w:color="auto"/>
              <w:bottom w:val="single" w:sz="4" w:space="0" w:color="auto"/>
              <w:right w:val="single" w:sz="4" w:space="0" w:color="auto"/>
            </w:tcBorders>
            <w:shd w:val="clear" w:color="auto" w:fill="C6EFCE"/>
            <w:noWrap/>
          </w:tcPr>
          <w:p w14:paraId="6928C400"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238 000</w:t>
            </w:r>
          </w:p>
        </w:tc>
        <w:tc>
          <w:tcPr>
            <w:tcW w:w="688" w:type="dxa"/>
            <w:tcBorders>
              <w:top w:val="single" w:sz="4" w:space="0" w:color="auto"/>
              <w:left w:val="single" w:sz="4" w:space="0" w:color="auto"/>
              <w:bottom w:val="single" w:sz="4" w:space="0" w:color="auto"/>
              <w:right w:val="single" w:sz="4" w:space="0" w:color="auto"/>
            </w:tcBorders>
            <w:shd w:val="clear" w:color="auto" w:fill="C6EFCE"/>
            <w:noWrap/>
          </w:tcPr>
          <w:p w14:paraId="5BF418A1" w14:textId="77777777" w:rsidR="00D65CB4" w:rsidRPr="00BC4EE7" w:rsidRDefault="00572307">
            <w:pPr>
              <w:pStyle w:val="P68B1DB1-Normal12"/>
              <w:spacing w:after="0" w:line="240" w:lineRule="auto"/>
              <w:jc w:val="center"/>
              <w:rPr>
                <w:rFonts w:cs="Times New Roman"/>
                <w:noProof/>
              </w:rPr>
            </w:pPr>
            <w:r w:rsidRPr="00BC4EE7">
              <w:rPr>
                <w:rFonts w:cs="Times New Roman"/>
                <w:noProof/>
              </w:rPr>
              <w:t xml:space="preserve">348 000 </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3E61B028" w14:textId="77777777"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Q3</w:t>
            </w:r>
          </w:p>
        </w:tc>
        <w:tc>
          <w:tcPr>
            <w:tcW w:w="550" w:type="dxa"/>
            <w:tcBorders>
              <w:top w:val="single" w:sz="4" w:space="0" w:color="auto"/>
              <w:left w:val="single" w:sz="4" w:space="0" w:color="auto"/>
              <w:bottom w:val="single" w:sz="4" w:space="0" w:color="auto"/>
              <w:right w:val="single" w:sz="4" w:space="0" w:color="auto"/>
            </w:tcBorders>
            <w:shd w:val="clear" w:color="auto" w:fill="C6EFCE"/>
            <w:noWrap/>
          </w:tcPr>
          <w:p w14:paraId="44AFB5F0" w14:textId="1AE2866A" w:rsidR="00D65CB4" w:rsidRPr="00BC4EE7" w:rsidRDefault="00572307">
            <w:pPr>
              <w:pStyle w:val="P68B1DB1-Normal12"/>
              <w:spacing w:after="0" w:line="240" w:lineRule="auto"/>
              <w:jc w:val="center"/>
              <w:rPr>
                <w:rFonts w:eastAsia="Times New Roman" w:cs="Times New Roman"/>
                <w:noProof/>
              </w:rPr>
            </w:pPr>
            <w:r w:rsidRPr="00BC4EE7">
              <w:rPr>
                <w:rFonts w:cs="Times New Roman"/>
                <w:noProof/>
              </w:rPr>
              <w:t>2026</w:t>
            </w:r>
          </w:p>
        </w:tc>
        <w:tc>
          <w:tcPr>
            <w:tcW w:w="6908" w:type="dxa"/>
            <w:tcBorders>
              <w:top w:val="single" w:sz="4" w:space="0" w:color="auto"/>
              <w:left w:val="single" w:sz="4" w:space="0" w:color="auto"/>
              <w:bottom w:val="single" w:sz="4" w:space="0" w:color="auto"/>
              <w:right w:val="single" w:sz="4" w:space="0" w:color="auto"/>
            </w:tcBorders>
            <w:shd w:val="clear" w:color="auto" w:fill="C6EFCE"/>
            <w:noWrap/>
          </w:tcPr>
          <w:p w14:paraId="3FC8FA4F" w14:textId="37519251" w:rsidR="00D65CB4" w:rsidRPr="00BC4EE7" w:rsidRDefault="00572307">
            <w:pPr>
              <w:pStyle w:val="P68B1DB1-Normal12"/>
              <w:spacing w:after="0" w:line="240" w:lineRule="auto"/>
              <w:rPr>
                <w:rFonts w:eastAsia="Times New Roman" w:cs="Times New Roman"/>
                <w:noProof/>
              </w:rPr>
            </w:pPr>
            <w:r w:rsidRPr="00BC4EE7">
              <w:rPr>
                <w:rFonts w:cs="Times New Roman"/>
                <w:noProof/>
              </w:rPr>
              <w:t>Legalább 110000 új elektromos járművet (BEV, REEV, PHEV, FCEV vagy FCHV) és töltőállomást építettek ki adókedvezmények keretében.</w:t>
            </w:r>
          </w:p>
          <w:p w14:paraId="23E39600" w14:textId="4F670BAF" w:rsidR="00D65CB4" w:rsidRPr="00BC4EE7" w:rsidRDefault="00572307">
            <w:pPr>
              <w:pStyle w:val="P68B1DB1-Normal12"/>
              <w:spacing w:after="0" w:line="240" w:lineRule="auto"/>
              <w:rPr>
                <w:rFonts w:eastAsia="Times New Roman" w:cs="Times New Roman"/>
                <w:noProof/>
              </w:rPr>
            </w:pPr>
            <w:r w:rsidRPr="00BC4EE7">
              <w:rPr>
                <w:rFonts w:cs="Times New Roman"/>
                <w:noProof/>
              </w:rPr>
              <w:t>(Alapforgatókönyv: 2025. december 31. az 1. komponens 419. céljával összhangban</w:t>
            </w:r>
          </w:p>
        </w:tc>
      </w:tr>
    </w:tbl>
    <w:p w14:paraId="7D3D22D9" w14:textId="77777777" w:rsidR="00D65CB4" w:rsidRPr="00BC4EE7" w:rsidRDefault="00D65CB4">
      <w:pPr>
        <w:pStyle w:val="Text1"/>
        <w:rPr>
          <w:rFonts w:ascii="Times New Roman" w:hAnsi="Times New Roman" w:cs="Times New Roman"/>
          <w:noProof/>
        </w:rPr>
        <w:sectPr w:rsidR="00D65CB4" w:rsidRPr="00BC4EE7" w:rsidSect="00B511EF">
          <w:headerReference w:type="even" r:id="rId562"/>
          <w:headerReference w:type="default" r:id="rId563"/>
          <w:footerReference w:type="even" r:id="rId564"/>
          <w:footerReference w:type="default" r:id="rId565"/>
          <w:headerReference w:type="first" r:id="rId566"/>
          <w:footerReference w:type="first" r:id="rId567"/>
          <w:pgSz w:w="16839" w:h="11907" w:orient="landscape"/>
          <w:pgMar w:top="1134" w:right="1134" w:bottom="1134" w:left="1134" w:header="567" w:footer="567" w:gutter="0"/>
          <w:cols w:space="720"/>
          <w:docGrid w:linePitch="360"/>
        </w:sectPr>
      </w:pPr>
    </w:p>
    <w:p w14:paraId="2D6EE182" w14:textId="77777777" w:rsidR="00D65CB4" w:rsidRPr="00BC4EE7" w:rsidRDefault="00572307">
      <w:pPr>
        <w:pStyle w:val="P68B1DB1-Heading12"/>
        <w:rPr>
          <w:rFonts w:cs="Times New Roman"/>
          <w:noProof/>
        </w:rPr>
      </w:pPr>
      <w:r w:rsidRPr="00BC4EE7">
        <w:rPr>
          <w:rFonts w:cs="Times New Roman"/>
          <w:noProof/>
        </w:rPr>
        <w:t>AC. KOMPONENS: A közkiadások hatékonyságának javítása</w:t>
      </w:r>
    </w:p>
    <w:p w14:paraId="11CE09AD" w14:textId="77777777" w:rsidR="00D65CB4" w:rsidRPr="00BC4EE7" w:rsidRDefault="00572307">
      <w:pPr>
        <w:pStyle w:val="P68B1DB1-Text118"/>
        <w:ind w:left="0"/>
        <w:rPr>
          <w:rFonts w:cs="Times New Roman"/>
          <w:noProof/>
        </w:rPr>
      </w:pPr>
      <w:r w:rsidRPr="00BC4EE7">
        <w:rPr>
          <w:rFonts w:cs="Times New Roman"/>
          <w:noProof/>
        </w:rPr>
        <w:t xml:space="preserve">A spanyol helyreállítási és rezilienciaépítési terv 29. komponensében foglalt reformok célja i. a közkiadások hatékonyságának javítása a kiadások felülvizsgálatára vonatkozó keret és gyakorlatok megerősítése révén, valamint ii. a központi kormányzati költségvetés összehangolása a fenntartható fejlődési célokkal és a zöld költségvetés-tervezés elveivel. </w:t>
      </w:r>
    </w:p>
    <w:p w14:paraId="2855F655" w14:textId="77777777" w:rsidR="00D65CB4" w:rsidRPr="00BC4EE7" w:rsidRDefault="00572307">
      <w:pPr>
        <w:pStyle w:val="P68B1DB1-Text118"/>
        <w:ind w:left="0"/>
        <w:rPr>
          <w:rFonts w:cs="Times New Roman"/>
          <w:noProof/>
        </w:rPr>
      </w:pPr>
      <w:r w:rsidRPr="00BC4EE7">
        <w:rPr>
          <w:rFonts w:cs="Times New Roman"/>
          <w:noProof/>
        </w:rPr>
        <w:t xml:space="preserve">A terv komponensének célja a közkiadások minőségének javítása, különösen összetételük felülvizsgálata és felhasználásuk összpontosítása révén, a gazdasági növekedés és a munkahelyteremtés támogatása, valamint végső soron az államháztartás és az államadósság középtávú fenntarthatóbbá tétele. A reformok az új gazdasági és társadalmi valóság által támasztott kihívásokat is kezelik.  </w:t>
      </w:r>
    </w:p>
    <w:p w14:paraId="04D7F579" w14:textId="77777777" w:rsidR="00D65CB4" w:rsidRPr="00BC4EE7" w:rsidRDefault="00572307">
      <w:pPr>
        <w:pStyle w:val="P68B1DB1-Text118"/>
        <w:ind w:left="0"/>
        <w:rPr>
          <w:rFonts w:cs="Times New Roman"/>
          <w:noProof/>
        </w:rPr>
      </w:pPr>
      <w:r w:rsidRPr="00BC4EE7">
        <w:rPr>
          <w:rFonts w:cs="Times New Roman"/>
          <w:noProof/>
        </w:rPr>
        <w:t>A komponens a prudens középtávú költségvetési pozíció elérésére és az adósság fenntarthatóságának biztosítására, valamint a beruházások ösztönzésére irányuló költségvetési politikák folytatásáról szóló országspecifikus ajánlással foglalkozik – amennyiben a gazdasági feltételek lehetővé teszik – (2020. évi 1. országspecifikus ajánlás).</w:t>
      </w:r>
    </w:p>
    <w:p w14:paraId="6BF0C738" w14:textId="77777777" w:rsidR="00D65CB4" w:rsidRPr="00BC4EE7" w:rsidRDefault="00572307">
      <w:pPr>
        <w:pStyle w:val="P68B1DB1-Text118"/>
        <w:ind w:left="0"/>
        <w:rPr>
          <w:rFonts w:cs="Times New Roman"/>
          <w:noProof/>
        </w:rPr>
      </w:pPr>
      <w:r w:rsidRPr="00BC4EE7">
        <w:rPr>
          <w:rFonts w:cs="Times New Roman"/>
          <w:noProof/>
        </w:rPr>
        <w:t>A jelentős károkozás elkerülését célzó elvről szóló technikai iránymutatásnak (2021/C58/01) megfelelően a helyreállítási és rezilienciaépítési tervben meghatározott intézkedések leírását és a helyreállítási és rezilienciaépítési tervben meghatározott enyhítő lépéseket figyelembe véve ebben a komponensben várhatóan egyetlen intézkedés sem sérti jelentős mértékben az (EU) 2020/852 rendelet 17. cikke szerinti környezeti célkitűzéseket.</w:t>
      </w:r>
    </w:p>
    <w:p w14:paraId="0F17AC41" w14:textId="77777777" w:rsidR="00D65CB4" w:rsidRPr="00BC4EE7" w:rsidRDefault="00572307">
      <w:pPr>
        <w:pStyle w:val="Text1"/>
        <w:ind w:left="709"/>
        <w:rPr>
          <w:rFonts w:ascii="Times New Roman" w:hAnsi="Times New Roman" w:cs="Times New Roman"/>
          <w:noProof/>
        </w:rPr>
      </w:pPr>
      <w:r w:rsidRPr="00BC4EE7">
        <w:rPr>
          <w:rFonts w:ascii="Times New Roman" w:hAnsi="Times New Roman" w:cs="Times New Roman"/>
          <w:b/>
          <w:noProof/>
          <w:u w:val="single"/>
        </w:rPr>
        <w:t xml:space="preserve">AC.1. </w:t>
      </w:r>
      <w:r w:rsidRPr="00BC4EE7">
        <w:rPr>
          <w:rFonts w:ascii="Times New Roman" w:hAnsi="Times New Roman" w:cs="Times New Roman"/>
          <w:noProof/>
        </w:rPr>
        <w:t xml:space="preserve"> </w:t>
      </w:r>
      <w:r w:rsidRPr="00BC4EE7">
        <w:rPr>
          <w:rFonts w:ascii="Times New Roman" w:hAnsi="Times New Roman" w:cs="Times New Roman"/>
          <w:b/>
          <w:noProof/>
          <w:u w:val="single"/>
        </w:rPr>
        <w:t>Vissza nem térítendő pénzügyi támogatás – a reformok és beruházások ismertetése</w:t>
      </w:r>
    </w:p>
    <w:p w14:paraId="1A37E54D" w14:textId="77777777" w:rsidR="00D65CB4" w:rsidRPr="00BC4EE7" w:rsidRDefault="00572307">
      <w:pPr>
        <w:pStyle w:val="P68B1DB1-Text119"/>
        <w:ind w:left="0"/>
        <w:rPr>
          <w:rFonts w:cs="Times New Roman"/>
          <w:noProof/>
        </w:rPr>
      </w:pPr>
      <w:r w:rsidRPr="00BC4EE7">
        <w:rPr>
          <w:rFonts w:cs="Times New Roman"/>
          <w:noProof/>
        </w:rPr>
        <w:t>Reform (C29.R1) – A közkiadások felülvizsgálata és értékelése</w:t>
      </w:r>
    </w:p>
    <w:p w14:paraId="6D646A7A" w14:textId="77777777" w:rsidR="00D65CB4" w:rsidRPr="00BC4EE7" w:rsidRDefault="00572307">
      <w:pPr>
        <w:pStyle w:val="P68B1DB1-Text118"/>
        <w:ind w:left="0"/>
        <w:rPr>
          <w:rFonts w:cs="Times New Roman"/>
          <w:noProof/>
        </w:rPr>
      </w:pPr>
      <w:r w:rsidRPr="00BC4EE7">
        <w:rPr>
          <w:rFonts w:cs="Times New Roman"/>
          <w:noProof/>
        </w:rPr>
        <w:t>E reform célja egy olyan állandó keret létrehozása, amely biztosítja a közkiadások minőségének javítását, megerősíti a költségvetési stabilitást és az államháztartás fenntarthatóságát. Ez a reform négy alelemet tartalmaz:</w:t>
      </w:r>
    </w:p>
    <w:p w14:paraId="4055AA4E" w14:textId="77777777" w:rsidR="00D65CB4" w:rsidRPr="00BC4EE7" w:rsidRDefault="00572307">
      <w:pPr>
        <w:pStyle w:val="P68B1DB1-Text118"/>
        <w:numPr>
          <w:ilvl w:val="0"/>
          <w:numId w:val="166"/>
        </w:numPr>
        <w:rPr>
          <w:rFonts w:cs="Times New Roman"/>
          <w:noProof/>
        </w:rPr>
      </w:pPr>
      <w:r w:rsidRPr="00BC4EE7">
        <w:rPr>
          <w:rFonts w:cs="Times New Roman"/>
          <w:noProof/>
        </w:rPr>
        <w:t xml:space="preserve">A 2018–2020-as kiadási felülvizsgálat ajánlásainak beépítése a döntéshozatali folyamatba (I. szakasz és II. szakasz): Az I. és II. szakasz ajánlásainak hatékony nyomon követése érdekében az ajánlásokat kapott költségvetési egységek számára határidőt kell biztosítani arra, hogy a „tartsd be vagy indokold meg” elvvel összhangban válaszoljanak ezekre az ajánlásokra. A Pénzügyminisztérium feladata, hogy nyomon kövesse a nyomon követést, és éves jelentést készítsen az ajánlásokra adott válaszokról. </w:t>
      </w:r>
    </w:p>
    <w:p w14:paraId="3173400A" w14:textId="77777777" w:rsidR="00D65CB4" w:rsidRPr="00BC4EE7" w:rsidRDefault="00572307">
      <w:pPr>
        <w:pStyle w:val="P68B1DB1-Text118"/>
        <w:numPr>
          <w:ilvl w:val="0"/>
          <w:numId w:val="166"/>
        </w:numPr>
        <w:rPr>
          <w:rFonts w:cs="Times New Roman"/>
          <w:noProof/>
        </w:rPr>
      </w:pPr>
      <w:r w:rsidRPr="00BC4EE7">
        <w:rPr>
          <w:rFonts w:cs="Times New Roman"/>
          <w:noProof/>
        </w:rPr>
        <w:t xml:space="preserve">A kiadások 2021. évi felülvizsgálata III. szakaszának elindítása: A kiadások felülvizsgálatának harmadik szakasza a tervek szerint a pénzügyi eszközökre és az önkormányzati hulladékgazdálkodásra összpontosít; </w:t>
      </w:r>
    </w:p>
    <w:p w14:paraId="2D6C80F9" w14:textId="77777777" w:rsidR="00D65CB4" w:rsidRPr="00BC4EE7" w:rsidRDefault="00572307">
      <w:pPr>
        <w:pStyle w:val="P68B1DB1-Text118"/>
        <w:numPr>
          <w:ilvl w:val="0"/>
          <w:numId w:val="166"/>
        </w:numPr>
        <w:rPr>
          <w:rFonts w:cs="Times New Roman"/>
          <w:noProof/>
        </w:rPr>
      </w:pPr>
      <w:r w:rsidRPr="00BC4EE7">
        <w:rPr>
          <w:rFonts w:cs="Times New Roman"/>
          <w:noProof/>
        </w:rPr>
        <w:t>A közkiadások új felülvizsgálati és értékelési folyamata (2022–2026): Ebben a ciklusban a kiadások jövőbeli felülvizsgálatát a független költségvetési hatóság (autoridad</w:t>
      </w:r>
      <w:r w:rsidRPr="00BC4EE7">
        <w:rPr>
          <w:rFonts w:cs="Times New Roman"/>
          <w:i/>
          <w:noProof/>
        </w:rPr>
        <w:t>Independiente de Responsabilidad Fiscal</w:t>
      </w:r>
      <w:r w:rsidRPr="00BC4EE7">
        <w:rPr>
          <w:rFonts w:cs="Times New Roman"/>
          <w:noProof/>
        </w:rPr>
        <w:t xml:space="preserve">, AIReF) végezné el. E jövőbeli felülvizsgálatok fókuszáról, hatóköréről és ütemezéséről az AIReF-fel folytatott konzultációt követően a Miniszterek Tanácsa határoz. A cél, hogy 2022–2026-ban évente jelentést tegyenek közzé; </w:t>
      </w:r>
    </w:p>
    <w:p w14:paraId="369C92EB" w14:textId="77777777" w:rsidR="00D65CB4" w:rsidRPr="00BC4EE7" w:rsidRDefault="00572307">
      <w:pPr>
        <w:pStyle w:val="P68B1DB1-Text118"/>
        <w:numPr>
          <w:ilvl w:val="0"/>
          <w:numId w:val="166"/>
        </w:numPr>
        <w:rPr>
          <w:rFonts w:cs="Times New Roman"/>
          <w:noProof/>
        </w:rPr>
      </w:pPr>
      <w:r w:rsidRPr="00BC4EE7">
        <w:rPr>
          <w:rFonts w:cs="Times New Roman"/>
          <w:noProof/>
        </w:rPr>
        <w:t>Az értékelő (AIReF) kapacitásának megerősítése: Az AIReF alapszabályát módosítani kell a közkiadások felülvizsgálatáért felelős új egység létrehozása érdekében.</w:t>
      </w:r>
    </w:p>
    <w:p w14:paraId="2FBD1FA2" w14:textId="77777777" w:rsidR="00D65CB4" w:rsidRPr="00BC4EE7" w:rsidRDefault="00572307">
      <w:pPr>
        <w:pStyle w:val="P68B1DB1-Text118"/>
        <w:ind w:left="0"/>
        <w:rPr>
          <w:rFonts w:cs="Times New Roman"/>
          <w:noProof/>
        </w:rPr>
      </w:pPr>
      <w:r w:rsidRPr="00BC4EE7">
        <w:rPr>
          <w:rFonts w:cs="Times New Roman"/>
          <w:noProof/>
        </w:rPr>
        <w:t xml:space="preserve">Az 1. reform a spanyol helyreállítási és rezilienciaépítési tervben szereplő koherencia és egyéb reformok támogatásának tekinthető, különösen a 6., 17., 18., 21., 23. és 28. komponens esetében, ahol a kiadások felülvizsgálatának I. és II. szakaszán alapuló ajánlások beépültek az említett reformprioritásokba. </w:t>
      </w:r>
    </w:p>
    <w:p w14:paraId="057350AA" w14:textId="77777777" w:rsidR="00D65CB4" w:rsidRPr="00BC4EE7" w:rsidRDefault="00572307">
      <w:pPr>
        <w:pStyle w:val="P68B1DB1-Text118"/>
        <w:ind w:left="0"/>
        <w:rPr>
          <w:rFonts w:cs="Times New Roman"/>
          <w:noProof/>
        </w:rPr>
      </w:pPr>
      <w:r w:rsidRPr="00BC4EE7">
        <w:rPr>
          <w:rFonts w:cs="Times New Roman"/>
          <w:noProof/>
        </w:rPr>
        <w:t>Ez a reform várhatóan 2023. június 30-ig fejeződik be.</w:t>
      </w:r>
    </w:p>
    <w:p w14:paraId="33EA2FD3" w14:textId="77777777" w:rsidR="00D65CB4" w:rsidRPr="00BC4EE7" w:rsidRDefault="00572307">
      <w:pPr>
        <w:pStyle w:val="P68B1DB1-Text118"/>
        <w:ind w:left="0"/>
        <w:rPr>
          <w:rFonts w:cs="Times New Roman"/>
          <w:noProof/>
          <w:u w:val="single"/>
        </w:rPr>
      </w:pPr>
      <w:r w:rsidRPr="00BC4EE7">
        <w:rPr>
          <w:rFonts w:cs="Times New Roman"/>
          <w:noProof/>
          <w:u w:val="single"/>
        </w:rPr>
        <w:t>Reform (C29.R2) – A központi kormányzati költségvetés összehangolása a 2030-ig tartó időszakra szóló menetrend fenntarthatófejlődési céljaival</w:t>
      </w:r>
    </w:p>
    <w:p w14:paraId="3A396F9E" w14:textId="77777777" w:rsidR="00D65CB4" w:rsidRPr="00BC4EE7" w:rsidRDefault="00572307">
      <w:pPr>
        <w:pStyle w:val="P68B1DB1-Text118"/>
        <w:ind w:left="0"/>
        <w:rPr>
          <w:rFonts w:cs="Times New Roman"/>
          <w:noProof/>
        </w:rPr>
      </w:pPr>
      <w:r w:rsidRPr="00BC4EE7">
        <w:rPr>
          <w:rFonts w:cs="Times New Roman"/>
          <w:noProof/>
        </w:rPr>
        <w:t xml:space="preserve">E reform célja, hogy az állami költségvetést összehangolja az egész terv alapjául szolgáló fenntartható fejlődési célokkal. A reform az állami költségvetési folyamat keretében olyan jelentés közzétételéből áll, amely egy előre meghatározott módszertannak megfelelően tükrözi a közberuházások fenntartható fejlődési célokkal való összehangolását. Ez a reform az uniós technikai támogatási eszköz támogatásával jelenleg kidolgozás alatt álló módszertanra és nyomonkövetési keretre épül. </w:t>
      </w:r>
    </w:p>
    <w:p w14:paraId="487BE28E" w14:textId="77777777" w:rsidR="00D65CB4" w:rsidRPr="00BC4EE7" w:rsidRDefault="00572307">
      <w:pPr>
        <w:pStyle w:val="P68B1DB1-Text118"/>
        <w:ind w:left="0"/>
        <w:rPr>
          <w:rFonts w:cs="Times New Roman"/>
          <w:noProof/>
        </w:rPr>
      </w:pPr>
      <w:r w:rsidRPr="00BC4EE7">
        <w:rPr>
          <w:rFonts w:cs="Times New Roman"/>
          <w:noProof/>
        </w:rPr>
        <w:t>Az intézkedés végrehajtását 2021. szeptember 30-ig be kell fejezni.</w:t>
      </w:r>
    </w:p>
    <w:p w14:paraId="53AF397A" w14:textId="77777777" w:rsidR="00D65CB4" w:rsidRPr="00BC4EE7" w:rsidRDefault="00572307">
      <w:pPr>
        <w:pStyle w:val="P68B1DB1-Text119"/>
        <w:ind w:left="0"/>
        <w:rPr>
          <w:rFonts w:cs="Times New Roman"/>
          <w:noProof/>
        </w:rPr>
      </w:pPr>
      <w:r w:rsidRPr="00BC4EE7">
        <w:rPr>
          <w:rFonts w:cs="Times New Roman"/>
          <w:noProof/>
        </w:rPr>
        <w:t>Reform (C29.R3) – A központi kormányzati költségvetés összehangolása a környezetbarát költségvetés-tervezéssel</w:t>
      </w:r>
    </w:p>
    <w:p w14:paraId="043CD9A3" w14:textId="77777777" w:rsidR="00D65CB4" w:rsidRPr="00BC4EE7" w:rsidRDefault="00572307">
      <w:pPr>
        <w:pStyle w:val="P68B1DB1-Text118"/>
        <w:ind w:left="0"/>
        <w:rPr>
          <w:rFonts w:cs="Times New Roman"/>
          <w:noProof/>
        </w:rPr>
      </w:pPr>
      <w:r w:rsidRPr="00BC4EE7">
        <w:rPr>
          <w:rFonts w:cs="Times New Roman"/>
          <w:noProof/>
        </w:rPr>
        <w:t>E reform célja, hogy az állami költségvetést középtávon hozzáigazítsa az EU zöld költségvetés-tervezési referenciakeretéhez. Megerősíti a 2. reformot és általánosabban a terv zöld törekvéseit. A reform a központi kormányzati költségvetési folyamat keretében két jelentés közzétételéből áll, amelyek feltérképezik a 2023. és 2024. évi éves költségvetési törvényekkel kapcsolatos zöld, illetve barna kiadásokat. Ez a reform az uniós technikai támogatási eszköz támogatásával jelenleg kidolgozás alatt álló módszertanra és nyomonkövetési keretre épül.</w:t>
      </w:r>
    </w:p>
    <w:p w14:paraId="2D75ED4D" w14:textId="77777777" w:rsidR="00D65CB4" w:rsidRPr="00BC4EE7" w:rsidRDefault="00572307">
      <w:pPr>
        <w:pStyle w:val="P68B1DB1-Text118"/>
        <w:ind w:left="0"/>
        <w:rPr>
          <w:rFonts w:cs="Times New Roman"/>
          <w:noProof/>
        </w:rPr>
      </w:pPr>
      <w:r w:rsidRPr="00BC4EE7">
        <w:rPr>
          <w:rFonts w:cs="Times New Roman"/>
          <w:noProof/>
        </w:rPr>
        <w:t>Az intézkedés végrehajtását 2023. szeptember 30-ig be kell fejezni.</w:t>
      </w:r>
    </w:p>
    <w:p w14:paraId="201D6776" w14:textId="77777777" w:rsidR="00D65CB4" w:rsidRPr="00BC4EE7" w:rsidRDefault="00572307">
      <w:pPr>
        <w:pStyle w:val="Text1"/>
        <w:ind w:left="709"/>
        <w:rPr>
          <w:rFonts w:ascii="Times New Roman" w:hAnsi="Times New Roman" w:cs="Times New Roman"/>
          <w:b/>
          <w:noProof/>
          <w:u w:val="single"/>
        </w:rPr>
      </w:pPr>
      <w:r w:rsidRPr="00BC4EE7">
        <w:rPr>
          <w:rFonts w:ascii="Times New Roman" w:hAnsi="Times New Roman" w:cs="Times New Roman"/>
          <w:b/>
          <w:noProof/>
          <w:u w:val="single"/>
        </w:rPr>
        <w:t xml:space="preserve">AC.2. </w:t>
      </w:r>
      <w:r w:rsidRPr="00BC4EE7">
        <w:rPr>
          <w:rFonts w:ascii="Times New Roman" w:hAnsi="Times New Roman" w:cs="Times New Roman"/>
          <w:noProof/>
        </w:rPr>
        <w:t xml:space="preserve"> </w:t>
      </w:r>
      <w:r w:rsidRPr="00BC4EE7">
        <w:rPr>
          <w:rFonts w:ascii="Times New Roman" w:hAnsi="Times New Roman" w:cs="Times New Roman"/>
          <w:b/>
          <w:noProof/>
          <w:u w:val="single"/>
        </w:rPr>
        <w:t>Vissza nem térítendő pénzügyi támogatás – a végrehajtáshoz és a nyomon követéshez kapcsolódó mérföldkövek, célok, mutatók és ütemterv</w:t>
      </w:r>
    </w:p>
    <w:p w14:paraId="2316CE18" w14:textId="77777777" w:rsidR="00D65CB4" w:rsidRPr="00BC4EE7" w:rsidRDefault="00572307">
      <w:pPr>
        <w:pStyle w:val="P68B1DB1-Normal4"/>
        <w:spacing w:before="120" w:after="120" w:line="240" w:lineRule="auto"/>
        <w:rPr>
          <w:rFonts w:cs="Times New Roman"/>
          <w:noProof/>
        </w:rPr>
      </w:pPr>
      <w:r w:rsidRPr="00BC4EE7">
        <w:rPr>
          <w:rFonts w:cs="Times New Roman"/>
          <w:i/>
          <w:noProof/>
        </w:rPr>
        <w:t>Táblázat alább.</w:t>
      </w:r>
      <w:r w:rsidRPr="00BC4EE7">
        <w:rPr>
          <w:rFonts w:cs="Times New Roman"/>
          <w:noProof/>
        </w:rPr>
        <w:t xml:space="preserve"> </w:t>
      </w:r>
      <w:r w:rsidRPr="00BC4EE7">
        <w:rPr>
          <w:rFonts w:cs="Times New Roman"/>
          <w:i/>
          <w:noProof/>
        </w:rPr>
        <w:t>Az összes mutató esetében az alapforgatókönyv időpontja 2020. február 1., kivéve, ha az intézkedés leírása ettől eltérően rendelkezik. A táblázatban szereplő összegek nem tartalmazzák a héát.</w:t>
      </w:r>
      <w:r w:rsidRPr="00BC4EE7">
        <w:rPr>
          <w:rFonts w:cs="Times New Roman"/>
          <w:noProof/>
        </w:rPr>
        <w:t xml:space="preserve"> </w:t>
      </w:r>
    </w:p>
    <w:p w14:paraId="3CED3959" w14:textId="77777777" w:rsidR="00D65CB4" w:rsidRPr="00BC4EE7" w:rsidRDefault="00D65CB4">
      <w:pPr>
        <w:pStyle w:val="Text1"/>
        <w:ind w:left="0"/>
        <w:rPr>
          <w:rFonts w:ascii="Times New Roman" w:hAnsi="Times New Roman" w:cs="Times New Roman"/>
          <w:b/>
          <w:noProof/>
          <w:u w:val="single"/>
        </w:rPr>
      </w:pPr>
    </w:p>
    <w:p w14:paraId="73BDE1DF" w14:textId="77777777" w:rsidR="00D65CB4" w:rsidRPr="00BC4EE7" w:rsidRDefault="00D65CB4">
      <w:pPr>
        <w:pStyle w:val="Text1"/>
        <w:ind w:left="709"/>
        <w:rPr>
          <w:rFonts w:ascii="Times New Roman" w:hAnsi="Times New Roman" w:cs="Times New Roman"/>
          <w:noProof/>
        </w:rPr>
        <w:sectPr w:rsidR="00D65CB4" w:rsidRPr="00BC4EE7" w:rsidSect="00B511EF">
          <w:headerReference w:type="even" r:id="rId568"/>
          <w:headerReference w:type="default" r:id="rId569"/>
          <w:footerReference w:type="even" r:id="rId570"/>
          <w:footerReference w:type="default" r:id="rId571"/>
          <w:headerReference w:type="first" r:id="rId572"/>
          <w:footerReference w:type="first" r:id="rId573"/>
          <w:pgSz w:w="11907" w:h="16839"/>
          <w:pgMar w:top="1134" w:right="1134" w:bottom="1134" w:left="1134" w:header="567" w:footer="567" w:gutter="0"/>
          <w:cols w:space="720"/>
          <w:docGrid w:linePitch="360"/>
        </w:sectPr>
      </w:pPr>
    </w:p>
    <w:tbl>
      <w:tblPr>
        <w:tblW w:w="15452"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33"/>
        <w:gridCol w:w="1011"/>
        <w:gridCol w:w="992"/>
        <w:gridCol w:w="2273"/>
        <w:gridCol w:w="966"/>
        <w:gridCol w:w="691"/>
        <w:gridCol w:w="966"/>
        <w:gridCol w:w="690"/>
        <w:gridCol w:w="553"/>
        <w:gridCol w:w="553"/>
        <w:gridCol w:w="5924"/>
      </w:tblGrid>
      <w:tr w:rsidR="00D65CB4" w:rsidRPr="00BC4EE7" w14:paraId="526BF9FA" w14:textId="77777777" w:rsidTr="00572307">
        <w:trPr>
          <w:trHeight w:val="309"/>
          <w:tblHeader/>
        </w:trPr>
        <w:tc>
          <w:tcPr>
            <w:tcW w:w="833" w:type="dxa"/>
            <w:tcBorders>
              <w:bottom w:val="nil"/>
            </w:tcBorders>
            <w:shd w:val="clear" w:color="auto" w:fill="C6D9F1" w:themeFill="text2" w:themeFillTint="33"/>
            <w:noWrap/>
            <w:vAlign w:val="center"/>
          </w:tcPr>
          <w:p w14:paraId="568F2058" w14:textId="77777777" w:rsidR="00D65CB4" w:rsidRPr="00BC4EE7" w:rsidRDefault="00572307">
            <w:pPr>
              <w:pStyle w:val="P68B1DB1-Normal8"/>
              <w:spacing w:after="0"/>
              <w:jc w:val="center"/>
              <w:rPr>
                <w:rFonts w:cs="Times New Roman"/>
                <w:noProof/>
              </w:rPr>
            </w:pPr>
            <w:r w:rsidRPr="00BC4EE7">
              <w:rPr>
                <w:rFonts w:cs="Times New Roman"/>
                <w:noProof/>
              </w:rPr>
              <w:t>Szám</w:t>
            </w:r>
          </w:p>
        </w:tc>
        <w:tc>
          <w:tcPr>
            <w:tcW w:w="1011" w:type="dxa"/>
            <w:tcBorders>
              <w:bottom w:val="nil"/>
            </w:tcBorders>
            <w:shd w:val="clear" w:color="auto" w:fill="C6D9F1" w:themeFill="text2" w:themeFillTint="33"/>
            <w:noWrap/>
            <w:vAlign w:val="center"/>
          </w:tcPr>
          <w:p w14:paraId="4BD8C562" w14:textId="77777777" w:rsidR="00D65CB4" w:rsidRPr="00BC4EE7" w:rsidRDefault="00572307">
            <w:pPr>
              <w:pStyle w:val="P68B1DB1-Normal8"/>
              <w:spacing w:after="0"/>
              <w:jc w:val="center"/>
              <w:rPr>
                <w:rFonts w:cs="Times New Roman"/>
                <w:noProof/>
              </w:rPr>
            </w:pPr>
            <w:r w:rsidRPr="00BC4EE7">
              <w:rPr>
                <w:rFonts w:cs="Times New Roman"/>
                <w:noProof/>
              </w:rPr>
              <w:t>Intézkedés</w:t>
            </w:r>
          </w:p>
        </w:tc>
        <w:tc>
          <w:tcPr>
            <w:tcW w:w="992" w:type="dxa"/>
            <w:tcBorders>
              <w:bottom w:val="nil"/>
            </w:tcBorders>
            <w:shd w:val="clear" w:color="auto" w:fill="C6D9F1" w:themeFill="text2" w:themeFillTint="33"/>
            <w:noWrap/>
            <w:vAlign w:val="center"/>
          </w:tcPr>
          <w:p w14:paraId="56190C47" w14:textId="77777777" w:rsidR="00D65CB4" w:rsidRPr="00BC4EE7" w:rsidRDefault="00572307">
            <w:pPr>
              <w:spacing w:after="0"/>
              <w:jc w:val="center"/>
              <w:rPr>
                <w:rFonts w:ascii="Times New Roman" w:hAnsi="Times New Roman" w:cs="Times New Roman"/>
                <w:b/>
                <w:noProof/>
                <w:sz w:val="18"/>
              </w:rPr>
            </w:pPr>
            <w:r w:rsidRPr="00BC4EE7">
              <w:rPr>
                <w:rFonts w:ascii="Times New Roman" w:hAnsi="Times New Roman" w:cs="Times New Roman"/>
                <w:b/>
                <w:noProof/>
                <w:sz w:val="18"/>
              </w:rPr>
              <w:t>Mérföldkő</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b/>
                <w:noProof/>
                <w:sz w:val="18"/>
              </w:rPr>
              <w:t xml:space="preserve"> /Cél</w:t>
            </w:r>
          </w:p>
        </w:tc>
        <w:tc>
          <w:tcPr>
            <w:tcW w:w="2273" w:type="dxa"/>
            <w:tcBorders>
              <w:bottom w:val="nil"/>
            </w:tcBorders>
            <w:shd w:val="clear" w:color="auto" w:fill="C6D9F1" w:themeFill="text2" w:themeFillTint="33"/>
            <w:noWrap/>
            <w:vAlign w:val="center"/>
          </w:tcPr>
          <w:p w14:paraId="19F8EB2B" w14:textId="77777777" w:rsidR="00D65CB4" w:rsidRPr="00BC4EE7" w:rsidRDefault="00572307">
            <w:pPr>
              <w:pStyle w:val="P68B1DB1-Normal8"/>
              <w:spacing w:after="0"/>
              <w:jc w:val="center"/>
              <w:rPr>
                <w:rFonts w:cs="Times New Roman"/>
                <w:noProof/>
              </w:rPr>
            </w:pPr>
            <w:r w:rsidRPr="00BC4EE7">
              <w:rPr>
                <w:rFonts w:cs="Times New Roman"/>
                <w:noProof/>
              </w:rPr>
              <w:t>Név</w:t>
            </w:r>
          </w:p>
        </w:tc>
        <w:tc>
          <w:tcPr>
            <w:tcW w:w="966" w:type="dxa"/>
            <w:tcBorders>
              <w:bottom w:val="nil"/>
            </w:tcBorders>
            <w:shd w:val="clear" w:color="auto" w:fill="C6D9F1" w:themeFill="text2" w:themeFillTint="33"/>
            <w:noWrap/>
            <w:vAlign w:val="center"/>
          </w:tcPr>
          <w:p w14:paraId="7D628F42" w14:textId="77777777" w:rsidR="00D65CB4" w:rsidRPr="00BC4EE7" w:rsidRDefault="00572307">
            <w:pPr>
              <w:pStyle w:val="P68B1DB1-Normal8"/>
              <w:spacing w:after="0"/>
              <w:jc w:val="center"/>
              <w:rPr>
                <w:rFonts w:cs="Times New Roman"/>
                <w:noProof/>
              </w:rPr>
            </w:pPr>
            <w:r w:rsidRPr="00BC4EE7">
              <w:rPr>
                <w:rFonts w:cs="Times New Roman"/>
                <w:noProof/>
              </w:rPr>
              <w:t>A mérföldkövek minőségi mutatója</w:t>
            </w:r>
          </w:p>
        </w:tc>
        <w:tc>
          <w:tcPr>
            <w:tcW w:w="2347" w:type="dxa"/>
            <w:gridSpan w:val="3"/>
            <w:shd w:val="clear" w:color="auto" w:fill="C6D9F1" w:themeFill="text2" w:themeFillTint="33"/>
            <w:noWrap/>
            <w:vAlign w:val="center"/>
          </w:tcPr>
          <w:p w14:paraId="491ED17C" w14:textId="77777777" w:rsidR="00D65CB4" w:rsidRPr="00BC4EE7" w:rsidRDefault="00572307">
            <w:pPr>
              <w:pStyle w:val="P68B1DB1-Normal8"/>
              <w:spacing w:after="0"/>
              <w:jc w:val="center"/>
              <w:rPr>
                <w:rFonts w:cs="Times New Roman"/>
                <w:noProof/>
              </w:rPr>
            </w:pPr>
            <w:r w:rsidRPr="00BC4EE7">
              <w:rPr>
                <w:rFonts w:cs="Times New Roman"/>
                <w:noProof/>
              </w:rPr>
              <w:t>A célérték mennyiségi mutatója</w:t>
            </w:r>
          </w:p>
        </w:tc>
        <w:tc>
          <w:tcPr>
            <w:tcW w:w="1106" w:type="dxa"/>
            <w:gridSpan w:val="2"/>
            <w:shd w:val="clear" w:color="auto" w:fill="C6D9F1" w:themeFill="text2" w:themeFillTint="33"/>
            <w:noWrap/>
            <w:vAlign w:val="center"/>
          </w:tcPr>
          <w:p w14:paraId="3E575B49" w14:textId="77777777" w:rsidR="00D65CB4" w:rsidRPr="00BC4EE7" w:rsidRDefault="00572307">
            <w:pPr>
              <w:pStyle w:val="P68B1DB1-Normal8"/>
              <w:spacing w:after="0"/>
              <w:jc w:val="center"/>
              <w:rPr>
                <w:rFonts w:cs="Times New Roman"/>
                <w:noProof/>
              </w:rPr>
            </w:pPr>
            <w:r w:rsidRPr="00BC4EE7">
              <w:rPr>
                <w:rFonts w:cs="Times New Roman"/>
                <w:noProof/>
              </w:rPr>
              <w:t>Idő</w:t>
            </w:r>
          </w:p>
        </w:tc>
        <w:tc>
          <w:tcPr>
            <w:tcW w:w="5924" w:type="dxa"/>
            <w:tcBorders>
              <w:bottom w:val="nil"/>
            </w:tcBorders>
            <w:shd w:val="clear" w:color="auto" w:fill="C6D9F1" w:themeFill="text2" w:themeFillTint="33"/>
            <w:noWrap/>
            <w:vAlign w:val="center"/>
          </w:tcPr>
          <w:p w14:paraId="3855E62C" w14:textId="77777777" w:rsidR="00D65CB4" w:rsidRPr="00BC4EE7" w:rsidRDefault="00572307">
            <w:pPr>
              <w:pStyle w:val="P68B1DB1-Normal8"/>
              <w:spacing w:after="0"/>
              <w:jc w:val="center"/>
              <w:rPr>
                <w:rFonts w:cs="Times New Roman"/>
                <w:noProof/>
              </w:rPr>
            </w:pPr>
            <w:r w:rsidRPr="00BC4EE7">
              <w:rPr>
                <w:rFonts w:cs="Times New Roman"/>
                <w:noProof/>
              </w:rPr>
              <w:t>Az egyes mérföldkövek és célértékek leírása</w:t>
            </w:r>
          </w:p>
        </w:tc>
      </w:tr>
      <w:tr w:rsidR="00D65CB4" w:rsidRPr="00BC4EE7" w14:paraId="35CF314C" w14:textId="77777777" w:rsidTr="00572307">
        <w:trPr>
          <w:trHeight w:val="309"/>
          <w:tblHeader/>
        </w:trPr>
        <w:tc>
          <w:tcPr>
            <w:tcW w:w="833" w:type="dxa"/>
            <w:tcBorders>
              <w:top w:val="nil"/>
            </w:tcBorders>
            <w:shd w:val="clear" w:color="auto" w:fill="C6D9F1" w:themeFill="text2" w:themeFillTint="33"/>
            <w:noWrap/>
          </w:tcPr>
          <w:p w14:paraId="1361DD6A" w14:textId="77777777" w:rsidR="00D65CB4" w:rsidRPr="00BC4EE7" w:rsidRDefault="00D65CB4">
            <w:pPr>
              <w:spacing w:after="0"/>
              <w:jc w:val="center"/>
              <w:rPr>
                <w:rFonts w:ascii="Times New Roman" w:hAnsi="Times New Roman" w:cs="Times New Roman"/>
                <w:b/>
                <w:noProof/>
                <w:sz w:val="18"/>
              </w:rPr>
            </w:pPr>
          </w:p>
        </w:tc>
        <w:tc>
          <w:tcPr>
            <w:tcW w:w="1011" w:type="dxa"/>
            <w:tcBorders>
              <w:top w:val="nil"/>
            </w:tcBorders>
            <w:shd w:val="clear" w:color="auto" w:fill="C6D9F1" w:themeFill="text2" w:themeFillTint="33"/>
            <w:noWrap/>
          </w:tcPr>
          <w:p w14:paraId="2C77ED12" w14:textId="77777777" w:rsidR="00D65CB4" w:rsidRPr="00BC4EE7" w:rsidRDefault="00D65CB4">
            <w:pPr>
              <w:spacing w:after="0"/>
              <w:jc w:val="center"/>
              <w:rPr>
                <w:rFonts w:ascii="Times New Roman" w:hAnsi="Times New Roman" w:cs="Times New Roman"/>
                <w:b/>
                <w:noProof/>
                <w:sz w:val="18"/>
              </w:rPr>
            </w:pPr>
          </w:p>
        </w:tc>
        <w:tc>
          <w:tcPr>
            <w:tcW w:w="992" w:type="dxa"/>
            <w:tcBorders>
              <w:top w:val="nil"/>
            </w:tcBorders>
            <w:shd w:val="clear" w:color="auto" w:fill="C6D9F1" w:themeFill="text2" w:themeFillTint="33"/>
            <w:noWrap/>
          </w:tcPr>
          <w:p w14:paraId="0FCEA2E9" w14:textId="77777777" w:rsidR="00D65CB4" w:rsidRPr="00BC4EE7" w:rsidRDefault="00D65CB4">
            <w:pPr>
              <w:spacing w:after="0"/>
              <w:jc w:val="center"/>
              <w:rPr>
                <w:rFonts w:ascii="Times New Roman" w:hAnsi="Times New Roman" w:cs="Times New Roman"/>
                <w:b/>
                <w:noProof/>
                <w:sz w:val="18"/>
              </w:rPr>
            </w:pPr>
          </w:p>
        </w:tc>
        <w:tc>
          <w:tcPr>
            <w:tcW w:w="2273" w:type="dxa"/>
            <w:tcBorders>
              <w:top w:val="nil"/>
            </w:tcBorders>
            <w:shd w:val="clear" w:color="auto" w:fill="C6D9F1" w:themeFill="text2" w:themeFillTint="33"/>
            <w:noWrap/>
          </w:tcPr>
          <w:p w14:paraId="054C702F" w14:textId="77777777" w:rsidR="00D65CB4" w:rsidRPr="00BC4EE7" w:rsidRDefault="00D65CB4">
            <w:pPr>
              <w:spacing w:after="0"/>
              <w:rPr>
                <w:rFonts w:ascii="Times New Roman" w:hAnsi="Times New Roman" w:cs="Times New Roman"/>
                <w:b/>
                <w:noProof/>
                <w:sz w:val="18"/>
              </w:rPr>
            </w:pPr>
          </w:p>
        </w:tc>
        <w:tc>
          <w:tcPr>
            <w:tcW w:w="966" w:type="dxa"/>
            <w:tcBorders>
              <w:top w:val="nil"/>
            </w:tcBorders>
            <w:shd w:val="clear" w:color="auto" w:fill="C6D9F1" w:themeFill="text2" w:themeFillTint="33"/>
            <w:noWrap/>
          </w:tcPr>
          <w:p w14:paraId="60785CA4" w14:textId="77777777" w:rsidR="00D65CB4" w:rsidRPr="00BC4EE7" w:rsidRDefault="00D65CB4">
            <w:pPr>
              <w:spacing w:after="0"/>
              <w:jc w:val="center"/>
              <w:rPr>
                <w:rFonts w:ascii="Times New Roman" w:hAnsi="Times New Roman" w:cs="Times New Roman"/>
                <w:b/>
                <w:noProof/>
                <w:sz w:val="18"/>
              </w:rPr>
            </w:pPr>
          </w:p>
        </w:tc>
        <w:tc>
          <w:tcPr>
            <w:tcW w:w="691" w:type="dxa"/>
            <w:shd w:val="clear" w:color="auto" w:fill="C6D9F1" w:themeFill="text2" w:themeFillTint="33"/>
            <w:noWrap/>
            <w:vAlign w:val="center"/>
          </w:tcPr>
          <w:p w14:paraId="0486E7CF" w14:textId="77777777" w:rsidR="00D65CB4" w:rsidRPr="00BC4EE7" w:rsidRDefault="00572307">
            <w:pPr>
              <w:pStyle w:val="P68B1DB1-Normal8"/>
              <w:spacing w:after="0"/>
              <w:jc w:val="center"/>
              <w:rPr>
                <w:rFonts w:cs="Times New Roman"/>
                <w:noProof/>
              </w:rPr>
            </w:pPr>
            <w:r w:rsidRPr="00BC4EE7">
              <w:rPr>
                <w:rFonts w:cs="Times New Roman"/>
                <w:noProof/>
              </w:rPr>
              <w:t>Egység</w:t>
            </w:r>
          </w:p>
        </w:tc>
        <w:tc>
          <w:tcPr>
            <w:tcW w:w="966" w:type="dxa"/>
            <w:shd w:val="clear" w:color="auto" w:fill="C6D9F1" w:themeFill="text2" w:themeFillTint="33"/>
            <w:noWrap/>
            <w:vAlign w:val="center"/>
          </w:tcPr>
          <w:p w14:paraId="467796B6" w14:textId="395A9F24" w:rsidR="00D65CB4" w:rsidRPr="00BC4EE7" w:rsidRDefault="00572307">
            <w:pPr>
              <w:pStyle w:val="P68B1DB1-Normal8"/>
              <w:spacing w:after="0"/>
              <w:jc w:val="center"/>
              <w:rPr>
                <w:rFonts w:cs="Times New Roman"/>
                <w:noProof/>
              </w:rPr>
            </w:pPr>
            <w:r w:rsidRPr="00BC4EE7">
              <w:rPr>
                <w:rFonts w:cs="Times New Roman"/>
                <w:noProof/>
              </w:rPr>
              <w:t>Kiindulási</w:t>
            </w:r>
          </w:p>
        </w:tc>
        <w:tc>
          <w:tcPr>
            <w:tcW w:w="690" w:type="dxa"/>
            <w:shd w:val="clear" w:color="auto" w:fill="C6D9F1" w:themeFill="text2" w:themeFillTint="33"/>
            <w:noWrap/>
            <w:vAlign w:val="center"/>
          </w:tcPr>
          <w:p w14:paraId="74DDABE4" w14:textId="77777777" w:rsidR="00D65CB4" w:rsidRPr="00BC4EE7" w:rsidRDefault="00572307">
            <w:pPr>
              <w:pStyle w:val="P68B1DB1-Normal8"/>
              <w:spacing w:after="0"/>
              <w:jc w:val="center"/>
              <w:rPr>
                <w:rFonts w:cs="Times New Roman"/>
                <w:noProof/>
              </w:rPr>
            </w:pPr>
            <w:r w:rsidRPr="00BC4EE7">
              <w:rPr>
                <w:rFonts w:cs="Times New Roman"/>
                <w:noProof/>
              </w:rPr>
              <w:t>Cél</w:t>
            </w:r>
          </w:p>
        </w:tc>
        <w:tc>
          <w:tcPr>
            <w:tcW w:w="553" w:type="dxa"/>
            <w:shd w:val="clear" w:color="auto" w:fill="C6D9F1" w:themeFill="text2" w:themeFillTint="33"/>
            <w:noWrap/>
            <w:vAlign w:val="center"/>
          </w:tcPr>
          <w:p w14:paraId="7718399E" w14:textId="77777777" w:rsidR="00D65CB4" w:rsidRPr="00BC4EE7" w:rsidRDefault="00572307">
            <w:pPr>
              <w:pStyle w:val="P68B1DB1-Normal8"/>
              <w:spacing w:after="0"/>
              <w:jc w:val="center"/>
              <w:rPr>
                <w:rFonts w:cs="Times New Roman"/>
                <w:noProof/>
              </w:rPr>
            </w:pPr>
            <w:r w:rsidRPr="00BC4EE7">
              <w:rPr>
                <w:rFonts w:cs="Times New Roman"/>
                <w:noProof/>
              </w:rPr>
              <w:t>Q</w:t>
            </w:r>
          </w:p>
        </w:tc>
        <w:tc>
          <w:tcPr>
            <w:tcW w:w="553" w:type="dxa"/>
            <w:shd w:val="clear" w:color="auto" w:fill="C6D9F1" w:themeFill="text2" w:themeFillTint="33"/>
            <w:noWrap/>
            <w:vAlign w:val="center"/>
          </w:tcPr>
          <w:p w14:paraId="776762E6" w14:textId="77777777" w:rsidR="00D65CB4" w:rsidRPr="00BC4EE7" w:rsidRDefault="00572307">
            <w:pPr>
              <w:pStyle w:val="P68B1DB1-Normal8"/>
              <w:spacing w:after="0"/>
              <w:jc w:val="center"/>
              <w:rPr>
                <w:rFonts w:cs="Times New Roman"/>
                <w:noProof/>
              </w:rPr>
            </w:pPr>
            <w:r w:rsidRPr="00BC4EE7">
              <w:rPr>
                <w:rFonts w:cs="Times New Roman"/>
                <w:noProof/>
              </w:rPr>
              <w:t>Éve</w:t>
            </w:r>
          </w:p>
        </w:tc>
        <w:tc>
          <w:tcPr>
            <w:tcW w:w="5924" w:type="dxa"/>
            <w:tcBorders>
              <w:top w:val="nil"/>
            </w:tcBorders>
            <w:shd w:val="clear" w:color="auto" w:fill="C6D9F1" w:themeFill="text2" w:themeFillTint="33"/>
            <w:noWrap/>
          </w:tcPr>
          <w:p w14:paraId="5449FF2D" w14:textId="77777777" w:rsidR="00D65CB4" w:rsidRPr="00BC4EE7" w:rsidRDefault="00D65CB4">
            <w:pPr>
              <w:spacing w:after="0"/>
              <w:rPr>
                <w:rFonts w:ascii="Times New Roman" w:hAnsi="Times New Roman" w:cs="Times New Roman"/>
                <w:b/>
                <w:noProof/>
                <w:sz w:val="18"/>
              </w:rPr>
            </w:pPr>
          </w:p>
        </w:tc>
      </w:tr>
      <w:tr w:rsidR="00D65CB4" w:rsidRPr="00BC4EE7" w14:paraId="2F15455E" w14:textId="77777777" w:rsidTr="00572307">
        <w:trPr>
          <w:trHeight w:val="309"/>
        </w:trPr>
        <w:tc>
          <w:tcPr>
            <w:tcW w:w="833" w:type="dxa"/>
            <w:shd w:val="clear" w:color="auto" w:fill="C6EFCE"/>
            <w:noWrap/>
          </w:tcPr>
          <w:p w14:paraId="68A3032E"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397</w:t>
            </w:r>
          </w:p>
        </w:tc>
        <w:tc>
          <w:tcPr>
            <w:tcW w:w="1011" w:type="dxa"/>
            <w:shd w:val="clear" w:color="auto" w:fill="C6EFCE"/>
            <w:noWrap/>
          </w:tcPr>
          <w:p w14:paraId="50BDDBFE"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C29.R1</w:t>
            </w:r>
          </w:p>
        </w:tc>
        <w:tc>
          <w:tcPr>
            <w:tcW w:w="992" w:type="dxa"/>
            <w:shd w:val="clear" w:color="auto" w:fill="C6EFCE"/>
            <w:noWrap/>
          </w:tcPr>
          <w:p w14:paraId="1EAD88C6"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2273" w:type="dxa"/>
            <w:shd w:val="clear" w:color="auto" w:fill="C6EFCE"/>
            <w:noWrap/>
          </w:tcPr>
          <w:p w14:paraId="0264E42F" w14:textId="6F2057AA" w:rsidR="00D65CB4" w:rsidRPr="00BC4EE7" w:rsidRDefault="00572307">
            <w:pPr>
              <w:pStyle w:val="P68B1DB1-Normal12"/>
              <w:spacing w:after="0"/>
              <w:rPr>
                <w:rFonts w:eastAsia="Times New Roman" w:cs="Times New Roman"/>
                <w:noProof/>
              </w:rPr>
            </w:pPr>
            <w:r w:rsidRPr="00BC4EE7">
              <w:rPr>
                <w:rFonts w:cs="Times New Roman"/>
                <w:noProof/>
              </w:rPr>
              <w:t>Állandó csoport létrehozása a Pénzügyminisztériumban a kiadások felülvizsgálatai eredményei végrehajtásának aktív nyomon követésére és az éves költségvetési törvény kidolgozási rendjének jóváhagyására</w:t>
            </w:r>
          </w:p>
        </w:tc>
        <w:tc>
          <w:tcPr>
            <w:tcW w:w="966" w:type="dxa"/>
            <w:shd w:val="clear" w:color="auto" w:fill="C6EFCE"/>
            <w:noWrap/>
          </w:tcPr>
          <w:p w14:paraId="739280CA"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A hatálybalépést jelző jogszabályi rendelkezések. Az éves költségvetési törvény kidolgozásának sorrendje</w:t>
            </w:r>
          </w:p>
        </w:tc>
        <w:tc>
          <w:tcPr>
            <w:tcW w:w="691" w:type="dxa"/>
            <w:shd w:val="clear" w:color="auto" w:fill="C6EFCE"/>
            <w:noWrap/>
          </w:tcPr>
          <w:p w14:paraId="5663BB8C"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 </w:t>
            </w:r>
          </w:p>
        </w:tc>
        <w:tc>
          <w:tcPr>
            <w:tcW w:w="966" w:type="dxa"/>
            <w:shd w:val="clear" w:color="auto" w:fill="C6EFCE"/>
            <w:noWrap/>
          </w:tcPr>
          <w:p w14:paraId="4B1EC57F"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690" w:type="dxa"/>
            <w:shd w:val="clear" w:color="auto" w:fill="C6EFCE"/>
            <w:noWrap/>
          </w:tcPr>
          <w:p w14:paraId="768B7898"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553" w:type="dxa"/>
            <w:shd w:val="clear" w:color="auto" w:fill="C6EFCE"/>
            <w:noWrap/>
          </w:tcPr>
          <w:p w14:paraId="5F9E48CB"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Q2</w:t>
            </w:r>
          </w:p>
        </w:tc>
        <w:tc>
          <w:tcPr>
            <w:tcW w:w="553" w:type="dxa"/>
            <w:shd w:val="clear" w:color="auto" w:fill="C6EFCE"/>
            <w:noWrap/>
          </w:tcPr>
          <w:p w14:paraId="565B6B09"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2021</w:t>
            </w:r>
          </w:p>
        </w:tc>
        <w:tc>
          <w:tcPr>
            <w:tcW w:w="5924" w:type="dxa"/>
            <w:shd w:val="clear" w:color="auto" w:fill="C6EFCE"/>
            <w:noWrap/>
          </w:tcPr>
          <w:p w14:paraId="0C262991" w14:textId="77777777" w:rsidR="00D65CB4" w:rsidRPr="00BC4EE7" w:rsidRDefault="00572307">
            <w:pPr>
              <w:pStyle w:val="P68B1DB1-Normal12"/>
              <w:spacing w:after="0"/>
              <w:rPr>
                <w:rFonts w:eastAsia="Times New Roman" w:cs="Times New Roman"/>
                <w:noProof/>
              </w:rPr>
            </w:pPr>
            <w:r w:rsidRPr="00BC4EE7">
              <w:rPr>
                <w:rFonts w:cs="Times New Roman"/>
                <w:noProof/>
              </w:rPr>
              <w:t>A pénzügyminisztériumon belül (a Költségvetési és Költségtérítési Államtitkárságon belül) egy állandó csoport felállításának hatálybalépése a kiadási felülvizsgálatok eredményei végrehajtásának aktív nyomon követésére, előmozdítva a „tartsd be vagy indokold meg” elvet; és ii. a Pénzügyminisztérium azon kötelezettségvállalása, hogy éves jelentést tesz közzé, amely tartalmazza az AIReF által kiadott valamennyi kiadásfelülvizsgálati ajánlásra adott válaszokat. Az éves költségvetési törvény kidolgozási sorrendjének tartalmaznia kell a központi igazgatás és a társadalombiztosítás arra vonatkozó kötelezettségvállalását, hogy a költségvetési cikluson keresztül nyomon követi és nyomon követi a kiadási felülvizsgálatok ajánlásait, beleértve a végrehajtott vagy a tervek szerint a következő évben végrehajtandó intézkedéseket is.</w:t>
            </w:r>
          </w:p>
        </w:tc>
      </w:tr>
      <w:tr w:rsidR="00D65CB4" w:rsidRPr="00BC4EE7" w14:paraId="3C7FAF28" w14:textId="77777777" w:rsidTr="00572307">
        <w:trPr>
          <w:trHeight w:val="309"/>
        </w:trPr>
        <w:tc>
          <w:tcPr>
            <w:tcW w:w="833" w:type="dxa"/>
            <w:shd w:val="clear" w:color="auto" w:fill="C6EFCE"/>
            <w:noWrap/>
          </w:tcPr>
          <w:p w14:paraId="5E12E8A2"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398</w:t>
            </w:r>
          </w:p>
        </w:tc>
        <w:tc>
          <w:tcPr>
            <w:tcW w:w="1011" w:type="dxa"/>
            <w:shd w:val="clear" w:color="auto" w:fill="C6EFCE"/>
            <w:noWrap/>
          </w:tcPr>
          <w:p w14:paraId="1673859E"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C29.R1</w:t>
            </w:r>
          </w:p>
        </w:tc>
        <w:tc>
          <w:tcPr>
            <w:tcW w:w="992" w:type="dxa"/>
            <w:shd w:val="clear" w:color="auto" w:fill="C6EFCE"/>
            <w:noWrap/>
          </w:tcPr>
          <w:p w14:paraId="68D9AE0D"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2273" w:type="dxa"/>
            <w:shd w:val="clear" w:color="auto" w:fill="C6EFCE"/>
            <w:noWrap/>
          </w:tcPr>
          <w:p w14:paraId="01F716A6" w14:textId="77777777" w:rsidR="00D65CB4" w:rsidRPr="00BC4EE7" w:rsidRDefault="00572307">
            <w:pPr>
              <w:pStyle w:val="P68B1DB1-Normal12"/>
              <w:spacing w:after="0"/>
              <w:rPr>
                <w:rFonts w:eastAsia="Times New Roman" w:cs="Times New Roman"/>
                <w:noProof/>
              </w:rPr>
            </w:pPr>
            <w:r w:rsidRPr="00BC4EE7">
              <w:rPr>
                <w:rFonts w:cs="Times New Roman"/>
                <w:noProof/>
              </w:rPr>
              <w:t>A kiadások felülvizsgálatának III. szakasza</w:t>
            </w:r>
          </w:p>
        </w:tc>
        <w:tc>
          <w:tcPr>
            <w:tcW w:w="966" w:type="dxa"/>
            <w:shd w:val="clear" w:color="auto" w:fill="C6EFCE"/>
            <w:noWrap/>
          </w:tcPr>
          <w:p w14:paraId="7F2C7D52"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A Miniszterek Tanácsa általi jóváhagyás</w:t>
            </w:r>
          </w:p>
        </w:tc>
        <w:tc>
          <w:tcPr>
            <w:tcW w:w="691" w:type="dxa"/>
            <w:shd w:val="clear" w:color="auto" w:fill="C6EFCE"/>
            <w:noWrap/>
          </w:tcPr>
          <w:p w14:paraId="68D0BAA2"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 </w:t>
            </w:r>
          </w:p>
        </w:tc>
        <w:tc>
          <w:tcPr>
            <w:tcW w:w="966" w:type="dxa"/>
            <w:shd w:val="clear" w:color="auto" w:fill="C6EFCE"/>
            <w:noWrap/>
          </w:tcPr>
          <w:p w14:paraId="2A94D5C2"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690" w:type="dxa"/>
            <w:shd w:val="clear" w:color="auto" w:fill="C6EFCE"/>
            <w:noWrap/>
          </w:tcPr>
          <w:p w14:paraId="2AD94573"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553" w:type="dxa"/>
            <w:shd w:val="clear" w:color="auto" w:fill="C6EFCE"/>
            <w:noWrap/>
          </w:tcPr>
          <w:p w14:paraId="6C4A1BAD"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Q2</w:t>
            </w:r>
          </w:p>
        </w:tc>
        <w:tc>
          <w:tcPr>
            <w:tcW w:w="553" w:type="dxa"/>
            <w:shd w:val="clear" w:color="auto" w:fill="C6EFCE"/>
            <w:noWrap/>
          </w:tcPr>
          <w:p w14:paraId="72149FF3"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2021</w:t>
            </w:r>
          </w:p>
        </w:tc>
        <w:tc>
          <w:tcPr>
            <w:tcW w:w="5924" w:type="dxa"/>
            <w:shd w:val="clear" w:color="auto" w:fill="C6EFCE"/>
            <w:noWrap/>
          </w:tcPr>
          <w:p w14:paraId="1C4920E5" w14:textId="77777777" w:rsidR="00D65CB4" w:rsidRPr="00BC4EE7" w:rsidRDefault="00572307">
            <w:pPr>
              <w:pStyle w:val="P68B1DB1-Normal12"/>
              <w:spacing w:after="0"/>
              <w:rPr>
                <w:rFonts w:eastAsia="Times New Roman" w:cs="Times New Roman"/>
                <w:noProof/>
              </w:rPr>
            </w:pPr>
            <w:r w:rsidRPr="00BC4EE7">
              <w:rPr>
                <w:rFonts w:cs="Times New Roman"/>
                <w:noProof/>
              </w:rPr>
              <w:t xml:space="preserve">A Miniszterek Tanácsa határoz a kiadások felülvizsgálata III. szakaszának 2021-ben történő megindításáról. A kiadások felülvizsgálatának harmadik szakasza legalább két területre terjed ki:  pénzügyi eszközök és települési hulladékgazdálkodás. A kiadások felülvizsgálatát az AIReF végzi. </w:t>
            </w:r>
          </w:p>
        </w:tc>
      </w:tr>
      <w:tr w:rsidR="00D65CB4" w:rsidRPr="00BC4EE7" w14:paraId="6A6D47CF" w14:textId="77777777" w:rsidTr="00572307">
        <w:trPr>
          <w:trHeight w:val="309"/>
        </w:trPr>
        <w:tc>
          <w:tcPr>
            <w:tcW w:w="833" w:type="dxa"/>
            <w:shd w:val="clear" w:color="auto" w:fill="C6EFCE"/>
            <w:noWrap/>
          </w:tcPr>
          <w:p w14:paraId="096F73B1" w14:textId="77777777" w:rsidR="00D65CB4" w:rsidRPr="00BC4EE7" w:rsidRDefault="00572307">
            <w:pPr>
              <w:pStyle w:val="P68B1DB1-Normal12"/>
              <w:spacing w:after="0"/>
              <w:jc w:val="center"/>
              <w:rPr>
                <w:rFonts w:cs="Times New Roman"/>
                <w:noProof/>
              </w:rPr>
            </w:pPr>
            <w:r w:rsidRPr="00BC4EE7">
              <w:rPr>
                <w:rFonts w:cs="Times New Roman"/>
                <w:noProof/>
              </w:rPr>
              <w:t>399</w:t>
            </w:r>
          </w:p>
        </w:tc>
        <w:tc>
          <w:tcPr>
            <w:tcW w:w="1011" w:type="dxa"/>
            <w:shd w:val="clear" w:color="auto" w:fill="C6EFCE"/>
            <w:noWrap/>
          </w:tcPr>
          <w:p w14:paraId="13B5FED5" w14:textId="77777777" w:rsidR="00D65CB4" w:rsidRPr="00BC4EE7" w:rsidRDefault="00572307">
            <w:pPr>
              <w:pStyle w:val="P68B1DB1-Normal12"/>
              <w:spacing w:after="0"/>
              <w:jc w:val="center"/>
              <w:rPr>
                <w:rFonts w:cs="Times New Roman"/>
                <w:noProof/>
              </w:rPr>
            </w:pPr>
            <w:r w:rsidRPr="00BC4EE7">
              <w:rPr>
                <w:rFonts w:cs="Times New Roman"/>
                <w:noProof/>
              </w:rPr>
              <w:t>C29.R1</w:t>
            </w:r>
          </w:p>
        </w:tc>
        <w:tc>
          <w:tcPr>
            <w:tcW w:w="992" w:type="dxa"/>
            <w:shd w:val="clear" w:color="auto" w:fill="C6EFCE"/>
            <w:noWrap/>
          </w:tcPr>
          <w:p w14:paraId="47FDE754" w14:textId="77777777" w:rsidR="00D65CB4" w:rsidRPr="00BC4EE7" w:rsidRDefault="00572307">
            <w:pPr>
              <w:pStyle w:val="P68B1DB1-Normal12"/>
              <w:spacing w:after="0"/>
              <w:jc w:val="center"/>
              <w:rPr>
                <w:rFonts w:cs="Times New Roman"/>
                <w:noProof/>
              </w:rPr>
            </w:pPr>
            <w:r w:rsidRPr="00BC4EE7">
              <w:rPr>
                <w:rFonts w:cs="Times New Roman"/>
                <w:noProof/>
              </w:rPr>
              <w:t>M</w:t>
            </w:r>
          </w:p>
        </w:tc>
        <w:tc>
          <w:tcPr>
            <w:tcW w:w="2273" w:type="dxa"/>
            <w:shd w:val="clear" w:color="auto" w:fill="C6EFCE"/>
            <w:noWrap/>
          </w:tcPr>
          <w:p w14:paraId="72A052F6" w14:textId="77777777" w:rsidR="00D65CB4" w:rsidRPr="00BC4EE7" w:rsidRDefault="00572307">
            <w:pPr>
              <w:pStyle w:val="P68B1DB1-Normal12"/>
              <w:spacing w:after="0"/>
              <w:rPr>
                <w:rFonts w:cs="Times New Roman"/>
                <w:noProof/>
              </w:rPr>
            </w:pPr>
            <w:r w:rsidRPr="00BC4EE7">
              <w:rPr>
                <w:rFonts w:cs="Times New Roman"/>
                <w:noProof/>
              </w:rPr>
              <w:t>Állandó egység létrehozása az AIReF-en belül, amely a kormány által előírt kiadási felülvizsgálatok elvégzéséért felel.</w:t>
            </w:r>
          </w:p>
        </w:tc>
        <w:tc>
          <w:tcPr>
            <w:tcW w:w="966" w:type="dxa"/>
            <w:shd w:val="clear" w:color="auto" w:fill="C6EFCE"/>
            <w:noWrap/>
          </w:tcPr>
          <w:p w14:paraId="0B9B9238" w14:textId="77777777" w:rsidR="00D65CB4" w:rsidRPr="00BC4EE7" w:rsidRDefault="00572307">
            <w:pPr>
              <w:pStyle w:val="P68B1DB1-Normal12"/>
              <w:spacing w:after="0"/>
              <w:jc w:val="center"/>
              <w:rPr>
                <w:rFonts w:cs="Times New Roman"/>
                <w:noProof/>
              </w:rPr>
            </w:pPr>
            <w:r w:rsidRPr="00BC4EE7">
              <w:rPr>
                <w:rFonts w:cs="Times New Roman"/>
                <w:noProof/>
              </w:rPr>
              <w:t>A KR hatálybalépését feltüntető rendelkezései</w:t>
            </w:r>
          </w:p>
        </w:tc>
        <w:tc>
          <w:tcPr>
            <w:tcW w:w="691" w:type="dxa"/>
            <w:shd w:val="clear" w:color="auto" w:fill="C6EFCE"/>
            <w:noWrap/>
          </w:tcPr>
          <w:p w14:paraId="6A4522B7" w14:textId="77777777" w:rsidR="00D65CB4" w:rsidRPr="00BC4EE7" w:rsidRDefault="00572307">
            <w:pPr>
              <w:pStyle w:val="P68B1DB1-Normal12"/>
              <w:spacing w:after="0"/>
              <w:jc w:val="center"/>
              <w:rPr>
                <w:rFonts w:cs="Times New Roman"/>
                <w:noProof/>
              </w:rPr>
            </w:pPr>
            <w:r w:rsidRPr="00BC4EE7">
              <w:rPr>
                <w:rFonts w:cs="Times New Roman"/>
                <w:noProof/>
              </w:rPr>
              <w:t xml:space="preserve"> </w:t>
            </w:r>
          </w:p>
        </w:tc>
        <w:tc>
          <w:tcPr>
            <w:tcW w:w="966" w:type="dxa"/>
            <w:shd w:val="clear" w:color="auto" w:fill="C6EFCE"/>
            <w:noWrap/>
          </w:tcPr>
          <w:p w14:paraId="7951C568" w14:textId="77777777" w:rsidR="00D65CB4" w:rsidRPr="00BC4EE7" w:rsidRDefault="00572307">
            <w:pPr>
              <w:pStyle w:val="P68B1DB1-Normal12"/>
              <w:spacing w:after="0"/>
              <w:jc w:val="right"/>
              <w:rPr>
                <w:rFonts w:cs="Times New Roman"/>
                <w:noProof/>
              </w:rPr>
            </w:pPr>
            <w:r w:rsidRPr="00BC4EE7">
              <w:rPr>
                <w:rFonts w:cs="Times New Roman"/>
                <w:noProof/>
              </w:rPr>
              <w:t xml:space="preserve"> </w:t>
            </w:r>
          </w:p>
        </w:tc>
        <w:tc>
          <w:tcPr>
            <w:tcW w:w="690" w:type="dxa"/>
            <w:shd w:val="clear" w:color="auto" w:fill="C6EFCE"/>
            <w:noWrap/>
          </w:tcPr>
          <w:p w14:paraId="510F1B72" w14:textId="77777777" w:rsidR="00D65CB4" w:rsidRPr="00BC4EE7" w:rsidRDefault="00572307">
            <w:pPr>
              <w:pStyle w:val="P68B1DB1-Normal12"/>
              <w:spacing w:after="0"/>
              <w:jc w:val="right"/>
              <w:rPr>
                <w:rFonts w:cs="Times New Roman"/>
                <w:noProof/>
              </w:rPr>
            </w:pPr>
            <w:r w:rsidRPr="00BC4EE7">
              <w:rPr>
                <w:rFonts w:cs="Times New Roman"/>
                <w:noProof/>
              </w:rPr>
              <w:t xml:space="preserve"> </w:t>
            </w:r>
          </w:p>
        </w:tc>
        <w:tc>
          <w:tcPr>
            <w:tcW w:w="553" w:type="dxa"/>
            <w:shd w:val="clear" w:color="auto" w:fill="C6EFCE"/>
            <w:noWrap/>
          </w:tcPr>
          <w:p w14:paraId="4B9CB736" w14:textId="77777777" w:rsidR="00D65CB4" w:rsidRPr="00BC4EE7" w:rsidRDefault="00572307">
            <w:pPr>
              <w:pStyle w:val="P68B1DB1-Normal12"/>
              <w:spacing w:after="0"/>
              <w:jc w:val="center"/>
              <w:rPr>
                <w:rFonts w:cs="Times New Roman"/>
                <w:noProof/>
              </w:rPr>
            </w:pPr>
            <w:r w:rsidRPr="00BC4EE7">
              <w:rPr>
                <w:rFonts w:cs="Times New Roman"/>
                <w:noProof/>
              </w:rPr>
              <w:t>Q2</w:t>
            </w:r>
          </w:p>
        </w:tc>
        <w:tc>
          <w:tcPr>
            <w:tcW w:w="553" w:type="dxa"/>
            <w:shd w:val="clear" w:color="auto" w:fill="C6EFCE"/>
            <w:noWrap/>
          </w:tcPr>
          <w:p w14:paraId="562D6171" w14:textId="77777777" w:rsidR="00D65CB4" w:rsidRPr="00BC4EE7" w:rsidRDefault="00572307">
            <w:pPr>
              <w:pStyle w:val="P68B1DB1-Normal12"/>
              <w:spacing w:after="0"/>
              <w:jc w:val="center"/>
              <w:rPr>
                <w:rFonts w:cs="Times New Roman"/>
                <w:noProof/>
              </w:rPr>
            </w:pPr>
            <w:r w:rsidRPr="00BC4EE7">
              <w:rPr>
                <w:rFonts w:cs="Times New Roman"/>
                <w:noProof/>
              </w:rPr>
              <w:t>2021</w:t>
            </w:r>
          </w:p>
        </w:tc>
        <w:tc>
          <w:tcPr>
            <w:tcW w:w="5924" w:type="dxa"/>
            <w:shd w:val="clear" w:color="auto" w:fill="C6EFCE"/>
            <w:noWrap/>
          </w:tcPr>
          <w:p w14:paraId="26000930" w14:textId="77777777" w:rsidR="00D65CB4" w:rsidRPr="00BC4EE7" w:rsidRDefault="00572307">
            <w:pPr>
              <w:pStyle w:val="P68B1DB1-Normal12"/>
              <w:spacing w:after="0"/>
              <w:rPr>
                <w:rFonts w:cs="Times New Roman"/>
                <w:noProof/>
              </w:rPr>
            </w:pPr>
            <w:r w:rsidRPr="00BC4EE7">
              <w:rPr>
                <w:rFonts w:cs="Times New Roman"/>
                <w:noProof/>
              </w:rPr>
              <w:t xml:space="preserve">A 215/2014. sz. királyi rendelet, az AIReF sarkalatos alapokmánya módosításának hatálybalépése, a kormány által megrendelt kiadási felülvizsgálatok elvégzéséért felelős állandó egység létrehozásával. </w:t>
            </w:r>
          </w:p>
        </w:tc>
      </w:tr>
      <w:tr w:rsidR="00D65CB4" w:rsidRPr="00BC4EE7" w14:paraId="2C879550" w14:textId="77777777" w:rsidTr="00572307">
        <w:trPr>
          <w:trHeight w:val="309"/>
        </w:trPr>
        <w:tc>
          <w:tcPr>
            <w:tcW w:w="833" w:type="dxa"/>
            <w:shd w:val="clear" w:color="auto" w:fill="C6EFCE"/>
            <w:noWrap/>
          </w:tcPr>
          <w:p w14:paraId="7D68B413"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400</w:t>
            </w:r>
          </w:p>
        </w:tc>
        <w:tc>
          <w:tcPr>
            <w:tcW w:w="1011" w:type="dxa"/>
            <w:shd w:val="clear" w:color="auto" w:fill="C6EFCE"/>
            <w:noWrap/>
          </w:tcPr>
          <w:p w14:paraId="34D141FA"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C29.R1</w:t>
            </w:r>
          </w:p>
        </w:tc>
        <w:tc>
          <w:tcPr>
            <w:tcW w:w="992" w:type="dxa"/>
            <w:shd w:val="clear" w:color="auto" w:fill="C6EFCE"/>
            <w:noWrap/>
          </w:tcPr>
          <w:p w14:paraId="5ADCDE13"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2273" w:type="dxa"/>
            <w:shd w:val="clear" w:color="auto" w:fill="C6EFCE"/>
            <w:noWrap/>
          </w:tcPr>
          <w:p w14:paraId="664058F7" w14:textId="77777777" w:rsidR="00D65CB4" w:rsidRPr="00BC4EE7" w:rsidRDefault="00572307">
            <w:pPr>
              <w:pStyle w:val="P68B1DB1-Normal12"/>
              <w:spacing w:after="0"/>
              <w:rPr>
                <w:rFonts w:eastAsia="Times New Roman" w:cs="Times New Roman"/>
                <w:noProof/>
              </w:rPr>
            </w:pPr>
            <w:r w:rsidRPr="00BC4EE7">
              <w:rPr>
                <w:rFonts w:cs="Times New Roman"/>
                <w:noProof/>
              </w:rPr>
              <w:t>A Miniszterek Tanácsa hagyja jóvá az AIReF-től megrendelendő kiadások felülvizsgálatának új ciklusát (2022–26).</w:t>
            </w:r>
          </w:p>
        </w:tc>
        <w:tc>
          <w:tcPr>
            <w:tcW w:w="966" w:type="dxa"/>
            <w:shd w:val="clear" w:color="auto" w:fill="C6EFCE"/>
            <w:noWrap/>
          </w:tcPr>
          <w:p w14:paraId="4DA1E24F"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A Miniszterek Tanácsa megállapodásának a hatálybalépést jelző rendelkezése</w:t>
            </w:r>
          </w:p>
        </w:tc>
        <w:tc>
          <w:tcPr>
            <w:tcW w:w="691" w:type="dxa"/>
            <w:shd w:val="clear" w:color="auto" w:fill="C6EFCE"/>
            <w:noWrap/>
          </w:tcPr>
          <w:p w14:paraId="5673BDB9"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 </w:t>
            </w:r>
          </w:p>
        </w:tc>
        <w:tc>
          <w:tcPr>
            <w:tcW w:w="966" w:type="dxa"/>
            <w:shd w:val="clear" w:color="auto" w:fill="C6EFCE"/>
            <w:noWrap/>
          </w:tcPr>
          <w:p w14:paraId="314257EC"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690" w:type="dxa"/>
            <w:shd w:val="clear" w:color="auto" w:fill="C6EFCE"/>
            <w:noWrap/>
          </w:tcPr>
          <w:p w14:paraId="5933B9EC" w14:textId="77777777" w:rsidR="00D65CB4" w:rsidRPr="00BC4EE7" w:rsidRDefault="00572307">
            <w:pPr>
              <w:pStyle w:val="P68B1DB1-Normal12"/>
              <w:spacing w:after="0"/>
              <w:rPr>
                <w:rFonts w:eastAsia="Times New Roman" w:cs="Times New Roman"/>
                <w:noProof/>
              </w:rPr>
            </w:pPr>
            <w:r w:rsidRPr="00BC4EE7">
              <w:rPr>
                <w:rFonts w:cs="Times New Roman"/>
                <w:noProof/>
              </w:rPr>
              <w:t xml:space="preserve"> </w:t>
            </w:r>
          </w:p>
        </w:tc>
        <w:tc>
          <w:tcPr>
            <w:tcW w:w="553" w:type="dxa"/>
            <w:shd w:val="clear" w:color="auto" w:fill="C6EFCE"/>
            <w:noWrap/>
          </w:tcPr>
          <w:p w14:paraId="30706DA0"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Q4</w:t>
            </w:r>
          </w:p>
        </w:tc>
        <w:tc>
          <w:tcPr>
            <w:tcW w:w="553" w:type="dxa"/>
            <w:shd w:val="clear" w:color="auto" w:fill="C6EFCE"/>
            <w:noWrap/>
          </w:tcPr>
          <w:p w14:paraId="642A5343"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2021</w:t>
            </w:r>
          </w:p>
        </w:tc>
        <w:tc>
          <w:tcPr>
            <w:tcW w:w="5924" w:type="dxa"/>
            <w:shd w:val="clear" w:color="auto" w:fill="C6EFCE"/>
            <w:noWrap/>
          </w:tcPr>
          <w:p w14:paraId="46C91DC3" w14:textId="77777777" w:rsidR="00D65CB4" w:rsidRPr="00BC4EE7" w:rsidRDefault="00572307">
            <w:pPr>
              <w:pStyle w:val="P68B1DB1-Normal12"/>
              <w:spacing w:after="0"/>
              <w:rPr>
                <w:rFonts w:eastAsia="Times New Roman" w:cs="Times New Roman"/>
                <w:noProof/>
              </w:rPr>
            </w:pPr>
            <w:r w:rsidRPr="00BC4EE7">
              <w:rPr>
                <w:rFonts w:cs="Times New Roman"/>
                <w:noProof/>
              </w:rPr>
              <w:t xml:space="preserve">A közkiadások új többéves felülvizsgálati ciklusa a 2022–2026-os időszakra terjed ki. A kérelem megfelelő megtervezése és a kiadások felülvizsgálatának minden egyes szakaszára vonatkozó szükséges információk összegyűjtése érdekében a Miniszterek Tanácsa az AIReF-fel folytatott konzultációt követően dönt és közzéteszi legalább a szakpolitikai területeket, az érintett közintézményeket és az elemzés tárgyát képező időszakokat, valamint a vonatkozó módszertani szempontokat. </w:t>
            </w:r>
          </w:p>
        </w:tc>
      </w:tr>
      <w:tr w:rsidR="00D65CB4" w:rsidRPr="00BC4EE7" w14:paraId="3B5884ED" w14:textId="77777777" w:rsidTr="00572307">
        <w:trPr>
          <w:trHeight w:val="390"/>
        </w:trPr>
        <w:tc>
          <w:tcPr>
            <w:tcW w:w="833" w:type="dxa"/>
            <w:shd w:val="clear" w:color="auto" w:fill="C6EFCE"/>
            <w:noWrap/>
          </w:tcPr>
          <w:p w14:paraId="6877DEE0"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401</w:t>
            </w:r>
          </w:p>
        </w:tc>
        <w:tc>
          <w:tcPr>
            <w:tcW w:w="1011" w:type="dxa"/>
            <w:shd w:val="clear" w:color="auto" w:fill="C6EFCE"/>
            <w:noWrap/>
          </w:tcPr>
          <w:p w14:paraId="59AE15C9"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C29.R1</w:t>
            </w:r>
          </w:p>
        </w:tc>
        <w:tc>
          <w:tcPr>
            <w:tcW w:w="992" w:type="dxa"/>
            <w:shd w:val="clear" w:color="auto" w:fill="C6EFCE"/>
            <w:noWrap/>
          </w:tcPr>
          <w:p w14:paraId="068694C4"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2273" w:type="dxa"/>
            <w:shd w:val="clear" w:color="auto" w:fill="C6EFCE"/>
            <w:noWrap/>
          </w:tcPr>
          <w:p w14:paraId="7405E763" w14:textId="77777777" w:rsidR="00D65CB4" w:rsidRPr="00BC4EE7" w:rsidRDefault="00572307">
            <w:pPr>
              <w:pStyle w:val="P68B1DB1-Normal12"/>
              <w:spacing w:after="0"/>
              <w:rPr>
                <w:rFonts w:eastAsia="Times New Roman" w:cs="Times New Roman"/>
                <w:noProof/>
              </w:rPr>
            </w:pPr>
            <w:r w:rsidRPr="00BC4EE7">
              <w:rPr>
                <w:rFonts w:cs="Times New Roman"/>
                <w:noProof/>
              </w:rPr>
              <w:t>Nyomonkövetési jelentés közzététele</w:t>
            </w:r>
          </w:p>
        </w:tc>
        <w:tc>
          <w:tcPr>
            <w:tcW w:w="966" w:type="dxa"/>
            <w:shd w:val="clear" w:color="auto" w:fill="C6EFCE"/>
            <w:noWrap/>
          </w:tcPr>
          <w:p w14:paraId="218AA60C"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Közzététel a Pénzügyminisztérium honlapján</w:t>
            </w:r>
          </w:p>
        </w:tc>
        <w:tc>
          <w:tcPr>
            <w:tcW w:w="691" w:type="dxa"/>
            <w:shd w:val="clear" w:color="auto" w:fill="C6EFCE"/>
            <w:noWrap/>
          </w:tcPr>
          <w:p w14:paraId="5F10CF2F"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 </w:t>
            </w:r>
          </w:p>
        </w:tc>
        <w:tc>
          <w:tcPr>
            <w:tcW w:w="966" w:type="dxa"/>
            <w:shd w:val="clear" w:color="auto" w:fill="C6EFCE"/>
            <w:noWrap/>
          </w:tcPr>
          <w:p w14:paraId="22E91A17"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690" w:type="dxa"/>
            <w:shd w:val="clear" w:color="auto" w:fill="C6EFCE"/>
            <w:noWrap/>
          </w:tcPr>
          <w:p w14:paraId="639A99ED"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553" w:type="dxa"/>
            <w:shd w:val="clear" w:color="auto" w:fill="C6EFCE"/>
            <w:noWrap/>
          </w:tcPr>
          <w:p w14:paraId="3D10146E"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Q1</w:t>
            </w:r>
          </w:p>
        </w:tc>
        <w:tc>
          <w:tcPr>
            <w:tcW w:w="553" w:type="dxa"/>
            <w:shd w:val="clear" w:color="auto" w:fill="C6EFCE"/>
            <w:noWrap/>
          </w:tcPr>
          <w:p w14:paraId="2CEC990D"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2022</w:t>
            </w:r>
          </w:p>
        </w:tc>
        <w:tc>
          <w:tcPr>
            <w:tcW w:w="5924" w:type="dxa"/>
            <w:shd w:val="clear" w:color="auto" w:fill="C6EFCE"/>
            <w:noWrap/>
          </w:tcPr>
          <w:p w14:paraId="0BB86071" w14:textId="77777777" w:rsidR="00D65CB4" w:rsidRPr="00BC4EE7" w:rsidRDefault="00572307">
            <w:pPr>
              <w:pStyle w:val="P68B1DB1-Normal12"/>
              <w:spacing w:after="0"/>
              <w:rPr>
                <w:rFonts w:eastAsia="Times New Roman" w:cs="Times New Roman"/>
                <w:noProof/>
              </w:rPr>
            </w:pPr>
            <w:r w:rsidRPr="00BC4EE7">
              <w:rPr>
                <w:rFonts w:cs="Times New Roman"/>
                <w:noProof/>
              </w:rPr>
              <w:t>A nyomonkövetési jelentés évenkénti közzététele. A jelentésben fel kell sorolni az AIReF által kiadott ajánlásokat, és részletesen ismertetni kell a szabályozási változásokat vagy a kezelésükre hozott egyéb intézkedéseket. Amennyiben azok a kiadási központok, amelyeknek az ajánlásokat címezték, nem értenek egyet az ajánlásokkal, megfelelő indokolást kell fűzni hozzájuk.</w:t>
            </w:r>
          </w:p>
        </w:tc>
      </w:tr>
      <w:tr w:rsidR="00D65CB4" w:rsidRPr="00BC4EE7" w14:paraId="1AAEC9ED" w14:textId="77777777" w:rsidTr="00572307">
        <w:trPr>
          <w:trHeight w:val="309"/>
        </w:trPr>
        <w:tc>
          <w:tcPr>
            <w:tcW w:w="833" w:type="dxa"/>
            <w:shd w:val="clear" w:color="auto" w:fill="C6EFCE"/>
            <w:noWrap/>
          </w:tcPr>
          <w:p w14:paraId="4DF04293"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402</w:t>
            </w:r>
          </w:p>
        </w:tc>
        <w:tc>
          <w:tcPr>
            <w:tcW w:w="1011" w:type="dxa"/>
            <w:shd w:val="clear" w:color="auto" w:fill="C6EFCE"/>
            <w:noWrap/>
          </w:tcPr>
          <w:p w14:paraId="1536F060"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C29.R1</w:t>
            </w:r>
          </w:p>
        </w:tc>
        <w:tc>
          <w:tcPr>
            <w:tcW w:w="992" w:type="dxa"/>
            <w:shd w:val="clear" w:color="auto" w:fill="C6EFCE"/>
            <w:noWrap/>
          </w:tcPr>
          <w:p w14:paraId="77B046B9"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2273" w:type="dxa"/>
            <w:shd w:val="clear" w:color="auto" w:fill="C6EFCE"/>
            <w:noWrap/>
          </w:tcPr>
          <w:p w14:paraId="40961BB9" w14:textId="77777777" w:rsidR="00D65CB4" w:rsidRPr="00BC4EE7" w:rsidRDefault="00572307">
            <w:pPr>
              <w:pStyle w:val="P68B1DB1-Normal12"/>
              <w:spacing w:after="0"/>
              <w:rPr>
                <w:rFonts w:eastAsia="Times New Roman" w:cs="Times New Roman"/>
                <w:noProof/>
              </w:rPr>
            </w:pPr>
            <w:r w:rsidRPr="00BC4EE7">
              <w:rPr>
                <w:rFonts w:cs="Times New Roman"/>
                <w:noProof/>
              </w:rPr>
              <w:t>A kiadások felülvizsgálatának III. szakasza</w:t>
            </w:r>
          </w:p>
        </w:tc>
        <w:tc>
          <w:tcPr>
            <w:tcW w:w="966" w:type="dxa"/>
            <w:shd w:val="clear" w:color="auto" w:fill="C6EFCE"/>
            <w:noWrap/>
          </w:tcPr>
          <w:p w14:paraId="59B24D11"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A jelentések közzététele az AIReF weboldalán</w:t>
            </w:r>
          </w:p>
        </w:tc>
        <w:tc>
          <w:tcPr>
            <w:tcW w:w="691" w:type="dxa"/>
            <w:shd w:val="clear" w:color="auto" w:fill="C6EFCE"/>
            <w:noWrap/>
          </w:tcPr>
          <w:p w14:paraId="28435C3F"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 </w:t>
            </w:r>
          </w:p>
        </w:tc>
        <w:tc>
          <w:tcPr>
            <w:tcW w:w="966" w:type="dxa"/>
            <w:shd w:val="clear" w:color="auto" w:fill="C6EFCE"/>
            <w:noWrap/>
          </w:tcPr>
          <w:p w14:paraId="3B3692E9"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690" w:type="dxa"/>
            <w:shd w:val="clear" w:color="auto" w:fill="C6EFCE"/>
            <w:noWrap/>
          </w:tcPr>
          <w:p w14:paraId="37AECD10"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553" w:type="dxa"/>
            <w:shd w:val="clear" w:color="auto" w:fill="C6EFCE"/>
            <w:noWrap/>
          </w:tcPr>
          <w:p w14:paraId="47FD9F2D"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Q2</w:t>
            </w:r>
          </w:p>
        </w:tc>
        <w:tc>
          <w:tcPr>
            <w:tcW w:w="553" w:type="dxa"/>
            <w:shd w:val="clear" w:color="auto" w:fill="C6EFCE"/>
            <w:noWrap/>
          </w:tcPr>
          <w:p w14:paraId="67D05C4F"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2023</w:t>
            </w:r>
          </w:p>
        </w:tc>
        <w:tc>
          <w:tcPr>
            <w:tcW w:w="5924" w:type="dxa"/>
            <w:shd w:val="clear" w:color="auto" w:fill="C6EFCE"/>
            <w:noWrap/>
          </w:tcPr>
          <w:p w14:paraId="3F72302B" w14:textId="77777777" w:rsidR="00D65CB4" w:rsidRPr="00BC4EE7" w:rsidRDefault="00572307">
            <w:pPr>
              <w:pStyle w:val="P68B1DB1-Normal12"/>
              <w:spacing w:after="0"/>
              <w:rPr>
                <w:rFonts w:eastAsia="Times New Roman" w:cs="Times New Roman"/>
                <w:noProof/>
              </w:rPr>
            </w:pPr>
            <w:r w:rsidRPr="00BC4EE7">
              <w:rPr>
                <w:rFonts w:cs="Times New Roman"/>
                <w:noProof/>
              </w:rPr>
              <w:t>Az AIReF által a kiadások felülvizsgálatának harmadik szakaszáról készített jelentések közzététele.</w:t>
            </w:r>
          </w:p>
        </w:tc>
      </w:tr>
      <w:tr w:rsidR="00D65CB4" w:rsidRPr="00BC4EE7" w14:paraId="4BC432FA" w14:textId="77777777" w:rsidTr="00572307">
        <w:trPr>
          <w:trHeight w:val="309"/>
        </w:trPr>
        <w:tc>
          <w:tcPr>
            <w:tcW w:w="833" w:type="dxa"/>
            <w:shd w:val="clear" w:color="auto" w:fill="C6EFCE"/>
            <w:noWrap/>
          </w:tcPr>
          <w:p w14:paraId="3E853694"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403</w:t>
            </w:r>
          </w:p>
        </w:tc>
        <w:tc>
          <w:tcPr>
            <w:tcW w:w="1011" w:type="dxa"/>
            <w:shd w:val="clear" w:color="auto" w:fill="C6EFCE"/>
            <w:noWrap/>
          </w:tcPr>
          <w:p w14:paraId="178BAF6C"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C29.R2</w:t>
            </w:r>
          </w:p>
        </w:tc>
        <w:tc>
          <w:tcPr>
            <w:tcW w:w="992" w:type="dxa"/>
            <w:shd w:val="clear" w:color="auto" w:fill="C6EFCE"/>
            <w:noWrap/>
          </w:tcPr>
          <w:p w14:paraId="64D58C09"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2273" w:type="dxa"/>
            <w:shd w:val="clear" w:color="auto" w:fill="C6EFCE"/>
            <w:noWrap/>
          </w:tcPr>
          <w:p w14:paraId="6F6A323F" w14:textId="77777777" w:rsidR="00D65CB4" w:rsidRPr="00BC4EE7" w:rsidRDefault="00572307">
            <w:pPr>
              <w:pStyle w:val="P68B1DB1-Normal12"/>
              <w:spacing w:after="0"/>
              <w:rPr>
                <w:rFonts w:eastAsia="Times New Roman" w:cs="Times New Roman"/>
                <w:noProof/>
              </w:rPr>
            </w:pPr>
            <w:r w:rsidRPr="00BC4EE7">
              <w:rPr>
                <w:rFonts w:cs="Times New Roman"/>
                <w:noProof/>
              </w:rPr>
              <w:t>A költségvetés fenntartható fejlődési célokkal való összehangolásáról szóló jelentés</w:t>
            </w:r>
          </w:p>
        </w:tc>
        <w:tc>
          <w:tcPr>
            <w:tcW w:w="966" w:type="dxa"/>
            <w:shd w:val="clear" w:color="auto" w:fill="C6EFCE"/>
            <w:noWrap/>
          </w:tcPr>
          <w:p w14:paraId="58169A30"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Kiegészítő dokumentációként való közzététel az éves költségvetési törvényben</w:t>
            </w:r>
          </w:p>
        </w:tc>
        <w:tc>
          <w:tcPr>
            <w:tcW w:w="691" w:type="dxa"/>
            <w:shd w:val="clear" w:color="auto" w:fill="C6EFCE"/>
            <w:noWrap/>
          </w:tcPr>
          <w:p w14:paraId="762614A7"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 </w:t>
            </w:r>
          </w:p>
        </w:tc>
        <w:tc>
          <w:tcPr>
            <w:tcW w:w="966" w:type="dxa"/>
            <w:shd w:val="clear" w:color="auto" w:fill="C6EFCE"/>
            <w:noWrap/>
          </w:tcPr>
          <w:p w14:paraId="2DF3361E"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690" w:type="dxa"/>
            <w:shd w:val="clear" w:color="auto" w:fill="C6EFCE"/>
            <w:noWrap/>
          </w:tcPr>
          <w:p w14:paraId="666FE2A8"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553" w:type="dxa"/>
            <w:shd w:val="clear" w:color="auto" w:fill="C6EFCE"/>
            <w:noWrap/>
          </w:tcPr>
          <w:p w14:paraId="6D5724FD"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Q3</w:t>
            </w:r>
          </w:p>
        </w:tc>
        <w:tc>
          <w:tcPr>
            <w:tcW w:w="553" w:type="dxa"/>
            <w:shd w:val="clear" w:color="auto" w:fill="C6EFCE"/>
            <w:noWrap/>
          </w:tcPr>
          <w:p w14:paraId="4332F592"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2021</w:t>
            </w:r>
          </w:p>
        </w:tc>
        <w:tc>
          <w:tcPr>
            <w:tcW w:w="5924" w:type="dxa"/>
            <w:shd w:val="clear" w:color="auto" w:fill="C6EFCE"/>
            <w:noWrap/>
          </w:tcPr>
          <w:p w14:paraId="1503BF07" w14:textId="77777777" w:rsidR="00D65CB4" w:rsidRPr="00BC4EE7" w:rsidRDefault="00572307">
            <w:pPr>
              <w:pStyle w:val="P68B1DB1-Normal12"/>
              <w:spacing w:after="0"/>
              <w:rPr>
                <w:rFonts w:eastAsia="Times New Roman" w:cs="Times New Roman"/>
                <w:noProof/>
              </w:rPr>
            </w:pPr>
            <w:r w:rsidRPr="00BC4EE7">
              <w:rPr>
                <w:rFonts w:cs="Times New Roman"/>
                <w:noProof/>
              </w:rPr>
              <w:t>A 2022. évi költségvetési törvénytervezetet kísérő, a fenntartható fejlődési célokkal való összhangról szóló jelentés közzététele.</w:t>
            </w:r>
          </w:p>
        </w:tc>
      </w:tr>
      <w:tr w:rsidR="00D65CB4" w:rsidRPr="00BC4EE7" w14:paraId="30A10A31" w14:textId="77777777" w:rsidTr="00572307">
        <w:trPr>
          <w:trHeight w:val="309"/>
        </w:trPr>
        <w:tc>
          <w:tcPr>
            <w:tcW w:w="833" w:type="dxa"/>
            <w:shd w:val="clear" w:color="auto" w:fill="C6EFCE"/>
            <w:noWrap/>
          </w:tcPr>
          <w:p w14:paraId="40E48CF1"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404</w:t>
            </w:r>
          </w:p>
        </w:tc>
        <w:tc>
          <w:tcPr>
            <w:tcW w:w="1011" w:type="dxa"/>
            <w:shd w:val="clear" w:color="auto" w:fill="C6EFCE"/>
            <w:noWrap/>
          </w:tcPr>
          <w:p w14:paraId="1AFFD783"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C29.R3</w:t>
            </w:r>
          </w:p>
        </w:tc>
        <w:tc>
          <w:tcPr>
            <w:tcW w:w="992" w:type="dxa"/>
            <w:shd w:val="clear" w:color="auto" w:fill="C6EFCE"/>
            <w:noWrap/>
          </w:tcPr>
          <w:p w14:paraId="63FB8DE3"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2273" w:type="dxa"/>
            <w:shd w:val="clear" w:color="auto" w:fill="C6EFCE"/>
            <w:noWrap/>
          </w:tcPr>
          <w:p w14:paraId="447F1A60" w14:textId="77777777" w:rsidR="00D65CB4" w:rsidRPr="00BC4EE7" w:rsidRDefault="00572307">
            <w:pPr>
              <w:pStyle w:val="P68B1DB1-Normal12"/>
              <w:spacing w:after="0"/>
              <w:rPr>
                <w:rFonts w:eastAsia="Times New Roman" w:cs="Times New Roman"/>
                <w:noProof/>
              </w:rPr>
            </w:pPr>
            <w:r w:rsidRPr="00BC4EE7">
              <w:rPr>
                <w:rFonts w:cs="Times New Roman"/>
                <w:noProof/>
              </w:rPr>
              <w:t>Jelentés a zöld költségvetés-tervezés összehangolásáról</w:t>
            </w:r>
          </w:p>
        </w:tc>
        <w:tc>
          <w:tcPr>
            <w:tcW w:w="966" w:type="dxa"/>
            <w:shd w:val="clear" w:color="auto" w:fill="C6EFCE"/>
            <w:noWrap/>
          </w:tcPr>
          <w:p w14:paraId="5B23B7B4"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Kiegészítő dokumentációként való közzététel az éves költségvetési törvényben</w:t>
            </w:r>
          </w:p>
        </w:tc>
        <w:tc>
          <w:tcPr>
            <w:tcW w:w="691" w:type="dxa"/>
            <w:shd w:val="clear" w:color="auto" w:fill="C6EFCE"/>
            <w:noWrap/>
          </w:tcPr>
          <w:p w14:paraId="044B64A3"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 </w:t>
            </w:r>
          </w:p>
        </w:tc>
        <w:tc>
          <w:tcPr>
            <w:tcW w:w="966" w:type="dxa"/>
            <w:shd w:val="clear" w:color="auto" w:fill="C6EFCE"/>
            <w:noWrap/>
          </w:tcPr>
          <w:p w14:paraId="5B607870"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690" w:type="dxa"/>
            <w:shd w:val="clear" w:color="auto" w:fill="C6EFCE"/>
            <w:noWrap/>
          </w:tcPr>
          <w:p w14:paraId="1EF93582"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553" w:type="dxa"/>
            <w:shd w:val="clear" w:color="auto" w:fill="C6EFCE"/>
            <w:noWrap/>
          </w:tcPr>
          <w:p w14:paraId="59868761"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Q3</w:t>
            </w:r>
          </w:p>
        </w:tc>
        <w:tc>
          <w:tcPr>
            <w:tcW w:w="553" w:type="dxa"/>
            <w:shd w:val="clear" w:color="auto" w:fill="C6EFCE"/>
            <w:noWrap/>
          </w:tcPr>
          <w:p w14:paraId="19047533"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2022</w:t>
            </w:r>
          </w:p>
        </w:tc>
        <w:tc>
          <w:tcPr>
            <w:tcW w:w="5924" w:type="dxa"/>
            <w:shd w:val="clear" w:color="auto" w:fill="C6EFCE"/>
            <w:noWrap/>
          </w:tcPr>
          <w:p w14:paraId="5B10DAA6" w14:textId="77777777" w:rsidR="00D65CB4" w:rsidRPr="00BC4EE7" w:rsidRDefault="00572307">
            <w:pPr>
              <w:pStyle w:val="P68B1DB1-Normal12"/>
              <w:spacing w:after="0"/>
              <w:rPr>
                <w:rFonts w:eastAsia="Times New Roman" w:cs="Times New Roman"/>
                <w:noProof/>
              </w:rPr>
            </w:pPr>
            <w:r w:rsidRPr="00BC4EE7">
              <w:rPr>
                <w:rFonts w:cs="Times New Roman"/>
                <w:noProof/>
              </w:rPr>
              <w:t>A 2023. évi éves költségvetési törvényt kísérő jelentés a zöld költségvetésről (zöld dimenzió) Az éves költségvetési törvényben feltérképezi a zöld kiadásokat, és az uniós technikai támogatási eszköz támogatásával kialakított módszertannal és nyomonkövetési kerettel összhangban készül el.</w:t>
            </w:r>
          </w:p>
        </w:tc>
      </w:tr>
      <w:tr w:rsidR="00D65CB4" w:rsidRPr="00BC4EE7" w14:paraId="279F1ECF" w14:textId="77777777" w:rsidTr="00572307">
        <w:trPr>
          <w:trHeight w:val="309"/>
        </w:trPr>
        <w:tc>
          <w:tcPr>
            <w:tcW w:w="833" w:type="dxa"/>
            <w:shd w:val="clear" w:color="auto" w:fill="C6EFCE"/>
            <w:noWrap/>
          </w:tcPr>
          <w:p w14:paraId="2D10C541" w14:textId="77777777" w:rsidR="00D65CB4" w:rsidRPr="00BC4EE7" w:rsidRDefault="00572307">
            <w:pPr>
              <w:pStyle w:val="P68B1DB1-Normal12"/>
              <w:spacing w:after="0"/>
              <w:jc w:val="center"/>
              <w:rPr>
                <w:rFonts w:cs="Times New Roman"/>
                <w:noProof/>
              </w:rPr>
            </w:pPr>
            <w:r w:rsidRPr="00BC4EE7">
              <w:rPr>
                <w:rFonts w:cs="Times New Roman"/>
                <w:noProof/>
              </w:rPr>
              <w:t>405</w:t>
            </w:r>
          </w:p>
        </w:tc>
        <w:tc>
          <w:tcPr>
            <w:tcW w:w="1011" w:type="dxa"/>
            <w:shd w:val="clear" w:color="auto" w:fill="C6EFCE"/>
            <w:noWrap/>
          </w:tcPr>
          <w:p w14:paraId="776C2514" w14:textId="77777777" w:rsidR="00D65CB4" w:rsidRPr="00BC4EE7" w:rsidRDefault="00572307">
            <w:pPr>
              <w:pStyle w:val="P68B1DB1-Normal12"/>
              <w:spacing w:after="0"/>
              <w:jc w:val="center"/>
              <w:rPr>
                <w:rFonts w:cs="Times New Roman"/>
                <w:noProof/>
              </w:rPr>
            </w:pPr>
            <w:r w:rsidRPr="00BC4EE7">
              <w:rPr>
                <w:rFonts w:cs="Times New Roman"/>
                <w:noProof/>
              </w:rPr>
              <w:t>C29.R3</w:t>
            </w:r>
          </w:p>
        </w:tc>
        <w:tc>
          <w:tcPr>
            <w:tcW w:w="992" w:type="dxa"/>
            <w:shd w:val="clear" w:color="auto" w:fill="C6EFCE"/>
            <w:noWrap/>
          </w:tcPr>
          <w:p w14:paraId="0AD761A3" w14:textId="77777777" w:rsidR="00D65CB4" w:rsidRPr="00BC4EE7" w:rsidRDefault="00572307">
            <w:pPr>
              <w:pStyle w:val="P68B1DB1-Normal12"/>
              <w:spacing w:after="0"/>
              <w:jc w:val="center"/>
              <w:rPr>
                <w:rFonts w:cs="Times New Roman"/>
                <w:noProof/>
              </w:rPr>
            </w:pPr>
            <w:r w:rsidRPr="00BC4EE7">
              <w:rPr>
                <w:rFonts w:cs="Times New Roman"/>
                <w:noProof/>
              </w:rPr>
              <w:t>M</w:t>
            </w:r>
          </w:p>
        </w:tc>
        <w:tc>
          <w:tcPr>
            <w:tcW w:w="2273" w:type="dxa"/>
            <w:shd w:val="clear" w:color="auto" w:fill="C6EFCE"/>
            <w:noWrap/>
          </w:tcPr>
          <w:p w14:paraId="03C956F3" w14:textId="77777777" w:rsidR="00D65CB4" w:rsidRPr="00BC4EE7" w:rsidRDefault="00572307">
            <w:pPr>
              <w:pStyle w:val="P68B1DB1-Normal12"/>
              <w:spacing w:after="0"/>
              <w:rPr>
                <w:rFonts w:cs="Times New Roman"/>
                <w:noProof/>
              </w:rPr>
            </w:pPr>
            <w:r w:rsidRPr="00BC4EE7">
              <w:rPr>
                <w:rFonts w:cs="Times New Roman"/>
                <w:noProof/>
              </w:rPr>
              <w:t>Jelentés a zöld költségvetés-tervezés összehangolásáról</w:t>
            </w:r>
          </w:p>
        </w:tc>
        <w:tc>
          <w:tcPr>
            <w:tcW w:w="966" w:type="dxa"/>
            <w:shd w:val="clear" w:color="auto" w:fill="C6EFCE"/>
            <w:noWrap/>
          </w:tcPr>
          <w:p w14:paraId="5E196C9C" w14:textId="77777777" w:rsidR="00D65CB4" w:rsidRPr="00BC4EE7" w:rsidRDefault="00572307">
            <w:pPr>
              <w:pStyle w:val="P68B1DB1-Normal12"/>
              <w:spacing w:after="0"/>
              <w:jc w:val="center"/>
              <w:rPr>
                <w:rFonts w:cs="Times New Roman"/>
                <w:noProof/>
              </w:rPr>
            </w:pPr>
            <w:r w:rsidRPr="00BC4EE7">
              <w:rPr>
                <w:rFonts w:cs="Times New Roman"/>
                <w:noProof/>
              </w:rPr>
              <w:t>Kiegészítő dokumentációként való közzététel az éves költségvetési törvényben</w:t>
            </w:r>
          </w:p>
        </w:tc>
        <w:tc>
          <w:tcPr>
            <w:tcW w:w="691" w:type="dxa"/>
            <w:shd w:val="clear" w:color="auto" w:fill="C6EFCE"/>
            <w:noWrap/>
          </w:tcPr>
          <w:p w14:paraId="10688FB1" w14:textId="77777777" w:rsidR="00D65CB4" w:rsidRPr="00BC4EE7" w:rsidRDefault="00572307">
            <w:pPr>
              <w:pStyle w:val="P68B1DB1-Normal12"/>
              <w:spacing w:after="0"/>
              <w:jc w:val="center"/>
              <w:rPr>
                <w:rFonts w:cs="Times New Roman"/>
                <w:noProof/>
              </w:rPr>
            </w:pPr>
            <w:r w:rsidRPr="00BC4EE7">
              <w:rPr>
                <w:rFonts w:cs="Times New Roman"/>
                <w:noProof/>
              </w:rPr>
              <w:t xml:space="preserve"> </w:t>
            </w:r>
          </w:p>
        </w:tc>
        <w:tc>
          <w:tcPr>
            <w:tcW w:w="966" w:type="dxa"/>
            <w:shd w:val="clear" w:color="auto" w:fill="C6EFCE"/>
            <w:noWrap/>
          </w:tcPr>
          <w:p w14:paraId="165D25D0" w14:textId="77777777" w:rsidR="00D65CB4" w:rsidRPr="00BC4EE7" w:rsidRDefault="00572307">
            <w:pPr>
              <w:pStyle w:val="P68B1DB1-Normal12"/>
              <w:spacing w:after="0"/>
              <w:jc w:val="right"/>
              <w:rPr>
                <w:rFonts w:cs="Times New Roman"/>
                <w:noProof/>
              </w:rPr>
            </w:pPr>
            <w:r w:rsidRPr="00BC4EE7">
              <w:rPr>
                <w:rFonts w:cs="Times New Roman"/>
                <w:noProof/>
              </w:rPr>
              <w:t xml:space="preserve"> </w:t>
            </w:r>
          </w:p>
        </w:tc>
        <w:tc>
          <w:tcPr>
            <w:tcW w:w="690" w:type="dxa"/>
            <w:shd w:val="clear" w:color="auto" w:fill="C6EFCE"/>
            <w:noWrap/>
          </w:tcPr>
          <w:p w14:paraId="0E804BFF" w14:textId="77777777" w:rsidR="00D65CB4" w:rsidRPr="00BC4EE7" w:rsidRDefault="00572307">
            <w:pPr>
              <w:pStyle w:val="P68B1DB1-Normal12"/>
              <w:spacing w:after="0"/>
              <w:jc w:val="right"/>
              <w:rPr>
                <w:rFonts w:cs="Times New Roman"/>
                <w:noProof/>
              </w:rPr>
            </w:pPr>
            <w:r w:rsidRPr="00BC4EE7">
              <w:rPr>
                <w:rFonts w:cs="Times New Roman"/>
                <w:noProof/>
              </w:rPr>
              <w:t xml:space="preserve"> </w:t>
            </w:r>
          </w:p>
        </w:tc>
        <w:tc>
          <w:tcPr>
            <w:tcW w:w="553" w:type="dxa"/>
            <w:shd w:val="clear" w:color="auto" w:fill="C6EFCE"/>
            <w:noWrap/>
          </w:tcPr>
          <w:p w14:paraId="6AF02849" w14:textId="77777777" w:rsidR="00D65CB4" w:rsidRPr="00BC4EE7" w:rsidRDefault="00572307">
            <w:pPr>
              <w:pStyle w:val="P68B1DB1-Normal12"/>
              <w:spacing w:after="0"/>
              <w:jc w:val="center"/>
              <w:rPr>
                <w:rFonts w:cs="Times New Roman"/>
                <w:noProof/>
              </w:rPr>
            </w:pPr>
            <w:r w:rsidRPr="00BC4EE7">
              <w:rPr>
                <w:rFonts w:cs="Times New Roman"/>
                <w:noProof/>
              </w:rPr>
              <w:t>Q3</w:t>
            </w:r>
          </w:p>
        </w:tc>
        <w:tc>
          <w:tcPr>
            <w:tcW w:w="553" w:type="dxa"/>
            <w:shd w:val="clear" w:color="auto" w:fill="C6EFCE"/>
            <w:noWrap/>
          </w:tcPr>
          <w:p w14:paraId="1A4670A2" w14:textId="77777777" w:rsidR="00D65CB4" w:rsidRPr="00BC4EE7" w:rsidRDefault="00572307">
            <w:pPr>
              <w:pStyle w:val="P68B1DB1-Normal12"/>
              <w:spacing w:after="0"/>
              <w:jc w:val="center"/>
              <w:rPr>
                <w:rFonts w:cs="Times New Roman"/>
                <w:noProof/>
              </w:rPr>
            </w:pPr>
            <w:r w:rsidRPr="00BC4EE7">
              <w:rPr>
                <w:rFonts w:cs="Times New Roman"/>
                <w:noProof/>
              </w:rPr>
              <w:t>2023</w:t>
            </w:r>
          </w:p>
        </w:tc>
        <w:tc>
          <w:tcPr>
            <w:tcW w:w="5924" w:type="dxa"/>
            <w:shd w:val="clear" w:color="auto" w:fill="C6EFCE"/>
            <w:noWrap/>
          </w:tcPr>
          <w:p w14:paraId="1B5BB0EC" w14:textId="77777777" w:rsidR="00D65CB4" w:rsidRPr="00BC4EE7" w:rsidRDefault="00572307">
            <w:pPr>
              <w:pStyle w:val="P68B1DB1-Normal12"/>
              <w:spacing w:after="0"/>
              <w:rPr>
                <w:rFonts w:cs="Times New Roman"/>
                <w:noProof/>
              </w:rPr>
            </w:pPr>
            <w:r w:rsidRPr="00BC4EE7">
              <w:rPr>
                <w:rFonts w:cs="Times New Roman"/>
                <w:noProof/>
              </w:rPr>
              <w:t>A 2024. évi éves költségvetési törvényt kísérő jelentés a zöld költségvetésről (barna dimenzió). A jelentésnek fel kell térképeznie a barna kiadásokat az éves költségvetési törvényben, és azt az uniós technikai támogatási eszköz támogatásával kialakított módszertannal és nyomonkövetési kerettel összhangban kell elkészíteni.</w:t>
            </w:r>
          </w:p>
        </w:tc>
      </w:tr>
    </w:tbl>
    <w:p w14:paraId="1E6DB335" w14:textId="77777777" w:rsidR="00D65CB4" w:rsidRPr="00BC4EE7" w:rsidRDefault="00D65CB4">
      <w:pPr>
        <w:pStyle w:val="SectionTitle"/>
        <w:rPr>
          <w:rFonts w:ascii="Times New Roman" w:hAnsi="Times New Roman" w:cs="Times New Roman"/>
          <w:noProof/>
          <w:sz w:val="2"/>
        </w:rPr>
        <w:sectPr w:rsidR="00D65CB4" w:rsidRPr="00BC4EE7" w:rsidSect="00B511EF">
          <w:headerReference w:type="even" r:id="rId574"/>
          <w:headerReference w:type="default" r:id="rId575"/>
          <w:footerReference w:type="even" r:id="rId576"/>
          <w:footerReference w:type="default" r:id="rId577"/>
          <w:headerReference w:type="first" r:id="rId578"/>
          <w:footerReference w:type="first" r:id="rId579"/>
          <w:pgSz w:w="16839" w:h="11907" w:orient="landscape"/>
          <w:pgMar w:top="1134" w:right="1134" w:bottom="1134" w:left="1134" w:header="567" w:footer="567" w:gutter="0"/>
          <w:cols w:space="720"/>
          <w:docGrid w:linePitch="360"/>
        </w:sectPr>
      </w:pPr>
    </w:p>
    <w:p w14:paraId="7180C115" w14:textId="77777777" w:rsidR="00D65CB4" w:rsidRPr="00BC4EE7" w:rsidRDefault="00572307">
      <w:pPr>
        <w:pStyle w:val="P68B1DB1-Heading12"/>
        <w:rPr>
          <w:rFonts w:cs="Times New Roman"/>
          <w:noProof/>
        </w:rPr>
      </w:pPr>
      <w:r w:rsidRPr="00BC4EE7">
        <w:rPr>
          <w:rFonts w:cs="Times New Roman"/>
          <w:noProof/>
        </w:rPr>
        <w:t>AD. ÖSSZETEVŐ: Nyugdíjak</w:t>
      </w:r>
    </w:p>
    <w:p w14:paraId="737C31BF" w14:textId="77777777" w:rsidR="00D65CB4" w:rsidRPr="00BC4EE7" w:rsidRDefault="00572307">
      <w:pPr>
        <w:pStyle w:val="Text1"/>
        <w:ind w:left="0"/>
        <w:rPr>
          <w:rStyle w:val="IntenseEmphasis"/>
          <w:rFonts w:ascii="Times New Roman" w:hAnsi="Times New Roman" w:cs="Times New Roman"/>
          <w:i w:val="0"/>
          <w:noProof/>
          <w:color w:val="auto"/>
        </w:rPr>
      </w:pPr>
      <w:r w:rsidRPr="00BC4EE7">
        <w:rPr>
          <w:rFonts w:ascii="Times New Roman" w:hAnsi="Times New Roman" w:cs="Times New Roman"/>
          <w:noProof/>
        </w:rPr>
        <w:t>A spanyol helyreállítási és rezilienciaépítési terv komponensének célja a nyugdíjrendszer reformja i. a rendszer rövid, közép- és hosszú távú pénzügyi fenntarthatóságának biztosítása, ii. a nyugdíjak vásárlóerejének fenntartása, iii. a nyugdíjak megfelelőségének megőrzése, iv. a nyugdíjasok szegénységgel szembeni védelme és v) a generációk közötti méltányosság biztosítása érdekében. A reformintézkedések a toledói paktum ajánlásainak elfogadásával kapcsolatos széles körű parlamenti konszenzusra épülnek</w:t>
      </w:r>
      <w:r w:rsidRPr="00BC4EE7">
        <w:rPr>
          <w:rStyle w:val="FootnoteReference"/>
          <w:rFonts w:ascii="Times New Roman" w:hAnsi="Times New Roman" w:cs="Times New Roman"/>
          <w:noProof/>
        </w:rPr>
        <w:footnoteReference w:id="213"/>
      </w:r>
      <w:r w:rsidRPr="00BC4EE7">
        <w:rPr>
          <w:rFonts w:ascii="Times New Roman" w:hAnsi="Times New Roman" w:cs="Times New Roman"/>
          <w:noProof/>
        </w:rPr>
        <w:t>. A szociális párbeszéd tárgyát képező intézkedések közé tartoznak a következők: i. a finanszírozási források elkülönítése, ii. a nyugellátások felülvizsgált indexálási mechanizmusa, iii. a késői nyugdíjra vonatkozó ösztönzők és a korengedményes nyugdíjazással kapcsolatos szabályozási változások, iv. a járulékfizetési időszak módosítása az öregségi nyugdíj kiszámításához, v. az önálló vállalkozók számára a reáljövedelemen alapuló új járulékrendszer és vi. a foglalkoztatói nyugdíjrendszerek kollektív tárgyalások révén történő fejlesztése.</w:t>
      </w:r>
    </w:p>
    <w:p w14:paraId="7E8D549C" w14:textId="77777777" w:rsidR="00D65CB4" w:rsidRPr="00BC4EE7" w:rsidRDefault="00572307">
      <w:pPr>
        <w:pStyle w:val="Text1"/>
        <w:ind w:left="0"/>
        <w:rPr>
          <w:rStyle w:val="IntenseEmphasis"/>
          <w:rFonts w:ascii="Times New Roman" w:hAnsi="Times New Roman" w:cs="Times New Roman"/>
          <w:i w:val="0"/>
          <w:noProof/>
          <w:color w:val="auto"/>
        </w:rPr>
      </w:pPr>
      <w:r w:rsidRPr="00BC4EE7">
        <w:rPr>
          <w:rStyle w:val="IntenseEmphasis"/>
          <w:rFonts w:ascii="Times New Roman" w:hAnsi="Times New Roman" w:cs="Times New Roman"/>
          <w:i w:val="0"/>
          <w:noProof/>
          <w:color w:val="auto"/>
        </w:rPr>
        <w:t xml:space="preserve">A komponens a nyugdíjrendszer fenntarthatóságának megőrzéséről szóló országspecifikus ajánlásokkal (2019. évi 1. országspecifikus ajánlás) és – amennyiben a gazdasági feltételek lehetővé teszik – a költségvetési politikák folytatásával foglalkozik, amelyek célja a prudens középtávú költségvetési egyenleg elérése és az adósság fenntarthatóságának biztosítása a beruházások ösztönzése mellett (2020. évi 1. országspecifikus ajánlás). </w:t>
      </w:r>
    </w:p>
    <w:p w14:paraId="0EF3D7FD" w14:textId="77777777" w:rsidR="00D65CB4" w:rsidRPr="00BC4EE7" w:rsidRDefault="00572307">
      <w:pPr>
        <w:pStyle w:val="P68B1DB1-Text118"/>
        <w:ind w:left="0"/>
        <w:rPr>
          <w:rFonts w:cs="Times New Roman"/>
          <w:noProof/>
        </w:rPr>
      </w:pPr>
      <w:r w:rsidRPr="00BC4EE7">
        <w:rPr>
          <w:rFonts w:cs="Times New Roman"/>
          <w:noProof/>
        </w:rPr>
        <w:t>A jelentős károkozás elkerülését célzó elvről szóló technikai iránymutatásnak (2021/C58/01) megfelelően a helyreállítási és rezilienciaépítési tervben meghatározott intézkedések leírását és a helyreállítási és rezilienciaépítési tervben meghatározott enyhítő lépéseket figyelembe véve ebben a komponensben várhatóan egyetlen intézkedés sem sérti jelentős mértékben az (EU) 2020/852 rendelet 17. cikke szerinti környezeti célkitűzéseket.</w:t>
      </w:r>
    </w:p>
    <w:p w14:paraId="3BB1CD5E" w14:textId="77777777" w:rsidR="00D65CB4" w:rsidRPr="00BC4EE7" w:rsidRDefault="00572307">
      <w:pPr>
        <w:pStyle w:val="Text1"/>
        <w:ind w:left="709"/>
        <w:rPr>
          <w:rFonts w:ascii="Times New Roman" w:hAnsi="Times New Roman" w:cs="Times New Roman"/>
          <w:b/>
          <w:noProof/>
          <w:u w:val="single"/>
        </w:rPr>
      </w:pPr>
      <w:r w:rsidRPr="00BC4EE7">
        <w:rPr>
          <w:rFonts w:ascii="Times New Roman" w:hAnsi="Times New Roman" w:cs="Times New Roman"/>
          <w:b/>
          <w:noProof/>
          <w:u w:val="single"/>
        </w:rPr>
        <w:t xml:space="preserve">AD.1. </w:t>
      </w:r>
      <w:r w:rsidRPr="00BC4EE7">
        <w:rPr>
          <w:rFonts w:ascii="Times New Roman" w:hAnsi="Times New Roman" w:cs="Times New Roman"/>
          <w:noProof/>
        </w:rPr>
        <w:t xml:space="preserve"> </w:t>
      </w:r>
      <w:r w:rsidRPr="00BC4EE7">
        <w:rPr>
          <w:rFonts w:ascii="Times New Roman" w:hAnsi="Times New Roman" w:cs="Times New Roman"/>
          <w:b/>
          <w:noProof/>
          <w:u w:val="single"/>
        </w:rPr>
        <w:t>Vissza nem térítendő pénzügyi támogatás – a reformok és beruházások ismertetése</w:t>
      </w:r>
    </w:p>
    <w:p w14:paraId="2F205B6D" w14:textId="77777777" w:rsidR="00D65CB4" w:rsidRPr="00BC4EE7" w:rsidRDefault="00572307">
      <w:pPr>
        <w:pStyle w:val="P68B1DB1-Text119"/>
        <w:ind w:left="0"/>
        <w:rPr>
          <w:rFonts w:cs="Times New Roman"/>
          <w:noProof/>
        </w:rPr>
      </w:pPr>
      <w:r w:rsidRPr="00BC4EE7">
        <w:rPr>
          <w:rFonts w:cs="Times New Roman"/>
          <w:noProof/>
        </w:rPr>
        <w:t>Reform (C30.R1) – A társadalombiztosítási finanszírozás forrásainak elkülönítése</w:t>
      </w:r>
    </w:p>
    <w:p w14:paraId="07603AFE"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reform célja a nyugdíjrendszer finanszírozásának megváltoztatása a Toledói Paktum ajánlásaival összhangban, hogy a járulékalapú ellátásokat társadalombiztosítási járulékokból finanszírozzák, a nem járulékalapú ellátásokat pedig az állami költségvetésből fizessék ki. A reform azt jelenti, hogy az állam átveszi számos olyan kiadási tétel finanszírozását, amelyeket jelenleg társadalombiztosítási járulékok fedeznek. A reformnak erősítenie kell a hozzájárulások és jogosultságok közötti kapcsolatot, és javítania kell a hozzájáruló rendszer pénzügyi fenntarthatóságát. </w:t>
      </w:r>
    </w:p>
    <w:p w14:paraId="11C3E650"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Azok a kiadási tételek, amelyeket korábban társadalombiztosítási járulékokból finanszíroztak, de e reform keretében nem járulékalapúnak minősülnek, és amelyeket az állami költségvetésből finanszíroznak, a következőkből állnak: i. a nem járulékalapú foglalkoztatáspolitikák egy része, ii. a foglalkoztatást előmozdító társadalombiztosítási hozzájárulás csökkentése, iii. a szülési és gyermekgondozási támogatások, iv. a korengedményes nyugdíjazással kapcsolatos kiadások, v) az anyasági nyugdíj-kiegészítés, v) a családtagok nyugdíja, vi. a különleges rendszerek támogatási intézkedései („implicit támogatások”) és vii. az öregségi nyugdíj kiszámításához szükséges járulékhiány kiegészítésének költsége. </w:t>
      </w:r>
    </w:p>
    <w:p w14:paraId="23673BD8"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reform a 2021. évi általános állami költségvetés rendelkezései révén kezdődött, és azt fokozatosan, az állami költségvetésből a társadalombiztosítási költségvetésbe történő átcsoportosítások révén kell végrehajtani. </w:t>
      </w:r>
    </w:p>
    <w:p w14:paraId="4A6F8A76"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Az intézkedést 2023. december 31-ig végre kell hajtani.</w:t>
      </w:r>
    </w:p>
    <w:p w14:paraId="341FA52A" w14:textId="77777777" w:rsidR="00D65CB4" w:rsidRPr="00BC4EE7" w:rsidRDefault="00572307">
      <w:pPr>
        <w:pStyle w:val="P68B1DB1-Text118"/>
        <w:ind w:left="0"/>
        <w:rPr>
          <w:rFonts w:cs="Times New Roman"/>
          <w:noProof/>
          <w:u w:val="single"/>
        </w:rPr>
      </w:pPr>
      <w:r w:rsidRPr="00BC4EE7">
        <w:rPr>
          <w:rFonts w:cs="Times New Roman"/>
          <w:noProof/>
          <w:u w:val="single"/>
        </w:rPr>
        <w:t>Reform (C30.R2) – A nyugdíjak vásárlóerejének fenntartása,</w:t>
      </w:r>
      <w:r w:rsidRPr="00BC4EE7">
        <w:rPr>
          <w:rFonts w:cs="Times New Roman"/>
          <w:noProof/>
        </w:rPr>
        <w:t xml:space="preserve"> a </w:t>
      </w:r>
      <w:r w:rsidRPr="00BC4EE7">
        <w:rPr>
          <w:rFonts w:cs="Times New Roman"/>
          <w:noProof/>
          <w:u w:val="single"/>
        </w:rPr>
        <w:t>tényleges nyugdíjkorhatár hozzáigazítása a törvényes nyugdíjkorhatárhoz, az öregségi nyugdíj kiszámítási időszakának az új életpályákhoz való igazítása, valamint</w:t>
      </w:r>
      <w:r w:rsidRPr="00BC4EE7">
        <w:rPr>
          <w:rFonts w:cs="Times New Roman"/>
          <w:noProof/>
        </w:rPr>
        <w:t xml:space="preserve"> a </w:t>
      </w:r>
      <w:r w:rsidRPr="00BC4EE7">
        <w:rPr>
          <w:rFonts w:cs="Times New Roman"/>
          <w:noProof/>
          <w:u w:val="single"/>
        </w:rPr>
        <w:t>fenntarthatósági tényező generációk közötti méltányossági mechanizmussal való felváltása</w:t>
      </w:r>
    </w:p>
    <w:p w14:paraId="3D0FFCFF"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reform célkitűzései a következők: i. a nyugdíjasok vásárlóerejének garantálása, ii. a törvényes nyugdíjkorhatárhoz közeli életkorban való munkaerőpiaci részvétel növelése, iii. a nyugdíjba vonulás elhalasztása, iv. a járulékrendszer progresszivitásának megerősítése, v. a jelenlegi szabályozás hozzáigazítása a nem folyamatos karrierekhez és az atipikus munkavégzés egyéb formáihoz, valamint vi. a küszöbön álló demográfiai változások hatásainak kezelése a jelenlegi és jövőbeli nyugdíjak megfelelőségének romlása nélkül. A reform négy különálló szabályozási reformból áll, összhangban a Toledói Paktum ajánlásaival, amelyeket két lépésben kell elfogadni. </w:t>
      </w:r>
    </w:p>
    <w:p w14:paraId="29699A14" w14:textId="77777777" w:rsidR="00D65CB4" w:rsidRPr="00BC4EE7" w:rsidRDefault="00572307">
      <w:pPr>
        <w:pStyle w:val="P68B1DB1-Normal4"/>
        <w:spacing w:before="120" w:after="120" w:line="240" w:lineRule="auto"/>
        <w:rPr>
          <w:rFonts w:cs="Times New Roman"/>
          <w:noProof/>
        </w:rPr>
      </w:pPr>
      <w:r w:rsidRPr="00BC4EE7">
        <w:rPr>
          <w:rFonts w:cs="Times New Roman"/>
          <w:noProof/>
        </w:rPr>
        <w:t>A 2021. december 31-ig hatályba lépő reformok a következők:</w:t>
      </w:r>
    </w:p>
    <w:p w14:paraId="5348CA21" w14:textId="77777777" w:rsidR="00D65CB4" w:rsidRPr="00BC4EE7" w:rsidRDefault="00572307">
      <w:pPr>
        <w:pStyle w:val="P68B1DB1-ListParagraph6"/>
        <w:numPr>
          <w:ilvl w:val="0"/>
          <w:numId w:val="718"/>
        </w:numPr>
        <w:spacing w:before="120" w:after="120" w:line="240" w:lineRule="auto"/>
        <w:jc w:val="both"/>
        <w:rPr>
          <w:rFonts w:cs="Times New Roman"/>
          <w:noProof/>
        </w:rPr>
      </w:pPr>
      <w:r w:rsidRPr="00BC4EE7">
        <w:rPr>
          <w:rFonts w:cs="Times New Roman"/>
          <w:noProof/>
        </w:rPr>
        <w:t xml:space="preserve">Új indexálási mechanizmus, amely a nyugellátásokat az inflációhoz köti, azzal a céllal, hogy tartósan garantálja a nyugdíjasok vásárlóerejét. </w:t>
      </w:r>
    </w:p>
    <w:p w14:paraId="2A7F3E2A" w14:textId="77777777" w:rsidR="00D65CB4" w:rsidRPr="00BC4EE7" w:rsidRDefault="00572307">
      <w:pPr>
        <w:pStyle w:val="P68B1DB1-ListParagraph6"/>
        <w:numPr>
          <w:ilvl w:val="0"/>
          <w:numId w:val="718"/>
        </w:numPr>
        <w:spacing w:before="120" w:after="120" w:line="240" w:lineRule="auto"/>
        <w:jc w:val="both"/>
        <w:rPr>
          <w:rFonts w:cs="Times New Roman"/>
          <w:noProof/>
        </w:rPr>
      </w:pPr>
      <w:r w:rsidRPr="00BC4EE7">
        <w:rPr>
          <w:rFonts w:cs="Times New Roman"/>
          <w:noProof/>
        </w:rPr>
        <w:t>A tényleges nyugdíjba vonulási életkor és a törvényes nyugdíjkorhatár összehangolása a törvényes nyugdíjkorhatárhoz közeli életkorban való munkaerőpiaci részvétel növelésére és a nyugdíjba vonulás elhalasztására irányuló célkitűzésekkel. Az intézkedés a következő szabályozási változásokból áll:</w:t>
      </w:r>
    </w:p>
    <w:p w14:paraId="6E80937E" w14:textId="77777777" w:rsidR="00D65CB4" w:rsidRPr="00BC4EE7" w:rsidRDefault="00572307">
      <w:pPr>
        <w:pStyle w:val="P68B1DB1-ListParagraph6"/>
        <w:numPr>
          <w:ilvl w:val="1"/>
          <w:numId w:val="167"/>
        </w:numPr>
        <w:spacing w:before="120" w:after="120" w:line="240" w:lineRule="auto"/>
        <w:jc w:val="both"/>
        <w:rPr>
          <w:rFonts w:cs="Times New Roman"/>
          <w:noProof/>
        </w:rPr>
      </w:pPr>
      <w:r w:rsidRPr="00BC4EE7">
        <w:rPr>
          <w:rFonts w:cs="Times New Roman"/>
          <w:noProof/>
        </w:rPr>
        <w:t xml:space="preserve"> Új ösztönzők létrehozása a nyugdíjba vonulás késleltetésére (a nyugdíjba vonulást késleltető gazdasági ösztönzők növelése, valamint a munka és a nyugdíj összeegyeztethetőségének előmozdítása). A nyugdíjba vonulást elhalasztó munkavállalók különösen a következők közül választhatnak: a nyugdíj összegének növelése minden egyes, a törvényes nyugdíjkorhatár és a tényleges nyugdíjba vonulás között beszámított teljes kiegészítő járulékfizetési évre; egyösszegű kifizetés; és a korábbi kettő kombinációja.</w:t>
      </w:r>
    </w:p>
    <w:p w14:paraId="55A7387E" w14:textId="77777777" w:rsidR="00D65CB4" w:rsidRPr="00BC4EE7" w:rsidRDefault="00572307">
      <w:pPr>
        <w:pStyle w:val="P68B1DB1-ListParagraph6"/>
        <w:numPr>
          <w:ilvl w:val="1"/>
          <w:numId w:val="167"/>
        </w:numPr>
        <w:spacing w:before="120" w:after="120" w:line="240" w:lineRule="auto"/>
        <w:jc w:val="both"/>
        <w:rPr>
          <w:rFonts w:cs="Times New Roman"/>
          <w:noProof/>
        </w:rPr>
      </w:pPr>
      <w:r w:rsidRPr="00BC4EE7">
        <w:rPr>
          <w:rFonts w:cs="Times New Roman"/>
          <w:noProof/>
        </w:rPr>
        <w:t>A korengedményes nyugdíjra vonatkozó jelenlegi szabályozás korengedményes nyugdíjazási elemeinek szabályozásában rejlő visszatartó tényezők megerősítése. A korengedményes nyugdíjazásra vonatkozó csökkentési rátát módosítani kell annak érdekében, hogy megemeljék a tényleges nyugdíjba vonulási életkort, és megszüntessék a legmagasabb járulékalapot alkalmazó nyugdíjasok számára biztosított kiváltságos bánásmódot. Meg kell tiltani azokat a kollektív tárgyalásokra vonatkozó rendelkezéseket, amelyek a rendes nyugdíjkorhatáron alapuló nyugdíjhoz jutást kényszerítik.</w:t>
      </w:r>
    </w:p>
    <w:p w14:paraId="0B2F0D06" w14:textId="77777777" w:rsidR="00D65CB4" w:rsidRPr="00BC4EE7" w:rsidRDefault="00572307">
      <w:pPr>
        <w:pStyle w:val="P68B1DB1-Normal4"/>
        <w:spacing w:before="120" w:after="120" w:line="240" w:lineRule="auto"/>
        <w:rPr>
          <w:rFonts w:cs="Times New Roman"/>
          <w:noProof/>
        </w:rPr>
      </w:pPr>
      <w:r w:rsidRPr="00BC4EE7">
        <w:rPr>
          <w:rFonts w:cs="Times New Roman"/>
          <w:noProof/>
        </w:rPr>
        <w:t>A 2022. december 31-ig hatályba lépő reformok a következők:</w:t>
      </w:r>
    </w:p>
    <w:p w14:paraId="27134B17" w14:textId="77777777" w:rsidR="00D65CB4" w:rsidRPr="00BC4EE7" w:rsidRDefault="00572307">
      <w:pPr>
        <w:pStyle w:val="P68B1DB1-ListParagraph6"/>
        <w:numPr>
          <w:ilvl w:val="0"/>
          <w:numId w:val="717"/>
        </w:numPr>
        <w:spacing w:before="120" w:after="120" w:line="240" w:lineRule="auto"/>
        <w:jc w:val="both"/>
        <w:rPr>
          <w:rFonts w:cs="Times New Roman"/>
          <w:noProof/>
        </w:rPr>
      </w:pPr>
      <w:r w:rsidRPr="00BC4EE7">
        <w:rPr>
          <w:rFonts w:cs="Times New Roman"/>
          <w:noProof/>
        </w:rPr>
        <w:t xml:space="preserve">A járulékfizetési időszak kiigazítása az öregségi nyugdíj kiszámításához azzal a céllal, hogy megerősítse a rendszer progresszivitását, és a jelenlegi szabályozást hozzáigazítsa a nem folyamatos karrierekhez és az atipikus munkavégzés egyéb formáihoz. </w:t>
      </w:r>
    </w:p>
    <w:p w14:paraId="2A3475C4" w14:textId="77777777" w:rsidR="00D65CB4" w:rsidRPr="00BC4EE7" w:rsidRDefault="00572307">
      <w:pPr>
        <w:pStyle w:val="P68B1DB1-ListParagraph6"/>
        <w:numPr>
          <w:ilvl w:val="0"/>
          <w:numId w:val="717"/>
        </w:numPr>
        <w:spacing w:before="120" w:after="120" w:line="240" w:lineRule="auto"/>
        <w:jc w:val="both"/>
        <w:rPr>
          <w:rFonts w:cs="Times New Roman"/>
          <w:noProof/>
        </w:rPr>
      </w:pPr>
      <w:r w:rsidRPr="00BC4EE7">
        <w:rPr>
          <w:rFonts w:cs="Times New Roman"/>
          <w:noProof/>
        </w:rPr>
        <w:t xml:space="preserve">A fenntarthatósági tényező felváltása egy olyan mechanizmussal, amely garantálja a generációk közötti méltányosságot és a költségvetési fenntarthatóságot. Az intézkedés célja, hogy a küszöbön álló demográfiai változások hatását a jelenlegi és jövőbeli nyugdíjak megfelelőségének romlása nélkül kezelje. </w:t>
      </w:r>
    </w:p>
    <w:p w14:paraId="3996B3D3"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Az intézkedést 2022. december 31-ig végre kell hajtani.</w:t>
      </w:r>
    </w:p>
    <w:p w14:paraId="657D7466" w14:textId="77777777" w:rsidR="00D65CB4" w:rsidRPr="00BC4EE7" w:rsidRDefault="00572307">
      <w:pPr>
        <w:pStyle w:val="P68B1DB1-Normal5"/>
        <w:keepNext/>
        <w:spacing w:before="120" w:after="120" w:line="240" w:lineRule="auto"/>
        <w:rPr>
          <w:rFonts w:cs="Times New Roman"/>
          <w:noProof/>
        </w:rPr>
      </w:pPr>
      <w:r w:rsidRPr="00BC4EE7">
        <w:rPr>
          <w:rFonts w:cs="Times New Roman"/>
          <w:noProof/>
        </w:rPr>
        <w:t>Reform (C30.R3) – Az önálló vállalkozók társadalombiztosítási járulékrendszerének reformja</w:t>
      </w:r>
    </w:p>
    <w:p w14:paraId="18E76997"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reform célja a munkavállalókkal és az önálló vállalkozókkal szembeni bánásmód kiegyenlítése, a nyugdíjrendszerbe befizetett járulékok növelése, valamint annak biztosítása, hogy az önálló vállalkozók megfelelő nyugdíjjövedelmet kapjanak. A reform módosítja az önálló vállalkozók hozzájárulási rendszerét. A reform az önfoglalkoztatók hozzájárulásait – a Toledói Paktum ajánlásaival összhangban – a reáljövedelemre alapozza, nem pedig az önválasztáson alapuló hozzájárulási alapra. A végleges járulékot az adóhatóságok által biztosított, önálló vállalkozói tevékenységből származó jövedelem alapján kell kiszámítani. A reformot fokozatosan, a minimális hozzájárulási alap növelésével kell végrehajtani, hogy lehetővé váljon az új rendszerhez való alkalmazkodás.</w:t>
      </w:r>
    </w:p>
    <w:p w14:paraId="00CA74FD" w14:textId="77777777" w:rsidR="00D65CB4" w:rsidRPr="00BC4EE7" w:rsidRDefault="00572307">
      <w:pPr>
        <w:pStyle w:val="P68B1DB1-Normal4"/>
        <w:spacing w:before="120" w:after="120" w:line="240" w:lineRule="auto"/>
        <w:rPr>
          <w:rFonts w:cs="Times New Roman"/>
          <w:noProof/>
        </w:rPr>
      </w:pPr>
      <w:r w:rsidRPr="00BC4EE7">
        <w:rPr>
          <w:rFonts w:cs="Times New Roman"/>
          <w:noProof/>
        </w:rPr>
        <w:t>Az intézkedést 2022. június 30-ig végre kell hajtani.</w:t>
      </w:r>
    </w:p>
    <w:p w14:paraId="71F6CB0D" w14:textId="77777777" w:rsidR="00D65CB4" w:rsidRPr="00BC4EE7" w:rsidRDefault="00572307">
      <w:pPr>
        <w:pStyle w:val="P68B1DB1-Normal5"/>
        <w:keepNext/>
        <w:spacing w:before="120" w:after="120" w:line="240" w:lineRule="auto"/>
        <w:rPr>
          <w:rFonts w:cs="Times New Roman"/>
          <w:noProof/>
        </w:rPr>
      </w:pPr>
      <w:r w:rsidRPr="00BC4EE7">
        <w:rPr>
          <w:rFonts w:cs="Times New Roman"/>
          <w:noProof/>
        </w:rPr>
        <w:t>Reform (C30.R4) – Az anyasági kiegészítők észszerűsítése</w:t>
      </w:r>
    </w:p>
    <w:p w14:paraId="23D893F5" w14:textId="77777777" w:rsidR="00D65CB4" w:rsidRPr="00BC4EE7" w:rsidRDefault="00572307">
      <w:pPr>
        <w:pStyle w:val="P68B1DB1-Normal4"/>
        <w:keepNext/>
        <w:spacing w:before="120" w:after="120" w:line="240" w:lineRule="auto"/>
        <w:jc w:val="both"/>
        <w:rPr>
          <w:rFonts w:cs="Times New Roman"/>
          <w:noProof/>
        </w:rPr>
      </w:pPr>
      <w:r w:rsidRPr="00BC4EE7">
        <w:rPr>
          <w:rFonts w:cs="Times New Roman"/>
          <w:noProof/>
        </w:rPr>
        <w:t>A reform célja, hogy kompenzálja a szülőket, elsősorban az anyákat a születés és a gyermekgondozás költségeiért, a nemek közötti nyugdíjszakadék csökkentése érdekében. A reform átalakítja az anyasági kiegészítést, és már elfogadásra került (a február 2-i 3/2021. sz. királyi törvényerejű rendelet). Az Európai Unió Bírósága 2019. december 12-i ítéletében a férfiakkal szemben hátrányosan megkülönböztetőnek ítélte a 2016 óta hatályban lévő korábbi anyasági pótlékot. A szülési szabadság megreformált kiegészítésének meg kell felelnie a bírósági ítéletnek, és meg kell akadályoznia a hátrányos megkülönböztetést. Az új kiegészítés a járulékfizetési utak elemzésén alapul annak megállapítása érdekében, hogy a két szülő közül melyik volt a leghátrányosabb helyzetben a gyermek születése miatt járulékalapú karrierjében, azzal a kikötéssel, hogy különösen hátrányos helyzetű szülő hiányában az anya megkapja a kiegészítést.</w:t>
      </w:r>
    </w:p>
    <w:p w14:paraId="46B0E21D" w14:textId="77777777" w:rsidR="00D65CB4" w:rsidRPr="00BC4EE7" w:rsidRDefault="00572307">
      <w:pPr>
        <w:pStyle w:val="P68B1DB1-Normal4"/>
        <w:spacing w:before="120" w:after="120" w:line="240" w:lineRule="auto"/>
        <w:rPr>
          <w:rFonts w:cs="Times New Roman"/>
          <w:noProof/>
        </w:rPr>
      </w:pPr>
      <w:r w:rsidRPr="00BC4EE7">
        <w:rPr>
          <w:rFonts w:cs="Times New Roman"/>
          <w:noProof/>
        </w:rPr>
        <w:t>Az intézkedést 2021. március 31-ig végre kell hajtani.</w:t>
      </w:r>
    </w:p>
    <w:p w14:paraId="0ADF50A6" w14:textId="77777777" w:rsidR="00D65CB4" w:rsidRPr="00BC4EE7" w:rsidRDefault="00572307">
      <w:pPr>
        <w:pStyle w:val="P68B1DB1-Normal5"/>
        <w:spacing w:before="120" w:after="120" w:line="240" w:lineRule="auto"/>
        <w:rPr>
          <w:rFonts w:cs="Times New Roman"/>
          <w:noProof/>
        </w:rPr>
      </w:pPr>
      <w:r w:rsidRPr="00BC4EE7">
        <w:rPr>
          <w:rFonts w:cs="Times New Roman"/>
          <w:noProof/>
        </w:rPr>
        <w:t>Reform (C30.R5) – A jelenlegi kiegészítő nyugdíjrendszer felülvizsgálata</w:t>
      </w:r>
    </w:p>
    <w:p w14:paraId="3425A92D"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reform felülvizsgálja a kiegészítő nyugdíjrendszer szabályozási keretét azzal a céllal, hogy növelje a kollektív tárgyalások keretében – lehetőleg ágazati szinten – elfogadott foglalkoztatói nyugdíjrendszerek lefedettségét. A foglalkoztatói nyugdíjrendszerekre vonatkozó új jogi keret célja, hogy lefedje a foglalkoztatói nyugdíjrendszerrel nem rendelkező munkavállalókat és az önálló vállalkozókat, akik jelenleg nem férnek hozzá ezekhez a második pillérhez tartozó rendszerekhez. </w:t>
      </w:r>
    </w:p>
    <w:p w14:paraId="23D7F805" w14:textId="77777777" w:rsidR="00D65CB4" w:rsidRPr="00BC4EE7" w:rsidRDefault="00572307">
      <w:pPr>
        <w:pStyle w:val="P68B1DB1-Normal4"/>
        <w:spacing w:before="120" w:after="120" w:line="240" w:lineRule="auto"/>
        <w:rPr>
          <w:rFonts w:cs="Times New Roman"/>
          <w:noProof/>
        </w:rPr>
      </w:pPr>
      <w:r w:rsidRPr="00BC4EE7">
        <w:rPr>
          <w:rFonts w:cs="Times New Roman"/>
          <w:noProof/>
        </w:rPr>
        <w:t>A reform konkrét intézkedései a következőket foglalják magukban:</w:t>
      </w:r>
    </w:p>
    <w:p w14:paraId="2F529509" w14:textId="77777777" w:rsidR="00D65CB4" w:rsidRPr="00BC4EE7" w:rsidRDefault="00572307">
      <w:pPr>
        <w:pStyle w:val="P68B1DB1-ListParagraph6"/>
        <w:numPr>
          <w:ilvl w:val="0"/>
          <w:numId w:val="168"/>
        </w:numPr>
        <w:spacing w:before="120" w:after="120" w:line="240" w:lineRule="auto"/>
        <w:rPr>
          <w:rFonts w:cs="Times New Roman"/>
          <w:noProof/>
        </w:rPr>
      </w:pPr>
      <w:r w:rsidRPr="00BC4EE7">
        <w:rPr>
          <w:rFonts w:cs="Times New Roman"/>
          <w:noProof/>
        </w:rPr>
        <w:t xml:space="preserve">Államilag támogatott foglalkoztatói nyugellátási alapok létrehozása, amelyeket a magánszektor kezel. </w:t>
      </w:r>
    </w:p>
    <w:p w14:paraId="0E2C3D1C" w14:textId="77777777" w:rsidR="00D65CB4" w:rsidRPr="00BC4EE7" w:rsidRDefault="00572307">
      <w:pPr>
        <w:pStyle w:val="P68B1DB1-ListParagraph6"/>
        <w:numPr>
          <w:ilvl w:val="0"/>
          <w:numId w:val="168"/>
        </w:numPr>
        <w:spacing w:before="120" w:after="120" w:line="240" w:lineRule="auto"/>
        <w:rPr>
          <w:rFonts w:cs="Times New Roman"/>
          <w:noProof/>
        </w:rPr>
      </w:pPr>
      <w:r w:rsidRPr="00BC4EE7">
        <w:rPr>
          <w:rFonts w:cs="Times New Roman"/>
          <w:noProof/>
        </w:rPr>
        <w:t>Ösztönzők és szabályozási változtatások a kollektív tárgyalások keretében elfogadott foglalkoztatói nyugdíjrendszerek lefedettségének növelése érdekében.</w:t>
      </w:r>
    </w:p>
    <w:p w14:paraId="52310F8C" w14:textId="77777777" w:rsidR="00D65CB4" w:rsidRPr="00BC4EE7" w:rsidRDefault="00572307">
      <w:pPr>
        <w:pStyle w:val="P68B1DB1-ListParagraph6"/>
        <w:numPr>
          <w:ilvl w:val="0"/>
          <w:numId w:val="168"/>
        </w:numPr>
        <w:spacing w:before="120" w:after="120" w:line="240" w:lineRule="auto"/>
        <w:rPr>
          <w:rFonts w:cs="Times New Roman"/>
          <w:noProof/>
        </w:rPr>
      </w:pPr>
      <w:r w:rsidRPr="00BC4EE7">
        <w:rPr>
          <w:rFonts w:cs="Times New Roman"/>
          <w:noProof/>
        </w:rPr>
        <w:t>A nyugdíjrendszerek eljárásainak egyszerűsítése.</w:t>
      </w:r>
    </w:p>
    <w:p w14:paraId="3F2E466D" w14:textId="77777777" w:rsidR="00D65CB4" w:rsidRPr="00BC4EE7" w:rsidRDefault="00572307">
      <w:pPr>
        <w:pStyle w:val="P68B1DB1-ListParagraph6"/>
        <w:numPr>
          <w:ilvl w:val="0"/>
          <w:numId w:val="168"/>
        </w:numPr>
        <w:spacing w:before="120" w:after="120" w:line="240" w:lineRule="auto"/>
        <w:rPr>
          <w:rFonts w:cs="Times New Roman"/>
          <w:noProof/>
        </w:rPr>
      </w:pPr>
      <w:r w:rsidRPr="00BC4EE7">
        <w:rPr>
          <w:rFonts w:cs="Times New Roman"/>
          <w:noProof/>
        </w:rPr>
        <w:t>Szabályozási változások a munkavállalók különböző vállalatok és ágazatok közötti mobilitásának előmozdítása érdekében.</w:t>
      </w:r>
    </w:p>
    <w:p w14:paraId="6D5091E5" w14:textId="77777777" w:rsidR="00D65CB4" w:rsidRPr="00BC4EE7" w:rsidRDefault="00572307">
      <w:pPr>
        <w:pStyle w:val="P68B1DB1-ListParagraph6"/>
        <w:numPr>
          <w:ilvl w:val="0"/>
          <w:numId w:val="168"/>
        </w:numPr>
        <w:spacing w:before="120" w:after="120" w:line="240" w:lineRule="auto"/>
        <w:rPr>
          <w:rFonts w:cs="Times New Roman"/>
          <w:noProof/>
        </w:rPr>
      </w:pPr>
      <w:r w:rsidRPr="00BC4EE7">
        <w:rPr>
          <w:rFonts w:cs="Times New Roman"/>
          <w:noProof/>
        </w:rPr>
        <w:t>Adókedvezmények a kollektív foglalkoztatási rendszerekben való részvétel előmozdítására</w:t>
      </w:r>
    </w:p>
    <w:p w14:paraId="46F9F747" w14:textId="77777777" w:rsidR="00D65CB4" w:rsidRPr="00BC4EE7" w:rsidRDefault="00572307">
      <w:pPr>
        <w:pStyle w:val="P68B1DB1-ListParagraph6"/>
        <w:numPr>
          <w:ilvl w:val="0"/>
          <w:numId w:val="168"/>
        </w:numPr>
        <w:spacing w:before="120" w:after="120" w:line="240" w:lineRule="auto"/>
        <w:rPr>
          <w:rFonts w:cs="Times New Roman"/>
          <w:noProof/>
        </w:rPr>
      </w:pPr>
      <w:r w:rsidRPr="00BC4EE7">
        <w:rPr>
          <w:rFonts w:cs="Times New Roman"/>
          <w:noProof/>
        </w:rPr>
        <w:t>A kollektív foglalkoztatási rendszerek kezelési költségeinek a kezelt eszközök 0,30%-a alá történő korlátozása.</w:t>
      </w:r>
    </w:p>
    <w:p w14:paraId="7E9026A5"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 reform végrehajtása a 2021. évi általános állami költségvetésben szereplő rendelkezésekkel kezdődött, amelyek korábban az egyéni nyugdíjrendszerekhez kapcsolódó adókedvezményeket csoportosították át a kollektív rendszerek javára (a fenti v. intézkedés), valamint a foglalkoztatói nyugellátást szolgáltató alapok állami támogatása révén (fenti i. intézkedés). </w:t>
      </w:r>
    </w:p>
    <w:p w14:paraId="7B278F8F"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Az intézkedést 2022. június 30-ig végre kell hajtani.</w:t>
      </w:r>
    </w:p>
    <w:p w14:paraId="37BB5876" w14:textId="77777777" w:rsidR="00D65CB4" w:rsidRPr="00BC4EE7" w:rsidRDefault="00572307">
      <w:pPr>
        <w:pStyle w:val="P68B1DB1-Normal5"/>
        <w:spacing w:before="120" w:after="120" w:line="240" w:lineRule="auto"/>
        <w:rPr>
          <w:rFonts w:cs="Times New Roman"/>
          <w:noProof/>
        </w:rPr>
      </w:pPr>
      <w:r w:rsidRPr="00BC4EE7">
        <w:rPr>
          <w:rFonts w:cs="Times New Roman"/>
          <w:noProof/>
        </w:rPr>
        <w:t>Reform (C30.R6) – A maximális hozzájárulási alap kiigazítása</w:t>
      </w:r>
    </w:p>
    <w:p w14:paraId="293D75EB" w14:textId="77777777" w:rsidR="00D65CB4" w:rsidRPr="00BC4EE7" w:rsidRDefault="00572307">
      <w:pPr>
        <w:spacing w:before="120" w:after="120" w:line="240" w:lineRule="auto"/>
        <w:jc w:val="both"/>
        <w:rPr>
          <w:rFonts w:ascii="Times New Roman" w:hAnsi="Times New Roman" w:cs="Times New Roman"/>
          <w:noProof/>
          <w:sz w:val="24"/>
        </w:rPr>
      </w:pPr>
      <w:r w:rsidRPr="00BC4EE7">
        <w:rPr>
          <w:rFonts w:ascii="Times New Roman" w:hAnsi="Times New Roman" w:cs="Times New Roman"/>
          <w:noProof/>
          <w:sz w:val="24"/>
        </w:rPr>
        <w:t>A reformnak növelnie kell a nyugdíjrendszer maximális járulékalapját, és ki kell igazítania a maximális nyugdíjakat a járulékalap kiszélesítése, a nyugdíjrendszer progresszivitásának növelése és a teljes bevétel növelése érdekében. Az intézkedések összhangban vannak a Toledói Paktum ajánlásaival. A rendszer kiigazítása fokozatosan történik annak érdekében, hogy a hozzájárulók alkalmazkodni tudjanak a változásokhoz. A maximális nyugdíjakat és a maximális járulékalapokat ennek megfelelően emelik a rendszer járulékalapú jellegének megőrzése érdekében. A reformot a</w:t>
      </w:r>
      <w:r w:rsidRPr="00BC4EE7">
        <w:rPr>
          <w:rStyle w:val="normaltextrun"/>
          <w:rFonts w:ascii="Times New Roman" w:hAnsi="Times New Roman" w:cs="Times New Roman"/>
          <w:noProof/>
          <w:sz w:val="24"/>
          <w:bdr w:val="none" w:sz="0" w:space="0" w:color="auto" w:frame="1"/>
        </w:rPr>
        <w:t xml:space="preserve"> </w:t>
      </w:r>
      <w:r w:rsidRPr="00BC4EE7">
        <w:rPr>
          <w:rFonts w:ascii="Times New Roman" w:hAnsi="Times New Roman" w:cs="Times New Roman"/>
          <w:noProof/>
          <w:sz w:val="24"/>
        </w:rPr>
        <w:t>következő harminc évben fokozatosan kell végrehajtani.</w:t>
      </w:r>
    </w:p>
    <w:p w14:paraId="35E1840D"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Az intézkedés 2022. december 31-én lép hatályba. </w:t>
      </w:r>
    </w:p>
    <w:p w14:paraId="2793ABBC" w14:textId="77777777" w:rsidR="00D65CB4" w:rsidRPr="00BC4EE7" w:rsidRDefault="00572307">
      <w:pPr>
        <w:pStyle w:val="Text1"/>
        <w:ind w:left="709"/>
        <w:rPr>
          <w:rFonts w:ascii="Times New Roman" w:hAnsi="Times New Roman" w:cs="Times New Roman"/>
          <w:b/>
          <w:noProof/>
          <w:u w:val="single"/>
        </w:rPr>
      </w:pPr>
      <w:r w:rsidRPr="00BC4EE7">
        <w:rPr>
          <w:rFonts w:ascii="Times New Roman" w:hAnsi="Times New Roman" w:cs="Times New Roman"/>
          <w:b/>
          <w:noProof/>
          <w:u w:val="single"/>
        </w:rPr>
        <w:t xml:space="preserve">AD.2. </w:t>
      </w:r>
      <w:r w:rsidRPr="00BC4EE7">
        <w:rPr>
          <w:rFonts w:ascii="Times New Roman" w:hAnsi="Times New Roman" w:cs="Times New Roman"/>
          <w:noProof/>
        </w:rPr>
        <w:t xml:space="preserve"> </w:t>
      </w:r>
      <w:r w:rsidRPr="00BC4EE7">
        <w:rPr>
          <w:rFonts w:ascii="Times New Roman" w:hAnsi="Times New Roman" w:cs="Times New Roman"/>
          <w:b/>
          <w:noProof/>
          <w:u w:val="single"/>
        </w:rPr>
        <w:t>Vissza nem térítendő pénzügyi támogatás – a végrehajtáshoz és a nyomon követéshez kapcsolódó mérföldkövek, célok, mutatók és ütemterv</w:t>
      </w:r>
    </w:p>
    <w:p w14:paraId="673009EF" w14:textId="77777777" w:rsidR="00D65CB4" w:rsidRPr="00BC4EE7" w:rsidRDefault="00572307">
      <w:pPr>
        <w:pStyle w:val="P68B1DB1-Normal4"/>
        <w:spacing w:before="120" w:after="120" w:line="240" w:lineRule="auto"/>
        <w:jc w:val="both"/>
        <w:rPr>
          <w:rFonts w:cs="Times New Roman"/>
          <w:noProof/>
        </w:rPr>
      </w:pPr>
      <w:r w:rsidRPr="00BC4EE7">
        <w:rPr>
          <w:rFonts w:cs="Times New Roman"/>
          <w:i/>
          <w:noProof/>
        </w:rPr>
        <w:t>Táblázat alább.</w:t>
      </w:r>
      <w:r w:rsidRPr="00BC4EE7">
        <w:rPr>
          <w:rFonts w:cs="Times New Roman"/>
          <w:noProof/>
        </w:rPr>
        <w:t xml:space="preserve"> </w:t>
      </w:r>
      <w:r w:rsidRPr="00BC4EE7">
        <w:rPr>
          <w:rFonts w:cs="Times New Roman"/>
          <w:i/>
          <w:noProof/>
        </w:rPr>
        <w:t>Az összes mutató esetében az alapforgatókönyv időpontja 2020. február 1., kivéve, ha az intézkedés leírása ettől eltérően rendelkezik. A táblázatban szereplő összegek nem tartalmazzák a héát.</w:t>
      </w:r>
      <w:r w:rsidRPr="00BC4EE7">
        <w:rPr>
          <w:rFonts w:cs="Times New Roman"/>
          <w:noProof/>
        </w:rPr>
        <w:t xml:space="preserve"> </w:t>
      </w:r>
    </w:p>
    <w:p w14:paraId="38FA1055" w14:textId="77777777" w:rsidR="00D65CB4" w:rsidRPr="00BC4EE7" w:rsidRDefault="00D65CB4">
      <w:pPr>
        <w:pStyle w:val="Text1"/>
        <w:ind w:left="709"/>
        <w:rPr>
          <w:rFonts w:ascii="Times New Roman" w:hAnsi="Times New Roman" w:cs="Times New Roman"/>
          <w:noProof/>
        </w:rPr>
        <w:sectPr w:rsidR="00D65CB4" w:rsidRPr="00BC4EE7" w:rsidSect="00B511EF">
          <w:headerReference w:type="even" r:id="rId580"/>
          <w:headerReference w:type="default" r:id="rId581"/>
          <w:footerReference w:type="even" r:id="rId582"/>
          <w:footerReference w:type="default" r:id="rId583"/>
          <w:headerReference w:type="first" r:id="rId584"/>
          <w:footerReference w:type="first" r:id="rId585"/>
          <w:pgSz w:w="11907" w:h="16839"/>
          <w:pgMar w:top="1134" w:right="1134" w:bottom="1134" w:left="1134" w:header="567" w:footer="567" w:gutter="0"/>
          <w:cols w:space="720"/>
          <w:docGrid w:linePitch="360"/>
        </w:sectPr>
      </w:pPr>
    </w:p>
    <w:tbl>
      <w:tblPr>
        <w:tblW w:w="15735"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993"/>
        <w:gridCol w:w="941"/>
        <w:gridCol w:w="901"/>
        <w:gridCol w:w="2379"/>
        <w:gridCol w:w="957"/>
        <w:gridCol w:w="548"/>
        <w:gridCol w:w="957"/>
        <w:gridCol w:w="548"/>
        <w:gridCol w:w="413"/>
        <w:gridCol w:w="548"/>
        <w:gridCol w:w="6550"/>
      </w:tblGrid>
      <w:tr w:rsidR="00D65CB4" w:rsidRPr="00BC4EE7" w14:paraId="363FFDC5" w14:textId="77777777" w:rsidTr="00572307">
        <w:trPr>
          <w:trHeight w:val="309"/>
          <w:tblHeader/>
        </w:trPr>
        <w:tc>
          <w:tcPr>
            <w:tcW w:w="993" w:type="dxa"/>
            <w:tcBorders>
              <w:bottom w:val="nil"/>
            </w:tcBorders>
            <w:shd w:val="clear" w:color="auto" w:fill="C6D9F1" w:themeFill="text2" w:themeFillTint="33"/>
            <w:noWrap/>
            <w:vAlign w:val="center"/>
          </w:tcPr>
          <w:p w14:paraId="6C51660B" w14:textId="77777777" w:rsidR="00D65CB4" w:rsidRPr="00BC4EE7" w:rsidRDefault="00572307">
            <w:pPr>
              <w:pStyle w:val="P68B1DB1-Normal8"/>
              <w:spacing w:after="0"/>
              <w:jc w:val="center"/>
              <w:rPr>
                <w:rFonts w:cs="Times New Roman"/>
                <w:noProof/>
              </w:rPr>
            </w:pPr>
            <w:r w:rsidRPr="00BC4EE7">
              <w:rPr>
                <w:rFonts w:cs="Times New Roman"/>
                <w:noProof/>
              </w:rPr>
              <w:t>Szám</w:t>
            </w:r>
          </w:p>
        </w:tc>
        <w:tc>
          <w:tcPr>
            <w:tcW w:w="941" w:type="dxa"/>
            <w:tcBorders>
              <w:bottom w:val="nil"/>
            </w:tcBorders>
            <w:shd w:val="clear" w:color="auto" w:fill="C6D9F1" w:themeFill="text2" w:themeFillTint="33"/>
            <w:noWrap/>
            <w:vAlign w:val="center"/>
          </w:tcPr>
          <w:p w14:paraId="09C493AF" w14:textId="77777777" w:rsidR="00D65CB4" w:rsidRPr="00BC4EE7" w:rsidRDefault="00572307">
            <w:pPr>
              <w:pStyle w:val="P68B1DB1-Normal8"/>
              <w:spacing w:after="0"/>
              <w:jc w:val="center"/>
              <w:rPr>
                <w:rFonts w:cs="Times New Roman"/>
                <w:noProof/>
              </w:rPr>
            </w:pPr>
            <w:r w:rsidRPr="00BC4EE7">
              <w:rPr>
                <w:rFonts w:cs="Times New Roman"/>
                <w:noProof/>
              </w:rPr>
              <w:t>Intézkedés</w:t>
            </w:r>
          </w:p>
        </w:tc>
        <w:tc>
          <w:tcPr>
            <w:tcW w:w="901" w:type="dxa"/>
            <w:tcBorders>
              <w:bottom w:val="nil"/>
            </w:tcBorders>
            <w:shd w:val="clear" w:color="auto" w:fill="C6D9F1" w:themeFill="text2" w:themeFillTint="33"/>
            <w:noWrap/>
            <w:vAlign w:val="center"/>
          </w:tcPr>
          <w:p w14:paraId="55625267" w14:textId="77777777" w:rsidR="00D65CB4" w:rsidRPr="00BC4EE7" w:rsidRDefault="00572307">
            <w:pPr>
              <w:spacing w:after="0"/>
              <w:jc w:val="center"/>
              <w:rPr>
                <w:rFonts w:ascii="Times New Roman" w:hAnsi="Times New Roman" w:cs="Times New Roman"/>
                <w:b/>
                <w:noProof/>
                <w:sz w:val="18"/>
              </w:rPr>
            </w:pPr>
            <w:r w:rsidRPr="00BC4EE7">
              <w:rPr>
                <w:rFonts w:ascii="Times New Roman" w:hAnsi="Times New Roman" w:cs="Times New Roman"/>
                <w:b/>
                <w:noProof/>
                <w:sz w:val="18"/>
              </w:rPr>
              <w:t>Mérföldkő</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b/>
                <w:noProof/>
                <w:sz w:val="18"/>
              </w:rPr>
              <w:t xml:space="preserve"> /Cél</w:t>
            </w:r>
          </w:p>
        </w:tc>
        <w:tc>
          <w:tcPr>
            <w:tcW w:w="2379" w:type="dxa"/>
            <w:tcBorders>
              <w:bottom w:val="nil"/>
            </w:tcBorders>
            <w:shd w:val="clear" w:color="auto" w:fill="C6D9F1" w:themeFill="text2" w:themeFillTint="33"/>
            <w:noWrap/>
            <w:vAlign w:val="center"/>
          </w:tcPr>
          <w:p w14:paraId="38000B3E" w14:textId="77777777" w:rsidR="00D65CB4" w:rsidRPr="00BC4EE7" w:rsidRDefault="00572307">
            <w:pPr>
              <w:pStyle w:val="P68B1DB1-Normal8"/>
              <w:spacing w:after="0"/>
              <w:jc w:val="center"/>
              <w:rPr>
                <w:rFonts w:cs="Times New Roman"/>
                <w:noProof/>
              </w:rPr>
            </w:pPr>
            <w:r w:rsidRPr="00BC4EE7">
              <w:rPr>
                <w:rFonts w:cs="Times New Roman"/>
                <w:noProof/>
              </w:rPr>
              <w:t>Név</w:t>
            </w:r>
          </w:p>
        </w:tc>
        <w:tc>
          <w:tcPr>
            <w:tcW w:w="957" w:type="dxa"/>
            <w:tcBorders>
              <w:bottom w:val="nil"/>
            </w:tcBorders>
            <w:shd w:val="clear" w:color="auto" w:fill="C6D9F1" w:themeFill="text2" w:themeFillTint="33"/>
            <w:noWrap/>
            <w:vAlign w:val="center"/>
          </w:tcPr>
          <w:p w14:paraId="74BC0A7C" w14:textId="77777777" w:rsidR="00D65CB4" w:rsidRPr="00BC4EE7" w:rsidRDefault="00572307">
            <w:pPr>
              <w:pStyle w:val="P68B1DB1-Normal8"/>
              <w:spacing w:after="0"/>
              <w:jc w:val="center"/>
              <w:rPr>
                <w:rFonts w:cs="Times New Roman"/>
                <w:noProof/>
              </w:rPr>
            </w:pPr>
            <w:r w:rsidRPr="00BC4EE7">
              <w:rPr>
                <w:rFonts w:cs="Times New Roman"/>
                <w:noProof/>
              </w:rPr>
              <w:t>A mérföldkövek minőségi mutatója</w:t>
            </w:r>
          </w:p>
        </w:tc>
        <w:tc>
          <w:tcPr>
            <w:tcW w:w="2053" w:type="dxa"/>
            <w:gridSpan w:val="3"/>
            <w:shd w:val="clear" w:color="auto" w:fill="C6D9F1" w:themeFill="text2" w:themeFillTint="33"/>
            <w:noWrap/>
            <w:vAlign w:val="center"/>
          </w:tcPr>
          <w:p w14:paraId="6CEB2364" w14:textId="77777777" w:rsidR="00D65CB4" w:rsidRPr="00BC4EE7" w:rsidRDefault="00572307">
            <w:pPr>
              <w:pStyle w:val="P68B1DB1-Normal8"/>
              <w:spacing w:after="0"/>
              <w:jc w:val="center"/>
              <w:rPr>
                <w:rFonts w:cs="Times New Roman"/>
                <w:noProof/>
              </w:rPr>
            </w:pPr>
            <w:r w:rsidRPr="00BC4EE7">
              <w:rPr>
                <w:rFonts w:cs="Times New Roman"/>
                <w:noProof/>
              </w:rPr>
              <w:t>A célérték mennyiségi mutatója</w:t>
            </w:r>
          </w:p>
        </w:tc>
        <w:tc>
          <w:tcPr>
            <w:tcW w:w="961" w:type="dxa"/>
            <w:gridSpan w:val="2"/>
            <w:shd w:val="clear" w:color="auto" w:fill="C6D9F1" w:themeFill="text2" w:themeFillTint="33"/>
            <w:noWrap/>
            <w:vAlign w:val="center"/>
          </w:tcPr>
          <w:p w14:paraId="13B9A659" w14:textId="77777777" w:rsidR="00D65CB4" w:rsidRPr="00BC4EE7" w:rsidRDefault="00572307">
            <w:pPr>
              <w:pStyle w:val="P68B1DB1-Normal8"/>
              <w:spacing w:after="0"/>
              <w:jc w:val="center"/>
              <w:rPr>
                <w:rFonts w:cs="Times New Roman"/>
                <w:noProof/>
              </w:rPr>
            </w:pPr>
            <w:r w:rsidRPr="00BC4EE7">
              <w:rPr>
                <w:rFonts w:cs="Times New Roman"/>
                <w:noProof/>
              </w:rPr>
              <w:t>Idő</w:t>
            </w:r>
          </w:p>
        </w:tc>
        <w:tc>
          <w:tcPr>
            <w:tcW w:w="6550" w:type="dxa"/>
            <w:tcBorders>
              <w:bottom w:val="nil"/>
            </w:tcBorders>
            <w:shd w:val="clear" w:color="auto" w:fill="C6D9F1" w:themeFill="text2" w:themeFillTint="33"/>
            <w:noWrap/>
            <w:vAlign w:val="center"/>
          </w:tcPr>
          <w:p w14:paraId="542F50EA" w14:textId="77777777" w:rsidR="00D65CB4" w:rsidRPr="00BC4EE7" w:rsidRDefault="00572307">
            <w:pPr>
              <w:pStyle w:val="P68B1DB1-Normal8"/>
              <w:spacing w:after="0"/>
              <w:jc w:val="center"/>
              <w:rPr>
                <w:rFonts w:cs="Times New Roman"/>
                <w:noProof/>
              </w:rPr>
            </w:pPr>
            <w:r w:rsidRPr="00BC4EE7">
              <w:rPr>
                <w:rFonts w:cs="Times New Roman"/>
                <w:noProof/>
              </w:rPr>
              <w:t>Az egyes mérföldkövek és célértékek leírása</w:t>
            </w:r>
          </w:p>
        </w:tc>
      </w:tr>
      <w:tr w:rsidR="00D65CB4" w:rsidRPr="00BC4EE7" w14:paraId="51E2E2CF" w14:textId="77777777" w:rsidTr="00572307">
        <w:trPr>
          <w:trHeight w:val="309"/>
          <w:tblHeader/>
        </w:trPr>
        <w:tc>
          <w:tcPr>
            <w:tcW w:w="993" w:type="dxa"/>
            <w:tcBorders>
              <w:top w:val="nil"/>
            </w:tcBorders>
            <w:shd w:val="clear" w:color="auto" w:fill="C6D9F1" w:themeFill="text2" w:themeFillTint="33"/>
            <w:noWrap/>
          </w:tcPr>
          <w:p w14:paraId="4FF74376" w14:textId="77777777" w:rsidR="00D65CB4" w:rsidRPr="00BC4EE7" w:rsidRDefault="00D65CB4">
            <w:pPr>
              <w:spacing w:after="0"/>
              <w:jc w:val="center"/>
              <w:rPr>
                <w:rFonts w:ascii="Times New Roman" w:hAnsi="Times New Roman" w:cs="Times New Roman"/>
                <w:b/>
                <w:noProof/>
                <w:sz w:val="18"/>
              </w:rPr>
            </w:pPr>
          </w:p>
        </w:tc>
        <w:tc>
          <w:tcPr>
            <w:tcW w:w="941" w:type="dxa"/>
            <w:tcBorders>
              <w:top w:val="nil"/>
            </w:tcBorders>
            <w:shd w:val="clear" w:color="auto" w:fill="C6D9F1" w:themeFill="text2" w:themeFillTint="33"/>
            <w:noWrap/>
          </w:tcPr>
          <w:p w14:paraId="5BE3D7FD" w14:textId="77777777" w:rsidR="00D65CB4" w:rsidRPr="00BC4EE7" w:rsidRDefault="00D65CB4">
            <w:pPr>
              <w:spacing w:after="0"/>
              <w:jc w:val="center"/>
              <w:rPr>
                <w:rFonts w:ascii="Times New Roman" w:hAnsi="Times New Roman" w:cs="Times New Roman"/>
                <w:b/>
                <w:noProof/>
                <w:sz w:val="18"/>
              </w:rPr>
            </w:pPr>
          </w:p>
        </w:tc>
        <w:tc>
          <w:tcPr>
            <w:tcW w:w="901" w:type="dxa"/>
            <w:tcBorders>
              <w:top w:val="nil"/>
            </w:tcBorders>
            <w:shd w:val="clear" w:color="auto" w:fill="C6D9F1" w:themeFill="text2" w:themeFillTint="33"/>
            <w:noWrap/>
          </w:tcPr>
          <w:p w14:paraId="4EE1E1BF" w14:textId="77777777" w:rsidR="00D65CB4" w:rsidRPr="00BC4EE7" w:rsidRDefault="00D65CB4">
            <w:pPr>
              <w:spacing w:after="0"/>
              <w:jc w:val="center"/>
              <w:rPr>
                <w:rFonts w:ascii="Times New Roman" w:hAnsi="Times New Roman" w:cs="Times New Roman"/>
                <w:b/>
                <w:noProof/>
                <w:sz w:val="18"/>
              </w:rPr>
            </w:pPr>
          </w:p>
        </w:tc>
        <w:tc>
          <w:tcPr>
            <w:tcW w:w="2379" w:type="dxa"/>
            <w:tcBorders>
              <w:top w:val="nil"/>
            </w:tcBorders>
            <w:shd w:val="clear" w:color="auto" w:fill="C6D9F1" w:themeFill="text2" w:themeFillTint="33"/>
            <w:noWrap/>
          </w:tcPr>
          <w:p w14:paraId="4A9E3840" w14:textId="77777777" w:rsidR="00D65CB4" w:rsidRPr="00BC4EE7" w:rsidRDefault="00D65CB4">
            <w:pPr>
              <w:spacing w:after="0"/>
              <w:rPr>
                <w:rFonts w:ascii="Times New Roman" w:hAnsi="Times New Roman" w:cs="Times New Roman"/>
                <w:b/>
                <w:noProof/>
                <w:sz w:val="18"/>
              </w:rPr>
            </w:pPr>
          </w:p>
        </w:tc>
        <w:tc>
          <w:tcPr>
            <w:tcW w:w="957" w:type="dxa"/>
            <w:tcBorders>
              <w:top w:val="nil"/>
            </w:tcBorders>
            <w:shd w:val="clear" w:color="auto" w:fill="C6D9F1" w:themeFill="text2" w:themeFillTint="33"/>
            <w:noWrap/>
          </w:tcPr>
          <w:p w14:paraId="32E0BD40" w14:textId="77777777" w:rsidR="00D65CB4" w:rsidRPr="00BC4EE7" w:rsidRDefault="00D65CB4">
            <w:pPr>
              <w:spacing w:after="0"/>
              <w:jc w:val="center"/>
              <w:rPr>
                <w:rFonts w:ascii="Times New Roman" w:hAnsi="Times New Roman" w:cs="Times New Roman"/>
                <w:b/>
                <w:noProof/>
                <w:sz w:val="18"/>
              </w:rPr>
            </w:pPr>
          </w:p>
        </w:tc>
        <w:tc>
          <w:tcPr>
            <w:tcW w:w="548" w:type="dxa"/>
            <w:shd w:val="clear" w:color="auto" w:fill="C6D9F1" w:themeFill="text2" w:themeFillTint="33"/>
            <w:noWrap/>
          </w:tcPr>
          <w:p w14:paraId="72C91D75" w14:textId="77777777" w:rsidR="00D65CB4" w:rsidRPr="00BC4EE7" w:rsidRDefault="00572307">
            <w:pPr>
              <w:pStyle w:val="P68B1DB1-Normal8"/>
              <w:spacing w:after="0"/>
              <w:jc w:val="center"/>
              <w:rPr>
                <w:rFonts w:cs="Times New Roman"/>
                <w:noProof/>
              </w:rPr>
            </w:pPr>
            <w:r w:rsidRPr="00BC4EE7">
              <w:rPr>
                <w:rFonts w:cs="Times New Roman"/>
                <w:noProof/>
              </w:rPr>
              <w:t>Egység</w:t>
            </w:r>
          </w:p>
        </w:tc>
        <w:tc>
          <w:tcPr>
            <w:tcW w:w="957" w:type="dxa"/>
            <w:shd w:val="clear" w:color="auto" w:fill="C6D9F1" w:themeFill="text2" w:themeFillTint="33"/>
            <w:noWrap/>
          </w:tcPr>
          <w:p w14:paraId="287C1036" w14:textId="45603448" w:rsidR="00D65CB4" w:rsidRPr="00BC4EE7" w:rsidRDefault="00572307">
            <w:pPr>
              <w:pStyle w:val="P68B1DB1-Normal8"/>
              <w:spacing w:after="0"/>
              <w:jc w:val="center"/>
              <w:rPr>
                <w:rFonts w:cs="Times New Roman"/>
                <w:noProof/>
              </w:rPr>
            </w:pPr>
            <w:r w:rsidRPr="00BC4EE7">
              <w:rPr>
                <w:rFonts w:cs="Times New Roman"/>
                <w:noProof/>
              </w:rPr>
              <w:t>Kiindulási</w:t>
            </w:r>
          </w:p>
        </w:tc>
        <w:tc>
          <w:tcPr>
            <w:tcW w:w="548" w:type="dxa"/>
            <w:shd w:val="clear" w:color="auto" w:fill="C6D9F1" w:themeFill="text2" w:themeFillTint="33"/>
            <w:noWrap/>
          </w:tcPr>
          <w:p w14:paraId="3A86A116" w14:textId="77777777" w:rsidR="00D65CB4" w:rsidRPr="00BC4EE7" w:rsidRDefault="00572307">
            <w:pPr>
              <w:pStyle w:val="P68B1DB1-Normal8"/>
              <w:spacing w:after="0"/>
              <w:jc w:val="center"/>
              <w:rPr>
                <w:rFonts w:cs="Times New Roman"/>
                <w:noProof/>
              </w:rPr>
            </w:pPr>
            <w:r w:rsidRPr="00BC4EE7">
              <w:rPr>
                <w:rFonts w:cs="Times New Roman"/>
                <w:noProof/>
              </w:rPr>
              <w:t>Cél</w:t>
            </w:r>
          </w:p>
        </w:tc>
        <w:tc>
          <w:tcPr>
            <w:tcW w:w="413" w:type="dxa"/>
            <w:shd w:val="clear" w:color="auto" w:fill="C6D9F1" w:themeFill="text2" w:themeFillTint="33"/>
            <w:noWrap/>
          </w:tcPr>
          <w:p w14:paraId="59DEAF0B" w14:textId="77777777" w:rsidR="00D65CB4" w:rsidRPr="00BC4EE7" w:rsidRDefault="00572307">
            <w:pPr>
              <w:pStyle w:val="P68B1DB1-Normal8"/>
              <w:spacing w:after="0"/>
              <w:jc w:val="center"/>
              <w:rPr>
                <w:rFonts w:cs="Times New Roman"/>
                <w:noProof/>
              </w:rPr>
            </w:pPr>
            <w:r w:rsidRPr="00BC4EE7">
              <w:rPr>
                <w:rFonts w:cs="Times New Roman"/>
                <w:noProof/>
              </w:rPr>
              <w:t>Q</w:t>
            </w:r>
          </w:p>
        </w:tc>
        <w:tc>
          <w:tcPr>
            <w:tcW w:w="548" w:type="dxa"/>
            <w:shd w:val="clear" w:color="auto" w:fill="C6D9F1" w:themeFill="text2" w:themeFillTint="33"/>
            <w:noWrap/>
          </w:tcPr>
          <w:p w14:paraId="4EEE21F8" w14:textId="77777777" w:rsidR="00D65CB4" w:rsidRPr="00BC4EE7" w:rsidRDefault="00572307">
            <w:pPr>
              <w:pStyle w:val="P68B1DB1-Normal8"/>
              <w:spacing w:after="0"/>
              <w:jc w:val="center"/>
              <w:rPr>
                <w:rFonts w:cs="Times New Roman"/>
                <w:noProof/>
              </w:rPr>
            </w:pPr>
            <w:r w:rsidRPr="00BC4EE7">
              <w:rPr>
                <w:rFonts w:cs="Times New Roman"/>
                <w:noProof/>
              </w:rPr>
              <w:t>Éve</w:t>
            </w:r>
          </w:p>
        </w:tc>
        <w:tc>
          <w:tcPr>
            <w:tcW w:w="6550" w:type="dxa"/>
            <w:tcBorders>
              <w:top w:val="nil"/>
            </w:tcBorders>
            <w:shd w:val="clear" w:color="auto" w:fill="C6D9F1" w:themeFill="text2" w:themeFillTint="33"/>
            <w:noWrap/>
          </w:tcPr>
          <w:p w14:paraId="209A134B" w14:textId="77777777" w:rsidR="00D65CB4" w:rsidRPr="00BC4EE7" w:rsidRDefault="00D65CB4">
            <w:pPr>
              <w:spacing w:after="0"/>
              <w:rPr>
                <w:rFonts w:ascii="Times New Roman" w:hAnsi="Times New Roman" w:cs="Times New Roman"/>
                <w:b/>
                <w:noProof/>
                <w:sz w:val="18"/>
              </w:rPr>
            </w:pPr>
          </w:p>
        </w:tc>
      </w:tr>
      <w:tr w:rsidR="00D65CB4" w:rsidRPr="00BC4EE7" w14:paraId="2DB6F3D3" w14:textId="77777777" w:rsidTr="00572307">
        <w:trPr>
          <w:trHeight w:val="309"/>
        </w:trPr>
        <w:tc>
          <w:tcPr>
            <w:tcW w:w="993" w:type="dxa"/>
            <w:shd w:val="clear" w:color="auto" w:fill="C6EFCE"/>
            <w:noWrap/>
          </w:tcPr>
          <w:p w14:paraId="082412BE"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406</w:t>
            </w:r>
          </w:p>
        </w:tc>
        <w:tc>
          <w:tcPr>
            <w:tcW w:w="941" w:type="dxa"/>
            <w:shd w:val="clear" w:color="auto" w:fill="C6EFCE"/>
            <w:noWrap/>
          </w:tcPr>
          <w:p w14:paraId="6AEFB9F2"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C30.R1</w:t>
            </w:r>
          </w:p>
        </w:tc>
        <w:tc>
          <w:tcPr>
            <w:tcW w:w="901" w:type="dxa"/>
            <w:shd w:val="clear" w:color="auto" w:fill="C6EFCE"/>
            <w:noWrap/>
          </w:tcPr>
          <w:p w14:paraId="09BD583A"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2379" w:type="dxa"/>
            <w:shd w:val="clear" w:color="auto" w:fill="C6EFCE"/>
            <w:noWrap/>
          </w:tcPr>
          <w:p w14:paraId="3FEE5E58" w14:textId="77777777" w:rsidR="00D65CB4" w:rsidRPr="00BC4EE7" w:rsidRDefault="00572307">
            <w:pPr>
              <w:pStyle w:val="P68B1DB1-Normal12"/>
              <w:spacing w:after="0"/>
              <w:rPr>
                <w:rFonts w:eastAsia="Times New Roman" w:cs="Times New Roman"/>
                <w:noProof/>
              </w:rPr>
            </w:pPr>
            <w:r w:rsidRPr="00BC4EE7">
              <w:rPr>
                <w:rFonts w:cs="Times New Roman"/>
                <w:noProof/>
              </w:rPr>
              <w:t>A szociális biztonság finanszírozásának szétválasztása</w:t>
            </w:r>
          </w:p>
        </w:tc>
        <w:tc>
          <w:tcPr>
            <w:tcW w:w="957" w:type="dxa"/>
            <w:shd w:val="clear" w:color="auto" w:fill="C6EFCE"/>
            <w:noWrap/>
          </w:tcPr>
          <w:p w14:paraId="36A6356E"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A hatálybalépést feltüntető törvényi rendelkezés </w:t>
            </w:r>
          </w:p>
        </w:tc>
        <w:tc>
          <w:tcPr>
            <w:tcW w:w="548" w:type="dxa"/>
            <w:shd w:val="clear" w:color="auto" w:fill="C6EFCE"/>
            <w:noWrap/>
          </w:tcPr>
          <w:p w14:paraId="215C802C"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 </w:t>
            </w:r>
          </w:p>
        </w:tc>
        <w:tc>
          <w:tcPr>
            <w:tcW w:w="957" w:type="dxa"/>
            <w:shd w:val="clear" w:color="auto" w:fill="C6EFCE"/>
            <w:noWrap/>
          </w:tcPr>
          <w:p w14:paraId="74ADEF33"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548" w:type="dxa"/>
            <w:shd w:val="clear" w:color="auto" w:fill="C6EFCE"/>
            <w:noWrap/>
          </w:tcPr>
          <w:p w14:paraId="4FBE61DA"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413" w:type="dxa"/>
            <w:shd w:val="clear" w:color="auto" w:fill="C6EFCE"/>
            <w:noWrap/>
          </w:tcPr>
          <w:p w14:paraId="55BCB871"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Q4</w:t>
            </w:r>
          </w:p>
        </w:tc>
        <w:tc>
          <w:tcPr>
            <w:tcW w:w="548" w:type="dxa"/>
            <w:shd w:val="clear" w:color="auto" w:fill="C6EFCE"/>
            <w:noWrap/>
          </w:tcPr>
          <w:p w14:paraId="43FCB57F"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2020</w:t>
            </w:r>
          </w:p>
        </w:tc>
        <w:tc>
          <w:tcPr>
            <w:tcW w:w="6550" w:type="dxa"/>
            <w:shd w:val="clear" w:color="auto" w:fill="C6EFCE"/>
            <w:noWrap/>
          </w:tcPr>
          <w:p w14:paraId="50CB98EF" w14:textId="77777777" w:rsidR="00D65CB4" w:rsidRPr="00BC4EE7" w:rsidRDefault="00572307">
            <w:pPr>
              <w:pStyle w:val="P68B1DB1-Normal12"/>
              <w:spacing w:after="0"/>
              <w:rPr>
                <w:rFonts w:eastAsia="Times New Roman" w:cs="Times New Roman"/>
                <w:noProof/>
              </w:rPr>
            </w:pPr>
            <w:r w:rsidRPr="00BC4EE7">
              <w:rPr>
                <w:rFonts w:cs="Times New Roman"/>
                <w:noProof/>
              </w:rPr>
              <w:t>A 2021. évi általános állami költségvetésről szóló 11/2020. sz. törvény hatálybalépése a szociális biztonság finanszírozási forrásainak szétválasztásáról. Az állam évente a nem járulékalapú kiadási tételeknek megfelelő összeget utal át a társadalombiztosítási rendszerbe. Ez lehetővé teszi a szociális biztonsági hiány csökkentését és annak a központi közigazgatásba való átvitelét, amely rendelkezik a megfelelő eszközökkel annak kezelésére. Eloszlatja továbbá a rendszer fizetőképességével kapcsolatos kétségeket, javítva a közép- és hosszú távú kihívások kezelésének feltételeit. A 2021. évi állami költségvetési törvény az ebbe az irányba tett első és jelentős lépést irányoz elő.</w:t>
            </w:r>
          </w:p>
        </w:tc>
      </w:tr>
      <w:tr w:rsidR="00D65CB4" w:rsidRPr="00BC4EE7" w14:paraId="16C2201F" w14:textId="77777777" w:rsidTr="00572307">
        <w:trPr>
          <w:trHeight w:val="309"/>
        </w:trPr>
        <w:tc>
          <w:tcPr>
            <w:tcW w:w="993" w:type="dxa"/>
            <w:shd w:val="clear" w:color="auto" w:fill="C6EFCE"/>
            <w:noWrap/>
          </w:tcPr>
          <w:p w14:paraId="5EB4A7D0"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407</w:t>
            </w:r>
          </w:p>
        </w:tc>
        <w:tc>
          <w:tcPr>
            <w:tcW w:w="941" w:type="dxa"/>
            <w:shd w:val="clear" w:color="auto" w:fill="C6EFCE"/>
            <w:noWrap/>
          </w:tcPr>
          <w:p w14:paraId="5396BF50"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C30.R2</w:t>
            </w:r>
          </w:p>
        </w:tc>
        <w:tc>
          <w:tcPr>
            <w:tcW w:w="901" w:type="dxa"/>
            <w:shd w:val="clear" w:color="auto" w:fill="C6EFCE"/>
            <w:noWrap/>
          </w:tcPr>
          <w:p w14:paraId="5936375A"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2379" w:type="dxa"/>
            <w:shd w:val="clear" w:color="auto" w:fill="C6EFCE"/>
            <w:noWrap/>
          </w:tcPr>
          <w:p w14:paraId="0FF668FD" w14:textId="77777777" w:rsidR="00D65CB4" w:rsidRPr="00BC4EE7" w:rsidRDefault="00572307">
            <w:pPr>
              <w:pStyle w:val="P68B1DB1-Normal12"/>
              <w:spacing w:after="0"/>
              <w:rPr>
                <w:rFonts w:eastAsia="Times New Roman" w:cs="Times New Roman"/>
                <w:noProof/>
              </w:rPr>
            </w:pPr>
            <w:r w:rsidRPr="00BC4EE7">
              <w:rPr>
                <w:rFonts w:cs="Times New Roman"/>
                <w:noProof/>
              </w:rPr>
              <w:t>A nyugdíjak vásárlóerejének fenntartása, valamint a tényleges nyugdíjkorhatár és a törvényes nyugdíjkorhatár összehangolása</w:t>
            </w:r>
          </w:p>
        </w:tc>
        <w:tc>
          <w:tcPr>
            <w:tcW w:w="957" w:type="dxa"/>
            <w:shd w:val="clear" w:color="auto" w:fill="C6EFCE"/>
            <w:noWrap/>
          </w:tcPr>
          <w:p w14:paraId="7B267DF6"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A hatálybalépést feltüntető jogszabályi rendelkezés </w:t>
            </w:r>
          </w:p>
        </w:tc>
        <w:tc>
          <w:tcPr>
            <w:tcW w:w="548" w:type="dxa"/>
            <w:shd w:val="clear" w:color="auto" w:fill="C6EFCE"/>
            <w:noWrap/>
          </w:tcPr>
          <w:p w14:paraId="0EBB2E39"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 </w:t>
            </w:r>
          </w:p>
        </w:tc>
        <w:tc>
          <w:tcPr>
            <w:tcW w:w="957" w:type="dxa"/>
            <w:shd w:val="clear" w:color="auto" w:fill="C6EFCE"/>
            <w:noWrap/>
          </w:tcPr>
          <w:p w14:paraId="3DE8EAE4"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548" w:type="dxa"/>
            <w:shd w:val="clear" w:color="auto" w:fill="C6EFCE"/>
            <w:noWrap/>
          </w:tcPr>
          <w:p w14:paraId="2B8810C9"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413" w:type="dxa"/>
            <w:shd w:val="clear" w:color="auto" w:fill="C6EFCE"/>
            <w:noWrap/>
          </w:tcPr>
          <w:p w14:paraId="1DF8AE56"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Q4</w:t>
            </w:r>
          </w:p>
        </w:tc>
        <w:tc>
          <w:tcPr>
            <w:tcW w:w="548" w:type="dxa"/>
            <w:shd w:val="clear" w:color="auto" w:fill="C6EFCE"/>
            <w:noWrap/>
          </w:tcPr>
          <w:p w14:paraId="6844DF5F"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2021</w:t>
            </w:r>
          </w:p>
        </w:tc>
        <w:tc>
          <w:tcPr>
            <w:tcW w:w="6550" w:type="dxa"/>
            <w:shd w:val="clear" w:color="auto" w:fill="C6EFCE"/>
            <w:noWrap/>
          </w:tcPr>
          <w:p w14:paraId="353A4050" w14:textId="77777777" w:rsidR="00D65CB4" w:rsidRPr="00BC4EE7" w:rsidRDefault="00572307">
            <w:pPr>
              <w:spacing w:after="0"/>
              <w:rPr>
                <w:rFonts w:ascii="Times New Roman" w:eastAsia="Times New Roman" w:hAnsi="Times New Roman" w:cs="Times New Roman"/>
                <w:noProof/>
                <w:sz w:val="18"/>
              </w:rPr>
            </w:pPr>
            <w:r w:rsidRPr="00BC4EE7">
              <w:rPr>
                <w:rFonts w:ascii="Times New Roman" w:hAnsi="Times New Roman" w:cs="Times New Roman"/>
                <w:noProof/>
                <w:sz w:val="18"/>
              </w:rPr>
              <w:t>A Hivatalos Lapban közzétett, az alábbi célokat szolgáló jogszabályok hatálybalépése:</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 xml:space="preserve">a nyugdíjak vásárlóerejének fenntartása: új átértékelési mechanizmust fognak kidolgozni, amely összekapcsolja a nyugdíjakat az inflációval annak biztosítása érdekében, hogy a nyugdíjasok vásárlóereje állandó módon garantált legyen. </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noProof/>
                <w:sz w:val="18"/>
              </w:rPr>
              <w:t>a tényleges nyugdíjkorhatár és a törvényes nyugdíjkorhatár összehangolása: ösztönzők biztosítása a nyugdíjba vonulás késleltetéséhez, beleértve a fokozott gazdasági ösztönzőket, valamint a munka és a nyugdíj összeegyeztetésének előmozdítását annak érdekében, hogy a törvényes nyugdíjkorhatárhoz közeli életkorban növekedjen a munkaerőpiaci részvétel, és elhalasszák a nyugdíjba vonulást.</w:t>
            </w:r>
          </w:p>
        </w:tc>
      </w:tr>
      <w:tr w:rsidR="00D65CB4" w:rsidRPr="00BC4EE7" w14:paraId="76FB77AA" w14:textId="77777777" w:rsidTr="00572307">
        <w:trPr>
          <w:trHeight w:val="309"/>
        </w:trPr>
        <w:tc>
          <w:tcPr>
            <w:tcW w:w="993" w:type="dxa"/>
            <w:shd w:val="clear" w:color="auto" w:fill="C6EFCE"/>
            <w:noWrap/>
          </w:tcPr>
          <w:p w14:paraId="3056FDAF"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408</w:t>
            </w:r>
          </w:p>
        </w:tc>
        <w:tc>
          <w:tcPr>
            <w:tcW w:w="941" w:type="dxa"/>
            <w:shd w:val="clear" w:color="auto" w:fill="C6EFCE"/>
            <w:noWrap/>
          </w:tcPr>
          <w:p w14:paraId="144EF3CD"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C30.R2</w:t>
            </w:r>
          </w:p>
        </w:tc>
        <w:tc>
          <w:tcPr>
            <w:tcW w:w="901" w:type="dxa"/>
            <w:shd w:val="clear" w:color="auto" w:fill="C6EFCE"/>
            <w:noWrap/>
          </w:tcPr>
          <w:p w14:paraId="33EBAF0E"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2379" w:type="dxa"/>
            <w:shd w:val="clear" w:color="auto" w:fill="C6EFCE"/>
            <w:noWrap/>
          </w:tcPr>
          <w:p w14:paraId="73A76CAC" w14:textId="77777777" w:rsidR="00D65CB4" w:rsidRPr="00BC4EE7" w:rsidRDefault="00572307">
            <w:pPr>
              <w:pStyle w:val="P68B1DB1-Normal12"/>
              <w:spacing w:after="0"/>
              <w:rPr>
                <w:rFonts w:eastAsia="Times New Roman" w:cs="Times New Roman"/>
                <w:noProof/>
              </w:rPr>
            </w:pPr>
            <w:r w:rsidRPr="00BC4EE7">
              <w:rPr>
                <w:rFonts w:cs="Times New Roman"/>
                <w:noProof/>
              </w:rPr>
              <w:t xml:space="preserve">A számítási időszak kiigazítása az öregségi nyugdíj kiszámításához </w:t>
            </w:r>
          </w:p>
        </w:tc>
        <w:tc>
          <w:tcPr>
            <w:tcW w:w="957" w:type="dxa"/>
            <w:shd w:val="clear" w:color="auto" w:fill="C6EFCE"/>
            <w:noWrap/>
          </w:tcPr>
          <w:p w14:paraId="7900F259"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A hatálybalépést feltüntető jogszabályi rendelkezés </w:t>
            </w:r>
          </w:p>
        </w:tc>
        <w:tc>
          <w:tcPr>
            <w:tcW w:w="548" w:type="dxa"/>
            <w:shd w:val="clear" w:color="auto" w:fill="C6EFCE"/>
            <w:noWrap/>
          </w:tcPr>
          <w:p w14:paraId="345E47E1"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 </w:t>
            </w:r>
          </w:p>
        </w:tc>
        <w:tc>
          <w:tcPr>
            <w:tcW w:w="957" w:type="dxa"/>
            <w:shd w:val="clear" w:color="auto" w:fill="C6EFCE"/>
            <w:noWrap/>
          </w:tcPr>
          <w:p w14:paraId="1FF84CD8"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548" w:type="dxa"/>
            <w:shd w:val="clear" w:color="auto" w:fill="C6EFCE"/>
            <w:noWrap/>
          </w:tcPr>
          <w:p w14:paraId="13A8C699"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413" w:type="dxa"/>
            <w:shd w:val="clear" w:color="auto" w:fill="C6EFCE"/>
            <w:noWrap/>
          </w:tcPr>
          <w:p w14:paraId="4CD7A40A"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Q4</w:t>
            </w:r>
          </w:p>
        </w:tc>
        <w:tc>
          <w:tcPr>
            <w:tcW w:w="548" w:type="dxa"/>
            <w:shd w:val="clear" w:color="auto" w:fill="C6EFCE"/>
            <w:noWrap/>
          </w:tcPr>
          <w:p w14:paraId="07BCDFEA"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2022</w:t>
            </w:r>
          </w:p>
        </w:tc>
        <w:tc>
          <w:tcPr>
            <w:tcW w:w="6550" w:type="dxa"/>
            <w:shd w:val="clear" w:color="auto" w:fill="C6EFCE"/>
            <w:noWrap/>
          </w:tcPr>
          <w:p w14:paraId="73E6C409" w14:textId="77777777" w:rsidR="00D65CB4" w:rsidRPr="00BC4EE7" w:rsidRDefault="00572307">
            <w:pPr>
              <w:pStyle w:val="P68B1DB1-Normal12"/>
              <w:spacing w:after="0"/>
              <w:rPr>
                <w:rFonts w:eastAsia="Times New Roman" w:cs="Times New Roman"/>
                <w:noProof/>
              </w:rPr>
            </w:pPr>
            <w:r w:rsidRPr="00BC4EE7">
              <w:rPr>
                <w:rFonts w:cs="Times New Roman"/>
                <w:noProof/>
              </w:rPr>
              <w:t xml:space="preserve">A számítási időszak kiigazítására vonatkozó jogszabályok hatálybalépése, meghosszabbítva az öregségi nyugdíj kiszámításához szükséges számítási időszakot. </w:t>
            </w:r>
          </w:p>
        </w:tc>
      </w:tr>
      <w:tr w:rsidR="00D65CB4" w:rsidRPr="00BC4EE7" w14:paraId="3CDCC6A4" w14:textId="77777777" w:rsidTr="00572307">
        <w:trPr>
          <w:trHeight w:val="309"/>
        </w:trPr>
        <w:tc>
          <w:tcPr>
            <w:tcW w:w="993" w:type="dxa"/>
            <w:shd w:val="clear" w:color="auto" w:fill="C6EFCE"/>
            <w:noWrap/>
          </w:tcPr>
          <w:p w14:paraId="282AB244"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409</w:t>
            </w:r>
          </w:p>
        </w:tc>
        <w:tc>
          <w:tcPr>
            <w:tcW w:w="941" w:type="dxa"/>
            <w:shd w:val="clear" w:color="auto" w:fill="C6EFCE"/>
            <w:noWrap/>
          </w:tcPr>
          <w:p w14:paraId="090597C6"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C30.R2</w:t>
            </w:r>
          </w:p>
        </w:tc>
        <w:tc>
          <w:tcPr>
            <w:tcW w:w="901" w:type="dxa"/>
            <w:shd w:val="clear" w:color="auto" w:fill="C6EFCE"/>
            <w:noWrap/>
          </w:tcPr>
          <w:p w14:paraId="369C3BD4"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2379" w:type="dxa"/>
            <w:shd w:val="clear" w:color="auto" w:fill="C6EFCE"/>
            <w:noWrap/>
          </w:tcPr>
          <w:p w14:paraId="22B016FF" w14:textId="77777777" w:rsidR="00D65CB4" w:rsidRPr="00BC4EE7" w:rsidRDefault="00572307">
            <w:pPr>
              <w:pStyle w:val="P68B1DB1-Normal12"/>
              <w:spacing w:after="0"/>
              <w:rPr>
                <w:rFonts w:eastAsia="Times New Roman" w:cs="Times New Roman"/>
                <w:noProof/>
              </w:rPr>
            </w:pPr>
            <w:r w:rsidRPr="00BC4EE7">
              <w:rPr>
                <w:rFonts w:cs="Times New Roman"/>
                <w:noProof/>
              </w:rPr>
              <w:t>A fenntarthatósági tényező generációk közötti tőkemechanizmussal való felváltása</w:t>
            </w:r>
          </w:p>
        </w:tc>
        <w:tc>
          <w:tcPr>
            <w:tcW w:w="957" w:type="dxa"/>
            <w:shd w:val="clear" w:color="auto" w:fill="C6EFCE"/>
            <w:noWrap/>
          </w:tcPr>
          <w:p w14:paraId="586F0C74"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A hatálybalépést feltüntető jogszabályi rendelkezés</w:t>
            </w:r>
          </w:p>
        </w:tc>
        <w:tc>
          <w:tcPr>
            <w:tcW w:w="548" w:type="dxa"/>
            <w:shd w:val="clear" w:color="auto" w:fill="C6EFCE"/>
            <w:noWrap/>
          </w:tcPr>
          <w:p w14:paraId="373D937C"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 </w:t>
            </w:r>
          </w:p>
        </w:tc>
        <w:tc>
          <w:tcPr>
            <w:tcW w:w="957" w:type="dxa"/>
            <w:shd w:val="clear" w:color="auto" w:fill="C6EFCE"/>
            <w:noWrap/>
          </w:tcPr>
          <w:p w14:paraId="504FD19D"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548" w:type="dxa"/>
            <w:shd w:val="clear" w:color="auto" w:fill="C6EFCE"/>
            <w:noWrap/>
          </w:tcPr>
          <w:p w14:paraId="21295E83"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413" w:type="dxa"/>
            <w:shd w:val="clear" w:color="auto" w:fill="C6EFCE"/>
            <w:noWrap/>
          </w:tcPr>
          <w:p w14:paraId="4B1B7F56"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Q4</w:t>
            </w:r>
          </w:p>
        </w:tc>
        <w:tc>
          <w:tcPr>
            <w:tcW w:w="548" w:type="dxa"/>
            <w:shd w:val="clear" w:color="auto" w:fill="C6EFCE"/>
            <w:noWrap/>
          </w:tcPr>
          <w:p w14:paraId="78F0E579"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2022</w:t>
            </w:r>
          </w:p>
        </w:tc>
        <w:tc>
          <w:tcPr>
            <w:tcW w:w="6550" w:type="dxa"/>
            <w:shd w:val="clear" w:color="auto" w:fill="C6EFCE"/>
            <w:noWrap/>
          </w:tcPr>
          <w:p w14:paraId="4CA04DFD" w14:textId="77777777" w:rsidR="00D65CB4" w:rsidRPr="00BC4EE7" w:rsidRDefault="00572307">
            <w:pPr>
              <w:pStyle w:val="P68B1DB1-Normal12"/>
              <w:spacing w:after="0"/>
              <w:rPr>
                <w:rFonts w:eastAsia="Times New Roman" w:cs="Times New Roman"/>
                <w:noProof/>
              </w:rPr>
            </w:pPr>
            <w:r w:rsidRPr="00BC4EE7">
              <w:rPr>
                <w:rFonts w:cs="Times New Roman"/>
                <w:noProof/>
              </w:rPr>
              <w:t>Olyan jogszabály hatálybalépése, amely a nyugdíjakat a várható élettartamhoz kötő jelenlegi fenntarthatósági tényezőt egy olyan mechanizmussal váltja fel, amely a demográfiai változásokhoz való alkalmazkodás révén garantálja a generációk közötti méltányosságot és a költségvetés fenntarthatóságát.</w:t>
            </w:r>
          </w:p>
        </w:tc>
      </w:tr>
      <w:tr w:rsidR="00D65CB4" w:rsidRPr="00BC4EE7" w14:paraId="290F56ED" w14:textId="77777777" w:rsidTr="00572307">
        <w:trPr>
          <w:trHeight w:val="309"/>
        </w:trPr>
        <w:tc>
          <w:tcPr>
            <w:tcW w:w="993" w:type="dxa"/>
            <w:shd w:val="clear" w:color="auto" w:fill="C6EFCE"/>
            <w:noWrap/>
          </w:tcPr>
          <w:p w14:paraId="7CBD5259"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410</w:t>
            </w:r>
          </w:p>
        </w:tc>
        <w:tc>
          <w:tcPr>
            <w:tcW w:w="941" w:type="dxa"/>
            <w:shd w:val="clear" w:color="auto" w:fill="C6EFCE"/>
            <w:noWrap/>
          </w:tcPr>
          <w:p w14:paraId="060D1932"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C30.R2</w:t>
            </w:r>
          </w:p>
        </w:tc>
        <w:tc>
          <w:tcPr>
            <w:tcW w:w="901" w:type="dxa"/>
            <w:shd w:val="clear" w:color="auto" w:fill="C6EFCE"/>
            <w:noWrap/>
          </w:tcPr>
          <w:p w14:paraId="3F8C4631"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2379" w:type="dxa"/>
            <w:shd w:val="clear" w:color="auto" w:fill="C6EFCE"/>
            <w:noWrap/>
          </w:tcPr>
          <w:p w14:paraId="036D9408" w14:textId="77777777" w:rsidR="00D65CB4" w:rsidRPr="00BC4EE7" w:rsidRDefault="00572307">
            <w:pPr>
              <w:pStyle w:val="P68B1DB1-Normal12"/>
              <w:spacing w:after="0"/>
              <w:rPr>
                <w:rFonts w:eastAsia="Times New Roman" w:cs="Times New Roman"/>
                <w:noProof/>
              </w:rPr>
            </w:pPr>
            <w:r w:rsidRPr="00BC4EE7">
              <w:rPr>
                <w:rFonts w:cs="Times New Roman"/>
                <w:noProof/>
              </w:rPr>
              <w:t>Aktualizált előrejelzések, amelyek azt mutatják, hogy a 2021-ben és 2022-ben végrehajtott nyugdíjreformok hogyan biztosítják a költségvetés hosszú távú fenntarthatóságát</w:t>
            </w:r>
          </w:p>
        </w:tc>
        <w:tc>
          <w:tcPr>
            <w:tcW w:w="957" w:type="dxa"/>
            <w:shd w:val="clear" w:color="auto" w:fill="C6EFCE"/>
            <w:noWrap/>
          </w:tcPr>
          <w:p w14:paraId="1DD49C4C"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Jelentés közzététele a szociális biztonsági honlapon</w:t>
            </w:r>
          </w:p>
        </w:tc>
        <w:tc>
          <w:tcPr>
            <w:tcW w:w="548" w:type="dxa"/>
            <w:shd w:val="clear" w:color="auto" w:fill="C6EFCE"/>
            <w:noWrap/>
          </w:tcPr>
          <w:p w14:paraId="007CDB97"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 </w:t>
            </w:r>
          </w:p>
        </w:tc>
        <w:tc>
          <w:tcPr>
            <w:tcW w:w="957" w:type="dxa"/>
            <w:shd w:val="clear" w:color="auto" w:fill="C6EFCE"/>
            <w:noWrap/>
          </w:tcPr>
          <w:p w14:paraId="5100EA60"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548" w:type="dxa"/>
            <w:shd w:val="clear" w:color="auto" w:fill="C6EFCE"/>
            <w:noWrap/>
          </w:tcPr>
          <w:p w14:paraId="2B2C3966"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413" w:type="dxa"/>
            <w:shd w:val="clear" w:color="auto" w:fill="C6EFCE"/>
            <w:noWrap/>
          </w:tcPr>
          <w:p w14:paraId="5AA2B8CC"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Q4</w:t>
            </w:r>
          </w:p>
        </w:tc>
        <w:tc>
          <w:tcPr>
            <w:tcW w:w="548" w:type="dxa"/>
            <w:shd w:val="clear" w:color="auto" w:fill="C6EFCE"/>
            <w:noWrap/>
          </w:tcPr>
          <w:p w14:paraId="2F985389"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2022</w:t>
            </w:r>
          </w:p>
        </w:tc>
        <w:tc>
          <w:tcPr>
            <w:tcW w:w="6550" w:type="dxa"/>
            <w:shd w:val="clear" w:color="auto" w:fill="C6EFCE"/>
            <w:noWrap/>
          </w:tcPr>
          <w:p w14:paraId="01C9780E" w14:textId="77777777" w:rsidR="00D65CB4" w:rsidRPr="00BC4EE7" w:rsidRDefault="00572307">
            <w:pPr>
              <w:pStyle w:val="P68B1DB1-Normal12"/>
              <w:spacing w:after="0"/>
              <w:rPr>
                <w:rFonts w:eastAsia="Times New Roman" w:cs="Times New Roman"/>
                <w:noProof/>
              </w:rPr>
            </w:pPr>
            <w:r w:rsidRPr="00BC4EE7">
              <w:rPr>
                <w:rFonts w:cs="Times New Roman"/>
                <w:noProof/>
              </w:rPr>
              <w:t>Aktualizált előrejelzések közzététele, amelyek bemutatják, hogy a 2021-ben és 2022-ben végrehajtott nyugdíjreformok hogyan biztosítják a költségvetés hosszú távú fenntarthatóságát, figyelembe véve az egyéb strukturális reformok, például a munkaerőpiaci reformok hatását is.</w:t>
            </w:r>
          </w:p>
        </w:tc>
      </w:tr>
      <w:tr w:rsidR="00D65CB4" w:rsidRPr="00BC4EE7" w14:paraId="342F6CB7" w14:textId="77777777" w:rsidTr="00572307">
        <w:trPr>
          <w:trHeight w:val="309"/>
        </w:trPr>
        <w:tc>
          <w:tcPr>
            <w:tcW w:w="993" w:type="dxa"/>
            <w:shd w:val="clear" w:color="auto" w:fill="C6EFCE"/>
            <w:noWrap/>
          </w:tcPr>
          <w:p w14:paraId="4C869186"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411</w:t>
            </w:r>
          </w:p>
        </w:tc>
        <w:tc>
          <w:tcPr>
            <w:tcW w:w="941" w:type="dxa"/>
            <w:shd w:val="clear" w:color="auto" w:fill="C6EFCE"/>
            <w:noWrap/>
          </w:tcPr>
          <w:p w14:paraId="6189A0D6"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C30.R3</w:t>
            </w:r>
          </w:p>
        </w:tc>
        <w:tc>
          <w:tcPr>
            <w:tcW w:w="901" w:type="dxa"/>
            <w:shd w:val="clear" w:color="auto" w:fill="C6EFCE"/>
            <w:noWrap/>
          </w:tcPr>
          <w:p w14:paraId="77EC25CE"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2379" w:type="dxa"/>
            <w:shd w:val="clear" w:color="auto" w:fill="C6EFCE"/>
            <w:noWrap/>
          </w:tcPr>
          <w:p w14:paraId="3973378A" w14:textId="77777777" w:rsidR="00D65CB4" w:rsidRPr="00BC4EE7" w:rsidRDefault="00572307">
            <w:pPr>
              <w:pStyle w:val="P68B1DB1-Normal12"/>
              <w:spacing w:after="0"/>
              <w:rPr>
                <w:rFonts w:eastAsia="Times New Roman" w:cs="Times New Roman"/>
                <w:noProof/>
              </w:rPr>
            </w:pPr>
            <w:r w:rsidRPr="00BC4EE7">
              <w:rPr>
                <w:rFonts w:cs="Times New Roman"/>
                <w:noProof/>
              </w:rPr>
              <w:t>Az önálló vállalkozók társadalombiztosítási járulékrendszerének reformja</w:t>
            </w:r>
          </w:p>
        </w:tc>
        <w:tc>
          <w:tcPr>
            <w:tcW w:w="957" w:type="dxa"/>
            <w:shd w:val="clear" w:color="auto" w:fill="C6EFCE"/>
            <w:noWrap/>
          </w:tcPr>
          <w:p w14:paraId="14266B99"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A hatálybalépést feltüntető jogszabályi rendelkezés </w:t>
            </w:r>
          </w:p>
        </w:tc>
        <w:tc>
          <w:tcPr>
            <w:tcW w:w="548" w:type="dxa"/>
            <w:shd w:val="clear" w:color="auto" w:fill="C6EFCE"/>
            <w:noWrap/>
          </w:tcPr>
          <w:p w14:paraId="20FA847B"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 </w:t>
            </w:r>
          </w:p>
        </w:tc>
        <w:tc>
          <w:tcPr>
            <w:tcW w:w="957" w:type="dxa"/>
            <w:shd w:val="clear" w:color="auto" w:fill="C6EFCE"/>
            <w:noWrap/>
          </w:tcPr>
          <w:p w14:paraId="45B9297E"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548" w:type="dxa"/>
            <w:shd w:val="clear" w:color="auto" w:fill="C6EFCE"/>
            <w:noWrap/>
          </w:tcPr>
          <w:p w14:paraId="6B799333"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413" w:type="dxa"/>
            <w:shd w:val="clear" w:color="auto" w:fill="C6EFCE"/>
            <w:noWrap/>
          </w:tcPr>
          <w:p w14:paraId="3210EFDC"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Q2</w:t>
            </w:r>
          </w:p>
        </w:tc>
        <w:tc>
          <w:tcPr>
            <w:tcW w:w="548" w:type="dxa"/>
            <w:shd w:val="clear" w:color="auto" w:fill="C6EFCE"/>
            <w:noWrap/>
          </w:tcPr>
          <w:p w14:paraId="4ECE86CA"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2022</w:t>
            </w:r>
          </w:p>
        </w:tc>
        <w:tc>
          <w:tcPr>
            <w:tcW w:w="6550" w:type="dxa"/>
            <w:shd w:val="clear" w:color="auto" w:fill="C6EFCE"/>
            <w:noWrap/>
          </w:tcPr>
          <w:p w14:paraId="6415D23D" w14:textId="77777777" w:rsidR="00D65CB4" w:rsidRPr="00BC4EE7" w:rsidRDefault="00572307">
            <w:pPr>
              <w:pStyle w:val="P68B1DB1-Normal12"/>
              <w:spacing w:after="0"/>
              <w:rPr>
                <w:rFonts w:eastAsia="Times New Roman" w:cs="Times New Roman"/>
                <w:noProof/>
              </w:rPr>
            </w:pPr>
            <w:r w:rsidRPr="00BC4EE7">
              <w:rPr>
                <w:rFonts w:cs="Times New Roman"/>
                <w:noProof/>
              </w:rPr>
              <w:t>Az önálló vállalkozók társadalombiztosítási járulékrendszerének reformjára vonatkozó jogszabályok hatálybalépése, fokozatosan áthelyezve a járulékrendszert a reáljövedelemre.</w:t>
            </w:r>
          </w:p>
        </w:tc>
      </w:tr>
      <w:tr w:rsidR="00D65CB4" w:rsidRPr="00BC4EE7" w14:paraId="07B2E1AD" w14:textId="77777777" w:rsidTr="00572307">
        <w:trPr>
          <w:trHeight w:val="309"/>
        </w:trPr>
        <w:tc>
          <w:tcPr>
            <w:tcW w:w="993" w:type="dxa"/>
            <w:shd w:val="clear" w:color="auto" w:fill="C6EFCE"/>
            <w:noWrap/>
          </w:tcPr>
          <w:p w14:paraId="1A6A7A4E"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412</w:t>
            </w:r>
          </w:p>
        </w:tc>
        <w:tc>
          <w:tcPr>
            <w:tcW w:w="941" w:type="dxa"/>
            <w:shd w:val="clear" w:color="auto" w:fill="C6EFCE"/>
            <w:noWrap/>
          </w:tcPr>
          <w:p w14:paraId="01E2C34E"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C30.R4</w:t>
            </w:r>
          </w:p>
        </w:tc>
        <w:tc>
          <w:tcPr>
            <w:tcW w:w="901" w:type="dxa"/>
            <w:shd w:val="clear" w:color="auto" w:fill="C6EFCE"/>
            <w:noWrap/>
          </w:tcPr>
          <w:p w14:paraId="736B26F4"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2379" w:type="dxa"/>
            <w:shd w:val="clear" w:color="auto" w:fill="C6EFCE"/>
            <w:noWrap/>
          </w:tcPr>
          <w:p w14:paraId="70C25181" w14:textId="77777777" w:rsidR="00D65CB4" w:rsidRPr="00BC4EE7" w:rsidRDefault="00572307">
            <w:pPr>
              <w:pStyle w:val="P68B1DB1-Normal12"/>
              <w:spacing w:after="0"/>
              <w:rPr>
                <w:rFonts w:eastAsia="Times New Roman" w:cs="Times New Roman"/>
                <w:noProof/>
              </w:rPr>
            </w:pPr>
            <w:r w:rsidRPr="00BC4EE7">
              <w:rPr>
                <w:rFonts w:cs="Times New Roman"/>
                <w:noProof/>
              </w:rPr>
              <w:t>Az anyasági többletek észszerűsítése</w:t>
            </w:r>
          </w:p>
        </w:tc>
        <w:tc>
          <w:tcPr>
            <w:tcW w:w="957" w:type="dxa"/>
            <w:shd w:val="clear" w:color="auto" w:fill="C6EFCE"/>
            <w:noWrap/>
          </w:tcPr>
          <w:p w14:paraId="69BDC429"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Az RDL-nek a hatálybalépést feltüntető rendelkezése </w:t>
            </w:r>
          </w:p>
        </w:tc>
        <w:tc>
          <w:tcPr>
            <w:tcW w:w="548" w:type="dxa"/>
            <w:shd w:val="clear" w:color="auto" w:fill="C6EFCE"/>
            <w:noWrap/>
          </w:tcPr>
          <w:p w14:paraId="301B544D"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 </w:t>
            </w:r>
          </w:p>
        </w:tc>
        <w:tc>
          <w:tcPr>
            <w:tcW w:w="957" w:type="dxa"/>
            <w:shd w:val="clear" w:color="auto" w:fill="C6EFCE"/>
            <w:noWrap/>
          </w:tcPr>
          <w:p w14:paraId="237DEE08"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548" w:type="dxa"/>
            <w:shd w:val="clear" w:color="auto" w:fill="C6EFCE"/>
            <w:noWrap/>
          </w:tcPr>
          <w:p w14:paraId="31217D80"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413" w:type="dxa"/>
            <w:shd w:val="clear" w:color="auto" w:fill="C6EFCE"/>
            <w:noWrap/>
          </w:tcPr>
          <w:p w14:paraId="6CD8741C"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Q1</w:t>
            </w:r>
          </w:p>
        </w:tc>
        <w:tc>
          <w:tcPr>
            <w:tcW w:w="548" w:type="dxa"/>
            <w:shd w:val="clear" w:color="auto" w:fill="C6EFCE"/>
            <w:noWrap/>
          </w:tcPr>
          <w:p w14:paraId="46EB437E"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2021</w:t>
            </w:r>
          </w:p>
        </w:tc>
        <w:tc>
          <w:tcPr>
            <w:tcW w:w="6550" w:type="dxa"/>
            <w:shd w:val="clear" w:color="auto" w:fill="C6EFCE"/>
            <w:noWrap/>
          </w:tcPr>
          <w:p w14:paraId="4A891336" w14:textId="77777777" w:rsidR="00D65CB4" w:rsidRPr="00BC4EE7" w:rsidRDefault="00572307">
            <w:pPr>
              <w:pStyle w:val="P68B1DB1-Normal12"/>
              <w:spacing w:after="0"/>
              <w:rPr>
                <w:rFonts w:eastAsia="Times New Roman" w:cs="Times New Roman"/>
                <w:noProof/>
              </w:rPr>
            </w:pPr>
            <w:r w:rsidRPr="00BC4EE7">
              <w:rPr>
                <w:rFonts w:cs="Times New Roman"/>
                <w:noProof/>
              </w:rPr>
              <w:t>Az anyasági többletkövetelmények egyszerűsítéséről szóló, 2021. február 3-i 3/2021. sz. királyi törvényerejű rendelet hatálybalépése. Az Európai Bíróság 2019. december 12-i ítéletének való megfelelés érdekében a nyugdíjtöbbleteket észszerűsíteni kell, és a nemek közötti szakadék csökkentésére kell összpontosítani. Rögzített összegű fizetést kell bevezetni azon szülők esetében, akiknek a munkaviszonyát közvetlenül a leszármazást követően megváltoztatták.</w:t>
            </w:r>
          </w:p>
        </w:tc>
      </w:tr>
      <w:tr w:rsidR="00D65CB4" w:rsidRPr="00BC4EE7" w14:paraId="571DC049" w14:textId="77777777" w:rsidTr="00572307">
        <w:trPr>
          <w:trHeight w:val="309"/>
        </w:trPr>
        <w:tc>
          <w:tcPr>
            <w:tcW w:w="993" w:type="dxa"/>
            <w:shd w:val="clear" w:color="auto" w:fill="C6EFCE"/>
            <w:noWrap/>
          </w:tcPr>
          <w:p w14:paraId="74886244"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413</w:t>
            </w:r>
          </w:p>
        </w:tc>
        <w:tc>
          <w:tcPr>
            <w:tcW w:w="941" w:type="dxa"/>
            <w:shd w:val="clear" w:color="auto" w:fill="C6EFCE"/>
            <w:noWrap/>
          </w:tcPr>
          <w:p w14:paraId="2F2EC24A"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C30.R5</w:t>
            </w:r>
          </w:p>
        </w:tc>
        <w:tc>
          <w:tcPr>
            <w:tcW w:w="901" w:type="dxa"/>
            <w:shd w:val="clear" w:color="auto" w:fill="C6EFCE"/>
            <w:noWrap/>
          </w:tcPr>
          <w:p w14:paraId="2FE066D4"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2379" w:type="dxa"/>
            <w:shd w:val="clear" w:color="auto" w:fill="C6EFCE"/>
            <w:noWrap/>
          </w:tcPr>
          <w:p w14:paraId="4ED5939A" w14:textId="6CF1DE84" w:rsidR="00D65CB4" w:rsidRPr="00BC4EE7" w:rsidRDefault="00572307">
            <w:pPr>
              <w:pStyle w:val="P68B1DB1-Normal12"/>
              <w:spacing w:after="0"/>
              <w:rPr>
                <w:rFonts w:eastAsia="Times New Roman" w:cs="Times New Roman"/>
                <w:noProof/>
              </w:rPr>
            </w:pPr>
            <w:r w:rsidRPr="00BC4EE7">
              <w:rPr>
                <w:rFonts w:cs="Times New Roman"/>
                <w:noProof/>
              </w:rPr>
              <w:t>A jelenlegi kiegészítő nyugdíjrendszerhez kapcsolódó adókedvezmények felülvizsgálata</w:t>
            </w:r>
          </w:p>
        </w:tc>
        <w:tc>
          <w:tcPr>
            <w:tcW w:w="957" w:type="dxa"/>
            <w:shd w:val="clear" w:color="auto" w:fill="C6EFCE"/>
            <w:noWrap/>
          </w:tcPr>
          <w:p w14:paraId="728C6ACF"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A törvény azon rendelkezése, amely a 11. és a 62. cikk záró rendelkezésének hatálybalépését jelzi </w:t>
            </w:r>
          </w:p>
        </w:tc>
        <w:tc>
          <w:tcPr>
            <w:tcW w:w="548" w:type="dxa"/>
            <w:shd w:val="clear" w:color="auto" w:fill="C6EFCE"/>
            <w:noWrap/>
          </w:tcPr>
          <w:p w14:paraId="0FEA8EAC"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 </w:t>
            </w:r>
          </w:p>
        </w:tc>
        <w:tc>
          <w:tcPr>
            <w:tcW w:w="957" w:type="dxa"/>
            <w:shd w:val="clear" w:color="auto" w:fill="C6EFCE"/>
            <w:noWrap/>
          </w:tcPr>
          <w:p w14:paraId="34701F8C"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548" w:type="dxa"/>
            <w:shd w:val="clear" w:color="auto" w:fill="C6EFCE"/>
            <w:noWrap/>
          </w:tcPr>
          <w:p w14:paraId="4C770724"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413" w:type="dxa"/>
            <w:shd w:val="clear" w:color="auto" w:fill="C6EFCE"/>
            <w:noWrap/>
          </w:tcPr>
          <w:p w14:paraId="0D59BC49"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Q4</w:t>
            </w:r>
          </w:p>
        </w:tc>
        <w:tc>
          <w:tcPr>
            <w:tcW w:w="548" w:type="dxa"/>
            <w:shd w:val="clear" w:color="auto" w:fill="C6EFCE"/>
            <w:noWrap/>
          </w:tcPr>
          <w:p w14:paraId="4698E595"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2020</w:t>
            </w:r>
          </w:p>
        </w:tc>
        <w:tc>
          <w:tcPr>
            <w:tcW w:w="6550" w:type="dxa"/>
            <w:shd w:val="clear" w:color="auto" w:fill="C6EFCE"/>
            <w:noWrap/>
          </w:tcPr>
          <w:p w14:paraId="72AC4D48" w14:textId="77777777" w:rsidR="00D65CB4" w:rsidRPr="00BC4EE7" w:rsidRDefault="00572307">
            <w:pPr>
              <w:pStyle w:val="P68B1DB1-Normal12"/>
              <w:spacing w:after="0"/>
              <w:rPr>
                <w:rFonts w:eastAsia="Times New Roman" w:cs="Times New Roman"/>
                <w:noProof/>
              </w:rPr>
            </w:pPr>
            <w:r w:rsidRPr="00BC4EE7">
              <w:rPr>
                <w:rFonts w:cs="Times New Roman"/>
                <w:noProof/>
              </w:rPr>
              <w:t>A 2021. évi általános állami költségvetésről szóló 11/2020. sz. törvény hatálybalépése a jelenlegi kiegészítő nyugdíjrendszerhez kapcsolódó adókedvezmények felülvizsgálatáról. Az adókedvezményekhez való jog az egyéni magánnyugdíjpénztárakból átkerül a kollektív munkaszerződéseken alapuló foglalkoztatói nyugdíjrendszerekbe. A költségvetési törvénynek az új keret bevezetésére vonatkozó releváns rendelkezései a záró 11. rendelkezés és a 62. cikk.</w:t>
            </w:r>
          </w:p>
        </w:tc>
      </w:tr>
      <w:tr w:rsidR="00D65CB4" w:rsidRPr="00BC4EE7" w14:paraId="3E04544D" w14:textId="77777777" w:rsidTr="00572307">
        <w:trPr>
          <w:trHeight w:val="309"/>
        </w:trPr>
        <w:tc>
          <w:tcPr>
            <w:tcW w:w="993" w:type="dxa"/>
            <w:shd w:val="clear" w:color="auto" w:fill="C6EFCE"/>
            <w:noWrap/>
          </w:tcPr>
          <w:p w14:paraId="2B66978C"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414</w:t>
            </w:r>
          </w:p>
        </w:tc>
        <w:tc>
          <w:tcPr>
            <w:tcW w:w="941" w:type="dxa"/>
            <w:shd w:val="clear" w:color="auto" w:fill="C6EFCE"/>
            <w:noWrap/>
          </w:tcPr>
          <w:p w14:paraId="19D0A656"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C30.R5</w:t>
            </w:r>
          </w:p>
        </w:tc>
        <w:tc>
          <w:tcPr>
            <w:tcW w:w="901" w:type="dxa"/>
            <w:shd w:val="clear" w:color="auto" w:fill="C6EFCE"/>
            <w:noWrap/>
          </w:tcPr>
          <w:p w14:paraId="7489E7DD"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2379" w:type="dxa"/>
            <w:shd w:val="clear" w:color="auto" w:fill="C6EFCE"/>
            <w:noWrap/>
          </w:tcPr>
          <w:p w14:paraId="6990F315" w14:textId="77777777" w:rsidR="00D65CB4" w:rsidRPr="00BC4EE7" w:rsidRDefault="00572307">
            <w:pPr>
              <w:pStyle w:val="P68B1DB1-Normal12"/>
              <w:spacing w:after="0"/>
              <w:rPr>
                <w:rFonts w:eastAsia="Times New Roman" w:cs="Times New Roman"/>
                <w:noProof/>
              </w:rPr>
            </w:pPr>
            <w:r w:rsidRPr="00BC4EE7">
              <w:rPr>
                <w:rFonts w:cs="Times New Roman"/>
                <w:noProof/>
              </w:rPr>
              <w:t>A jelenlegi kiegészítő nyugdíjrendszer felülvizsgálata</w:t>
            </w:r>
          </w:p>
        </w:tc>
        <w:tc>
          <w:tcPr>
            <w:tcW w:w="957" w:type="dxa"/>
            <w:shd w:val="clear" w:color="auto" w:fill="C6EFCE"/>
            <w:noWrap/>
          </w:tcPr>
          <w:p w14:paraId="78CA58BF"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A hatálybalépést feltüntető jogszabályi rendelkezés </w:t>
            </w:r>
          </w:p>
        </w:tc>
        <w:tc>
          <w:tcPr>
            <w:tcW w:w="548" w:type="dxa"/>
            <w:shd w:val="clear" w:color="auto" w:fill="C6EFCE"/>
            <w:noWrap/>
          </w:tcPr>
          <w:p w14:paraId="05BB9BB7"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 </w:t>
            </w:r>
          </w:p>
        </w:tc>
        <w:tc>
          <w:tcPr>
            <w:tcW w:w="957" w:type="dxa"/>
            <w:shd w:val="clear" w:color="auto" w:fill="C6EFCE"/>
            <w:noWrap/>
          </w:tcPr>
          <w:p w14:paraId="09516691"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548" w:type="dxa"/>
            <w:shd w:val="clear" w:color="auto" w:fill="C6EFCE"/>
            <w:noWrap/>
          </w:tcPr>
          <w:p w14:paraId="12D88D2A"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413" w:type="dxa"/>
            <w:shd w:val="clear" w:color="auto" w:fill="C6EFCE"/>
            <w:noWrap/>
          </w:tcPr>
          <w:p w14:paraId="18AC387C"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Q2</w:t>
            </w:r>
          </w:p>
        </w:tc>
        <w:tc>
          <w:tcPr>
            <w:tcW w:w="548" w:type="dxa"/>
            <w:shd w:val="clear" w:color="auto" w:fill="C6EFCE"/>
            <w:noWrap/>
          </w:tcPr>
          <w:p w14:paraId="21FFB7AD"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2022</w:t>
            </w:r>
          </w:p>
        </w:tc>
        <w:tc>
          <w:tcPr>
            <w:tcW w:w="6550" w:type="dxa"/>
            <w:shd w:val="clear" w:color="auto" w:fill="C6EFCE"/>
            <w:noWrap/>
          </w:tcPr>
          <w:p w14:paraId="6A363E63" w14:textId="77777777" w:rsidR="00D65CB4" w:rsidRPr="00BC4EE7" w:rsidRDefault="00572307">
            <w:pPr>
              <w:pStyle w:val="P68B1DB1-Normal12"/>
              <w:spacing w:after="0"/>
              <w:rPr>
                <w:rFonts w:eastAsia="Times New Roman" w:cs="Times New Roman"/>
                <w:noProof/>
              </w:rPr>
            </w:pPr>
            <w:r w:rsidRPr="00BC4EE7">
              <w:rPr>
                <w:rFonts w:cs="Times New Roman"/>
                <w:noProof/>
              </w:rPr>
              <w:t>A jelenlegi kiegészítő nyugdíjrendszer felülvizsgálatára vonatkozó jogszabályok hatálybalépése a nyugdíjrendszerek előmozdítása érdekében azáltal, hogy az igazgatási szervek olyan nyugdíjalapokat hoznak létre, amelyek minden vállalat és munkavállaló számára nyitva állnak.</w:t>
            </w:r>
          </w:p>
        </w:tc>
      </w:tr>
      <w:tr w:rsidR="00D65CB4" w:rsidRPr="00BC4EE7" w14:paraId="46E1F473" w14:textId="77777777" w:rsidTr="00572307">
        <w:trPr>
          <w:trHeight w:val="309"/>
        </w:trPr>
        <w:tc>
          <w:tcPr>
            <w:tcW w:w="993" w:type="dxa"/>
            <w:shd w:val="clear" w:color="auto" w:fill="C6EFCE"/>
            <w:noWrap/>
          </w:tcPr>
          <w:p w14:paraId="4722DCDF"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415</w:t>
            </w:r>
          </w:p>
        </w:tc>
        <w:tc>
          <w:tcPr>
            <w:tcW w:w="941" w:type="dxa"/>
            <w:shd w:val="clear" w:color="auto" w:fill="C6EFCE"/>
            <w:noWrap/>
          </w:tcPr>
          <w:p w14:paraId="1F803B1E"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C30.R6</w:t>
            </w:r>
          </w:p>
        </w:tc>
        <w:tc>
          <w:tcPr>
            <w:tcW w:w="901" w:type="dxa"/>
            <w:shd w:val="clear" w:color="auto" w:fill="C6EFCE"/>
            <w:noWrap/>
          </w:tcPr>
          <w:p w14:paraId="1568BB27"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2379" w:type="dxa"/>
            <w:shd w:val="clear" w:color="auto" w:fill="C6EFCE"/>
            <w:noWrap/>
          </w:tcPr>
          <w:p w14:paraId="6DE0850E" w14:textId="77777777" w:rsidR="00D65CB4" w:rsidRPr="00BC4EE7" w:rsidRDefault="00572307">
            <w:pPr>
              <w:pStyle w:val="P68B1DB1-Normal12"/>
              <w:spacing w:after="0"/>
              <w:rPr>
                <w:rFonts w:eastAsia="Times New Roman" w:cs="Times New Roman"/>
                <w:noProof/>
              </w:rPr>
            </w:pPr>
            <w:r w:rsidRPr="00BC4EE7">
              <w:rPr>
                <w:rFonts w:cs="Times New Roman"/>
                <w:noProof/>
              </w:rPr>
              <w:t>A maximális hozzájárulási alap kiigazítása</w:t>
            </w:r>
          </w:p>
        </w:tc>
        <w:tc>
          <w:tcPr>
            <w:tcW w:w="957" w:type="dxa"/>
            <w:shd w:val="clear" w:color="auto" w:fill="C6EFCE"/>
            <w:noWrap/>
          </w:tcPr>
          <w:p w14:paraId="595D6BA3"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A hatálybalépést feltüntető jogszabályi rendelkezés </w:t>
            </w:r>
          </w:p>
        </w:tc>
        <w:tc>
          <w:tcPr>
            <w:tcW w:w="548" w:type="dxa"/>
            <w:shd w:val="clear" w:color="auto" w:fill="C6EFCE"/>
            <w:noWrap/>
          </w:tcPr>
          <w:p w14:paraId="6FF7284D"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 </w:t>
            </w:r>
          </w:p>
        </w:tc>
        <w:tc>
          <w:tcPr>
            <w:tcW w:w="957" w:type="dxa"/>
            <w:shd w:val="clear" w:color="auto" w:fill="C6EFCE"/>
            <w:noWrap/>
          </w:tcPr>
          <w:p w14:paraId="77D1F4E0"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548" w:type="dxa"/>
            <w:shd w:val="clear" w:color="auto" w:fill="C6EFCE"/>
            <w:noWrap/>
          </w:tcPr>
          <w:p w14:paraId="4CAC2C96"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 </w:t>
            </w:r>
          </w:p>
        </w:tc>
        <w:tc>
          <w:tcPr>
            <w:tcW w:w="413" w:type="dxa"/>
            <w:shd w:val="clear" w:color="auto" w:fill="C6EFCE"/>
            <w:noWrap/>
          </w:tcPr>
          <w:p w14:paraId="04375009"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Q4</w:t>
            </w:r>
          </w:p>
        </w:tc>
        <w:tc>
          <w:tcPr>
            <w:tcW w:w="548" w:type="dxa"/>
            <w:shd w:val="clear" w:color="auto" w:fill="C6EFCE"/>
            <w:noWrap/>
          </w:tcPr>
          <w:p w14:paraId="59061F11"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2022</w:t>
            </w:r>
          </w:p>
        </w:tc>
        <w:tc>
          <w:tcPr>
            <w:tcW w:w="6550" w:type="dxa"/>
            <w:shd w:val="clear" w:color="auto" w:fill="C6EFCE"/>
            <w:noWrap/>
          </w:tcPr>
          <w:p w14:paraId="5AE2B90C" w14:textId="77777777" w:rsidR="00D65CB4" w:rsidRPr="00BC4EE7" w:rsidRDefault="00572307">
            <w:pPr>
              <w:pStyle w:val="P68B1DB1-Normal12"/>
              <w:spacing w:after="0"/>
              <w:rPr>
                <w:rFonts w:eastAsia="Times New Roman" w:cs="Times New Roman"/>
                <w:noProof/>
              </w:rPr>
            </w:pPr>
            <w:r w:rsidRPr="00BC4EE7">
              <w:rPr>
                <w:rFonts w:cs="Times New Roman"/>
                <w:noProof/>
              </w:rPr>
              <w:t>A maximális hozzájárulási alap kiigazítására vonatkozó jogszabályok hatálybalépése: a rendszer maximális járulékalapjának fokozatos növelése és a maximális nyugdíjak kiigazítása a járulékalap és a rendszer progresszivitásának bővítése, valamint a teljes bevétel növelése érdekében.</w:t>
            </w:r>
          </w:p>
        </w:tc>
      </w:tr>
    </w:tbl>
    <w:p w14:paraId="656BB99D" w14:textId="77777777" w:rsidR="00D65CB4" w:rsidRPr="00BC4EE7" w:rsidRDefault="00D65CB4">
      <w:pPr>
        <w:pStyle w:val="Text1"/>
        <w:ind w:left="0"/>
        <w:rPr>
          <w:rFonts w:ascii="Times New Roman" w:hAnsi="Times New Roman" w:cs="Times New Roman"/>
          <w:noProof/>
        </w:rPr>
        <w:sectPr w:rsidR="00D65CB4" w:rsidRPr="00BC4EE7" w:rsidSect="00B511EF">
          <w:headerReference w:type="even" r:id="rId586"/>
          <w:headerReference w:type="default" r:id="rId587"/>
          <w:footerReference w:type="even" r:id="rId588"/>
          <w:footerReference w:type="default" r:id="rId589"/>
          <w:headerReference w:type="first" r:id="rId590"/>
          <w:footerReference w:type="first" r:id="rId591"/>
          <w:pgSz w:w="16839" w:h="11907" w:orient="landscape"/>
          <w:pgMar w:top="1134" w:right="1134" w:bottom="1134" w:left="1134" w:header="567" w:footer="567" w:gutter="0"/>
          <w:cols w:space="720"/>
          <w:docGrid w:linePitch="360"/>
        </w:sectPr>
      </w:pPr>
    </w:p>
    <w:p w14:paraId="70BCB411" w14:textId="77777777" w:rsidR="00D65CB4" w:rsidRPr="00BC4EE7" w:rsidRDefault="00572307">
      <w:pPr>
        <w:pStyle w:val="P68B1DB1-Heading12"/>
        <w:rPr>
          <w:rFonts w:cs="Times New Roman"/>
          <w:noProof/>
        </w:rPr>
      </w:pPr>
      <w:r w:rsidRPr="00BC4EE7">
        <w:rPr>
          <w:rFonts w:cs="Times New Roman"/>
          <w:noProof/>
        </w:rPr>
        <w:t>AE. ÖSSZETEVŐ: REPowerEU-fejezet</w:t>
      </w:r>
    </w:p>
    <w:p w14:paraId="1254EFEE" w14:textId="77777777" w:rsidR="00D65CB4" w:rsidRPr="00BC4EE7" w:rsidRDefault="00572307">
      <w:pPr>
        <w:pStyle w:val="Text1"/>
        <w:ind w:left="0"/>
        <w:rPr>
          <w:rStyle w:val="IntenseEmphasis"/>
          <w:rFonts w:ascii="Times New Roman" w:hAnsi="Times New Roman" w:cs="Times New Roman"/>
          <w:i w:val="0"/>
          <w:noProof/>
          <w:color w:val="auto"/>
        </w:rPr>
      </w:pPr>
      <w:r w:rsidRPr="00BC4EE7">
        <w:rPr>
          <w:rStyle w:val="IntenseEmphasis"/>
          <w:rFonts w:ascii="Times New Roman" w:hAnsi="Times New Roman" w:cs="Times New Roman"/>
          <w:i w:val="0"/>
          <w:noProof/>
          <w:color w:val="auto"/>
        </w:rPr>
        <w:t xml:space="preserve">A REPowerEU-fejezet célja a fosszilis tüzelőanyagoktól való általános függés csökkentése, és különösen az új villamosenergia-hálózatok és megújulóenergia-projektek engedélyezésének egyszerűsítése, a megújuló energia és a megújuló hidrogén előállításának támogatása, a megújuló energiaforrások értékláncának javítása és az ipari dekarbonizáció fellendítése. </w:t>
      </w:r>
    </w:p>
    <w:p w14:paraId="5F854BC2" w14:textId="76DDF745" w:rsidR="00D65CB4" w:rsidRPr="00BC4EE7" w:rsidRDefault="00572307">
      <w:pPr>
        <w:pStyle w:val="Text1"/>
        <w:ind w:left="0"/>
        <w:rPr>
          <w:rStyle w:val="IntenseEmphasis"/>
          <w:rFonts w:ascii="Times New Roman" w:hAnsi="Times New Roman" w:cs="Times New Roman"/>
          <w:i w:val="0"/>
          <w:noProof/>
          <w:color w:val="auto"/>
        </w:rPr>
      </w:pPr>
      <w:r w:rsidRPr="00BC4EE7">
        <w:rPr>
          <w:rStyle w:val="IntenseEmphasis"/>
          <w:rFonts w:ascii="Times New Roman" w:hAnsi="Times New Roman" w:cs="Times New Roman"/>
          <w:i w:val="0"/>
          <w:noProof/>
          <w:color w:val="auto"/>
        </w:rPr>
        <w:t xml:space="preserve">A komponens a fosszilis tüzelőanyagoktól való általános függés 2022-es és 2023-as csökkentésével kapcsolatos országspecifikus ajánlásokkal foglalkozik. Hozzájárul a megújuló energia elterjedésének felgyorsítását célzó intézkedésekkel, különös tekintettel a decentralizált létesítményekre és a saját fogyasztásra, többek között az engedélyezési eljárások további egyszerűsítése és a hálózathoz való hozzáférés javítása révén. Támogatja továbbá a tárolásra, a hálózati infrastruktúrára és a megújuló hidrogénre irányuló kiegészítő beruházásokat (a 2022. évi 4. országspecifikus ajánlás és a 2023. évi 3. országspecifikus ajánlás). </w:t>
      </w:r>
    </w:p>
    <w:p w14:paraId="17B84A90" w14:textId="77777777" w:rsidR="00D65CB4" w:rsidRPr="00BC4EE7" w:rsidRDefault="00572307">
      <w:pPr>
        <w:pStyle w:val="P68B1DB1-Text118"/>
        <w:ind w:left="0"/>
        <w:rPr>
          <w:rFonts w:cs="Times New Roman"/>
          <w:noProof/>
        </w:rPr>
      </w:pPr>
      <w:r w:rsidRPr="00BC4EE7">
        <w:rPr>
          <w:rFonts w:cs="Times New Roman"/>
          <w:noProof/>
        </w:rPr>
        <w:t>Az ebben a komponensben szereplő egyetlen intézkedés sem sértheti jelentősen az (EU) 2020/852 rendelet 17. cikke szerinti környezeti célkitűzéseket, figyelembe véve a helyreállítási és rezilienciaépítési tervben a DNSH technikai iránymutatással (2021/C58/01) összhangban meghatározott intézkedések és enyhítő lépések leírását.</w:t>
      </w:r>
    </w:p>
    <w:p w14:paraId="14113E2C" w14:textId="77777777" w:rsidR="00D65CB4" w:rsidRPr="00BC4EE7" w:rsidRDefault="00572307">
      <w:pPr>
        <w:pStyle w:val="Text1"/>
        <w:ind w:left="709"/>
        <w:rPr>
          <w:rFonts w:ascii="Times New Roman" w:hAnsi="Times New Roman" w:cs="Times New Roman"/>
          <w:b/>
          <w:noProof/>
          <w:u w:val="single"/>
        </w:rPr>
      </w:pPr>
      <w:r w:rsidRPr="00BC4EE7">
        <w:rPr>
          <w:rFonts w:ascii="Times New Roman" w:hAnsi="Times New Roman" w:cs="Times New Roman"/>
          <w:b/>
          <w:noProof/>
          <w:u w:val="single"/>
        </w:rPr>
        <w:t xml:space="preserve">AE.1. </w:t>
      </w:r>
      <w:r w:rsidRPr="00BC4EE7">
        <w:rPr>
          <w:rFonts w:ascii="Times New Roman" w:hAnsi="Times New Roman" w:cs="Times New Roman"/>
          <w:noProof/>
        </w:rPr>
        <w:t xml:space="preserve"> </w:t>
      </w:r>
      <w:r w:rsidRPr="00BC4EE7">
        <w:rPr>
          <w:rFonts w:ascii="Times New Roman" w:hAnsi="Times New Roman" w:cs="Times New Roman"/>
          <w:b/>
          <w:noProof/>
          <w:u w:val="single"/>
        </w:rPr>
        <w:t>Vissza nem térítendő pénzügyi támogatás – a reformok és beruházások ismertetése</w:t>
      </w:r>
    </w:p>
    <w:p w14:paraId="748AD8E0" w14:textId="3713CBA6" w:rsidR="00D65CB4" w:rsidRPr="00BC4EE7" w:rsidRDefault="00572307">
      <w:pPr>
        <w:pStyle w:val="P68B1DB1-Text119"/>
        <w:ind w:left="0"/>
        <w:rPr>
          <w:rFonts w:cs="Times New Roman"/>
          <w:noProof/>
        </w:rPr>
      </w:pPr>
      <w:r w:rsidRPr="00BC4EE7">
        <w:rPr>
          <w:rFonts w:cs="Times New Roman"/>
          <w:noProof/>
        </w:rPr>
        <w:t>Reform (C31.R1) – A megújulóenergia-termelési projektek és a villamosenergia-hálózati infrastruktúra engedélyezésének javítását célzó reform</w:t>
      </w:r>
    </w:p>
    <w:p w14:paraId="0DAF00BD" w14:textId="3F3825BF" w:rsidR="00D65CB4" w:rsidRPr="00BC4EE7" w:rsidRDefault="00572307">
      <w:pPr>
        <w:pStyle w:val="P68B1DB1-Normal4"/>
        <w:spacing w:before="120" w:after="120" w:line="240" w:lineRule="auto"/>
        <w:jc w:val="both"/>
        <w:rPr>
          <w:rFonts w:cs="Times New Roman"/>
          <w:noProof/>
        </w:rPr>
      </w:pPr>
      <w:r w:rsidRPr="00BC4EE7">
        <w:rPr>
          <w:rFonts w:cs="Times New Roman"/>
          <w:noProof/>
        </w:rPr>
        <w:t>A reform kettős célt szolgál. Egyrészt egyszerűsíteni kell a megújulóenergia-termelésre és a villamosenergia-hálózat infrastruktúrájára vonatkozó engedélyezési eljárásokat, másrészt pedig egyszerűsíteni kell az engedélykérelmek feldolgozását. Ami az első célkitűzést illeti, a reform a megújulóenergia-projektekre és a villamosenergia-hálózati infrastruktúrára vonatkozó eljárásokat egyszerűsítő jogszabályokból áll. E tekintetben a reformnak a következő elemeket kell tartalmaznia:</w:t>
      </w:r>
    </w:p>
    <w:p w14:paraId="0DBC13C7" w14:textId="77777777" w:rsidR="00D65CB4" w:rsidRPr="00BC4EE7" w:rsidRDefault="00572307">
      <w:pPr>
        <w:pStyle w:val="P68B1DB1-ListParagraph6"/>
        <w:numPr>
          <w:ilvl w:val="0"/>
          <w:numId w:val="643"/>
        </w:numPr>
        <w:spacing w:before="120" w:after="120" w:line="240" w:lineRule="auto"/>
        <w:jc w:val="both"/>
        <w:rPr>
          <w:rFonts w:cs="Times New Roman"/>
          <w:noProof/>
        </w:rPr>
      </w:pPr>
      <w:r w:rsidRPr="00BC4EE7">
        <w:rPr>
          <w:rFonts w:cs="Times New Roman"/>
          <w:noProof/>
        </w:rPr>
        <w:t>bizonyos projektkategóriákra vonatkozó eljárások egyszerűsítése, beleértve a környezeti hatásvizsgálatot és az engedélyezési eljárást;</w:t>
      </w:r>
    </w:p>
    <w:p w14:paraId="034F66DA" w14:textId="77777777" w:rsidR="00D65CB4" w:rsidRPr="00BC4EE7" w:rsidRDefault="00572307">
      <w:pPr>
        <w:pStyle w:val="P68B1DB1-ListParagraph6"/>
        <w:numPr>
          <w:ilvl w:val="0"/>
          <w:numId w:val="643"/>
        </w:numPr>
        <w:spacing w:before="120" w:after="120" w:line="240" w:lineRule="auto"/>
        <w:jc w:val="both"/>
        <w:rPr>
          <w:rFonts w:cs="Times New Roman"/>
          <w:noProof/>
        </w:rPr>
      </w:pPr>
      <w:r w:rsidRPr="00BC4EE7">
        <w:rPr>
          <w:rFonts w:cs="Times New Roman"/>
          <w:noProof/>
        </w:rPr>
        <w:t>a megújuló gázok gázhálózatba történő betáplálásával kapcsolatos egyes projektek adminisztratív terheinek tisztázása és csökkentése;</w:t>
      </w:r>
    </w:p>
    <w:p w14:paraId="18297D75" w14:textId="77777777" w:rsidR="00D65CB4" w:rsidRPr="00BC4EE7" w:rsidRDefault="00572307">
      <w:pPr>
        <w:pStyle w:val="P68B1DB1-ListParagraph6"/>
        <w:numPr>
          <w:ilvl w:val="0"/>
          <w:numId w:val="643"/>
        </w:numPr>
        <w:spacing w:before="120" w:after="120" w:line="240" w:lineRule="auto"/>
        <w:jc w:val="both"/>
        <w:rPr>
          <w:rFonts w:cs="Times New Roman"/>
          <w:noProof/>
        </w:rPr>
      </w:pPr>
      <w:r w:rsidRPr="00BC4EE7">
        <w:rPr>
          <w:rFonts w:cs="Times New Roman"/>
          <w:noProof/>
        </w:rPr>
        <w:t>Határidőt állapít meg arra vonatkozóan, hogy a CNMC-nek jelentést kell kiadnia az új megújulóenergia-projektek engedélyezéséről;</w:t>
      </w:r>
    </w:p>
    <w:p w14:paraId="0ABEB731" w14:textId="77777777" w:rsidR="00D65CB4" w:rsidRPr="00BC4EE7" w:rsidRDefault="00572307">
      <w:pPr>
        <w:pStyle w:val="P68B1DB1-ListParagraph6"/>
        <w:numPr>
          <w:ilvl w:val="0"/>
          <w:numId w:val="643"/>
        </w:numPr>
        <w:spacing w:before="120" w:after="120" w:line="240" w:lineRule="auto"/>
        <w:jc w:val="both"/>
        <w:rPr>
          <w:rFonts w:cs="Times New Roman"/>
          <w:noProof/>
        </w:rPr>
      </w:pPr>
      <w:r w:rsidRPr="00BC4EE7">
        <w:rPr>
          <w:rFonts w:cs="Times New Roman"/>
          <w:noProof/>
        </w:rPr>
        <w:t>A saját fogyasztás bevezetésére vonatkozó korlátozások megszüntetése és engedélyezési eljárásaik egyszerűsítése;</w:t>
      </w:r>
    </w:p>
    <w:p w14:paraId="51869A6E" w14:textId="77777777" w:rsidR="00D65CB4" w:rsidRPr="00BC4EE7" w:rsidRDefault="00572307">
      <w:pPr>
        <w:pStyle w:val="P68B1DB1-ListParagraph6"/>
        <w:numPr>
          <w:ilvl w:val="0"/>
          <w:numId w:val="643"/>
        </w:numPr>
        <w:spacing w:before="120" w:after="120" w:line="240" w:lineRule="auto"/>
        <w:jc w:val="both"/>
        <w:rPr>
          <w:rFonts w:cs="Times New Roman"/>
          <w:noProof/>
        </w:rPr>
      </w:pPr>
      <w:r w:rsidRPr="00BC4EE7">
        <w:rPr>
          <w:rFonts w:cs="Times New Roman"/>
          <w:noProof/>
        </w:rPr>
        <w:t>A hálózati kapacitás elosztásának javítása.</w:t>
      </w:r>
    </w:p>
    <w:p w14:paraId="33DF60AD"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Ami a második célkitűzést illeti, a reform magában foglalja egy új közigazgatási egység létrehozását a központi közigazgatáson belül, amely támogatja a megújulóenergia-projektek engedélykérelmeinek feldolgozását.</w:t>
      </w:r>
    </w:p>
    <w:p w14:paraId="1B8CAA36"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Az intézkedés végrehajtását 2023. szeptember 30-ig be kell fejezni.</w:t>
      </w:r>
    </w:p>
    <w:p w14:paraId="7E6A9987" w14:textId="77777777" w:rsidR="00D65CB4" w:rsidRPr="00BC4EE7" w:rsidRDefault="00D65CB4">
      <w:pPr>
        <w:spacing w:before="120" w:after="120" w:line="240" w:lineRule="auto"/>
        <w:jc w:val="both"/>
        <w:rPr>
          <w:rFonts w:ascii="Times New Roman" w:hAnsi="Times New Roman" w:cs="Times New Roman"/>
          <w:noProof/>
          <w:sz w:val="24"/>
        </w:rPr>
      </w:pPr>
    </w:p>
    <w:p w14:paraId="5A90CDEC" w14:textId="77777777" w:rsidR="00D65CB4" w:rsidRPr="00BC4EE7" w:rsidRDefault="00572307">
      <w:pPr>
        <w:pStyle w:val="P68B1DB1-Text119"/>
        <w:keepNext/>
        <w:keepLines/>
        <w:ind w:left="0"/>
        <w:rPr>
          <w:rFonts w:cs="Times New Roman"/>
          <w:noProof/>
        </w:rPr>
      </w:pPr>
      <w:r w:rsidRPr="00BC4EE7">
        <w:rPr>
          <w:rFonts w:cs="Times New Roman"/>
          <w:noProof/>
        </w:rPr>
        <w:t>Beruházás (C31.I1) – A (megújuló energián és a mérőn kívüli tároláson alapuló) saját fogyasztást és energiaközösségeket előmozdító beruházás</w:t>
      </w:r>
    </w:p>
    <w:p w14:paraId="0038B692" w14:textId="77777777" w:rsidR="00D65CB4" w:rsidRPr="00BC4EE7" w:rsidRDefault="00572307">
      <w:pPr>
        <w:pStyle w:val="P68B1DB1-Normal4"/>
        <w:keepNext/>
        <w:keepLines/>
        <w:spacing w:before="120" w:after="120" w:line="240" w:lineRule="auto"/>
        <w:jc w:val="both"/>
        <w:rPr>
          <w:rFonts w:cs="Times New Roman"/>
          <w:noProof/>
        </w:rPr>
      </w:pPr>
      <w:r w:rsidRPr="00BC4EE7">
        <w:rPr>
          <w:rFonts w:cs="Times New Roman"/>
          <w:noProof/>
        </w:rPr>
        <w:t>Ez a beruházás a C7.I1., a C7.R3. és a C8.I1. intézkedés felfuttatása. E beruházás célja a saját fogyasztáson alapuló alkalmazások, a mérőn kívüli tárolás és az energiaközösségek előmozdítása. A beruházás a következőket támogatja:</w:t>
      </w:r>
    </w:p>
    <w:p w14:paraId="1AC0BEBB" w14:textId="77777777" w:rsidR="00D65CB4" w:rsidRPr="00BC4EE7" w:rsidRDefault="00572307">
      <w:pPr>
        <w:pStyle w:val="P68B1DB1-ListParagraph6"/>
        <w:numPr>
          <w:ilvl w:val="0"/>
          <w:numId w:val="640"/>
        </w:numPr>
        <w:spacing w:before="120" w:after="120" w:line="240" w:lineRule="auto"/>
        <w:jc w:val="both"/>
        <w:rPr>
          <w:rFonts w:cs="Times New Roman"/>
          <w:noProof/>
        </w:rPr>
      </w:pPr>
      <w:r w:rsidRPr="00BC4EE7">
        <w:rPr>
          <w:rFonts w:cs="Times New Roman"/>
          <w:noProof/>
        </w:rPr>
        <w:t>épületekbe vagy termelési folyamatokba integrált, megújulóenergia-technológiákon vagy mérő utáni tárolási megoldásokon alapuló, saját fogyasztáson alapuló alkalmazások; és</w:t>
      </w:r>
    </w:p>
    <w:p w14:paraId="6F61CE8B" w14:textId="680CDCD0" w:rsidR="00D65CB4" w:rsidRPr="00BC4EE7" w:rsidRDefault="00572307">
      <w:pPr>
        <w:pStyle w:val="P68B1DB1-ListParagraph6"/>
        <w:numPr>
          <w:ilvl w:val="0"/>
          <w:numId w:val="640"/>
        </w:numPr>
        <w:spacing w:before="120" w:after="120" w:line="240" w:lineRule="auto"/>
        <w:jc w:val="both"/>
        <w:rPr>
          <w:rFonts w:cs="Times New Roman"/>
          <w:noProof/>
        </w:rPr>
      </w:pPr>
      <w:r w:rsidRPr="00BC4EE7">
        <w:rPr>
          <w:rFonts w:cs="Times New Roman"/>
          <w:noProof/>
        </w:rPr>
        <w:t xml:space="preserve">az energiaközösségek által végrehajtott kezdeményezések, akár megújuló energia vagy energiahatékonysági megoldások telepítése, akár részvételen alapuló és közösségépítési folyamatok végrehajtása révén. </w:t>
      </w:r>
    </w:p>
    <w:p w14:paraId="163DA515" w14:textId="0441C799" w:rsidR="00D65CB4" w:rsidRPr="00BC4EE7" w:rsidRDefault="00572307">
      <w:pPr>
        <w:pStyle w:val="P68B1DB1-Normal4"/>
        <w:spacing w:before="120" w:after="120" w:line="240" w:lineRule="auto"/>
        <w:jc w:val="both"/>
        <w:rPr>
          <w:rFonts w:cs="Times New Roman"/>
          <w:noProof/>
        </w:rPr>
      </w:pPr>
      <w:r w:rsidRPr="00BC4EE7">
        <w:rPr>
          <w:rFonts w:cs="Times New Roman"/>
          <w:noProof/>
        </w:rPr>
        <w:t>A C7.I1., C7.R3. és C8.I1. pont szerinti jogi eszközök hozzájárulhatnak ezen intézkedés végrehajtásához, amennyiben nem járnak kettős finanszírozással.</w:t>
      </w:r>
    </w:p>
    <w:p w14:paraId="55F2D066"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Az intézkedés végrehajtását 2026. augusztus 31-ig be kell fejezni.</w:t>
      </w:r>
    </w:p>
    <w:p w14:paraId="5F31B49E" w14:textId="5899E68B" w:rsidR="00D65CB4" w:rsidRPr="00BC4EE7" w:rsidRDefault="00572307">
      <w:pPr>
        <w:pStyle w:val="P68B1DB1-Text119"/>
        <w:ind w:left="0"/>
        <w:rPr>
          <w:rFonts w:cs="Times New Roman"/>
          <w:noProof/>
        </w:rPr>
      </w:pPr>
      <w:r w:rsidRPr="00BC4EE7">
        <w:rPr>
          <w:rFonts w:cs="Times New Roman"/>
          <w:noProof/>
        </w:rPr>
        <w:t>Beruházás (C31.I2) – A megújuló hidrogén előállítását és elterjedését támogató program</w:t>
      </w:r>
    </w:p>
    <w:p w14:paraId="1F1B972A" w14:textId="507FFBE4"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Ez az intézkedés a megújuló hidrogén előállítását és elterjedését támogató támogatásokra és potenciálisan saját tőkére – többek között kockázati tőkére – kiterjedő támogatási rendszerbe történő állami beruházásból áll. A rendszer úgy működik, hogy vissza nem térítendő támogatások vagy tőkebefektetések – többek között kockázati tőke – odaítélése révén pénzügyi ösztönzőket nyújt a magánszektornak, valamint a hasonló tevékenységeket folytató közszektorbeli intézményeknek. A Helyreállítási és Rezilienciaépítési Eszköz beruházásai alapján a támogatási program kezdetben legalább 1 600 000 000 EUR összegű finanszírozást kíván biztosítani. A programot végrehajtó partnerként az „Instituto de Diversificación y Ahorro de la Energía” (IDAE) irányítja. </w:t>
      </w:r>
    </w:p>
    <w:p w14:paraId="0082D6BE" w14:textId="60D50E3F" w:rsidR="00D65CB4" w:rsidRPr="00BC4EE7" w:rsidRDefault="00572307">
      <w:pPr>
        <w:pStyle w:val="P68B1DB1-Normal4"/>
        <w:spacing w:before="120" w:after="120" w:line="240" w:lineRule="auto"/>
        <w:jc w:val="both"/>
        <w:rPr>
          <w:rFonts w:cs="Times New Roman"/>
          <w:noProof/>
        </w:rPr>
      </w:pPr>
      <w:r w:rsidRPr="00BC4EE7">
        <w:rPr>
          <w:rFonts w:cs="Times New Roman"/>
          <w:noProof/>
        </w:rPr>
        <w:t>A programba történő beruházás végrehajtása érdekében Spanyolország egy vagy több jogi eszközt fogad el (sajáttőke-befektetések esetében ez az eszköz az IDAE által jóváhagyandó befektetési politika lenne), amely létrehozza a rendszert, amely a következő elemeket tartalmazza:</w:t>
      </w:r>
    </w:p>
    <w:p w14:paraId="3674D825" w14:textId="49FE8BE6" w:rsidR="00D65CB4" w:rsidRPr="00BC4EE7" w:rsidRDefault="00572307">
      <w:pPr>
        <w:pStyle w:val="P68B1DB1-ListParagraph6"/>
        <w:numPr>
          <w:ilvl w:val="0"/>
          <w:numId w:val="685"/>
        </w:numPr>
        <w:spacing w:before="120" w:after="120" w:line="240" w:lineRule="auto"/>
        <w:jc w:val="both"/>
        <w:rPr>
          <w:rFonts w:cs="Times New Roman"/>
          <w:noProof/>
        </w:rPr>
      </w:pPr>
      <w:r w:rsidRPr="00BC4EE7">
        <w:rPr>
          <w:rFonts w:cs="Times New Roman"/>
          <w:noProof/>
        </w:rPr>
        <w:t>A támogatható tevékenységek listája, amely legalább az alábbiak egyike:</w:t>
      </w:r>
    </w:p>
    <w:p w14:paraId="54DDDFA0" w14:textId="6A879C26" w:rsidR="00D65CB4" w:rsidRPr="00BC4EE7" w:rsidRDefault="00572307">
      <w:pPr>
        <w:pStyle w:val="P68B1DB1-ListParagraph6"/>
        <w:numPr>
          <w:ilvl w:val="1"/>
          <w:numId w:val="685"/>
        </w:numPr>
        <w:spacing w:before="120" w:after="120" w:line="240" w:lineRule="auto"/>
        <w:jc w:val="both"/>
        <w:rPr>
          <w:rFonts w:cs="Times New Roman"/>
          <w:noProof/>
        </w:rPr>
      </w:pPr>
      <w:r w:rsidRPr="00BC4EE7">
        <w:rPr>
          <w:rFonts w:cs="Times New Roman"/>
          <w:noProof/>
        </w:rPr>
        <w:t>Az innováció támogatása az értékláncban és a megújuló hidrogénre vonatkozó tudásbázisban: ez az ág magában foglalhatja a kutatást és fejlesztést, a technológiatranszfert, valamint a gyártási és tesztelési rendszereket és alkatrészeket.</w:t>
      </w:r>
    </w:p>
    <w:p w14:paraId="5ED8DAA2" w14:textId="77777777" w:rsidR="00D65CB4" w:rsidRPr="00BC4EE7" w:rsidRDefault="00572307">
      <w:pPr>
        <w:pStyle w:val="P68B1DB1-ListParagraph6"/>
        <w:numPr>
          <w:ilvl w:val="1"/>
          <w:numId w:val="685"/>
        </w:numPr>
        <w:spacing w:before="120" w:after="120" w:line="240" w:lineRule="auto"/>
        <w:jc w:val="both"/>
        <w:rPr>
          <w:rFonts w:cs="Times New Roman"/>
          <w:noProof/>
        </w:rPr>
      </w:pPr>
      <w:r w:rsidRPr="00BC4EE7">
        <w:rPr>
          <w:rFonts w:cs="Times New Roman"/>
          <w:noProof/>
        </w:rPr>
        <w:t>Megújuló hidrogén klaszterek létrehozása, amelyek széles körben integrálnák a termelést, a feldolgozást és a fogyasztást.</w:t>
      </w:r>
    </w:p>
    <w:p w14:paraId="40486D11" w14:textId="77777777" w:rsidR="00D65CB4" w:rsidRPr="00BC4EE7" w:rsidRDefault="00572307">
      <w:pPr>
        <w:pStyle w:val="P68B1DB1-ListParagraph6"/>
        <w:numPr>
          <w:ilvl w:val="1"/>
          <w:numId w:val="685"/>
        </w:numPr>
        <w:spacing w:before="120" w:after="120" w:line="240" w:lineRule="auto"/>
        <w:jc w:val="both"/>
        <w:rPr>
          <w:rFonts w:cs="Times New Roman"/>
          <w:noProof/>
        </w:rPr>
      </w:pPr>
      <w:r w:rsidRPr="00BC4EE7">
        <w:rPr>
          <w:rFonts w:cs="Times New Roman"/>
          <w:noProof/>
        </w:rPr>
        <w:t>„Úttörő” projektek kidolgozása, amelyek lehetővé tennék a megújuló hidrogén kisebb léptékű bevezetését a különböző ágazatokban, például az iparban, a villamosenergia-termelésben, a hőfelhasználásban és a közlekedésben.</w:t>
      </w:r>
    </w:p>
    <w:p w14:paraId="358CF473" w14:textId="54D8E812" w:rsidR="00D65CB4" w:rsidRPr="00BC4EE7" w:rsidRDefault="00572307">
      <w:pPr>
        <w:pStyle w:val="P68B1DB1-ListParagraph6"/>
        <w:numPr>
          <w:ilvl w:val="1"/>
          <w:numId w:val="685"/>
        </w:numPr>
        <w:spacing w:before="120" w:after="120" w:line="240" w:lineRule="auto"/>
        <w:jc w:val="both"/>
        <w:rPr>
          <w:rFonts w:cs="Times New Roman"/>
          <w:noProof/>
        </w:rPr>
      </w:pPr>
      <w:r w:rsidRPr="00BC4EE7">
        <w:rPr>
          <w:rFonts w:cs="Times New Roman"/>
          <w:noProof/>
        </w:rPr>
        <w:t>A spanyol megújulóhidrogén-rendszer európai rendszerbe való integrálásának támogatása, például a vállalatok támogatása az európai projektekben, például a közös európai érdeket szolgáló fontos projektekben. Az e közös európai érdeket szolgáló fontos projektek keretében létrejövő projekteknek a fent említett három támogatható tevékenység (értéklánc, klaszterek, úttörő projektek) körébe kell tartozniuk.</w:t>
      </w:r>
    </w:p>
    <w:p w14:paraId="7B8AC05B" w14:textId="77777777" w:rsidR="00D65CB4" w:rsidRPr="00BC4EE7" w:rsidRDefault="00D65CB4">
      <w:pPr>
        <w:pStyle w:val="ListParagraph"/>
        <w:spacing w:before="120" w:after="120" w:line="240" w:lineRule="auto"/>
        <w:ind w:left="1440"/>
        <w:jc w:val="both"/>
        <w:rPr>
          <w:rFonts w:ascii="Times New Roman" w:hAnsi="Times New Roman" w:cs="Times New Roman"/>
          <w:noProof/>
          <w:sz w:val="24"/>
        </w:rPr>
      </w:pPr>
    </w:p>
    <w:p w14:paraId="1502686F" w14:textId="04352246" w:rsidR="00D65CB4" w:rsidRPr="00BC4EE7" w:rsidRDefault="00572307">
      <w:pPr>
        <w:pStyle w:val="P68B1DB1-ListParagraph6"/>
        <w:numPr>
          <w:ilvl w:val="0"/>
          <w:numId w:val="685"/>
        </w:numPr>
        <w:spacing w:before="120" w:after="120" w:line="240" w:lineRule="auto"/>
        <w:jc w:val="both"/>
        <w:rPr>
          <w:rFonts w:cs="Times New Roman"/>
          <w:noProof/>
        </w:rPr>
      </w:pPr>
      <w:r w:rsidRPr="00BC4EE7">
        <w:rPr>
          <w:rFonts w:cs="Times New Roman"/>
          <w:noProof/>
        </w:rPr>
        <w:t xml:space="preserve">A program döntéshozatali eljárásának leírása: A pályázatok értékelését és a program keretében a végleges odaítélési határozatokba vagy beruházási döntésekbe belefoglalandó kedvezményezettek kiválasztását beruházási bizottság vagy műszaki értékelő bizottság hozza meg, és a kormánytól független tagok szavazatainak többségével hagyja jóvá, ami azt jelenti, hogy a tagoknak vagy az IDAE által alkalmazott személyzetnek és/vagy más független szakértőknek kell lenniük. A program keretében hozott jogerős odaítélési határozatok vagy beruházási döntések a beruházási bizottság vagy annak megfelelő irányító testület által javasolt odaítélési vagy beruházási döntéssel kapcsolatos (módosítás nélküli) jóváhagyásra vagy vétójog gyakorlására korlátozódnak. Abban az esetben, ha a pályázók bármelyike részt vesz az IDAE-ben, és e felhívás költségvetése nem elegendő az összes beérkezett pályázat fedezésére, az értékelési folyamatot az IDAE „Plan de Mitigación de Potenciales Conflictos de Interés en Sociedades Participadas” című dokumentumának megfelelően külső ellenőrzésnek kell alávetni. </w:t>
      </w:r>
    </w:p>
    <w:p w14:paraId="186D2A17" w14:textId="77777777" w:rsidR="00D65CB4" w:rsidRPr="00BC4EE7" w:rsidRDefault="00D65CB4">
      <w:pPr>
        <w:pStyle w:val="ListParagraph"/>
        <w:spacing w:before="120" w:after="120" w:line="240" w:lineRule="auto"/>
        <w:jc w:val="both"/>
        <w:rPr>
          <w:rFonts w:ascii="Times New Roman" w:hAnsi="Times New Roman" w:cs="Times New Roman"/>
          <w:noProof/>
          <w:sz w:val="24"/>
        </w:rPr>
      </w:pPr>
    </w:p>
    <w:p w14:paraId="2EF47DF0" w14:textId="3FE0D6B7" w:rsidR="00D65CB4" w:rsidRPr="00BC4EE7" w:rsidRDefault="00572307">
      <w:pPr>
        <w:pStyle w:val="P68B1DB1-ListParagraph6"/>
        <w:numPr>
          <w:ilvl w:val="0"/>
          <w:numId w:val="685"/>
        </w:numPr>
        <w:spacing w:before="120" w:after="120" w:line="240" w:lineRule="auto"/>
        <w:jc w:val="both"/>
        <w:rPr>
          <w:rFonts w:cs="Times New Roman"/>
          <w:noProof/>
          <w:sz w:val="28"/>
        </w:rPr>
      </w:pPr>
      <w:r w:rsidRPr="00BC4EE7">
        <w:rPr>
          <w:rFonts w:cs="Times New Roman"/>
          <w:noProof/>
        </w:rPr>
        <w:t>A jelentős károkozás elkerülését célzó elvnek való megfelelés követelménye a Helyreállítási és Rezilienciaépítési Eszköz keretében, a DNSH technikai iránymutatásban (2021/C58/01) meghatározottak szerint. A vállalatok (beleértve a saját tőkét és a kockázati tőkét) általános támogatása esetén a jogi eszköz(ök) kizárja(k) azokat a vállalatokat, amelyek jelentős hangsúlyt</w:t>
      </w:r>
      <w:r w:rsidRPr="00BC4EE7">
        <w:rPr>
          <w:rFonts w:cs="Times New Roman"/>
          <w:noProof/>
        </w:rPr>
        <w:footnoteReference w:id="214"/>
      </w:r>
      <w:r w:rsidRPr="00BC4EE7">
        <w:rPr>
          <w:rFonts w:cs="Times New Roman"/>
          <w:noProof/>
        </w:rPr>
        <w:t xml:space="preserve"> fektetnek a következő ágazatokra: fosszilis tüzelőanyagokon alapuló energiatermelés és kapcsolódó tevékenységek</w:t>
      </w:r>
      <w:r w:rsidRPr="00BC4EE7">
        <w:rPr>
          <w:rFonts w:cs="Times New Roman"/>
          <w:noProof/>
        </w:rPr>
        <w:footnoteReference w:id="215"/>
      </w:r>
      <w:r w:rsidRPr="00BC4EE7">
        <w:rPr>
          <w:rFonts w:cs="Times New Roman"/>
          <w:noProof/>
        </w:rPr>
        <w:t>; ii. energiaigényes és/vagy magas szén-dioxid-kibocsátású iparágak</w:t>
      </w:r>
      <w:r w:rsidRPr="00BC4EE7">
        <w:rPr>
          <w:rFonts w:cs="Times New Roman"/>
          <w:noProof/>
        </w:rPr>
        <w:footnoteReference w:id="216"/>
      </w:r>
      <w:r w:rsidRPr="00BC4EE7">
        <w:rPr>
          <w:rFonts w:cs="Times New Roman"/>
          <w:noProof/>
        </w:rPr>
        <w:t>; szennyező járművek gyártása, bérlése vagy értékesítése</w:t>
      </w:r>
      <w:r w:rsidRPr="00BC4EE7">
        <w:rPr>
          <w:rFonts w:cs="Times New Roman"/>
          <w:noProof/>
        </w:rPr>
        <w:footnoteReference w:id="217"/>
      </w:r>
      <w:r w:rsidRPr="00BC4EE7">
        <w:rPr>
          <w:rFonts w:cs="Times New Roman"/>
          <w:noProof/>
        </w:rPr>
        <w:t>; IV. hulladékgyűjtés, hulladékkezelés és -ártalmatlanítás</w:t>
      </w:r>
      <w:r w:rsidRPr="00BC4EE7">
        <w:rPr>
          <w:rFonts w:cs="Times New Roman"/>
          <w:noProof/>
        </w:rPr>
        <w:footnoteReference w:id="218"/>
      </w:r>
      <w:r w:rsidRPr="00BC4EE7">
        <w:rPr>
          <w:rFonts w:cs="Times New Roman"/>
          <w:noProof/>
        </w:rPr>
        <w:t>, v. nukleáris üzemanyag feldolgozása, atomenergia előállítása. Ezen túlmenően a jogi eszköz(ök) előírja(k) a támogatási rendszerek végső kedvezményezettjei számára a vonatkozó uniós és nemzeti környezetvédelmi jogszabályoknak való megfelelést.</w:t>
      </w:r>
    </w:p>
    <w:p w14:paraId="749021E6" w14:textId="77777777" w:rsidR="00D65CB4" w:rsidRPr="00BC4EE7" w:rsidRDefault="00D65CB4">
      <w:pPr>
        <w:pStyle w:val="ListParagraph"/>
        <w:rPr>
          <w:rFonts w:ascii="Times New Roman" w:hAnsi="Times New Roman" w:cs="Times New Roman"/>
          <w:noProof/>
          <w:sz w:val="24"/>
        </w:rPr>
      </w:pPr>
    </w:p>
    <w:p w14:paraId="587159DB" w14:textId="77777777" w:rsidR="00D65CB4" w:rsidRPr="00BC4EE7" w:rsidRDefault="00572307">
      <w:pPr>
        <w:pStyle w:val="P68B1DB1-ListParagraph6"/>
        <w:numPr>
          <w:ilvl w:val="0"/>
          <w:numId w:val="685"/>
        </w:numPr>
        <w:rPr>
          <w:rFonts w:cs="Times New Roman"/>
          <w:noProof/>
        </w:rPr>
      </w:pPr>
      <w:r w:rsidRPr="00BC4EE7">
        <w:rPr>
          <w:rFonts w:cs="Times New Roman"/>
          <w:noProof/>
        </w:rPr>
        <w:t>Az a követelmény, hogy az eszköz végső kedvezményezettjei nem részesülhetnek támogatásban más uniós eszközökből ugyanazon költségek fedezésére.</w:t>
      </w:r>
    </w:p>
    <w:p w14:paraId="437F1A94" w14:textId="77777777" w:rsidR="00D65CB4" w:rsidRPr="00BC4EE7" w:rsidRDefault="00D65CB4">
      <w:pPr>
        <w:pStyle w:val="ListParagraph"/>
        <w:rPr>
          <w:rFonts w:ascii="Times New Roman" w:hAnsi="Times New Roman" w:cs="Times New Roman"/>
          <w:noProof/>
          <w:sz w:val="24"/>
        </w:rPr>
      </w:pPr>
    </w:p>
    <w:p w14:paraId="3D2CCAAB" w14:textId="057099D2" w:rsidR="00D65CB4" w:rsidRPr="00BC4EE7" w:rsidRDefault="00572307">
      <w:pPr>
        <w:pStyle w:val="P68B1DB1-ListParagraph6"/>
        <w:numPr>
          <w:ilvl w:val="0"/>
          <w:numId w:val="685"/>
        </w:numPr>
        <w:jc w:val="both"/>
        <w:rPr>
          <w:rFonts w:cs="Times New Roman"/>
          <w:noProof/>
        </w:rPr>
      </w:pPr>
      <w:r w:rsidRPr="00BC4EE7">
        <w:rPr>
          <w:rFonts w:cs="Times New Roman"/>
          <w:noProof/>
        </w:rPr>
        <w:t>A program hatálya alá tartozó összeg és a program fel nem használt bevételeinek a fent felsorolt tevékenységekbe való újbóli befektetésére vonatkozó követelmény, 2026 után is.</w:t>
      </w:r>
    </w:p>
    <w:p w14:paraId="3595B9C6" w14:textId="77777777" w:rsidR="00D65CB4" w:rsidRPr="00BC4EE7" w:rsidRDefault="00D65CB4">
      <w:pPr>
        <w:pStyle w:val="ListParagraph"/>
        <w:rPr>
          <w:rFonts w:ascii="Times New Roman" w:hAnsi="Times New Roman" w:cs="Times New Roman"/>
          <w:noProof/>
          <w:sz w:val="24"/>
        </w:rPr>
      </w:pPr>
    </w:p>
    <w:p w14:paraId="3ABE6782" w14:textId="62DAE74C" w:rsidR="00D65CB4" w:rsidRPr="00BC4EE7" w:rsidRDefault="00572307">
      <w:pPr>
        <w:pStyle w:val="ListParagraph"/>
        <w:numPr>
          <w:ilvl w:val="0"/>
          <w:numId w:val="685"/>
        </w:numPr>
        <w:jc w:val="both"/>
        <w:rPr>
          <w:rFonts w:ascii="Times New Roman" w:hAnsi="Times New Roman" w:cs="Times New Roman"/>
          <w:noProof/>
          <w:sz w:val="24"/>
        </w:rPr>
      </w:pPr>
      <w:r w:rsidRPr="00BC4EE7">
        <w:rPr>
          <w:rFonts w:ascii="Times New Roman" w:hAnsi="Times New Roman" w:cs="Times New Roman"/>
          <w:noProof/>
          <w:sz w:val="24"/>
        </w:rPr>
        <w:t>A támogatási rendszer éghajlatváltozással kapcsolatos beruházásaira vonatkozó jelentéstételi követelmények</w:t>
      </w:r>
      <w:r w:rsidRPr="00BC4EE7">
        <w:rPr>
          <w:rStyle w:val="FootnoteReference"/>
          <w:rFonts w:ascii="Times New Roman" w:hAnsi="Times New Roman" w:cs="Times New Roman"/>
          <w:noProof/>
          <w:sz w:val="24"/>
        </w:rPr>
        <w:footnoteReference w:id="219"/>
      </w:r>
      <w:r w:rsidRPr="00BC4EE7">
        <w:rPr>
          <w:rFonts w:ascii="Times New Roman" w:hAnsi="Times New Roman" w:cs="Times New Roman"/>
          <w:noProof/>
          <w:sz w:val="24"/>
        </w:rPr>
        <w:t>.</w:t>
      </w:r>
    </w:p>
    <w:p w14:paraId="677D9A98" w14:textId="4CBC5F6F" w:rsidR="00D65CB4" w:rsidRPr="00BC4EE7" w:rsidRDefault="00572307">
      <w:pPr>
        <w:pStyle w:val="P68B1DB1-ListParagraph6"/>
        <w:numPr>
          <w:ilvl w:val="0"/>
          <w:numId w:val="685"/>
        </w:numPr>
        <w:spacing w:before="120" w:after="120" w:line="240" w:lineRule="auto"/>
        <w:jc w:val="both"/>
        <w:rPr>
          <w:rFonts w:cs="Times New Roman"/>
          <w:noProof/>
        </w:rPr>
      </w:pPr>
      <w:r w:rsidRPr="00BC4EE7">
        <w:rPr>
          <w:rFonts w:cs="Times New Roman"/>
          <w:noProof/>
        </w:rPr>
        <w:t>A tőkebefektetések – beleértve a kockázati tőkét is – esetében a befektetési politika fő követelményei a tőkebefektetések, köztük a kockázati tőke lehetséges odaítélése tekintetében a következőket foglalják magukban:</w:t>
      </w:r>
    </w:p>
    <w:p w14:paraId="247597BE" w14:textId="70F6C82D" w:rsidR="00D65CB4" w:rsidRPr="00BC4EE7" w:rsidRDefault="00572307">
      <w:pPr>
        <w:pStyle w:val="P68B1DB1-ListParagraph6"/>
        <w:numPr>
          <w:ilvl w:val="0"/>
          <w:numId w:val="710"/>
        </w:numPr>
        <w:spacing w:before="120" w:after="120" w:line="240" w:lineRule="auto"/>
        <w:jc w:val="both"/>
        <w:rPr>
          <w:rFonts w:cs="Times New Roman"/>
          <w:noProof/>
        </w:rPr>
      </w:pPr>
      <w:r w:rsidRPr="00BC4EE7">
        <w:rPr>
          <w:rFonts w:cs="Times New Roman"/>
          <w:noProof/>
        </w:rPr>
        <w:t>A pénzügyi termék(ek) és a támogatható végső kedvezményezettek leírása</w:t>
      </w:r>
    </w:p>
    <w:p w14:paraId="3314A103" w14:textId="365AC497" w:rsidR="00D65CB4" w:rsidRPr="00BC4EE7" w:rsidRDefault="00572307">
      <w:pPr>
        <w:pStyle w:val="P68B1DB1-ListParagraph6"/>
        <w:numPr>
          <w:ilvl w:val="0"/>
          <w:numId w:val="710"/>
        </w:numPr>
        <w:spacing w:before="120" w:after="120" w:line="240" w:lineRule="auto"/>
        <w:jc w:val="both"/>
        <w:rPr>
          <w:rFonts w:cs="Times New Roman"/>
          <w:noProof/>
        </w:rPr>
      </w:pPr>
      <w:r w:rsidRPr="00BC4EE7">
        <w:rPr>
          <w:rFonts w:cs="Times New Roman"/>
          <w:noProof/>
        </w:rPr>
        <w:t>Az a követelmény, hogy minden támogatott beruházás gazdaságilag életképes legyen.</w:t>
      </w:r>
    </w:p>
    <w:p w14:paraId="1B5B1E05" w14:textId="77777777" w:rsidR="00D65CB4" w:rsidRPr="00BC4EE7" w:rsidRDefault="00D65CB4">
      <w:pPr>
        <w:pStyle w:val="ListParagraph"/>
        <w:rPr>
          <w:rFonts w:ascii="Times New Roman" w:hAnsi="Times New Roman" w:cs="Times New Roman"/>
          <w:noProof/>
          <w:sz w:val="24"/>
        </w:rPr>
      </w:pPr>
    </w:p>
    <w:p w14:paraId="4D08A146" w14:textId="259E26FD" w:rsidR="00D65CB4" w:rsidRPr="00BC4EE7" w:rsidRDefault="00572307">
      <w:pPr>
        <w:pStyle w:val="P68B1DB1-ListParagraph6"/>
        <w:numPr>
          <w:ilvl w:val="0"/>
          <w:numId w:val="685"/>
        </w:numPr>
        <w:spacing w:before="120" w:after="120" w:line="240" w:lineRule="auto"/>
        <w:jc w:val="both"/>
        <w:rPr>
          <w:rFonts w:cs="Times New Roman"/>
          <w:noProof/>
        </w:rPr>
      </w:pPr>
      <w:r w:rsidRPr="00BC4EE7">
        <w:rPr>
          <w:rFonts w:cs="Times New Roman"/>
          <w:noProof/>
        </w:rPr>
        <w:t>A tőkebefektetések esetében, beleértve a kockázati tőkét is, a következő nyomonkövetési, ellenőrzési és ellenőrzési követelmények:</w:t>
      </w:r>
    </w:p>
    <w:p w14:paraId="0FEDB7AD" w14:textId="1A85DC8A" w:rsidR="00D65CB4" w:rsidRPr="00BC4EE7" w:rsidRDefault="00572307">
      <w:pPr>
        <w:pStyle w:val="P68B1DB1-ListParagraph6"/>
        <w:numPr>
          <w:ilvl w:val="0"/>
          <w:numId w:val="706"/>
        </w:numPr>
        <w:rPr>
          <w:rFonts w:cs="Times New Roman"/>
          <w:noProof/>
        </w:rPr>
      </w:pPr>
      <w:r w:rsidRPr="00BC4EE7">
        <w:rPr>
          <w:rFonts w:cs="Times New Roman"/>
          <w:noProof/>
        </w:rPr>
        <w:t>Az IDAE által a mozgósított beruházások jelentésére szolgáló monitoringrendszer leírása.</w:t>
      </w:r>
    </w:p>
    <w:p w14:paraId="2DAC249E" w14:textId="1C6A607E" w:rsidR="00D65CB4" w:rsidRPr="00BC4EE7" w:rsidRDefault="00572307">
      <w:pPr>
        <w:pStyle w:val="P68B1DB1-ListParagraph6"/>
        <w:numPr>
          <w:ilvl w:val="0"/>
          <w:numId w:val="706"/>
        </w:numPr>
        <w:spacing w:before="120" w:after="120" w:line="240" w:lineRule="auto"/>
        <w:jc w:val="both"/>
        <w:rPr>
          <w:rFonts w:cs="Times New Roman"/>
          <w:noProof/>
        </w:rPr>
      </w:pPr>
      <w:r w:rsidRPr="00BC4EE7">
        <w:rPr>
          <w:rFonts w:cs="Times New Roman"/>
          <w:noProof/>
        </w:rPr>
        <w:t xml:space="preserve">Az IDAE azon eljárásainak leírása, amelyek biztosítják a csalás, a korrupció és az összeférhetetlenség megelőzését, felderítését és korrekcióját. </w:t>
      </w:r>
    </w:p>
    <w:p w14:paraId="3EA93286" w14:textId="046A78D2" w:rsidR="00D65CB4" w:rsidRPr="00BC4EE7" w:rsidRDefault="00572307">
      <w:pPr>
        <w:pStyle w:val="P68B1DB1-ListParagraph6"/>
        <w:numPr>
          <w:ilvl w:val="0"/>
          <w:numId w:val="706"/>
        </w:numPr>
        <w:spacing w:before="120" w:after="120" w:line="240" w:lineRule="auto"/>
        <w:jc w:val="both"/>
        <w:rPr>
          <w:rFonts w:cs="Times New Roman"/>
          <w:noProof/>
        </w:rPr>
      </w:pPr>
      <w:r w:rsidRPr="00BC4EE7">
        <w:rPr>
          <w:rFonts w:cs="Times New Roman"/>
          <w:noProof/>
        </w:rPr>
        <w:t>Minden egyes művelet támogathatóságának a programot létrehozó vonatkozó jogi aktusban meghatározott követelményekkel összhangban történő ellenőrzésére vonatkozó kötelezettség, mielőtt kötelezettséget vállalnának egy művelet finanszírozására.</w:t>
      </w:r>
    </w:p>
    <w:p w14:paraId="75DAF728" w14:textId="5D763AEC" w:rsidR="00D65CB4" w:rsidRPr="00BC4EE7" w:rsidRDefault="00572307">
      <w:pPr>
        <w:pStyle w:val="P68B1DB1-ListParagraph6"/>
        <w:numPr>
          <w:ilvl w:val="0"/>
          <w:numId w:val="706"/>
        </w:numPr>
        <w:spacing w:before="120" w:after="120" w:line="240" w:lineRule="auto"/>
        <w:jc w:val="both"/>
        <w:rPr>
          <w:rFonts w:cs="Times New Roman"/>
          <w:noProof/>
        </w:rPr>
      </w:pPr>
      <w:r w:rsidRPr="00BC4EE7">
        <w:rPr>
          <w:rFonts w:cs="Times New Roman"/>
          <w:noProof/>
        </w:rPr>
        <w:t xml:space="preserve">A kockázatalapú utólagos ellenőrzések elvégzésének kötelezettsége az IDAE ellenőrzési tervével összhangban. Ezeknek az ellenőrzéseknek meg kell győződniük i. arról, hogy az ellenőrzési rendszerek hatékonyak-e, beleértve a csalás, a korrupció és az összeférhetetlenség felderítését;  a DNSH-elvnek, az állami támogatásokra vonatkozó szabályoknak, valamint az éghajlat-politikai és digitális célkitűzésekre vonatkozó követelményeknek való megfelelés; és iii. tiszteletben tartják azt a követelményt, amely szerint az IDAE-nek ellenőriznie kell, hogy a végső kedvezményezett felelősségteljes nyilatkozatot nyújt-e be annak ellenőrzése érdekében, hogy ugyanazt a költséget egy másik uniós eszköz fedezi-e. Az ellenőrzések azt is ellenőrzik, hogy az ügyletek jogszerűek-e, és hogy betartják-e a rendszert létrehozó alkalmazandó jogi eszköz(ök) feltételeit. </w:t>
      </w:r>
    </w:p>
    <w:p w14:paraId="3D3DF0B7"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beruházást 2026. augusztus 31-ig végre kell hajtani.</w:t>
      </w:r>
    </w:p>
    <w:p w14:paraId="0C487F77" w14:textId="0EC3D453" w:rsidR="00D65CB4" w:rsidRPr="00BC4EE7" w:rsidRDefault="00572307">
      <w:pPr>
        <w:pStyle w:val="P68B1DB1-Text119"/>
        <w:ind w:left="0"/>
        <w:rPr>
          <w:rFonts w:cs="Times New Roman"/>
          <w:noProof/>
        </w:rPr>
      </w:pPr>
      <w:r w:rsidRPr="00BC4EE7">
        <w:rPr>
          <w:rFonts w:cs="Times New Roman"/>
          <w:noProof/>
        </w:rPr>
        <w:t>Beruházás (C31.I3) – Támogatási program a megújuló energiaforrások értékláncának és a tárolásnak a támogatására</w:t>
      </w:r>
    </w:p>
    <w:p w14:paraId="544EA9AF" w14:textId="6C539A4A"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Ez az intézkedés a megújuló energia és a tárolás értékláncát támogató támogatási rendszerbe történő állami beruházásból áll, amely kiterjed a támogatásokra és adott esetben a saját tőkére, beleértve a kockázati tőkét is. A rendszer úgy működik, hogy vissza nem térítendő támogatások vagy tőkebefektetések – többek között kockázati tőke – odaítélése révén pénzügyi ösztönzőket nyújt a magánszektornak, valamint a hasonló tevékenységeket folytató közszektorbeli intézményeknek. A Helyreállítási és Rezilienciaépítési Eszköz beruházásai alapján a támogatási program kezdetben legalább 1 000 000 000 EUR összegű finanszírozást kíván biztosítani. A programot végrehajtó partnerként az „Instituto de Diversificación y Ahorro de la Energía” (IDAE) irányítja. </w:t>
      </w:r>
    </w:p>
    <w:p w14:paraId="68D073EA" w14:textId="6C0985BE" w:rsidR="00D65CB4" w:rsidRPr="00BC4EE7" w:rsidRDefault="00572307">
      <w:pPr>
        <w:pStyle w:val="P68B1DB1-Normal4"/>
        <w:spacing w:before="120" w:after="120" w:line="240" w:lineRule="auto"/>
        <w:jc w:val="both"/>
        <w:rPr>
          <w:rFonts w:cs="Times New Roman"/>
          <w:noProof/>
        </w:rPr>
      </w:pPr>
      <w:r w:rsidRPr="00BC4EE7">
        <w:rPr>
          <w:rFonts w:cs="Times New Roman"/>
          <w:noProof/>
        </w:rPr>
        <w:t>A beruházás végrehajtása érdekében a kormány elfogad egy vagy több jogi eszközt (sajáttőke-befektetések esetében ez az eszköz az IDAE által jóváhagyandó befektetési politika), amely a következő elemeket tartalmazza:</w:t>
      </w:r>
    </w:p>
    <w:p w14:paraId="1FFBD3F1" w14:textId="5C7BEB29" w:rsidR="00D65CB4" w:rsidRPr="00BC4EE7" w:rsidRDefault="00572307">
      <w:pPr>
        <w:pStyle w:val="P68B1DB1-ListParagraph6"/>
        <w:numPr>
          <w:ilvl w:val="0"/>
          <w:numId w:val="707"/>
        </w:numPr>
        <w:spacing w:before="120" w:after="120" w:line="240" w:lineRule="auto"/>
        <w:jc w:val="both"/>
        <w:rPr>
          <w:rFonts w:cs="Times New Roman"/>
          <w:noProof/>
        </w:rPr>
      </w:pPr>
      <w:bookmarkStart w:id="64" w:name="_Hlk145070219"/>
      <w:r w:rsidRPr="00BC4EE7">
        <w:rPr>
          <w:rFonts w:cs="Times New Roman"/>
          <w:noProof/>
        </w:rPr>
        <w:t>A támogatható tevékenységek listája, amely legalább az alábbiak egyike: a nettó kibocsátásmentes gazdaságra való átállás szempontjából releváns technológiák és alkatrészek tervezése, gyártása, tárolása, újrafeldolgozása vagy kutatása és fejlesztése. Ilyen technológiák vagy alkatrészek például az akkumulátorok, a napelemek, a szélturbinák és a hőszivattyúk. Az e technológiák gyártásához szükséges nyersanyagok visszanyerése szintén támogatható</w:t>
      </w:r>
      <w:bookmarkEnd w:id="64"/>
      <w:r w:rsidRPr="00BC4EE7">
        <w:rPr>
          <w:rFonts w:cs="Times New Roman"/>
          <w:noProof/>
        </w:rPr>
        <w:t>.</w:t>
      </w:r>
    </w:p>
    <w:p w14:paraId="1AFE88AA" w14:textId="77777777" w:rsidR="00D65CB4" w:rsidRPr="00BC4EE7" w:rsidRDefault="00D65CB4">
      <w:pPr>
        <w:pStyle w:val="ListParagraph"/>
        <w:spacing w:before="120" w:after="120" w:line="240" w:lineRule="auto"/>
        <w:jc w:val="both"/>
        <w:rPr>
          <w:rFonts w:ascii="Times New Roman" w:hAnsi="Times New Roman" w:cs="Times New Roman"/>
          <w:noProof/>
          <w:sz w:val="24"/>
        </w:rPr>
      </w:pPr>
    </w:p>
    <w:p w14:paraId="31CD9981" w14:textId="4B1A93FC" w:rsidR="00D65CB4" w:rsidRPr="00BC4EE7" w:rsidRDefault="00572307">
      <w:pPr>
        <w:pStyle w:val="P68B1DB1-ListParagraph6"/>
        <w:numPr>
          <w:ilvl w:val="0"/>
          <w:numId w:val="707"/>
        </w:numPr>
        <w:spacing w:before="120" w:after="120" w:line="240" w:lineRule="auto"/>
        <w:jc w:val="both"/>
        <w:rPr>
          <w:rFonts w:cs="Times New Roman"/>
          <w:noProof/>
        </w:rPr>
      </w:pPr>
      <w:r w:rsidRPr="00BC4EE7">
        <w:rPr>
          <w:rFonts w:cs="Times New Roman"/>
          <w:noProof/>
        </w:rPr>
        <w:t>A program döntéshozatali eljárásának leírása: A pályázatok értékelését és a program keretében a végleges odaítélési határozatokba vagy beruházási döntésekbe belefoglalandó kedvezményezettek kiválasztását beruházási bizottság vagy műszaki értékelő bizottság hozza meg, és a kormánytól független tagok szavazatainak többségével hagyja jóvá, ami azt jelenti, hogy a tagoknak vagy az IDAE által alkalmazott személyzetnek és/vagy más független szakértőknek kell lenniük. A támogatási program keretében hozott végleges odaítélési határozatok vagy beruházási döntések a beruházási bizottság vagy annak megfelelő irányító testület által javasolt odaítélési vagy beruházási döntéssel kapcsolatos vétójog (módosítások nélküli) jóváhagyására vagy gyakorlására korlátozódnak. Abban az esetben, ha a pályázók bármelyike részt vesz az IDAE-ben, és e felhívás költségvetése nem elegendő az összes beérkezett pályázat fedezésére, az értékelési folyamatot az IDAE „Plan de Mitigación de Potenciales Conflictos de Interés en Sociedades Participadas” című dokumentumának megfelelően külső ellenőrzésnek kell alávetni.</w:t>
      </w:r>
    </w:p>
    <w:p w14:paraId="3786C919" w14:textId="77777777" w:rsidR="00D65CB4" w:rsidRPr="00BC4EE7" w:rsidRDefault="00D65CB4">
      <w:pPr>
        <w:pStyle w:val="ListParagraph"/>
        <w:spacing w:before="120" w:after="120" w:line="240" w:lineRule="auto"/>
        <w:jc w:val="both"/>
        <w:rPr>
          <w:rFonts w:ascii="Times New Roman" w:hAnsi="Times New Roman" w:cs="Times New Roman"/>
          <w:noProof/>
          <w:sz w:val="24"/>
        </w:rPr>
      </w:pPr>
    </w:p>
    <w:p w14:paraId="48DD98C0" w14:textId="60DFF60F" w:rsidR="00D65CB4" w:rsidRPr="00BC4EE7" w:rsidRDefault="00572307">
      <w:pPr>
        <w:pStyle w:val="ListParagraph"/>
        <w:numPr>
          <w:ilvl w:val="0"/>
          <w:numId w:val="711"/>
        </w:numPr>
        <w:spacing w:before="120" w:after="120" w:line="240" w:lineRule="auto"/>
        <w:jc w:val="both"/>
        <w:rPr>
          <w:rFonts w:ascii="Times New Roman" w:hAnsi="Times New Roman" w:cs="Times New Roman"/>
          <w:noProof/>
          <w:sz w:val="24"/>
        </w:rPr>
      </w:pPr>
      <w:r w:rsidRPr="00BC4EE7">
        <w:rPr>
          <w:rFonts w:ascii="Times New Roman" w:hAnsi="Times New Roman" w:cs="Times New Roman"/>
          <w:noProof/>
          <w:sz w:val="24"/>
        </w:rPr>
        <w:t>A jelentős károkozás elkerülését célzó elvnek való megfelelés követelménye a Helyreállítási és Rezilienciaépítési Eszköz keretében, a DNSH technikai iránymutatásban (2021/C58/01) meghatározottak szerint. A jogi eszköz(ök) kizárja(k) különösen a következő tevékenységek listáját: a fosszilis tüzelőanyagokkal kapcsolatos tevékenységek, beleértve a továbbfelhasználást is</w:t>
      </w:r>
      <w:r w:rsidRPr="00BC4EE7">
        <w:rPr>
          <w:rStyle w:val="FootnoteReference"/>
          <w:rFonts w:ascii="Times New Roman" w:hAnsi="Times New Roman" w:cs="Times New Roman"/>
          <w:noProof/>
          <w:sz w:val="24"/>
        </w:rPr>
        <w:footnoteReference w:id="220"/>
      </w:r>
      <w:r w:rsidRPr="00BC4EE7">
        <w:rPr>
          <w:rFonts w:ascii="Times New Roman" w:hAnsi="Times New Roman" w:cs="Times New Roman"/>
          <w:noProof/>
          <w:sz w:val="24"/>
        </w:rPr>
        <w:t>; ii. az uniós kibocsátáskereskedelmi rendszer (ETS) keretében végzett tevékenységek, amelyek elérik a vonatkozó referenciaértékeket meg nem haladó, előre jelzett üvegházhatásúgáz-kibocsátást</w:t>
      </w:r>
      <w:r w:rsidRPr="00BC4EE7">
        <w:rPr>
          <w:rStyle w:val="FootnoteReference"/>
          <w:rFonts w:ascii="Times New Roman" w:hAnsi="Times New Roman" w:cs="Times New Roman"/>
          <w:noProof/>
          <w:sz w:val="24"/>
        </w:rPr>
        <w:footnoteReference w:id="221"/>
      </w:r>
      <w:r w:rsidRPr="00BC4EE7">
        <w:rPr>
          <w:rFonts w:ascii="Times New Roman" w:hAnsi="Times New Roman" w:cs="Times New Roman"/>
          <w:noProof/>
          <w:sz w:val="24"/>
        </w:rPr>
        <w:t>; valamint iii. a hulladéklerakókkal, hulladékégetőkkel</w:t>
      </w:r>
      <w:r w:rsidRPr="00BC4EE7">
        <w:rPr>
          <w:rStyle w:val="FootnoteReference"/>
          <w:rFonts w:ascii="Times New Roman" w:hAnsi="Times New Roman" w:cs="Times New Roman"/>
          <w:noProof/>
          <w:sz w:val="24"/>
        </w:rPr>
        <w:footnoteReference w:id="222"/>
      </w:r>
      <w:r w:rsidRPr="00BC4EE7">
        <w:rPr>
          <w:rFonts w:ascii="Times New Roman" w:hAnsi="Times New Roman" w:cs="Times New Roman"/>
          <w:noProof/>
          <w:sz w:val="24"/>
        </w:rPr>
        <w:t xml:space="preserve"> és mechanikai-biológiai hulladékkezelő létesítményekkel kapcsolatos tevékenységek</w:t>
      </w:r>
      <w:r w:rsidRPr="00BC4EE7">
        <w:rPr>
          <w:rStyle w:val="FootnoteReference"/>
          <w:rFonts w:ascii="Times New Roman" w:hAnsi="Times New Roman" w:cs="Times New Roman"/>
          <w:noProof/>
          <w:sz w:val="24"/>
        </w:rPr>
        <w:footnoteReference w:id="223"/>
      </w:r>
      <w:r w:rsidRPr="00BC4EE7">
        <w:rPr>
          <w:rFonts w:ascii="Times New Roman" w:hAnsi="Times New Roman" w:cs="Times New Roman"/>
          <w:noProof/>
          <w:sz w:val="24"/>
        </w:rPr>
        <w:t>. A vállalatok (beleértve a saját tőkét és a kockázati tőkét) általános támogatása esetén a jogi eszköz(ök) kizárja(k) azokat a vállalatokat, amelyek jelentős hangsúlyt</w:t>
      </w:r>
      <w:r w:rsidRPr="00BC4EE7">
        <w:rPr>
          <w:rFonts w:ascii="Times New Roman" w:hAnsi="Times New Roman" w:cs="Times New Roman"/>
          <w:noProof/>
          <w:sz w:val="24"/>
        </w:rPr>
        <w:footnoteReference w:id="224"/>
      </w:r>
      <w:r w:rsidRPr="00BC4EE7">
        <w:rPr>
          <w:rFonts w:ascii="Times New Roman" w:hAnsi="Times New Roman" w:cs="Times New Roman"/>
          <w:noProof/>
          <w:sz w:val="24"/>
        </w:rPr>
        <w:t xml:space="preserve"> fektetnek a következő ágazatokra: fosszilis tüzelőanyagokon alapuló energiatermelés és kapcsolódó tevékenységek</w:t>
      </w:r>
      <w:r w:rsidRPr="00BC4EE7">
        <w:rPr>
          <w:rFonts w:ascii="Times New Roman" w:hAnsi="Times New Roman" w:cs="Times New Roman"/>
          <w:noProof/>
          <w:sz w:val="24"/>
        </w:rPr>
        <w:footnoteReference w:id="225"/>
      </w:r>
      <w:r w:rsidRPr="00BC4EE7">
        <w:rPr>
          <w:rFonts w:ascii="Times New Roman" w:hAnsi="Times New Roman" w:cs="Times New Roman"/>
          <w:noProof/>
          <w:sz w:val="24"/>
        </w:rPr>
        <w:t>; ii. energiaigényes és/vagy magas szén-dioxid-kibocsátású iparágak</w:t>
      </w:r>
      <w:r w:rsidRPr="00BC4EE7">
        <w:rPr>
          <w:rFonts w:ascii="Times New Roman" w:hAnsi="Times New Roman" w:cs="Times New Roman"/>
          <w:noProof/>
          <w:sz w:val="24"/>
        </w:rPr>
        <w:footnoteReference w:id="226"/>
      </w:r>
      <w:r w:rsidRPr="00BC4EE7">
        <w:rPr>
          <w:rFonts w:ascii="Times New Roman" w:hAnsi="Times New Roman" w:cs="Times New Roman"/>
          <w:noProof/>
          <w:sz w:val="24"/>
        </w:rPr>
        <w:t>; szennyező járművek gyártása, bérlése vagy értékesítése</w:t>
      </w:r>
      <w:r w:rsidRPr="00BC4EE7">
        <w:rPr>
          <w:rFonts w:ascii="Times New Roman" w:hAnsi="Times New Roman" w:cs="Times New Roman"/>
          <w:noProof/>
          <w:sz w:val="24"/>
        </w:rPr>
        <w:footnoteReference w:id="227"/>
      </w:r>
      <w:r w:rsidRPr="00BC4EE7">
        <w:rPr>
          <w:rFonts w:ascii="Times New Roman" w:hAnsi="Times New Roman" w:cs="Times New Roman"/>
          <w:noProof/>
          <w:sz w:val="24"/>
        </w:rPr>
        <w:t>; IV. hulladékgyűjtés, hulladékkezelés és -ártalmatlanítás</w:t>
      </w:r>
      <w:r w:rsidRPr="00BC4EE7">
        <w:rPr>
          <w:rFonts w:ascii="Times New Roman" w:hAnsi="Times New Roman" w:cs="Times New Roman"/>
          <w:noProof/>
          <w:sz w:val="24"/>
        </w:rPr>
        <w:footnoteReference w:id="228"/>
      </w:r>
      <w:r w:rsidRPr="00BC4EE7">
        <w:rPr>
          <w:rFonts w:ascii="Times New Roman" w:hAnsi="Times New Roman" w:cs="Times New Roman"/>
          <w:noProof/>
          <w:sz w:val="24"/>
        </w:rPr>
        <w:t>, v. nukleáris üzemanyag feldolgozása, atomenergia előállítása. Ezen túlmenően a jogi eszköz(ök) előírja(k) a támogatási rendszerek végső kedvezményezettjei számára a vonatkozó uniós és nemzeti környezetvédelmi jogszabályoknak való megfelelést.</w:t>
      </w:r>
    </w:p>
    <w:p w14:paraId="03F8977B" w14:textId="77777777" w:rsidR="00D65CB4" w:rsidRPr="00BC4EE7" w:rsidRDefault="00D65CB4">
      <w:pPr>
        <w:pStyle w:val="ListParagraph"/>
        <w:spacing w:before="120" w:after="120" w:line="240" w:lineRule="auto"/>
        <w:jc w:val="both"/>
        <w:rPr>
          <w:rFonts w:ascii="Times New Roman" w:hAnsi="Times New Roman" w:cs="Times New Roman"/>
          <w:noProof/>
          <w:sz w:val="24"/>
        </w:rPr>
      </w:pPr>
    </w:p>
    <w:p w14:paraId="089313FD" w14:textId="7B198AA4" w:rsidR="00D65CB4" w:rsidRPr="00BC4EE7" w:rsidRDefault="00572307">
      <w:pPr>
        <w:pStyle w:val="ListParagraph"/>
        <w:numPr>
          <w:ilvl w:val="0"/>
          <w:numId w:val="711"/>
        </w:numPr>
        <w:spacing w:before="120" w:after="120" w:line="240" w:lineRule="auto"/>
        <w:jc w:val="both"/>
        <w:rPr>
          <w:rFonts w:ascii="Times New Roman" w:hAnsi="Times New Roman" w:cs="Times New Roman"/>
          <w:noProof/>
          <w:sz w:val="24"/>
        </w:rPr>
      </w:pPr>
      <w:r w:rsidRPr="00BC4EE7">
        <w:rPr>
          <w:rFonts w:ascii="Times New Roman" w:hAnsi="Times New Roman" w:cs="Times New Roman"/>
          <w:noProof/>
          <w:sz w:val="24"/>
        </w:rPr>
        <w:t>A támogatási rendszer éghajlat-politikai beruházásaira vonatkozó követelmények: a támogatási rendszerbe történő beruházásokból legalább 902 000 000 EUR-nak a Helyreállítási és Rezilienciaépítési Eszközről szóló rendelet VI. mellékletével összhangban hozzá kell járulnia az éghajlat-változási célkitűzéshez.</w:t>
      </w:r>
      <w:r w:rsidRPr="00BC4EE7">
        <w:rPr>
          <w:rStyle w:val="FootnoteReference"/>
          <w:rFonts w:ascii="Times New Roman" w:hAnsi="Times New Roman" w:cs="Times New Roman"/>
          <w:noProof/>
          <w:sz w:val="24"/>
        </w:rPr>
        <w:footnoteReference w:id="229"/>
      </w:r>
      <w:r w:rsidRPr="00BC4EE7">
        <w:rPr>
          <w:rFonts w:ascii="Times New Roman" w:hAnsi="Times New Roman" w:cs="Times New Roman"/>
          <w:noProof/>
          <w:sz w:val="24"/>
        </w:rPr>
        <w:t xml:space="preserve"> </w:t>
      </w:r>
    </w:p>
    <w:p w14:paraId="7839E154" w14:textId="77777777" w:rsidR="00D65CB4" w:rsidRPr="00BC4EE7" w:rsidRDefault="00D65CB4">
      <w:pPr>
        <w:pStyle w:val="ListParagraph"/>
        <w:spacing w:before="120" w:after="120" w:line="240" w:lineRule="auto"/>
        <w:jc w:val="both"/>
        <w:rPr>
          <w:rFonts w:ascii="Times New Roman" w:hAnsi="Times New Roman" w:cs="Times New Roman"/>
          <w:noProof/>
          <w:sz w:val="24"/>
        </w:rPr>
      </w:pPr>
    </w:p>
    <w:p w14:paraId="5F863CB7" w14:textId="77777777" w:rsidR="00D65CB4" w:rsidRPr="00BC4EE7" w:rsidRDefault="00572307">
      <w:pPr>
        <w:pStyle w:val="P68B1DB1-ListParagraph6"/>
        <w:numPr>
          <w:ilvl w:val="0"/>
          <w:numId w:val="711"/>
        </w:numPr>
        <w:spacing w:before="120" w:after="120" w:line="240" w:lineRule="auto"/>
        <w:jc w:val="both"/>
        <w:rPr>
          <w:rFonts w:cs="Times New Roman"/>
          <w:noProof/>
        </w:rPr>
      </w:pPr>
      <w:r w:rsidRPr="00BC4EE7">
        <w:rPr>
          <w:rFonts w:cs="Times New Roman"/>
          <w:noProof/>
        </w:rPr>
        <w:t>Az a követelmény, hogy az eszköz végső kedvezményezettjei nem részesülhetnek támogatásban más uniós eszközökből ugyanazon költségek fedezésére.</w:t>
      </w:r>
    </w:p>
    <w:p w14:paraId="2D795EFF" w14:textId="77777777" w:rsidR="00D65CB4" w:rsidRPr="00BC4EE7" w:rsidRDefault="00D65CB4">
      <w:pPr>
        <w:pStyle w:val="ListParagraph"/>
        <w:rPr>
          <w:rFonts w:ascii="Times New Roman" w:hAnsi="Times New Roman" w:cs="Times New Roman"/>
          <w:noProof/>
          <w:sz w:val="24"/>
        </w:rPr>
      </w:pPr>
    </w:p>
    <w:p w14:paraId="0645499A" w14:textId="77777777" w:rsidR="00D65CB4" w:rsidRPr="00BC4EE7" w:rsidRDefault="00572307">
      <w:pPr>
        <w:pStyle w:val="P68B1DB1-ListParagraph6"/>
        <w:numPr>
          <w:ilvl w:val="0"/>
          <w:numId w:val="711"/>
        </w:numPr>
        <w:jc w:val="both"/>
        <w:rPr>
          <w:rFonts w:cs="Times New Roman"/>
          <w:noProof/>
        </w:rPr>
      </w:pPr>
      <w:r w:rsidRPr="00BC4EE7">
        <w:rPr>
          <w:rFonts w:cs="Times New Roman"/>
          <w:noProof/>
        </w:rPr>
        <w:t>A program hatálya alá tartozó összeg és a program fel nem használt bevételeinek a fent felsorolt tevékenységekbe való újbóli befektetésére vonatkozó követelmény, 2026 után is.</w:t>
      </w:r>
    </w:p>
    <w:p w14:paraId="3BD41338" w14:textId="77777777" w:rsidR="00D65CB4" w:rsidRPr="00BC4EE7" w:rsidRDefault="00D65CB4">
      <w:pPr>
        <w:pStyle w:val="ListParagraph"/>
        <w:spacing w:before="120" w:after="120" w:line="240" w:lineRule="auto"/>
        <w:jc w:val="both"/>
        <w:rPr>
          <w:rFonts w:ascii="Times New Roman" w:hAnsi="Times New Roman" w:cs="Times New Roman"/>
          <w:noProof/>
          <w:sz w:val="24"/>
        </w:rPr>
      </w:pPr>
    </w:p>
    <w:p w14:paraId="51F223E9" w14:textId="36BEE354" w:rsidR="00D65CB4" w:rsidRPr="00BC4EE7" w:rsidRDefault="00572307">
      <w:pPr>
        <w:pStyle w:val="P68B1DB1-ListParagraph6"/>
        <w:numPr>
          <w:ilvl w:val="0"/>
          <w:numId w:val="711"/>
        </w:numPr>
        <w:spacing w:before="120" w:after="120" w:line="240" w:lineRule="auto"/>
        <w:jc w:val="both"/>
        <w:rPr>
          <w:rFonts w:cs="Times New Roman"/>
          <w:noProof/>
        </w:rPr>
      </w:pPr>
      <w:r w:rsidRPr="00BC4EE7">
        <w:rPr>
          <w:rFonts w:cs="Times New Roman"/>
          <w:noProof/>
        </w:rPr>
        <w:t>A tőkebefektetések – beleértve a kockázati tőkét is – esetében a befektetési politika fő követelményei a következők:</w:t>
      </w:r>
    </w:p>
    <w:p w14:paraId="51586FF2" w14:textId="77777777" w:rsidR="00D65CB4" w:rsidRPr="00BC4EE7" w:rsidRDefault="00D65CB4">
      <w:pPr>
        <w:pStyle w:val="ListParagraph"/>
        <w:spacing w:before="120" w:after="120" w:line="240" w:lineRule="auto"/>
        <w:jc w:val="both"/>
        <w:rPr>
          <w:rFonts w:ascii="Times New Roman" w:hAnsi="Times New Roman" w:cs="Times New Roman"/>
          <w:noProof/>
          <w:sz w:val="24"/>
        </w:rPr>
      </w:pPr>
    </w:p>
    <w:p w14:paraId="48CB69A2" w14:textId="77777777" w:rsidR="00D65CB4" w:rsidRPr="00BC4EE7" w:rsidRDefault="00572307">
      <w:pPr>
        <w:pStyle w:val="P68B1DB1-ListParagraph6"/>
        <w:numPr>
          <w:ilvl w:val="0"/>
          <w:numId w:val="712"/>
        </w:numPr>
        <w:spacing w:before="120" w:after="120" w:line="240" w:lineRule="auto"/>
        <w:jc w:val="both"/>
        <w:rPr>
          <w:rFonts w:cs="Times New Roman"/>
          <w:noProof/>
        </w:rPr>
      </w:pPr>
      <w:r w:rsidRPr="00BC4EE7">
        <w:rPr>
          <w:rFonts w:cs="Times New Roman"/>
          <w:noProof/>
        </w:rPr>
        <w:t>A pénzügyi termék(ek) és a támogatható végső kedvezményezettek leírása</w:t>
      </w:r>
    </w:p>
    <w:p w14:paraId="3EA05A12" w14:textId="77777777" w:rsidR="00D65CB4" w:rsidRPr="00BC4EE7" w:rsidRDefault="00572307">
      <w:pPr>
        <w:pStyle w:val="P68B1DB1-ListParagraph6"/>
        <w:numPr>
          <w:ilvl w:val="0"/>
          <w:numId w:val="712"/>
        </w:numPr>
        <w:spacing w:before="120" w:after="120" w:line="240" w:lineRule="auto"/>
        <w:jc w:val="both"/>
        <w:rPr>
          <w:rFonts w:cs="Times New Roman"/>
          <w:noProof/>
        </w:rPr>
      </w:pPr>
      <w:r w:rsidRPr="00BC4EE7">
        <w:rPr>
          <w:rFonts w:cs="Times New Roman"/>
          <w:noProof/>
        </w:rPr>
        <w:t>Az a követelmény, hogy minden támogatott beruházás gazdaságilag életképes legyen.</w:t>
      </w:r>
    </w:p>
    <w:p w14:paraId="73FE741B" w14:textId="77777777" w:rsidR="00D65CB4" w:rsidRPr="00BC4EE7" w:rsidRDefault="00D65CB4">
      <w:pPr>
        <w:pStyle w:val="ListParagraph"/>
        <w:rPr>
          <w:rFonts w:ascii="Times New Roman" w:hAnsi="Times New Roman" w:cs="Times New Roman"/>
          <w:noProof/>
          <w:sz w:val="24"/>
        </w:rPr>
      </w:pPr>
    </w:p>
    <w:p w14:paraId="64C4FEC0" w14:textId="5527B1B6" w:rsidR="00D65CB4" w:rsidRPr="00BC4EE7" w:rsidRDefault="00572307">
      <w:pPr>
        <w:pStyle w:val="P68B1DB1-ListParagraph6"/>
        <w:numPr>
          <w:ilvl w:val="0"/>
          <w:numId w:val="714"/>
        </w:numPr>
        <w:spacing w:before="120" w:after="120" w:line="240" w:lineRule="auto"/>
        <w:jc w:val="both"/>
        <w:rPr>
          <w:rFonts w:cs="Times New Roman"/>
          <w:noProof/>
        </w:rPr>
      </w:pPr>
      <w:r w:rsidRPr="00BC4EE7">
        <w:rPr>
          <w:rFonts w:cs="Times New Roman"/>
          <w:noProof/>
        </w:rPr>
        <w:t>A tőkebefektetések esetében, beleértve a kockázati tőkét is, a következő nyomonkövetési, ellenőrzési és ellenőrzési követelmények:</w:t>
      </w:r>
    </w:p>
    <w:p w14:paraId="383E55D2" w14:textId="7F81A7AC" w:rsidR="00D65CB4" w:rsidRPr="00BC4EE7" w:rsidRDefault="00572307">
      <w:pPr>
        <w:pStyle w:val="P68B1DB1-ListParagraph6"/>
        <w:numPr>
          <w:ilvl w:val="0"/>
          <w:numId w:val="706"/>
        </w:numPr>
        <w:rPr>
          <w:rFonts w:cs="Times New Roman"/>
          <w:noProof/>
        </w:rPr>
      </w:pPr>
      <w:r w:rsidRPr="00BC4EE7">
        <w:rPr>
          <w:rFonts w:cs="Times New Roman"/>
          <w:noProof/>
        </w:rPr>
        <w:t>Az IDAE által a mozgósított beruházások jelentésére szolgáló monitoringrendszer leírása.</w:t>
      </w:r>
    </w:p>
    <w:p w14:paraId="4A6F23D8" w14:textId="2C0A6447" w:rsidR="00D65CB4" w:rsidRPr="00BC4EE7" w:rsidRDefault="00572307">
      <w:pPr>
        <w:pStyle w:val="P68B1DB1-ListParagraph6"/>
        <w:numPr>
          <w:ilvl w:val="0"/>
          <w:numId w:val="706"/>
        </w:numPr>
        <w:spacing w:before="120" w:after="120" w:line="240" w:lineRule="auto"/>
        <w:jc w:val="both"/>
        <w:rPr>
          <w:rFonts w:cs="Times New Roman"/>
          <w:noProof/>
        </w:rPr>
      </w:pPr>
      <w:r w:rsidRPr="00BC4EE7">
        <w:rPr>
          <w:rFonts w:cs="Times New Roman"/>
          <w:noProof/>
        </w:rPr>
        <w:t xml:space="preserve">Az IDAE azon eljárásainak leírása, amelyek biztosítják a csalás, a korrupció és az összeférhetetlenség megelőzését, felderítését és korrekcióját. </w:t>
      </w:r>
    </w:p>
    <w:p w14:paraId="24BEE50B" w14:textId="77777777" w:rsidR="00D65CB4" w:rsidRPr="00BC4EE7" w:rsidRDefault="00572307">
      <w:pPr>
        <w:pStyle w:val="P68B1DB1-ListParagraph6"/>
        <w:numPr>
          <w:ilvl w:val="0"/>
          <w:numId w:val="706"/>
        </w:numPr>
        <w:spacing w:before="120" w:after="120" w:line="240" w:lineRule="auto"/>
        <w:jc w:val="both"/>
        <w:rPr>
          <w:rFonts w:cs="Times New Roman"/>
          <w:noProof/>
        </w:rPr>
      </w:pPr>
      <w:r w:rsidRPr="00BC4EE7">
        <w:rPr>
          <w:rFonts w:cs="Times New Roman"/>
          <w:noProof/>
        </w:rPr>
        <w:t>Minden egyes művelet támogathatóságának a programot létrehozó vonatkozó jogi aktusban meghatározott követelményekkel összhangban történő ellenőrzésére vonatkozó kötelezettség, mielőtt kötelezettséget vállalnának egy művelet finanszírozására.</w:t>
      </w:r>
    </w:p>
    <w:p w14:paraId="4A65AD17" w14:textId="5E094F3F" w:rsidR="00D65CB4" w:rsidRPr="00BC4EE7" w:rsidRDefault="00572307">
      <w:pPr>
        <w:pStyle w:val="P68B1DB1-ListParagraph6"/>
        <w:numPr>
          <w:ilvl w:val="0"/>
          <w:numId w:val="706"/>
        </w:numPr>
        <w:spacing w:before="120" w:after="120" w:line="240" w:lineRule="auto"/>
        <w:jc w:val="both"/>
        <w:rPr>
          <w:rFonts w:cs="Times New Roman"/>
          <w:noProof/>
        </w:rPr>
      </w:pPr>
      <w:r w:rsidRPr="00BC4EE7">
        <w:rPr>
          <w:rFonts w:cs="Times New Roman"/>
          <w:noProof/>
        </w:rPr>
        <w:t xml:space="preserve">A kockázatalapú utólagos ellenőrzések elvégzésének kötelezettsége az IDAE ellenőrzési tervével összhangban. Ezek az ellenőrzések a következőket ellenőrzik: az ellenőrzési rendszerek hatékonyak-e, beleértve a csalás, a korrupció és az összeférhetetlenség felderítését;  a DNSH-elvnek, az állami támogatásokra vonatkozó szabályoknak, valamint az éghajlat-politikai és digitális célkitűzésekre vonatkozó követelményeknek való megfelelés; és iii. tiszteletben tartják azt a követelményt, amely szerint az IDAE-nek ellenőriznie kell, hogy a végső kedvezményezett felelősségteljes nyilatkozatot nyújt-e be annak ellenőrzése érdekében, hogy ugyanazt a költséget egy másik uniós eszköz fedezi-e. Az ellenőrzések azt is ellenőrzik, hogy az ügyletek jogszerűek-e, és hogy betartják-e a rendszert létrehozó alkalmazandó jogi eszköz(ök) feltételeit. </w:t>
      </w:r>
    </w:p>
    <w:p w14:paraId="46DD05F4"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beruházást 2026. június 30-ig végre kell hajtani.</w:t>
      </w:r>
    </w:p>
    <w:p w14:paraId="283A2AFF" w14:textId="77777777" w:rsidR="00D65CB4" w:rsidRPr="00BC4EE7" w:rsidRDefault="00572307">
      <w:pPr>
        <w:pStyle w:val="P68B1DB1-Text119"/>
        <w:ind w:left="0"/>
        <w:rPr>
          <w:rFonts w:cs="Times New Roman"/>
          <w:noProof/>
        </w:rPr>
      </w:pPr>
      <w:r w:rsidRPr="00BC4EE7">
        <w:rPr>
          <w:rFonts w:cs="Times New Roman"/>
          <w:noProof/>
        </w:rPr>
        <w:t>Beruházás (C31.I4) – A villamosenergia-hálózat infrastruktúráját támogató beruházások</w:t>
      </w:r>
    </w:p>
    <w:p w14:paraId="5A904BCE"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E beruházás célja a spanyol villamosenergia-átviteli hálózat fejlesztésének támogatása. A beruházás a 2021–2026-os spanyol hálózatfejlesztési terv (a továbbiakban: terv) keretében támogatható projektek befejezéséből áll. A támogatás odaítélése előtt Spanyolország meghatározza azokat a támogathatósági kritériumokat, amelyeknek a 2021–2026-os időszakra szóló spanyol hálózatfejlesztési tervből kiválasztandó projekteknek meg kell felelniük a következők alapján:</w:t>
      </w:r>
    </w:p>
    <w:p w14:paraId="6CB90F80" w14:textId="77777777" w:rsidR="00D65CB4" w:rsidRPr="00BC4EE7" w:rsidRDefault="00572307">
      <w:pPr>
        <w:pStyle w:val="P68B1DB1-ListParagraph6"/>
        <w:numPr>
          <w:ilvl w:val="0"/>
          <w:numId w:val="639"/>
        </w:numPr>
        <w:spacing w:before="120" w:after="120" w:line="240" w:lineRule="auto"/>
        <w:jc w:val="both"/>
        <w:rPr>
          <w:rFonts w:cs="Times New Roman"/>
          <w:noProof/>
        </w:rPr>
      </w:pPr>
      <w:r w:rsidRPr="00BC4EE7">
        <w:rPr>
          <w:rFonts w:cs="Times New Roman"/>
          <w:noProof/>
        </w:rPr>
        <w:t>A REPowerEU célkitűzéseinek megfelelő projektek, különösen azok, amelyek hozzájárulnak a megújuló energiaforrások integrációjához, az ipari dekarbonizációhoz, a kibocsátásmentes közlekedéshez és a belső torlódások kezeléséhez; és</w:t>
      </w:r>
    </w:p>
    <w:p w14:paraId="12949066" w14:textId="45CA2F3C" w:rsidR="00D65CB4" w:rsidRPr="00BC4EE7" w:rsidRDefault="00572307">
      <w:pPr>
        <w:pStyle w:val="P68B1DB1-ListParagraph6"/>
        <w:numPr>
          <w:ilvl w:val="0"/>
          <w:numId w:val="639"/>
        </w:numPr>
        <w:spacing w:before="120" w:after="120" w:line="240" w:lineRule="auto"/>
        <w:jc w:val="both"/>
        <w:rPr>
          <w:rFonts w:cs="Times New Roman"/>
          <w:noProof/>
        </w:rPr>
      </w:pPr>
      <w:r w:rsidRPr="00BC4EE7">
        <w:rPr>
          <w:rFonts w:cs="Times New Roman"/>
          <w:noProof/>
        </w:rPr>
        <w:t>a 2026. augusztus 31-ig befejezendő projektek.</w:t>
      </w:r>
    </w:p>
    <w:p w14:paraId="687445EF" w14:textId="77777777" w:rsidR="00D65CB4" w:rsidRPr="00BC4EE7" w:rsidRDefault="00572307">
      <w:pPr>
        <w:pStyle w:val="P68B1DB1-Normal4"/>
        <w:spacing w:before="120" w:after="120" w:line="240" w:lineRule="auto"/>
        <w:jc w:val="both"/>
        <w:rPr>
          <w:rFonts w:cs="Times New Roman"/>
          <w:noProof/>
        </w:rPr>
      </w:pPr>
      <w:r w:rsidRPr="00BC4EE7">
        <w:rPr>
          <w:rFonts w:cs="Times New Roman"/>
          <w:noProof/>
        </w:rPr>
        <w:t>A beruházást 2026. augusztus 31-ig végre kell hajtani.</w:t>
      </w:r>
    </w:p>
    <w:p w14:paraId="75F18260" w14:textId="77777777" w:rsidR="00D65CB4" w:rsidRPr="00BC4EE7" w:rsidRDefault="00572307">
      <w:pPr>
        <w:pStyle w:val="P68B1DB1-Text119"/>
        <w:ind w:left="0"/>
        <w:rPr>
          <w:rFonts w:cs="Times New Roman"/>
          <w:noProof/>
        </w:rPr>
      </w:pPr>
      <w:r w:rsidRPr="00BC4EE7">
        <w:rPr>
          <w:rFonts w:cs="Times New Roman"/>
          <w:noProof/>
        </w:rPr>
        <w:t>Beruházás (C31.I5) – Az ipari dekarbonizációt támogató beruházások (támogatások)</w:t>
      </w:r>
    </w:p>
    <w:p w14:paraId="6A2DA582" w14:textId="12F902EA" w:rsidR="00D65CB4" w:rsidRPr="00BC4EE7" w:rsidRDefault="00572307">
      <w:pPr>
        <w:pStyle w:val="Text1"/>
        <w:ind w:left="0"/>
        <w:rPr>
          <w:rStyle w:val="IntenseEmphasis"/>
          <w:rFonts w:ascii="Times New Roman" w:hAnsi="Times New Roman" w:cs="Times New Roman"/>
          <w:i w:val="0"/>
          <w:noProof/>
          <w:color w:val="auto"/>
          <w:sz w:val="22"/>
        </w:rPr>
      </w:pPr>
      <w:r w:rsidRPr="00BC4EE7">
        <w:rPr>
          <w:rStyle w:val="IntenseEmphasis"/>
          <w:rFonts w:ascii="Times New Roman" w:hAnsi="Times New Roman" w:cs="Times New Roman"/>
          <w:i w:val="0"/>
          <w:noProof/>
          <w:color w:val="auto"/>
        </w:rPr>
        <w:t xml:space="preserve">Az ipari dekarbonizációra irányuló stratégiai projekt részét képező intézkedés célja az ipari folyamatok dekarbonizációjának támogatása. Az intézkedés a feldolgozóipar dekarbonizációját célzó projektek – például az ÜHG-kibocsátás csökkentését célzó projektek – végrehajtását, valamint új, nagy hatékonyságú és dekarbonizált gyártólétesítmények fejlesztését foglalja magában. </w:t>
      </w:r>
    </w:p>
    <w:p w14:paraId="30E2F416" w14:textId="0F718873" w:rsidR="00D65CB4" w:rsidRPr="00BC4EE7" w:rsidRDefault="00572307">
      <w:pPr>
        <w:pStyle w:val="Text1"/>
        <w:ind w:left="0"/>
        <w:rPr>
          <w:rFonts w:ascii="Times New Roman" w:hAnsi="Times New Roman" w:cs="Times New Roman"/>
          <w:noProof/>
        </w:rPr>
      </w:pPr>
      <w:r w:rsidRPr="00BC4EE7">
        <w:rPr>
          <w:rFonts w:ascii="Times New Roman" w:hAnsi="Times New Roman" w:cs="Times New Roman"/>
          <w:noProof/>
        </w:rPr>
        <w:t>Az ipar dekarbonizációjára vonatkozó PERTE-t jóváhagyó határozatnak tartalmaznia kell a jelentős károkozás elkerülését célzó technikai iránymutatásnak (2021/C58/01) való megfelelést biztosító kiválasztási kritériumokat. Annak biztosítása érdekében, hogy az intézkedés megfeleljen a jelentős károkozás elkerülését célzó elvről szóló technikai iránymutatásnak (2021/C58/01), a soron következő pályázati felhívásokra vonatkozó feladatmeghatározásban szereplő támogathatósági kritériumok nem tartalmazzák a tevékenységek alábbi listáját: i. az uniós kibocsátáskereskedelmi rendszer (ETS) keretében végzett tevékenységek, amelyek elérik a vonatkozó referenciaértékeket meg nem haladó, előre jelzett üvegházhatásúgáz-kibocsátást</w:t>
      </w:r>
      <w:r w:rsidRPr="00BC4EE7">
        <w:rPr>
          <w:rStyle w:val="FootnoteReference"/>
          <w:rFonts w:ascii="Times New Roman" w:hAnsi="Times New Roman" w:cs="Times New Roman"/>
          <w:noProof/>
        </w:rPr>
        <w:footnoteReference w:id="230"/>
      </w:r>
      <w:r w:rsidRPr="00BC4EE7">
        <w:rPr>
          <w:rFonts w:ascii="Times New Roman" w:hAnsi="Times New Roman" w:cs="Times New Roman"/>
          <w:noProof/>
        </w:rPr>
        <w:t>; ii. a fosszilis tüzelőanyagokkal kapcsolatos tevékenységek, beleértve a továbbfelhasználást is, a kibocsátáskereskedelmi rendszeren (ETS)</w:t>
      </w:r>
      <w:r w:rsidRPr="00BC4EE7">
        <w:rPr>
          <w:rStyle w:val="FootnoteReference"/>
          <w:rFonts w:ascii="Times New Roman" w:hAnsi="Times New Roman" w:cs="Times New Roman"/>
          <w:noProof/>
        </w:rPr>
        <w:footnoteReference w:id="231"/>
      </w:r>
      <w:r w:rsidRPr="00BC4EE7">
        <w:rPr>
          <w:rFonts w:ascii="Times New Roman" w:hAnsi="Times New Roman" w:cs="Times New Roman"/>
          <w:noProof/>
        </w:rPr>
        <w:t xml:space="preserve">kívül A kiválasztási kritériumok előírják továbbá, hogy csak olyan tevékenységek választhatók ki, amelyek megfelelnek a vonatkozó uniós és nemzeti környezetvédelmi jogszabályoknak. </w:t>
      </w:r>
    </w:p>
    <w:p w14:paraId="0DBABB13" w14:textId="77777777" w:rsidR="00D65CB4" w:rsidRPr="00BC4EE7" w:rsidRDefault="00572307">
      <w:pPr>
        <w:pStyle w:val="P68B1DB1-Text118"/>
        <w:ind w:left="0"/>
        <w:rPr>
          <w:rFonts w:cs="Times New Roman"/>
          <w:noProof/>
        </w:rPr>
      </w:pPr>
      <w:r w:rsidRPr="00BC4EE7">
        <w:rPr>
          <w:rFonts w:cs="Times New Roman"/>
          <w:noProof/>
        </w:rPr>
        <w:t xml:space="preserve">Az e beruházás keretében végrehajtott következő K+F+I tevékenységeket úgy kell tekinteni, hogy megfelelnek a jelentős károkozás elkerülését célzó technikai iránymutatásnak (2021/C58/01): E beruházás keretében a vállalatok környezeti fenntarthatóságának jelentős növelésére (például dekarbonizáció, szennyezéscsökkentés és körforgásos gazdaság) irányuló K+F+I tevékenységek, amennyiben az e beruházás keretében végrehajtott K+F+I tevékenységek elsődleges célja az ágazatban a lehető legkisebb környezeti hatással járó alternatívák kifejlesztése vagy kiigazítása. </w:t>
      </w:r>
    </w:p>
    <w:p w14:paraId="4FA77B87" w14:textId="0F528DE1" w:rsidR="00D65CB4" w:rsidRPr="00BC4EE7" w:rsidRDefault="00572307">
      <w:pPr>
        <w:pStyle w:val="Text1"/>
        <w:ind w:left="0"/>
        <w:rPr>
          <w:rStyle w:val="IntenseEmphasis"/>
          <w:rFonts w:ascii="Times New Roman" w:hAnsi="Times New Roman" w:cs="Times New Roman"/>
          <w:i w:val="0"/>
          <w:noProof/>
          <w:color w:val="auto"/>
        </w:rPr>
      </w:pPr>
      <w:r w:rsidRPr="00BC4EE7">
        <w:rPr>
          <w:rFonts w:ascii="Times New Roman" w:hAnsi="Times New Roman" w:cs="Times New Roman"/>
          <w:noProof/>
        </w:rPr>
        <w:t>A kiválasztási kritériumoknak biztosítaniuk kell, hogy legalább 236 000 000 EUR, amely az intézkedés becsült költségének 40%-át teszi ki, hozzájáruljon az éghajlatváltozással kapcsolatos célkitűzésekhez, a Helyreállítási és Rezilienciaépítési Eszközről szóló rendelet VI. mellékletével összhangban.</w:t>
      </w:r>
      <w:r w:rsidRPr="00BC4EE7">
        <w:rPr>
          <w:rStyle w:val="FootnoteReference"/>
          <w:rFonts w:ascii="Times New Roman" w:hAnsi="Times New Roman" w:cs="Times New Roman"/>
          <w:noProof/>
        </w:rPr>
        <w:footnoteReference w:id="232"/>
      </w:r>
    </w:p>
    <w:p w14:paraId="673AC9A6" w14:textId="77777777" w:rsidR="00D65CB4" w:rsidRPr="00BC4EE7" w:rsidRDefault="00572307">
      <w:pPr>
        <w:pStyle w:val="Text1"/>
        <w:ind w:left="0"/>
        <w:rPr>
          <w:rFonts w:ascii="Times New Roman" w:hAnsi="Times New Roman" w:cs="Times New Roman"/>
          <w:noProof/>
        </w:rPr>
      </w:pPr>
      <w:r w:rsidRPr="00BC4EE7">
        <w:rPr>
          <w:rStyle w:val="IntenseEmphasis"/>
          <w:rFonts w:ascii="Times New Roman" w:hAnsi="Times New Roman" w:cs="Times New Roman"/>
          <w:i w:val="0"/>
          <w:noProof/>
          <w:color w:val="auto"/>
        </w:rPr>
        <w:t>Az intézkedés végrehajtását 2026. augusztus</w:t>
      </w:r>
      <w:r w:rsidRPr="00BC4EE7">
        <w:rPr>
          <w:rFonts w:ascii="Times New Roman" w:hAnsi="Times New Roman" w:cs="Times New Roman"/>
          <w:i/>
          <w:noProof/>
        </w:rPr>
        <w:t xml:space="preserve"> </w:t>
      </w:r>
      <w:r w:rsidRPr="00BC4EE7">
        <w:rPr>
          <w:rStyle w:val="IntenseEmphasis"/>
          <w:rFonts w:ascii="Times New Roman" w:hAnsi="Times New Roman" w:cs="Times New Roman"/>
          <w:i w:val="0"/>
          <w:noProof/>
          <w:color w:val="auto"/>
        </w:rPr>
        <w:t>31-ig be kell fejezni</w:t>
      </w:r>
      <w:r w:rsidRPr="00BC4EE7">
        <w:rPr>
          <w:rFonts w:ascii="Times New Roman" w:hAnsi="Times New Roman" w:cs="Times New Roman"/>
          <w:noProof/>
        </w:rPr>
        <w:t xml:space="preserve">. </w:t>
      </w:r>
    </w:p>
    <w:p w14:paraId="5556DCD0" w14:textId="77777777" w:rsidR="00D65CB4" w:rsidRPr="00BC4EE7" w:rsidRDefault="00D65CB4">
      <w:pPr>
        <w:spacing w:after="0" w:line="240" w:lineRule="auto"/>
        <w:jc w:val="both"/>
        <w:rPr>
          <w:rFonts w:ascii="Times New Roman" w:hAnsi="Times New Roman" w:cs="Times New Roman"/>
          <w:noProof/>
        </w:rPr>
      </w:pPr>
    </w:p>
    <w:p w14:paraId="00620CE8" w14:textId="5E52E87D" w:rsidR="00D65CB4" w:rsidRPr="00BC4EE7" w:rsidRDefault="00572307">
      <w:pPr>
        <w:pStyle w:val="P68B1DB1-Normal5"/>
        <w:rPr>
          <w:rFonts w:cs="Times New Roman"/>
          <w:noProof/>
        </w:rPr>
      </w:pPr>
      <w:r w:rsidRPr="00BC4EE7">
        <w:rPr>
          <w:rFonts w:cs="Times New Roman"/>
          <w:noProof/>
        </w:rPr>
        <w:t>Beruházás (C31.I6) – Támogatás dekarbonizációs projektekhez (támogatások)</w:t>
      </w:r>
    </w:p>
    <w:p w14:paraId="5BCED0EA" w14:textId="71CA3698" w:rsidR="00D65CB4" w:rsidRPr="00BC4EE7" w:rsidRDefault="00572307">
      <w:pPr>
        <w:pStyle w:val="P68B1DB1-paragraph24"/>
        <w:spacing w:before="120" w:after="120"/>
        <w:jc w:val="both"/>
        <w:textAlignment w:val="baseline"/>
        <w:rPr>
          <w:rFonts w:cs="Times New Roman"/>
          <w:noProof/>
        </w:rPr>
      </w:pPr>
      <w:r w:rsidRPr="00BC4EE7">
        <w:rPr>
          <w:rFonts w:cs="Times New Roman"/>
          <w:noProof/>
        </w:rPr>
        <w:t>Ez az intézkedés állami támogatási rendszerbe történő állami beruházásból áll a magánberuházások ösztönzése érdekében. A rendszer a Miniszterek Tanácsa által jóváhagyott DECARB stratégiai projekt (PERTE) keretében előmozdítja az ipari folyamatok dekarbonizációját, valamint az új, nagy hatékonyságú és dekarbonizált gyártólétesítmények fejlesztését. A Helyreállítási és Rezilienciaépítési Eszköz beruházásai alapján a támogatási program kezdetben legalább 430 000 000 EUR összegű finanszírozást kíván biztosítani.</w:t>
      </w:r>
    </w:p>
    <w:p w14:paraId="28317DC5" w14:textId="4E40DB6A" w:rsidR="00D65CB4" w:rsidRPr="00BC4EE7" w:rsidRDefault="00572307">
      <w:pPr>
        <w:pStyle w:val="P68B1DB1-paragraph24"/>
        <w:spacing w:before="120" w:after="120"/>
        <w:jc w:val="both"/>
        <w:textAlignment w:val="baseline"/>
        <w:rPr>
          <w:rFonts w:cs="Times New Roman"/>
          <w:noProof/>
        </w:rPr>
      </w:pPr>
      <w:r w:rsidRPr="00BC4EE7">
        <w:rPr>
          <w:rFonts w:cs="Times New Roman"/>
          <w:noProof/>
        </w:rPr>
        <w:t xml:space="preserve">A rendszert végrehajtó partnerként a SEPIDES irányítja. A vonatkozó jogi aktus e beruházás megvalósítása érdekében a SEPIDES-t közvállalkozássá alakítja át. </w:t>
      </w:r>
    </w:p>
    <w:p w14:paraId="0DB2C377" w14:textId="421903AA" w:rsidR="00D65CB4" w:rsidRPr="00BC4EE7" w:rsidRDefault="00572307">
      <w:pPr>
        <w:pStyle w:val="P68B1DB1-paragraph24"/>
        <w:spacing w:before="120" w:after="120"/>
        <w:jc w:val="both"/>
        <w:textAlignment w:val="baseline"/>
        <w:rPr>
          <w:rFonts w:cs="Times New Roman"/>
          <w:noProof/>
        </w:rPr>
      </w:pPr>
      <w:r w:rsidRPr="00BC4EE7">
        <w:rPr>
          <w:rFonts w:cs="Times New Roman"/>
          <w:noProof/>
        </w:rPr>
        <w:t xml:space="preserve">A programba történő beruházás végrehajtása érdekében a kormány a támogatási programot létrehozó egy vagy több jogi aktust fogad el, amelyek a következő elemeket tartalmazzák:  </w:t>
      </w:r>
    </w:p>
    <w:p w14:paraId="1E0157FE" w14:textId="648F143E" w:rsidR="00D65CB4" w:rsidRPr="00BC4EE7" w:rsidRDefault="00572307">
      <w:pPr>
        <w:pStyle w:val="P68B1DB1-paragraph24"/>
        <w:numPr>
          <w:ilvl w:val="0"/>
          <w:numId w:val="778"/>
        </w:numPr>
        <w:spacing w:before="120" w:after="120"/>
        <w:jc w:val="both"/>
        <w:textAlignment w:val="baseline"/>
        <w:rPr>
          <w:rFonts w:cs="Times New Roman"/>
          <w:noProof/>
        </w:rPr>
      </w:pPr>
      <w:r w:rsidRPr="00BC4EE7">
        <w:rPr>
          <w:rFonts w:cs="Times New Roman"/>
          <w:noProof/>
        </w:rPr>
        <w:t xml:space="preserve">A programra vonatkozó döntéshozatali eljárás leírása: A pályázatok értékelését és a program keretében a végleges odaítélési határozatokba vagy beruházási döntésekbe belefoglalandó kedvezményezettek kiválasztását értékelő bizottság vagy más ezzel egyenértékű irányító testület hozza meg, amelyet a spanyol kormánytól független tagok szavazatainak többségével kell jóváhagyni, azaz a SEPIDES által alkalmazott személyzetnek és/vagy más független szakértőknek kell lenniük. A program végleges beruházási döntése az értékelő bizottság vagy annak megfelelő irányító testület által javasolt beruházási döntéssel kapcsolatos (módosítás nélküli) jóváhagyásra vagy vétójog gyakorlására korlátozódik.  </w:t>
      </w:r>
    </w:p>
    <w:p w14:paraId="349961BF" w14:textId="759D5F46" w:rsidR="00D65CB4" w:rsidRPr="00BC4EE7" w:rsidRDefault="00572307">
      <w:pPr>
        <w:pStyle w:val="P68B1DB1-paragraph24"/>
        <w:numPr>
          <w:ilvl w:val="0"/>
          <w:numId w:val="778"/>
        </w:numPr>
        <w:spacing w:before="120" w:after="120"/>
        <w:jc w:val="both"/>
        <w:textAlignment w:val="baseline"/>
        <w:rPr>
          <w:rFonts w:cs="Times New Roman"/>
          <w:noProof/>
        </w:rPr>
      </w:pPr>
      <w:r w:rsidRPr="00BC4EE7">
        <w:rPr>
          <w:rFonts w:cs="Times New Roman"/>
          <w:noProof/>
        </w:rPr>
        <w:t>Az ágazat zöld és digitális átalakulására irányuló, támogatásra jogosult tevékenységek jegyzéke, amelynek összege legalább 430 000 000 EUR. Az intézkedés olyan innovatív projekteket támogat, amelyek az ágazat energiahatékonysága, fenntarthatósága és digitális átalakulása szempontjából jelentős ipari átalakulást, valamint új, rendkívül hatékony és dekarbonizált gyártólétesítmények fejlesztését foglalják magukban.</w:t>
      </w:r>
    </w:p>
    <w:p w14:paraId="09743D41" w14:textId="71209F0A" w:rsidR="00D65CB4" w:rsidRPr="00BC4EE7" w:rsidRDefault="00572307">
      <w:pPr>
        <w:pStyle w:val="paragraph"/>
        <w:numPr>
          <w:ilvl w:val="0"/>
          <w:numId w:val="778"/>
        </w:numPr>
        <w:spacing w:before="120" w:after="120"/>
        <w:jc w:val="both"/>
        <w:textAlignment w:val="baseline"/>
        <w:rPr>
          <w:rFonts w:ascii="Times New Roman" w:hAnsi="Times New Roman" w:cs="Times New Roman"/>
          <w:noProof/>
        </w:rPr>
      </w:pPr>
      <w:r w:rsidRPr="00BC4EE7">
        <w:rPr>
          <w:rFonts w:ascii="Times New Roman" w:hAnsi="Times New Roman" w:cs="Times New Roman"/>
          <w:noProof/>
        </w:rPr>
        <w:t>A jelentős károkozás elkerülését célzó elvnek való megfelelés követelménye a Helyreállítási és Rezilienciaépítési Eszköz keretében, a DNSH technikai iránymutatásban (2021/C58/01) meghatározottak szerint. A jogi eszköz(ök) kizárja(k) különösen a következő tevékenységek listáját: i. az uniós kibocsátáskereskedelmi rendszer (ETS) keretében végzett tevékenységek, amelyek elérik a vonatkozó referenciaértékeket meg nem haladó, előre jelzett üvegházhatásúgáz-kibocsátást</w:t>
      </w:r>
      <w:r w:rsidRPr="00BC4EE7">
        <w:rPr>
          <w:rStyle w:val="FootnoteReference"/>
          <w:rFonts w:ascii="Times New Roman" w:hAnsi="Times New Roman" w:cs="Times New Roman"/>
          <w:noProof/>
        </w:rPr>
        <w:footnoteReference w:id="233"/>
      </w:r>
      <w:r w:rsidRPr="00BC4EE7">
        <w:rPr>
          <w:rFonts w:ascii="Times New Roman" w:hAnsi="Times New Roman" w:cs="Times New Roman"/>
          <w:noProof/>
        </w:rPr>
        <w:t>; ii. a fosszilis tüzelőanyagokkal kapcsolatos tevékenységek, beleértve a továbbfelhasználást is, a kibocsátáskereskedelmi rendszeren (ETS)</w:t>
      </w:r>
      <w:r w:rsidRPr="00BC4EE7">
        <w:rPr>
          <w:rStyle w:val="FootnoteReference"/>
          <w:rFonts w:ascii="Times New Roman" w:hAnsi="Times New Roman" w:cs="Times New Roman"/>
          <w:noProof/>
        </w:rPr>
        <w:footnoteReference w:id="234"/>
      </w:r>
      <w:r w:rsidRPr="00BC4EE7">
        <w:rPr>
          <w:rFonts w:ascii="Times New Roman" w:hAnsi="Times New Roman" w:cs="Times New Roman"/>
          <w:noProof/>
        </w:rPr>
        <w:t xml:space="preserve">kívül Ezen túlmenően a jogi eszköz(ök) előírja(k) a támogatási rendszerek végső kedvezményezettjei számára a vonatkozó uniós és nemzeti környezetvédelmi jogszabályoknak való megfelelést. Az e beruházás keretében végrehajtott következő K+F+I tevékenységeket úgy kell tekinteni, hogy megfelelnek a jelentős károkozás elkerülését célzó technikai iránymutatásnak (2021/C58/01): E beruházás keretében a vállalatok környezeti fenntarthatóságának jelentős növelésére (például dekarbonizáció, szennyezéscsökkentés és körforgásos gazdaság) irányuló K+F+I tevékenységek, amennyiben az e beruházás keretében végrehajtott K+F+I tevékenységek elsődleges célja az ágazatban a lehető legkisebb környezeti hatással járó alternatívák kifejlesztése vagy kiigazítása. Ezen túlmenően a jogi eszköz(ök) előírja(k) a támogatási rendszerek végső kedvezményezettjei számára a vonatkozó uniós és nemzeti környezetvédelmi jogszabályoknak való megfelelést.  </w:t>
      </w:r>
    </w:p>
    <w:p w14:paraId="4B5E9D89" w14:textId="4F304DB4" w:rsidR="00D65CB4" w:rsidRPr="00BC4EE7" w:rsidRDefault="00572307">
      <w:pPr>
        <w:pStyle w:val="paragraph"/>
        <w:numPr>
          <w:ilvl w:val="0"/>
          <w:numId w:val="778"/>
        </w:numPr>
        <w:spacing w:before="120" w:after="120"/>
        <w:jc w:val="both"/>
        <w:textAlignment w:val="baseline"/>
        <w:rPr>
          <w:rFonts w:ascii="Times New Roman" w:hAnsi="Times New Roman" w:cs="Times New Roman"/>
          <w:noProof/>
        </w:rPr>
      </w:pPr>
      <w:r w:rsidRPr="00BC4EE7">
        <w:rPr>
          <w:rFonts w:ascii="Times New Roman" w:hAnsi="Times New Roman" w:cs="Times New Roman"/>
          <w:noProof/>
        </w:rPr>
        <w:t>A támogatási rendszer éghajlat-politikai beruházásaira vonatkozó követelmények: a Helyreállítási és Rezilienciaépítési Eszköz programba történő beruházásából legalább 172 000 000 EUR-nak a Helyreállítási és Rezilienciaépítési Eszközről szóló rendelet VI. mellékletével összhangban hozzá kell járulnia az éghajlatváltozással kapcsolatos célkitűzésekhez.</w:t>
      </w:r>
      <w:r w:rsidRPr="00BC4EE7">
        <w:rPr>
          <w:rStyle w:val="FootnoteReference"/>
          <w:rFonts w:ascii="Times New Roman" w:hAnsi="Times New Roman" w:cs="Times New Roman"/>
          <w:noProof/>
        </w:rPr>
        <w:footnoteReference w:id="235"/>
      </w:r>
      <w:r w:rsidRPr="00BC4EE7">
        <w:rPr>
          <w:rFonts w:ascii="Times New Roman" w:hAnsi="Times New Roman" w:cs="Times New Roman"/>
          <w:noProof/>
        </w:rPr>
        <w:t xml:space="preserve"> </w:t>
      </w:r>
    </w:p>
    <w:p w14:paraId="07CE7015" w14:textId="77777777" w:rsidR="00D65CB4" w:rsidRPr="00BC4EE7" w:rsidRDefault="00572307">
      <w:pPr>
        <w:pStyle w:val="P68B1DB1-paragraph24"/>
        <w:numPr>
          <w:ilvl w:val="0"/>
          <w:numId w:val="778"/>
        </w:numPr>
        <w:spacing w:before="120" w:after="120"/>
        <w:jc w:val="both"/>
        <w:textAlignment w:val="baseline"/>
        <w:rPr>
          <w:rFonts w:cs="Times New Roman"/>
          <w:noProof/>
        </w:rPr>
      </w:pPr>
      <w:r w:rsidRPr="00BC4EE7">
        <w:rPr>
          <w:rFonts w:cs="Times New Roman"/>
          <w:noProof/>
        </w:rPr>
        <w:t>Az a követelmény, hogy a támogatási rendszer végső kedvezményezettjei nem részesülhetnek támogatásban más uniós eszközökből ugyanazon költségek fedezésére.</w:t>
      </w:r>
    </w:p>
    <w:p w14:paraId="64F04B98" w14:textId="37DD96F3" w:rsidR="00D65CB4" w:rsidRPr="00BC4EE7" w:rsidRDefault="00572307">
      <w:pPr>
        <w:pStyle w:val="P68B1DB1-paragraph24"/>
        <w:numPr>
          <w:ilvl w:val="0"/>
          <w:numId w:val="778"/>
        </w:numPr>
        <w:spacing w:before="120" w:after="120"/>
        <w:jc w:val="both"/>
        <w:textAlignment w:val="baseline"/>
        <w:rPr>
          <w:rFonts w:cs="Times New Roman"/>
          <w:noProof/>
        </w:rPr>
      </w:pPr>
      <w:r w:rsidRPr="00BC4EE7">
        <w:rPr>
          <w:rFonts w:cs="Times New Roman"/>
          <w:noProof/>
        </w:rPr>
        <w:t xml:space="preserve">A program hatálya alá tartozó összeg és a támogatási program fel nem használt bevételeinek a fent felsorolt tevékenységekbe való újbóli befektetésére vonatkozó követelmény, 2026 után is. </w:t>
      </w:r>
    </w:p>
    <w:p w14:paraId="7190FCC1" w14:textId="77777777" w:rsidR="00D65CB4" w:rsidRPr="00BC4EE7" w:rsidRDefault="00572307">
      <w:pPr>
        <w:pStyle w:val="P68B1DB1-paragraph24"/>
        <w:spacing w:before="120" w:beforeAutospacing="0" w:after="120" w:afterAutospacing="0"/>
        <w:jc w:val="both"/>
        <w:textAlignment w:val="baseline"/>
        <w:rPr>
          <w:rFonts w:cs="Times New Roman"/>
          <w:noProof/>
        </w:rPr>
      </w:pPr>
      <w:r w:rsidRPr="00BC4EE7">
        <w:rPr>
          <w:rFonts w:cs="Times New Roman"/>
          <w:noProof/>
        </w:rPr>
        <w:t>A beruházás végrehajtását 2026. augusztus 31-ig be kell fejezni.</w:t>
      </w:r>
    </w:p>
    <w:p w14:paraId="236B8678" w14:textId="77777777" w:rsidR="00D65CB4" w:rsidRPr="00BC4EE7" w:rsidRDefault="00572307">
      <w:pPr>
        <w:pStyle w:val="Text1"/>
        <w:spacing w:before="0" w:after="160" w:line="259" w:lineRule="auto"/>
        <w:rPr>
          <w:rFonts w:ascii="Times New Roman" w:hAnsi="Times New Roman" w:cs="Times New Roman"/>
          <w:b/>
          <w:noProof/>
        </w:rPr>
      </w:pPr>
      <w:r w:rsidRPr="00BC4EE7">
        <w:rPr>
          <w:rFonts w:ascii="Times New Roman" w:hAnsi="Times New Roman" w:cs="Times New Roman"/>
          <w:b/>
          <w:noProof/>
          <w:u w:val="single"/>
        </w:rPr>
        <w:t xml:space="preserve">AE.2. </w:t>
      </w:r>
      <w:r w:rsidRPr="00BC4EE7">
        <w:rPr>
          <w:rFonts w:ascii="Times New Roman" w:hAnsi="Times New Roman" w:cs="Times New Roman"/>
          <w:noProof/>
        </w:rPr>
        <w:t xml:space="preserve"> </w:t>
      </w:r>
      <w:r w:rsidRPr="00BC4EE7">
        <w:rPr>
          <w:rFonts w:ascii="Times New Roman" w:hAnsi="Times New Roman" w:cs="Times New Roman"/>
          <w:b/>
          <w:noProof/>
          <w:u w:val="single"/>
        </w:rPr>
        <w:t>Vissza nem térítendő pénzügyi támogatás – a végrehajtáshoz és a nyomon követéshez kapcsolódó mérföldkövek, célok, mutatók és ütemterv</w:t>
      </w:r>
      <w:r w:rsidRPr="00BC4EE7">
        <w:rPr>
          <w:rFonts w:ascii="Times New Roman" w:hAnsi="Times New Roman" w:cs="Times New Roman"/>
          <w:b/>
          <w:noProof/>
        </w:rPr>
        <w:t xml:space="preserve"> </w:t>
      </w:r>
    </w:p>
    <w:p w14:paraId="6F1268C1" w14:textId="3DE96705" w:rsidR="00D65CB4" w:rsidRPr="00BC4EE7" w:rsidRDefault="00572307">
      <w:pPr>
        <w:pStyle w:val="P68B1DB1-Normal17"/>
        <w:spacing w:after="160" w:line="259" w:lineRule="auto"/>
        <w:jc w:val="both"/>
        <w:rPr>
          <w:rFonts w:cs="Times New Roman"/>
          <w:noProof/>
        </w:rPr>
      </w:pPr>
      <w:r w:rsidRPr="00BC4EE7">
        <w:rPr>
          <w:rFonts w:cs="Times New Roman"/>
          <w:noProof/>
        </w:rPr>
        <w:t xml:space="preserve">Táblázat alább. Az összes mutató esetében az alapforgatókönyv időpontja 2022. február 1., kivéve, ha az intézkedés leírása ettől eltérően rendelkezik. A táblázatban szereplő összegek nem tartalmazzák a héát.  </w:t>
      </w:r>
    </w:p>
    <w:p w14:paraId="3049B90A" w14:textId="77777777" w:rsidR="00D65CB4" w:rsidRPr="00BC4EE7" w:rsidRDefault="00D65CB4">
      <w:pPr>
        <w:pStyle w:val="Text1"/>
        <w:ind w:left="490"/>
        <w:rPr>
          <w:rFonts w:ascii="Times New Roman" w:hAnsi="Times New Roman" w:cs="Times New Roman"/>
          <w:noProof/>
        </w:rPr>
      </w:pPr>
    </w:p>
    <w:p w14:paraId="174C711A" w14:textId="77777777" w:rsidR="00D65CB4" w:rsidRPr="00BC4EE7" w:rsidRDefault="00D65CB4">
      <w:pPr>
        <w:spacing w:before="120" w:after="120" w:line="240" w:lineRule="auto"/>
        <w:jc w:val="both"/>
        <w:rPr>
          <w:rFonts w:ascii="Times New Roman" w:hAnsi="Times New Roman" w:cs="Times New Roman"/>
          <w:noProof/>
          <w:sz w:val="24"/>
          <w:highlight w:val="yellow"/>
        </w:rPr>
      </w:pPr>
    </w:p>
    <w:p w14:paraId="6A9BBC53" w14:textId="77777777" w:rsidR="00D65CB4" w:rsidRPr="00BC4EE7" w:rsidRDefault="00D65CB4">
      <w:pPr>
        <w:pStyle w:val="Text1"/>
        <w:ind w:left="0"/>
        <w:rPr>
          <w:rFonts w:ascii="Times New Roman" w:eastAsia="Times New Roman" w:hAnsi="Times New Roman" w:cs="Times New Roman"/>
          <w:noProof/>
          <w:u w:val="single"/>
        </w:rPr>
        <w:sectPr w:rsidR="00D65CB4" w:rsidRPr="00BC4EE7" w:rsidSect="00B511EF">
          <w:headerReference w:type="even" r:id="rId592"/>
          <w:headerReference w:type="default" r:id="rId593"/>
          <w:footerReference w:type="even" r:id="rId594"/>
          <w:footerReference w:type="default" r:id="rId595"/>
          <w:headerReference w:type="first" r:id="rId596"/>
          <w:footerReference w:type="first" r:id="rId597"/>
          <w:pgSz w:w="11907" w:h="16839"/>
          <w:pgMar w:top="1134" w:right="1134" w:bottom="1134" w:left="1134" w:header="567" w:footer="567" w:gutter="0"/>
          <w:cols w:space="720"/>
          <w:docGrid w:linePitch="360"/>
        </w:sectPr>
      </w:pPr>
    </w:p>
    <w:tbl>
      <w:tblPr>
        <w:tblW w:w="15450"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89"/>
        <w:gridCol w:w="913"/>
        <w:gridCol w:w="992"/>
        <w:gridCol w:w="1957"/>
        <w:gridCol w:w="1173"/>
        <w:gridCol w:w="581"/>
        <w:gridCol w:w="958"/>
        <w:gridCol w:w="538"/>
        <w:gridCol w:w="413"/>
        <w:gridCol w:w="486"/>
        <w:gridCol w:w="6620"/>
        <w:gridCol w:w="30"/>
      </w:tblGrid>
      <w:tr w:rsidR="00D65CB4" w:rsidRPr="00BC4EE7" w14:paraId="267E4B0F" w14:textId="77777777" w:rsidTr="00572307">
        <w:trPr>
          <w:trHeight w:val="309"/>
          <w:tblHeader/>
        </w:trPr>
        <w:tc>
          <w:tcPr>
            <w:tcW w:w="789" w:type="dxa"/>
            <w:tcBorders>
              <w:bottom w:val="nil"/>
            </w:tcBorders>
            <w:shd w:val="clear" w:color="auto" w:fill="C6D9F1" w:themeFill="text2" w:themeFillTint="33"/>
            <w:noWrap/>
            <w:vAlign w:val="center"/>
          </w:tcPr>
          <w:p w14:paraId="739499BC" w14:textId="77777777" w:rsidR="00D65CB4" w:rsidRPr="00BC4EE7" w:rsidRDefault="00572307">
            <w:pPr>
              <w:pStyle w:val="P68B1DB1-Normal8"/>
              <w:spacing w:after="0"/>
              <w:jc w:val="center"/>
              <w:rPr>
                <w:rFonts w:cs="Times New Roman"/>
                <w:noProof/>
              </w:rPr>
            </w:pPr>
            <w:r w:rsidRPr="00BC4EE7">
              <w:rPr>
                <w:rFonts w:cs="Times New Roman"/>
                <w:noProof/>
              </w:rPr>
              <w:t>Szám</w:t>
            </w:r>
          </w:p>
        </w:tc>
        <w:tc>
          <w:tcPr>
            <w:tcW w:w="913" w:type="dxa"/>
            <w:tcBorders>
              <w:bottom w:val="nil"/>
            </w:tcBorders>
            <w:shd w:val="clear" w:color="auto" w:fill="C6D9F1" w:themeFill="text2" w:themeFillTint="33"/>
            <w:noWrap/>
            <w:vAlign w:val="center"/>
          </w:tcPr>
          <w:p w14:paraId="26DABC7B" w14:textId="77777777" w:rsidR="00D65CB4" w:rsidRPr="00BC4EE7" w:rsidRDefault="00572307">
            <w:pPr>
              <w:pStyle w:val="P68B1DB1-Normal8"/>
              <w:spacing w:after="0"/>
              <w:jc w:val="center"/>
              <w:rPr>
                <w:rFonts w:cs="Times New Roman"/>
                <w:noProof/>
              </w:rPr>
            </w:pPr>
            <w:r w:rsidRPr="00BC4EE7">
              <w:rPr>
                <w:rFonts w:cs="Times New Roman"/>
                <w:noProof/>
              </w:rPr>
              <w:t>Intézkedés</w:t>
            </w:r>
          </w:p>
        </w:tc>
        <w:tc>
          <w:tcPr>
            <w:tcW w:w="992" w:type="dxa"/>
            <w:tcBorders>
              <w:bottom w:val="nil"/>
            </w:tcBorders>
            <w:shd w:val="clear" w:color="auto" w:fill="C6D9F1" w:themeFill="text2" w:themeFillTint="33"/>
            <w:noWrap/>
            <w:vAlign w:val="center"/>
          </w:tcPr>
          <w:p w14:paraId="307D85D7" w14:textId="77777777" w:rsidR="00D65CB4" w:rsidRPr="00BC4EE7" w:rsidRDefault="00572307">
            <w:pPr>
              <w:spacing w:after="0"/>
              <w:jc w:val="center"/>
              <w:rPr>
                <w:rFonts w:ascii="Times New Roman" w:hAnsi="Times New Roman" w:cs="Times New Roman"/>
                <w:b/>
                <w:noProof/>
                <w:sz w:val="18"/>
              </w:rPr>
            </w:pPr>
            <w:r w:rsidRPr="00BC4EE7">
              <w:rPr>
                <w:rFonts w:ascii="Times New Roman" w:hAnsi="Times New Roman" w:cs="Times New Roman"/>
                <w:b/>
                <w:noProof/>
                <w:sz w:val="18"/>
              </w:rPr>
              <w:t>Mérföldkő</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b/>
                <w:noProof/>
                <w:sz w:val="18"/>
              </w:rPr>
              <w:t xml:space="preserve"> /Cél</w:t>
            </w:r>
          </w:p>
        </w:tc>
        <w:tc>
          <w:tcPr>
            <w:tcW w:w="1957" w:type="dxa"/>
            <w:tcBorders>
              <w:bottom w:val="nil"/>
            </w:tcBorders>
            <w:shd w:val="clear" w:color="auto" w:fill="C6D9F1" w:themeFill="text2" w:themeFillTint="33"/>
            <w:noWrap/>
            <w:vAlign w:val="center"/>
          </w:tcPr>
          <w:p w14:paraId="5A8443B3" w14:textId="77777777" w:rsidR="00D65CB4" w:rsidRPr="00BC4EE7" w:rsidRDefault="00572307">
            <w:pPr>
              <w:pStyle w:val="P68B1DB1-Normal8"/>
              <w:spacing w:after="0"/>
              <w:jc w:val="center"/>
              <w:rPr>
                <w:rFonts w:cs="Times New Roman"/>
                <w:noProof/>
              </w:rPr>
            </w:pPr>
            <w:r w:rsidRPr="00BC4EE7">
              <w:rPr>
                <w:rFonts w:cs="Times New Roman"/>
                <w:noProof/>
              </w:rPr>
              <w:t>Név</w:t>
            </w:r>
          </w:p>
        </w:tc>
        <w:tc>
          <w:tcPr>
            <w:tcW w:w="1173" w:type="dxa"/>
            <w:tcBorders>
              <w:bottom w:val="nil"/>
            </w:tcBorders>
            <w:shd w:val="clear" w:color="auto" w:fill="C6D9F1" w:themeFill="text2" w:themeFillTint="33"/>
            <w:noWrap/>
            <w:vAlign w:val="center"/>
          </w:tcPr>
          <w:p w14:paraId="1F260584" w14:textId="77777777" w:rsidR="00D65CB4" w:rsidRPr="00BC4EE7" w:rsidRDefault="00572307">
            <w:pPr>
              <w:pStyle w:val="P68B1DB1-Normal8"/>
              <w:spacing w:after="0"/>
              <w:jc w:val="center"/>
              <w:rPr>
                <w:rFonts w:cs="Times New Roman"/>
                <w:noProof/>
              </w:rPr>
            </w:pPr>
            <w:r w:rsidRPr="00BC4EE7">
              <w:rPr>
                <w:rFonts w:cs="Times New Roman"/>
                <w:noProof/>
              </w:rPr>
              <w:t>A mérföldkövek minőségi mutatója</w:t>
            </w:r>
          </w:p>
        </w:tc>
        <w:tc>
          <w:tcPr>
            <w:tcW w:w="2077" w:type="dxa"/>
            <w:gridSpan w:val="3"/>
            <w:shd w:val="clear" w:color="auto" w:fill="C6D9F1" w:themeFill="text2" w:themeFillTint="33"/>
            <w:noWrap/>
            <w:vAlign w:val="center"/>
          </w:tcPr>
          <w:p w14:paraId="10AE6A7A" w14:textId="77777777" w:rsidR="00D65CB4" w:rsidRPr="00BC4EE7" w:rsidRDefault="00572307">
            <w:pPr>
              <w:pStyle w:val="P68B1DB1-Normal8"/>
              <w:spacing w:after="0"/>
              <w:jc w:val="center"/>
              <w:rPr>
                <w:rFonts w:cs="Times New Roman"/>
                <w:noProof/>
              </w:rPr>
            </w:pPr>
            <w:r w:rsidRPr="00BC4EE7">
              <w:rPr>
                <w:rFonts w:cs="Times New Roman"/>
                <w:noProof/>
              </w:rPr>
              <w:t>A célérték mennyiségi mutatója</w:t>
            </w:r>
          </w:p>
        </w:tc>
        <w:tc>
          <w:tcPr>
            <w:tcW w:w="899" w:type="dxa"/>
            <w:gridSpan w:val="2"/>
            <w:shd w:val="clear" w:color="auto" w:fill="C6D9F1" w:themeFill="text2" w:themeFillTint="33"/>
            <w:noWrap/>
            <w:vAlign w:val="center"/>
          </w:tcPr>
          <w:p w14:paraId="0E3795C7" w14:textId="77777777" w:rsidR="00D65CB4" w:rsidRPr="00BC4EE7" w:rsidRDefault="00572307">
            <w:pPr>
              <w:pStyle w:val="P68B1DB1-Normal8"/>
              <w:spacing w:after="0"/>
              <w:jc w:val="center"/>
              <w:rPr>
                <w:rFonts w:cs="Times New Roman"/>
                <w:noProof/>
              </w:rPr>
            </w:pPr>
            <w:r w:rsidRPr="00BC4EE7">
              <w:rPr>
                <w:rFonts w:cs="Times New Roman"/>
                <w:noProof/>
              </w:rPr>
              <w:t>Idő</w:t>
            </w:r>
          </w:p>
        </w:tc>
        <w:tc>
          <w:tcPr>
            <w:tcW w:w="6650" w:type="dxa"/>
            <w:gridSpan w:val="2"/>
            <w:tcBorders>
              <w:bottom w:val="nil"/>
            </w:tcBorders>
            <w:shd w:val="clear" w:color="auto" w:fill="C6D9F1" w:themeFill="text2" w:themeFillTint="33"/>
            <w:noWrap/>
            <w:vAlign w:val="center"/>
          </w:tcPr>
          <w:p w14:paraId="0579A367" w14:textId="77777777" w:rsidR="00D65CB4" w:rsidRPr="00BC4EE7" w:rsidRDefault="00572307">
            <w:pPr>
              <w:pStyle w:val="P68B1DB1-Normal8"/>
              <w:spacing w:after="0"/>
              <w:jc w:val="center"/>
              <w:rPr>
                <w:rFonts w:cs="Times New Roman"/>
                <w:noProof/>
              </w:rPr>
            </w:pPr>
            <w:r w:rsidRPr="00BC4EE7">
              <w:rPr>
                <w:rFonts w:cs="Times New Roman"/>
                <w:noProof/>
              </w:rPr>
              <w:t>Az egyes mérföldkövek és célértékek leírása</w:t>
            </w:r>
          </w:p>
        </w:tc>
      </w:tr>
      <w:tr w:rsidR="00D65CB4" w:rsidRPr="00BC4EE7" w14:paraId="03DBCC2E" w14:textId="77777777" w:rsidTr="00572307">
        <w:trPr>
          <w:trHeight w:val="309"/>
          <w:tblHeader/>
        </w:trPr>
        <w:tc>
          <w:tcPr>
            <w:tcW w:w="789" w:type="dxa"/>
            <w:tcBorders>
              <w:top w:val="nil"/>
            </w:tcBorders>
            <w:shd w:val="clear" w:color="auto" w:fill="C6D9F1" w:themeFill="text2" w:themeFillTint="33"/>
            <w:noWrap/>
          </w:tcPr>
          <w:p w14:paraId="56125178" w14:textId="77777777" w:rsidR="00D65CB4" w:rsidRPr="00BC4EE7" w:rsidRDefault="00D65CB4">
            <w:pPr>
              <w:spacing w:after="0"/>
              <w:jc w:val="center"/>
              <w:rPr>
                <w:rFonts w:ascii="Times New Roman" w:hAnsi="Times New Roman" w:cs="Times New Roman"/>
                <w:b/>
                <w:noProof/>
                <w:sz w:val="18"/>
              </w:rPr>
            </w:pPr>
          </w:p>
        </w:tc>
        <w:tc>
          <w:tcPr>
            <w:tcW w:w="913" w:type="dxa"/>
            <w:tcBorders>
              <w:top w:val="nil"/>
            </w:tcBorders>
            <w:shd w:val="clear" w:color="auto" w:fill="C6D9F1" w:themeFill="text2" w:themeFillTint="33"/>
            <w:noWrap/>
          </w:tcPr>
          <w:p w14:paraId="17CC4C53" w14:textId="77777777" w:rsidR="00D65CB4" w:rsidRPr="00BC4EE7" w:rsidRDefault="00D65CB4">
            <w:pPr>
              <w:spacing w:after="0"/>
              <w:jc w:val="center"/>
              <w:rPr>
                <w:rFonts w:ascii="Times New Roman" w:hAnsi="Times New Roman" w:cs="Times New Roman"/>
                <w:b/>
                <w:noProof/>
                <w:sz w:val="18"/>
              </w:rPr>
            </w:pPr>
          </w:p>
        </w:tc>
        <w:tc>
          <w:tcPr>
            <w:tcW w:w="992" w:type="dxa"/>
            <w:tcBorders>
              <w:top w:val="nil"/>
            </w:tcBorders>
            <w:shd w:val="clear" w:color="auto" w:fill="C6D9F1" w:themeFill="text2" w:themeFillTint="33"/>
            <w:noWrap/>
          </w:tcPr>
          <w:p w14:paraId="1398DCEE" w14:textId="77777777" w:rsidR="00D65CB4" w:rsidRPr="00BC4EE7" w:rsidRDefault="00D65CB4">
            <w:pPr>
              <w:spacing w:after="0"/>
              <w:jc w:val="center"/>
              <w:rPr>
                <w:rFonts w:ascii="Times New Roman" w:hAnsi="Times New Roman" w:cs="Times New Roman"/>
                <w:b/>
                <w:noProof/>
                <w:sz w:val="18"/>
              </w:rPr>
            </w:pPr>
          </w:p>
        </w:tc>
        <w:tc>
          <w:tcPr>
            <w:tcW w:w="1957" w:type="dxa"/>
            <w:tcBorders>
              <w:top w:val="nil"/>
            </w:tcBorders>
            <w:shd w:val="clear" w:color="auto" w:fill="C6D9F1" w:themeFill="text2" w:themeFillTint="33"/>
            <w:noWrap/>
          </w:tcPr>
          <w:p w14:paraId="6A604297" w14:textId="77777777" w:rsidR="00D65CB4" w:rsidRPr="00BC4EE7" w:rsidRDefault="00D65CB4">
            <w:pPr>
              <w:spacing w:after="0"/>
              <w:rPr>
                <w:rFonts w:ascii="Times New Roman" w:hAnsi="Times New Roman" w:cs="Times New Roman"/>
                <w:b/>
                <w:noProof/>
                <w:sz w:val="18"/>
              </w:rPr>
            </w:pPr>
          </w:p>
        </w:tc>
        <w:tc>
          <w:tcPr>
            <w:tcW w:w="1173" w:type="dxa"/>
            <w:tcBorders>
              <w:top w:val="nil"/>
            </w:tcBorders>
            <w:shd w:val="clear" w:color="auto" w:fill="C6D9F1" w:themeFill="text2" w:themeFillTint="33"/>
            <w:noWrap/>
          </w:tcPr>
          <w:p w14:paraId="09E79A89" w14:textId="77777777" w:rsidR="00D65CB4" w:rsidRPr="00BC4EE7" w:rsidRDefault="00D65CB4">
            <w:pPr>
              <w:spacing w:after="0"/>
              <w:jc w:val="center"/>
              <w:rPr>
                <w:rFonts w:ascii="Times New Roman" w:hAnsi="Times New Roman" w:cs="Times New Roman"/>
                <w:b/>
                <w:noProof/>
                <w:sz w:val="18"/>
              </w:rPr>
            </w:pPr>
          </w:p>
        </w:tc>
        <w:tc>
          <w:tcPr>
            <w:tcW w:w="581" w:type="dxa"/>
            <w:shd w:val="clear" w:color="auto" w:fill="C6D9F1" w:themeFill="text2" w:themeFillTint="33"/>
            <w:noWrap/>
          </w:tcPr>
          <w:p w14:paraId="15204107" w14:textId="77777777" w:rsidR="00D65CB4" w:rsidRPr="00BC4EE7" w:rsidRDefault="00572307">
            <w:pPr>
              <w:pStyle w:val="P68B1DB1-Normal8"/>
              <w:spacing w:after="0"/>
              <w:jc w:val="center"/>
              <w:rPr>
                <w:rFonts w:cs="Times New Roman"/>
                <w:noProof/>
              </w:rPr>
            </w:pPr>
            <w:r w:rsidRPr="00BC4EE7">
              <w:rPr>
                <w:rFonts w:cs="Times New Roman"/>
                <w:noProof/>
              </w:rPr>
              <w:t>Egység</w:t>
            </w:r>
          </w:p>
        </w:tc>
        <w:tc>
          <w:tcPr>
            <w:tcW w:w="958" w:type="dxa"/>
            <w:shd w:val="clear" w:color="auto" w:fill="C6D9F1" w:themeFill="text2" w:themeFillTint="33"/>
            <w:noWrap/>
          </w:tcPr>
          <w:p w14:paraId="116B796B" w14:textId="7FFA61BD" w:rsidR="00D65CB4" w:rsidRPr="00BC4EE7" w:rsidRDefault="00572307">
            <w:pPr>
              <w:pStyle w:val="P68B1DB1-Normal8"/>
              <w:spacing w:after="0"/>
              <w:jc w:val="center"/>
              <w:rPr>
                <w:rFonts w:cs="Times New Roman"/>
                <w:noProof/>
              </w:rPr>
            </w:pPr>
            <w:r w:rsidRPr="00BC4EE7">
              <w:rPr>
                <w:rFonts w:cs="Times New Roman"/>
                <w:noProof/>
              </w:rPr>
              <w:t>Kiindulási</w:t>
            </w:r>
          </w:p>
        </w:tc>
        <w:tc>
          <w:tcPr>
            <w:tcW w:w="538" w:type="dxa"/>
            <w:shd w:val="clear" w:color="auto" w:fill="C6D9F1" w:themeFill="text2" w:themeFillTint="33"/>
            <w:noWrap/>
          </w:tcPr>
          <w:p w14:paraId="631DC979" w14:textId="77777777" w:rsidR="00D65CB4" w:rsidRPr="00BC4EE7" w:rsidRDefault="00572307">
            <w:pPr>
              <w:pStyle w:val="P68B1DB1-Normal8"/>
              <w:spacing w:after="0"/>
              <w:jc w:val="center"/>
              <w:rPr>
                <w:rFonts w:cs="Times New Roman"/>
                <w:noProof/>
              </w:rPr>
            </w:pPr>
            <w:r w:rsidRPr="00BC4EE7">
              <w:rPr>
                <w:rFonts w:cs="Times New Roman"/>
                <w:noProof/>
              </w:rPr>
              <w:t>Cél</w:t>
            </w:r>
          </w:p>
        </w:tc>
        <w:tc>
          <w:tcPr>
            <w:tcW w:w="413" w:type="dxa"/>
            <w:shd w:val="clear" w:color="auto" w:fill="C6D9F1" w:themeFill="text2" w:themeFillTint="33"/>
            <w:noWrap/>
          </w:tcPr>
          <w:p w14:paraId="08C70B5D" w14:textId="77777777" w:rsidR="00D65CB4" w:rsidRPr="00BC4EE7" w:rsidRDefault="00572307">
            <w:pPr>
              <w:pStyle w:val="P68B1DB1-Normal8"/>
              <w:spacing w:after="0"/>
              <w:jc w:val="center"/>
              <w:rPr>
                <w:rFonts w:cs="Times New Roman"/>
                <w:noProof/>
              </w:rPr>
            </w:pPr>
            <w:r w:rsidRPr="00BC4EE7">
              <w:rPr>
                <w:rFonts w:cs="Times New Roman"/>
                <w:noProof/>
              </w:rPr>
              <w:t>Q</w:t>
            </w:r>
          </w:p>
        </w:tc>
        <w:tc>
          <w:tcPr>
            <w:tcW w:w="486" w:type="dxa"/>
            <w:shd w:val="clear" w:color="auto" w:fill="C6D9F1" w:themeFill="text2" w:themeFillTint="33"/>
            <w:noWrap/>
          </w:tcPr>
          <w:p w14:paraId="570BB18C" w14:textId="77777777" w:rsidR="00D65CB4" w:rsidRPr="00BC4EE7" w:rsidRDefault="00572307">
            <w:pPr>
              <w:pStyle w:val="P68B1DB1-Normal8"/>
              <w:spacing w:after="0"/>
              <w:jc w:val="center"/>
              <w:rPr>
                <w:rFonts w:cs="Times New Roman"/>
                <w:noProof/>
              </w:rPr>
            </w:pPr>
            <w:r w:rsidRPr="00BC4EE7">
              <w:rPr>
                <w:rFonts w:cs="Times New Roman"/>
                <w:noProof/>
              </w:rPr>
              <w:t>Éve</w:t>
            </w:r>
          </w:p>
        </w:tc>
        <w:tc>
          <w:tcPr>
            <w:tcW w:w="6650" w:type="dxa"/>
            <w:gridSpan w:val="2"/>
            <w:tcBorders>
              <w:top w:val="nil"/>
            </w:tcBorders>
            <w:shd w:val="clear" w:color="auto" w:fill="C6D9F1" w:themeFill="text2" w:themeFillTint="33"/>
            <w:noWrap/>
          </w:tcPr>
          <w:p w14:paraId="76A71BA0" w14:textId="77777777" w:rsidR="00D65CB4" w:rsidRPr="00BC4EE7" w:rsidRDefault="00D65CB4">
            <w:pPr>
              <w:spacing w:after="0"/>
              <w:rPr>
                <w:rFonts w:ascii="Times New Roman" w:hAnsi="Times New Roman" w:cs="Times New Roman"/>
                <w:b/>
                <w:noProof/>
                <w:sz w:val="18"/>
              </w:rPr>
            </w:pPr>
          </w:p>
        </w:tc>
      </w:tr>
      <w:tr w:rsidR="00D65CB4" w:rsidRPr="00BC4EE7" w14:paraId="184BB870" w14:textId="77777777" w:rsidTr="00572307">
        <w:trPr>
          <w:trHeight w:val="309"/>
        </w:trPr>
        <w:tc>
          <w:tcPr>
            <w:tcW w:w="789" w:type="dxa"/>
            <w:shd w:val="clear" w:color="auto" w:fill="C6EFCE"/>
            <w:noWrap/>
          </w:tcPr>
          <w:p w14:paraId="2234A85A" w14:textId="35A9F5D9" w:rsidR="00D65CB4" w:rsidRPr="00BC4EE7" w:rsidRDefault="00572307">
            <w:pPr>
              <w:pStyle w:val="P68B1DB1-Normal12"/>
              <w:spacing w:after="0"/>
              <w:jc w:val="center"/>
              <w:rPr>
                <w:rFonts w:eastAsia="Times New Roman" w:cs="Times New Roman"/>
                <w:noProof/>
              </w:rPr>
            </w:pPr>
            <w:r w:rsidRPr="00BC4EE7">
              <w:rPr>
                <w:rFonts w:cs="Times New Roman"/>
                <w:noProof/>
              </w:rPr>
              <w:t>477</w:t>
            </w:r>
          </w:p>
        </w:tc>
        <w:tc>
          <w:tcPr>
            <w:tcW w:w="913" w:type="dxa"/>
            <w:shd w:val="clear" w:color="auto" w:fill="C6EFCE"/>
            <w:noWrap/>
          </w:tcPr>
          <w:p w14:paraId="592B3B8B"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C31.R1</w:t>
            </w:r>
          </w:p>
        </w:tc>
        <w:tc>
          <w:tcPr>
            <w:tcW w:w="992" w:type="dxa"/>
            <w:shd w:val="clear" w:color="auto" w:fill="C6EFCE"/>
            <w:noWrap/>
          </w:tcPr>
          <w:p w14:paraId="6A981BD6"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1957" w:type="dxa"/>
            <w:shd w:val="clear" w:color="auto" w:fill="C6EFCE"/>
            <w:noWrap/>
          </w:tcPr>
          <w:p w14:paraId="6870C080" w14:textId="77777777" w:rsidR="00D65CB4" w:rsidRPr="00BC4EE7" w:rsidRDefault="00572307">
            <w:pPr>
              <w:pStyle w:val="P68B1DB1-Normal12"/>
              <w:spacing w:after="0"/>
              <w:rPr>
                <w:rFonts w:eastAsia="Times New Roman" w:cs="Times New Roman"/>
                <w:noProof/>
              </w:rPr>
            </w:pPr>
            <w:r w:rsidRPr="00BC4EE7">
              <w:rPr>
                <w:rFonts w:cs="Times New Roman"/>
                <w:noProof/>
              </w:rPr>
              <w:t>A megújulóenergia-termelés és a villamosenergia-hálózati infrastruktúra engedélyezésének javítását célzó reform</w:t>
            </w:r>
          </w:p>
        </w:tc>
        <w:tc>
          <w:tcPr>
            <w:tcW w:w="1173" w:type="dxa"/>
            <w:shd w:val="clear" w:color="auto" w:fill="C6EFCE"/>
            <w:noWrap/>
          </w:tcPr>
          <w:p w14:paraId="4895CD95" w14:textId="29762458" w:rsidR="00D65CB4" w:rsidRPr="00BC4EE7" w:rsidRDefault="00572307">
            <w:pPr>
              <w:pStyle w:val="P68B1DB1-Normal12"/>
              <w:spacing w:after="0"/>
              <w:jc w:val="center"/>
              <w:rPr>
                <w:rFonts w:eastAsia="Times New Roman" w:cs="Times New Roman"/>
                <w:noProof/>
              </w:rPr>
            </w:pPr>
            <w:r w:rsidRPr="00BC4EE7">
              <w:rPr>
                <w:rFonts w:cs="Times New Roman"/>
                <w:noProof/>
              </w:rPr>
              <w:t>A vonatkozó jogi aktusok rendelkezéseinek hatálybalépése</w:t>
            </w:r>
          </w:p>
        </w:tc>
        <w:tc>
          <w:tcPr>
            <w:tcW w:w="581" w:type="dxa"/>
            <w:shd w:val="clear" w:color="auto" w:fill="C6EFCE"/>
            <w:noWrap/>
          </w:tcPr>
          <w:p w14:paraId="35FCBA3A" w14:textId="77777777" w:rsidR="00D65CB4" w:rsidRPr="00BC4EE7" w:rsidRDefault="00D65CB4">
            <w:pPr>
              <w:spacing w:after="0"/>
              <w:jc w:val="center"/>
              <w:rPr>
                <w:rFonts w:ascii="Times New Roman" w:eastAsia="Times New Roman" w:hAnsi="Times New Roman" w:cs="Times New Roman"/>
                <w:noProof/>
                <w:sz w:val="18"/>
              </w:rPr>
            </w:pPr>
          </w:p>
        </w:tc>
        <w:tc>
          <w:tcPr>
            <w:tcW w:w="958" w:type="dxa"/>
            <w:shd w:val="clear" w:color="auto" w:fill="C6EFCE"/>
            <w:noWrap/>
          </w:tcPr>
          <w:p w14:paraId="3B810888" w14:textId="77777777" w:rsidR="00D65CB4" w:rsidRPr="00BC4EE7" w:rsidRDefault="00D65CB4">
            <w:pPr>
              <w:spacing w:after="0"/>
              <w:jc w:val="right"/>
              <w:rPr>
                <w:rFonts w:ascii="Times New Roman" w:eastAsia="Times New Roman" w:hAnsi="Times New Roman" w:cs="Times New Roman"/>
                <w:noProof/>
                <w:sz w:val="18"/>
              </w:rPr>
            </w:pPr>
          </w:p>
        </w:tc>
        <w:tc>
          <w:tcPr>
            <w:tcW w:w="538" w:type="dxa"/>
            <w:shd w:val="clear" w:color="auto" w:fill="C6EFCE"/>
            <w:noWrap/>
          </w:tcPr>
          <w:p w14:paraId="60310B7E" w14:textId="77777777" w:rsidR="00D65CB4" w:rsidRPr="00BC4EE7" w:rsidRDefault="00D65CB4">
            <w:pPr>
              <w:spacing w:after="0"/>
              <w:jc w:val="right"/>
              <w:rPr>
                <w:rFonts w:ascii="Times New Roman" w:eastAsia="Times New Roman" w:hAnsi="Times New Roman" w:cs="Times New Roman"/>
                <w:noProof/>
                <w:sz w:val="18"/>
              </w:rPr>
            </w:pPr>
          </w:p>
        </w:tc>
        <w:tc>
          <w:tcPr>
            <w:tcW w:w="413" w:type="dxa"/>
            <w:shd w:val="clear" w:color="auto" w:fill="C6EFCE"/>
            <w:noWrap/>
          </w:tcPr>
          <w:p w14:paraId="5492C28E"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Q3</w:t>
            </w:r>
          </w:p>
        </w:tc>
        <w:tc>
          <w:tcPr>
            <w:tcW w:w="486" w:type="dxa"/>
            <w:shd w:val="clear" w:color="auto" w:fill="C6EFCE"/>
            <w:noWrap/>
          </w:tcPr>
          <w:p w14:paraId="1D3E9D00"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2023</w:t>
            </w:r>
          </w:p>
        </w:tc>
        <w:tc>
          <w:tcPr>
            <w:tcW w:w="6650" w:type="dxa"/>
            <w:gridSpan w:val="2"/>
            <w:shd w:val="clear" w:color="auto" w:fill="C6EFCE"/>
            <w:noWrap/>
          </w:tcPr>
          <w:p w14:paraId="0619D38F" w14:textId="77777777" w:rsidR="00D65CB4" w:rsidRPr="00BC4EE7" w:rsidRDefault="00572307">
            <w:pPr>
              <w:pStyle w:val="P68B1DB1-Normal12"/>
              <w:spacing w:after="0"/>
              <w:rPr>
                <w:rFonts w:eastAsia="Times New Roman" w:cs="Times New Roman"/>
                <w:noProof/>
              </w:rPr>
            </w:pPr>
            <w:r w:rsidRPr="00BC4EE7">
              <w:rPr>
                <w:rFonts w:cs="Times New Roman"/>
                <w:noProof/>
              </w:rPr>
              <w:t>Ez a mérföldkő két elemet tartalmaz.</w:t>
            </w:r>
          </w:p>
          <w:p w14:paraId="27D5BE29" w14:textId="5AD73102" w:rsidR="00D65CB4" w:rsidRPr="00BC4EE7" w:rsidRDefault="00572307">
            <w:pPr>
              <w:pStyle w:val="P68B1DB1-ListParagraph13"/>
              <w:numPr>
                <w:ilvl w:val="0"/>
                <w:numId w:val="641"/>
              </w:numPr>
              <w:spacing w:after="0"/>
              <w:rPr>
                <w:rFonts w:eastAsia="Times New Roman" w:cs="Times New Roman"/>
                <w:noProof/>
              </w:rPr>
            </w:pPr>
            <w:r w:rsidRPr="00BC4EE7">
              <w:rPr>
                <w:rFonts w:cs="Times New Roman"/>
                <w:noProof/>
              </w:rPr>
              <w:t xml:space="preserve">Először is a 14/2022., a 17/2022., a 18/2022. és a 20/2022. sz. királyi törvényerejű rendelet hatálybalépése. Az e királyi törvényerejű rendeletekben foglalt energiaügyi intézkedések célja a megújulóenergia-projektek és a villamosenergia-hálózati infrastruktúra engedélyezésének egyszerűsítése. </w:t>
            </w:r>
          </w:p>
          <w:p w14:paraId="4DED00FD" w14:textId="77777777" w:rsidR="00D65CB4" w:rsidRPr="00BC4EE7" w:rsidRDefault="00572307">
            <w:pPr>
              <w:pStyle w:val="P68B1DB1-ListParagraph13"/>
              <w:numPr>
                <w:ilvl w:val="0"/>
                <w:numId w:val="641"/>
              </w:numPr>
              <w:spacing w:after="0"/>
              <w:rPr>
                <w:rFonts w:eastAsia="Times New Roman" w:cs="Times New Roman"/>
                <w:noProof/>
              </w:rPr>
            </w:pPr>
            <w:r w:rsidRPr="00BC4EE7">
              <w:rPr>
                <w:rFonts w:cs="Times New Roman"/>
                <w:noProof/>
              </w:rPr>
              <w:t>Másodszor, az Orden TED/189/2023 rendelet hatálybalépése, amely új igazgatási egységet hoz létre a központi igazgatáson belül, amely támogatja a megújulóenergia-projektek engedélykérelmeinek feldolgozását.</w:t>
            </w:r>
          </w:p>
        </w:tc>
      </w:tr>
      <w:tr w:rsidR="00D65CB4" w:rsidRPr="00BC4EE7" w14:paraId="2782EDCD" w14:textId="77777777" w:rsidTr="00572307">
        <w:trPr>
          <w:trHeight w:val="761"/>
        </w:trPr>
        <w:tc>
          <w:tcPr>
            <w:tcW w:w="789" w:type="dxa"/>
            <w:shd w:val="clear" w:color="auto" w:fill="C6EFCE"/>
            <w:noWrap/>
          </w:tcPr>
          <w:p w14:paraId="2BEF61F4" w14:textId="695613C8" w:rsidR="00D65CB4" w:rsidRPr="00BC4EE7" w:rsidRDefault="00572307">
            <w:pPr>
              <w:pStyle w:val="P68B1DB1-Normal12"/>
              <w:spacing w:after="0"/>
              <w:jc w:val="center"/>
              <w:rPr>
                <w:rFonts w:eastAsia="Times New Roman" w:cs="Times New Roman"/>
                <w:noProof/>
              </w:rPr>
            </w:pPr>
            <w:r w:rsidRPr="00BC4EE7">
              <w:rPr>
                <w:rFonts w:cs="Times New Roman"/>
                <w:noProof/>
              </w:rPr>
              <w:t>478</w:t>
            </w:r>
          </w:p>
        </w:tc>
        <w:tc>
          <w:tcPr>
            <w:tcW w:w="913" w:type="dxa"/>
            <w:shd w:val="clear" w:color="auto" w:fill="C6EFCE"/>
            <w:noWrap/>
          </w:tcPr>
          <w:p w14:paraId="198D8923"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C31.I1</w:t>
            </w:r>
          </w:p>
        </w:tc>
        <w:tc>
          <w:tcPr>
            <w:tcW w:w="992" w:type="dxa"/>
            <w:shd w:val="clear" w:color="auto" w:fill="C6EFCE"/>
            <w:noWrap/>
          </w:tcPr>
          <w:p w14:paraId="65D2BFBB"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T</w:t>
            </w:r>
          </w:p>
        </w:tc>
        <w:tc>
          <w:tcPr>
            <w:tcW w:w="1957" w:type="dxa"/>
            <w:shd w:val="clear" w:color="auto" w:fill="C6EFCE"/>
            <w:noWrap/>
          </w:tcPr>
          <w:p w14:paraId="611255BA" w14:textId="13D8B2C8" w:rsidR="00D65CB4" w:rsidRPr="00BC4EE7" w:rsidRDefault="00572307">
            <w:pPr>
              <w:pStyle w:val="P68B1DB1-Normal12"/>
              <w:spacing w:after="0"/>
              <w:rPr>
                <w:rFonts w:eastAsia="Times New Roman" w:cs="Times New Roman"/>
                <w:noProof/>
              </w:rPr>
            </w:pPr>
            <w:r w:rsidRPr="00BC4EE7">
              <w:rPr>
                <w:rFonts w:cs="Times New Roman"/>
                <w:noProof/>
              </w:rPr>
              <w:t>A megújulóenergia-termelésen vagy a mérőn kívüli tároláson alapuló energiatárolást vagy saját fogyasztást előmozdító beruházás</w:t>
            </w:r>
          </w:p>
        </w:tc>
        <w:tc>
          <w:tcPr>
            <w:tcW w:w="1173" w:type="dxa"/>
            <w:shd w:val="clear" w:color="auto" w:fill="C6EFCE"/>
            <w:noWrap/>
          </w:tcPr>
          <w:p w14:paraId="176FB6E3" w14:textId="77777777" w:rsidR="00D65CB4" w:rsidRPr="00BC4EE7" w:rsidRDefault="00D65CB4">
            <w:pPr>
              <w:spacing w:after="0"/>
              <w:rPr>
                <w:rFonts w:ascii="Times New Roman" w:eastAsia="Times New Roman" w:hAnsi="Times New Roman" w:cs="Times New Roman"/>
                <w:noProof/>
                <w:sz w:val="18"/>
              </w:rPr>
            </w:pPr>
          </w:p>
        </w:tc>
        <w:tc>
          <w:tcPr>
            <w:tcW w:w="581" w:type="dxa"/>
            <w:shd w:val="clear" w:color="auto" w:fill="C6EFCE"/>
            <w:noWrap/>
          </w:tcPr>
          <w:p w14:paraId="33C7CEAC"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w:t>
            </w:r>
          </w:p>
        </w:tc>
        <w:tc>
          <w:tcPr>
            <w:tcW w:w="958" w:type="dxa"/>
            <w:shd w:val="clear" w:color="auto" w:fill="C6EFCE"/>
            <w:noWrap/>
          </w:tcPr>
          <w:p w14:paraId="13507CC5"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4400</w:t>
            </w:r>
          </w:p>
        </w:tc>
        <w:tc>
          <w:tcPr>
            <w:tcW w:w="538" w:type="dxa"/>
            <w:shd w:val="clear" w:color="auto" w:fill="C6EFCE"/>
            <w:noWrap/>
          </w:tcPr>
          <w:p w14:paraId="11CF54B5"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5100</w:t>
            </w:r>
          </w:p>
        </w:tc>
        <w:tc>
          <w:tcPr>
            <w:tcW w:w="413" w:type="dxa"/>
            <w:shd w:val="clear" w:color="auto" w:fill="C6EFCE"/>
            <w:noWrap/>
          </w:tcPr>
          <w:p w14:paraId="59F14DA3" w14:textId="0B21E33C"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Q3 </w:t>
            </w:r>
          </w:p>
        </w:tc>
        <w:tc>
          <w:tcPr>
            <w:tcW w:w="486" w:type="dxa"/>
            <w:shd w:val="clear" w:color="auto" w:fill="C6EFCE"/>
            <w:noWrap/>
          </w:tcPr>
          <w:p w14:paraId="193C54A9"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2026</w:t>
            </w:r>
          </w:p>
        </w:tc>
        <w:tc>
          <w:tcPr>
            <w:tcW w:w="6650" w:type="dxa"/>
            <w:gridSpan w:val="2"/>
            <w:shd w:val="clear" w:color="auto" w:fill="C6EFCE"/>
            <w:noWrap/>
          </w:tcPr>
          <w:p w14:paraId="3A88A732" w14:textId="4C9B72A2" w:rsidR="00D65CB4" w:rsidRPr="00BC4EE7" w:rsidRDefault="00572307">
            <w:pPr>
              <w:pStyle w:val="P68B1DB1-Normal12"/>
              <w:spacing w:after="0"/>
              <w:rPr>
                <w:rFonts w:eastAsia="Times New Roman" w:cs="Times New Roman"/>
                <w:noProof/>
              </w:rPr>
            </w:pPr>
            <w:r w:rsidRPr="00BC4EE7">
              <w:rPr>
                <w:rFonts w:cs="Times New Roman"/>
                <w:noProof/>
              </w:rPr>
              <w:t>700 MW beépített kapacitás az épületekbe vagy termelési folyamatokba beépített energiatároló vagy saját fogyasztású alkalmazásokban. A saját fogyasztáson alapuló alkalmazásoknak megújulóenergia-technológiákon vagy mérőn kívüli tárolási megoldásokon kell alapulniuk. (Alapforgatókönyv: dátum: 2026 2. negyedéve, a 117. cél célja és 2026 második negyedéve; a 126. cél célja)</w:t>
            </w:r>
          </w:p>
        </w:tc>
      </w:tr>
      <w:tr w:rsidR="00D65CB4" w:rsidRPr="00BC4EE7" w14:paraId="46C02275" w14:textId="77777777" w:rsidTr="00572307">
        <w:trPr>
          <w:trHeight w:val="309"/>
        </w:trPr>
        <w:tc>
          <w:tcPr>
            <w:tcW w:w="789" w:type="dxa"/>
            <w:shd w:val="clear" w:color="auto" w:fill="C6EFCE"/>
            <w:noWrap/>
          </w:tcPr>
          <w:p w14:paraId="64E993A2" w14:textId="035C7708" w:rsidR="00D65CB4" w:rsidRPr="00BC4EE7" w:rsidRDefault="00572307">
            <w:pPr>
              <w:pStyle w:val="P68B1DB1-Normal12"/>
              <w:spacing w:after="0"/>
              <w:jc w:val="center"/>
              <w:rPr>
                <w:rFonts w:eastAsia="Times New Roman" w:cs="Times New Roman"/>
                <w:noProof/>
              </w:rPr>
            </w:pPr>
            <w:r w:rsidRPr="00BC4EE7">
              <w:rPr>
                <w:rFonts w:cs="Times New Roman"/>
                <w:noProof/>
              </w:rPr>
              <w:t>479</w:t>
            </w:r>
          </w:p>
        </w:tc>
        <w:tc>
          <w:tcPr>
            <w:tcW w:w="913" w:type="dxa"/>
            <w:shd w:val="clear" w:color="auto" w:fill="C6EFCE"/>
            <w:noWrap/>
          </w:tcPr>
          <w:p w14:paraId="6FD19699"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C31.I1</w:t>
            </w:r>
          </w:p>
        </w:tc>
        <w:tc>
          <w:tcPr>
            <w:tcW w:w="992" w:type="dxa"/>
            <w:shd w:val="clear" w:color="auto" w:fill="C6EFCE"/>
            <w:noWrap/>
          </w:tcPr>
          <w:p w14:paraId="568B693C"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T</w:t>
            </w:r>
          </w:p>
        </w:tc>
        <w:tc>
          <w:tcPr>
            <w:tcW w:w="1957" w:type="dxa"/>
            <w:shd w:val="clear" w:color="auto" w:fill="C6EFCE"/>
            <w:noWrap/>
          </w:tcPr>
          <w:p w14:paraId="3D51142A" w14:textId="77777777" w:rsidR="00D65CB4" w:rsidRPr="00BC4EE7" w:rsidRDefault="00572307">
            <w:pPr>
              <w:pStyle w:val="P68B1DB1-Normal12"/>
              <w:spacing w:after="0"/>
              <w:rPr>
                <w:rFonts w:eastAsia="Times New Roman" w:cs="Times New Roman"/>
                <w:noProof/>
              </w:rPr>
            </w:pPr>
            <w:r w:rsidRPr="00BC4EE7">
              <w:rPr>
                <w:rFonts w:cs="Times New Roman"/>
                <w:noProof/>
              </w:rPr>
              <w:t>Az energiaközösségek által végrehajtott kezdeményezések száma</w:t>
            </w:r>
          </w:p>
        </w:tc>
        <w:tc>
          <w:tcPr>
            <w:tcW w:w="1173" w:type="dxa"/>
            <w:shd w:val="clear" w:color="auto" w:fill="C6EFCE"/>
            <w:noWrap/>
          </w:tcPr>
          <w:p w14:paraId="6A7F6247" w14:textId="77777777" w:rsidR="00D65CB4" w:rsidRPr="00BC4EE7" w:rsidRDefault="00D65CB4">
            <w:pPr>
              <w:spacing w:after="0"/>
              <w:jc w:val="center"/>
              <w:rPr>
                <w:rFonts w:ascii="Times New Roman" w:eastAsia="Times New Roman" w:hAnsi="Times New Roman" w:cs="Times New Roman"/>
                <w:noProof/>
                <w:sz w:val="18"/>
              </w:rPr>
            </w:pPr>
          </w:p>
        </w:tc>
        <w:tc>
          <w:tcPr>
            <w:tcW w:w="581" w:type="dxa"/>
            <w:shd w:val="clear" w:color="auto" w:fill="C6EFCE"/>
            <w:noWrap/>
          </w:tcPr>
          <w:p w14:paraId="33EA2186"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Szám</w:t>
            </w:r>
          </w:p>
        </w:tc>
        <w:tc>
          <w:tcPr>
            <w:tcW w:w="958" w:type="dxa"/>
            <w:shd w:val="clear" w:color="auto" w:fill="C6EFCE"/>
            <w:noWrap/>
          </w:tcPr>
          <w:p w14:paraId="3814E274"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37</w:t>
            </w:r>
          </w:p>
        </w:tc>
        <w:tc>
          <w:tcPr>
            <w:tcW w:w="538" w:type="dxa"/>
            <w:shd w:val="clear" w:color="auto" w:fill="C6EFCE"/>
            <w:noWrap/>
          </w:tcPr>
          <w:p w14:paraId="14404EA4"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77</w:t>
            </w:r>
          </w:p>
        </w:tc>
        <w:tc>
          <w:tcPr>
            <w:tcW w:w="413" w:type="dxa"/>
            <w:shd w:val="clear" w:color="auto" w:fill="C6EFCE"/>
            <w:noWrap/>
          </w:tcPr>
          <w:p w14:paraId="02159C89" w14:textId="02897F01" w:rsidR="00D65CB4" w:rsidRPr="00BC4EE7" w:rsidRDefault="00572307">
            <w:pPr>
              <w:pStyle w:val="P68B1DB1-Normal12"/>
              <w:spacing w:after="0"/>
              <w:jc w:val="center"/>
              <w:rPr>
                <w:rFonts w:eastAsia="Times New Roman" w:cs="Times New Roman"/>
                <w:noProof/>
              </w:rPr>
            </w:pPr>
            <w:r w:rsidRPr="00BC4EE7">
              <w:rPr>
                <w:rFonts w:cs="Times New Roman"/>
                <w:noProof/>
              </w:rPr>
              <w:t>Q3</w:t>
            </w:r>
          </w:p>
        </w:tc>
        <w:tc>
          <w:tcPr>
            <w:tcW w:w="486" w:type="dxa"/>
            <w:shd w:val="clear" w:color="auto" w:fill="C6EFCE"/>
            <w:noWrap/>
          </w:tcPr>
          <w:p w14:paraId="1222D4AB"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2026</w:t>
            </w:r>
          </w:p>
        </w:tc>
        <w:tc>
          <w:tcPr>
            <w:tcW w:w="6650" w:type="dxa"/>
            <w:gridSpan w:val="2"/>
            <w:shd w:val="clear" w:color="auto" w:fill="C6EFCE"/>
            <w:noWrap/>
          </w:tcPr>
          <w:p w14:paraId="5D454DA2" w14:textId="77777777" w:rsidR="00D65CB4" w:rsidRPr="00BC4EE7" w:rsidRDefault="00572307">
            <w:pPr>
              <w:pStyle w:val="P68B1DB1-Normal12"/>
              <w:spacing w:after="0"/>
              <w:rPr>
                <w:rFonts w:eastAsia="Times New Roman" w:cs="Times New Roman"/>
                <w:noProof/>
              </w:rPr>
            </w:pPr>
            <w:r w:rsidRPr="00BC4EE7">
              <w:rPr>
                <w:rFonts w:cs="Times New Roman"/>
                <w:noProof/>
              </w:rPr>
              <w:t>Energiaközösségek 40 kezdeményezésének befejezése, akár megújuló energia vagy energiahatékonysági megoldások telepítése, akár részvételen alapuló és közösségi épületekkel kapcsolatos folyamatok végrehajtása révén. (Alapforgatókönyv: dátum: 2024 negyedik negyedéve, a 111. cél célja)</w:t>
            </w:r>
          </w:p>
        </w:tc>
      </w:tr>
      <w:tr w:rsidR="00D65CB4" w:rsidRPr="00BC4EE7" w14:paraId="6B615A15" w14:textId="77777777" w:rsidTr="00572307">
        <w:trPr>
          <w:trHeight w:val="309"/>
        </w:trPr>
        <w:tc>
          <w:tcPr>
            <w:tcW w:w="789" w:type="dxa"/>
            <w:shd w:val="clear" w:color="auto" w:fill="C6EFCE"/>
            <w:noWrap/>
          </w:tcPr>
          <w:p w14:paraId="0FC1D4A1" w14:textId="6B2F684D" w:rsidR="00D65CB4" w:rsidRPr="00BC4EE7" w:rsidRDefault="00572307">
            <w:pPr>
              <w:pStyle w:val="P68B1DB1-Normal12"/>
              <w:spacing w:after="0"/>
              <w:jc w:val="center"/>
              <w:rPr>
                <w:rFonts w:eastAsia="Times New Roman" w:cs="Times New Roman"/>
                <w:noProof/>
              </w:rPr>
            </w:pPr>
            <w:r w:rsidRPr="00BC4EE7">
              <w:rPr>
                <w:rFonts w:cs="Times New Roman"/>
                <w:noProof/>
              </w:rPr>
              <w:t>483</w:t>
            </w:r>
          </w:p>
        </w:tc>
        <w:tc>
          <w:tcPr>
            <w:tcW w:w="913" w:type="dxa"/>
            <w:shd w:val="clear" w:color="auto" w:fill="C6EFCE"/>
            <w:noWrap/>
          </w:tcPr>
          <w:p w14:paraId="1A06E288" w14:textId="14C14C7C" w:rsidR="00D65CB4" w:rsidRPr="00BC4EE7" w:rsidRDefault="00572307">
            <w:pPr>
              <w:pStyle w:val="P68B1DB1-Normal12"/>
              <w:spacing w:after="0"/>
              <w:jc w:val="center"/>
              <w:rPr>
                <w:rFonts w:eastAsia="Times New Roman" w:cs="Times New Roman"/>
                <w:noProof/>
              </w:rPr>
            </w:pPr>
            <w:r w:rsidRPr="00BC4EE7">
              <w:rPr>
                <w:rFonts w:cs="Times New Roman"/>
                <w:noProof/>
              </w:rPr>
              <w:t>C31.I2</w:t>
            </w:r>
          </w:p>
        </w:tc>
        <w:tc>
          <w:tcPr>
            <w:tcW w:w="992" w:type="dxa"/>
            <w:shd w:val="clear" w:color="auto" w:fill="C6EFCE"/>
            <w:noWrap/>
          </w:tcPr>
          <w:p w14:paraId="152D3E2C" w14:textId="569FE3EC"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1957" w:type="dxa"/>
            <w:shd w:val="clear" w:color="auto" w:fill="C6EFCE"/>
            <w:noWrap/>
          </w:tcPr>
          <w:p w14:paraId="03B6CB65" w14:textId="4EF7BB63" w:rsidR="00D65CB4" w:rsidRPr="00BC4EE7" w:rsidRDefault="00572307">
            <w:pPr>
              <w:pStyle w:val="P68B1DB1-Normal12"/>
              <w:spacing w:after="0"/>
              <w:rPr>
                <w:rFonts w:eastAsia="Times New Roman" w:cs="Times New Roman"/>
                <w:noProof/>
              </w:rPr>
            </w:pPr>
            <w:r w:rsidRPr="00BC4EE7">
              <w:rPr>
                <w:rFonts w:cs="Times New Roman"/>
                <w:noProof/>
              </w:rPr>
              <w:t>A megújuló hidrogénre vonatkozó támogatási rendszer: A minisztérium befejezte a beruházást</w:t>
            </w:r>
          </w:p>
        </w:tc>
        <w:tc>
          <w:tcPr>
            <w:tcW w:w="1173" w:type="dxa"/>
            <w:shd w:val="clear" w:color="auto" w:fill="C6EFCE"/>
            <w:noWrap/>
          </w:tcPr>
          <w:p w14:paraId="16A59804" w14:textId="10DC98F6" w:rsidR="00D65CB4" w:rsidRPr="00BC4EE7" w:rsidRDefault="00572307">
            <w:pPr>
              <w:pStyle w:val="P68B1DB1-Normal12"/>
              <w:spacing w:after="0"/>
              <w:jc w:val="center"/>
              <w:rPr>
                <w:rFonts w:eastAsia="Times New Roman" w:cs="Times New Roman"/>
                <w:noProof/>
              </w:rPr>
            </w:pPr>
            <w:r w:rsidRPr="00BC4EE7">
              <w:rPr>
                <w:rFonts w:cs="Times New Roman"/>
                <w:noProof/>
              </w:rPr>
              <w:t>Átutalási igazolás</w:t>
            </w:r>
          </w:p>
        </w:tc>
        <w:tc>
          <w:tcPr>
            <w:tcW w:w="581" w:type="dxa"/>
            <w:shd w:val="clear" w:color="auto" w:fill="C6EFCE"/>
            <w:noWrap/>
          </w:tcPr>
          <w:p w14:paraId="69C59F60" w14:textId="77777777" w:rsidR="00D65CB4" w:rsidRPr="00BC4EE7" w:rsidRDefault="00D65CB4">
            <w:pPr>
              <w:spacing w:after="0"/>
              <w:jc w:val="center"/>
              <w:rPr>
                <w:rFonts w:ascii="Times New Roman" w:eastAsia="Times New Roman" w:hAnsi="Times New Roman" w:cs="Times New Roman"/>
                <w:noProof/>
                <w:sz w:val="18"/>
              </w:rPr>
            </w:pPr>
          </w:p>
        </w:tc>
        <w:tc>
          <w:tcPr>
            <w:tcW w:w="958" w:type="dxa"/>
            <w:shd w:val="clear" w:color="auto" w:fill="C6EFCE"/>
            <w:noWrap/>
          </w:tcPr>
          <w:p w14:paraId="5D80227B" w14:textId="77777777" w:rsidR="00D65CB4" w:rsidRPr="00BC4EE7" w:rsidRDefault="00D65CB4">
            <w:pPr>
              <w:spacing w:after="0"/>
              <w:jc w:val="right"/>
              <w:rPr>
                <w:rFonts w:ascii="Times New Roman" w:eastAsia="Times New Roman" w:hAnsi="Times New Roman" w:cs="Times New Roman"/>
                <w:noProof/>
                <w:sz w:val="18"/>
              </w:rPr>
            </w:pPr>
          </w:p>
        </w:tc>
        <w:tc>
          <w:tcPr>
            <w:tcW w:w="538" w:type="dxa"/>
            <w:shd w:val="clear" w:color="auto" w:fill="C6EFCE"/>
            <w:noWrap/>
          </w:tcPr>
          <w:p w14:paraId="17B7A526" w14:textId="77777777" w:rsidR="00D65CB4" w:rsidRPr="00BC4EE7" w:rsidRDefault="00D65CB4">
            <w:pPr>
              <w:spacing w:after="0"/>
              <w:jc w:val="right"/>
              <w:rPr>
                <w:rFonts w:ascii="Times New Roman" w:eastAsia="Times New Roman" w:hAnsi="Times New Roman" w:cs="Times New Roman"/>
                <w:noProof/>
                <w:sz w:val="18"/>
              </w:rPr>
            </w:pPr>
          </w:p>
        </w:tc>
        <w:tc>
          <w:tcPr>
            <w:tcW w:w="413" w:type="dxa"/>
            <w:shd w:val="clear" w:color="auto" w:fill="C6EFCE"/>
            <w:noWrap/>
          </w:tcPr>
          <w:p w14:paraId="7B475BD2" w14:textId="0253E3D5" w:rsidR="00D65CB4" w:rsidRPr="00BC4EE7" w:rsidRDefault="00572307">
            <w:pPr>
              <w:pStyle w:val="P68B1DB1-Normal12"/>
              <w:spacing w:after="0"/>
              <w:jc w:val="center"/>
              <w:rPr>
                <w:rFonts w:eastAsia="Times New Roman" w:cs="Times New Roman"/>
                <w:noProof/>
              </w:rPr>
            </w:pPr>
            <w:r w:rsidRPr="00BC4EE7">
              <w:rPr>
                <w:rFonts w:cs="Times New Roman"/>
                <w:noProof/>
              </w:rPr>
              <w:t>Q2</w:t>
            </w:r>
          </w:p>
        </w:tc>
        <w:tc>
          <w:tcPr>
            <w:tcW w:w="486" w:type="dxa"/>
            <w:shd w:val="clear" w:color="auto" w:fill="C6EFCE"/>
            <w:noWrap/>
          </w:tcPr>
          <w:p w14:paraId="7B9A9041" w14:textId="675816C0" w:rsidR="00D65CB4" w:rsidRPr="00BC4EE7" w:rsidRDefault="00572307">
            <w:pPr>
              <w:pStyle w:val="P68B1DB1-Normal12"/>
              <w:spacing w:after="0"/>
              <w:jc w:val="center"/>
              <w:rPr>
                <w:rFonts w:eastAsia="Times New Roman" w:cs="Times New Roman"/>
                <w:noProof/>
              </w:rPr>
            </w:pPr>
            <w:r w:rsidRPr="00BC4EE7">
              <w:rPr>
                <w:rFonts w:cs="Times New Roman"/>
                <w:noProof/>
              </w:rPr>
              <w:t>2024</w:t>
            </w:r>
          </w:p>
        </w:tc>
        <w:tc>
          <w:tcPr>
            <w:tcW w:w="6650" w:type="dxa"/>
            <w:gridSpan w:val="2"/>
            <w:shd w:val="clear" w:color="auto" w:fill="C6EFCE"/>
            <w:noWrap/>
          </w:tcPr>
          <w:p w14:paraId="739D0F50" w14:textId="396DC2AE" w:rsidR="00D65CB4" w:rsidRPr="00BC4EE7" w:rsidRDefault="00572307">
            <w:pPr>
              <w:pStyle w:val="P68B1DB1-Normal12"/>
              <w:spacing w:after="0"/>
              <w:rPr>
                <w:rFonts w:eastAsia="Times New Roman" w:cs="Times New Roman"/>
                <w:noProof/>
              </w:rPr>
            </w:pPr>
            <w:r w:rsidRPr="00BC4EE7">
              <w:rPr>
                <w:rFonts w:cs="Times New Roman"/>
                <w:noProof/>
              </w:rPr>
              <w:t>Spanyolország legalább 1600 millió EUR-t csoportosít át az IDAE-nek a támogatási rendszer céljára.</w:t>
            </w:r>
          </w:p>
        </w:tc>
      </w:tr>
      <w:tr w:rsidR="00D65CB4" w:rsidRPr="00BC4EE7" w14:paraId="67B00CEE" w14:textId="77777777" w:rsidTr="00572307">
        <w:trPr>
          <w:trHeight w:val="309"/>
        </w:trPr>
        <w:tc>
          <w:tcPr>
            <w:tcW w:w="789" w:type="dxa"/>
            <w:shd w:val="clear" w:color="auto" w:fill="C6EFCE"/>
            <w:noWrap/>
          </w:tcPr>
          <w:p w14:paraId="53F6BDD7" w14:textId="085049AD" w:rsidR="00D65CB4" w:rsidRPr="00BC4EE7" w:rsidRDefault="00572307">
            <w:pPr>
              <w:pStyle w:val="P68B1DB1-Normal12"/>
              <w:spacing w:after="0"/>
              <w:jc w:val="center"/>
              <w:rPr>
                <w:rFonts w:eastAsia="Times New Roman" w:cs="Times New Roman"/>
                <w:noProof/>
              </w:rPr>
            </w:pPr>
            <w:r w:rsidRPr="00BC4EE7">
              <w:rPr>
                <w:rFonts w:cs="Times New Roman"/>
                <w:noProof/>
              </w:rPr>
              <w:t>480</w:t>
            </w:r>
          </w:p>
        </w:tc>
        <w:tc>
          <w:tcPr>
            <w:tcW w:w="913" w:type="dxa"/>
            <w:shd w:val="clear" w:color="auto" w:fill="C6EFCE"/>
            <w:noWrap/>
          </w:tcPr>
          <w:p w14:paraId="3BDDCB0E"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C31.I2</w:t>
            </w:r>
          </w:p>
        </w:tc>
        <w:tc>
          <w:tcPr>
            <w:tcW w:w="992" w:type="dxa"/>
            <w:shd w:val="clear" w:color="auto" w:fill="C6EFCE"/>
            <w:noWrap/>
          </w:tcPr>
          <w:p w14:paraId="46C3ABC8"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1957" w:type="dxa"/>
            <w:shd w:val="clear" w:color="auto" w:fill="C6EFCE"/>
            <w:noWrap/>
          </w:tcPr>
          <w:p w14:paraId="5BA1ED5F" w14:textId="41482004" w:rsidR="00D65CB4" w:rsidRPr="00BC4EE7" w:rsidRDefault="00572307">
            <w:pPr>
              <w:pStyle w:val="P68B1DB1-Normal12"/>
              <w:spacing w:after="0"/>
              <w:rPr>
                <w:rFonts w:eastAsia="Times New Roman" w:cs="Times New Roman"/>
                <w:noProof/>
              </w:rPr>
            </w:pPr>
            <w:r w:rsidRPr="00BC4EE7">
              <w:rPr>
                <w:rFonts w:cs="Times New Roman"/>
                <w:noProof/>
              </w:rPr>
              <w:t>A megújuló hidrogénre vonatkozó támogatási rendszer: A rendszer létrehozása</w:t>
            </w:r>
          </w:p>
        </w:tc>
        <w:tc>
          <w:tcPr>
            <w:tcW w:w="1173" w:type="dxa"/>
            <w:shd w:val="clear" w:color="auto" w:fill="C6EFCE"/>
            <w:noWrap/>
          </w:tcPr>
          <w:p w14:paraId="6E1C4DEB" w14:textId="07010FC6" w:rsidR="00D65CB4" w:rsidRPr="00BC4EE7" w:rsidRDefault="00572307">
            <w:pPr>
              <w:pStyle w:val="P68B1DB1-Normal12"/>
              <w:spacing w:after="0"/>
              <w:jc w:val="center"/>
              <w:rPr>
                <w:rFonts w:eastAsia="Times New Roman" w:cs="Times New Roman"/>
                <w:noProof/>
              </w:rPr>
            </w:pPr>
            <w:r w:rsidRPr="00BC4EE7">
              <w:rPr>
                <w:rFonts w:cs="Times New Roman"/>
                <w:noProof/>
              </w:rPr>
              <w:t>A vonatkozó jogi eszköz(ök) hatálybalépése</w:t>
            </w:r>
          </w:p>
        </w:tc>
        <w:tc>
          <w:tcPr>
            <w:tcW w:w="581" w:type="dxa"/>
            <w:shd w:val="clear" w:color="auto" w:fill="C6EFCE"/>
            <w:noWrap/>
          </w:tcPr>
          <w:p w14:paraId="4EE62C9A" w14:textId="77777777" w:rsidR="00D65CB4" w:rsidRPr="00BC4EE7" w:rsidRDefault="00D65CB4">
            <w:pPr>
              <w:spacing w:after="0"/>
              <w:jc w:val="center"/>
              <w:rPr>
                <w:rFonts w:ascii="Times New Roman" w:eastAsia="Times New Roman" w:hAnsi="Times New Roman" w:cs="Times New Roman"/>
                <w:noProof/>
                <w:sz w:val="18"/>
              </w:rPr>
            </w:pPr>
          </w:p>
        </w:tc>
        <w:tc>
          <w:tcPr>
            <w:tcW w:w="958" w:type="dxa"/>
            <w:shd w:val="clear" w:color="auto" w:fill="C6EFCE"/>
            <w:noWrap/>
          </w:tcPr>
          <w:p w14:paraId="6F49F013" w14:textId="77777777" w:rsidR="00D65CB4" w:rsidRPr="00BC4EE7" w:rsidRDefault="00D65CB4">
            <w:pPr>
              <w:spacing w:after="0"/>
              <w:jc w:val="right"/>
              <w:rPr>
                <w:rFonts w:ascii="Times New Roman" w:eastAsia="Times New Roman" w:hAnsi="Times New Roman" w:cs="Times New Roman"/>
                <w:noProof/>
                <w:sz w:val="18"/>
              </w:rPr>
            </w:pPr>
          </w:p>
        </w:tc>
        <w:tc>
          <w:tcPr>
            <w:tcW w:w="538" w:type="dxa"/>
            <w:shd w:val="clear" w:color="auto" w:fill="C6EFCE"/>
            <w:noWrap/>
          </w:tcPr>
          <w:p w14:paraId="028C0AD5" w14:textId="77777777" w:rsidR="00D65CB4" w:rsidRPr="00BC4EE7" w:rsidRDefault="00D65CB4">
            <w:pPr>
              <w:spacing w:after="0"/>
              <w:jc w:val="right"/>
              <w:rPr>
                <w:rFonts w:ascii="Times New Roman" w:eastAsia="Times New Roman" w:hAnsi="Times New Roman" w:cs="Times New Roman"/>
                <w:noProof/>
                <w:sz w:val="18"/>
              </w:rPr>
            </w:pPr>
          </w:p>
        </w:tc>
        <w:tc>
          <w:tcPr>
            <w:tcW w:w="413" w:type="dxa"/>
            <w:shd w:val="clear" w:color="auto" w:fill="C6EFCE"/>
            <w:noWrap/>
          </w:tcPr>
          <w:p w14:paraId="51883FA8" w14:textId="77777777" w:rsidR="00D65CB4" w:rsidRPr="00BC4EE7" w:rsidRDefault="00572307">
            <w:pPr>
              <w:pStyle w:val="P68B1DB1-Normal12"/>
              <w:spacing w:after="0"/>
              <w:jc w:val="center"/>
              <w:rPr>
                <w:rFonts w:eastAsia="Times New Roman" w:cs="Times New Roman"/>
                <w:noProof/>
                <w:highlight w:val="yellow"/>
              </w:rPr>
            </w:pPr>
            <w:r w:rsidRPr="00BC4EE7">
              <w:rPr>
                <w:rFonts w:cs="Times New Roman"/>
                <w:noProof/>
              </w:rPr>
              <w:t>Q4</w:t>
            </w:r>
          </w:p>
        </w:tc>
        <w:tc>
          <w:tcPr>
            <w:tcW w:w="486" w:type="dxa"/>
            <w:shd w:val="clear" w:color="auto" w:fill="C6EFCE"/>
            <w:noWrap/>
          </w:tcPr>
          <w:p w14:paraId="72FEE54D" w14:textId="467CD09A" w:rsidR="00D65CB4" w:rsidRPr="00BC4EE7" w:rsidRDefault="00572307">
            <w:pPr>
              <w:pStyle w:val="P68B1DB1-Normal12"/>
              <w:spacing w:after="0"/>
              <w:jc w:val="center"/>
              <w:rPr>
                <w:rFonts w:eastAsia="Times New Roman" w:cs="Times New Roman"/>
                <w:noProof/>
                <w:highlight w:val="yellow"/>
              </w:rPr>
            </w:pPr>
            <w:r w:rsidRPr="00BC4EE7">
              <w:rPr>
                <w:rFonts w:cs="Times New Roman"/>
                <w:noProof/>
              </w:rPr>
              <w:t>2024</w:t>
            </w:r>
          </w:p>
        </w:tc>
        <w:tc>
          <w:tcPr>
            <w:tcW w:w="6650" w:type="dxa"/>
            <w:gridSpan w:val="2"/>
            <w:shd w:val="clear" w:color="auto" w:fill="C6EFCE"/>
            <w:noWrap/>
          </w:tcPr>
          <w:p w14:paraId="37AFA094" w14:textId="4EC6DBFF" w:rsidR="00D65CB4" w:rsidRPr="00BC4EE7" w:rsidRDefault="00572307">
            <w:pPr>
              <w:pStyle w:val="P68B1DB1-Normal12"/>
              <w:spacing w:after="0"/>
              <w:rPr>
                <w:rFonts w:eastAsia="Times New Roman" w:cs="Times New Roman"/>
                <w:noProof/>
              </w:rPr>
            </w:pPr>
            <w:r w:rsidRPr="00BC4EE7">
              <w:rPr>
                <w:rFonts w:cs="Times New Roman"/>
                <w:noProof/>
              </w:rPr>
              <w:t>Az intézkedés leírásában meghatározott követelményekkel összhangban lép hatályba a támogatási rendszert létrehozó jogi eszköz(ök).</w:t>
            </w:r>
          </w:p>
        </w:tc>
      </w:tr>
      <w:tr w:rsidR="00D65CB4" w:rsidRPr="00BC4EE7" w14:paraId="3AFE826F" w14:textId="77777777" w:rsidTr="00572307">
        <w:trPr>
          <w:trHeight w:val="309"/>
        </w:trPr>
        <w:tc>
          <w:tcPr>
            <w:tcW w:w="789" w:type="dxa"/>
            <w:shd w:val="clear" w:color="auto" w:fill="C6EFCE"/>
            <w:noWrap/>
          </w:tcPr>
          <w:p w14:paraId="67ECE505" w14:textId="75CF15BF" w:rsidR="00D65CB4" w:rsidRPr="00BC4EE7" w:rsidRDefault="00572307">
            <w:pPr>
              <w:pStyle w:val="P68B1DB1-Normal12"/>
              <w:spacing w:after="0"/>
              <w:jc w:val="center"/>
              <w:rPr>
                <w:rFonts w:eastAsia="Times New Roman" w:cs="Times New Roman"/>
                <w:noProof/>
              </w:rPr>
            </w:pPr>
            <w:r w:rsidRPr="00BC4EE7">
              <w:rPr>
                <w:rFonts w:cs="Times New Roman"/>
                <w:noProof/>
              </w:rPr>
              <w:t>481</w:t>
            </w:r>
          </w:p>
        </w:tc>
        <w:tc>
          <w:tcPr>
            <w:tcW w:w="913" w:type="dxa"/>
            <w:shd w:val="clear" w:color="auto" w:fill="C6EFCE"/>
            <w:noWrap/>
          </w:tcPr>
          <w:p w14:paraId="061AD380"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C31.I2</w:t>
            </w:r>
          </w:p>
        </w:tc>
        <w:tc>
          <w:tcPr>
            <w:tcW w:w="992" w:type="dxa"/>
            <w:shd w:val="clear" w:color="auto" w:fill="C6EFCE"/>
            <w:noWrap/>
          </w:tcPr>
          <w:p w14:paraId="4E309171"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T</w:t>
            </w:r>
          </w:p>
        </w:tc>
        <w:tc>
          <w:tcPr>
            <w:tcW w:w="1957" w:type="dxa"/>
            <w:shd w:val="clear" w:color="auto" w:fill="C6EFCE"/>
            <w:noWrap/>
          </w:tcPr>
          <w:p w14:paraId="384881E1" w14:textId="3753B807" w:rsidR="00D65CB4" w:rsidRPr="00BC4EE7" w:rsidRDefault="00572307">
            <w:pPr>
              <w:pStyle w:val="P68B1DB1-Normal12"/>
              <w:spacing w:after="0"/>
              <w:rPr>
                <w:rFonts w:eastAsia="Times New Roman" w:cs="Times New Roman"/>
                <w:noProof/>
              </w:rPr>
            </w:pPr>
            <w:r w:rsidRPr="00BC4EE7">
              <w:rPr>
                <w:rFonts w:cs="Times New Roman"/>
                <w:noProof/>
              </w:rPr>
              <w:t>A megújuló hidrogénre vonatkozó támogatási rendszer: A végső kedvezményezettekkel aláírt jogi megállapodások vagy közzétett végleges odaítélési határozatok (I)</w:t>
            </w:r>
          </w:p>
        </w:tc>
        <w:tc>
          <w:tcPr>
            <w:tcW w:w="1173" w:type="dxa"/>
            <w:shd w:val="clear" w:color="auto" w:fill="C6EFCE"/>
            <w:noWrap/>
          </w:tcPr>
          <w:p w14:paraId="50AB68CF" w14:textId="27095E3B" w:rsidR="00D65CB4" w:rsidRPr="00BC4EE7" w:rsidRDefault="00572307">
            <w:pPr>
              <w:pStyle w:val="P68B1DB1-Normal12"/>
              <w:spacing w:after="0"/>
              <w:jc w:val="center"/>
              <w:rPr>
                <w:rFonts w:eastAsia="Times New Roman" w:cs="Times New Roman"/>
                <w:noProof/>
              </w:rPr>
            </w:pPr>
            <w:r w:rsidRPr="00BC4EE7">
              <w:rPr>
                <w:rFonts w:cs="Times New Roman"/>
                <w:noProof/>
              </w:rPr>
              <w:t>A jogi finanszírozási megállapodások hatálybalépése vagy a végleges odaítélési határozatok közzététele</w:t>
            </w:r>
          </w:p>
        </w:tc>
        <w:tc>
          <w:tcPr>
            <w:tcW w:w="581" w:type="dxa"/>
            <w:shd w:val="clear" w:color="auto" w:fill="C6EFCE"/>
            <w:noWrap/>
          </w:tcPr>
          <w:p w14:paraId="5AE09F65" w14:textId="2D70B4BB" w:rsidR="00D65CB4" w:rsidRPr="00BC4EE7" w:rsidRDefault="00D65CB4">
            <w:pPr>
              <w:spacing w:after="0"/>
              <w:jc w:val="center"/>
              <w:rPr>
                <w:rFonts w:ascii="Times New Roman" w:eastAsia="Times New Roman" w:hAnsi="Times New Roman" w:cs="Times New Roman"/>
                <w:noProof/>
                <w:sz w:val="18"/>
              </w:rPr>
            </w:pPr>
          </w:p>
        </w:tc>
        <w:tc>
          <w:tcPr>
            <w:tcW w:w="958" w:type="dxa"/>
            <w:shd w:val="clear" w:color="auto" w:fill="C6EFCE"/>
            <w:noWrap/>
          </w:tcPr>
          <w:p w14:paraId="764FC97E"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0</w:t>
            </w:r>
          </w:p>
        </w:tc>
        <w:tc>
          <w:tcPr>
            <w:tcW w:w="538" w:type="dxa"/>
            <w:shd w:val="clear" w:color="auto" w:fill="C6EFCE"/>
            <w:noWrap/>
          </w:tcPr>
          <w:p w14:paraId="6DF1E4E0" w14:textId="57D245B8" w:rsidR="00D65CB4" w:rsidRPr="00BC4EE7" w:rsidRDefault="00572307">
            <w:pPr>
              <w:pStyle w:val="P68B1DB1-Normal12"/>
              <w:spacing w:after="0"/>
              <w:jc w:val="right"/>
              <w:rPr>
                <w:rFonts w:eastAsia="Times New Roman" w:cs="Times New Roman"/>
                <w:noProof/>
              </w:rPr>
            </w:pPr>
            <w:r w:rsidRPr="00BC4EE7">
              <w:rPr>
                <w:rFonts w:cs="Times New Roman"/>
                <w:noProof/>
              </w:rPr>
              <w:t>50%</w:t>
            </w:r>
          </w:p>
        </w:tc>
        <w:tc>
          <w:tcPr>
            <w:tcW w:w="413" w:type="dxa"/>
            <w:shd w:val="clear" w:color="auto" w:fill="C6EFCE"/>
            <w:noWrap/>
          </w:tcPr>
          <w:p w14:paraId="73E65A2F" w14:textId="17590ACA" w:rsidR="00D65CB4" w:rsidRPr="00BC4EE7" w:rsidRDefault="00572307">
            <w:pPr>
              <w:pStyle w:val="P68B1DB1-Normal12"/>
              <w:spacing w:after="0"/>
              <w:jc w:val="center"/>
              <w:rPr>
                <w:rFonts w:eastAsia="Times New Roman" w:cs="Times New Roman"/>
                <w:noProof/>
                <w:highlight w:val="yellow"/>
              </w:rPr>
            </w:pPr>
            <w:r w:rsidRPr="00BC4EE7">
              <w:rPr>
                <w:rFonts w:cs="Times New Roman"/>
                <w:noProof/>
              </w:rPr>
              <w:t>Q2</w:t>
            </w:r>
          </w:p>
        </w:tc>
        <w:tc>
          <w:tcPr>
            <w:tcW w:w="486" w:type="dxa"/>
            <w:shd w:val="clear" w:color="auto" w:fill="C6EFCE"/>
            <w:noWrap/>
          </w:tcPr>
          <w:p w14:paraId="671EC42B" w14:textId="4DFFA38D" w:rsidR="00D65CB4" w:rsidRPr="00BC4EE7" w:rsidRDefault="00572307">
            <w:pPr>
              <w:pStyle w:val="P68B1DB1-Normal12"/>
              <w:spacing w:after="0"/>
              <w:jc w:val="center"/>
              <w:rPr>
                <w:rFonts w:eastAsia="Times New Roman" w:cs="Times New Roman"/>
                <w:noProof/>
                <w:highlight w:val="yellow"/>
              </w:rPr>
            </w:pPr>
            <w:r w:rsidRPr="00BC4EE7">
              <w:rPr>
                <w:rFonts w:cs="Times New Roman"/>
                <w:noProof/>
              </w:rPr>
              <w:t>2025</w:t>
            </w:r>
          </w:p>
        </w:tc>
        <w:tc>
          <w:tcPr>
            <w:tcW w:w="6650" w:type="dxa"/>
            <w:gridSpan w:val="2"/>
            <w:shd w:val="clear" w:color="auto" w:fill="C6EFCE"/>
            <w:noWrap/>
          </w:tcPr>
          <w:p w14:paraId="225892A5" w14:textId="4E9E3743" w:rsidR="00D65CB4" w:rsidRPr="00BC4EE7" w:rsidRDefault="00572307">
            <w:pPr>
              <w:pStyle w:val="P68B1DB1-Normal12"/>
              <w:spacing w:after="0"/>
              <w:rPr>
                <w:rFonts w:eastAsia="Times New Roman" w:cs="Times New Roman"/>
                <w:noProof/>
              </w:rPr>
            </w:pPr>
            <w:r w:rsidRPr="00BC4EE7">
              <w:rPr>
                <w:rFonts w:cs="Times New Roman"/>
                <w:noProof/>
              </w:rPr>
              <w:t>Az IDAE közzétette a végső kedvezményezettekkel kötött végleges odaítélési határozatokat vagy a végső kedvezményezettekkel kötött finanszírozási megállapodások hatálybalépését a Helyreállítási és Rezilienciaépítési Eszköz támogatási rendszerbe történő beruházásának legalább 50%-a tekintetében (beleértve a közvetett költségeket is).</w:t>
            </w:r>
          </w:p>
        </w:tc>
      </w:tr>
      <w:tr w:rsidR="00D65CB4" w:rsidRPr="00BC4EE7" w14:paraId="263EEC4D" w14:textId="77777777" w:rsidTr="00572307">
        <w:trPr>
          <w:gridAfter w:val="1"/>
          <w:wAfter w:w="30" w:type="dxa"/>
          <w:trHeight w:val="309"/>
        </w:trPr>
        <w:tc>
          <w:tcPr>
            <w:tcW w:w="789" w:type="dxa"/>
            <w:shd w:val="clear" w:color="auto" w:fill="C6EFCE"/>
            <w:noWrap/>
          </w:tcPr>
          <w:p w14:paraId="50DEA288" w14:textId="7A5F7288" w:rsidR="00D65CB4" w:rsidRPr="00BC4EE7" w:rsidRDefault="00572307">
            <w:pPr>
              <w:pStyle w:val="P68B1DB1-Normal12"/>
              <w:spacing w:after="0"/>
              <w:jc w:val="center"/>
              <w:rPr>
                <w:rFonts w:eastAsia="Times New Roman" w:cs="Times New Roman"/>
                <w:noProof/>
              </w:rPr>
            </w:pPr>
            <w:r w:rsidRPr="00BC4EE7">
              <w:rPr>
                <w:rFonts w:cs="Times New Roman"/>
                <w:noProof/>
              </w:rPr>
              <w:t>482</w:t>
            </w:r>
          </w:p>
        </w:tc>
        <w:tc>
          <w:tcPr>
            <w:tcW w:w="913" w:type="dxa"/>
            <w:shd w:val="clear" w:color="auto" w:fill="C6EFCE"/>
            <w:noWrap/>
          </w:tcPr>
          <w:p w14:paraId="080E1CD1"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C31.I2</w:t>
            </w:r>
          </w:p>
        </w:tc>
        <w:tc>
          <w:tcPr>
            <w:tcW w:w="992" w:type="dxa"/>
            <w:shd w:val="clear" w:color="auto" w:fill="C6EFCE"/>
            <w:noWrap/>
          </w:tcPr>
          <w:p w14:paraId="20743680"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T</w:t>
            </w:r>
          </w:p>
        </w:tc>
        <w:tc>
          <w:tcPr>
            <w:tcW w:w="1957" w:type="dxa"/>
            <w:shd w:val="clear" w:color="auto" w:fill="C6EFCE"/>
            <w:noWrap/>
          </w:tcPr>
          <w:p w14:paraId="255B854C" w14:textId="21C7C80D" w:rsidR="00D65CB4" w:rsidRPr="00BC4EE7" w:rsidRDefault="00572307">
            <w:pPr>
              <w:pStyle w:val="P68B1DB1-Normal12"/>
              <w:spacing w:after="0"/>
              <w:rPr>
                <w:rFonts w:eastAsia="Times New Roman" w:cs="Times New Roman"/>
                <w:noProof/>
              </w:rPr>
            </w:pPr>
            <w:r w:rsidRPr="00BC4EE7">
              <w:rPr>
                <w:rFonts w:cs="Times New Roman"/>
                <w:noProof/>
              </w:rPr>
              <w:t>A megújuló hidrogénre vonatkozó támogatási rendszer: A végső kedvezményezettekkel aláírt jogi megállapodások vagy közzétett végleges odaítélési határozatok (II.)</w:t>
            </w:r>
          </w:p>
        </w:tc>
        <w:tc>
          <w:tcPr>
            <w:tcW w:w="1173" w:type="dxa"/>
            <w:shd w:val="clear" w:color="auto" w:fill="C6EFCE"/>
            <w:noWrap/>
          </w:tcPr>
          <w:p w14:paraId="4315824F" w14:textId="6EEA4E13" w:rsidR="00D65CB4" w:rsidRPr="00BC4EE7" w:rsidRDefault="00572307">
            <w:pPr>
              <w:pStyle w:val="P68B1DB1-Normal12"/>
              <w:spacing w:after="0"/>
              <w:jc w:val="center"/>
              <w:rPr>
                <w:rFonts w:eastAsia="Times New Roman" w:cs="Times New Roman"/>
                <w:noProof/>
              </w:rPr>
            </w:pPr>
            <w:r w:rsidRPr="00BC4EE7">
              <w:rPr>
                <w:rFonts w:cs="Times New Roman"/>
                <w:noProof/>
              </w:rPr>
              <w:t>A jogi finanszírozási megállapodások hatálybalépése vagy a végleges odaítélési határozatok közzététele</w:t>
            </w:r>
          </w:p>
        </w:tc>
        <w:tc>
          <w:tcPr>
            <w:tcW w:w="581" w:type="dxa"/>
            <w:shd w:val="clear" w:color="auto" w:fill="C6EFCE"/>
            <w:noWrap/>
          </w:tcPr>
          <w:p w14:paraId="2B34F867" w14:textId="2DC2291D" w:rsidR="00D65CB4" w:rsidRPr="00BC4EE7" w:rsidRDefault="00D65CB4">
            <w:pPr>
              <w:spacing w:after="0"/>
              <w:jc w:val="center"/>
              <w:rPr>
                <w:rFonts w:ascii="Times New Roman" w:eastAsia="Times New Roman" w:hAnsi="Times New Roman" w:cs="Times New Roman"/>
                <w:noProof/>
                <w:sz w:val="18"/>
              </w:rPr>
            </w:pPr>
          </w:p>
        </w:tc>
        <w:tc>
          <w:tcPr>
            <w:tcW w:w="958" w:type="dxa"/>
            <w:shd w:val="clear" w:color="auto" w:fill="C6EFCE"/>
            <w:noWrap/>
          </w:tcPr>
          <w:p w14:paraId="2A2A49E2" w14:textId="0CAFFAE8" w:rsidR="00D65CB4" w:rsidRPr="00BC4EE7" w:rsidRDefault="00572307">
            <w:pPr>
              <w:pStyle w:val="P68B1DB1-Normal12"/>
              <w:spacing w:after="0"/>
              <w:jc w:val="right"/>
              <w:rPr>
                <w:rFonts w:eastAsia="Times New Roman" w:cs="Times New Roman"/>
                <w:noProof/>
              </w:rPr>
            </w:pPr>
            <w:r w:rsidRPr="00BC4EE7">
              <w:rPr>
                <w:rFonts w:cs="Times New Roman"/>
                <w:noProof/>
              </w:rPr>
              <w:t>50%</w:t>
            </w:r>
          </w:p>
        </w:tc>
        <w:tc>
          <w:tcPr>
            <w:tcW w:w="538" w:type="dxa"/>
            <w:shd w:val="clear" w:color="auto" w:fill="C6EFCE"/>
            <w:noWrap/>
          </w:tcPr>
          <w:p w14:paraId="33611B00" w14:textId="563940B1" w:rsidR="00D65CB4" w:rsidRPr="00BC4EE7" w:rsidRDefault="00572307">
            <w:pPr>
              <w:pStyle w:val="P68B1DB1-Normal12"/>
              <w:spacing w:after="0"/>
              <w:jc w:val="right"/>
              <w:rPr>
                <w:rFonts w:eastAsia="Times New Roman" w:cs="Times New Roman"/>
                <w:noProof/>
              </w:rPr>
            </w:pPr>
            <w:r w:rsidRPr="00BC4EE7">
              <w:rPr>
                <w:rFonts w:cs="Times New Roman"/>
                <w:noProof/>
              </w:rPr>
              <w:t>100%-OS</w:t>
            </w:r>
          </w:p>
        </w:tc>
        <w:tc>
          <w:tcPr>
            <w:tcW w:w="413" w:type="dxa"/>
            <w:shd w:val="clear" w:color="auto" w:fill="C6EFCE"/>
            <w:noWrap/>
          </w:tcPr>
          <w:p w14:paraId="2F5595CF" w14:textId="6FDA0E25" w:rsidR="00D65CB4" w:rsidRPr="00BC4EE7" w:rsidRDefault="00572307">
            <w:pPr>
              <w:pStyle w:val="P68B1DB1-Normal12"/>
              <w:spacing w:after="0"/>
              <w:jc w:val="center"/>
              <w:rPr>
                <w:rFonts w:eastAsia="Times New Roman" w:cs="Times New Roman"/>
                <w:noProof/>
                <w:highlight w:val="yellow"/>
              </w:rPr>
            </w:pPr>
            <w:r w:rsidRPr="00BC4EE7">
              <w:rPr>
                <w:rFonts w:cs="Times New Roman"/>
                <w:noProof/>
              </w:rPr>
              <w:t>Q3</w:t>
            </w:r>
          </w:p>
        </w:tc>
        <w:tc>
          <w:tcPr>
            <w:tcW w:w="486" w:type="dxa"/>
            <w:shd w:val="clear" w:color="auto" w:fill="C6EFCE"/>
            <w:noWrap/>
          </w:tcPr>
          <w:p w14:paraId="0160F2A1" w14:textId="3900C86F" w:rsidR="00D65CB4" w:rsidRPr="00BC4EE7" w:rsidRDefault="00572307">
            <w:pPr>
              <w:pStyle w:val="P68B1DB1-Normal12"/>
              <w:spacing w:after="0"/>
              <w:jc w:val="center"/>
              <w:rPr>
                <w:rFonts w:eastAsia="Times New Roman" w:cs="Times New Roman"/>
                <w:noProof/>
                <w:highlight w:val="yellow"/>
              </w:rPr>
            </w:pPr>
            <w:r w:rsidRPr="00BC4EE7">
              <w:rPr>
                <w:rFonts w:cs="Times New Roman"/>
                <w:noProof/>
              </w:rPr>
              <w:t>2026</w:t>
            </w:r>
          </w:p>
        </w:tc>
        <w:tc>
          <w:tcPr>
            <w:tcW w:w="6620" w:type="dxa"/>
            <w:shd w:val="clear" w:color="auto" w:fill="C6EFCE"/>
            <w:noWrap/>
          </w:tcPr>
          <w:p w14:paraId="7F48C873" w14:textId="07D4E2E2" w:rsidR="00D65CB4" w:rsidRPr="00BC4EE7" w:rsidRDefault="00572307">
            <w:pPr>
              <w:pStyle w:val="P68B1DB1-Normal12"/>
              <w:spacing w:after="0"/>
              <w:rPr>
                <w:rFonts w:eastAsia="Times New Roman" w:cs="Times New Roman"/>
                <w:noProof/>
              </w:rPr>
            </w:pPr>
            <w:r w:rsidRPr="00BC4EE7">
              <w:rPr>
                <w:rFonts w:cs="Times New Roman"/>
                <w:noProof/>
              </w:rPr>
              <w:t>Az IDAE közzétette a végső kedvezményezettekkel kötött végleges odaítélési határozatokat vagy a végső kedvezményezettekkel kötött finanszírozási megállapodások hatálybalépését a Helyreállítási és Rezilienciaépítési Eszköz támogatási rendszerbe történő beruházásának 100%-a tekintetében (beleértve a közvetett költségeket is).</w:t>
            </w:r>
          </w:p>
        </w:tc>
      </w:tr>
      <w:tr w:rsidR="00D65CB4" w:rsidRPr="00BC4EE7" w14:paraId="668FE02C" w14:textId="77777777" w:rsidTr="00572307">
        <w:trPr>
          <w:trHeight w:val="309"/>
        </w:trPr>
        <w:tc>
          <w:tcPr>
            <w:tcW w:w="789" w:type="dxa"/>
            <w:shd w:val="clear" w:color="auto" w:fill="C6EFCE"/>
            <w:noWrap/>
          </w:tcPr>
          <w:p w14:paraId="062E20ED" w14:textId="73DA41CE" w:rsidR="00D65CB4" w:rsidRPr="00BC4EE7" w:rsidRDefault="00572307">
            <w:pPr>
              <w:pStyle w:val="P68B1DB1-Normal12"/>
              <w:spacing w:after="0"/>
              <w:jc w:val="center"/>
              <w:rPr>
                <w:rFonts w:eastAsia="Times New Roman" w:cs="Times New Roman"/>
                <w:noProof/>
              </w:rPr>
            </w:pPr>
            <w:r w:rsidRPr="00BC4EE7">
              <w:rPr>
                <w:rFonts w:cs="Times New Roman"/>
                <w:noProof/>
              </w:rPr>
              <w:t>487</w:t>
            </w:r>
          </w:p>
        </w:tc>
        <w:tc>
          <w:tcPr>
            <w:tcW w:w="913" w:type="dxa"/>
            <w:shd w:val="clear" w:color="auto" w:fill="C6EFCE"/>
            <w:noWrap/>
          </w:tcPr>
          <w:p w14:paraId="32B1D913" w14:textId="171B767F" w:rsidR="00D65CB4" w:rsidRPr="00BC4EE7" w:rsidRDefault="00572307">
            <w:pPr>
              <w:pStyle w:val="P68B1DB1-Normal12"/>
              <w:spacing w:after="0"/>
              <w:jc w:val="center"/>
              <w:rPr>
                <w:rFonts w:eastAsia="Times New Roman" w:cs="Times New Roman"/>
                <w:noProof/>
              </w:rPr>
            </w:pPr>
            <w:r w:rsidRPr="00BC4EE7">
              <w:rPr>
                <w:rFonts w:cs="Times New Roman"/>
                <w:noProof/>
              </w:rPr>
              <w:t>C31.I3</w:t>
            </w:r>
          </w:p>
        </w:tc>
        <w:tc>
          <w:tcPr>
            <w:tcW w:w="992" w:type="dxa"/>
            <w:shd w:val="clear" w:color="auto" w:fill="C6EFCE"/>
            <w:noWrap/>
          </w:tcPr>
          <w:p w14:paraId="6BE1717C" w14:textId="139DA6F4"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1957" w:type="dxa"/>
            <w:shd w:val="clear" w:color="auto" w:fill="C6EFCE"/>
            <w:noWrap/>
          </w:tcPr>
          <w:p w14:paraId="42CB9C1B" w14:textId="221A96B0" w:rsidR="00D65CB4" w:rsidRPr="00BC4EE7" w:rsidRDefault="00572307">
            <w:pPr>
              <w:pStyle w:val="P68B1DB1-Normal12"/>
              <w:spacing w:after="0"/>
              <w:rPr>
                <w:rFonts w:eastAsia="Times New Roman" w:cs="Times New Roman"/>
                <w:noProof/>
              </w:rPr>
            </w:pPr>
            <w:r w:rsidRPr="00BC4EE7">
              <w:rPr>
                <w:rFonts w:cs="Times New Roman"/>
                <w:noProof/>
              </w:rPr>
              <w:t>Az értéklánc támogatási rendszere: A minisztérium befejezte a beruházást</w:t>
            </w:r>
          </w:p>
        </w:tc>
        <w:tc>
          <w:tcPr>
            <w:tcW w:w="1173" w:type="dxa"/>
            <w:shd w:val="clear" w:color="auto" w:fill="C6EFCE"/>
            <w:noWrap/>
          </w:tcPr>
          <w:p w14:paraId="18308D9B" w14:textId="7113B2AE" w:rsidR="00D65CB4" w:rsidRPr="00BC4EE7" w:rsidRDefault="00572307">
            <w:pPr>
              <w:pStyle w:val="P68B1DB1-Normal12"/>
              <w:spacing w:after="0"/>
              <w:jc w:val="center"/>
              <w:rPr>
                <w:rFonts w:eastAsia="Times New Roman" w:cs="Times New Roman"/>
                <w:noProof/>
              </w:rPr>
            </w:pPr>
            <w:r w:rsidRPr="00BC4EE7">
              <w:rPr>
                <w:rFonts w:cs="Times New Roman"/>
                <w:noProof/>
              </w:rPr>
              <w:t>Átutalási igazolás</w:t>
            </w:r>
          </w:p>
        </w:tc>
        <w:tc>
          <w:tcPr>
            <w:tcW w:w="581" w:type="dxa"/>
            <w:shd w:val="clear" w:color="auto" w:fill="C6EFCE"/>
            <w:noWrap/>
          </w:tcPr>
          <w:p w14:paraId="19B525F6" w14:textId="77777777" w:rsidR="00D65CB4" w:rsidRPr="00BC4EE7" w:rsidRDefault="00D65CB4">
            <w:pPr>
              <w:spacing w:after="0"/>
              <w:jc w:val="center"/>
              <w:rPr>
                <w:rFonts w:ascii="Times New Roman" w:eastAsia="Times New Roman" w:hAnsi="Times New Roman" w:cs="Times New Roman"/>
                <w:noProof/>
                <w:sz w:val="18"/>
              </w:rPr>
            </w:pPr>
          </w:p>
        </w:tc>
        <w:tc>
          <w:tcPr>
            <w:tcW w:w="958" w:type="dxa"/>
            <w:shd w:val="clear" w:color="auto" w:fill="C6EFCE"/>
            <w:noWrap/>
          </w:tcPr>
          <w:p w14:paraId="557E201D" w14:textId="77777777" w:rsidR="00D65CB4" w:rsidRPr="00BC4EE7" w:rsidRDefault="00D65CB4">
            <w:pPr>
              <w:spacing w:after="0"/>
              <w:jc w:val="right"/>
              <w:rPr>
                <w:rFonts w:ascii="Times New Roman" w:eastAsia="Times New Roman" w:hAnsi="Times New Roman" w:cs="Times New Roman"/>
                <w:noProof/>
                <w:sz w:val="18"/>
              </w:rPr>
            </w:pPr>
          </w:p>
        </w:tc>
        <w:tc>
          <w:tcPr>
            <w:tcW w:w="538" w:type="dxa"/>
            <w:shd w:val="clear" w:color="auto" w:fill="C6EFCE"/>
            <w:noWrap/>
          </w:tcPr>
          <w:p w14:paraId="62A2D8E4" w14:textId="77777777" w:rsidR="00D65CB4" w:rsidRPr="00BC4EE7" w:rsidRDefault="00D65CB4">
            <w:pPr>
              <w:spacing w:after="0"/>
              <w:jc w:val="right"/>
              <w:rPr>
                <w:rFonts w:ascii="Times New Roman" w:eastAsia="Times New Roman" w:hAnsi="Times New Roman" w:cs="Times New Roman"/>
                <w:noProof/>
                <w:sz w:val="18"/>
              </w:rPr>
            </w:pPr>
          </w:p>
        </w:tc>
        <w:tc>
          <w:tcPr>
            <w:tcW w:w="413" w:type="dxa"/>
            <w:shd w:val="clear" w:color="auto" w:fill="C6EFCE"/>
            <w:noWrap/>
          </w:tcPr>
          <w:p w14:paraId="1C67934C" w14:textId="1BBAA7C3" w:rsidR="00D65CB4" w:rsidRPr="00BC4EE7" w:rsidRDefault="00572307">
            <w:pPr>
              <w:pStyle w:val="P68B1DB1-Normal12"/>
              <w:spacing w:after="0"/>
              <w:jc w:val="center"/>
              <w:rPr>
                <w:rFonts w:eastAsia="Times New Roman" w:cs="Times New Roman"/>
                <w:noProof/>
              </w:rPr>
            </w:pPr>
            <w:r w:rsidRPr="00BC4EE7">
              <w:rPr>
                <w:rFonts w:cs="Times New Roman"/>
                <w:noProof/>
              </w:rPr>
              <w:t>Q2</w:t>
            </w:r>
          </w:p>
        </w:tc>
        <w:tc>
          <w:tcPr>
            <w:tcW w:w="486" w:type="dxa"/>
            <w:shd w:val="clear" w:color="auto" w:fill="C6EFCE"/>
            <w:noWrap/>
          </w:tcPr>
          <w:p w14:paraId="4C8A96BC" w14:textId="62C2A2B4" w:rsidR="00D65CB4" w:rsidRPr="00BC4EE7" w:rsidRDefault="00572307">
            <w:pPr>
              <w:pStyle w:val="P68B1DB1-Normal12"/>
              <w:spacing w:after="0"/>
              <w:jc w:val="center"/>
              <w:rPr>
                <w:rFonts w:eastAsia="Times New Roman" w:cs="Times New Roman"/>
                <w:noProof/>
              </w:rPr>
            </w:pPr>
            <w:r w:rsidRPr="00BC4EE7">
              <w:rPr>
                <w:rFonts w:cs="Times New Roman"/>
                <w:noProof/>
              </w:rPr>
              <w:t>2024</w:t>
            </w:r>
          </w:p>
        </w:tc>
        <w:tc>
          <w:tcPr>
            <w:tcW w:w="6650" w:type="dxa"/>
            <w:gridSpan w:val="2"/>
            <w:shd w:val="clear" w:color="auto" w:fill="C6EFCE"/>
            <w:noWrap/>
          </w:tcPr>
          <w:p w14:paraId="7BC5991D" w14:textId="5FE8BC70" w:rsidR="00D65CB4" w:rsidRPr="00BC4EE7" w:rsidRDefault="00572307">
            <w:pPr>
              <w:pStyle w:val="P68B1DB1-Normal12"/>
              <w:spacing w:after="0"/>
              <w:rPr>
                <w:rFonts w:eastAsia="Times New Roman" w:cs="Times New Roman"/>
                <w:noProof/>
              </w:rPr>
            </w:pPr>
            <w:r w:rsidRPr="00BC4EE7">
              <w:rPr>
                <w:rFonts w:cs="Times New Roman"/>
                <w:noProof/>
              </w:rPr>
              <w:t xml:space="preserve">Spanyolország 1000 millió EUR-t csoportosít át az IDAE-nek a támogatási rendszer céljára. </w:t>
            </w:r>
          </w:p>
        </w:tc>
      </w:tr>
      <w:tr w:rsidR="00D65CB4" w:rsidRPr="00BC4EE7" w14:paraId="4997CE3A" w14:textId="77777777" w:rsidTr="00572307">
        <w:trPr>
          <w:trHeight w:val="309"/>
        </w:trPr>
        <w:tc>
          <w:tcPr>
            <w:tcW w:w="789" w:type="dxa"/>
            <w:shd w:val="clear" w:color="auto" w:fill="C6EFCE"/>
            <w:noWrap/>
          </w:tcPr>
          <w:p w14:paraId="2C9D9912" w14:textId="07AC69DB" w:rsidR="00D65CB4" w:rsidRPr="00BC4EE7" w:rsidRDefault="00572307">
            <w:pPr>
              <w:pStyle w:val="P68B1DB1-Normal12"/>
              <w:spacing w:after="0"/>
              <w:jc w:val="center"/>
              <w:rPr>
                <w:rFonts w:eastAsia="Times New Roman" w:cs="Times New Roman"/>
                <w:noProof/>
              </w:rPr>
            </w:pPr>
            <w:r w:rsidRPr="00BC4EE7">
              <w:rPr>
                <w:rFonts w:cs="Times New Roman"/>
                <w:noProof/>
              </w:rPr>
              <w:t>484</w:t>
            </w:r>
          </w:p>
        </w:tc>
        <w:tc>
          <w:tcPr>
            <w:tcW w:w="913" w:type="dxa"/>
            <w:shd w:val="clear" w:color="auto" w:fill="C6EFCE"/>
            <w:noWrap/>
          </w:tcPr>
          <w:p w14:paraId="35061C95"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C31.I3</w:t>
            </w:r>
          </w:p>
        </w:tc>
        <w:tc>
          <w:tcPr>
            <w:tcW w:w="992" w:type="dxa"/>
            <w:shd w:val="clear" w:color="auto" w:fill="C6EFCE"/>
            <w:noWrap/>
          </w:tcPr>
          <w:p w14:paraId="46836030"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1957" w:type="dxa"/>
            <w:shd w:val="clear" w:color="auto" w:fill="C6EFCE"/>
            <w:noWrap/>
          </w:tcPr>
          <w:p w14:paraId="390DE608" w14:textId="48058EC9" w:rsidR="00D65CB4" w:rsidRPr="00BC4EE7" w:rsidRDefault="00572307">
            <w:pPr>
              <w:pStyle w:val="P68B1DB1-Normal12"/>
              <w:spacing w:after="0"/>
              <w:rPr>
                <w:rFonts w:eastAsia="Times New Roman" w:cs="Times New Roman"/>
                <w:noProof/>
              </w:rPr>
            </w:pPr>
            <w:r w:rsidRPr="00BC4EE7">
              <w:rPr>
                <w:rFonts w:cs="Times New Roman"/>
                <w:noProof/>
              </w:rPr>
              <w:t>Az értéklánc támogatási rendszere: A rendszer létrehozása</w:t>
            </w:r>
          </w:p>
        </w:tc>
        <w:tc>
          <w:tcPr>
            <w:tcW w:w="1173" w:type="dxa"/>
            <w:shd w:val="clear" w:color="auto" w:fill="C6EFCE"/>
            <w:noWrap/>
          </w:tcPr>
          <w:p w14:paraId="653E9D84" w14:textId="75B7BDF7" w:rsidR="00D65CB4" w:rsidRPr="00BC4EE7" w:rsidRDefault="00572307">
            <w:pPr>
              <w:pStyle w:val="P68B1DB1-Normal12"/>
              <w:spacing w:after="0"/>
              <w:jc w:val="center"/>
              <w:rPr>
                <w:rFonts w:eastAsia="Times New Roman" w:cs="Times New Roman"/>
                <w:noProof/>
              </w:rPr>
            </w:pPr>
            <w:r w:rsidRPr="00BC4EE7">
              <w:rPr>
                <w:rFonts w:cs="Times New Roman"/>
                <w:noProof/>
              </w:rPr>
              <w:t>A miniszteri rendelet hatálybalépése</w:t>
            </w:r>
          </w:p>
        </w:tc>
        <w:tc>
          <w:tcPr>
            <w:tcW w:w="581" w:type="dxa"/>
            <w:shd w:val="clear" w:color="auto" w:fill="C6EFCE"/>
            <w:noWrap/>
          </w:tcPr>
          <w:p w14:paraId="2E2DBE46" w14:textId="77777777" w:rsidR="00D65CB4" w:rsidRPr="00BC4EE7" w:rsidRDefault="00D65CB4">
            <w:pPr>
              <w:spacing w:after="0"/>
              <w:jc w:val="center"/>
              <w:rPr>
                <w:rFonts w:ascii="Times New Roman" w:eastAsia="Times New Roman" w:hAnsi="Times New Roman" w:cs="Times New Roman"/>
                <w:noProof/>
                <w:sz w:val="18"/>
              </w:rPr>
            </w:pPr>
          </w:p>
        </w:tc>
        <w:tc>
          <w:tcPr>
            <w:tcW w:w="958" w:type="dxa"/>
            <w:shd w:val="clear" w:color="auto" w:fill="C6EFCE"/>
            <w:noWrap/>
          </w:tcPr>
          <w:p w14:paraId="2BE95DCB" w14:textId="77777777" w:rsidR="00D65CB4" w:rsidRPr="00BC4EE7" w:rsidRDefault="00D65CB4">
            <w:pPr>
              <w:spacing w:after="0"/>
              <w:jc w:val="right"/>
              <w:rPr>
                <w:rFonts w:ascii="Times New Roman" w:eastAsia="Times New Roman" w:hAnsi="Times New Roman" w:cs="Times New Roman"/>
                <w:noProof/>
                <w:sz w:val="18"/>
              </w:rPr>
            </w:pPr>
          </w:p>
        </w:tc>
        <w:tc>
          <w:tcPr>
            <w:tcW w:w="538" w:type="dxa"/>
            <w:shd w:val="clear" w:color="auto" w:fill="C6EFCE"/>
            <w:noWrap/>
          </w:tcPr>
          <w:p w14:paraId="32C010D6" w14:textId="77777777" w:rsidR="00D65CB4" w:rsidRPr="00BC4EE7" w:rsidRDefault="00D65CB4">
            <w:pPr>
              <w:spacing w:after="0"/>
              <w:jc w:val="right"/>
              <w:rPr>
                <w:rFonts w:ascii="Times New Roman" w:eastAsia="Times New Roman" w:hAnsi="Times New Roman" w:cs="Times New Roman"/>
                <w:noProof/>
                <w:sz w:val="18"/>
              </w:rPr>
            </w:pPr>
          </w:p>
        </w:tc>
        <w:tc>
          <w:tcPr>
            <w:tcW w:w="413" w:type="dxa"/>
            <w:shd w:val="clear" w:color="auto" w:fill="C6EFCE"/>
            <w:noWrap/>
          </w:tcPr>
          <w:p w14:paraId="0D529E4A" w14:textId="77777777" w:rsidR="00D65CB4" w:rsidRPr="00BC4EE7" w:rsidRDefault="00572307">
            <w:pPr>
              <w:pStyle w:val="P68B1DB1-Normal12"/>
              <w:spacing w:after="0"/>
              <w:jc w:val="center"/>
              <w:rPr>
                <w:rFonts w:eastAsia="Times New Roman" w:cs="Times New Roman"/>
                <w:noProof/>
                <w:highlight w:val="yellow"/>
              </w:rPr>
            </w:pPr>
            <w:r w:rsidRPr="00BC4EE7">
              <w:rPr>
                <w:rFonts w:cs="Times New Roman"/>
                <w:noProof/>
              </w:rPr>
              <w:t>Q4</w:t>
            </w:r>
          </w:p>
        </w:tc>
        <w:tc>
          <w:tcPr>
            <w:tcW w:w="486" w:type="dxa"/>
            <w:shd w:val="clear" w:color="auto" w:fill="C6EFCE"/>
            <w:noWrap/>
          </w:tcPr>
          <w:p w14:paraId="358F275E" w14:textId="63EF6B72" w:rsidR="00D65CB4" w:rsidRPr="00BC4EE7" w:rsidRDefault="00572307">
            <w:pPr>
              <w:pStyle w:val="P68B1DB1-Normal12"/>
              <w:spacing w:after="0"/>
              <w:jc w:val="center"/>
              <w:rPr>
                <w:rFonts w:eastAsia="Times New Roman" w:cs="Times New Roman"/>
                <w:noProof/>
                <w:highlight w:val="yellow"/>
              </w:rPr>
            </w:pPr>
            <w:r w:rsidRPr="00BC4EE7">
              <w:rPr>
                <w:rFonts w:cs="Times New Roman"/>
                <w:noProof/>
              </w:rPr>
              <w:t>2024</w:t>
            </w:r>
          </w:p>
        </w:tc>
        <w:tc>
          <w:tcPr>
            <w:tcW w:w="6650" w:type="dxa"/>
            <w:gridSpan w:val="2"/>
            <w:shd w:val="clear" w:color="auto" w:fill="C6EFCE"/>
            <w:noWrap/>
          </w:tcPr>
          <w:p w14:paraId="4FE61A9D" w14:textId="42D4101E" w:rsidR="00D65CB4" w:rsidRPr="00BC4EE7" w:rsidRDefault="00572307">
            <w:pPr>
              <w:pStyle w:val="P68B1DB1-Normal12"/>
              <w:spacing w:after="0"/>
              <w:rPr>
                <w:rFonts w:eastAsia="Times New Roman" w:cs="Times New Roman"/>
                <w:noProof/>
              </w:rPr>
            </w:pPr>
            <w:r w:rsidRPr="00BC4EE7">
              <w:rPr>
                <w:rFonts w:cs="Times New Roman"/>
                <w:noProof/>
              </w:rPr>
              <w:t>A támogatási rendszert létrehozó jogi eszköz(ök) hatálybalépése az intézkedés leírásában meghatározott követelményekkel összhangban.</w:t>
            </w:r>
          </w:p>
        </w:tc>
      </w:tr>
      <w:tr w:rsidR="00D65CB4" w:rsidRPr="00BC4EE7" w14:paraId="20ABF11D" w14:textId="77777777" w:rsidTr="00572307">
        <w:trPr>
          <w:trHeight w:val="309"/>
        </w:trPr>
        <w:tc>
          <w:tcPr>
            <w:tcW w:w="789" w:type="dxa"/>
            <w:shd w:val="clear" w:color="auto" w:fill="C6EFCE"/>
            <w:noWrap/>
          </w:tcPr>
          <w:p w14:paraId="5FCF7510" w14:textId="19C6135E" w:rsidR="00D65CB4" w:rsidRPr="00BC4EE7" w:rsidRDefault="00572307">
            <w:pPr>
              <w:pStyle w:val="P68B1DB1-Normal12"/>
              <w:spacing w:after="0"/>
              <w:jc w:val="center"/>
              <w:rPr>
                <w:rFonts w:eastAsia="Times New Roman" w:cs="Times New Roman"/>
                <w:noProof/>
              </w:rPr>
            </w:pPr>
            <w:r w:rsidRPr="00BC4EE7">
              <w:rPr>
                <w:rFonts w:cs="Times New Roman"/>
                <w:noProof/>
              </w:rPr>
              <w:t>485</w:t>
            </w:r>
          </w:p>
        </w:tc>
        <w:tc>
          <w:tcPr>
            <w:tcW w:w="913" w:type="dxa"/>
            <w:shd w:val="clear" w:color="auto" w:fill="C6EFCE"/>
            <w:noWrap/>
          </w:tcPr>
          <w:p w14:paraId="34CAD987"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C31.I3</w:t>
            </w:r>
          </w:p>
        </w:tc>
        <w:tc>
          <w:tcPr>
            <w:tcW w:w="992" w:type="dxa"/>
            <w:shd w:val="clear" w:color="auto" w:fill="C6EFCE"/>
            <w:noWrap/>
          </w:tcPr>
          <w:p w14:paraId="6507ED67"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T</w:t>
            </w:r>
          </w:p>
        </w:tc>
        <w:tc>
          <w:tcPr>
            <w:tcW w:w="1957" w:type="dxa"/>
            <w:shd w:val="clear" w:color="auto" w:fill="C6EFCE"/>
            <w:noWrap/>
          </w:tcPr>
          <w:p w14:paraId="7C2B6EB1" w14:textId="1B5D97E8" w:rsidR="00D65CB4" w:rsidRPr="00BC4EE7" w:rsidRDefault="00572307">
            <w:pPr>
              <w:pStyle w:val="P68B1DB1-Normal12"/>
              <w:spacing w:after="0"/>
              <w:rPr>
                <w:rFonts w:eastAsia="Times New Roman" w:cs="Times New Roman"/>
                <w:noProof/>
              </w:rPr>
            </w:pPr>
            <w:r w:rsidRPr="00BC4EE7">
              <w:rPr>
                <w:rFonts w:cs="Times New Roman"/>
                <w:noProof/>
              </w:rPr>
              <w:t>Az értéklánc támogatási rendszere: A végső kedvezményezettekkel aláírt jogi megállapodások vagy közzétett végleges odaítélési határozatok (I)</w:t>
            </w:r>
          </w:p>
        </w:tc>
        <w:tc>
          <w:tcPr>
            <w:tcW w:w="1173" w:type="dxa"/>
            <w:shd w:val="clear" w:color="auto" w:fill="C6EFCE"/>
            <w:noWrap/>
          </w:tcPr>
          <w:p w14:paraId="29427A2F" w14:textId="191137EA" w:rsidR="00D65CB4" w:rsidRPr="00BC4EE7" w:rsidRDefault="00572307">
            <w:pPr>
              <w:pStyle w:val="P68B1DB1-Normal12"/>
              <w:spacing w:after="0"/>
              <w:jc w:val="center"/>
              <w:rPr>
                <w:rFonts w:eastAsia="Times New Roman" w:cs="Times New Roman"/>
                <w:noProof/>
              </w:rPr>
            </w:pPr>
            <w:r w:rsidRPr="00BC4EE7">
              <w:rPr>
                <w:rFonts w:cs="Times New Roman"/>
                <w:noProof/>
              </w:rPr>
              <w:t>A jogi finanszírozási megállapodások hatálybalépése vagy a végleges odaítélési határozatok közzététele</w:t>
            </w:r>
          </w:p>
        </w:tc>
        <w:tc>
          <w:tcPr>
            <w:tcW w:w="581" w:type="dxa"/>
            <w:shd w:val="clear" w:color="auto" w:fill="C6EFCE"/>
            <w:noWrap/>
          </w:tcPr>
          <w:p w14:paraId="7656168B" w14:textId="449AC494" w:rsidR="00D65CB4" w:rsidRPr="00BC4EE7" w:rsidRDefault="00D65CB4">
            <w:pPr>
              <w:spacing w:after="0"/>
              <w:jc w:val="center"/>
              <w:rPr>
                <w:rFonts w:ascii="Times New Roman" w:eastAsia="Times New Roman" w:hAnsi="Times New Roman" w:cs="Times New Roman"/>
                <w:noProof/>
                <w:sz w:val="18"/>
              </w:rPr>
            </w:pPr>
          </w:p>
        </w:tc>
        <w:tc>
          <w:tcPr>
            <w:tcW w:w="958" w:type="dxa"/>
            <w:shd w:val="clear" w:color="auto" w:fill="C6EFCE"/>
            <w:noWrap/>
          </w:tcPr>
          <w:p w14:paraId="5FABB88C"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0</w:t>
            </w:r>
          </w:p>
        </w:tc>
        <w:tc>
          <w:tcPr>
            <w:tcW w:w="538" w:type="dxa"/>
            <w:shd w:val="clear" w:color="auto" w:fill="C6EFCE"/>
            <w:noWrap/>
          </w:tcPr>
          <w:p w14:paraId="59D3BBFC" w14:textId="007440EE" w:rsidR="00D65CB4" w:rsidRPr="00BC4EE7" w:rsidRDefault="00572307">
            <w:pPr>
              <w:pStyle w:val="P68B1DB1-Normal12"/>
              <w:spacing w:after="0"/>
              <w:jc w:val="right"/>
              <w:rPr>
                <w:rFonts w:eastAsia="Times New Roman" w:cs="Times New Roman"/>
                <w:noProof/>
              </w:rPr>
            </w:pPr>
            <w:r w:rsidRPr="00BC4EE7">
              <w:rPr>
                <w:rFonts w:cs="Times New Roman"/>
                <w:noProof/>
              </w:rPr>
              <w:t>50%</w:t>
            </w:r>
          </w:p>
        </w:tc>
        <w:tc>
          <w:tcPr>
            <w:tcW w:w="413" w:type="dxa"/>
            <w:shd w:val="clear" w:color="auto" w:fill="C6EFCE"/>
            <w:noWrap/>
          </w:tcPr>
          <w:p w14:paraId="2ADF8651"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Q2</w:t>
            </w:r>
          </w:p>
        </w:tc>
        <w:tc>
          <w:tcPr>
            <w:tcW w:w="486" w:type="dxa"/>
            <w:shd w:val="clear" w:color="auto" w:fill="C6EFCE"/>
            <w:noWrap/>
          </w:tcPr>
          <w:p w14:paraId="5C30AE1C"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2025</w:t>
            </w:r>
          </w:p>
        </w:tc>
        <w:tc>
          <w:tcPr>
            <w:tcW w:w="6650" w:type="dxa"/>
            <w:gridSpan w:val="2"/>
            <w:shd w:val="clear" w:color="auto" w:fill="C6EFCE"/>
            <w:noWrap/>
          </w:tcPr>
          <w:p w14:paraId="52945C76" w14:textId="00269C6A" w:rsidR="00D65CB4" w:rsidRPr="00BC4EE7" w:rsidRDefault="00572307">
            <w:pPr>
              <w:pStyle w:val="P68B1DB1-Normal12"/>
              <w:spacing w:after="0"/>
              <w:rPr>
                <w:rFonts w:eastAsia="Times New Roman" w:cs="Times New Roman"/>
                <w:noProof/>
              </w:rPr>
            </w:pPr>
            <w:r w:rsidRPr="00BC4EE7">
              <w:rPr>
                <w:rFonts w:cs="Times New Roman"/>
                <w:noProof/>
              </w:rPr>
              <w:t>Az IDAE közzétette a végső kedvezményezettekkel kötött végleges odaítélési határozatokat vagy a végső kedvezményezettekkel kötött finanszírozási megállapodások hatálybalépését a Helyreállítási és Rezilienciaépítési Eszköz támogatási rendszerbe történő beruházásának legalább 50%-a tekintetében (beleértve a közvetett költségeket is).</w:t>
            </w:r>
          </w:p>
        </w:tc>
      </w:tr>
      <w:tr w:rsidR="00D65CB4" w:rsidRPr="00BC4EE7" w14:paraId="3AB9A45D" w14:textId="77777777" w:rsidTr="00572307">
        <w:trPr>
          <w:trHeight w:val="309"/>
        </w:trPr>
        <w:tc>
          <w:tcPr>
            <w:tcW w:w="789" w:type="dxa"/>
            <w:shd w:val="clear" w:color="auto" w:fill="C6EFCE"/>
            <w:noWrap/>
          </w:tcPr>
          <w:p w14:paraId="7F4D9BA1" w14:textId="0F164B79" w:rsidR="00D65CB4" w:rsidRPr="00BC4EE7" w:rsidRDefault="00572307">
            <w:pPr>
              <w:pStyle w:val="P68B1DB1-Normal12"/>
              <w:spacing w:after="0"/>
              <w:jc w:val="center"/>
              <w:rPr>
                <w:rFonts w:eastAsia="Times New Roman" w:cs="Times New Roman"/>
                <w:noProof/>
              </w:rPr>
            </w:pPr>
            <w:r w:rsidRPr="00BC4EE7">
              <w:rPr>
                <w:rFonts w:cs="Times New Roman"/>
                <w:noProof/>
              </w:rPr>
              <w:t>486</w:t>
            </w:r>
          </w:p>
        </w:tc>
        <w:tc>
          <w:tcPr>
            <w:tcW w:w="913" w:type="dxa"/>
            <w:shd w:val="clear" w:color="auto" w:fill="C6EFCE"/>
            <w:noWrap/>
          </w:tcPr>
          <w:p w14:paraId="5F58753C"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C31.I3</w:t>
            </w:r>
          </w:p>
        </w:tc>
        <w:tc>
          <w:tcPr>
            <w:tcW w:w="992" w:type="dxa"/>
            <w:shd w:val="clear" w:color="auto" w:fill="C6EFCE"/>
            <w:noWrap/>
          </w:tcPr>
          <w:p w14:paraId="5F96617A"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T</w:t>
            </w:r>
          </w:p>
        </w:tc>
        <w:tc>
          <w:tcPr>
            <w:tcW w:w="1957" w:type="dxa"/>
            <w:shd w:val="clear" w:color="auto" w:fill="C6EFCE"/>
            <w:noWrap/>
          </w:tcPr>
          <w:p w14:paraId="272667A1" w14:textId="7099706D" w:rsidR="00D65CB4" w:rsidRPr="00BC4EE7" w:rsidRDefault="00572307">
            <w:pPr>
              <w:pStyle w:val="P68B1DB1-Normal12"/>
              <w:spacing w:after="0"/>
              <w:rPr>
                <w:rFonts w:eastAsia="Times New Roman" w:cs="Times New Roman"/>
                <w:noProof/>
              </w:rPr>
            </w:pPr>
            <w:r w:rsidRPr="00BC4EE7">
              <w:rPr>
                <w:rFonts w:cs="Times New Roman"/>
                <w:noProof/>
              </w:rPr>
              <w:t>Az értéklánc támogatási rendszere: A végső kedvezményezettekkel aláírt jogi megállapodások vagy közzétett végleges odaítélési határozatok (II.)</w:t>
            </w:r>
          </w:p>
        </w:tc>
        <w:tc>
          <w:tcPr>
            <w:tcW w:w="1173" w:type="dxa"/>
            <w:shd w:val="clear" w:color="auto" w:fill="C6EFCE"/>
            <w:noWrap/>
          </w:tcPr>
          <w:p w14:paraId="07624AF5" w14:textId="71BF0842" w:rsidR="00D65CB4" w:rsidRPr="00BC4EE7" w:rsidRDefault="00572307">
            <w:pPr>
              <w:pStyle w:val="P68B1DB1-Normal12"/>
              <w:spacing w:after="0"/>
              <w:jc w:val="center"/>
              <w:rPr>
                <w:rFonts w:eastAsia="Times New Roman" w:cs="Times New Roman"/>
                <w:noProof/>
              </w:rPr>
            </w:pPr>
            <w:r w:rsidRPr="00BC4EE7">
              <w:rPr>
                <w:rFonts w:cs="Times New Roman"/>
                <w:noProof/>
              </w:rPr>
              <w:t>A jogi finanszírozási megállapodások hatálybalépése vagy a végleges odaítélési határozatok közzététele</w:t>
            </w:r>
          </w:p>
        </w:tc>
        <w:tc>
          <w:tcPr>
            <w:tcW w:w="581" w:type="dxa"/>
            <w:shd w:val="clear" w:color="auto" w:fill="C6EFCE"/>
            <w:noWrap/>
          </w:tcPr>
          <w:p w14:paraId="60E246B5" w14:textId="48ACB16E" w:rsidR="00D65CB4" w:rsidRPr="00BC4EE7" w:rsidRDefault="00D65CB4">
            <w:pPr>
              <w:spacing w:after="0"/>
              <w:jc w:val="center"/>
              <w:rPr>
                <w:rFonts w:ascii="Times New Roman" w:eastAsia="Times New Roman" w:hAnsi="Times New Roman" w:cs="Times New Roman"/>
                <w:noProof/>
                <w:sz w:val="18"/>
              </w:rPr>
            </w:pPr>
          </w:p>
        </w:tc>
        <w:tc>
          <w:tcPr>
            <w:tcW w:w="958" w:type="dxa"/>
            <w:shd w:val="clear" w:color="auto" w:fill="C6EFCE"/>
            <w:noWrap/>
          </w:tcPr>
          <w:p w14:paraId="63BF8650" w14:textId="241FA0B4" w:rsidR="00D65CB4" w:rsidRPr="00BC4EE7" w:rsidRDefault="00572307">
            <w:pPr>
              <w:pStyle w:val="P68B1DB1-Normal12"/>
              <w:spacing w:after="0"/>
              <w:jc w:val="right"/>
              <w:rPr>
                <w:rFonts w:eastAsia="Times New Roman" w:cs="Times New Roman"/>
                <w:noProof/>
              </w:rPr>
            </w:pPr>
            <w:r w:rsidRPr="00BC4EE7">
              <w:rPr>
                <w:rFonts w:cs="Times New Roman"/>
                <w:noProof/>
              </w:rPr>
              <w:t>50%</w:t>
            </w:r>
          </w:p>
        </w:tc>
        <w:tc>
          <w:tcPr>
            <w:tcW w:w="538" w:type="dxa"/>
            <w:shd w:val="clear" w:color="auto" w:fill="C6EFCE"/>
            <w:noWrap/>
          </w:tcPr>
          <w:p w14:paraId="45908EDE" w14:textId="6C64E7C3" w:rsidR="00D65CB4" w:rsidRPr="00BC4EE7" w:rsidRDefault="00572307">
            <w:pPr>
              <w:pStyle w:val="P68B1DB1-Normal12"/>
              <w:spacing w:after="0"/>
              <w:jc w:val="right"/>
              <w:rPr>
                <w:rFonts w:eastAsia="Times New Roman" w:cs="Times New Roman"/>
                <w:noProof/>
              </w:rPr>
            </w:pPr>
            <w:r w:rsidRPr="00BC4EE7">
              <w:rPr>
                <w:rFonts w:cs="Times New Roman"/>
                <w:noProof/>
              </w:rPr>
              <w:t>100%-OS</w:t>
            </w:r>
          </w:p>
        </w:tc>
        <w:tc>
          <w:tcPr>
            <w:tcW w:w="413" w:type="dxa"/>
            <w:shd w:val="clear" w:color="auto" w:fill="C6EFCE"/>
            <w:noWrap/>
          </w:tcPr>
          <w:p w14:paraId="55C5B263" w14:textId="497AFAEF" w:rsidR="00D65CB4" w:rsidRPr="00BC4EE7" w:rsidRDefault="00572307">
            <w:pPr>
              <w:pStyle w:val="P68B1DB1-Normal12"/>
              <w:spacing w:after="0"/>
              <w:jc w:val="center"/>
              <w:rPr>
                <w:rFonts w:eastAsia="Times New Roman" w:cs="Times New Roman"/>
                <w:noProof/>
                <w:highlight w:val="yellow"/>
              </w:rPr>
            </w:pPr>
            <w:r w:rsidRPr="00BC4EE7">
              <w:rPr>
                <w:rFonts w:cs="Times New Roman"/>
                <w:noProof/>
              </w:rPr>
              <w:t>Q3</w:t>
            </w:r>
          </w:p>
        </w:tc>
        <w:tc>
          <w:tcPr>
            <w:tcW w:w="486" w:type="dxa"/>
            <w:shd w:val="clear" w:color="auto" w:fill="C6EFCE"/>
            <w:noWrap/>
          </w:tcPr>
          <w:p w14:paraId="1C5974B5" w14:textId="4B6307CC" w:rsidR="00D65CB4" w:rsidRPr="00BC4EE7" w:rsidRDefault="00572307">
            <w:pPr>
              <w:pStyle w:val="P68B1DB1-Normal12"/>
              <w:spacing w:after="0"/>
              <w:jc w:val="center"/>
              <w:rPr>
                <w:rFonts w:eastAsia="Times New Roman" w:cs="Times New Roman"/>
                <w:noProof/>
                <w:highlight w:val="yellow"/>
              </w:rPr>
            </w:pPr>
            <w:r w:rsidRPr="00BC4EE7">
              <w:rPr>
                <w:rFonts w:cs="Times New Roman"/>
                <w:noProof/>
              </w:rPr>
              <w:t>2026</w:t>
            </w:r>
          </w:p>
        </w:tc>
        <w:tc>
          <w:tcPr>
            <w:tcW w:w="6650" w:type="dxa"/>
            <w:gridSpan w:val="2"/>
            <w:shd w:val="clear" w:color="auto" w:fill="C6EFCE"/>
            <w:noWrap/>
          </w:tcPr>
          <w:p w14:paraId="2EDEF715" w14:textId="0DF98E0D" w:rsidR="00D65CB4" w:rsidRPr="00BC4EE7" w:rsidRDefault="00572307">
            <w:pPr>
              <w:pStyle w:val="P68B1DB1-Normal12"/>
              <w:spacing w:after="0"/>
              <w:rPr>
                <w:rFonts w:eastAsia="Times New Roman" w:cs="Times New Roman"/>
                <w:noProof/>
              </w:rPr>
            </w:pPr>
            <w:r w:rsidRPr="00BC4EE7">
              <w:rPr>
                <w:rFonts w:cs="Times New Roman"/>
                <w:noProof/>
              </w:rPr>
              <w:t>Az IDAE közzétette a végső kedvezményezettekkel kötött végleges odaítélési határozatokat vagy a végső kedvezményezettekkel kötött finanszírozási megállapodások hatálybalépését a Helyreállítási és Rezilienciaépítési Eszköz támogatási rendszerbe történő beruházásának legalább 100%-a tekintetében (beleértve a közvetett költségeket is). Az IDAE-nek biztosítania kell, hogy e finanszírozás legalább 90%-a a Helyreállítási és Rezilienciaépítési Eszközről szóló rendelet VI. mellékletében foglalt módszertan alkalmazásával hozzájáruljon az éghajlat-politikai célkitűzésekhez.</w:t>
            </w:r>
          </w:p>
        </w:tc>
      </w:tr>
      <w:tr w:rsidR="00D65CB4" w:rsidRPr="00BC4EE7" w14:paraId="17361FC2" w14:textId="77777777" w:rsidTr="00572307">
        <w:trPr>
          <w:trHeight w:val="309"/>
        </w:trPr>
        <w:tc>
          <w:tcPr>
            <w:tcW w:w="789" w:type="dxa"/>
            <w:shd w:val="clear" w:color="auto" w:fill="C6EFCE"/>
            <w:noWrap/>
          </w:tcPr>
          <w:p w14:paraId="7120F279" w14:textId="48B38B84" w:rsidR="00D65CB4" w:rsidRPr="00BC4EE7" w:rsidRDefault="00572307">
            <w:pPr>
              <w:pStyle w:val="P68B1DB1-Normal12"/>
              <w:spacing w:after="0"/>
              <w:jc w:val="center"/>
              <w:rPr>
                <w:rFonts w:eastAsia="Times New Roman" w:cs="Times New Roman"/>
                <w:noProof/>
              </w:rPr>
            </w:pPr>
            <w:r w:rsidRPr="00BC4EE7">
              <w:rPr>
                <w:rFonts w:cs="Times New Roman"/>
                <w:noProof/>
              </w:rPr>
              <w:t>488</w:t>
            </w:r>
          </w:p>
        </w:tc>
        <w:tc>
          <w:tcPr>
            <w:tcW w:w="913" w:type="dxa"/>
            <w:shd w:val="clear" w:color="auto" w:fill="C6EFCE"/>
            <w:noWrap/>
          </w:tcPr>
          <w:p w14:paraId="180307E4"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C31.I4</w:t>
            </w:r>
          </w:p>
        </w:tc>
        <w:tc>
          <w:tcPr>
            <w:tcW w:w="992" w:type="dxa"/>
            <w:shd w:val="clear" w:color="auto" w:fill="C6EFCE"/>
            <w:noWrap/>
          </w:tcPr>
          <w:p w14:paraId="47527A16"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1957" w:type="dxa"/>
            <w:shd w:val="clear" w:color="auto" w:fill="C6EFCE"/>
            <w:noWrap/>
          </w:tcPr>
          <w:p w14:paraId="42228A0A" w14:textId="77777777" w:rsidR="00D65CB4" w:rsidRPr="00BC4EE7" w:rsidRDefault="00572307">
            <w:pPr>
              <w:pStyle w:val="P68B1DB1-Normal12"/>
              <w:spacing w:after="0"/>
              <w:rPr>
                <w:rFonts w:eastAsia="Times New Roman" w:cs="Times New Roman"/>
                <w:noProof/>
              </w:rPr>
            </w:pPr>
            <w:r w:rsidRPr="00BC4EE7">
              <w:rPr>
                <w:rFonts w:cs="Times New Roman"/>
                <w:noProof/>
              </w:rPr>
              <w:t>A villamosenergia-átviteli projektekre vonatkozó kiválasztási kritériumok közzététele</w:t>
            </w:r>
          </w:p>
        </w:tc>
        <w:tc>
          <w:tcPr>
            <w:tcW w:w="1173" w:type="dxa"/>
            <w:shd w:val="clear" w:color="auto" w:fill="C6EFCE"/>
            <w:noWrap/>
          </w:tcPr>
          <w:p w14:paraId="421678A0"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A vonatkozó jogi aktus hatálybalépése</w:t>
            </w:r>
          </w:p>
        </w:tc>
        <w:tc>
          <w:tcPr>
            <w:tcW w:w="581" w:type="dxa"/>
            <w:shd w:val="clear" w:color="auto" w:fill="C6EFCE"/>
            <w:noWrap/>
          </w:tcPr>
          <w:p w14:paraId="731E678A" w14:textId="77777777" w:rsidR="00D65CB4" w:rsidRPr="00BC4EE7" w:rsidRDefault="00D65CB4">
            <w:pPr>
              <w:spacing w:after="0"/>
              <w:jc w:val="center"/>
              <w:rPr>
                <w:rFonts w:ascii="Times New Roman" w:eastAsia="Times New Roman" w:hAnsi="Times New Roman" w:cs="Times New Roman"/>
                <w:noProof/>
                <w:sz w:val="18"/>
              </w:rPr>
            </w:pPr>
          </w:p>
        </w:tc>
        <w:tc>
          <w:tcPr>
            <w:tcW w:w="958" w:type="dxa"/>
            <w:shd w:val="clear" w:color="auto" w:fill="C6EFCE"/>
            <w:noWrap/>
          </w:tcPr>
          <w:p w14:paraId="70771C08" w14:textId="77777777" w:rsidR="00D65CB4" w:rsidRPr="00BC4EE7" w:rsidRDefault="00D65CB4">
            <w:pPr>
              <w:spacing w:after="0"/>
              <w:jc w:val="right"/>
              <w:rPr>
                <w:rFonts w:ascii="Times New Roman" w:eastAsia="Times New Roman" w:hAnsi="Times New Roman" w:cs="Times New Roman"/>
                <w:noProof/>
                <w:sz w:val="18"/>
              </w:rPr>
            </w:pPr>
          </w:p>
        </w:tc>
        <w:tc>
          <w:tcPr>
            <w:tcW w:w="538" w:type="dxa"/>
            <w:shd w:val="clear" w:color="auto" w:fill="C6EFCE"/>
            <w:noWrap/>
          </w:tcPr>
          <w:p w14:paraId="247B4556" w14:textId="77777777" w:rsidR="00D65CB4" w:rsidRPr="00BC4EE7" w:rsidRDefault="00D65CB4">
            <w:pPr>
              <w:spacing w:after="0"/>
              <w:jc w:val="right"/>
              <w:rPr>
                <w:rFonts w:ascii="Times New Roman" w:eastAsia="Times New Roman" w:hAnsi="Times New Roman" w:cs="Times New Roman"/>
                <w:noProof/>
                <w:sz w:val="18"/>
              </w:rPr>
            </w:pPr>
          </w:p>
        </w:tc>
        <w:tc>
          <w:tcPr>
            <w:tcW w:w="413" w:type="dxa"/>
            <w:shd w:val="clear" w:color="auto" w:fill="C6EFCE"/>
            <w:noWrap/>
          </w:tcPr>
          <w:p w14:paraId="281FB369"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Q1</w:t>
            </w:r>
          </w:p>
        </w:tc>
        <w:tc>
          <w:tcPr>
            <w:tcW w:w="486" w:type="dxa"/>
            <w:shd w:val="clear" w:color="auto" w:fill="C6EFCE"/>
            <w:noWrap/>
          </w:tcPr>
          <w:p w14:paraId="63327B57"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2024</w:t>
            </w:r>
          </w:p>
        </w:tc>
        <w:tc>
          <w:tcPr>
            <w:tcW w:w="6650" w:type="dxa"/>
            <w:gridSpan w:val="2"/>
            <w:shd w:val="clear" w:color="auto" w:fill="C6EFCE"/>
            <w:noWrap/>
          </w:tcPr>
          <w:p w14:paraId="22B29B4A" w14:textId="39CB396D" w:rsidR="00D65CB4" w:rsidRPr="00BC4EE7" w:rsidRDefault="00572307">
            <w:pPr>
              <w:pStyle w:val="P68B1DB1-Normal12"/>
              <w:spacing w:after="0"/>
              <w:rPr>
                <w:rFonts w:eastAsia="Times New Roman" w:cs="Times New Roman"/>
                <w:noProof/>
              </w:rPr>
            </w:pPr>
            <w:r w:rsidRPr="00BC4EE7">
              <w:rPr>
                <w:rFonts w:cs="Times New Roman"/>
                <w:noProof/>
              </w:rPr>
              <w:t>Hatályba lép a 2021–2026-os spanyol hálózatfejlesztési tervből kiválasztandó villamosenergia-átviteli projektek támogathatósági kritériumait megállapító királyi rendelet az alábbiak alapján:</w:t>
            </w:r>
          </w:p>
          <w:p w14:paraId="38FC21D4" w14:textId="77777777" w:rsidR="00D65CB4" w:rsidRPr="00BC4EE7" w:rsidRDefault="00572307">
            <w:pPr>
              <w:pStyle w:val="P68B1DB1-ListParagraph13"/>
              <w:numPr>
                <w:ilvl w:val="0"/>
                <w:numId w:val="684"/>
              </w:numPr>
              <w:spacing w:after="0"/>
              <w:rPr>
                <w:rFonts w:eastAsia="Times New Roman" w:cs="Times New Roman"/>
                <w:noProof/>
              </w:rPr>
            </w:pPr>
            <w:r w:rsidRPr="00BC4EE7">
              <w:rPr>
                <w:rFonts w:cs="Times New Roman"/>
                <w:noProof/>
              </w:rPr>
              <w:t>A REPowerEU célkitűzéseinek megfelelő projektek, különösen azok, amelyek hozzájárulnak a megújuló energiaforrások integrációjához, az ipari dekarbonizációhoz, a kibocsátásmentes közlekedéshez vagy a belső szűk keresztmetszetek kezeléséhez; és</w:t>
            </w:r>
          </w:p>
          <w:p w14:paraId="3BAA817B" w14:textId="56BD3C48" w:rsidR="00D65CB4" w:rsidRPr="00BC4EE7" w:rsidRDefault="00572307">
            <w:pPr>
              <w:pStyle w:val="P68B1DB1-ListParagraph13"/>
              <w:numPr>
                <w:ilvl w:val="0"/>
                <w:numId w:val="684"/>
              </w:numPr>
              <w:spacing w:after="0"/>
              <w:rPr>
                <w:rFonts w:eastAsia="Times New Roman" w:cs="Times New Roman"/>
                <w:noProof/>
              </w:rPr>
            </w:pPr>
            <w:r w:rsidRPr="00BC4EE7">
              <w:rPr>
                <w:rFonts w:cs="Times New Roman"/>
                <w:noProof/>
              </w:rPr>
              <w:t>2026 második negyedévéig befejezendő projektek.</w:t>
            </w:r>
          </w:p>
        </w:tc>
      </w:tr>
      <w:tr w:rsidR="00D65CB4" w:rsidRPr="00BC4EE7" w14:paraId="7A14FA0D" w14:textId="77777777" w:rsidTr="00572307">
        <w:trPr>
          <w:trHeight w:val="309"/>
        </w:trPr>
        <w:tc>
          <w:tcPr>
            <w:tcW w:w="789" w:type="dxa"/>
            <w:shd w:val="clear" w:color="auto" w:fill="C6EFCE"/>
            <w:noWrap/>
          </w:tcPr>
          <w:p w14:paraId="126D0150" w14:textId="6F2C747B" w:rsidR="00D65CB4" w:rsidRPr="00BC4EE7" w:rsidRDefault="00572307">
            <w:pPr>
              <w:pStyle w:val="P68B1DB1-Normal12"/>
              <w:spacing w:after="0"/>
              <w:jc w:val="center"/>
              <w:rPr>
                <w:rFonts w:eastAsia="Times New Roman" w:cs="Times New Roman"/>
                <w:noProof/>
              </w:rPr>
            </w:pPr>
            <w:r w:rsidRPr="00BC4EE7">
              <w:rPr>
                <w:rFonts w:cs="Times New Roman"/>
                <w:noProof/>
              </w:rPr>
              <w:t>489</w:t>
            </w:r>
          </w:p>
        </w:tc>
        <w:tc>
          <w:tcPr>
            <w:tcW w:w="913" w:type="dxa"/>
            <w:shd w:val="clear" w:color="auto" w:fill="C6EFCE"/>
            <w:noWrap/>
          </w:tcPr>
          <w:p w14:paraId="7AD81780"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C31.I4</w:t>
            </w:r>
          </w:p>
        </w:tc>
        <w:tc>
          <w:tcPr>
            <w:tcW w:w="992" w:type="dxa"/>
            <w:shd w:val="clear" w:color="auto" w:fill="C6EFCE"/>
            <w:noWrap/>
          </w:tcPr>
          <w:p w14:paraId="4F0A879B"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1957" w:type="dxa"/>
            <w:shd w:val="clear" w:color="auto" w:fill="C6EFCE"/>
            <w:noWrap/>
          </w:tcPr>
          <w:p w14:paraId="620113C2" w14:textId="77777777" w:rsidR="00D65CB4" w:rsidRPr="00BC4EE7" w:rsidRDefault="00572307">
            <w:pPr>
              <w:pStyle w:val="P68B1DB1-Normal12"/>
              <w:spacing w:after="0"/>
              <w:rPr>
                <w:rFonts w:eastAsia="Times New Roman" w:cs="Times New Roman"/>
                <w:noProof/>
              </w:rPr>
            </w:pPr>
            <w:r w:rsidRPr="00BC4EE7">
              <w:rPr>
                <w:rFonts w:cs="Times New Roman"/>
                <w:noProof/>
              </w:rPr>
              <w:t>A támogatott villamosenergia-átviteli projektek listájának elfogadása</w:t>
            </w:r>
          </w:p>
        </w:tc>
        <w:tc>
          <w:tcPr>
            <w:tcW w:w="1173" w:type="dxa"/>
            <w:shd w:val="clear" w:color="auto" w:fill="C6EFCE"/>
            <w:noWrap/>
          </w:tcPr>
          <w:p w14:paraId="5E5FDA22"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A projektek listájának közzététele</w:t>
            </w:r>
          </w:p>
        </w:tc>
        <w:tc>
          <w:tcPr>
            <w:tcW w:w="581" w:type="dxa"/>
            <w:shd w:val="clear" w:color="auto" w:fill="C6EFCE"/>
            <w:noWrap/>
          </w:tcPr>
          <w:p w14:paraId="1E403055" w14:textId="77777777" w:rsidR="00D65CB4" w:rsidRPr="00BC4EE7" w:rsidRDefault="00D65CB4">
            <w:pPr>
              <w:spacing w:after="0"/>
              <w:jc w:val="center"/>
              <w:rPr>
                <w:rFonts w:ascii="Times New Roman" w:eastAsia="Times New Roman" w:hAnsi="Times New Roman" w:cs="Times New Roman"/>
                <w:noProof/>
                <w:sz w:val="18"/>
              </w:rPr>
            </w:pPr>
          </w:p>
        </w:tc>
        <w:tc>
          <w:tcPr>
            <w:tcW w:w="958" w:type="dxa"/>
            <w:shd w:val="clear" w:color="auto" w:fill="C6EFCE"/>
            <w:noWrap/>
          </w:tcPr>
          <w:p w14:paraId="1F8AE886" w14:textId="77777777" w:rsidR="00D65CB4" w:rsidRPr="00BC4EE7" w:rsidRDefault="00D65CB4">
            <w:pPr>
              <w:spacing w:after="0"/>
              <w:jc w:val="right"/>
              <w:rPr>
                <w:rFonts w:ascii="Times New Roman" w:eastAsia="Times New Roman" w:hAnsi="Times New Roman" w:cs="Times New Roman"/>
                <w:noProof/>
                <w:sz w:val="18"/>
              </w:rPr>
            </w:pPr>
          </w:p>
        </w:tc>
        <w:tc>
          <w:tcPr>
            <w:tcW w:w="538" w:type="dxa"/>
            <w:shd w:val="clear" w:color="auto" w:fill="C6EFCE"/>
            <w:noWrap/>
          </w:tcPr>
          <w:p w14:paraId="2F0726A3" w14:textId="77777777" w:rsidR="00D65CB4" w:rsidRPr="00BC4EE7" w:rsidRDefault="00D65CB4">
            <w:pPr>
              <w:spacing w:after="0"/>
              <w:jc w:val="right"/>
              <w:rPr>
                <w:rFonts w:ascii="Times New Roman" w:eastAsia="Times New Roman" w:hAnsi="Times New Roman" w:cs="Times New Roman"/>
                <w:noProof/>
                <w:sz w:val="18"/>
              </w:rPr>
            </w:pPr>
          </w:p>
        </w:tc>
        <w:tc>
          <w:tcPr>
            <w:tcW w:w="413" w:type="dxa"/>
            <w:shd w:val="clear" w:color="auto" w:fill="C6EFCE"/>
            <w:noWrap/>
          </w:tcPr>
          <w:p w14:paraId="4061F968"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Q4</w:t>
            </w:r>
          </w:p>
        </w:tc>
        <w:tc>
          <w:tcPr>
            <w:tcW w:w="486" w:type="dxa"/>
            <w:shd w:val="clear" w:color="auto" w:fill="C6EFCE"/>
            <w:noWrap/>
          </w:tcPr>
          <w:p w14:paraId="09A9DB7C"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2024</w:t>
            </w:r>
          </w:p>
        </w:tc>
        <w:tc>
          <w:tcPr>
            <w:tcW w:w="6650" w:type="dxa"/>
            <w:gridSpan w:val="2"/>
            <w:shd w:val="clear" w:color="auto" w:fill="C6EFCE"/>
            <w:noWrap/>
          </w:tcPr>
          <w:p w14:paraId="5455C936" w14:textId="090F3F03" w:rsidR="00D65CB4" w:rsidRPr="00BC4EE7" w:rsidRDefault="00572307">
            <w:pPr>
              <w:pStyle w:val="P68B1DB1-Normal12"/>
              <w:spacing w:after="0"/>
              <w:rPr>
                <w:rFonts w:eastAsia="Times New Roman" w:cs="Times New Roman"/>
                <w:noProof/>
              </w:rPr>
            </w:pPr>
            <w:r w:rsidRPr="00BC4EE7">
              <w:rPr>
                <w:rFonts w:cs="Times New Roman"/>
                <w:noProof/>
              </w:rPr>
              <w:t>Az illetékes minisztérium elfogadja a 931 millió EUR összegű támogatott villamosenergia-átviteli projektek listáját, a 488. mérföldkőből eredő kiválasztási kritériumoknak megfelelően.</w:t>
            </w:r>
          </w:p>
        </w:tc>
      </w:tr>
      <w:tr w:rsidR="00D65CB4" w:rsidRPr="00BC4EE7" w14:paraId="54FD447B" w14:textId="77777777" w:rsidTr="00572307">
        <w:trPr>
          <w:trHeight w:val="600"/>
        </w:trPr>
        <w:tc>
          <w:tcPr>
            <w:tcW w:w="789" w:type="dxa"/>
            <w:shd w:val="clear" w:color="auto" w:fill="C6EFCE"/>
            <w:noWrap/>
          </w:tcPr>
          <w:p w14:paraId="11C9B1F9" w14:textId="664C8CE7" w:rsidR="00D65CB4" w:rsidRPr="00BC4EE7" w:rsidRDefault="00572307">
            <w:pPr>
              <w:pStyle w:val="P68B1DB1-Normal12"/>
              <w:spacing w:after="0"/>
              <w:jc w:val="center"/>
              <w:rPr>
                <w:rFonts w:eastAsia="Times New Roman" w:cs="Times New Roman"/>
                <w:noProof/>
              </w:rPr>
            </w:pPr>
            <w:r w:rsidRPr="00BC4EE7">
              <w:rPr>
                <w:rFonts w:cs="Times New Roman"/>
                <w:noProof/>
              </w:rPr>
              <w:t>490</w:t>
            </w:r>
          </w:p>
        </w:tc>
        <w:tc>
          <w:tcPr>
            <w:tcW w:w="913" w:type="dxa"/>
            <w:tcBorders>
              <w:bottom w:val="single" w:sz="4" w:space="0" w:color="auto"/>
            </w:tcBorders>
            <w:shd w:val="clear" w:color="auto" w:fill="C6EFCE"/>
            <w:noWrap/>
          </w:tcPr>
          <w:p w14:paraId="01BD4AA5"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C31.I4</w:t>
            </w:r>
          </w:p>
        </w:tc>
        <w:tc>
          <w:tcPr>
            <w:tcW w:w="992" w:type="dxa"/>
            <w:tcBorders>
              <w:bottom w:val="single" w:sz="4" w:space="0" w:color="auto"/>
            </w:tcBorders>
            <w:shd w:val="clear" w:color="auto" w:fill="C6EFCE"/>
            <w:noWrap/>
          </w:tcPr>
          <w:p w14:paraId="55E53D5C"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1957" w:type="dxa"/>
            <w:tcBorders>
              <w:bottom w:val="single" w:sz="4" w:space="0" w:color="auto"/>
            </w:tcBorders>
            <w:shd w:val="clear" w:color="auto" w:fill="C6EFCE"/>
            <w:noWrap/>
          </w:tcPr>
          <w:p w14:paraId="566FCCB6" w14:textId="4466E6FC" w:rsidR="00D65CB4" w:rsidRPr="00BC4EE7" w:rsidRDefault="00572307">
            <w:pPr>
              <w:pStyle w:val="P68B1DB1-Normal12"/>
              <w:spacing w:after="0"/>
              <w:rPr>
                <w:rFonts w:eastAsia="Times New Roman" w:cs="Times New Roman"/>
                <w:noProof/>
              </w:rPr>
            </w:pPr>
            <w:r w:rsidRPr="00BC4EE7">
              <w:rPr>
                <w:rFonts w:cs="Times New Roman"/>
                <w:noProof/>
              </w:rPr>
              <w:t>A támogatott villamosenergia-átviteli projektek lezárása</w:t>
            </w:r>
          </w:p>
        </w:tc>
        <w:tc>
          <w:tcPr>
            <w:tcW w:w="1173" w:type="dxa"/>
            <w:tcBorders>
              <w:bottom w:val="single" w:sz="4" w:space="0" w:color="auto"/>
            </w:tcBorders>
            <w:shd w:val="clear" w:color="auto" w:fill="C6EFCE"/>
            <w:noWrap/>
          </w:tcPr>
          <w:p w14:paraId="1A0D4E3E"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Teljesítési igazolás</w:t>
            </w:r>
          </w:p>
        </w:tc>
        <w:tc>
          <w:tcPr>
            <w:tcW w:w="581" w:type="dxa"/>
            <w:tcBorders>
              <w:bottom w:val="single" w:sz="4" w:space="0" w:color="auto"/>
            </w:tcBorders>
            <w:shd w:val="clear" w:color="auto" w:fill="C6EFCE"/>
            <w:noWrap/>
          </w:tcPr>
          <w:p w14:paraId="0B7F5820" w14:textId="77777777" w:rsidR="00D65CB4" w:rsidRPr="00BC4EE7" w:rsidRDefault="00D65CB4">
            <w:pPr>
              <w:spacing w:after="0"/>
              <w:jc w:val="center"/>
              <w:rPr>
                <w:rFonts w:ascii="Times New Roman" w:eastAsia="Times New Roman" w:hAnsi="Times New Roman" w:cs="Times New Roman"/>
                <w:noProof/>
                <w:sz w:val="18"/>
              </w:rPr>
            </w:pPr>
          </w:p>
        </w:tc>
        <w:tc>
          <w:tcPr>
            <w:tcW w:w="958" w:type="dxa"/>
            <w:tcBorders>
              <w:bottom w:val="single" w:sz="4" w:space="0" w:color="auto"/>
            </w:tcBorders>
            <w:shd w:val="clear" w:color="auto" w:fill="C6EFCE"/>
            <w:noWrap/>
          </w:tcPr>
          <w:p w14:paraId="2F646E8F" w14:textId="77777777" w:rsidR="00D65CB4" w:rsidRPr="00BC4EE7" w:rsidRDefault="00D65CB4">
            <w:pPr>
              <w:spacing w:after="0"/>
              <w:jc w:val="right"/>
              <w:rPr>
                <w:rFonts w:ascii="Times New Roman" w:eastAsia="Times New Roman" w:hAnsi="Times New Roman" w:cs="Times New Roman"/>
                <w:noProof/>
                <w:sz w:val="18"/>
              </w:rPr>
            </w:pPr>
          </w:p>
        </w:tc>
        <w:tc>
          <w:tcPr>
            <w:tcW w:w="538" w:type="dxa"/>
            <w:tcBorders>
              <w:bottom w:val="single" w:sz="4" w:space="0" w:color="auto"/>
            </w:tcBorders>
            <w:shd w:val="clear" w:color="auto" w:fill="C6EFCE"/>
            <w:noWrap/>
          </w:tcPr>
          <w:p w14:paraId="3AF240DC" w14:textId="77777777" w:rsidR="00D65CB4" w:rsidRPr="00BC4EE7" w:rsidRDefault="00D65CB4">
            <w:pPr>
              <w:spacing w:after="0"/>
              <w:jc w:val="right"/>
              <w:rPr>
                <w:rFonts w:ascii="Times New Roman" w:eastAsia="Times New Roman" w:hAnsi="Times New Roman" w:cs="Times New Roman"/>
                <w:noProof/>
                <w:sz w:val="18"/>
              </w:rPr>
            </w:pPr>
          </w:p>
        </w:tc>
        <w:tc>
          <w:tcPr>
            <w:tcW w:w="413" w:type="dxa"/>
            <w:tcBorders>
              <w:bottom w:val="single" w:sz="4" w:space="0" w:color="auto"/>
            </w:tcBorders>
            <w:shd w:val="clear" w:color="auto" w:fill="C6EFCE"/>
            <w:noWrap/>
          </w:tcPr>
          <w:p w14:paraId="7AAF1AC0" w14:textId="3AB829F7" w:rsidR="00D65CB4" w:rsidRPr="00BC4EE7" w:rsidRDefault="00572307">
            <w:pPr>
              <w:pStyle w:val="P68B1DB1-Normal12"/>
              <w:spacing w:after="0"/>
              <w:jc w:val="center"/>
              <w:rPr>
                <w:rFonts w:eastAsia="Times New Roman" w:cs="Times New Roman"/>
                <w:noProof/>
              </w:rPr>
            </w:pPr>
            <w:r w:rsidRPr="00BC4EE7">
              <w:rPr>
                <w:rFonts w:cs="Times New Roman"/>
                <w:noProof/>
              </w:rPr>
              <w:t>Q3</w:t>
            </w:r>
          </w:p>
        </w:tc>
        <w:tc>
          <w:tcPr>
            <w:tcW w:w="486" w:type="dxa"/>
            <w:tcBorders>
              <w:bottom w:val="single" w:sz="4" w:space="0" w:color="auto"/>
            </w:tcBorders>
            <w:shd w:val="clear" w:color="auto" w:fill="C6EFCE"/>
            <w:noWrap/>
          </w:tcPr>
          <w:p w14:paraId="2AA227FF"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2026</w:t>
            </w:r>
          </w:p>
        </w:tc>
        <w:tc>
          <w:tcPr>
            <w:tcW w:w="6650" w:type="dxa"/>
            <w:gridSpan w:val="2"/>
            <w:tcBorders>
              <w:bottom w:val="single" w:sz="4" w:space="0" w:color="auto"/>
            </w:tcBorders>
            <w:shd w:val="clear" w:color="auto" w:fill="C6EFCE"/>
            <w:noWrap/>
          </w:tcPr>
          <w:p w14:paraId="29E51903" w14:textId="3E0D2734" w:rsidR="00D65CB4" w:rsidRPr="00BC4EE7" w:rsidRDefault="00572307">
            <w:pPr>
              <w:pStyle w:val="P68B1DB1-Normal12"/>
              <w:spacing w:after="0"/>
              <w:rPr>
                <w:rFonts w:eastAsia="Times New Roman" w:cs="Times New Roman"/>
                <w:noProof/>
              </w:rPr>
            </w:pPr>
            <w:r w:rsidRPr="00BC4EE7">
              <w:rPr>
                <w:rFonts w:cs="Times New Roman"/>
                <w:noProof/>
              </w:rPr>
              <w:t>A 489 mérföldkő eredményeként elfogadott listán szereplő támogatott villamosenergia-átviteli projektek lezárása.</w:t>
            </w:r>
          </w:p>
        </w:tc>
      </w:tr>
      <w:tr w:rsidR="00D65CB4" w:rsidRPr="00BC4EE7" w14:paraId="2BC4AB72" w14:textId="77777777" w:rsidTr="00572307">
        <w:trPr>
          <w:trHeight w:val="309"/>
        </w:trPr>
        <w:tc>
          <w:tcPr>
            <w:tcW w:w="789" w:type="dxa"/>
            <w:shd w:val="clear" w:color="auto" w:fill="C6EFCE"/>
            <w:noWrap/>
          </w:tcPr>
          <w:p w14:paraId="13390BF6" w14:textId="65B90AC1" w:rsidR="00D65CB4" w:rsidRPr="00BC4EE7" w:rsidRDefault="00572307">
            <w:pPr>
              <w:pStyle w:val="P68B1DB1-Normal12"/>
              <w:spacing w:after="0"/>
              <w:jc w:val="center"/>
              <w:rPr>
                <w:rFonts w:eastAsia="Times New Roman" w:cs="Times New Roman"/>
                <w:noProof/>
              </w:rPr>
            </w:pPr>
            <w:r w:rsidRPr="00BC4EE7">
              <w:rPr>
                <w:rFonts w:cs="Times New Roman"/>
                <w:noProof/>
              </w:rPr>
              <w:t>491</w:t>
            </w:r>
          </w:p>
        </w:tc>
        <w:tc>
          <w:tcPr>
            <w:tcW w:w="913" w:type="dxa"/>
            <w:shd w:val="clear" w:color="auto" w:fill="C6EFCE"/>
            <w:noWrap/>
          </w:tcPr>
          <w:p w14:paraId="0E8C97B7"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C31.I5 </w:t>
            </w:r>
          </w:p>
        </w:tc>
        <w:tc>
          <w:tcPr>
            <w:tcW w:w="992" w:type="dxa"/>
            <w:shd w:val="clear" w:color="auto" w:fill="C6EFCE"/>
            <w:noWrap/>
          </w:tcPr>
          <w:p w14:paraId="42A4F590"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1957" w:type="dxa"/>
            <w:shd w:val="clear" w:color="auto" w:fill="C6EFCE"/>
            <w:noWrap/>
          </w:tcPr>
          <w:p w14:paraId="4D6D63FD" w14:textId="2B483BE5" w:rsidR="00D65CB4" w:rsidRPr="00BC4EE7" w:rsidRDefault="00572307">
            <w:pPr>
              <w:pStyle w:val="P68B1DB1-Normal12"/>
              <w:spacing w:after="0"/>
              <w:rPr>
                <w:rFonts w:eastAsia="Times New Roman" w:cs="Times New Roman"/>
                <w:noProof/>
              </w:rPr>
            </w:pPr>
            <w:r w:rsidRPr="00BC4EE7">
              <w:rPr>
                <w:rFonts w:cs="Times New Roman"/>
                <w:noProof/>
              </w:rPr>
              <w:t>Az ipar dekarbonizációjához nyújtott támogatásra vonatkozó felhívások és szabályok közzététele</w:t>
            </w:r>
          </w:p>
        </w:tc>
        <w:tc>
          <w:tcPr>
            <w:tcW w:w="1173" w:type="dxa"/>
            <w:shd w:val="clear" w:color="auto" w:fill="C6EFCE"/>
            <w:noWrap/>
          </w:tcPr>
          <w:p w14:paraId="78A1B01B"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Közzététel</w:t>
            </w:r>
          </w:p>
        </w:tc>
        <w:tc>
          <w:tcPr>
            <w:tcW w:w="581" w:type="dxa"/>
            <w:shd w:val="clear" w:color="auto" w:fill="C6EFCE"/>
            <w:noWrap/>
          </w:tcPr>
          <w:p w14:paraId="6DEDFBC9" w14:textId="77777777" w:rsidR="00D65CB4" w:rsidRPr="00BC4EE7" w:rsidRDefault="00D65CB4">
            <w:pPr>
              <w:spacing w:after="0"/>
              <w:jc w:val="center"/>
              <w:rPr>
                <w:rFonts w:ascii="Times New Roman" w:eastAsia="Times New Roman" w:hAnsi="Times New Roman" w:cs="Times New Roman"/>
                <w:noProof/>
                <w:sz w:val="18"/>
              </w:rPr>
            </w:pPr>
          </w:p>
        </w:tc>
        <w:tc>
          <w:tcPr>
            <w:tcW w:w="958" w:type="dxa"/>
            <w:shd w:val="clear" w:color="auto" w:fill="C6EFCE"/>
            <w:noWrap/>
          </w:tcPr>
          <w:p w14:paraId="5DE13126" w14:textId="77777777" w:rsidR="00D65CB4" w:rsidRPr="00BC4EE7" w:rsidRDefault="00D65CB4">
            <w:pPr>
              <w:spacing w:after="0"/>
              <w:jc w:val="right"/>
              <w:rPr>
                <w:rFonts w:ascii="Times New Roman" w:eastAsia="Times New Roman" w:hAnsi="Times New Roman" w:cs="Times New Roman"/>
                <w:noProof/>
                <w:sz w:val="18"/>
              </w:rPr>
            </w:pPr>
          </w:p>
        </w:tc>
        <w:tc>
          <w:tcPr>
            <w:tcW w:w="538" w:type="dxa"/>
            <w:shd w:val="clear" w:color="auto" w:fill="C6EFCE"/>
            <w:noWrap/>
          </w:tcPr>
          <w:p w14:paraId="232764A2" w14:textId="77777777" w:rsidR="00D65CB4" w:rsidRPr="00BC4EE7" w:rsidRDefault="00D65CB4">
            <w:pPr>
              <w:spacing w:after="0"/>
              <w:jc w:val="right"/>
              <w:rPr>
                <w:rFonts w:ascii="Times New Roman" w:eastAsia="Times New Roman" w:hAnsi="Times New Roman" w:cs="Times New Roman"/>
                <w:noProof/>
                <w:sz w:val="18"/>
              </w:rPr>
            </w:pPr>
          </w:p>
        </w:tc>
        <w:tc>
          <w:tcPr>
            <w:tcW w:w="413" w:type="dxa"/>
            <w:shd w:val="clear" w:color="auto" w:fill="C6EFCE"/>
            <w:noWrap/>
          </w:tcPr>
          <w:p w14:paraId="394C6EEC"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Q2</w:t>
            </w:r>
          </w:p>
        </w:tc>
        <w:tc>
          <w:tcPr>
            <w:tcW w:w="486" w:type="dxa"/>
            <w:shd w:val="clear" w:color="auto" w:fill="C6EFCE"/>
            <w:noWrap/>
          </w:tcPr>
          <w:p w14:paraId="444825EE"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2024</w:t>
            </w:r>
          </w:p>
        </w:tc>
        <w:tc>
          <w:tcPr>
            <w:tcW w:w="6650" w:type="dxa"/>
            <w:gridSpan w:val="2"/>
            <w:shd w:val="clear" w:color="auto" w:fill="C6EFCE"/>
            <w:noWrap/>
          </w:tcPr>
          <w:p w14:paraId="1EE3FF45" w14:textId="235D679B" w:rsidR="00D65CB4" w:rsidRPr="00BC4EE7" w:rsidRDefault="00572307">
            <w:pPr>
              <w:pStyle w:val="P68B1DB1-Normal12"/>
              <w:spacing w:after="0"/>
              <w:rPr>
                <w:rFonts w:eastAsia="Times New Roman" w:cs="Times New Roman"/>
                <w:noProof/>
              </w:rPr>
            </w:pPr>
            <w:r w:rsidRPr="00BC4EE7">
              <w:rPr>
                <w:rFonts w:cs="Times New Roman"/>
                <w:noProof/>
              </w:rPr>
              <w:t>A pályázati felhívások jóváhagyása, valamint a feldolgozóipar dekarbonizációjára, valamint az új, nagy hatékonyságú és dekarbonizált gyártólétesítmények fejlesztésére irányuló projektekhez nyújtott vissza nem térítendő támogatások formájában nyújtott támogatásra vonatkozó szabályok. A pályázati felhívásoknak és a projekttámogatások formájában nyújtott támogatásra vonatkozó szabályoknak biztosítaniuk kell, hogy az intézkedés megfeleljen a jelentős károkozás elkerülését célzó technikai iránymutatásnak (2021/C58/01) a kizárási lista, valamint a vonatkozó uniós és nemzeti környezetvédelmi jogszabályoknak való megfelelés követelménye révén.</w:t>
            </w:r>
          </w:p>
        </w:tc>
      </w:tr>
      <w:tr w:rsidR="00D65CB4" w:rsidRPr="00BC4EE7" w14:paraId="4128DA45" w14:textId="77777777" w:rsidTr="00572307">
        <w:trPr>
          <w:trHeight w:val="309"/>
        </w:trPr>
        <w:tc>
          <w:tcPr>
            <w:tcW w:w="789" w:type="dxa"/>
            <w:tcBorders>
              <w:bottom w:val="single" w:sz="4" w:space="0" w:color="4F81BD" w:themeColor="accent1"/>
            </w:tcBorders>
            <w:shd w:val="clear" w:color="auto" w:fill="C6EFCE"/>
            <w:noWrap/>
          </w:tcPr>
          <w:p w14:paraId="32F202CA" w14:textId="142D1754" w:rsidR="00D65CB4" w:rsidRPr="00BC4EE7" w:rsidRDefault="00572307">
            <w:pPr>
              <w:pStyle w:val="P68B1DB1-Normal12"/>
              <w:spacing w:after="0"/>
              <w:jc w:val="center"/>
              <w:rPr>
                <w:rFonts w:eastAsia="Times New Roman" w:cs="Times New Roman"/>
                <w:noProof/>
              </w:rPr>
            </w:pPr>
            <w:r w:rsidRPr="00BC4EE7">
              <w:rPr>
                <w:rFonts w:cs="Times New Roman"/>
                <w:noProof/>
              </w:rPr>
              <w:t>492</w:t>
            </w:r>
          </w:p>
        </w:tc>
        <w:tc>
          <w:tcPr>
            <w:tcW w:w="913" w:type="dxa"/>
            <w:tcBorders>
              <w:bottom w:val="single" w:sz="4" w:space="0" w:color="auto"/>
            </w:tcBorders>
            <w:shd w:val="clear" w:color="auto" w:fill="C6EFCE"/>
            <w:noWrap/>
          </w:tcPr>
          <w:p w14:paraId="0961D913"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C31.I5</w:t>
            </w:r>
          </w:p>
        </w:tc>
        <w:tc>
          <w:tcPr>
            <w:tcW w:w="992" w:type="dxa"/>
            <w:tcBorders>
              <w:bottom w:val="single" w:sz="4" w:space="0" w:color="auto"/>
            </w:tcBorders>
            <w:shd w:val="clear" w:color="auto" w:fill="C6EFCE"/>
            <w:noWrap/>
          </w:tcPr>
          <w:p w14:paraId="09D171A4"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1957" w:type="dxa"/>
            <w:tcBorders>
              <w:bottom w:val="single" w:sz="4" w:space="0" w:color="auto"/>
            </w:tcBorders>
            <w:shd w:val="clear" w:color="auto" w:fill="C6EFCE"/>
            <w:noWrap/>
          </w:tcPr>
          <w:p w14:paraId="43015BD9" w14:textId="5C160BFE" w:rsidR="00D65CB4" w:rsidRPr="00BC4EE7" w:rsidRDefault="00572307">
            <w:pPr>
              <w:pStyle w:val="P68B1DB1-Normal12"/>
              <w:spacing w:after="0"/>
              <w:rPr>
                <w:rFonts w:eastAsia="Times New Roman" w:cs="Times New Roman"/>
                <w:noProof/>
              </w:rPr>
            </w:pPr>
            <w:r w:rsidRPr="00BC4EE7">
              <w:rPr>
                <w:rFonts w:cs="Times New Roman"/>
                <w:noProof/>
              </w:rPr>
              <w:t xml:space="preserve">Szén-dioxid-mentesítési projektek díjának közzététele </w:t>
            </w:r>
          </w:p>
        </w:tc>
        <w:tc>
          <w:tcPr>
            <w:tcW w:w="1173" w:type="dxa"/>
            <w:tcBorders>
              <w:bottom w:val="single" w:sz="4" w:space="0" w:color="auto"/>
            </w:tcBorders>
            <w:shd w:val="clear" w:color="auto" w:fill="C6EFCE"/>
            <w:noWrap/>
          </w:tcPr>
          <w:p w14:paraId="262D614F"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Az odaítélésről szóló határozatok közzététele</w:t>
            </w:r>
          </w:p>
        </w:tc>
        <w:tc>
          <w:tcPr>
            <w:tcW w:w="581" w:type="dxa"/>
            <w:tcBorders>
              <w:bottom w:val="single" w:sz="4" w:space="0" w:color="auto"/>
            </w:tcBorders>
            <w:shd w:val="clear" w:color="auto" w:fill="C6EFCE"/>
            <w:noWrap/>
          </w:tcPr>
          <w:p w14:paraId="00EBF89E"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Millió</w:t>
            </w:r>
          </w:p>
          <w:p w14:paraId="35FAE67F" w14:textId="5157125C" w:rsidR="00D65CB4" w:rsidRPr="00BC4EE7" w:rsidRDefault="00572307">
            <w:pPr>
              <w:pStyle w:val="P68B1DB1-Normal12"/>
              <w:spacing w:after="0"/>
              <w:jc w:val="center"/>
              <w:rPr>
                <w:rFonts w:eastAsia="Times New Roman" w:cs="Times New Roman"/>
                <w:noProof/>
              </w:rPr>
            </w:pPr>
            <w:r w:rsidRPr="00BC4EE7">
              <w:rPr>
                <w:rFonts w:cs="Times New Roman"/>
                <w:noProof/>
              </w:rPr>
              <w:t>EUR</w:t>
            </w:r>
          </w:p>
        </w:tc>
        <w:tc>
          <w:tcPr>
            <w:tcW w:w="958" w:type="dxa"/>
            <w:tcBorders>
              <w:bottom w:val="single" w:sz="4" w:space="0" w:color="auto"/>
            </w:tcBorders>
            <w:shd w:val="clear" w:color="auto" w:fill="C6EFCE"/>
            <w:noWrap/>
          </w:tcPr>
          <w:p w14:paraId="756964F5" w14:textId="365F2A8E" w:rsidR="00D65CB4" w:rsidRPr="00BC4EE7" w:rsidRDefault="00572307">
            <w:pPr>
              <w:pStyle w:val="P68B1DB1-Normal12"/>
              <w:spacing w:after="0"/>
              <w:jc w:val="right"/>
              <w:rPr>
                <w:rFonts w:eastAsia="Times New Roman" w:cs="Times New Roman"/>
                <w:noProof/>
              </w:rPr>
            </w:pPr>
            <w:r w:rsidRPr="00BC4EE7">
              <w:rPr>
                <w:rFonts w:cs="Times New Roman"/>
                <w:noProof/>
              </w:rPr>
              <w:t>0</w:t>
            </w:r>
          </w:p>
        </w:tc>
        <w:tc>
          <w:tcPr>
            <w:tcW w:w="538" w:type="dxa"/>
            <w:tcBorders>
              <w:bottom w:val="single" w:sz="4" w:space="0" w:color="auto"/>
            </w:tcBorders>
            <w:shd w:val="clear" w:color="auto" w:fill="C6EFCE"/>
            <w:noWrap/>
          </w:tcPr>
          <w:p w14:paraId="67530E80" w14:textId="059A78AF" w:rsidR="00D65CB4" w:rsidRPr="00BC4EE7" w:rsidRDefault="00572307">
            <w:pPr>
              <w:pStyle w:val="P68B1DB1-Normal12"/>
              <w:spacing w:after="0"/>
              <w:jc w:val="right"/>
              <w:rPr>
                <w:rFonts w:eastAsia="Times New Roman" w:cs="Times New Roman"/>
                <w:noProof/>
              </w:rPr>
            </w:pPr>
            <w:r w:rsidRPr="00BC4EE7">
              <w:rPr>
                <w:rFonts w:cs="Times New Roman"/>
                <w:noProof/>
              </w:rPr>
              <w:t>531</w:t>
            </w:r>
          </w:p>
        </w:tc>
        <w:tc>
          <w:tcPr>
            <w:tcW w:w="413" w:type="dxa"/>
            <w:tcBorders>
              <w:bottom w:val="single" w:sz="4" w:space="0" w:color="auto"/>
            </w:tcBorders>
            <w:shd w:val="clear" w:color="auto" w:fill="C6EFCE"/>
            <w:noWrap/>
          </w:tcPr>
          <w:p w14:paraId="78603C4F"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Q4</w:t>
            </w:r>
          </w:p>
        </w:tc>
        <w:tc>
          <w:tcPr>
            <w:tcW w:w="486" w:type="dxa"/>
            <w:tcBorders>
              <w:bottom w:val="single" w:sz="4" w:space="0" w:color="auto"/>
            </w:tcBorders>
            <w:shd w:val="clear" w:color="auto" w:fill="C6EFCE"/>
            <w:noWrap/>
          </w:tcPr>
          <w:p w14:paraId="1EF68D8D"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2024</w:t>
            </w:r>
          </w:p>
        </w:tc>
        <w:tc>
          <w:tcPr>
            <w:tcW w:w="6650" w:type="dxa"/>
            <w:gridSpan w:val="2"/>
            <w:tcBorders>
              <w:bottom w:val="single" w:sz="4" w:space="0" w:color="auto"/>
            </w:tcBorders>
            <w:shd w:val="clear" w:color="auto" w:fill="C6EFCE"/>
            <w:noWrap/>
          </w:tcPr>
          <w:p w14:paraId="693F6C41" w14:textId="7AC573FC" w:rsidR="00D65CB4" w:rsidRPr="00BC4EE7" w:rsidRDefault="00572307">
            <w:pPr>
              <w:spacing w:after="0"/>
              <w:rPr>
                <w:rFonts w:ascii="Times New Roman" w:eastAsia="Times New Roman" w:hAnsi="Times New Roman" w:cs="Times New Roman"/>
                <w:noProof/>
                <w:sz w:val="18"/>
              </w:rPr>
            </w:pPr>
            <w:r w:rsidRPr="00BC4EE7">
              <w:rPr>
                <w:rFonts w:ascii="Times New Roman" w:hAnsi="Times New Roman" w:cs="Times New Roman"/>
                <w:noProof/>
                <w:sz w:val="18"/>
              </w:rPr>
              <w:t>Legalább 531 000 000 EUR-t ítéltek oda a végső kedvezményezetteknek (az összes forrás legalább 40%-a a Helyreállítási és Rezilienciaépítési Eszközről szóló rendelet VI. mellékletében szereplő módszertan alkalmazásával éghajlat-politikai célkitűzésekhez járul hozzá).</w:t>
            </w:r>
            <w:r w:rsidRPr="00BC4EE7">
              <w:rPr>
                <w:rFonts w:ascii="Times New Roman" w:hAnsi="Times New Roman" w:cs="Times New Roman"/>
                <w:noProof/>
              </w:rPr>
              <w:t xml:space="preserve"> </w:t>
            </w:r>
          </w:p>
        </w:tc>
      </w:tr>
      <w:tr w:rsidR="00D65CB4" w:rsidRPr="00BC4EE7" w14:paraId="75E9CC47" w14:textId="77777777" w:rsidTr="00572307">
        <w:trPr>
          <w:trHeight w:val="309"/>
        </w:trPr>
        <w:tc>
          <w:tcPr>
            <w:tcW w:w="789" w:type="dxa"/>
            <w:tcBorders>
              <w:top w:val="single" w:sz="4" w:space="0" w:color="4F81BD" w:themeColor="accent1"/>
              <w:left w:val="single" w:sz="4" w:space="0" w:color="4F81BD" w:themeColor="accent1"/>
              <w:bottom w:val="single" w:sz="4" w:space="0" w:color="4F81BD" w:themeColor="accent1"/>
              <w:right w:val="single" w:sz="4" w:space="0" w:color="auto"/>
            </w:tcBorders>
            <w:shd w:val="clear" w:color="auto" w:fill="C6EFCE"/>
            <w:noWrap/>
          </w:tcPr>
          <w:p w14:paraId="574A6F0B" w14:textId="442675F2" w:rsidR="00D65CB4" w:rsidRPr="00BC4EE7" w:rsidRDefault="00572307">
            <w:pPr>
              <w:pStyle w:val="P68B1DB1-Normal12"/>
              <w:spacing w:after="0"/>
              <w:jc w:val="center"/>
              <w:rPr>
                <w:rFonts w:eastAsia="Times New Roman" w:cs="Times New Roman"/>
                <w:noProof/>
              </w:rPr>
            </w:pPr>
            <w:r w:rsidRPr="00BC4EE7">
              <w:rPr>
                <w:rFonts w:cs="Times New Roman"/>
                <w:noProof/>
              </w:rPr>
              <w:t>493</w:t>
            </w:r>
          </w:p>
        </w:tc>
        <w:tc>
          <w:tcPr>
            <w:tcW w:w="913" w:type="dxa"/>
            <w:tcBorders>
              <w:top w:val="single" w:sz="4" w:space="0" w:color="auto"/>
              <w:left w:val="single" w:sz="4" w:space="0" w:color="auto"/>
              <w:bottom w:val="single" w:sz="4" w:space="0" w:color="auto"/>
              <w:right w:val="single" w:sz="4" w:space="0" w:color="auto"/>
            </w:tcBorders>
            <w:shd w:val="clear" w:color="auto" w:fill="C6EFCE"/>
            <w:noWrap/>
          </w:tcPr>
          <w:p w14:paraId="5D92DB00"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C31.I5</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65E87F51"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1957" w:type="dxa"/>
            <w:tcBorders>
              <w:top w:val="single" w:sz="4" w:space="0" w:color="auto"/>
              <w:left w:val="single" w:sz="4" w:space="0" w:color="auto"/>
              <w:bottom w:val="single" w:sz="4" w:space="0" w:color="auto"/>
              <w:right w:val="single" w:sz="4" w:space="0" w:color="auto"/>
            </w:tcBorders>
            <w:shd w:val="clear" w:color="auto" w:fill="C6EFCE"/>
            <w:noWrap/>
          </w:tcPr>
          <w:p w14:paraId="23692AFB" w14:textId="77777777" w:rsidR="00D65CB4" w:rsidRPr="00BC4EE7" w:rsidRDefault="00572307">
            <w:pPr>
              <w:pStyle w:val="P68B1DB1-Normal12"/>
              <w:spacing w:after="0"/>
              <w:rPr>
                <w:rFonts w:eastAsia="Times New Roman" w:cs="Times New Roman"/>
                <w:noProof/>
              </w:rPr>
            </w:pPr>
            <w:r w:rsidRPr="00BC4EE7">
              <w:rPr>
                <w:rFonts w:cs="Times New Roman"/>
                <w:noProof/>
              </w:rPr>
              <w:t>Dekarbonizációs projektek lezárása</w:t>
            </w:r>
          </w:p>
        </w:tc>
        <w:tc>
          <w:tcPr>
            <w:tcW w:w="1173" w:type="dxa"/>
            <w:tcBorders>
              <w:top w:val="single" w:sz="4" w:space="0" w:color="auto"/>
              <w:left w:val="single" w:sz="4" w:space="0" w:color="auto"/>
              <w:bottom w:val="single" w:sz="4" w:space="0" w:color="auto"/>
              <w:right w:val="single" w:sz="4" w:space="0" w:color="auto"/>
            </w:tcBorders>
            <w:shd w:val="clear" w:color="auto" w:fill="C6EFCE"/>
            <w:noWrap/>
          </w:tcPr>
          <w:p w14:paraId="14A2AFE2"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Teljesítési igazolás</w:t>
            </w:r>
          </w:p>
        </w:tc>
        <w:tc>
          <w:tcPr>
            <w:tcW w:w="581" w:type="dxa"/>
            <w:tcBorders>
              <w:top w:val="single" w:sz="4" w:space="0" w:color="auto"/>
              <w:left w:val="single" w:sz="4" w:space="0" w:color="auto"/>
              <w:bottom w:val="single" w:sz="4" w:space="0" w:color="auto"/>
              <w:right w:val="single" w:sz="4" w:space="0" w:color="auto"/>
            </w:tcBorders>
            <w:shd w:val="clear" w:color="auto" w:fill="C6EFCE"/>
            <w:noWrap/>
          </w:tcPr>
          <w:p w14:paraId="40423CA1" w14:textId="77777777" w:rsidR="00D65CB4" w:rsidRPr="00BC4EE7" w:rsidRDefault="00D65CB4">
            <w:pPr>
              <w:spacing w:after="0"/>
              <w:jc w:val="center"/>
              <w:rPr>
                <w:rFonts w:ascii="Times New Roman" w:eastAsia="Times New Roman" w:hAnsi="Times New Roman" w:cs="Times New Roman"/>
                <w:noProof/>
                <w:sz w:val="18"/>
              </w:rPr>
            </w:pPr>
          </w:p>
        </w:tc>
        <w:tc>
          <w:tcPr>
            <w:tcW w:w="958" w:type="dxa"/>
            <w:tcBorders>
              <w:top w:val="single" w:sz="4" w:space="0" w:color="auto"/>
              <w:left w:val="single" w:sz="4" w:space="0" w:color="auto"/>
              <w:bottom w:val="single" w:sz="4" w:space="0" w:color="auto"/>
              <w:right w:val="single" w:sz="4" w:space="0" w:color="auto"/>
            </w:tcBorders>
            <w:shd w:val="clear" w:color="auto" w:fill="C6EFCE"/>
            <w:noWrap/>
          </w:tcPr>
          <w:p w14:paraId="481CC9EC" w14:textId="4C741D47" w:rsidR="00D65CB4" w:rsidRPr="00BC4EE7" w:rsidRDefault="00D65CB4">
            <w:pPr>
              <w:spacing w:after="0"/>
              <w:jc w:val="right"/>
              <w:rPr>
                <w:rFonts w:ascii="Times New Roman" w:eastAsia="Times New Roman" w:hAnsi="Times New Roman" w:cs="Times New Roman"/>
                <w:noProof/>
                <w:sz w:val="18"/>
              </w:rPr>
            </w:pPr>
          </w:p>
        </w:tc>
        <w:tc>
          <w:tcPr>
            <w:tcW w:w="538" w:type="dxa"/>
            <w:tcBorders>
              <w:top w:val="single" w:sz="4" w:space="0" w:color="auto"/>
              <w:left w:val="single" w:sz="4" w:space="0" w:color="auto"/>
              <w:bottom w:val="single" w:sz="4" w:space="0" w:color="auto"/>
              <w:right w:val="single" w:sz="4" w:space="0" w:color="auto"/>
            </w:tcBorders>
            <w:shd w:val="clear" w:color="auto" w:fill="C6EFCE"/>
            <w:noWrap/>
          </w:tcPr>
          <w:p w14:paraId="137B4FFC" w14:textId="77777777" w:rsidR="00D65CB4" w:rsidRPr="00BC4EE7" w:rsidRDefault="00D65CB4">
            <w:pPr>
              <w:spacing w:after="0"/>
              <w:jc w:val="right"/>
              <w:rPr>
                <w:rFonts w:ascii="Times New Roman" w:eastAsia="Times New Roman" w:hAnsi="Times New Roman" w:cs="Times New Roman"/>
                <w:noProof/>
                <w:sz w:val="18"/>
              </w:rPr>
            </w:pP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7CB82393" w14:textId="03FF8788" w:rsidR="00D65CB4" w:rsidRPr="00BC4EE7" w:rsidRDefault="00572307">
            <w:pPr>
              <w:pStyle w:val="P68B1DB1-Normal12"/>
              <w:spacing w:after="0"/>
              <w:jc w:val="center"/>
              <w:rPr>
                <w:rFonts w:eastAsia="Times New Roman" w:cs="Times New Roman"/>
                <w:noProof/>
              </w:rPr>
            </w:pPr>
            <w:r w:rsidRPr="00BC4EE7">
              <w:rPr>
                <w:rFonts w:cs="Times New Roman"/>
                <w:noProof/>
              </w:rPr>
              <w:t>Q3</w:t>
            </w:r>
          </w:p>
        </w:tc>
        <w:tc>
          <w:tcPr>
            <w:tcW w:w="486" w:type="dxa"/>
            <w:tcBorders>
              <w:top w:val="single" w:sz="4" w:space="0" w:color="auto"/>
              <w:left w:val="single" w:sz="4" w:space="0" w:color="auto"/>
              <w:bottom w:val="single" w:sz="4" w:space="0" w:color="auto"/>
              <w:right w:val="single" w:sz="4" w:space="0" w:color="auto"/>
            </w:tcBorders>
            <w:shd w:val="clear" w:color="auto" w:fill="C6EFCE"/>
            <w:noWrap/>
          </w:tcPr>
          <w:p w14:paraId="3F39C4F9"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2026</w:t>
            </w:r>
          </w:p>
        </w:tc>
        <w:tc>
          <w:tcPr>
            <w:tcW w:w="6650" w:type="dxa"/>
            <w:gridSpan w:val="2"/>
            <w:tcBorders>
              <w:top w:val="single" w:sz="4" w:space="0" w:color="auto"/>
              <w:left w:val="single" w:sz="4" w:space="0" w:color="auto"/>
              <w:bottom w:val="single" w:sz="4" w:space="0" w:color="auto"/>
              <w:right w:val="single" w:sz="4" w:space="0" w:color="auto"/>
            </w:tcBorders>
            <w:shd w:val="clear" w:color="auto" w:fill="C6EFCE"/>
            <w:noWrap/>
          </w:tcPr>
          <w:p w14:paraId="264666FD" w14:textId="7CFF1EFB" w:rsidR="00D65CB4" w:rsidRPr="00BC4EE7" w:rsidRDefault="00572307">
            <w:pPr>
              <w:pStyle w:val="P68B1DB1-Normal12"/>
              <w:spacing w:after="0"/>
              <w:rPr>
                <w:rFonts w:eastAsia="Times New Roman" w:cs="Times New Roman"/>
                <w:noProof/>
              </w:rPr>
            </w:pPr>
            <w:r w:rsidRPr="00BC4EE7">
              <w:rPr>
                <w:rFonts w:cs="Times New Roman"/>
                <w:noProof/>
              </w:rPr>
              <w:t xml:space="preserve">Projektek befejezése legalább 531 000 000 EUR teljes költségvetéssel. </w:t>
            </w:r>
          </w:p>
        </w:tc>
      </w:tr>
      <w:tr w:rsidR="00D65CB4" w:rsidRPr="00BC4EE7" w14:paraId="0F90CD58" w14:textId="77777777" w:rsidTr="00572307">
        <w:trPr>
          <w:trHeight w:val="309"/>
        </w:trPr>
        <w:tc>
          <w:tcPr>
            <w:tcW w:w="789" w:type="dxa"/>
            <w:tcBorders>
              <w:top w:val="single" w:sz="4" w:space="0" w:color="4F81BD" w:themeColor="accent1"/>
              <w:left w:val="single" w:sz="4" w:space="0" w:color="4F81BD" w:themeColor="accent1"/>
              <w:bottom w:val="single" w:sz="4" w:space="0" w:color="4F81BD" w:themeColor="accent1"/>
              <w:right w:val="single" w:sz="4" w:space="0" w:color="auto"/>
            </w:tcBorders>
            <w:shd w:val="clear" w:color="auto" w:fill="C6EFCE"/>
            <w:noWrap/>
          </w:tcPr>
          <w:p w14:paraId="254EADDD" w14:textId="532ABE6B" w:rsidR="00D65CB4" w:rsidRPr="00BC4EE7" w:rsidRDefault="00572307">
            <w:pPr>
              <w:pStyle w:val="P68B1DB1-Normal12"/>
              <w:jc w:val="center"/>
              <w:rPr>
                <w:rFonts w:eastAsia="Times New Roman" w:cs="Times New Roman"/>
                <w:noProof/>
              </w:rPr>
            </w:pPr>
            <w:r w:rsidRPr="00BC4EE7">
              <w:rPr>
                <w:rFonts w:cs="Times New Roman"/>
                <w:noProof/>
              </w:rPr>
              <w:t>494</w:t>
            </w:r>
          </w:p>
        </w:tc>
        <w:tc>
          <w:tcPr>
            <w:tcW w:w="913" w:type="dxa"/>
            <w:tcBorders>
              <w:top w:val="single" w:sz="4" w:space="0" w:color="auto"/>
              <w:left w:val="single" w:sz="4" w:space="0" w:color="auto"/>
              <w:bottom w:val="single" w:sz="4" w:space="0" w:color="auto"/>
              <w:right w:val="single" w:sz="4" w:space="0" w:color="auto"/>
            </w:tcBorders>
            <w:shd w:val="clear" w:color="auto" w:fill="C6EFCE"/>
            <w:noWrap/>
          </w:tcPr>
          <w:p w14:paraId="5670CAAE" w14:textId="77777777" w:rsidR="00D65CB4" w:rsidRPr="00BC4EE7" w:rsidRDefault="00572307">
            <w:pPr>
              <w:pStyle w:val="P68B1DB1-Normal12"/>
              <w:jc w:val="center"/>
              <w:rPr>
                <w:rFonts w:eastAsia="Times New Roman" w:cs="Times New Roman"/>
                <w:noProof/>
              </w:rPr>
            </w:pPr>
            <w:r w:rsidRPr="00BC4EE7">
              <w:rPr>
                <w:rFonts w:cs="Times New Roman"/>
                <w:noProof/>
              </w:rPr>
              <w:t>C31.I6</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401C556B" w14:textId="77777777" w:rsidR="00D65CB4" w:rsidRPr="00BC4EE7" w:rsidRDefault="00572307">
            <w:pPr>
              <w:pStyle w:val="P68B1DB1-Normal12"/>
              <w:jc w:val="center"/>
              <w:rPr>
                <w:rFonts w:eastAsia="Times New Roman" w:cs="Times New Roman"/>
                <w:noProof/>
              </w:rPr>
            </w:pPr>
            <w:r w:rsidRPr="00BC4EE7">
              <w:rPr>
                <w:rFonts w:cs="Times New Roman"/>
                <w:noProof/>
              </w:rPr>
              <w:t>M</w:t>
            </w:r>
          </w:p>
        </w:tc>
        <w:tc>
          <w:tcPr>
            <w:tcW w:w="1957" w:type="dxa"/>
            <w:tcBorders>
              <w:top w:val="single" w:sz="4" w:space="0" w:color="auto"/>
              <w:left w:val="single" w:sz="4" w:space="0" w:color="auto"/>
              <w:bottom w:val="single" w:sz="4" w:space="0" w:color="auto"/>
              <w:right w:val="single" w:sz="4" w:space="0" w:color="auto"/>
            </w:tcBorders>
            <w:shd w:val="clear" w:color="auto" w:fill="C6EFCE"/>
            <w:noWrap/>
          </w:tcPr>
          <w:p w14:paraId="1A05CC68" w14:textId="17E84857" w:rsidR="00D65CB4" w:rsidRPr="00BC4EE7" w:rsidRDefault="00572307">
            <w:pPr>
              <w:pStyle w:val="P68B1DB1-Normal12"/>
              <w:rPr>
                <w:rFonts w:eastAsia="Times New Roman" w:cs="Times New Roman"/>
                <w:noProof/>
              </w:rPr>
            </w:pPr>
            <w:r w:rsidRPr="00BC4EE7">
              <w:rPr>
                <w:rFonts w:cs="Times New Roman"/>
                <w:noProof/>
              </w:rPr>
              <w:t>Az ipari dekarbonizáció támogatási rendszere: A SEPIDES átalakítása közvállalkozássá</w:t>
            </w:r>
          </w:p>
        </w:tc>
        <w:tc>
          <w:tcPr>
            <w:tcW w:w="1173" w:type="dxa"/>
            <w:tcBorders>
              <w:top w:val="single" w:sz="4" w:space="0" w:color="auto"/>
              <w:left w:val="single" w:sz="4" w:space="0" w:color="auto"/>
              <w:bottom w:val="single" w:sz="4" w:space="0" w:color="auto"/>
              <w:right w:val="single" w:sz="4" w:space="0" w:color="auto"/>
            </w:tcBorders>
            <w:shd w:val="clear" w:color="auto" w:fill="C6EFCE"/>
            <w:noWrap/>
          </w:tcPr>
          <w:p w14:paraId="6B7F5FC9" w14:textId="77777777" w:rsidR="00D65CB4" w:rsidRPr="00BC4EE7" w:rsidRDefault="00572307">
            <w:pPr>
              <w:pStyle w:val="P68B1DB1-Normal12"/>
              <w:jc w:val="center"/>
              <w:rPr>
                <w:rFonts w:eastAsia="Times New Roman" w:cs="Times New Roman"/>
                <w:noProof/>
              </w:rPr>
            </w:pPr>
            <w:r w:rsidRPr="00BC4EE7">
              <w:rPr>
                <w:rFonts w:cs="Times New Roman"/>
                <w:noProof/>
              </w:rPr>
              <w:t>A jogalkotási aktus hatálybalépése</w:t>
            </w:r>
          </w:p>
        </w:tc>
        <w:tc>
          <w:tcPr>
            <w:tcW w:w="581" w:type="dxa"/>
            <w:tcBorders>
              <w:top w:val="single" w:sz="4" w:space="0" w:color="auto"/>
              <w:left w:val="single" w:sz="4" w:space="0" w:color="auto"/>
              <w:bottom w:val="single" w:sz="4" w:space="0" w:color="auto"/>
              <w:right w:val="single" w:sz="4" w:space="0" w:color="auto"/>
            </w:tcBorders>
            <w:shd w:val="clear" w:color="auto" w:fill="C6EFCE"/>
            <w:noWrap/>
          </w:tcPr>
          <w:p w14:paraId="108A9018" w14:textId="77777777" w:rsidR="00D65CB4" w:rsidRPr="00BC4EE7" w:rsidRDefault="00D65CB4">
            <w:pPr>
              <w:jc w:val="center"/>
              <w:rPr>
                <w:rFonts w:ascii="Times New Roman" w:eastAsia="Times New Roman" w:hAnsi="Times New Roman" w:cs="Times New Roman"/>
                <w:noProof/>
                <w:sz w:val="18"/>
              </w:rPr>
            </w:pPr>
          </w:p>
        </w:tc>
        <w:tc>
          <w:tcPr>
            <w:tcW w:w="958" w:type="dxa"/>
            <w:tcBorders>
              <w:top w:val="single" w:sz="4" w:space="0" w:color="auto"/>
              <w:left w:val="single" w:sz="4" w:space="0" w:color="auto"/>
              <w:bottom w:val="single" w:sz="4" w:space="0" w:color="auto"/>
              <w:right w:val="single" w:sz="4" w:space="0" w:color="auto"/>
            </w:tcBorders>
            <w:shd w:val="clear" w:color="auto" w:fill="C6EFCE"/>
            <w:noWrap/>
          </w:tcPr>
          <w:p w14:paraId="2EC695C1" w14:textId="77777777" w:rsidR="00D65CB4" w:rsidRPr="00BC4EE7" w:rsidRDefault="00D65CB4">
            <w:pPr>
              <w:jc w:val="right"/>
              <w:rPr>
                <w:rFonts w:ascii="Times New Roman" w:eastAsia="Times New Roman" w:hAnsi="Times New Roman" w:cs="Times New Roman"/>
                <w:noProof/>
                <w:sz w:val="18"/>
              </w:rPr>
            </w:pPr>
          </w:p>
        </w:tc>
        <w:tc>
          <w:tcPr>
            <w:tcW w:w="538" w:type="dxa"/>
            <w:tcBorders>
              <w:top w:val="single" w:sz="4" w:space="0" w:color="auto"/>
              <w:left w:val="single" w:sz="4" w:space="0" w:color="auto"/>
              <w:bottom w:val="single" w:sz="4" w:space="0" w:color="auto"/>
              <w:right w:val="single" w:sz="4" w:space="0" w:color="auto"/>
            </w:tcBorders>
            <w:shd w:val="clear" w:color="auto" w:fill="C6EFCE"/>
            <w:noWrap/>
          </w:tcPr>
          <w:p w14:paraId="136BC6F6" w14:textId="77777777" w:rsidR="00D65CB4" w:rsidRPr="00BC4EE7" w:rsidRDefault="00D65CB4">
            <w:pPr>
              <w:jc w:val="right"/>
              <w:rPr>
                <w:rFonts w:ascii="Times New Roman" w:eastAsia="Times New Roman" w:hAnsi="Times New Roman" w:cs="Times New Roman"/>
                <w:noProof/>
                <w:sz w:val="18"/>
              </w:rPr>
            </w:pP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28BC8789" w14:textId="77777777" w:rsidR="00D65CB4" w:rsidRPr="00BC4EE7" w:rsidRDefault="00572307">
            <w:pPr>
              <w:pStyle w:val="P68B1DB1-Normal12"/>
              <w:jc w:val="center"/>
              <w:rPr>
                <w:rFonts w:eastAsia="Times New Roman" w:cs="Times New Roman"/>
                <w:noProof/>
              </w:rPr>
            </w:pPr>
            <w:r w:rsidRPr="00BC4EE7">
              <w:rPr>
                <w:rFonts w:cs="Times New Roman"/>
                <w:noProof/>
              </w:rPr>
              <w:t>Q2</w:t>
            </w:r>
          </w:p>
        </w:tc>
        <w:tc>
          <w:tcPr>
            <w:tcW w:w="486" w:type="dxa"/>
            <w:tcBorders>
              <w:top w:val="single" w:sz="4" w:space="0" w:color="auto"/>
              <w:left w:val="single" w:sz="4" w:space="0" w:color="auto"/>
              <w:bottom w:val="single" w:sz="4" w:space="0" w:color="auto"/>
              <w:right w:val="single" w:sz="4" w:space="0" w:color="auto"/>
            </w:tcBorders>
            <w:shd w:val="clear" w:color="auto" w:fill="C6EFCE"/>
            <w:noWrap/>
          </w:tcPr>
          <w:p w14:paraId="63A86723" w14:textId="77777777" w:rsidR="00D65CB4" w:rsidRPr="00BC4EE7" w:rsidRDefault="00572307">
            <w:pPr>
              <w:pStyle w:val="P68B1DB1-Normal12"/>
              <w:jc w:val="center"/>
              <w:rPr>
                <w:rFonts w:eastAsia="Times New Roman" w:cs="Times New Roman"/>
                <w:noProof/>
              </w:rPr>
            </w:pPr>
            <w:r w:rsidRPr="00BC4EE7">
              <w:rPr>
                <w:rFonts w:cs="Times New Roman"/>
                <w:noProof/>
              </w:rPr>
              <w:t>2024</w:t>
            </w:r>
          </w:p>
        </w:tc>
        <w:tc>
          <w:tcPr>
            <w:tcW w:w="6650" w:type="dxa"/>
            <w:gridSpan w:val="2"/>
            <w:tcBorders>
              <w:top w:val="single" w:sz="4" w:space="0" w:color="auto"/>
              <w:left w:val="single" w:sz="4" w:space="0" w:color="auto"/>
              <w:bottom w:val="single" w:sz="4" w:space="0" w:color="auto"/>
              <w:right w:val="single" w:sz="4" w:space="0" w:color="auto"/>
            </w:tcBorders>
            <w:shd w:val="clear" w:color="auto" w:fill="C6EFCE"/>
            <w:noWrap/>
          </w:tcPr>
          <w:p w14:paraId="4E8997C9" w14:textId="1F8BBA94" w:rsidR="00D65CB4" w:rsidRPr="00BC4EE7" w:rsidRDefault="00572307">
            <w:pPr>
              <w:pStyle w:val="P68B1DB1-Normal12"/>
              <w:rPr>
                <w:rFonts w:eastAsia="Times New Roman" w:cs="Times New Roman"/>
                <w:noProof/>
              </w:rPr>
            </w:pPr>
            <w:r w:rsidRPr="00BC4EE7">
              <w:rPr>
                <w:rFonts w:cs="Times New Roman"/>
                <w:noProof/>
              </w:rPr>
              <w:t>A SEPIDES-t a támogatási rendszer végrehajtása céljából közvállalkozássá alakító vonatkozó jogalkotási eszköz hatálybalépése</w:t>
            </w:r>
          </w:p>
        </w:tc>
      </w:tr>
      <w:tr w:rsidR="00D65CB4" w:rsidRPr="00BC4EE7" w14:paraId="6663D00E" w14:textId="77777777" w:rsidTr="00572307">
        <w:trPr>
          <w:trHeight w:val="309"/>
        </w:trPr>
        <w:tc>
          <w:tcPr>
            <w:tcW w:w="789" w:type="dxa"/>
            <w:tcBorders>
              <w:top w:val="single" w:sz="4" w:space="0" w:color="4F81BD" w:themeColor="accent1"/>
              <w:left w:val="single" w:sz="4" w:space="0" w:color="4F81BD" w:themeColor="accent1"/>
              <w:bottom w:val="single" w:sz="4" w:space="0" w:color="4F81BD" w:themeColor="accent1"/>
              <w:right w:val="single" w:sz="4" w:space="0" w:color="auto"/>
            </w:tcBorders>
            <w:shd w:val="clear" w:color="auto" w:fill="C6EFCE"/>
            <w:noWrap/>
          </w:tcPr>
          <w:p w14:paraId="6E4E79B7" w14:textId="5A9BB16C" w:rsidR="00D65CB4" w:rsidRPr="00BC4EE7" w:rsidRDefault="00572307">
            <w:pPr>
              <w:jc w:val="center"/>
              <w:rPr>
                <w:rFonts w:ascii="Times New Roman" w:eastAsia="Times New Roman" w:hAnsi="Times New Roman" w:cs="Times New Roman"/>
                <w:noProof/>
                <w:sz w:val="18"/>
              </w:rPr>
            </w:pPr>
            <w:r w:rsidRPr="00BC4EE7">
              <w:rPr>
                <w:rStyle w:val="normaltextrun"/>
                <w:rFonts w:ascii="Times New Roman" w:hAnsi="Times New Roman" w:cs="Times New Roman"/>
                <w:noProof/>
                <w:sz w:val="18"/>
              </w:rPr>
              <w:t>497</w:t>
            </w:r>
          </w:p>
        </w:tc>
        <w:tc>
          <w:tcPr>
            <w:tcW w:w="913" w:type="dxa"/>
            <w:tcBorders>
              <w:top w:val="single" w:sz="4" w:space="0" w:color="auto"/>
              <w:left w:val="single" w:sz="4" w:space="0" w:color="auto"/>
              <w:bottom w:val="single" w:sz="4" w:space="0" w:color="auto"/>
              <w:right w:val="single" w:sz="4" w:space="0" w:color="auto"/>
            </w:tcBorders>
            <w:shd w:val="clear" w:color="auto" w:fill="C6EFCE"/>
            <w:noWrap/>
          </w:tcPr>
          <w:p w14:paraId="53A0565E" w14:textId="21F26057" w:rsidR="00D65CB4" w:rsidRPr="00BC4EE7" w:rsidRDefault="00572307">
            <w:pPr>
              <w:pStyle w:val="P68B1DB1-Normal12"/>
              <w:jc w:val="center"/>
              <w:rPr>
                <w:rFonts w:eastAsia="Times New Roman" w:cs="Times New Roman"/>
                <w:noProof/>
              </w:rPr>
            </w:pPr>
            <w:r w:rsidRPr="00BC4EE7">
              <w:rPr>
                <w:rFonts w:cs="Times New Roman"/>
                <w:noProof/>
              </w:rPr>
              <w:t>C31.I6</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491E3BC6" w14:textId="6A66B6DB" w:rsidR="00D65CB4" w:rsidRPr="00BC4EE7" w:rsidRDefault="00572307">
            <w:pPr>
              <w:pStyle w:val="P68B1DB1-Normal12"/>
              <w:jc w:val="center"/>
              <w:rPr>
                <w:rFonts w:eastAsia="Times New Roman" w:cs="Times New Roman"/>
                <w:noProof/>
              </w:rPr>
            </w:pPr>
            <w:r w:rsidRPr="00BC4EE7">
              <w:rPr>
                <w:rFonts w:cs="Times New Roman"/>
                <w:noProof/>
              </w:rPr>
              <w:t>M</w:t>
            </w:r>
          </w:p>
        </w:tc>
        <w:tc>
          <w:tcPr>
            <w:tcW w:w="1957" w:type="dxa"/>
            <w:tcBorders>
              <w:top w:val="single" w:sz="4" w:space="0" w:color="auto"/>
              <w:left w:val="single" w:sz="4" w:space="0" w:color="auto"/>
              <w:bottom w:val="single" w:sz="4" w:space="0" w:color="auto"/>
              <w:right w:val="single" w:sz="4" w:space="0" w:color="auto"/>
            </w:tcBorders>
            <w:shd w:val="clear" w:color="auto" w:fill="C6EFCE"/>
            <w:noWrap/>
          </w:tcPr>
          <w:p w14:paraId="27E7FCCA" w14:textId="0181D3D1" w:rsidR="00D65CB4" w:rsidRPr="00BC4EE7" w:rsidRDefault="00572307">
            <w:pPr>
              <w:pStyle w:val="P68B1DB1-Normal12"/>
              <w:rPr>
                <w:rFonts w:eastAsia="Times New Roman" w:cs="Times New Roman"/>
                <w:noProof/>
              </w:rPr>
            </w:pPr>
            <w:r w:rsidRPr="00BC4EE7">
              <w:rPr>
                <w:rFonts w:cs="Times New Roman"/>
                <w:noProof/>
              </w:rPr>
              <w:t>Az ipari dekarbonizáció támogatási rendszere: A minisztérium befejezte a beruházást</w:t>
            </w:r>
          </w:p>
        </w:tc>
        <w:tc>
          <w:tcPr>
            <w:tcW w:w="1173" w:type="dxa"/>
            <w:tcBorders>
              <w:top w:val="single" w:sz="4" w:space="0" w:color="auto"/>
              <w:left w:val="single" w:sz="4" w:space="0" w:color="auto"/>
              <w:bottom w:val="single" w:sz="4" w:space="0" w:color="auto"/>
              <w:right w:val="single" w:sz="4" w:space="0" w:color="auto"/>
            </w:tcBorders>
            <w:shd w:val="clear" w:color="auto" w:fill="C6EFCE"/>
            <w:noWrap/>
          </w:tcPr>
          <w:p w14:paraId="09D98D67" w14:textId="59A466DF" w:rsidR="00D65CB4" w:rsidRPr="00BC4EE7" w:rsidRDefault="00572307">
            <w:pPr>
              <w:pStyle w:val="P68B1DB1-Normal12"/>
              <w:jc w:val="center"/>
              <w:rPr>
                <w:rFonts w:eastAsia="Times New Roman" w:cs="Times New Roman"/>
                <w:noProof/>
              </w:rPr>
            </w:pPr>
            <w:r w:rsidRPr="00BC4EE7">
              <w:rPr>
                <w:rFonts w:cs="Times New Roman"/>
                <w:noProof/>
              </w:rPr>
              <w:t>Kifizetési igazolás a SEPIDES-hez</w:t>
            </w:r>
          </w:p>
        </w:tc>
        <w:tc>
          <w:tcPr>
            <w:tcW w:w="581" w:type="dxa"/>
            <w:tcBorders>
              <w:top w:val="single" w:sz="4" w:space="0" w:color="auto"/>
              <w:left w:val="single" w:sz="4" w:space="0" w:color="auto"/>
              <w:bottom w:val="single" w:sz="4" w:space="0" w:color="auto"/>
              <w:right w:val="single" w:sz="4" w:space="0" w:color="auto"/>
            </w:tcBorders>
            <w:shd w:val="clear" w:color="auto" w:fill="C6EFCE"/>
            <w:noWrap/>
          </w:tcPr>
          <w:p w14:paraId="7A126ED9" w14:textId="77777777" w:rsidR="00D65CB4" w:rsidRPr="00BC4EE7" w:rsidRDefault="00D65CB4">
            <w:pPr>
              <w:jc w:val="center"/>
              <w:rPr>
                <w:rFonts w:ascii="Times New Roman" w:eastAsia="Times New Roman" w:hAnsi="Times New Roman" w:cs="Times New Roman"/>
                <w:noProof/>
                <w:sz w:val="18"/>
              </w:rPr>
            </w:pPr>
          </w:p>
        </w:tc>
        <w:tc>
          <w:tcPr>
            <w:tcW w:w="958" w:type="dxa"/>
            <w:tcBorders>
              <w:top w:val="single" w:sz="4" w:space="0" w:color="auto"/>
              <w:left w:val="single" w:sz="4" w:space="0" w:color="auto"/>
              <w:bottom w:val="single" w:sz="4" w:space="0" w:color="auto"/>
              <w:right w:val="single" w:sz="4" w:space="0" w:color="auto"/>
            </w:tcBorders>
            <w:shd w:val="clear" w:color="auto" w:fill="C6EFCE"/>
            <w:noWrap/>
          </w:tcPr>
          <w:p w14:paraId="30337125" w14:textId="77777777" w:rsidR="00D65CB4" w:rsidRPr="00BC4EE7" w:rsidRDefault="00D65CB4">
            <w:pPr>
              <w:jc w:val="right"/>
              <w:rPr>
                <w:rFonts w:ascii="Times New Roman" w:eastAsia="Times New Roman" w:hAnsi="Times New Roman" w:cs="Times New Roman"/>
                <w:noProof/>
                <w:sz w:val="18"/>
              </w:rPr>
            </w:pPr>
          </w:p>
        </w:tc>
        <w:tc>
          <w:tcPr>
            <w:tcW w:w="538" w:type="dxa"/>
            <w:tcBorders>
              <w:top w:val="single" w:sz="4" w:space="0" w:color="auto"/>
              <w:left w:val="single" w:sz="4" w:space="0" w:color="auto"/>
              <w:bottom w:val="single" w:sz="4" w:space="0" w:color="auto"/>
              <w:right w:val="single" w:sz="4" w:space="0" w:color="auto"/>
            </w:tcBorders>
            <w:shd w:val="clear" w:color="auto" w:fill="C6EFCE"/>
            <w:noWrap/>
          </w:tcPr>
          <w:p w14:paraId="40886B16" w14:textId="77777777" w:rsidR="00D65CB4" w:rsidRPr="00BC4EE7" w:rsidRDefault="00D65CB4">
            <w:pPr>
              <w:jc w:val="right"/>
              <w:rPr>
                <w:rFonts w:ascii="Times New Roman" w:eastAsia="Times New Roman" w:hAnsi="Times New Roman" w:cs="Times New Roman"/>
                <w:noProof/>
                <w:sz w:val="18"/>
              </w:rPr>
            </w:pP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4C81123E" w14:textId="77C17AC3" w:rsidR="00D65CB4" w:rsidRPr="00BC4EE7" w:rsidRDefault="00572307">
            <w:pPr>
              <w:pStyle w:val="P68B1DB1-Normal12"/>
              <w:jc w:val="center"/>
              <w:rPr>
                <w:rFonts w:eastAsia="Times New Roman" w:cs="Times New Roman"/>
                <w:noProof/>
              </w:rPr>
            </w:pPr>
            <w:r w:rsidRPr="00BC4EE7">
              <w:rPr>
                <w:rFonts w:cs="Times New Roman"/>
                <w:noProof/>
              </w:rPr>
              <w:t>Q2</w:t>
            </w:r>
          </w:p>
        </w:tc>
        <w:tc>
          <w:tcPr>
            <w:tcW w:w="486" w:type="dxa"/>
            <w:tcBorders>
              <w:top w:val="single" w:sz="4" w:space="0" w:color="auto"/>
              <w:left w:val="single" w:sz="4" w:space="0" w:color="auto"/>
              <w:bottom w:val="single" w:sz="4" w:space="0" w:color="auto"/>
              <w:right w:val="single" w:sz="4" w:space="0" w:color="auto"/>
            </w:tcBorders>
            <w:shd w:val="clear" w:color="auto" w:fill="C6EFCE"/>
            <w:noWrap/>
          </w:tcPr>
          <w:p w14:paraId="0EA5B9E8" w14:textId="548F7251" w:rsidR="00D65CB4" w:rsidRPr="00BC4EE7" w:rsidRDefault="00572307">
            <w:pPr>
              <w:pStyle w:val="P68B1DB1-Normal12"/>
              <w:jc w:val="center"/>
              <w:rPr>
                <w:rFonts w:eastAsia="Times New Roman" w:cs="Times New Roman"/>
                <w:noProof/>
              </w:rPr>
            </w:pPr>
            <w:r w:rsidRPr="00BC4EE7">
              <w:rPr>
                <w:rFonts w:cs="Times New Roman"/>
                <w:noProof/>
              </w:rPr>
              <w:t>2024</w:t>
            </w:r>
          </w:p>
        </w:tc>
        <w:tc>
          <w:tcPr>
            <w:tcW w:w="6650" w:type="dxa"/>
            <w:gridSpan w:val="2"/>
            <w:tcBorders>
              <w:top w:val="single" w:sz="4" w:space="0" w:color="auto"/>
              <w:left w:val="single" w:sz="4" w:space="0" w:color="auto"/>
              <w:bottom w:val="single" w:sz="4" w:space="0" w:color="auto"/>
              <w:right w:val="single" w:sz="4" w:space="0" w:color="auto"/>
            </w:tcBorders>
            <w:shd w:val="clear" w:color="auto" w:fill="C6EFCE"/>
            <w:noWrap/>
          </w:tcPr>
          <w:p w14:paraId="06D9A38B" w14:textId="7A45E09E" w:rsidR="00D65CB4" w:rsidRPr="00BC4EE7" w:rsidRDefault="00572307">
            <w:pPr>
              <w:pStyle w:val="P68B1DB1-Normal12"/>
              <w:rPr>
                <w:rFonts w:eastAsia="Times New Roman" w:cs="Times New Roman"/>
                <w:noProof/>
              </w:rPr>
            </w:pPr>
            <w:r w:rsidRPr="00BC4EE7">
              <w:rPr>
                <w:rFonts w:cs="Times New Roman"/>
                <w:noProof/>
              </w:rPr>
              <w:t>Spanyolország 430 000 000 EUR-t utal át a SEPIDES-nek a rendszer céljára.</w:t>
            </w:r>
          </w:p>
        </w:tc>
      </w:tr>
      <w:tr w:rsidR="00D65CB4" w:rsidRPr="00BC4EE7" w14:paraId="0B256555" w14:textId="77777777" w:rsidTr="00572307">
        <w:trPr>
          <w:trHeight w:val="309"/>
        </w:trPr>
        <w:tc>
          <w:tcPr>
            <w:tcW w:w="789" w:type="dxa"/>
            <w:tcBorders>
              <w:top w:val="single" w:sz="4" w:space="0" w:color="auto"/>
              <w:left w:val="single" w:sz="4" w:space="0" w:color="auto"/>
              <w:bottom w:val="single" w:sz="4" w:space="0" w:color="auto"/>
              <w:right w:val="single" w:sz="4" w:space="0" w:color="auto"/>
            </w:tcBorders>
            <w:shd w:val="clear" w:color="auto" w:fill="C6EFCE"/>
            <w:noWrap/>
          </w:tcPr>
          <w:p w14:paraId="41225BD8" w14:textId="3BEAE0A9" w:rsidR="00D65CB4" w:rsidRPr="00BC4EE7" w:rsidRDefault="00572307">
            <w:pPr>
              <w:spacing w:after="0"/>
              <w:jc w:val="center"/>
              <w:rPr>
                <w:rFonts w:ascii="Times New Roman" w:eastAsia="Times New Roman" w:hAnsi="Times New Roman" w:cs="Times New Roman"/>
                <w:noProof/>
                <w:sz w:val="18"/>
              </w:rPr>
            </w:pPr>
            <w:r w:rsidRPr="00BC4EE7">
              <w:rPr>
                <w:rStyle w:val="normaltextrun"/>
                <w:rFonts w:ascii="Times New Roman" w:hAnsi="Times New Roman" w:cs="Times New Roman"/>
                <w:noProof/>
                <w:sz w:val="18"/>
              </w:rPr>
              <w:t>495</w:t>
            </w:r>
          </w:p>
        </w:tc>
        <w:tc>
          <w:tcPr>
            <w:tcW w:w="913" w:type="dxa"/>
            <w:tcBorders>
              <w:top w:val="single" w:sz="4" w:space="0" w:color="auto"/>
              <w:left w:val="single" w:sz="4" w:space="0" w:color="auto"/>
              <w:bottom w:val="single" w:sz="4" w:space="0" w:color="auto"/>
              <w:right w:val="single" w:sz="4" w:space="0" w:color="auto"/>
            </w:tcBorders>
            <w:shd w:val="clear" w:color="auto" w:fill="C6EFCE"/>
            <w:noWrap/>
          </w:tcPr>
          <w:p w14:paraId="5E2A541E" w14:textId="3607417C" w:rsidR="00D65CB4" w:rsidRPr="00BC4EE7" w:rsidRDefault="00572307">
            <w:pPr>
              <w:pStyle w:val="P68B1DB1-Normal12"/>
              <w:spacing w:after="0"/>
              <w:jc w:val="center"/>
              <w:rPr>
                <w:rFonts w:eastAsia="Times New Roman" w:cs="Times New Roman"/>
                <w:noProof/>
              </w:rPr>
            </w:pPr>
            <w:r w:rsidRPr="00BC4EE7">
              <w:rPr>
                <w:rFonts w:cs="Times New Roman"/>
                <w:noProof/>
              </w:rPr>
              <w:t>C31.I6</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18E9FD42" w14:textId="66B0C8B8"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1957" w:type="dxa"/>
            <w:tcBorders>
              <w:top w:val="single" w:sz="4" w:space="0" w:color="auto"/>
              <w:left w:val="single" w:sz="4" w:space="0" w:color="auto"/>
              <w:bottom w:val="single" w:sz="4" w:space="0" w:color="auto"/>
              <w:right w:val="single" w:sz="4" w:space="0" w:color="auto"/>
            </w:tcBorders>
            <w:shd w:val="clear" w:color="auto" w:fill="C6EFCE"/>
            <w:noWrap/>
          </w:tcPr>
          <w:p w14:paraId="63A59834" w14:textId="2F5BB03F" w:rsidR="00D65CB4" w:rsidRPr="00BC4EE7" w:rsidRDefault="00572307">
            <w:pPr>
              <w:pStyle w:val="P68B1DB1-Normal12"/>
              <w:spacing w:after="0"/>
              <w:rPr>
                <w:rFonts w:eastAsia="Times New Roman" w:cs="Times New Roman"/>
                <w:noProof/>
              </w:rPr>
            </w:pPr>
            <w:r w:rsidRPr="00BC4EE7">
              <w:rPr>
                <w:rFonts w:cs="Times New Roman"/>
                <w:noProof/>
              </w:rPr>
              <w:t>Az ipari dekarbonizáció támogatási rendszere: A rendszer létrehozása</w:t>
            </w:r>
          </w:p>
        </w:tc>
        <w:tc>
          <w:tcPr>
            <w:tcW w:w="1173" w:type="dxa"/>
            <w:tcBorders>
              <w:top w:val="single" w:sz="4" w:space="0" w:color="auto"/>
              <w:left w:val="single" w:sz="4" w:space="0" w:color="auto"/>
              <w:bottom w:val="single" w:sz="4" w:space="0" w:color="auto"/>
              <w:right w:val="single" w:sz="4" w:space="0" w:color="auto"/>
            </w:tcBorders>
            <w:shd w:val="clear" w:color="auto" w:fill="C6EFCE"/>
            <w:noWrap/>
          </w:tcPr>
          <w:p w14:paraId="62CCEAD0" w14:textId="6DB56B12" w:rsidR="00D65CB4" w:rsidRPr="00BC4EE7" w:rsidRDefault="00572307">
            <w:pPr>
              <w:pStyle w:val="P68B1DB1-Normal12"/>
              <w:spacing w:after="0"/>
              <w:jc w:val="center"/>
              <w:rPr>
                <w:rFonts w:eastAsia="Times New Roman" w:cs="Times New Roman"/>
                <w:noProof/>
              </w:rPr>
            </w:pPr>
            <w:r w:rsidRPr="00BC4EE7">
              <w:rPr>
                <w:rFonts w:cs="Times New Roman"/>
                <w:noProof/>
              </w:rPr>
              <w:t>A vonatkozó jogi eszköz(ek) hatálybalépése</w:t>
            </w:r>
          </w:p>
        </w:tc>
        <w:tc>
          <w:tcPr>
            <w:tcW w:w="581" w:type="dxa"/>
            <w:tcBorders>
              <w:top w:val="single" w:sz="4" w:space="0" w:color="auto"/>
              <w:left w:val="single" w:sz="4" w:space="0" w:color="auto"/>
              <w:bottom w:val="single" w:sz="4" w:space="0" w:color="auto"/>
              <w:right w:val="single" w:sz="4" w:space="0" w:color="auto"/>
            </w:tcBorders>
            <w:shd w:val="clear" w:color="auto" w:fill="C6EFCE"/>
            <w:noWrap/>
          </w:tcPr>
          <w:p w14:paraId="6A592B4A" w14:textId="63D994BD" w:rsidR="00D65CB4" w:rsidRPr="00BC4EE7" w:rsidRDefault="00D65CB4">
            <w:pPr>
              <w:spacing w:after="0"/>
              <w:jc w:val="center"/>
              <w:rPr>
                <w:rFonts w:ascii="Times New Roman" w:eastAsia="Times New Roman" w:hAnsi="Times New Roman" w:cs="Times New Roman"/>
                <w:noProof/>
                <w:sz w:val="18"/>
              </w:rPr>
            </w:pPr>
          </w:p>
        </w:tc>
        <w:tc>
          <w:tcPr>
            <w:tcW w:w="958" w:type="dxa"/>
            <w:tcBorders>
              <w:top w:val="single" w:sz="4" w:space="0" w:color="auto"/>
              <w:left w:val="single" w:sz="4" w:space="0" w:color="auto"/>
              <w:bottom w:val="single" w:sz="4" w:space="0" w:color="auto"/>
              <w:right w:val="single" w:sz="4" w:space="0" w:color="auto"/>
            </w:tcBorders>
            <w:shd w:val="clear" w:color="auto" w:fill="C6EFCE"/>
            <w:noWrap/>
          </w:tcPr>
          <w:p w14:paraId="79DEAE24" w14:textId="2D2BF299" w:rsidR="00D65CB4" w:rsidRPr="00BC4EE7" w:rsidRDefault="00D65CB4">
            <w:pPr>
              <w:spacing w:after="0"/>
              <w:jc w:val="right"/>
              <w:rPr>
                <w:rFonts w:ascii="Times New Roman" w:eastAsia="Times New Roman" w:hAnsi="Times New Roman" w:cs="Times New Roman"/>
                <w:noProof/>
                <w:sz w:val="18"/>
              </w:rPr>
            </w:pPr>
          </w:p>
        </w:tc>
        <w:tc>
          <w:tcPr>
            <w:tcW w:w="538" w:type="dxa"/>
            <w:tcBorders>
              <w:top w:val="single" w:sz="4" w:space="0" w:color="auto"/>
              <w:left w:val="single" w:sz="4" w:space="0" w:color="auto"/>
              <w:bottom w:val="single" w:sz="4" w:space="0" w:color="auto"/>
              <w:right w:val="single" w:sz="4" w:space="0" w:color="auto"/>
            </w:tcBorders>
            <w:shd w:val="clear" w:color="auto" w:fill="C6EFCE"/>
            <w:noWrap/>
          </w:tcPr>
          <w:p w14:paraId="6ECB895F" w14:textId="0A06AC8E" w:rsidR="00D65CB4" w:rsidRPr="00BC4EE7" w:rsidRDefault="00D65CB4">
            <w:pPr>
              <w:spacing w:after="0"/>
              <w:jc w:val="right"/>
              <w:rPr>
                <w:rFonts w:ascii="Times New Roman" w:eastAsia="Times New Roman" w:hAnsi="Times New Roman" w:cs="Times New Roman"/>
                <w:noProof/>
                <w:sz w:val="18"/>
              </w:rPr>
            </w:pP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1161E9BD" w14:textId="5CFF78C8" w:rsidR="00D65CB4" w:rsidRPr="00BC4EE7" w:rsidRDefault="00572307">
            <w:pPr>
              <w:pStyle w:val="P68B1DB1-Normal12"/>
              <w:spacing w:after="0"/>
              <w:jc w:val="center"/>
              <w:rPr>
                <w:rFonts w:eastAsia="Times New Roman" w:cs="Times New Roman"/>
                <w:noProof/>
              </w:rPr>
            </w:pPr>
            <w:r w:rsidRPr="00BC4EE7">
              <w:rPr>
                <w:rFonts w:cs="Times New Roman"/>
                <w:noProof/>
              </w:rPr>
              <w:t>Q3</w:t>
            </w:r>
          </w:p>
        </w:tc>
        <w:tc>
          <w:tcPr>
            <w:tcW w:w="486" w:type="dxa"/>
            <w:tcBorders>
              <w:top w:val="single" w:sz="4" w:space="0" w:color="auto"/>
              <w:left w:val="single" w:sz="4" w:space="0" w:color="auto"/>
              <w:bottom w:val="single" w:sz="4" w:space="0" w:color="auto"/>
              <w:right w:val="single" w:sz="4" w:space="0" w:color="auto"/>
            </w:tcBorders>
            <w:shd w:val="clear" w:color="auto" w:fill="C6EFCE"/>
            <w:noWrap/>
          </w:tcPr>
          <w:p w14:paraId="7450C49C" w14:textId="55D6ECE2" w:rsidR="00D65CB4" w:rsidRPr="00BC4EE7" w:rsidRDefault="00572307">
            <w:pPr>
              <w:pStyle w:val="P68B1DB1-Normal12"/>
              <w:spacing w:after="0"/>
              <w:jc w:val="center"/>
              <w:rPr>
                <w:rFonts w:eastAsia="Times New Roman" w:cs="Times New Roman"/>
                <w:noProof/>
              </w:rPr>
            </w:pPr>
            <w:r w:rsidRPr="00BC4EE7">
              <w:rPr>
                <w:rFonts w:cs="Times New Roman"/>
                <w:noProof/>
              </w:rPr>
              <w:t>2024</w:t>
            </w:r>
          </w:p>
        </w:tc>
        <w:tc>
          <w:tcPr>
            <w:tcW w:w="6650" w:type="dxa"/>
            <w:gridSpan w:val="2"/>
            <w:tcBorders>
              <w:top w:val="single" w:sz="4" w:space="0" w:color="auto"/>
              <w:left w:val="single" w:sz="4" w:space="0" w:color="auto"/>
              <w:bottom w:val="single" w:sz="4" w:space="0" w:color="auto"/>
              <w:right w:val="single" w:sz="4" w:space="0" w:color="auto"/>
            </w:tcBorders>
            <w:shd w:val="clear" w:color="auto" w:fill="C6EFCE"/>
            <w:noWrap/>
          </w:tcPr>
          <w:p w14:paraId="5993836A" w14:textId="5DADA110" w:rsidR="00D65CB4" w:rsidRPr="00BC4EE7" w:rsidRDefault="00572307">
            <w:pPr>
              <w:pStyle w:val="P68B1DB1-Normal12"/>
              <w:spacing w:after="0"/>
              <w:rPr>
                <w:rStyle w:val="normaltextrun"/>
                <w:rFonts w:cs="Times New Roman"/>
                <w:noProof/>
              </w:rPr>
            </w:pPr>
            <w:r w:rsidRPr="00BC4EE7">
              <w:rPr>
                <w:rFonts w:cs="Times New Roman"/>
                <w:noProof/>
              </w:rPr>
              <w:t>A támogatási programot az intézkedés leírásában meghatározott követelményekkel összhangban létrehozó jogi eszköz(ök) hatálybalépése.</w:t>
            </w:r>
          </w:p>
        </w:tc>
      </w:tr>
      <w:tr w:rsidR="00D65CB4" w:rsidRPr="00BC4EE7" w14:paraId="53F0675F" w14:textId="77777777" w:rsidTr="00572307">
        <w:trPr>
          <w:trHeight w:val="309"/>
        </w:trPr>
        <w:tc>
          <w:tcPr>
            <w:tcW w:w="789" w:type="dxa"/>
            <w:tcBorders>
              <w:top w:val="single" w:sz="4" w:space="0" w:color="auto"/>
              <w:left w:val="single" w:sz="4" w:space="0" w:color="auto"/>
              <w:bottom w:val="single" w:sz="4" w:space="0" w:color="auto"/>
              <w:right w:val="single" w:sz="4" w:space="0" w:color="auto"/>
            </w:tcBorders>
            <w:shd w:val="clear" w:color="auto" w:fill="C6EFCE"/>
            <w:noWrap/>
          </w:tcPr>
          <w:p w14:paraId="34AD2FF7" w14:textId="137951C1" w:rsidR="00D65CB4" w:rsidRPr="00BC4EE7" w:rsidRDefault="00572307">
            <w:pPr>
              <w:spacing w:after="0"/>
              <w:jc w:val="center"/>
              <w:rPr>
                <w:rFonts w:ascii="Times New Roman" w:eastAsia="Times New Roman" w:hAnsi="Times New Roman" w:cs="Times New Roman"/>
                <w:noProof/>
                <w:sz w:val="18"/>
              </w:rPr>
            </w:pPr>
            <w:r w:rsidRPr="00BC4EE7">
              <w:rPr>
                <w:rStyle w:val="normaltextrun"/>
                <w:rFonts w:ascii="Times New Roman" w:hAnsi="Times New Roman" w:cs="Times New Roman"/>
                <w:noProof/>
                <w:sz w:val="18"/>
              </w:rPr>
              <w:t>496</w:t>
            </w:r>
          </w:p>
        </w:tc>
        <w:tc>
          <w:tcPr>
            <w:tcW w:w="913" w:type="dxa"/>
            <w:tcBorders>
              <w:top w:val="single" w:sz="4" w:space="0" w:color="auto"/>
              <w:left w:val="single" w:sz="4" w:space="0" w:color="auto"/>
              <w:bottom w:val="single" w:sz="4" w:space="0" w:color="auto"/>
              <w:right w:val="single" w:sz="4" w:space="0" w:color="auto"/>
            </w:tcBorders>
            <w:shd w:val="clear" w:color="auto" w:fill="C6EFCE"/>
            <w:noWrap/>
          </w:tcPr>
          <w:p w14:paraId="7315F882" w14:textId="74E9207C" w:rsidR="00D65CB4" w:rsidRPr="00BC4EE7" w:rsidRDefault="00572307">
            <w:pPr>
              <w:pStyle w:val="P68B1DB1-Normal12"/>
              <w:spacing w:after="0"/>
              <w:jc w:val="center"/>
              <w:rPr>
                <w:rFonts w:eastAsia="Times New Roman" w:cs="Times New Roman"/>
                <w:noProof/>
              </w:rPr>
            </w:pPr>
            <w:r w:rsidRPr="00BC4EE7">
              <w:rPr>
                <w:rFonts w:cs="Times New Roman"/>
                <w:noProof/>
              </w:rPr>
              <w:t>C31.I6</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2CEB9501" w14:textId="2E902B83" w:rsidR="00D65CB4" w:rsidRPr="00BC4EE7" w:rsidRDefault="00572307">
            <w:pPr>
              <w:pStyle w:val="P68B1DB1-Normal12"/>
              <w:spacing w:after="0"/>
              <w:jc w:val="center"/>
              <w:rPr>
                <w:rFonts w:eastAsia="Times New Roman" w:cs="Times New Roman"/>
                <w:noProof/>
              </w:rPr>
            </w:pPr>
            <w:r w:rsidRPr="00BC4EE7">
              <w:rPr>
                <w:rFonts w:cs="Times New Roman"/>
                <w:noProof/>
              </w:rPr>
              <w:t>T</w:t>
            </w:r>
          </w:p>
        </w:tc>
        <w:tc>
          <w:tcPr>
            <w:tcW w:w="1957" w:type="dxa"/>
            <w:tcBorders>
              <w:top w:val="single" w:sz="4" w:space="0" w:color="auto"/>
              <w:left w:val="single" w:sz="4" w:space="0" w:color="auto"/>
              <w:bottom w:val="single" w:sz="4" w:space="0" w:color="auto"/>
              <w:right w:val="single" w:sz="4" w:space="0" w:color="auto"/>
            </w:tcBorders>
            <w:shd w:val="clear" w:color="auto" w:fill="C6EFCE"/>
            <w:noWrap/>
          </w:tcPr>
          <w:p w14:paraId="64C011EA" w14:textId="575FB635" w:rsidR="00D65CB4" w:rsidRPr="00BC4EE7" w:rsidRDefault="00572307">
            <w:pPr>
              <w:pStyle w:val="P68B1DB1-Normal12"/>
              <w:spacing w:after="0"/>
              <w:rPr>
                <w:rFonts w:eastAsia="Times New Roman" w:cs="Times New Roman"/>
                <w:noProof/>
              </w:rPr>
            </w:pPr>
            <w:r w:rsidRPr="00BC4EE7">
              <w:rPr>
                <w:rFonts w:cs="Times New Roman"/>
                <w:noProof/>
              </w:rPr>
              <w:t>Az ipari dekarbonizáció támogatási rendszere: A végső kedvezményezettekkel aláírt jogi megállapodások vagy a végső odaítélési határozatok közzététele</w:t>
            </w:r>
          </w:p>
        </w:tc>
        <w:tc>
          <w:tcPr>
            <w:tcW w:w="1173" w:type="dxa"/>
            <w:tcBorders>
              <w:top w:val="single" w:sz="4" w:space="0" w:color="auto"/>
              <w:left w:val="single" w:sz="4" w:space="0" w:color="auto"/>
              <w:bottom w:val="single" w:sz="4" w:space="0" w:color="auto"/>
              <w:right w:val="single" w:sz="4" w:space="0" w:color="auto"/>
            </w:tcBorders>
            <w:shd w:val="clear" w:color="auto" w:fill="C6EFCE"/>
            <w:noWrap/>
          </w:tcPr>
          <w:p w14:paraId="377C33F2" w14:textId="142B1ECA" w:rsidR="00D65CB4" w:rsidRPr="00BC4EE7" w:rsidRDefault="00572307">
            <w:pPr>
              <w:spacing w:after="0"/>
              <w:jc w:val="center"/>
              <w:rPr>
                <w:rFonts w:ascii="Times New Roman" w:eastAsia="Times New Roman" w:hAnsi="Times New Roman" w:cs="Times New Roman"/>
                <w:noProof/>
                <w:sz w:val="18"/>
              </w:rPr>
            </w:pPr>
            <w:r w:rsidRPr="00BC4EE7">
              <w:rPr>
                <w:rStyle w:val="normaltextrun"/>
                <w:rFonts w:ascii="Times New Roman" w:hAnsi="Times New Roman" w:cs="Times New Roman"/>
                <w:noProof/>
                <w:sz w:val="18"/>
              </w:rPr>
              <w:t>A közzétett jogi finanszírozási megállapodások vagy végleges odaítélési határozatok hatálybalépése</w:t>
            </w:r>
          </w:p>
        </w:tc>
        <w:tc>
          <w:tcPr>
            <w:tcW w:w="581" w:type="dxa"/>
            <w:tcBorders>
              <w:top w:val="single" w:sz="4" w:space="0" w:color="auto"/>
              <w:left w:val="single" w:sz="4" w:space="0" w:color="auto"/>
              <w:bottom w:val="single" w:sz="4" w:space="0" w:color="auto"/>
              <w:right w:val="single" w:sz="4" w:space="0" w:color="auto"/>
            </w:tcBorders>
            <w:shd w:val="clear" w:color="auto" w:fill="C6EFCE"/>
            <w:noWrap/>
          </w:tcPr>
          <w:p w14:paraId="32E1A102" w14:textId="4FC96852" w:rsidR="00D65CB4" w:rsidRPr="00BC4EE7" w:rsidRDefault="00D65CB4">
            <w:pPr>
              <w:spacing w:after="0"/>
              <w:jc w:val="center"/>
              <w:rPr>
                <w:rStyle w:val="eop"/>
                <w:rFonts w:ascii="Times New Roman" w:hAnsi="Times New Roman" w:cs="Times New Roman"/>
                <w:noProof/>
                <w:sz w:val="18"/>
              </w:rPr>
            </w:pPr>
          </w:p>
        </w:tc>
        <w:tc>
          <w:tcPr>
            <w:tcW w:w="958" w:type="dxa"/>
            <w:tcBorders>
              <w:top w:val="single" w:sz="4" w:space="0" w:color="auto"/>
              <w:left w:val="single" w:sz="4" w:space="0" w:color="auto"/>
              <w:bottom w:val="single" w:sz="4" w:space="0" w:color="auto"/>
              <w:right w:val="single" w:sz="4" w:space="0" w:color="auto"/>
            </w:tcBorders>
            <w:shd w:val="clear" w:color="auto" w:fill="C6EFCE"/>
            <w:noWrap/>
          </w:tcPr>
          <w:p w14:paraId="14EA9841" w14:textId="2F0F4DF5" w:rsidR="00D65CB4" w:rsidRPr="00BC4EE7" w:rsidRDefault="00572307">
            <w:pPr>
              <w:pStyle w:val="P68B1DB1-Normal12"/>
              <w:spacing w:after="0"/>
              <w:jc w:val="right"/>
              <w:rPr>
                <w:rStyle w:val="eop"/>
                <w:rFonts w:cs="Times New Roman"/>
                <w:noProof/>
              </w:rPr>
            </w:pPr>
            <w:r w:rsidRPr="00BC4EE7">
              <w:rPr>
                <w:rFonts w:cs="Times New Roman"/>
                <w:noProof/>
              </w:rPr>
              <w:t>0</w:t>
            </w:r>
          </w:p>
        </w:tc>
        <w:tc>
          <w:tcPr>
            <w:tcW w:w="538" w:type="dxa"/>
            <w:tcBorders>
              <w:top w:val="single" w:sz="4" w:space="0" w:color="auto"/>
              <w:left w:val="single" w:sz="4" w:space="0" w:color="auto"/>
              <w:bottom w:val="single" w:sz="4" w:space="0" w:color="auto"/>
              <w:right w:val="single" w:sz="4" w:space="0" w:color="auto"/>
            </w:tcBorders>
            <w:shd w:val="clear" w:color="auto" w:fill="C6EFCE"/>
            <w:noWrap/>
          </w:tcPr>
          <w:p w14:paraId="06DFB6E1" w14:textId="1B577234" w:rsidR="00D65CB4" w:rsidRPr="00BC4EE7" w:rsidRDefault="00572307">
            <w:pPr>
              <w:pStyle w:val="P68B1DB1-Normal12"/>
              <w:spacing w:after="0"/>
              <w:jc w:val="right"/>
              <w:rPr>
                <w:rStyle w:val="eop"/>
                <w:rFonts w:cs="Times New Roman"/>
                <w:noProof/>
              </w:rPr>
            </w:pPr>
            <w:r w:rsidRPr="00BC4EE7">
              <w:rPr>
                <w:rFonts w:cs="Times New Roman"/>
                <w:noProof/>
              </w:rPr>
              <w:t>100%-OS</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4F77913B" w14:textId="04C4F3AF" w:rsidR="00D65CB4" w:rsidRPr="00BC4EE7" w:rsidRDefault="00572307">
            <w:pPr>
              <w:pStyle w:val="P68B1DB1-Normal12"/>
              <w:spacing w:after="0"/>
              <w:jc w:val="center"/>
              <w:rPr>
                <w:rFonts w:eastAsia="Times New Roman" w:cs="Times New Roman"/>
                <w:noProof/>
              </w:rPr>
            </w:pPr>
            <w:r w:rsidRPr="00BC4EE7">
              <w:rPr>
                <w:rFonts w:cs="Times New Roman"/>
                <w:noProof/>
              </w:rPr>
              <w:t>Q3</w:t>
            </w:r>
          </w:p>
        </w:tc>
        <w:tc>
          <w:tcPr>
            <w:tcW w:w="486" w:type="dxa"/>
            <w:tcBorders>
              <w:top w:val="single" w:sz="4" w:space="0" w:color="auto"/>
              <w:left w:val="single" w:sz="4" w:space="0" w:color="auto"/>
              <w:bottom w:val="single" w:sz="4" w:space="0" w:color="auto"/>
              <w:right w:val="single" w:sz="4" w:space="0" w:color="auto"/>
            </w:tcBorders>
            <w:shd w:val="clear" w:color="auto" w:fill="C6EFCE"/>
            <w:noWrap/>
          </w:tcPr>
          <w:p w14:paraId="390B66D1" w14:textId="66A564EB" w:rsidR="00D65CB4" w:rsidRPr="00BC4EE7" w:rsidRDefault="00572307">
            <w:pPr>
              <w:pStyle w:val="P68B1DB1-Normal12"/>
              <w:spacing w:after="0"/>
              <w:jc w:val="center"/>
              <w:rPr>
                <w:rFonts w:eastAsia="Times New Roman" w:cs="Times New Roman"/>
                <w:noProof/>
              </w:rPr>
            </w:pPr>
            <w:r w:rsidRPr="00BC4EE7">
              <w:rPr>
                <w:rFonts w:cs="Times New Roman"/>
                <w:noProof/>
              </w:rPr>
              <w:t>2026</w:t>
            </w:r>
          </w:p>
        </w:tc>
        <w:tc>
          <w:tcPr>
            <w:tcW w:w="6650" w:type="dxa"/>
            <w:gridSpan w:val="2"/>
            <w:tcBorders>
              <w:top w:val="single" w:sz="4" w:space="0" w:color="auto"/>
              <w:left w:val="single" w:sz="4" w:space="0" w:color="auto"/>
              <w:bottom w:val="single" w:sz="4" w:space="0" w:color="auto"/>
              <w:right w:val="single" w:sz="4" w:space="0" w:color="auto"/>
            </w:tcBorders>
            <w:shd w:val="clear" w:color="auto" w:fill="C6EFCE"/>
            <w:noWrap/>
          </w:tcPr>
          <w:p w14:paraId="0574265D" w14:textId="69A6703D" w:rsidR="00D65CB4" w:rsidRPr="00BC4EE7" w:rsidRDefault="00572307">
            <w:pPr>
              <w:pStyle w:val="P68B1DB1-Normal12"/>
              <w:spacing w:after="0"/>
              <w:rPr>
                <w:rFonts w:eastAsia="Times New Roman" w:cs="Times New Roman"/>
                <w:noProof/>
              </w:rPr>
            </w:pPr>
            <w:r w:rsidRPr="00BC4EE7">
              <w:rPr>
                <w:rFonts w:cs="Times New Roman"/>
                <w:noProof/>
              </w:rPr>
              <w:t xml:space="preserve">A SEPIDES-eknek végleges odaítélési határozatokat kell közzétenniük, vagy jogi finanszírozási megállapodásokat kell kötniük a végső kedvezményezettekkel az RRF-beruházások 100%-ának a rendszerbe való felhasználásához szükséges összegről. A SEPIDES-nek biztosítania kell, hogy e finanszírozás legalább 40%-a a Helyreállítási és Rezilienciaépítési Eszközről szóló rendelet VI. mellékletében foglalt módszertan alkalmazásával hozzájáruljon az éghajlat-politikai célkitűzésekhez.  </w:t>
            </w:r>
          </w:p>
        </w:tc>
      </w:tr>
    </w:tbl>
    <w:p w14:paraId="0C2BD2FC" w14:textId="77777777" w:rsidR="00D65CB4" w:rsidRPr="00BC4EE7" w:rsidRDefault="00D65CB4">
      <w:pPr>
        <w:rPr>
          <w:rFonts w:ascii="Times New Roman" w:hAnsi="Times New Roman" w:cs="Times New Roman"/>
          <w:noProof/>
          <w:highlight w:val="yellow"/>
        </w:rPr>
        <w:sectPr w:rsidR="00D65CB4" w:rsidRPr="00BC4EE7" w:rsidSect="00B511EF">
          <w:headerReference w:type="even" r:id="rId598"/>
          <w:headerReference w:type="default" r:id="rId599"/>
          <w:footerReference w:type="even" r:id="rId600"/>
          <w:footerReference w:type="default" r:id="rId601"/>
          <w:headerReference w:type="first" r:id="rId602"/>
          <w:footerReference w:type="first" r:id="rId603"/>
          <w:pgSz w:w="16839" w:h="11907" w:orient="landscape"/>
          <w:pgMar w:top="1134" w:right="1134" w:bottom="1134" w:left="1134" w:header="567" w:footer="567" w:gutter="0"/>
          <w:cols w:space="720"/>
          <w:docGrid w:linePitch="360"/>
        </w:sectPr>
      </w:pPr>
    </w:p>
    <w:p w14:paraId="1B2ECE51" w14:textId="43168ACD" w:rsidR="00D65CB4" w:rsidRPr="00BC4EE7" w:rsidRDefault="00572307">
      <w:pPr>
        <w:ind w:firstLine="720"/>
        <w:rPr>
          <w:rFonts w:ascii="Times New Roman" w:hAnsi="Times New Roman" w:cs="Times New Roman"/>
          <w:b/>
          <w:noProof/>
          <w:u w:val="single"/>
        </w:rPr>
      </w:pPr>
      <w:r w:rsidRPr="00BC4EE7">
        <w:rPr>
          <w:rFonts w:ascii="Times New Roman" w:hAnsi="Times New Roman" w:cs="Times New Roman"/>
          <w:b/>
          <w:noProof/>
          <w:sz w:val="24"/>
          <w:u w:val="single"/>
        </w:rPr>
        <w:t>AE.3</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A hiteltámogatást célzó reformok és beruházások ismertetése</w:t>
      </w:r>
    </w:p>
    <w:p w14:paraId="12871D72" w14:textId="44C9D5EE" w:rsidR="00D65CB4" w:rsidRPr="00BC4EE7" w:rsidRDefault="00572307">
      <w:pPr>
        <w:pStyle w:val="P68B1DB1-Text119"/>
        <w:ind w:left="0"/>
        <w:rPr>
          <w:rFonts w:eastAsia="Times New Roman" w:cs="Times New Roman"/>
          <w:noProof/>
        </w:rPr>
      </w:pPr>
      <w:r w:rsidRPr="00BC4EE7">
        <w:rPr>
          <w:rFonts w:cs="Times New Roman"/>
          <w:noProof/>
        </w:rPr>
        <w:t>Beruházás (C31.I7.) – Az ipari dekarbonizációt támogató beruházások (hitelek)</w:t>
      </w:r>
    </w:p>
    <w:p w14:paraId="5351656B" w14:textId="08525698" w:rsidR="00D65CB4" w:rsidRPr="00BC4EE7" w:rsidRDefault="00572307">
      <w:pPr>
        <w:pStyle w:val="P68B1DB1-Normal4"/>
        <w:spacing w:before="120" w:after="120" w:line="240" w:lineRule="auto"/>
        <w:jc w:val="both"/>
        <w:rPr>
          <w:rFonts w:cs="Times New Roman"/>
          <w:noProof/>
        </w:rPr>
      </w:pPr>
      <w:r w:rsidRPr="00BC4EE7">
        <w:rPr>
          <w:rFonts w:cs="Times New Roman"/>
          <w:noProof/>
        </w:rPr>
        <w:t xml:space="preserve">Az ipari dekarbonizációra irányuló stratégiai projekt részét képező intézkedés célja, hogy hitelek formájában támogatást nyújtson a feldolgozóipar dekarbonizációját célzó projektekhez. Ez a beruházási intézkedés az alábbi három különböző cselekvési irányvonal legalább egyikéből áll: </w:t>
      </w:r>
    </w:p>
    <w:p w14:paraId="2900FDC7" w14:textId="0681C78E" w:rsidR="00D65CB4" w:rsidRPr="00BC4EE7" w:rsidRDefault="00572307">
      <w:pPr>
        <w:pStyle w:val="P68B1DB1-ListParagraph6"/>
        <w:numPr>
          <w:ilvl w:val="0"/>
          <w:numId w:val="635"/>
        </w:numPr>
        <w:spacing w:before="120" w:after="120" w:line="240" w:lineRule="auto"/>
        <w:jc w:val="both"/>
        <w:rPr>
          <w:rFonts w:cs="Times New Roman"/>
          <w:noProof/>
        </w:rPr>
      </w:pPr>
      <w:r w:rsidRPr="00BC4EE7">
        <w:rPr>
          <w:rFonts w:cs="Times New Roman"/>
          <w:noProof/>
        </w:rPr>
        <w:t>a feldolgozóipar dekarbonizációját végrehajtó projektekhez, például az ÜHG-kibocsátást csökkentő projektekhez nyújtott hitelek formájában nyújtott támogatás;</w:t>
      </w:r>
    </w:p>
    <w:p w14:paraId="3F0388F1" w14:textId="59D0BDB7" w:rsidR="00D65CB4" w:rsidRPr="00BC4EE7" w:rsidRDefault="00572307">
      <w:pPr>
        <w:pStyle w:val="P68B1DB1-ListParagraph23"/>
        <w:numPr>
          <w:ilvl w:val="0"/>
          <w:numId w:val="635"/>
        </w:numPr>
        <w:spacing w:before="120" w:after="120" w:line="240" w:lineRule="auto"/>
        <w:jc w:val="both"/>
        <w:rPr>
          <w:rFonts w:cs="Times New Roman"/>
          <w:noProof/>
          <w:sz w:val="24"/>
        </w:rPr>
      </w:pPr>
      <w:r w:rsidRPr="00BC4EE7">
        <w:rPr>
          <w:rFonts w:cs="Times New Roman"/>
          <w:noProof/>
          <w:sz w:val="24"/>
        </w:rPr>
        <w:t>kísérleti projekt befejezése, amely arra ösztönzi a vállalatokat, hogy magas járulékos költségekkel járó beruházásokat hajtsanak végre nagy ipari dekarbonizációs beruházási projektekbe és jelentős ÜHG-kibocsátáscsökkentésre</w:t>
      </w:r>
      <w:r w:rsidRPr="00BC4EE7">
        <w:rPr>
          <w:rFonts w:cs="Times New Roman"/>
          <w:noProof/>
        </w:rPr>
        <w:t xml:space="preserve"> </w:t>
      </w:r>
      <w:r w:rsidRPr="00BC4EE7">
        <w:rPr>
          <w:rFonts w:cs="Times New Roman"/>
          <w:noProof/>
          <w:sz w:val="24"/>
        </w:rPr>
        <w:t>azáltal, hogy egy adott időszakban rögzített szén-dioxid-árat fizetnek (karbonszerződés a különbözetekről); és</w:t>
      </w:r>
    </w:p>
    <w:p w14:paraId="064740CB" w14:textId="7A1D824F" w:rsidR="00D65CB4" w:rsidRPr="00BC4EE7" w:rsidRDefault="00572307">
      <w:pPr>
        <w:pStyle w:val="P68B1DB1-ListParagraph6"/>
        <w:numPr>
          <w:ilvl w:val="0"/>
          <w:numId w:val="635"/>
        </w:numPr>
        <w:spacing w:before="120" w:line="240" w:lineRule="auto"/>
        <w:jc w:val="both"/>
        <w:rPr>
          <w:rFonts w:cs="Times New Roman"/>
          <w:noProof/>
        </w:rPr>
      </w:pPr>
      <w:r w:rsidRPr="00BC4EE7">
        <w:rPr>
          <w:rFonts w:cs="Times New Roman"/>
          <w:noProof/>
        </w:rPr>
        <w:t>hitelek formájában nyújtott támogatás új, rendkívül hatékony és dekarbonizált gyártólétesítmények fejlesztéséhez.</w:t>
      </w:r>
    </w:p>
    <w:p w14:paraId="7DA59DDC" w14:textId="7885F78E" w:rsidR="00D65CB4" w:rsidRPr="00BC4EE7" w:rsidRDefault="00572307">
      <w:pPr>
        <w:pStyle w:val="Text1"/>
        <w:spacing w:after="160"/>
        <w:ind w:left="0"/>
        <w:rPr>
          <w:rFonts w:ascii="Times New Roman" w:hAnsi="Times New Roman" w:cs="Times New Roman"/>
          <w:noProof/>
        </w:rPr>
      </w:pPr>
      <w:r w:rsidRPr="00BC4EE7">
        <w:rPr>
          <w:rFonts w:ascii="Times New Roman" w:hAnsi="Times New Roman" w:cs="Times New Roman"/>
          <w:noProof/>
        </w:rPr>
        <w:t>Az ipar dekarbonizációjával foglalkozó PERTE-t jóváhagyó minisztertanácsi határozatnak részletes kiválasztási kritériumokat kell tartalmaznia a jelentős károkozás elkerülését célzó technikai iránymutatásnak (2021/C58/01) való megfelelés biztosítása érdekében. Annak biztosítása érdekében, hogy az intézkedés megfeleljen a jelentős károkozás elkerülését célzó elvről szóló technikai iránymutatásnak (2021/C58/01), a soron következő pályázati felhívásokra vonatkozó feladatmeghatározásban szereplő támogathatósági kritériumok nem tartalmazzák a tevékenységek alábbi listáját: i. az uniós kibocsátáskereskedelmi rendszer (ETS) keretében végzett olyan tevékenységek, amelyek az előrejelzett CO2-</w:t>
      </w:r>
      <w:r w:rsidRPr="00BC4EE7">
        <w:rPr>
          <w:rFonts w:ascii="Times New Roman" w:hAnsi="Times New Roman" w:cs="Times New Roman"/>
          <w:noProof/>
          <w:vertAlign w:val="subscript"/>
        </w:rPr>
        <w:t>egyenértéknek</w:t>
      </w:r>
      <w:r w:rsidRPr="00BC4EE7">
        <w:rPr>
          <w:rFonts w:ascii="Times New Roman" w:hAnsi="Times New Roman" w:cs="Times New Roman"/>
          <w:noProof/>
        </w:rPr>
        <w:t xml:space="preserve"> megfelelő kibocsátást érnek el, és amelyek nem alacsonyabbak lényegesen az ingyenes kiosztásra vonatkozó referenciaértékeknél</w:t>
      </w:r>
      <w:r w:rsidRPr="00BC4EE7">
        <w:rPr>
          <w:rStyle w:val="FootnoteReference"/>
          <w:rFonts w:ascii="Times New Roman" w:hAnsi="Times New Roman" w:cs="Times New Roman"/>
          <w:noProof/>
        </w:rPr>
        <w:footnoteReference w:id="236"/>
      </w:r>
      <w:r w:rsidRPr="00BC4EE7">
        <w:rPr>
          <w:rFonts w:ascii="Times New Roman" w:hAnsi="Times New Roman" w:cs="Times New Roman"/>
          <w:noProof/>
        </w:rPr>
        <w:t>; és ii. a fosszilis tüzelőanyagokkal kapcsolatos tevékenységek, beleértve a kibocsátáskereskedelmi rendszeren (ETS) kívüli downstream felhasználást is</w:t>
      </w:r>
      <w:r w:rsidRPr="00BC4EE7">
        <w:rPr>
          <w:rStyle w:val="FootnoteReference"/>
          <w:rFonts w:ascii="Times New Roman" w:hAnsi="Times New Roman" w:cs="Times New Roman"/>
          <w:noProof/>
        </w:rPr>
        <w:footnoteReference w:id="237"/>
      </w:r>
      <w:r w:rsidRPr="00BC4EE7">
        <w:rPr>
          <w:rFonts w:ascii="Times New Roman" w:hAnsi="Times New Roman" w:cs="Times New Roman"/>
          <w:noProof/>
        </w:rPr>
        <w:t xml:space="preserve">. A feladatmeghatározás előírja továbbá, hogy csak olyan tevékenységek választhatók ki, amelyek megfelelnek a vonatkozó uniós és nemzeti környezetvédelmi jogszabályoknak. </w:t>
      </w:r>
    </w:p>
    <w:p w14:paraId="55A5FFD9" w14:textId="77777777" w:rsidR="00D65CB4" w:rsidRPr="00BC4EE7" w:rsidRDefault="00572307">
      <w:pPr>
        <w:pStyle w:val="P68B1DB1-Text118"/>
        <w:ind w:left="0"/>
        <w:rPr>
          <w:rFonts w:cs="Times New Roman"/>
          <w:noProof/>
        </w:rPr>
      </w:pPr>
      <w:r w:rsidRPr="00BC4EE7">
        <w:rPr>
          <w:rFonts w:cs="Times New Roman"/>
          <w:noProof/>
        </w:rPr>
        <w:t xml:space="preserve">Az e beruházás keretében végrehajtott következő K+F+I tevékenységeket úgy kell tekinteni, hogy megfelelnek a jelentős károkozás elkerülését célzó technikai iránymutatásnak (2021/C58/01): E beruházás keretében a vállalatok környezeti fenntarthatóságának jelentős növelésére (például dekarbonizáció, szennyezéscsökkentés és körforgásos gazdaság) irányuló K+F+I tevékenységek, amennyiben az e beruházás keretében végrehajtott K+F+I tevékenységek elsődleges célja az ágazatban a lehető legkisebb környezeti hatással járó alternatívák kifejlesztése vagy kiigazítása. </w:t>
      </w:r>
    </w:p>
    <w:p w14:paraId="5C551CA5" w14:textId="0753E613" w:rsidR="00D65CB4" w:rsidRPr="00BC4EE7" w:rsidRDefault="00572307">
      <w:pPr>
        <w:pStyle w:val="Text1"/>
        <w:ind w:left="0"/>
        <w:rPr>
          <w:rFonts w:ascii="Times New Roman" w:hAnsi="Times New Roman" w:cs="Times New Roman"/>
          <w:noProof/>
        </w:rPr>
      </w:pPr>
      <w:r w:rsidRPr="00BC4EE7">
        <w:rPr>
          <w:rFonts w:ascii="Times New Roman" w:hAnsi="Times New Roman" w:cs="Times New Roman"/>
          <w:noProof/>
        </w:rPr>
        <w:t>A kiválasztási kritériumoknak biztosítaniuk kell, hogy legalább 260 000 000 EUR, amely az intézkedés becsült költségének 40%-át teszi ki, hozzájáruljon az éghajlatváltozással kapcsolatos célkitűzésekhez, a Helyreállítási és Rezilienciaépítési Eszközről szóló rendelet VI. mellékletével összhangban.</w:t>
      </w:r>
      <w:r w:rsidRPr="00BC4EE7">
        <w:rPr>
          <w:rStyle w:val="FootnoteReference"/>
          <w:rFonts w:ascii="Times New Roman" w:hAnsi="Times New Roman" w:cs="Times New Roman"/>
          <w:noProof/>
        </w:rPr>
        <w:footnoteReference w:id="238"/>
      </w:r>
    </w:p>
    <w:p w14:paraId="4838C699" w14:textId="5043D238" w:rsidR="00D65CB4" w:rsidRPr="00BC4EE7" w:rsidRDefault="00572307">
      <w:pPr>
        <w:pStyle w:val="P68B1DB1-Normal4"/>
        <w:rPr>
          <w:rFonts w:cs="Times New Roman"/>
          <w:noProof/>
        </w:rPr>
      </w:pPr>
      <w:r w:rsidRPr="00BC4EE7">
        <w:rPr>
          <w:rFonts w:cs="Times New Roman"/>
          <w:noProof/>
        </w:rPr>
        <w:t xml:space="preserve">A pénzügyi műveletekhez kapcsolódó visszaáramlásokat újra be kell fektetni az intézkedés ugyanazon szakpolitikai területén végzett új műveletekbe, kivéve, ha azokat a Helyreállítási és Rezilienciaépítési Eszköz keretében nyújtott hitel visszafizetésének fedezésére használják fel.  </w:t>
      </w:r>
    </w:p>
    <w:p w14:paraId="28CAC13E" w14:textId="77777777" w:rsidR="00D65CB4" w:rsidRPr="00BC4EE7" w:rsidRDefault="00572307">
      <w:pPr>
        <w:pStyle w:val="P68B1DB1-Normal4"/>
        <w:rPr>
          <w:rFonts w:cs="Times New Roman"/>
          <w:noProof/>
        </w:rPr>
      </w:pPr>
      <w:r w:rsidRPr="00BC4EE7">
        <w:rPr>
          <w:rFonts w:cs="Times New Roman"/>
          <w:noProof/>
        </w:rPr>
        <w:t xml:space="preserve">A beruházás végrehajtását 2026. augusztus 31-ig be kell fejezni. </w:t>
      </w:r>
    </w:p>
    <w:p w14:paraId="3315BCF6" w14:textId="7DB44A5B" w:rsidR="00D65CB4" w:rsidRPr="00BC4EE7" w:rsidRDefault="00572307">
      <w:pPr>
        <w:pStyle w:val="P68B1DB1-Normal5"/>
        <w:rPr>
          <w:rFonts w:cs="Times New Roman"/>
          <w:noProof/>
        </w:rPr>
      </w:pPr>
      <w:r w:rsidRPr="00BC4EE7">
        <w:rPr>
          <w:rFonts w:cs="Times New Roman"/>
          <w:noProof/>
        </w:rPr>
        <w:t>Beruházás (C31.I8) – A dekarbonizációs projektek támogatási rendszere (hitelek)</w:t>
      </w:r>
    </w:p>
    <w:p w14:paraId="65D0A169" w14:textId="0F94D258" w:rsidR="00D65CB4" w:rsidRPr="00BC4EE7" w:rsidRDefault="00572307">
      <w:pPr>
        <w:spacing w:before="120" w:after="120" w:line="240" w:lineRule="auto"/>
        <w:jc w:val="both"/>
        <w:rPr>
          <w:rStyle w:val="normaltextrun"/>
          <w:rFonts w:ascii="Times New Roman" w:eastAsia="Times New Roman" w:hAnsi="Times New Roman" w:cs="Times New Roman"/>
          <w:noProof/>
          <w:sz w:val="24"/>
        </w:rPr>
      </w:pPr>
      <w:r w:rsidRPr="00BC4EE7">
        <w:rPr>
          <w:rStyle w:val="normaltextrun"/>
          <w:rFonts w:ascii="Times New Roman" w:hAnsi="Times New Roman" w:cs="Times New Roman"/>
          <w:noProof/>
          <w:sz w:val="24"/>
        </w:rPr>
        <w:t xml:space="preserve">Ez az intézkedés egy olyan támogatási rendszerbe való beruházásból áll, amely hitelek révén ösztönzi az ipari dekarbonizációba történő magánberuházásokat. </w:t>
      </w:r>
    </w:p>
    <w:p w14:paraId="7B5EE69F" w14:textId="5B562C3F" w:rsidR="00D65CB4" w:rsidRPr="00BC4EE7" w:rsidRDefault="00572307">
      <w:pPr>
        <w:spacing w:before="120" w:after="120" w:line="240" w:lineRule="auto"/>
        <w:jc w:val="both"/>
        <w:rPr>
          <w:rStyle w:val="normaltextrun"/>
          <w:rFonts w:ascii="Times New Roman" w:eastAsia="Times New Roman" w:hAnsi="Times New Roman" w:cs="Times New Roman"/>
          <w:noProof/>
          <w:sz w:val="24"/>
        </w:rPr>
      </w:pPr>
      <w:r w:rsidRPr="00BC4EE7">
        <w:rPr>
          <w:rStyle w:val="normaltextrun"/>
          <w:rFonts w:ascii="Times New Roman" w:hAnsi="Times New Roman" w:cs="Times New Roman"/>
          <w:noProof/>
          <w:sz w:val="24"/>
        </w:rPr>
        <w:t>A rendszernek a Miniszterek Tanácsa által jóváhagyott, az ipar dekarbonizációjára irányuló stratégiai projekt keretében elő kell mozdítania az ipari folyamatok dekarbonizációját és az új, nagy hatékonyságú és dekarbonizált gyártólétesítmények fejlesztését a magánszektornak nyújtott hitelek révén. A Helyreállítási és Rezilienciaépítési Eszköz beruházásai alapján a támogatási program célja kezdetben legalább 1 050 000 000 EUR összegű hitelfinanszírozás biztosítása.</w:t>
      </w:r>
    </w:p>
    <w:p w14:paraId="02C26E08" w14:textId="0B59478B" w:rsidR="00D65CB4" w:rsidRPr="00BC4EE7" w:rsidRDefault="00572307">
      <w:pPr>
        <w:spacing w:before="120" w:after="120" w:line="240" w:lineRule="auto"/>
        <w:jc w:val="both"/>
        <w:rPr>
          <w:rStyle w:val="normaltextrun"/>
          <w:rFonts w:ascii="Times New Roman" w:eastAsia="Times New Roman" w:hAnsi="Times New Roman" w:cs="Times New Roman"/>
          <w:noProof/>
          <w:sz w:val="24"/>
        </w:rPr>
      </w:pPr>
      <w:r w:rsidRPr="00BC4EE7">
        <w:rPr>
          <w:rStyle w:val="normaltextrun"/>
          <w:rFonts w:ascii="Times New Roman" w:hAnsi="Times New Roman" w:cs="Times New Roman"/>
          <w:noProof/>
          <w:sz w:val="24"/>
        </w:rPr>
        <w:t>A rendszert végrehajtó partnerként a SEPIDES irányítja. A vonatkozó jogi aktus e beruházás végrehajtása érdekében a SEPIDES-t közvállalkozássá alakítja át (ez a Spanyolország helyreállítási és rezilienciaépítési terve 31. komponensének 6. beruházása keretében mérföldkő).</w:t>
      </w:r>
    </w:p>
    <w:p w14:paraId="7803E91E" w14:textId="77777777" w:rsidR="00D65CB4" w:rsidRPr="00BC4EE7" w:rsidRDefault="00572307">
      <w:pPr>
        <w:spacing w:before="120" w:after="120" w:line="240" w:lineRule="auto"/>
        <w:jc w:val="both"/>
        <w:rPr>
          <w:rStyle w:val="normaltextrun"/>
          <w:rFonts w:ascii="Times New Roman" w:eastAsia="Times New Roman" w:hAnsi="Times New Roman" w:cs="Times New Roman"/>
          <w:noProof/>
          <w:sz w:val="24"/>
        </w:rPr>
      </w:pPr>
      <w:r w:rsidRPr="00BC4EE7">
        <w:rPr>
          <w:rStyle w:val="normaltextrun"/>
          <w:rFonts w:ascii="Times New Roman" w:hAnsi="Times New Roman" w:cs="Times New Roman"/>
          <w:noProof/>
          <w:sz w:val="24"/>
        </w:rPr>
        <w:t xml:space="preserve">A programba történő beruházás végrehajtása érdekében a kormány a hitelprogramot létrehozó egy vagy több jogi eszközt fogad el, amelyek a következő elemeket tartalmazzák:  </w:t>
      </w:r>
    </w:p>
    <w:p w14:paraId="4913174A" w14:textId="7FD1AAA6" w:rsidR="00D65CB4" w:rsidRPr="00BC4EE7" w:rsidRDefault="00572307">
      <w:pPr>
        <w:pStyle w:val="ListParagraph"/>
        <w:numPr>
          <w:ilvl w:val="0"/>
          <w:numId w:val="772"/>
        </w:numPr>
        <w:spacing w:before="120" w:after="120" w:line="240" w:lineRule="auto"/>
        <w:jc w:val="both"/>
        <w:rPr>
          <w:rStyle w:val="normaltextrun"/>
          <w:rFonts w:ascii="Times New Roman" w:eastAsia="Times New Roman" w:hAnsi="Times New Roman" w:cs="Times New Roman"/>
          <w:noProof/>
          <w:sz w:val="24"/>
        </w:rPr>
      </w:pPr>
      <w:r w:rsidRPr="00BC4EE7">
        <w:rPr>
          <w:rStyle w:val="normaltextrun"/>
          <w:rFonts w:ascii="Times New Roman" w:hAnsi="Times New Roman" w:cs="Times New Roman"/>
          <w:noProof/>
          <w:sz w:val="24"/>
        </w:rPr>
        <w:t>A programra vonatkozó döntéshozatali eljárás leírása:</w:t>
      </w:r>
      <w:r w:rsidRPr="00BC4EE7">
        <w:rPr>
          <w:rFonts w:ascii="Times New Roman" w:hAnsi="Times New Roman" w:cs="Times New Roman"/>
          <w:noProof/>
        </w:rPr>
        <w:t xml:space="preserve"> </w:t>
      </w:r>
      <w:r w:rsidRPr="00BC4EE7">
        <w:rPr>
          <w:rFonts w:ascii="Times New Roman" w:hAnsi="Times New Roman" w:cs="Times New Roman"/>
          <w:noProof/>
          <w:sz w:val="24"/>
        </w:rPr>
        <w:t>A pályázatok értékelését és a program keretében a végleges odaítélési határozatokba vagy beruházási döntésekbe belefoglalandó kedvezményezettek kiválasztását beruházási bizottság vagy más, azzal egyenértékű irányító testület hozza meg, amelyet a spanyol kormánytól független tagok szavazatainak többségével kell jóváhagyni, azaz a SEPIDES által alkalmazott személyzetnek és/vagy más független szakértőknek kell lenniük. A program végleges beruházási döntése a beruházási bizottság vagy annak megfelelő irányító testület által javasolt beruházási döntéssel kapcsolatos (módosítás nélküli) jóváhagyásra vagy vétójog gyakorlására korlátozódik.</w:t>
      </w:r>
    </w:p>
    <w:p w14:paraId="7C71584E" w14:textId="69B2C721" w:rsidR="00D65CB4" w:rsidRPr="00BC4EE7" w:rsidRDefault="00572307">
      <w:pPr>
        <w:pStyle w:val="ListParagraph"/>
        <w:numPr>
          <w:ilvl w:val="0"/>
          <w:numId w:val="772"/>
        </w:numPr>
        <w:spacing w:before="120" w:after="120" w:line="240" w:lineRule="auto"/>
        <w:jc w:val="both"/>
        <w:rPr>
          <w:rStyle w:val="normaltextrun"/>
          <w:rFonts w:ascii="Times New Roman" w:eastAsia="Times New Roman" w:hAnsi="Times New Roman" w:cs="Times New Roman"/>
          <w:noProof/>
          <w:sz w:val="24"/>
        </w:rPr>
      </w:pPr>
      <w:r w:rsidRPr="00BC4EE7">
        <w:rPr>
          <w:rStyle w:val="normaltextrun"/>
          <w:rFonts w:ascii="Times New Roman" w:hAnsi="Times New Roman" w:cs="Times New Roman"/>
          <w:noProof/>
          <w:sz w:val="24"/>
        </w:rPr>
        <w:t>Az ágazat zöld és digitális átalakulására irányuló, támogatásra jogosult tevékenységek jegyzéke, amelynek összege legalább 1 050 000 000 EUR. Az intézkedés olyan innovatív projekteket támogat, amelyek az ágazat energiahatékonysága, fenntarthatósága és digitális átalakulása szempontjából jelentős ipari átalakulást eredményeznek.</w:t>
      </w:r>
    </w:p>
    <w:p w14:paraId="29ED13E9" w14:textId="31B89C66" w:rsidR="00D65CB4" w:rsidRPr="00BC4EE7" w:rsidRDefault="00572307">
      <w:pPr>
        <w:pStyle w:val="ListParagraph"/>
        <w:numPr>
          <w:ilvl w:val="0"/>
          <w:numId w:val="772"/>
        </w:numPr>
        <w:spacing w:before="120" w:after="120" w:line="240" w:lineRule="auto"/>
        <w:jc w:val="both"/>
        <w:rPr>
          <w:rStyle w:val="normaltextrun"/>
          <w:rFonts w:ascii="Times New Roman" w:eastAsia="Times New Roman" w:hAnsi="Times New Roman" w:cs="Times New Roman"/>
          <w:noProof/>
          <w:sz w:val="24"/>
        </w:rPr>
      </w:pPr>
      <w:r w:rsidRPr="00BC4EE7">
        <w:rPr>
          <w:rStyle w:val="normaltextrun"/>
          <w:rFonts w:ascii="Times New Roman" w:hAnsi="Times New Roman" w:cs="Times New Roman"/>
          <w:noProof/>
          <w:sz w:val="24"/>
        </w:rPr>
        <w:t>A jelentős károkozás elkerülését célzó elvnek való megfelelésre vonatkozó követelmények a Helyreállítási és Rezilienciaépítési Eszköz keretében, a DNSH technikai iránymutatásban (2021/C58/01) meghatározottak szerint. A jogi eszköz(ök) kizárja(k) különösen a következő tevékenységek listáját: i. az uniós kibocsátáskereskedelmi rendszer (ETS) keretében végzett olyan tevékenységek, amelyek az előrejelzett CO2-</w:t>
      </w:r>
      <w:r w:rsidRPr="00BC4EE7">
        <w:rPr>
          <w:rFonts w:ascii="Times New Roman" w:hAnsi="Times New Roman" w:cs="Times New Roman"/>
          <w:noProof/>
          <w:sz w:val="24"/>
          <w:vertAlign w:val="subscript"/>
        </w:rPr>
        <w:t>egyenértéknek</w:t>
      </w:r>
      <w:r w:rsidRPr="00BC4EE7">
        <w:rPr>
          <w:rFonts w:ascii="Times New Roman" w:hAnsi="Times New Roman" w:cs="Times New Roman"/>
          <w:noProof/>
          <w:sz w:val="24"/>
        </w:rPr>
        <w:t xml:space="preserve"> megfelelő kibocsátást érnek el, és amelyek nem alacsonyabbak lényegesen az ingyenes kiosztásra vonatkozó referenciaértékeknél</w:t>
      </w:r>
      <w:r w:rsidRPr="00BC4EE7">
        <w:rPr>
          <w:rStyle w:val="FootnoteReference"/>
          <w:rFonts w:ascii="Times New Roman" w:hAnsi="Times New Roman" w:cs="Times New Roman"/>
          <w:noProof/>
          <w:sz w:val="24"/>
        </w:rPr>
        <w:footnoteReference w:id="239"/>
      </w:r>
      <w:r w:rsidRPr="00BC4EE7">
        <w:rPr>
          <w:rFonts w:ascii="Times New Roman" w:hAnsi="Times New Roman" w:cs="Times New Roman"/>
          <w:noProof/>
          <w:sz w:val="24"/>
        </w:rPr>
        <w:t>; és ii. a fosszilis tüzelőanyagokkal kapcsolatos tevékenységek, beleértve a kibocsátáskereskedelmi rendszeren (ETS) kívüli downstream felhasználást is</w:t>
      </w:r>
      <w:r w:rsidRPr="00BC4EE7">
        <w:rPr>
          <w:rStyle w:val="FootnoteReference"/>
          <w:rFonts w:ascii="Times New Roman" w:hAnsi="Times New Roman" w:cs="Times New Roman"/>
          <w:noProof/>
          <w:sz w:val="24"/>
        </w:rPr>
        <w:footnoteReference w:id="240"/>
      </w:r>
      <w:r w:rsidRPr="00BC4EE7">
        <w:rPr>
          <w:rStyle w:val="normaltextrun"/>
          <w:rFonts w:ascii="Times New Roman" w:hAnsi="Times New Roman" w:cs="Times New Roman"/>
          <w:noProof/>
          <w:sz w:val="24"/>
        </w:rPr>
        <w:t>. Ezen túlmenően a jogi eszköz(ök)nek elő kell írniuk a hitelprogramok végső kedvezményezettjeinek a vonatkozó uniós és nemzeti környezetvédelmi jogszabályoknak való megfelelését. Az e beruházás keretében végrehajtott következő K+F+I tevékenységeket úgy kell tekinteni, hogy megfelelnek a jelentős károkozás elkerülését célzó technikai iránymutatásnak (2021/C58/01): E beruházás keretében a vállalatok környezeti fenntarthatóságának jelentős növelésére (például dekarbonizáció, szennyezéscsökkentés és körforgásos gazdaság) irányuló K+F+I tevékenységek, amennyiben az e beruházás keretében végrehajtott K+F+I tevékenységek elsődleges célja az ágazatban a lehető legkisebb környezeti hatással járó alternatívák kifejlesztése vagy kiigazítása. Ezen túlmenően a jogi eszköz(ök)nek elő kell írniuk a hitelprogramok végső kedvezményezettjeinek a vonatkozó uniós és nemzeti környezetvédelmi jogszabályoknak való megfelelését.</w:t>
      </w:r>
    </w:p>
    <w:p w14:paraId="0721A006" w14:textId="0A8E2B96" w:rsidR="00D65CB4" w:rsidRPr="00BC4EE7" w:rsidRDefault="00572307">
      <w:pPr>
        <w:pStyle w:val="ListParagraph"/>
        <w:numPr>
          <w:ilvl w:val="0"/>
          <w:numId w:val="772"/>
        </w:numPr>
        <w:spacing w:before="120" w:after="120" w:line="240" w:lineRule="auto"/>
        <w:jc w:val="both"/>
        <w:rPr>
          <w:rStyle w:val="normaltextrun"/>
          <w:rFonts w:ascii="Times New Roman" w:eastAsia="Times New Roman" w:hAnsi="Times New Roman" w:cs="Times New Roman"/>
          <w:noProof/>
          <w:sz w:val="24"/>
        </w:rPr>
      </w:pPr>
      <w:r w:rsidRPr="00BC4EE7">
        <w:rPr>
          <w:rStyle w:val="normaltextrun"/>
          <w:rFonts w:ascii="Times New Roman" w:hAnsi="Times New Roman" w:cs="Times New Roman"/>
          <w:noProof/>
          <w:sz w:val="24"/>
        </w:rPr>
        <w:t>Az éghajlatváltozással kapcsolatos beruházásokra vonatkozó követelmények: a Helyreállítási és Rezilienciaépítési Eszköz programba történő beruházásából legalább 420 000 000 EUR-nak a Helyreállítási és Rezilienciaépítési Eszközről szóló rendelet VI. mellékletével összhangban hozzá kell járulnia az éghajlatváltozással kapcsolatos célkitűzésekhez.</w:t>
      </w:r>
      <w:r w:rsidRPr="00BC4EE7">
        <w:rPr>
          <w:rStyle w:val="FootnoteReference"/>
          <w:rFonts w:ascii="Times New Roman" w:hAnsi="Times New Roman" w:cs="Times New Roman"/>
          <w:noProof/>
          <w:sz w:val="24"/>
        </w:rPr>
        <w:footnoteReference w:id="241"/>
      </w:r>
    </w:p>
    <w:p w14:paraId="3004B982" w14:textId="77777777" w:rsidR="00D65CB4" w:rsidRPr="00BC4EE7" w:rsidRDefault="00572307">
      <w:pPr>
        <w:pStyle w:val="ListParagraph"/>
        <w:numPr>
          <w:ilvl w:val="0"/>
          <w:numId w:val="772"/>
        </w:numPr>
        <w:spacing w:before="120" w:after="120" w:line="240" w:lineRule="auto"/>
        <w:jc w:val="both"/>
        <w:rPr>
          <w:rStyle w:val="normaltextrun"/>
          <w:rFonts w:ascii="Times New Roman" w:eastAsia="Times New Roman" w:hAnsi="Times New Roman" w:cs="Times New Roman"/>
          <w:noProof/>
          <w:sz w:val="24"/>
        </w:rPr>
      </w:pPr>
      <w:r w:rsidRPr="00BC4EE7">
        <w:rPr>
          <w:rStyle w:val="normaltextrun"/>
          <w:rFonts w:ascii="Times New Roman" w:hAnsi="Times New Roman" w:cs="Times New Roman"/>
          <w:noProof/>
          <w:sz w:val="24"/>
        </w:rPr>
        <w:t>Az a követelmény, hogy a hitelprogram végső kedvezményezettjei nem részesülhetnek támogatásban más uniós eszközökből ugyanazon költségek fedezésére.</w:t>
      </w:r>
    </w:p>
    <w:p w14:paraId="404D73F6" w14:textId="77777777" w:rsidR="00D65CB4" w:rsidRPr="00BC4EE7" w:rsidRDefault="00572307">
      <w:pPr>
        <w:pStyle w:val="ListParagraph"/>
        <w:numPr>
          <w:ilvl w:val="0"/>
          <w:numId w:val="772"/>
        </w:numPr>
        <w:spacing w:before="120" w:after="120" w:line="240" w:lineRule="auto"/>
        <w:jc w:val="both"/>
        <w:rPr>
          <w:rStyle w:val="normaltextrun"/>
          <w:rFonts w:ascii="Times New Roman" w:eastAsia="Times New Roman" w:hAnsi="Times New Roman" w:cs="Times New Roman"/>
          <w:noProof/>
          <w:sz w:val="24"/>
        </w:rPr>
      </w:pPr>
      <w:r w:rsidRPr="00BC4EE7">
        <w:rPr>
          <w:rStyle w:val="normaltextrun"/>
          <w:rFonts w:ascii="Times New Roman" w:hAnsi="Times New Roman" w:cs="Times New Roman"/>
          <w:noProof/>
          <w:sz w:val="24"/>
        </w:rPr>
        <w:t>A program által fedezett összeg és a hitelprogram fel nem használt bevételeinek a fent felsorolt tevékenységekbe való újbóli befektetésére vonatkozó követelmény, 2026 után is.</w:t>
      </w:r>
    </w:p>
    <w:p w14:paraId="6DCCFD46" w14:textId="77777777" w:rsidR="00D65CB4" w:rsidRPr="00BC4EE7" w:rsidRDefault="00572307">
      <w:pPr>
        <w:spacing w:before="120" w:after="120" w:line="240" w:lineRule="auto"/>
        <w:jc w:val="both"/>
        <w:rPr>
          <w:rStyle w:val="normaltextrun"/>
          <w:rFonts w:ascii="Times New Roman" w:eastAsia="Times New Roman" w:hAnsi="Times New Roman" w:cs="Times New Roman"/>
          <w:noProof/>
          <w:sz w:val="24"/>
        </w:rPr>
      </w:pPr>
      <w:r w:rsidRPr="00BC4EE7">
        <w:rPr>
          <w:rStyle w:val="normaltextrun"/>
          <w:rFonts w:ascii="Times New Roman" w:hAnsi="Times New Roman" w:cs="Times New Roman"/>
          <w:noProof/>
          <w:sz w:val="24"/>
        </w:rPr>
        <w:t>A beruházás végrehajtását 2026. augusztus 31-ig be kell fejezni.</w:t>
      </w:r>
    </w:p>
    <w:p w14:paraId="0F91CCEB" w14:textId="3D4C4E77" w:rsidR="00D65CB4" w:rsidRPr="00BC4EE7" w:rsidRDefault="00572307">
      <w:pPr>
        <w:spacing w:before="120" w:after="120" w:line="240" w:lineRule="auto"/>
        <w:ind w:left="720" w:hanging="720"/>
        <w:jc w:val="both"/>
        <w:rPr>
          <w:rFonts w:ascii="Times New Roman" w:eastAsia="Times New Roman" w:hAnsi="Times New Roman" w:cs="Times New Roman"/>
          <w:b/>
          <w:noProof/>
          <w:sz w:val="24"/>
          <w:u w:val="single"/>
        </w:rPr>
      </w:pPr>
      <w:r w:rsidRPr="00BC4EE7">
        <w:rPr>
          <w:rFonts w:ascii="Times New Roman" w:hAnsi="Times New Roman" w:cs="Times New Roman"/>
          <w:noProof/>
        </w:rPr>
        <w:tab/>
      </w:r>
      <w:r w:rsidRPr="00BC4EE7">
        <w:rPr>
          <w:rFonts w:ascii="Times New Roman" w:hAnsi="Times New Roman" w:cs="Times New Roman"/>
          <w:b/>
          <w:noProof/>
          <w:sz w:val="24"/>
          <w:u w:val="single"/>
        </w:rPr>
        <w:t>AE.4</w:t>
      </w:r>
      <w:r w:rsidRPr="00BC4EE7">
        <w:rPr>
          <w:rFonts w:ascii="Times New Roman" w:hAnsi="Times New Roman" w:cs="Times New Roman"/>
          <w:noProof/>
        </w:rPr>
        <w:t xml:space="preserve"> </w:t>
      </w:r>
      <w:r w:rsidRPr="00BC4EE7">
        <w:rPr>
          <w:rFonts w:ascii="Times New Roman" w:hAnsi="Times New Roman" w:cs="Times New Roman"/>
          <w:b/>
          <w:noProof/>
          <w:sz w:val="24"/>
          <w:u w:val="single"/>
        </w:rPr>
        <w:t>A hiteltámogatás nyomon követésére és végrehajtására vonatkozó mérföldkövek, célok, mutatók és ütemterv</w:t>
      </w:r>
    </w:p>
    <w:p w14:paraId="1D563C71" w14:textId="4CF0538D" w:rsidR="00D65CB4" w:rsidRPr="00BC4EE7" w:rsidRDefault="00572307">
      <w:pPr>
        <w:pStyle w:val="P68B1DB1-Normal17"/>
        <w:spacing w:before="120" w:after="120" w:line="240" w:lineRule="auto"/>
        <w:jc w:val="both"/>
        <w:rPr>
          <w:rFonts w:eastAsia="Times New Roman" w:cs="Times New Roman"/>
          <w:noProof/>
          <w:u w:val="single"/>
        </w:rPr>
        <w:sectPr w:rsidR="00D65CB4" w:rsidRPr="00BC4EE7" w:rsidSect="00B511EF">
          <w:headerReference w:type="even" r:id="rId604"/>
          <w:headerReference w:type="default" r:id="rId605"/>
          <w:footerReference w:type="even" r:id="rId606"/>
          <w:footerReference w:type="default" r:id="rId607"/>
          <w:headerReference w:type="first" r:id="rId608"/>
          <w:footerReference w:type="first" r:id="rId609"/>
          <w:pgSz w:w="11907" w:h="16839"/>
          <w:pgMar w:top="1134" w:right="1134" w:bottom="1134" w:left="1134" w:header="567" w:footer="567" w:gutter="0"/>
          <w:cols w:space="720"/>
          <w:docGrid w:linePitch="360"/>
        </w:sectPr>
      </w:pPr>
      <w:r w:rsidRPr="00BC4EE7">
        <w:rPr>
          <w:rFonts w:cs="Times New Roman"/>
          <w:noProof/>
        </w:rPr>
        <w:t xml:space="preserve">Táblázat alább. Az összes mutató esetében az alapforgatókönyv időpontja 2022. február 1., kivéve, ha az intézkedés leírása ettől eltérően rendelkezik. A táblázatban szereplő összegek nem tartalmazzák a héát.   </w:t>
      </w:r>
    </w:p>
    <w:tbl>
      <w:tblPr>
        <w:tblW w:w="15452"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51"/>
        <w:gridCol w:w="993"/>
        <w:gridCol w:w="992"/>
        <w:gridCol w:w="2063"/>
        <w:gridCol w:w="989"/>
        <w:gridCol w:w="653"/>
        <w:gridCol w:w="957"/>
        <w:gridCol w:w="548"/>
        <w:gridCol w:w="412"/>
        <w:gridCol w:w="548"/>
        <w:gridCol w:w="6446"/>
      </w:tblGrid>
      <w:tr w:rsidR="00D65CB4" w:rsidRPr="00BC4EE7" w14:paraId="4EAD7CF6" w14:textId="77777777" w:rsidTr="00572307">
        <w:trPr>
          <w:trHeight w:val="309"/>
          <w:tblHeader/>
        </w:trPr>
        <w:tc>
          <w:tcPr>
            <w:tcW w:w="851" w:type="dxa"/>
            <w:tcBorders>
              <w:bottom w:val="nil"/>
            </w:tcBorders>
            <w:shd w:val="clear" w:color="auto" w:fill="C6D9F1" w:themeFill="text2" w:themeFillTint="33"/>
            <w:noWrap/>
            <w:vAlign w:val="center"/>
          </w:tcPr>
          <w:p w14:paraId="42C73024" w14:textId="26117F03" w:rsidR="00D65CB4" w:rsidRPr="00BC4EE7" w:rsidRDefault="00572307">
            <w:pPr>
              <w:pStyle w:val="P68B1DB1-Normal8"/>
              <w:spacing w:after="0"/>
              <w:jc w:val="center"/>
              <w:rPr>
                <w:rFonts w:cs="Times New Roman"/>
                <w:noProof/>
              </w:rPr>
            </w:pPr>
            <w:r w:rsidRPr="00BC4EE7">
              <w:rPr>
                <w:rFonts w:cs="Times New Roman"/>
                <w:noProof/>
              </w:rPr>
              <w:t>Szám</w:t>
            </w:r>
          </w:p>
        </w:tc>
        <w:tc>
          <w:tcPr>
            <w:tcW w:w="993" w:type="dxa"/>
            <w:tcBorders>
              <w:bottom w:val="nil"/>
            </w:tcBorders>
            <w:shd w:val="clear" w:color="auto" w:fill="C6D9F1" w:themeFill="text2" w:themeFillTint="33"/>
            <w:noWrap/>
            <w:vAlign w:val="center"/>
          </w:tcPr>
          <w:p w14:paraId="6E8EA519" w14:textId="77777777" w:rsidR="00D65CB4" w:rsidRPr="00BC4EE7" w:rsidRDefault="00572307">
            <w:pPr>
              <w:pStyle w:val="P68B1DB1-Normal8"/>
              <w:spacing w:after="0"/>
              <w:jc w:val="center"/>
              <w:rPr>
                <w:rFonts w:cs="Times New Roman"/>
                <w:noProof/>
              </w:rPr>
            </w:pPr>
            <w:r w:rsidRPr="00BC4EE7">
              <w:rPr>
                <w:rFonts w:cs="Times New Roman"/>
                <w:noProof/>
              </w:rPr>
              <w:t>Intézkedés</w:t>
            </w:r>
          </w:p>
        </w:tc>
        <w:tc>
          <w:tcPr>
            <w:tcW w:w="992" w:type="dxa"/>
            <w:tcBorders>
              <w:bottom w:val="nil"/>
            </w:tcBorders>
            <w:shd w:val="clear" w:color="auto" w:fill="C6D9F1" w:themeFill="text2" w:themeFillTint="33"/>
            <w:noWrap/>
            <w:vAlign w:val="center"/>
          </w:tcPr>
          <w:p w14:paraId="7160AFFB" w14:textId="77777777" w:rsidR="00D65CB4" w:rsidRPr="00BC4EE7" w:rsidRDefault="00572307">
            <w:pPr>
              <w:spacing w:after="0"/>
              <w:jc w:val="center"/>
              <w:rPr>
                <w:rFonts w:ascii="Times New Roman" w:hAnsi="Times New Roman" w:cs="Times New Roman"/>
                <w:b/>
                <w:noProof/>
                <w:sz w:val="18"/>
              </w:rPr>
            </w:pPr>
            <w:r w:rsidRPr="00BC4EE7">
              <w:rPr>
                <w:rFonts w:ascii="Times New Roman" w:hAnsi="Times New Roman" w:cs="Times New Roman"/>
                <w:b/>
                <w:noProof/>
                <w:sz w:val="18"/>
              </w:rPr>
              <w:t>Mérföldkő</w:t>
            </w:r>
            <w:r w:rsidRPr="00BC4EE7">
              <w:rPr>
                <w:rFonts w:ascii="Times New Roman" w:hAnsi="Times New Roman" w:cs="Times New Roman"/>
                <w:noProof/>
              </w:rPr>
              <w:t xml:space="preserve"> </w:t>
            </w:r>
            <w:r w:rsidRPr="00BC4EE7">
              <w:rPr>
                <w:rFonts w:ascii="Times New Roman" w:hAnsi="Times New Roman" w:cs="Times New Roman"/>
                <w:noProof/>
              </w:rPr>
              <w:br/>
            </w:r>
            <w:r w:rsidRPr="00BC4EE7">
              <w:rPr>
                <w:rFonts w:ascii="Times New Roman" w:hAnsi="Times New Roman" w:cs="Times New Roman"/>
                <w:b/>
                <w:noProof/>
                <w:sz w:val="18"/>
              </w:rPr>
              <w:t xml:space="preserve"> /Cél</w:t>
            </w:r>
          </w:p>
        </w:tc>
        <w:tc>
          <w:tcPr>
            <w:tcW w:w="2063" w:type="dxa"/>
            <w:tcBorders>
              <w:bottom w:val="nil"/>
            </w:tcBorders>
            <w:shd w:val="clear" w:color="auto" w:fill="C6D9F1" w:themeFill="text2" w:themeFillTint="33"/>
            <w:noWrap/>
            <w:vAlign w:val="center"/>
          </w:tcPr>
          <w:p w14:paraId="254C32C9" w14:textId="77777777" w:rsidR="00D65CB4" w:rsidRPr="00BC4EE7" w:rsidRDefault="00572307">
            <w:pPr>
              <w:pStyle w:val="P68B1DB1-Normal8"/>
              <w:spacing w:after="0"/>
              <w:jc w:val="center"/>
              <w:rPr>
                <w:rFonts w:cs="Times New Roman"/>
                <w:noProof/>
              </w:rPr>
            </w:pPr>
            <w:r w:rsidRPr="00BC4EE7">
              <w:rPr>
                <w:rFonts w:cs="Times New Roman"/>
                <w:noProof/>
              </w:rPr>
              <w:t>Név</w:t>
            </w:r>
          </w:p>
        </w:tc>
        <w:tc>
          <w:tcPr>
            <w:tcW w:w="989" w:type="dxa"/>
            <w:tcBorders>
              <w:bottom w:val="nil"/>
            </w:tcBorders>
            <w:shd w:val="clear" w:color="auto" w:fill="C6D9F1" w:themeFill="text2" w:themeFillTint="33"/>
            <w:noWrap/>
            <w:vAlign w:val="center"/>
          </w:tcPr>
          <w:p w14:paraId="77451392" w14:textId="77777777" w:rsidR="00D65CB4" w:rsidRPr="00BC4EE7" w:rsidRDefault="00572307">
            <w:pPr>
              <w:pStyle w:val="P68B1DB1-Normal8"/>
              <w:spacing w:after="0"/>
              <w:jc w:val="center"/>
              <w:rPr>
                <w:rFonts w:cs="Times New Roman"/>
                <w:noProof/>
              </w:rPr>
            </w:pPr>
            <w:r w:rsidRPr="00BC4EE7">
              <w:rPr>
                <w:rFonts w:cs="Times New Roman"/>
                <w:noProof/>
              </w:rPr>
              <w:t>A mérföldkövek minőségi mutatója</w:t>
            </w:r>
          </w:p>
        </w:tc>
        <w:tc>
          <w:tcPr>
            <w:tcW w:w="2158" w:type="dxa"/>
            <w:gridSpan w:val="3"/>
            <w:shd w:val="clear" w:color="auto" w:fill="C6D9F1" w:themeFill="text2" w:themeFillTint="33"/>
            <w:noWrap/>
            <w:vAlign w:val="center"/>
          </w:tcPr>
          <w:p w14:paraId="300CBDFA" w14:textId="77777777" w:rsidR="00D65CB4" w:rsidRPr="00BC4EE7" w:rsidRDefault="00572307">
            <w:pPr>
              <w:pStyle w:val="P68B1DB1-Normal8"/>
              <w:spacing w:after="0"/>
              <w:jc w:val="center"/>
              <w:rPr>
                <w:rFonts w:cs="Times New Roman"/>
                <w:noProof/>
              </w:rPr>
            </w:pPr>
            <w:r w:rsidRPr="00BC4EE7">
              <w:rPr>
                <w:rFonts w:cs="Times New Roman"/>
                <w:noProof/>
              </w:rPr>
              <w:t>A célérték mennyiségi mutatója</w:t>
            </w:r>
          </w:p>
        </w:tc>
        <w:tc>
          <w:tcPr>
            <w:tcW w:w="960" w:type="dxa"/>
            <w:gridSpan w:val="2"/>
            <w:shd w:val="clear" w:color="auto" w:fill="C6D9F1" w:themeFill="text2" w:themeFillTint="33"/>
            <w:noWrap/>
            <w:vAlign w:val="center"/>
          </w:tcPr>
          <w:p w14:paraId="73E0F60F" w14:textId="77777777" w:rsidR="00D65CB4" w:rsidRPr="00BC4EE7" w:rsidRDefault="00572307">
            <w:pPr>
              <w:pStyle w:val="P68B1DB1-Normal8"/>
              <w:spacing w:after="0"/>
              <w:jc w:val="center"/>
              <w:rPr>
                <w:rFonts w:cs="Times New Roman"/>
                <w:noProof/>
              </w:rPr>
            </w:pPr>
            <w:r w:rsidRPr="00BC4EE7">
              <w:rPr>
                <w:rFonts w:cs="Times New Roman"/>
                <w:noProof/>
              </w:rPr>
              <w:t>Idő</w:t>
            </w:r>
          </w:p>
        </w:tc>
        <w:tc>
          <w:tcPr>
            <w:tcW w:w="6446" w:type="dxa"/>
            <w:tcBorders>
              <w:bottom w:val="nil"/>
            </w:tcBorders>
            <w:shd w:val="clear" w:color="auto" w:fill="C6D9F1" w:themeFill="text2" w:themeFillTint="33"/>
            <w:noWrap/>
            <w:vAlign w:val="center"/>
          </w:tcPr>
          <w:p w14:paraId="184CA047" w14:textId="77777777" w:rsidR="00D65CB4" w:rsidRPr="00BC4EE7" w:rsidRDefault="00572307">
            <w:pPr>
              <w:pStyle w:val="P68B1DB1-Normal8"/>
              <w:spacing w:after="0"/>
              <w:jc w:val="center"/>
              <w:rPr>
                <w:rFonts w:cs="Times New Roman"/>
                <w:noProof/>
              </w:rPr>
            </w:pPr>
            <w:r w:rsidRPr="00BC4EE7">
              <w:rPr>
                <w:rFonts w:cs="Times New Roman"/>
                <w:noProof/>
              </w:rPr>
              <w:t>Az egyes mérföldkövek és célértékek leírása</w:t>
            </w:r>
          </w:p>
        </w:tc>
      </w:tr>
      <w:tr w:rsidR="00D65CB4" w:rsidRPr="00BC4EE7" w14:paraId="0CD0749F" w14:textId="77777777" w:rsidTr="00572307">
        <w:trPr>
          <w:trHeight w:val="309"/>
          <w:tblHeader/>
        </w:trPr>
        <w:tc>
          <w:tcPr>
            <w:tcW w:w="851" w:type="dxa"/>
            <w:tcBorders>
              <w:top w:val="nil"/>
            </w:tcBorders>
            <w:shd w:val="clear" w:color="auto" w:fill="C6D9F1" w:themeFill="text2" w:themeFillTint="33"/>
            <w:noWrap/>
          </w:tcPr>
          <w:p w14:paraId="709FD9E8" w14:textId="77777777" w:rsidR="00D65CB4" w:rsidRPr="00BC4EE7" w:rsidRDefault="00D65CB4">
            <w:pPr>
              <w:spacing w:after="0"/>
              <w:jc w:val="center"/>
              <w:rPr>
                <w:rFonts w:ascii="Times New Roman" w:hAnsi="Times New Roman" w:cs="Times New Roman"/>
                <w:b/>
                <w:noProof/>
                <w:sz w:val="18"/>
              </w:rPr>
            </w:pPr>
          </w:p>
        </w:tc>
        <w:tc>
          <w:tcPr>
            <w:tcW w:w="993" w:type="dxa"/>
            <w:tcBorders>
              <w:top w:val="nil"/>
            </w:tcBorders>
            <w:shd w:val="clear" w:color="auto" w:fill="C6D9F1" w:themeFill="text2" w:themeFillTint="33"/>
            <w:noWrap/>
          </w:tcPr>
          <w:p w14:paraId="3F7792BE" w14:textId="77777777" w:rsidR="00D65CB4" w:rsidRPr="00BC4EE7" w:rsidRDefault="00D65CB4">
            <w:pPr>
              <w:spacing w:after="0"/>
              <w:jc w:val="center"/>
              <w:rPr>
                <w:rFonts w:ascii="Times New Roman" w:hAnsi="Times New Roman" w:cs="Times New Roman"/>
                <w:b/>
                <w:noProof/>
                <w:sz w:val="18"/>
              </w:rPr>
            </w:pPr>
          </w:p>
        </w:tc>
        <w:tc>
          <w:tcPr>
            <w:tcW w:w="992" w:type="dxa"/>
            <w:tcBorders>
              <w:top w:val="nil"/>
            </w:tcBorders>
            <w:shd w:val="clear" w:color="auto" w:fill="C6D9F1" w:themeFill="text2" w:themeFillTint="33"/>
            <w:noWrap/>
          </w:tcPr>
          <w:p w14:paraId="6945476E" w14:textId="77777777" w:rsidR="00D65CB4" w:rsidRPr="00BC4EE7" w:rsidRDefault="00D65CB4">
            <w:pPr>
              <w:spacing w:after="0"/>
              <w:jc w:val="center"/>
              <w:rPr>
                <w:rFonts w:ascii="Times New Roman" w:hAnsi="Times New Roman" w:cs="Times New Roman"/>
                <w:b/>
                <w:noProof/>
                <w:sz w:val="18"/>
              </w:rPr>
            </w:pPr>
          </w:p>
        </w:tc>
        <w:tc>
          <w:tcPr>
            <w:tcW w:w="2063" w:type="dxa"/>
            <w:tcBorders>
              <w:top w:val="nil"/>
            </w:tcBorders>
            <w:shd w:val="clear" w:color="auto" w:fill="C6D9F1" w:themeFill="text2" w:themeFillTint="33"/>
            <w:noWrap/>
          </w:tcPr>
          <w:p w14:paraId="21D240F2" w14:textId="77777777" w:rsidR="00D65CB4" w:rsidRPr="00BC4EE7" w:rsidRDefault="00D65CB4">
            <w:pPr>
              <w:spacing w:after="0"/>
              <w:rPr>
                <w:rFonts w:ascii="Times New Roman" w:hAnsi="Times New Roman" w:cs="Times New Roman"/>
                <w:b/>
                <w:noProof/>
                <w:sz w:val="18"/>
              </w:rPr>
            </w:pPr>
          </w:p>
        </w:tc>
        <w:tc>
          <w:tcPr>
            <w:tcW w:w="989" w:type="dxa"/>
            <w:tcBorders>
              <w:top w:val="nil"/>
            </w:tcBorders>
            <w:shd w:val="clear" w:color="auto" w:fill="C6D9F1" w:themeFill="text2" w:themeFillTint="33"/>
            <w:noWrap/>
          </w:tcPr>
          <w:p w14:paraId="1A1252AB" w14:textId="77777777" w:rsidR="00D65CB4" w:rsidRPr="00BC4EE7" w:rsidRDefault="00D65CB4">
            <w:pPr>
              <w:spacing w:after="0"/>
              <w:jc w:val="center"/>
              <w:rPr>
                <w:rFonts w:ascii="Times New Roman" w:hAnsi="Times New Roman" w:cs="Times New Roman"/>
                <w:b/>
                <w:noProof/>
                <w:sz w:val="18"/>
              </w:rPr>
            </w:pPr>
          </w:p>
        </w:tc>
        <w:tc>
          <w:tcPr>
            <w:tcW w:w="653" w:type="dxa"/>
            <w:shd w:val="clear" w:color="auto" w:fill="C6D9F1" w:themeFill="text2" w:themeFillTint="33"/>
            <w:noWrap/>
          </w:tcPr>
          <w:p w14:paraId="4BFA19ED" w14:textId="77777777" w:rsidR="00D65CB4" w:rsidRPr="00BC4EE7" w:rsidRDefault="00572307">
            <w:pPr>
              <w:pStyle w:val="P68B1DB1-Normal8"/>
              <w:spacing w:after="0"/>
              <w:jc w:val="center"/>
              <w:rPr>
                <w:rFonts w:cs="Times New Roman"/>
                <w:noProof/>
              </w:rPr>
            </w:pPr>
            <w:r w:rsidRPr="00BC4EE7">
              <w:rPr>
                <w:rFonts w:cs="Times New Roman"/>
                <w:noProof/>
              </w:rPr>
              <w:t>Egység</w:t>
            </w:r>
          </w:p>
        </w:tc>
        <w:tc>
          <w:tcPr>
            <w:tcW w:w="957" w:type="dxa"/>
            <w:shd w:val="clear" w:color="auto" w:fill="C6D9F1" w:themeFill="text2" w:themeFillTint="33"/>
            <w:noWrap/>
          </w:tcPr>
          <w:p w14:paraId="54C16E97" w14:textId="084261B2" w:rsidR="00D65CB4" w:rsidRPr="00BC4EE7" w:rsidRDefault="00572307">
            <w:pPr>
              <w:pStyle w:val="P68B1DB1-Normal8"/>
              <w:spacing w:after="0"/>
              <w:jc w:val="center"/>
              <w:rPr>
                <w:rFonts w:cs="Times New Roman"/>
                <w:noProof/>
              </w:rPr>
            </w:pPr>
            <w:r w:rsidRPr="00BC4EE7">
              <w:rPr>
                <w:rFonts w:cs="Times New Roman"/>
                <w:noProof/>
              </w:rPr>
              <w:t>Kiindulási</w:t>
            </w:r>
          </w:p>
        </w:tc>
        <w:tc>
          <w:tcPr>
            <w:tcW w:w="548" w:type="dxa"/>
            <w:shd w:val="clear" w:color="auto" w:fill="C6D9F1" w:themeFill="text2" w:themeFillTint="33"/>
            <w:noWrap/>
          </w:tcPr>
          <w:p w14:paraId="1BBC7A5D" w14:textId="77777777" w:rsidR="00D65CB4" w:rsidRPr="00BC4EE7" w:rsidRDefault="00572307">
            <w:pPr>
              <w:pStyle w:val="P68B1DB1-Normal8"/>
              <w:spacing w:after="0"/>
              <w:jc w:val="center"/>
              <w:rPr>
                <w:rFonts w:cs="Times New Roman"/>
                <w:noProof/>
              </w:rPr>
            </w:pPr>
            <w:r w:rsidRPr="00BC4EE7">
              <w:rPr>
                <w:rFonts w:cs="Times New Roman"/>
                <w:noProof/>
              </w:rPr>
              <w:t>Cél</w:t>
            </w:r>
          </w:p>
        </w:tc>
        <w:tc>
          <w:tcPr>
            <w:tcW w:w="412" w:type="dxa"/>
            <w:shd w:val="clear" w:color="auto" w:fill="C6D9F1" w:themeFill="text2" w:themeFillTint="33"/>
            <w:noWrap/>
          </w:tcPr>
          <w:p w14:paraId="28AEFDA8" w14:textId="77777777" w:rsidR="00D65CB4" w:rsidRPr="00BC4EE7" w:rsidRDefault="00572307">
            <w:pPr>
              <w:pStyle w:val="P68B1DB1-Normal8"/>
              <w:spacing w:after="0"/>
              <w:jc w:val="center"/>
              <w:rPr>
                <w:rFonts w:cs="Times New Roman"/>
                <w:noProof/>
              </w:rPr>
            </w:pPr>
            <w:r w:rsidRPr="00BC4EE7">
              <w:rPr>
                <w:rFonts w:cs="Times New Roman"/>
                <w:noProof/>
              </w:rPr>
              <w:t>Q</w:t>
            </w:r>
          </w:p>
        </w:tc>
        <w:tc>
          <w:tcPr>
            <w:tcW w:w="548" w:type="dxa"/>
            <w:shd w:val="clear" w:color="auto" w:fill="C6D9F1" w:themeFill="text2" w:themeFillTint="33"/>
            <w:noWrap/>
          </w:tcPr>
          <w:p w14:paraId="5C45CE87" w14:textId="77777777" w:rsidR="00D65CB4" w:rsidRPr="00BC4EE7" w:rsidRDefault="00572307">
            <w:pPr>
              <w:pStyle w:val="P68B1DB1-Normal8"/>
              <w:spacing w:after="0"/>
              <w:jc w:val="center"/>
              <w:rPr>
                <w:rFonts w:cs="Times New Roman"/>
                <w:noProof/>
              </w:rPr>
            </w:pPr>
            <w:r w:rsidRPr="00BC4EE7">
              <w:rPr>
                <w:rFonts w:cs="Times New Roman"/>
                <w:noProof/>
              </w:rPr>
              <w:t>Éve</w:t>
            </w:r>
          </w:p>
        </w:tc>
        <w:tc>
          <w:tcPr>
            <w:tcW w:w="6446" w:type="dxa"/>
            <w:tcBorders>
              <w:top w:val="nil"/>
            </w:tcBorders>
            <w:shd w:val="clear" w:color="auto" w:fill="C6D9F1" w:themeFill="text2" w:themeFillTint="33"/>
            <w:noWrap/>
          </w:tcPr>
          <w:p w14:paraId="7D10E93B" w14:textId="77777777" w:rsidR="00D65CB4" w:rsidRPr="00BC4EE7" w:rsidRDefault="00D65CB4">
            <w:pPr>
              <w:spacing w:after="0"/>
              <w:rPr>
                <w:rFonts w:ascii="Times New Roman" w:hAnsi="Times New Roman" w:cs="Times New Roman"/>
                <w:b/>
                <w:noProof/>
                <w:sz w:val="18"/>
              </w:rPr>
            </w:pPr>
          </w:p>
        </w:tc>
      </w:tr>
      <w:tr w:rsidR="00D65CB4" w:rsidRPr="00BC4EE7" w14:paraId="74F77746" w14:textId="77777777" w:rsidTr="00572307">
        <w:trPr>
          <w:trHeight w:val="309"/>
        </w:trPr>
        <w:tc>
          <w:tcPr>
            <w:tcW w:w="851" w:type="dxa"/>
            <w:shd w:val="clear" w:color="auto" w:fill="C6EFCE"/>
            <w:noWrap/>
          </w:tcPr>
          <w:p w14:paraId="3416B8BA" w14:textId="4BB83DDD" w:rsidR="00D65CB4" w:rsidRPr="00BC4EE7" w:rsidRDefault="00572307">
            <w:pPr>
              <w:pStyle w:val="P68B1DB1-Normal12"/>
              <w:spacing w:after="0"/>
              <w:jc w:val="center"/>
              <w:rPr>
                <w:rFonts w:eastAsia="Times New Roman" w:cs="Times New Roman"/>
                <w:noProof/>
              </w:rPr>
            </w:pPr>
            <w:r w:rsidRPr="00BC4EE7">
              <w:rPr>
                <w:rFonts w:cs="Times New Roman"/>
                <w:noProof/>
              </w:rPr>
              <w:t>L83</w:t>
            </w:r>
          </w:p>
        </w:tc>
        <w:tc>
          <w:tcPr>
            <w:tcW w:w="993" w:type="dxa"/>
            <w:shd w:val="clear" w:color="auto" w:fill="C6EFCE"/>
            <w:noWrap/>
          </w:tcPr>
          <w:p w14:paraId="66B97D8D"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 xml:space="preserve">C31.I7 </w:t>
            </w:r>
          </w:p>
        </w:tc>
        <w:tc>
          <w:tcPr>
            <w:tcW w:w="992" w:type="dxa"/>
            <w:shd w:val="clear" w:color="auto" w:fill="C6EFCE"/>
            <w:noWrap/>
          </w:tcPr>
          <w:p w14:paraId="75127D16"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2063" w:type="dxa"/>
            <w:shd w:val="clear" w:color="auto" w:fill="C6EFCE"/>
            <w:noWrap/>
          </w:tcPr>
          <w:p w14:paraId="6155A04A" w14:textId="77777777" w:rsidR="00D65CB4" w:rsidRPr="00BC4EE7" w:rsidRDefault="00572307">
            <w:pPr>
              <w:pStyle w:val="P68B1DB1-Normal12"/>
              <w:spacing w:after="0"/>
              <w:rPr>
                <w:rFonts w:eastAsia="Times New Roman" w:cs="Times New Roman"/>
                <w:noProof/>
              </w:rPr>
            </w:pPr>
            <w:r w:rsidRPr="00BC4EE7">
              <w:rPr>
                <w:rFonts w:cs="Times New Roman"/>
                <w:noProof/>
              </w:rPr>
              <w:t xml:space="preserve">Az ipar dekarbonizációjához nyújtott támogatásra vonatkozó felhívások és szabályok közzététele. </w:t>
            </w:r>
          </w:p>
        </w:tc>
        <w:tc>
          <w:tcPr>
            <w:tcW w:w="989" w:type="dxa"/>
            <w:shd w:val="clear" w:color="auto" w:fill="C6EFCE"/>
            <w:noWrap/>
          </w:tcPr>
          <w:p w14:paraId="2CF314EB"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Közzététel</w:t>
            </w:r>
          </w:p>
        </w:tc>
        <w:tc>
          <w:tcPr>
            <w:tcW w:w="653" w:type="dxa"/>
            <w:shd w:val="clear" w:color="auto" w:fill="C6EFCE"/>
            <w:noWrap/>
          </w:tcPr>
          <w:p w14:paraId="047653A4" w14:textId="77777777" w:rsidR="00D65CB4" w:rsidRPr="00BC4EE7" w:rsidRDefault="00D65CB4">
            <w:pPr>
              <w:spacing w:after="0"/>
              <w:jc w:val="center"/>
              <w:rPr>
                <w:rFonts w:ascii="Times New Roman" w:eastAsia="Times New Roman" w:hAnsi="Times New Roman" w:cs="Times New Roman"/>
                <w:noProof/>
                <w:sz w:val="18"/>
              </w:rPr>
            </w:pPr>
          </w:p>
        </w:tc>
        <w:tc>
          <w:tcPr>
            <w:tcW w:w="957" w:type="dxa"/>
            <w:shd w:val="clear" w:color="auto" w:fill="C6EFCE"/>
            <w:noWrap/>
          </w:tcPr>
          <w:p w14:paraId="4A736D01" w14:textId="77777777" w:rsidR="00D65CB4" w:rsidRPr="00BC4EE7" w:rsidRDefault="00D65CB4">
            <w:pPr>
              <w:spacing w:after="0"/>
              <w:jc w:val="right"/>
              <w:rPr>
                <w:rFonts w:ascii="Times New Roman" w:eastAsia="Times New Roman" w:hAnsi="Times New Roman" w:cs="Times New Roman"/>
                <w:noProof/>
                <w:sz w:val="18"/>
              </w:rPr>
            </w:pPr>
          </w:p>
        </w:tc>
        <w:tc>
          <w:tcPr>
            <w:tcW w:w="548" w:type="dxa"/>
            <w:shd w:val="clear" w:color="auto" w:fill="C6EFCE"/>
            <w:noWrap/>
          </w:tcPr>
          <w:p w14:paraId="4929A291" w14:textId="77777777" w:rsidR="00D65CB4" w:rsidRPr="00BC4EE7" w:rsidRDefault="00D65CB4">
            <w:pPr>
              <w:spacing w:after="0"/>
              <w:jc w:val="right"/>
              <w:rPr>
                <w:rFonts w:ascii="Times New Roman" w:eastAsia="Times New Roman" w:hAnsi="Times New Roman" w:cs="Times New Roman"/>
                <w:noProof/>
                <w:sz w:val="18"/>
              </w:rPr>
            </w:pPr>
          </w:p>
        </w:tc>
        <w:tc>
          <w:tcPr>
            <w:tcW w:w="412" w:type="dxa"/>
            <w:shd w:val="clear" w:color="auto" w:fill="C6EFCE"/>
            <w:noWrap/>
          </w:tcPr>
          <w:p w14:paraId="5D4E8165"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Q2</w:t>
            </w:r>
          </w:p>
        </w:tc>
        <w:tc>
          <w:tcPr>
            <w:tcW w:w="548" w:type="dxa"/>
            <w:shd w:val="clear" w:color="auto" w:fill="C6EFCE"/>
            <w:noWrap/>
          </w:tcPr>
          <w:p w14:paraId="27C6EF09"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2024</w:t>
            </w:r>
          </w:p>
        </w:tc>
        <w:tc>
          <w:tcPr>
            <w:tcW w:w="6446" w:type="dxa"/>
            <w:shd w:val="clear" w:color="auto" w:fill="C6EFCE"/>
            <w:noWrap/>
          </w:tcPr>
          <w:p w14:paraId="15CD02F7" w14:textId="6F092510" w:rsidR="00D65CB4" w:rsidRPr="00BC4EE7" w:rsidRDefault="00572307">
            <w:pPr>
              <w:pStyle w:val="P68B1DB1-Normal12"/>
              <w:spacing w:after="0"/>
              <w:rPr>
                <w:rFonts w:eastAsia="Times New Roman" w:cs="Times New Roman"/>
                <w:noProof/>
              </w:rPr>
            </w:pPr>
            <w:r w:rsidRPr="00BC4EE7">
              <w:rPr>
                <w:rFonts w:cs="Times New Roman"/>
                <w:noProof/>
              </w:rPr>
              <w:t>A pályázati felhívások jóváhagyása, valamint a feldolgozóipar dekarbonizációját és az új, nagy hatékonyságú és dekarbonizált gyártólétesítményekbe történő beruházások fejlesztését célzó projektekhez hitelek formájában nyújtott támogatásra irányadó szabályok. A pályázati felhívásoknak és a projektekhez hitel formájában nyújtott támogatásra vonatkozó szabályoknak biztosítaniuk kell, hogy az intézkedés megfeleljen a jelentős károkozás elkerülését célzó technikai iránymutatásnak (2021/C58/01) a kizárási lista, valamint a vonatkozó uniós és nemzeti környezetvédelmi jogszabályoknak való megfelelés követelménye révén.</w:t>
            </w:r>
          </w:p>
        </w:tc>
      </w:tr>
      <w:tr w:rsidR="00D65CB4" w:rsidRPr="00BC4EE7" w14:paraId="449C83AF" w14:textId="77777777" w:rsidTr="00572307">
        <w:trPr>
          <w:trHeight w:val="309"/>
        </w:trPr>
        <w:tc>
          <w:tcPr>
            <w:tcW w:w="851" w:type="dxa"/>
            <w:shd w:val="clear" w:color="auto" w:fill="C6EFCE"/>
            <w:noWrap/>
          </w:tcPr>
          <w:p w14:paraId="54A7A573" w14:textId="35259F8E" w:rsidR="00D65CB4" w:rsidRPr="00BC4EE7" w:rsidRDefault="00572307">
            <w:pPr>
              <w:pStyle w:val="P68B1DB1-Normal12"/>
              <w:spacing w:after="0"/>
              <w:jc w:val="center"/>
              <w:rPr>
                <w:rFonts w:eastAsia="Times New Roman" w:cs="Times New Roman"/>
                <w:noProof/>
              </w:rPr>
            </w:pPr>
            <w:r w:rsidRPr="00BC4EE7">
              <w:rPr>
                <w:rFonts w:cs="Times New Roman"/>
                <w:noProof/>
              </w:rPr>
              <w:t>L84</w:t>
            </w:r>
          </w:p>
        </w:tc>
        <w:tc>
          <w:tcPr>
            <w:tcW w:w="993" w:type="dxa"/>
            <w:shd w:val="clear" w:color="auto" w:fill="C6EFCE"/>
            <w:noWrap/>
          </w:tcPr>
          <w:p w14:paraId="3E8311B5"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C31.I7</w:t>
            </w:r>
          </w:p>
        </w:tc>
        <w:tc>
          <w:tcPr>
            <w:tcW w:w="992" w:type="dxa"/>
            <w:shd w:val="clear" w:color="auto" w:fill="C6EFCE"/>
            <w:noWrap/>
          </w:tcPr>
          <w:p w14:paraId="454B19EE" w14:textId="5C13FFBB" w:rsidR="00D65CB4" w:rsidRPr="00BC4EE7" w:rsidRDefault="00572307">
            <w:pPr>
              <w:pStyle w:val="P68B1DB1-Normal12"/>
              <w:spacing w:after="0"/>
              <w:jc w:val="center"/>
              <w:rPr>
                <w:rFonts w:eastAsia="Times New Roman" w:cs="Times New Roman"/>
                <w:noProof/>
              </w:rPr>
            </w:pPr>
            <w:r w:rsidRPr="00BC4EE7">
              <w:rPr>
                <w:rFonts w:cs="Times New Roman"/>
                <w:noProof/>
              </w:rPr>
              <w:t>T</w:t>
            </w:r>
          </w:p>
        </w:tc>
        <w:tc>
          <w:tcPr>
            <w:tcW w:w="2063" w:type="dxa"/>
            <w:shd w:val="clear" w:color="auto" w:fill="C6EFCE"/>
            <w:noWrap/>
          </w:tcPr>
          <w:p w14:paraId="6D2E9CBF" w14:textId="77777777" w:rsidR="00D65CB4" w:rsidRPr="00BC4EE7" w:rsidRDefault="00572307">
            <w:pPr>
              <w:pStyle w:val="P68B1DB1-Normal12"/>
              <w:spacing w:after="0"/>
              <w:rPr>
                <w:rFonts w:eastAsia="Times New Roman" w:cs="Times New Roman"/>
                <w:noProof/>
              </w:rPr>
            </w:pPr>
            <w:r w:rsidRPr="00BC4EE7">
              <w:rPr>
                <w:rFonts w:cs="Times New Roman"/>
                <w:noProof/>
              </w:rPr>
              <w:t>Szén-dioxid-mentesítési projektek díjának közzététele</w:t>
            </w:r>
          </w:p>
        </w:tc>
        <w:tc>
          <w:tcPr>
            <w:tcW w:w="989" w:type="dxa"/>
            <w:shd w:val="clear" w:color="auto" w:fill="C6EFCE"/>
            <w:noWrap/>
          </w:tcPr>
          <w:p w14:paraId="30402AB2" w14:textId="77777777" w:rsidR="00D65CB4" w:rsidRPr="00BC4EE7" w:rsidRDefault="00D65CB4">
            <w:pPr>
              <w:spacing w:after="0"/>
              <w:jc w:val="center"/>
              <w:rPr>
                <w:rFonts w:ascii="Times New Roman" w:eastAsia="Times New Roman" w:hAnsi="Times New Roman" w:cs="Times New Roman"/>
                <w:noProof/>
                <w:sz w:val="18"/>
              </w:rPr>
            </w:pPr>
          </w:p>
        </w:tc>
        <w:tc>
          <w:tcPr>
            <w:tcW w:w="653" w:type="dxa"/>
            <w:shd w:val="clear" w:color="auto" w:fill="C6EFCE"/>
            <w:noWrap/>
          </w:tcPr>
          <w:p w14:paraId="28B2CA4E" w14:textId="52D7AA0C" w:rsidR="00D65CB4" w:rsidRPr="00BC4EE7" w:rsidRDefault="00572307">
            <w:pPr>
              <w:pStyle w:val="P68B1DB1-Normal12"/>
              <w:spacing w:after="0"/>
              <w:jc w:val="center"/>
              <w:rPr>
                <w:rFonts w:eastAsia="Times New Roman" w:cs="Times New Roman"/>
                <w:noProof/>
              </w:rPr>
            </w:pPr>
            <w:r w:rsidRPr="00BC4EE7">
              <w:rPr>
                <w:rFonts w:cs="Times New Roman"/>
                <w:noProof/>
              </w:rPr>
              <w:t>Millió EUR</w:t>
            </w:r>
          </w:p>
        </w:tc>
        <w:tc>
          <w:tcPr>
            <w:tcW w:w="957" w:type="dxa"/>
            <w:shd w:val="clear" w:color="auto" w:fill="C6EFCE"/>
            <w:noWrap/>
          </w:tcPr>
          <w:p w14:paraId="6E07CB6E" w14:textId="77777777" w:rsidR="00D65CB4" w:rsidRPr="00BC4EE7" w:rsidRDefault="00572307">
            <w:pPr>
              <w:pStyle w:val="P68B1DB1-Normal12"/>
              <w:spacing w:after="0"/>
              <w:jc w:val="right"/>
              <w:rPr>
                <w:rFonts w:eastAsia="Times New Roman" w:cs="Times New Roman"/>
                <w:noProof/>
              </w:rPr>
            </w:pPr>
            <w:r w:rsidRPr="00BC4EE7">
              <w:rPr>
                <w:rFonts w:cs="Times New Roman"/>
                <w:noProof/>
              </w:rPr>
              <w:t>0</w:t>
            </w:r>
          </w:p>
        </w:tc>
        <w:tc>
          <w:tcPr>
            <w:tcW w:w="548" w:type="dxa"/>
            <w:shd w:val="clear" w:color="auto" w:fill="C6EFCE"/>
            <w:noWrap/>
          </w:tcPr>
          <w:p w14:paraId="3C142489" w14:textId="2A692C5B" w:rsidR="00D65CB4" w:rsidRPr="00BC4EE7" w:rsidRDefault="00572307">
            <w:pPr>
              <w:pStyle w:val="P68B1DB1-Normal12"/>
              <w:spacing w:after="0"/>
              <w:jc w:val="right"/>
              <w:rPr>
                <w:rFonts w:eastAsia="Times New Roman" w:cs="Times New Roman"/>
                <w:noProof/>
              </w:rPr>
            </w:pPr>
            <w:r w:rsidRPr="00BC4EE7">
              <w:rPr>
                <w:rFonts w:cs="Times New Roman"/>
                <w:noProof/>
              </w:rPr>
              <w:t xml:space="preserve">585 </w:t>
            </w:r>
          </w:p>
        </w:tc>
        <w:tc>
          <w:tcPr>
            <w:tcW w:w="412" w:type="dxa"/>
            <w:shd w:val="clear" w:color="auto" w:fill="C6EFCE"/>
            <w:noWrap/>
          </w:tcPr>
          <w:p w14:paraId="6BCA730F"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Q4</w:t>
            </w:r>
          </w:p>
        </w:tc>
        <w:tc>
          <w:tcPr>
            <w:tcW w:w="548" w:type="dxa"/>
            <w:shd w:val="clear" w:color="auto" w:fill="C6EFCE"/>
            <w:noWrap/>
          </w:tcPr>
          <w:p w14:paraId="50ACF7BD"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2024</w:t>
            </w:r>
          </w:p>
        </w:tc>
        <w:tc>
          <w:tcPr>
            <w:tcW w:w="6446" w:type="dxa"/>
            <w:shd w:val="clear" w:color="auto" w:fill="C6EFCE"/>
            <w:noWrap/>
          </w:tcPr>
          <w:p w14:paraId="56137C83" w14:textId="2699947F" w:rsidR="00D65CB4" w:rsidRPr="00BC4EE7" w:rsidRDefault="00572307">
            <w:pPr>
              <w:pStyle w:val="P68B1DB1-Normal12"/>
              <w:spacing w:after="0"/>
              <w:rPr>
                <w:rFonts w:eastAsia="Times New Roman" w:cs="Times New Roman"/>
                <w:noProof/>
              </w:rPr>
            </w:pPr>
            <w:r w:rsidRPr="00BC4EE7">
              <w:rPr>
                <w:rFonts w:cs="Times New Roman"/>
                <w:noProof/>
              </w:rPr>
              <w:t xml:space="preserve">Legalább 585 000 000 EUR-t ítéltek oda a végső kedvezményezetteknek (az összes forrás legalább 40%-a a Helyreállítási és Rezilienciaépítési Eszközről szóló rendelet VI. mellékletében szereplő módszertan alkalmazásával éghajlat-politikai célkitűzésekhez járul hozzá). </w:t>
            </w:r>
          </w:p>
        </w:tc>
      </w:tr>
      <w:tr w:rsidR="00D65CB4" w:rsidRPr="00BC4EE7" w14:paraId="446017A3" w14:textId="77777777" w:rsidTr="00572307">
        <w:trPr>
          <w:trHeight w:val="309"/>
        </w:trPr>
        <w:tc>
          <w:tcPr>
            <w:tcW w:w="851" w:type="dxa"/>
            <w:shd w:val="clear" w:color="auto" w:fill="C6EFCE"/>
            <w:noWrap/>
          </w:tcPr>
          <w:p w14:paraId="43749F19" w14:textId="2DF72407" w:rsidR="00D65CB4" w:rsidRPr="00BC4EE7" w:rsidRDefault="00572307">
            <w:pPr>
              <w:pStyle w:val="P68B1DB1-Normal12"/>
              <w:spacing w:after="0"/>
              <w:jc w:val="center"/>
              <w:rPr>
                <w:rFonts w:eastAsia="Times New Roman" w:cs="Times New Roman"/>
                <w:noProof/>
              </w:rPr>
            </w:pPr>
            <w:r w:rsidRPr="00BC4EE7">
              <w:rPr>
                <w:rFonts w:cs="Times New Roman"/>
                <w:noProof/>
              </w:rPr>
              <w:t>L85</w:t>
            </w:r>
          </w:p>
        </w:tc>
        <w:tc>
          <w:tcPr>
            <w:tcW w:w="993" w:type="dxa"/>
            <w:shd w:val="clear" w:color="auto" w:fill="C6EFCE"/>
            <w:noWrap/>
          </w:tcPr>
          <w:p w14:paraId="6C0869B5"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C31.I7</w:t>
            </w:r>
          </w:p>
        </w:tc>
        <w:tc>
          <w:tcPr>
            <w:tcW w:w="992" w:type="dxa"/>
            <w:shd w:val="clear" w:color="auto" w:fill="C6EFCE"/>
            <w:noWrap/>
          </w:tcPr>
          <w:p w14:paraId="19CC269D"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2063" w:type="dxa"/>
            <w:shd w:val="clear" w:color="auto" w:fill="C6EFCE"/>
            <w:noWrap/>
          </w:tcPr>
          <w:p w14:paraId="47F21134" w14:textId="41530ECA" w:rsidR="00D65CB4" w:rsidRPr="00BC4EE7" w:rsidRDefault="00572307">
            <w:pPr>
              <w:pStyle w:val="P68B1DB1-Normal12"/>
              <w:spacing w:after="0"/>
              <w:rPr>
                <w:rStyle w:val="eop"/>
                <w:rFonts w:cs="Times New Roman"/>
                <w:noProof/>
              </w:rPr>
            </w:pPr>
            <w:r w:rsidRPr="00BC4EE7">
              <w:rPr>
                <w:rFonts w:cs="Times New Roman"/>
                <w:noProof/>
              </w:rPr>
              <w:t>Dekarbonizációs projektek lezárása</w:t>
            </w:r>
          </w:p>
        </w:tc>
        <w:tc>
          <w:tcPr>
            <w:tcW w:w="989" w:type="dxa"/>
            <w:shd w:val="clear" w:color="auto" w:fill="C6EFCE"/>
            <w:noWrap/>
          </w:tcPr>
          <w:p w14:paraId="2C8ACC43" w14:textId="7BB2F7C0" w:rsidR="00D65CB4" w:rsidRPr="00BC4EE7" w:rsidRDefault="00572307">
            <w:pPr>
              <w:pStyle w:val="P68B1DB1-Normal12"/>
              <w:spacing w:after="0"/>
              <w:jc w:val="center"/>
              <w:rPr>
                <w:rFonts w:eastAsia="Times New Roman" w:cs="Times New Roman"/>
                <w:noProof/>
              </w:rPr>
            </w:pPr>
            <w:r w:rsidRPr="00BC4EE7">
              <w:rPr>
                <w:rFonts w:cs="Times New Roman"/>
                <w:noProof/>
              </w:rPr>
              <w:t>Teljesítési igazolás</w:t>
            </w:r>
          </w:p>
        </w:tc>
        <w:tc>
          <w:tcPr>
            <w:tcW w:w="653" w:type="dxa"/>
            <w:shd w:val="clear" w:color="auto" w:fill="C6EFCE"/>
            <w:noWrap/>
          </w:tcPr>
          <w:p w14:paraId="63CAEE0B" w14:textId="77777777" w:rsidR="00D65CB4" w:rsidRPr="00BC4EE7" w:rsidRDefault="00D65CB4">
            <w:pPr>
              <w:spacing w:after="0"/>
              <w:jc w:val="center"/>
              <w:rPr>
                <w:rFonts w:ascii="Times New Roman" w:eastAsia="Times New Roman" w:hAnsi="Times New Roman" w:cs="Times New Roman"/>
                <w:noProof/>
                <w:sz w:val="18"/>
              </w:rPr>
            </w:pPr>
          </w:p>
        </w:tc>
        <w:tc>
          <w:tcPr>
            <w:tcW w:w="957" w:type="dxa"/>
            <w:shd w:val="clear" w:color="auto" w:fill="C6EFCE"/>
            <w:noWrap/>
          </w:tcPr>
          <w:p w14:paraId="7B1B15AD" w14:textId="77777777" w:rsidR="00D65CB4" w:rsidRPr="00BC4EE7" w:rsidRDefault="00D65CB4">
            <w:pPr>
              <w:spacing w:after="0"/>
              <w:jc w:val="right"/>
              <w:rPr>
                <w:rFonts w:ascii="Times New Roman" w:eastAsia="Times New Roman" w:hAnsi="Times New Roman" w:cs="Times New Roman"/>
                <w:noProof/>
                <w:sz w:val="18"/>
              </w:rPr>
            </w:pPr>
          </w:p>
        </w:tc>
        <w:tc>
          <w:tcPr>
            <w:tcW w:w="548" w:type="dxa"/>
            <w:shd w:val="clear" w:color="auto" w:fill="C6EFCE"/>
            <w:noWrap/>
          </w:tcPr>
          <w:p w14:paraId="591B8D73" w14:textId="77777777" w:rsidR="00D65CB4" w:rsidRPr="00BC4EE7" w:rsidRDefault="00D65CB4">
            <w:pPr>
              <w:spacing w:after="0"/>
              <w:jc w:val="right"/>
              <w:rPr>
                <w:rFonts w:ascii="Times New Roman" w:eastAsia="Times New Roman" w:hAnsi="Times New Roman" w:cs="Times New Roman"/>
                <w:noProof/>
                <w:sz w:val="18"/>
              </w:rPr>
            </w:pPr>
          </w:p>
        </w:tc>
        <w:tc>
          <w:tcPr>
            <w:tcW w:w="412" w:type="dxa"/>
            <w:shd w:val="clear" w:color="auto" w:fill="C6EFCE"/>
            <w:noWrap/>
          </w:tcPr>
          <w:p w14:paraId="110E5B82" w14:textId="6CE2A5C0" w:rsidR="00D65CB4" w:rsidRPr="00BC4EE7" w:rsidRDefault="00572307">
            <w:pPr>
              <w:pStyle w:val="P68B1DB1-Normal12"/>
              <w:spacing w:after="0"/>
              <w:jc w:val="center"/>
              <w:rPr>
                <w:rFonts w:eastAsia="Times New Roman" w:cs="Times New Roman"/>
                <w:noProof/>
              </w:rPr>
            </w:pPr>
            <w:r w:rsidRPr="00BC4EE7">
              <w:rPr>
                <w:rFonts w:cs="Times New Roman"/>
                <w:noProof/>
              </w:rPr>
              <w:t>Q3</w:t>
            </w:r>
          </w:p>
        </w:tc>
        <w:tc>
          <w:tcPr>
            <w:tcW w:w="548" w:type="dxa"/>
            <w:shd w:val="clear" w:color="auto" w:fill="C6EFCE"/>
            <w:noWrap/>
          </w:tcPr>
          <w:p w14:paraId="6ED93ED3" w14:textId="77777777" w:rsidR="00D65CB4" w:rsidRPr="00BC4EE7" w:rsidRDefault="00572307">
            <w:pPr>
              <w:pStyle w:val="P68B1DB1-Normal12"/>
              <w:spacing w:after="0"/>
              <w:jc w:val="center"/>
              <w:rPr>
                <w:rFonts w:eastAsia="Times New Roman" w:cs="Times New Roman"/>
                <w:noProof/>
              </w:rPr>
            </w:pPr>
            <w:r w:rsidRPr="00BC4EE7">
              <w:rPr>
                <w:rFonts w:cs="Times New Roman"/>
                <w:noProof/>
              </w:rPr>
              <w:t>2026</w:t>
            </w:r>
          </w:p>
        </w:tc>
        <w:tc>
          <w:tcPr>
            <w:tcW w:w="6446" w:type="dxa"/>
            <w:shd w:val="clear" w:color="auto" w:fill="C6EFCE"/>
            <w:noWrap/>
          </w:tcPr>
          <w:p w14:paraId="1F4C1220" w14:textId="15053292" w:rsidR="00D65CB4" w:rsidRPr="00BC4EE7" w:rsidRDefault="00572307">
            <w:pPr>
              <w:pStyle w:val="P68B1DB1-Normal12"/>
              <w:spacing w:after="0"/>
              <w:rPr>
                <w:rFonts w:eastAsia="Times New Roman" w:cs="Times New Roman"/>
                <w:noProof/>
              </w:rPr>
            </w:pPr>
            <w:r w:rsidRPr="00BC4EE7">
              <w:rPr>
                <w:rFonts w:cs="Times New Roman"/>
                <w:noProof/>
              </w:rPr>
              <w:t xml:space="preserve">Projektek befejezése legalább 585 000 000 EUR teljes költségvetéssel.  A különbözeti szén-dioxid-kibocsátási szerződésekkel kapcsolatos kísérleti projekt finanszírozása esetén a számára odaítélt költségvetést egyenértékűnek kell tekinteni a kísérleti projekt által lefedett különbözetekre vonatkozó szén-dioxid-szerződéshez kapcsolódó garanciák összegével.   </w:t>
            </w:r>
          </w:p>
        </w:tc>
      </w:tr>
      <w:tr w:rsidR="00D65CB4" w:rsidRPr="00BC4EE7" w14:paraId="52773FAC" w14:textId="77777777" w:rsidTr="00572307">
        <w:trPr>
          <w:trHeight w:val="309"/>
        </w:trPr>
        <w:tc>
          <w:tcPr>
            <w:tcW w:w="851" w:type="dxa"/>
            <w:tcBorders>
              <w:top w:val="single" w:sz="6" w:space="0" w:color="auto"/>
              <w:left w:val="single" w:sz="6" w:space="0" w:color="auto"/>
              <w:bottom w:val="single" w:sz="6" w:space="0" w:color="auto"/>
              <w:right w:val="single" w:sz="6" w:space="0" w:color="auto"/>
            </w:tcBorders>
            <w:shd w:val="clear" w:color="auto" w:fill="C6EFCE"/>
            <w:noWrap/>
          </w:tcPr>
          <w:p w14:paraId="38CA746C" w14:textId="0371B8C0" w:rsidR="00D65CB4" w:rsidRPr="00BC4EE7" w:rsidRDefault="00572307">
            <w:pPr>
              <w:spacing w:after="0"/>
              <w:jc w:val="center"/>
              <w:rPr>
                <w:rStyle w:val="normaltextrun"/>
                <w:rFonts w:ascii="Times New Roman" w:hAnsi="Times New Roman" w:cs="Times New Roman"/>
                <w:noProof/>
                <w:sz w:val="18"/>
              </w:rPr>
            </w:pPr>
            <w:r w:rsidRPr="00BC4EE7">
              <w:rPr>
                <w:rStyle w:val="normaltextrun"/>
                <w:rFonts w:ascii="Times New Roman" w:hAnsi="Times New Roman" w:cs="Times New Roman"/>
                <w:noProof/>
                <w:sz w:val="18"/>
              </w:rPr>
              <w:t>L86</w:t>
            </w:r>
          </w:p>
        </w:tc>
        <w:tc>
          <w:tcPr>
            <w:tcW w:w="993" w:type="dxa"/>
            <w:tcBorders>
              <w:top w:val="single" w:sz="4" w:space="0" w:color="auto"/>
              <w:left w:val="single" w:sz="4" w:space="0" w:color="auto"/>
              <w:bottom w:val="single" w:sz="4" w:space="0" w:color="auto"/>
              <w:right w:val="single" w:sz="4" w:space="0" w:color="auto"/>
            </w:tcBorders>
            <w:shd w:val="clear" w:color="auto" w:fill="C6EFCE"/>
            <w:noWrap/>
          </w:tcPr>
          <w:p w14:paraId="49E12D99" w14:textId="49EB613A" w:rsidR="00D65CB4" w:rsidRPr="00BC4EE7" w:rsidRDefault="00572307">
            <w:pPr>
              <w:pStyle w:val="P68B1DB1-Normal12"/>
              <w:spacing w:after="0"/>
              <w:jc w:val="center"/>
              <w:rPr>
                <w:rFonts w:cs="Times New Roman"/>
                <w:noProof/>
              </w:rPr>
            </w:pPr>
            <w:r w:rsidRPr="00BC4EE7">
              <w:rPr>
                <w:rFonts w:cs="Times New Roman"/>
                <w:noProof/>
              </w:rPr>
              <w:t>C31.I8</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5E9F22AB" w14:textId="65FDCAFB" w:rsidR="00D65CB4" w:rsidRPr="00BC4EE7" w:rsidRDefault="00572307">
            <w:pPr>
              <w:pStyle w:val="P68B1DB1-Normal12"/>
              <w:spacing w:after="0"/>
              <w:jc w:val="center"/>
              <w:rPr>
                <w:rFonts w:cs="Times New Roman"/>
                <w:noProof/>
              </w:rPr>
            </w:pPr>
            <w:r w:rsidRPr="00BC4EE7">
              <w:rPr>
                <w:rFonts w:cs="Times New Roman"/>
                <w:noProof/>
              </w:rPr>
              <w:t>M</w:t>
            </w:r>
          </w:p>
        </w:tc>
        <w:tc>
          <w:tcPr>
            <w:tcW w:w="2063" w:type="dxa"/>
            <w:tcBorders>
              <w:top w:val="single" w:sz="4" w:space="0" w:color="auto"/>
              <w:left w:val="single" w:sz="4" w:space="0" w:color="auto"/>
              <w:bottom w:val="single" w:sz="4" w:space="0" w:color="auto"/>
              <w:right w:val="single" w:sz="4" w:space="0" w:color="auto"/>
            </w:tcBorders>
            <w:shd w:val="clear" w:color="auto" w:fill="C6EFCE"/>
            <w:noWrap/>
          </w:tcPr>
          <w:p w14:paraId="1A01DD07" w14:textId="5460E203" w:rsidR="00D65CB4" w:rsidRPr="00BC4EE7" w:rsidRDefault="00572307">
            <w:pPr>
              <w:spacing w:after="0"/>
              <w:rPr>
                <w:rFonts w:ascii="Times New Roman" w:hAnsi="Times New Roman" w:cs="Times New Roman"/>
                <w:noProof/>
                <w:sz w:val="18"/>
              </w:rPr>
            </w:pPr>
            <w:r w:rsidRPr="00BC4EE7">
              <w:rPr>
                <w:rStyle w:val="normaltextrun"/>
                <w:rFonts w:ascii="Times New Roman" w:hAnsi="Times New Roman" w:cs="Times New Roman"/>
                <w:noProof/>
                <w:sz w:val="18"/>
              </w:rPr>
              <w:t>Az ipari dekarbonizáció támogatási rendszere (hitelek): A minisztérium befejezte a beruházást</w:t>
            </w:r>
          </w:p>
        </w:tc>
        <w:tc>
          <w:tcPr>
            <w:tcW w:w="989" w:type="dxa"/>
            <w:tcBorders>
              <w:top w:val="single" w:sz="4" w:space="0" w:color="auto"/>
              <w:left w:val="single" w:sz="4" w:space="0" w:color="auto"/>
              <w:bottom w:val="single" w:sz="4" w:space="0" w:color="auto"/>
              <w:right w:val="single" w:sz="4" w:space="0" w:color="auto"/>
            </w:tcBorders>
            <w:shd w:val="clear" w:color="auto" w:fill="C6EFCE"/>
            <w:noWrap/>
          </w:tcPr>
          <w:p w14:paraId="54892664" w14:textId="0BA265A7" w:rsidR="00D65CB4" w:rsidRPr="00BC4EE7" w:rsidRDefault="00572307">
            <w:pPr>
              <w:pStyle w:val="P68B1DB1-Normal12"/>
              <w:spacing w:after="0"/>
              <w:jc w:val="center"/>
              <w:rPr>
                <w:rFonts w:cs="Times New Roman"/>
                <w:noProof/>
              </w:rPr>
            </w:pPr>
            <w:r w:rsidRPr="00BC4EE7">
              <w:rPr>
                <w:rFonts w:cs="Times New Roman"/>
                <w:noProof/>
              </w:rPr>
              <w:t>Kifizetési igazolás a SEPIDES-hez</w:t>
            </w:r>
          </w:p>
        </w:tc>
        <w:tc>
          <w:tcPr>
            <w:tcW w:w="653" w:type="dxa"/>
            <w:tcBorders>
              <w:top w:val="single" w:sz="4" w:space="0" w:color="auto"/>
              <w:left w:val="single" w:sz="4" w:space="0" w:color="auto"/>
              <w:bottom w:val="single" w:sz="4" w:space="0" w:color="auto"/>
              <w:right w:val="single" w:sz="4" w:space="0" w:color="auto"/>
            </w:tcBorders>
            <w:shd w:val="clear" w:color="auto" w:fill="C6EFCE"/>
            <w:noWrap/>
          </w:tcPr>
          <w:p w14:paraId="2C92A3CB" w14:textId="77777777" w:rsidR="00D65CB4" w:rsidRPr="00BC4EE7" w:rsidRDefault="00D65CB4">
            <w:pPr>
              <w:spacing w:after="0"/>
              <w:jc w:val="center"/>
              <w:rPr>
                <w:rStyle w:val="eop"/>
                <w:rFonts w:ascii="Times New Roman" w:hAnsi="Times New Roman" w:cs="Times New Roman"/>
                <w:noProof/>
                <w:sz w:val="18"/>
              </w:rPr>
            </w:pPr>
          </w:p>
        </w:tc>
        <w:tc>
          <w:tcPr>
            <w:tcW w:w="957" w:type="dxa"/>
            <w:tcBorders>
              <w:top w:val="single" w:sz="4" w:space="0" w:color="auto"/>
              <w:left w:val="single" w:sz="4" w:space="0" w:color="auto"/>
              <w:bottom w:val="single" w:sz="4" w:space="0" w:color="auto"/>
              <w:right w:val="single" w:sz="4" w:space="0" w:color="auto"/>
            </w:tcBorders>
            <w:shd w:val="clear" w:color="auto" w:fill="C6EFCE"/>
            <w:noWrap/>
          </w:tcPr>
          <w:p w14:paraId="10A277F1" w14:textId="77777777" w:rsidR="00D65CB4" w:rsidRPr="00BC4EE7" w:rsidRDefault="00D65CB4">
            <w:pPr>
              <w:spacing w:after="0"/>
              <w:jc w:val="right"/>
              <w:rPr>
                <w:rStyle w:val="eop"/>
                <w:rFonts w:ascii="Times New Roman" w:hAnsi="Times New Roman" w:cs="Times New Roman"/>
                <w:noProof/>
                <w:sz w:val="18"/>
              </w:rPr>
            </w:pPr>
          </w:p>
        </w:tc>
        <w:tc>
          <w:tcPr>
            <w:tcW w:w="548" w:type="dxa"/>
            <w:tcBorders>
              <w:top w:val="single" w:sz="4" w:space="0" w:color="auto"/>
              <w:left w:val="single" w:sz="4" w:space="0" w:color="auto"/>
              <w:bottom w:val="single" w:sz="4" w:space="0" w:color="auto"/>
              <w:right w:val="single" w:sz="4" w:space="0" w:color="auto"/>
            </w:tcBorders>
            <w:shd w:val="clear" w:color="auto" w:fill="C6EFCE"/>
            <w:noWrap/>
          </w:tcPr>
          <w:p w14:paraId="43E0202F" w14:textId="77777777" w:rsidR="00D65CB4" w:rsidRPr="00BC4EE7" w:rsidRDefault="00D65CB4">
            <w:pPr>
              <w:spacing w:after="0"/>
              <w:jc w:val="right"/>
              <w:rPr>
                <w:rStyle w:val="eop"/>
                <w:rFonts w:ascii="Times New Roman" w:hAnsi="Times New Roman" w:cs="Times New Roman"/>
                <w:noProof/>
                <w:sz w:val="18"/>
              </w:rPr>
            </w:pPr>
          </w:p>
        </w:tc>
        <w:tc>
          <w:tcPr>
            <w:tcW w:w="412" w:type="dxa"/>
            <w:tcBorders>
              <w:top w:val="single" w:sz="4" w:space="0" w:color="auto"/>
              <w:left w:val="single" w:sz="4" w:space="0" w:color="auto"/>
              <w:bottom w:val="single" w:sz="4" w:space="0" w:color="auto"/>
              <w:right w:val="single" w:sz="4" w:space="0" w:color="auto"/>
            </w:tcBorders>
            <w:shd w:val="clear" w:color="auto" w:fill="C6EFCE"/>
            <w:noWrap/>
          </w:tcPr>
          <w:p w14:paraId="083F776E" w14:textId="2B0CD14E" w:rsidR="00D65CB4" w:rsidRPr="00BC4EE7" w:rsidRDefault="00572307">
            <w:pPr>
              <w:pStyle w:val="P68B1DB1-Normal12"/>
              <w:spacing w:after="0"/>
              <w:jc w:val="center"/>
              <w:rPr>
                <w:rFonts w:cs="Times New Roman"/>
                <w:noProof/>
              </w:rPr>
            </w:pPr>
            <w:r w:rsidRPr="00BC4EE7">
              <w:rPr>
                <w:rFonts w:cs="Times New Roman"/>
                <w:noProof/>
              </w:rPr>
              <w:t>Q2</w:t>
            </w:r>
          </w:p>
        </w:tc>
        <w:tc>
          <w:tcPr>
            <w:tcW w:w="548" w:type="dxa"/>
            <w:tcBorders>
              <w:top w:val="single" w:sz="4" w:space="0" w:color="auto"/>
              <w:left w:val="single" w:sz="4" w:space="0" w:color="auto"/>
              <w:bottom w:val="single" w:sz="4" w:space="0" w:color="auto"/>
              <w:right w:val="single" w:sz="4" w:space="0" w:color="auto"/>
            </w:tcBorders>
            <w:shd w:val="clear" w:color="auto" w:fill="C6EFCE"/>
            <w:noWrap/>
          </w:tcPr>
          <w:p w14:paraId="05D56DF6" w14:textId="3CC94995" w:rsidR="00D65CB4" w:rsidRPr="00BC4EE7" w:rsidRDefault="00572307">
            <w:pPr>
              <w:pStyle w:val="P68B1DB1-Normal12"/>
              <w:spacing w:after="0"/>
              <w:jc w:val="center"/>
              <w:rPr>
                <w:rFonts w:cs="Times New Roman"/>
                <w:noProof/>
              </w:rPr>
            </w:pPr>
            <w:r w:rsidRPr="00BC4EE7">
              <w:rPr>
                <w:rFonts w:cs="Times New Roman"/>
                <w:noProof/>
              </w:rPr>
              <w:t>2024</w:t>
            </w:r>
          </w:p>
        </w:tc>
        <w:tc>
          <w:tcPr>
            <w:tcW w:w="6446" w:type="dxa"/>
            <w:tcBorders>
              <w:top w:val="single" w:sz="4" w:space="0" w:color="auto"/>
              <w:left w:val="single" w:sz="4" w:space="0" w:color="auto"/>
              <w:bottom w:val="single" w:sz="4" w:space="0" w:color="auto"/>
              <w:right w:val="single" w:sz="4" w:space="0" w:color="auto"/>
            </w:tcBorders>
            <w:shd w:val="clear" w:color="auto" w:fill="C6EFCE"/>
            <w:noWrap/>
          </w:tcPr>
          <w:p w14:paraId="67E83647" w14:textId="6A7562D6" w:rsidR="00D65CB4" w:rsidRPr="00BC4EE7" w:rsidRDefault="00572307">
            <w:pPr>
              <w:pStyle w:val="P68B1DB1-Normal12"/>
              <w:spacing w:after="0"/>
              <w:rPr>
                <w:rFonts w:cs="Times New Roman"/>
                <w:noProof/>
              </w:rPr>
            </w:pPr>
            <w:r w:rsidRPr="00BC4EE7">
              <w:rPr>
                <w:rFonts w:cs="Times New Roman"/>
                <w:noProof/>
              </w:rPr>
              <w:t>Spanyolország 1 050 000 000 EUR-t utal át a SEPIDES-nek a rendszer céljára.</w:t>
            </w:r>
          </w:p>
        </w:tc>
      </w:tr>
      <w:tr w:rsidR="00D65CB4" w:rsidRPr="00BC4EE7" w14:paraId="64B7776B" w14:textId="77777777" w:rsidTr="00572307">
        <w:trPr>
          <w:trHeight w:val="309"/>
        </w:trPr>
        <w:tc>
          <w:tcPr>
            <w:tcW w:w="851" w:type="dxa"/>
            <w:tcBorders>
              <w:top w:val="single" w:sz="6" w:space="0" w:color="auto"/>
              <w:left w:val="single" w:sz="6" w:space="0" w:color="auto"/>
              <w:bottom w:val="single" w:sz="6" w:space="0" w:color="auto"/>
              <w:right w:val="single" w:sz="6" w:space="0" w:color="auto"/>
            </w:tcBorders>
            <w:shd w:val="clear" w:color="auto" w:fill="C6EFCE"/>
            <w:noWrap/>
          </w:tcPr>
          <w:p w14:paraId="3577A307" w14:textId="1118BCF0" w:rsidR="00D65CB4" w:rsidRPr="00BC4EE7" w:rsidRDefault="00572307">
            <w:pPr>
              <w:spacing w:after="0"/>
              <w:jc w:val="center"/>
              <w:rPr>
                <w:rFonts w:ascii="Times New Roman" w:eastAsia="Times New Roman" w:hAnsi="Times New Roman" w:cs="Times New Roman"/>
                <w:noProof/>
                <w:sz w:val="18"/>
              </w:rPr>
            </w:pPr>
            <w:r w:rsidRPr="00BC4EE7">
              <w:rPr>
                <w:rStyle w:val="normaltextrun"/>
                <w:rFonts w:ascii="Times New Roman" w:hAnsi="Times New Roman" w:cs="Times New Roman"/>
                <w:noProof/>
                <w:sz w:val="18"/>
              </w:rPr>
              <w:t>L87</w:t>
            </w:r>
          </w:p>
        </w:tc>
        <w:tc>
          <w:tcPr>
            <w:tcW w:w="993" w:type="dxa"/>
            <w:tcBorders>
              <w:top w:val="single" w:sz="4" w:space="0" w:color="auto"/>
              <w:left w:val="single" w:sz="4" w:space="0" w:color="auto"/>
              <w:bottom w:val="single" w:sz="4" w:space="0" w:color="auto"/>
              <w:right w:val="single" w:sz="4" w:space="0" w:color="auto"/>
            </w:tcBorders>
            <w:shd w:val="clear" w:color="auto" w:fill="C6EFCE"/>
            <w:noWrap/>
          </w:tcPr>
          <w:p w14:paraId="49B62314" w14:textId="02E31D82" w:rsidR="00D65CB4" w:rsidRPr="00BC4EE7" w:rsidRDefault="00572307">
            <w:pPr>
              <w:pStyle w:val="P68B1DB1-Normal12"/>
              <w:spacing w:after="0"/>
              <w:jc w:val="center"/>
              <w:rPr>
                <w:rFonts w:eastAsia="Times New Roman" w:cs="Times New Roman"/>
                <w:noProof/>
              </w:rPr>
            </w:pPr>
            <w:r w:rsidRPr="00BC4EE7">
              <w:rPr>
                <w:rFonts w:cs="Times New Roman"/>
                <w:noProof/>
              </w:rPr>
              <w:t>C31.I8</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6B6C8071" w14:textId="4F50729C" w:rsidR="00D65CB4" w:rsidRPr="00BC4EE7" w:rsidRDefault="00572307">
            <w:pPr>
              <w:pStyle w:val="P68B1DB1-Normal12"/>
              <w:spacing w:after="0"/>
              <w:jc w:val="center"/>
              <w:rPr>
                <w:rFonts w:eastAsia="Times New Roman" w:cs="Times New Roman"/>
                <w:noProof/>
              </w:rPr>
            </w:pPr>
            <w:r w:rsidRPr="00BC4EE7">
              <w:rPr>
                <w:rFonts w:cs="Times New Roman"/>
                <w:noProof/>
              </w:rPr>
              <w:t>M</w:t>
            </w:r>
          </w:p>
        </w:tc>
        <w:tc>
          <w:tcPr>
            <w:tcW w:w="2063" w:type="dxa"/>
            <w:tcBorders>
              <w:top w:val="single" w:sz="4" w:space="0" w:color="auto"/>
              <w:left w:val="single" w:sz="4" w:space="0" w:color="auto"/>
              <w:bottom w:val="single" w:sz="4" w:space="0" w:color="auto"/>
              <w:right w:val="single" w:sz="4" w:space="0" w:color="auto"/>
            </w:tcBorders>
            <w:shd w:val="clear" w:color="auto" w:fill="C6EFCE"/>
            <w:noWrap/>
          </w:tcPr>
          <w:p w14:paraId="3C886883" w14:textId="2FF2164B" w:rsidR="00D65CB4" w:rsidRPr="00BC4EE7" w:rsidRDefault="00572307">
            <w:pPr>
              <w:pStyle w:val="P68B1DB1-Normal12"/>
              <w:spacing w:after="0"/>
              <w:rPr>
                <w:rStyle w:val="normaltextrun"/>
                <w:rFonts w:cs="Times New Roman"/>
                <w:noProof/>
              </w:rPr>
            </w:pPr>
            <w:r w:rsidRPr="00BC4EE7">
              <w:rPr>
                <w:rFonts w:cs="Times New Roman"/>
                <w:noProof/>
              </w:rPr>
              <w:t>A hitelprogram létrehozása</w:t>
            </w:r>
          </w:p>
        </w:tc>
        <w:tc>
          <w:tcPr>
            <w:tcW w:w="989" w:type="dxa"/>
            <w:tcBorders>
              <w:top w:val="single" w:sz="4" w:space="0" w:color="auto"/>
              <w:left w:val="single" w:sz="4" w:space="0" w:color="auto"/>
              <w:bottom w:val="single" w:sz="4" w:space="0" w:color="auto"/>
              <w:right w:val="single" w:sz="4" w:space="0" w:color="auto"/>
            </w:tcBorders>
            <w:shd w:val="clear" w:color="auto" w:fill="C6EFCE"/>
            <w:noWrap/>
          </w:tcPr>
          <w:p w14:paraId="581E2E00" w14:textId="4E07B01F" w:rsidR="00D65CB4" w:rsidRPr="00BC4EE7" w:rsidRDefault="00572307">
            <w:pPr>
              <w:pStyle w:val="P68B1DB1-Normal12"/>
              <w:spacing w:after="0"/>
              <w:jc w:val="center"/>
              <w:rPr>
                <w:rFonts w:eastAsia="Times New Roman" w:cs="Times New Roman"/>
                <w:noProof/>
              </w:rPr>
            </w:pPr>
            <w:r w:rsidRPr="00BC4EE7">
              <w:rPr>
                <w:rFonts w:cs="Times New Roman"/>
                <w:noProof/>
              </w:rPr>
              <w:t>A vonatkozó jogi eszköz(ek) hatálybalépése</w:t>
            </w:r>
          </w:p>
        </w:tc>
        <w:tc>
          <w:tcPr>
            <w:tcW w:w="653" w:type="dxa"/>
            <w:tcBorders>
              <w:top w:val="single" w:sz="4" w:space="0" w:color="auto"/>
              <w:left w:val="single" w:sz="4" w:space="0" w:color="auto"/>
              <w:bottom w:val="single" w:sz="4" w:space="0" w:color="auto"/>
              <w:right w:val="single" w:sz="4" w:space="0" w:color="auto"/>
            </w:tcBorders>
            <w:shd w:val="clear" w:color="auto" w:fill="C6EFCE"/>
            <w:noWrap/>
          </w:tcPr>
          <w:p w14:paraId="18D7899F" w14:textId="17FC81FC" w:rsidR="00D65CB4" w:rsidRPr="00BC4EE7" w:rsidRDefault="00D65CB4">
            <w:pPr>
              <w:spacing w:after="0"/>
              <w:jc w:val="center"/>
              <w:rPr>
                <w:rStyle w:val="eop"/>
                <w:rFonts w:ascii="Times New Roman" w:hAnsi="Times New Roman" w:cs="Times New Roman"/>
                <w:noProof/>
                <w:sz w:val="18"/>
              </w:rPr>
            </w:pPr>
          </w:p>
        </w:tc>
        <w:tc>
          <w:tcPr>
            <w:tcW w:w="957" w:type="dxa"/>
            <w:tcBorders>
              <w:top w:val="single" w:sz="4" w:space="0" w:color="auto"/>
              <w:left w:val="single" w:sz="4" w:space="0" w:color="auto"/>
              <w:bottom w:val="single" w:sz="4" w:space="0" w:color="auto"/>
              <w:right w:val="single" w:sz="4" w:space="0" w:color="auto"/>
            </w:tcBorders>
            <w:shd w:val="clear" w:color="auto" w:fill="C6EFCE"/>
            <w:noWrap/>
          </w:tcPr>
          <w:p w14:paraId="1FC76783" w14:textId="4D136987" w:rsidR="00D65CB4" w:rsidRPr="00BC4EE7" w:rsidRDefault="00D65CB4">
            <w:pPr>
              <w:spacing w:after="0"/>
              <w:jc w:val="right"/>
              <w:rPr>
                <w:rStyle w:val="eop"/>
                <w:rFonts w:ascii="Times New Roman" w:hAnsi="Times New Roman" w:cs="Times New Roman"/>
                <w:noProof/>
                <w:sz w:val="18"/>
              </w:rPr>
            </w:pPr>
          </w:p>
        </w:tc>
        <w:tc>
          <w:tcPr>
            <w:tcW w:w="548" w:type="dxa"/>
            <w:tcBorders>
              <w:top w:val="single" w:sz="4" w:space="0" w:color="auto"/>
              <w:left w:val="single" w:sz="4" w:space="0" w:color="auto"/>
              <w:bottom w:val="single" w:sz="4" w:space="0" w:color="auto"/>
              <w:right w:val="single" w:sz="4" w:space="0" w:color="auto"/>
            </w:tcBorders>
            <w:shd w:val="clear" w:color="auto" w:fill="C6EFCE"/>
            <w:noWrap/>
          </w:tcPr>
          <w:p w14:paraId="3FDAE2C2" w14:textId="7CC436BB" w:rsidR="00D65CB4" w:rsidRPr="00BC4EE7" w:rsidRDefault="00D65CB4">
            <w:pPr>
              <w:spacing w:after="0"/>
              <w:jc w:val="right"/>
              <w:rPr>
                <w:rStyle w:val="eop"/>
                <w:rFonts w:ascii="Times New Roman" w:hAnsi="Times New Roman" w:cs="Times New Roman"/>
                <w:noProof/>
                <w:sz w:val="18"/>
              </w:rPr>
            </w:pPr>
          </w:p>
        </w:tc>
        <w:tc>
          <w:tcPr>
            <w:tcW w:w="412" w:type="dxa"/>
            <w:tcBorders>
              <w:top w:val="single" w:sz="4" w:space="0" w:color="auto"/>
              <w:left w:val="single" w:sz="4" w:space="0" w:color="auto"/>
              <w:bottom w:val="single" w:sz="4" w:space="0" w:color="auto"/>
              <w:right w:val="single" w:sz="4" w:space="0" w:color="auto"/>
            </w:tcBorders>
            <w:shd w:val="clear" w:color="auto" w:fill="C6EFCE"/>
            <w:noWrap/>
          </w:tcPr>
          <w:p w14:paraId="4B3A01F8" w14:textId="2CB279EA" w:rsidR="00D65CB4" w:rsidRPr="00BC4EE7" w:rsidRDefault="00572307">
            <w:pPr>
              <w:pStyle w:val="P68B1DB1-Normal12"/>
              <w:spacing w:after="0"/>
              <w:jc w:val="center"/>
              <w:rPr>
                <w:rFonts w:eastAsia="Times New Roman" w:cs="Times New Roman"/>
                <w:noProof/>
              </w:rPr>
            </w:pPr>
            <w:r w:rsidRPr="00BC4EE7">
              <w:rPr>
                <w:rFonts w:cs="Times New Roman"/>
                <w:noProof/>
              </w:rPr>
              <w:t>Q3</w:t>
            </w:r>
          </w:p>
        </w:tc>
        <w:tc>
          <w:tcPr>
            <w:tcW w:w="548" w:type="dxa"/>
            <w:tcBorders>
              <w:top w:val="single" w:sz="4" w:space="0" w:color="auto"/>
              <w:left w:val="single" w:sz="4" w:space="0" w:color="auto"/>
              <w:bottom w:val="single" w:sz="4" w:space="0" w:color="auto"/>
              <w:right w:val="single" w:sz="4" w:space="0" w:color="auto"/>
            </w:tcBorders>
            <w:shd w:val="clear" w:color="auto" w:fill="C6EFCE"/>
            <w:noWrap/>
          </w:tcPr>
          <w:p w14:paraId="0B6A6A9A" w14:textId="36AE28B5" w:rsidR="00D65CB4" w:rsidRPr="00BC4EE7" w:rsidRDefault="00572307">
            <w:pPr>
              <w:pStyle w:val="P68B1DB1-Normal12"/>
              <w:spacing w:after="0"/>
              <w:jc w:val="center"/>
              <w:rPr>
                <w:rFonts w:eastAsia="Times New Roman" w:cs="Times New Roman"/>
                <w:noProof/>
              </w:rPr>
            </w:pPr>
            <w:r w:rsidRPr="00BC4EE7">
              <w:rPr>
                <w:rFonts w:cs="Times New Roman"/>
                <w:noProof/>
              </w:rPr>
              <w:t>2024</w:t>
            </w:r>
          </w:p>
        </w:tc>
        <w:tc>
          <w:tcPr>
            <w:tcW w:w="6446" w:type="dxa"/>
            <w:tcBorders>
              <w:top w:val="single" w:sz="4" w:space="0" w:color="auto"/>
              <w:left w:val="single" w:sz="4" w:space="0" w:color="auto"/>
              <w:bottom w:val="single" w:sz="4" w:space="0" w:color="auto"/>
              <w:right w:val="single" w:sz="4" w:space="0" w:color="auto"/>
            </w:tcBorders>
            <w:shd w:val="clear" w:color="auto" w:fill="C6EFCE"/>
            <w:noWrap/>
          </w:tcPr>
          <w:p w14:paraId="0C8851D1" w14:textId="3DD4654D" w:rsidR="00D65CB4" w:rsidRPr="00BC4EE7" w:rsidRDefault="00572307">
            <w:pPr>
              <w:pStyle w:val="P68B1DB1-Normal12"/>
              <w:spacing w:after="0"/>
              <w:rPr>
                <w:rFonts w:eastAsia="Times New Roman" w:cs="Times New Roman"/>
                <w:noProof/>
              </w:rPr>
            </w:pPr>
            <w:r w:rsidRPr="00BC4EE7">
              <w:rPr>
                <w:rFonts w:cs="Times New Roman"/>
                <w:noProof/>
              </w:rPr>
              <w:t>A hitelprogramot létrehozó jogi eszköz(ök) hatálybalépése az intézkedés leírásában meghatározott követelményeknek megfelelően.</w:t>
            </w:r>
          </w:p>
        </w:tc>
      </w:tr>
      <w:tr w:rsidR="00D65CB4" w:rsidRPr="00BC4EE7" w14:paraId="043D661F" w14:textId="77777777" w:rsidTr="00572307">
        <w:trPr>
          <w:trHeight w:val="309"/>
        </w:trPr>
        <w:tc>
          <w:tcPr>
            <w:tcW w:w="851" w:type="dxa"/>
            <w:tcBorders>
              <w:top w:val="single" w:sz="6" w:space="0" w:color="auto"/>
              <w:left w:val="single" w:sz="6" w:space="0" w:color="auto"/>
              <w:bottom w:val="single" w:sz="6" w:space="0" w:color="auto"/>
              <w:right w:val="single" w:sz="6" w:space="0" w:color="auto"/>
            </w:tcBorders>
            <w:shd w:val="clear" w:color="auto" w:fill="C6EFCE"/>
            <w:noWrap/>
          </w:tcPr>
          <w:p w14:paraId="6D6D426C" w14:textId="7D14F490" w:rsidR="00D65CB4" w:rsidRPr="00BC4EE7" w:rsidRDefault="00572307">
            <w:pPr>
              <w:spacing w:after="0"/>
              <w:jc w:val="center"/>
              <w:rPr>
                <w:rFonts w:ascii="Times New Roman" w:eastAsia="Times New Roman" w:hAnsi="Times New Roman" w:cs="Times New Roman"/>
                <w:noProof/>
                <w:sz w:val="18"/>
              </w:rPr>
            </w:pPr>
            <w:r w:rsidRPr="00BC4EE7">
              <w:rPr>
                <w:rStyle w:val="normaltextrun"/>
                <w:rFonts w:ascii="Times New Roman" w:hAnsi="Times New Roman" w:cs="Times New Roman"/>
                <w:noProof/>
                <w:sz w:val="18"/>
              </w:rPr>
              <w:t>L88</w:t>
            </w:r>
          </w:p>
        </w:tc>
        <w:tc>
          <w:tcPr>
            <w:tcW w:w="993" w:type="dxa"/>
            <w:tcBorders>
              <w:top w:val="single" w:sz="4" w:space="0" w:color="auto"/>
              <w:left w:val="single" w:sz="4" w:space="0" w:color="auto"/>
              <w:bottom w:val="single" w:sz="4" w:space="0" w:color="auto"/>
              <w:right w:val="single" w:sz="4" w:space="0" w:color="auto"/>
            </w:tcBorders>
            <w:shd w:val="clear" w:color="auto" w:fill="C6EFCE"/>
            <w:noWrap/>
          </w:tcPr>
          <w:p w14:paraId="139A216C" w14:textId="76534C2C" w:rsidR="00D65CB4" w:rsidRPr="00BC4EE7" w:rsidRDefault="00572307">
            <w:pPr>
              <w:pStyle w:val="P68B1DB1-Normal12"/>
              <w:spacing w:after="0"/>
              <w:jc w:val="center"/>
              <w:rPr>
                <w:rFonts w:eastAsia="Times New Roman" w:cs="Times New Roman"/>
                <w:noProof/>
              </w:rPr>
            </w:pPr>
            <w:r w:rsidRPr="00BC4EE7">
              <w:rPr>
                <w:rFonts w:cs="Times New Roman"/>
                <w:noProof/>
              </w:rPr>
              <w:t>C31.I8</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1B00ED33" w14:textId="749E280C" w:rsidR="00D65CB4" w:rsidRPr="00BC4EE7" w:rsidRDefault="00572307">
            <w:pPr>
              <w:pStyle w:val="P68B1DB1-Normal12"/>
              <w:spacing w:after="0"/>
              <w:jc w:val="center"/>
              <w:rPr>
                <w:rFonts w:eastAsia="Times New Roman" w:cs="Times New Roman"/>
                <w:noProof/>
              </w:rPr>
            </w:pPr>
            <w:r w:rsidRPr="00BC4EE7">
              <w:rPr>
                <w:rFonts w:cs="Times New Roman"/>
                <w:noProof/>
              </w:rPr>
              <w:t>T</w:t>
            </w:r>
          </w:p>
        </w:tc>
        <w:tc>
          <w:tcPr>
            <w:tcW w:w="2063" w:type="dxa"/>
            <w:tcBorders>
              <w:top w:val="single" w:sz="4" w:space="0" w:color="auto"/>
              <w:left w:val="single" w:sz="4" w:space="0" w:color="auto"/>
              <w:bottom w:val="single" w:sz="4" w:space="0" w:color="auto"/>
              <w:right w:val="single" w:sz="4" w:space="0" w:color="auto"/>
            </w:tcBorders>
            <w:shd w:val="clear" w:color="auto" w:fill="C6EFCE"/>
            <w:noWrap/>
          </w:tcPr>
          <w:p w14:paraId="72CD1DD2" w14:textId="77777777" w:rsidR="00D65CB4" w:rsidRPr="00BC4EE7" w:rsidRDefault="00572307">
            <w:pPr>
              <w:spacing w:after="0"/>
              <w:rPr>
                <w:rStyle w:val="eop"/>
                <w:rFonts w:ascii="Times New Roman" w:hAnsi="Times New Roman" w:cs="Times New Roman"/>
                <w:noProof/>
                <w:sz w:val="18"/>
              </w:rPr>
            </w:pPr>
            <w:r w:rsidRPr="00BC4EE7">
              <w:rPr>
                <w:rStyle w:val="normaltextrun"/>
                <w:rFonts w:ascii="Times New Roman" w:hAnsi="Times New Roman" w:cs="Times New Roman"/>
                <w:noProof/>
                <w:sz w:val="18"/>
              </w:rPr>
              <w:t>Az ipari dekarbonizáció támogatási rendszere (hitelek): A végső kedvezményezettekkel aláírt jogi megállapodások vagy a végleges odaítélési határozatok közzététele.</w:t>
            </w:r>
          </w:p>
          <w:p w14:paraId="0D988384" w14:textId="6F6031A4" w:rsidR="00D65CB4" w:rsidRPr="00BC4EE7" w:rsidRDefault="00D65CB4">
            <w:pPr>
              <w:spacing w:after="0"/>
              <w:rPr>
                <w:rFonts w:ascii="Times New Roman" w:eastAsia="Times New Roman" w:hAnsi="Times New Roman" w:cs="Times New Roman"/>
                <w:noProof/>
                <w:sz w:val="18"/>
              </w:rPr>
            </w:pPr>
          </w:p>
        </w:tc>
        <w:tc>
          <w:tcPr>
            <w:tcW w:w="989" w:type="dxa"/>
            <w:tcBorders>
              <w:top w:val="single" w:sz="4" w:space="0" w:color="auto"/>
              <w:left w:val="single" w:sz="4" w:space="0" w:color="auto"/>
              <w:bottom w:val="single" w:sz="4" w:space="0" w:color="auto"/>
              <w:right w:val="single" w:sz="4" w:space="0" w:color="auto"/>
            </w:tcBorders>
            <w:shd w:val="clear" w:color="auto" w:fill="C6EFCE"/>
            <w:noWrap/>
          </w:tcPr>
          <w:p w14:paraId="2EFA0518" w14:textId="1D85D1F4" w:rsidR="00D65CB4" w:rsidRPr="00BC4EE7" w:rsidRDefault="00572307">
            <w:pPr>
              <w:spacing w:after="0"/>
              <w:jc w:val="center"/>
              <w:rPr>
                <w:rFonts w:ascii="Times New Roman" w:eastAsia="Times New Roman" w:hAnsi="Times New Roman" w:cs="Times New Roman"/>
                <w:noProof/>
                <w:sz w:val="18"/>
              </w:rPr>
            </w:pPr>
            <w:r w:rsidRPr="00BC4EE7">
              <w:rPr>
                <w:rStyle w:val="normaltextrun"/>
                <w:rFonts w:ascii="Times New Roman" w:hAnsi="Times New Roman" w:cs="Times New Roman"/>
                <w:noProof/>
                <w:sz w:val="18"/>
              </w:rPr>
              <w:t xml:space="preserve">A közzétett jogi finanszírozási megállapodások vagy végleges odaítélési határozatok hatálybalépése </w:t>
            </w:r>
          </w:p>
        </w:tc>
        <w:tc>
          <w:tcPr>
            <w:tcW w:w="653" w:type="dxa"/>
            <w:tcBorders>
              <w:top w:val="single" w:sz="4" w:space="0" w:color="auto"/>
              <w:left w:val="single" w:sz="4" w:space="0" w:color="auto"/>
              <w:bottom w:val="single" w:sz="4" w:space="0" w:color="auto"/>
              <w:right w:val="single" w:sz="4" w:space="0" w:color="auto"/>
            </w:tcBorders>
            <w:shd w:val="clear" w:color="auto" w:fill="C6EFCE"/>
            <w:noWrap/>
          </w:tcPr>
          <w:p w14:paraId="48A22EA7" w14:textId="5242C00F" w:rsidR="00D65CB4" w:rsidRPr="00BC4EE7" w:rsidRDefault="00D65CB4">
            <w:pPr>
              <w:spacing w:after="0"/>
              <w:jc w:val="center"/>
              <w:rPr>
                <w:rStyle w:val="normaltextrun"/>
                <w:rFonts w:ascii="Times New Roman" w:hAnsi="Times New Roman" w:cs="Times New Roman"/>
                <w:noProof/>
                <w:sz w:val="18"/>
              </w:rPr>
            </w:pPr>
          </w:p>
        </w:tc>
        <w:tc>
          <w:tcPr>
            <w:tcW w:w="957" w:type="dxa"/>
            <w:tcBorders>
              <w:top w:val="single" w:sz="4" w:space="0" w:color="auto"/>
              <w:left w:val="single" w:sz="4" w:space="0" w:color="auto"/>
              <w:bottom w:val="single" w:sz="4" w:space="0" w:color="auto"/>
              <w:right w:val="single" w:sz="4" w:space="0" w:color="auto"/>
            </w:tcBorders>
            <w:shd w:val="clear" w:color="auto" w:fill="C6EFCE"/>
            <w:noWrap/>
          </w:tcPr>
          <w:p w14:paraId="10E49AB5" w14:textId="65CEF263" w:rsidR="00D65CB4" w:rsidRPr="00BC4EE7" w:rsidRDefault="00572307">
            <w:pPr>
              <w:pStyle w:val="P68B1DB1-Normal12"/>
              <w:spacing w:after="0"/>
              <w:jc w:val="right"/>
              <w:rPr>
                <w:rFonts w:eastAsia="Times New Roman" w:cs="Times New Roman"/>
                <w:noProof/>
              </w:rPr>
            </w:pPr>
            <w:r w:rsidRPr="00BC4EE7">
              <w:rPr>
                <w:rFonts w:cs="Times New Roman"/>
                <w:noProof/>
              </w:rPr>
              <w:t>0</w:t>
            </w:r>
          </w:p>
        </w:tc>
        <w:tc>
          <w:tcPr>
            <w:tcW w:w="548" w:type="dxa"/>
            <w:tcBorders>
              <w:top w:val="single" w:sz="4" w:space="0" w:color="auto"/>
              <w:left w:val="single" w:sz="4" w:space="0" w:color="auto"/>
              <w:bottom w:val="single" w:sz="4" w:space="0" w:color="auto"/>
              <w:right w:val="single" w:sz="4" w:space="0" w:color="auto"/>
            </w:tcBorders>
            <w:shd w:val="clear" w:color="auto" w:fill="C6EFCE"/>
            <w:noWrap/>
          </w:tcPr>
          <w:p w14:paraId="2D0FC3A8" w14:textId="0AB369F7" w:rsidR="00D65CB4" w:rsidRPr="00BC4EE7" w:rsidRDefault="00572307">
            <w:pPr>
              <w:pStyle w:val="P68B1DB1-Normal12"/>
              <w:spacing w:after="0"/>
              <w:jc w:val="right"/>
              <w:rPr>
                <w:rStyle w:val="eop"/>
                <w:rFonts w:cs="Times New Roman"/>
                <w:noProof/>
              </w:rPr>
            </w:pPr>
            <w:r w:rsidRPr="00BC4EE7">
              <w:rPr>
                <w:rFonts w:cs="Times New Roman"/>
                <w:noProof/>
              </w:rPr>
              <w:t xml:space="preserve">100%-OS </w:t>
            </w:r>
          </w:p>
        </w:tc>
        <w:tc>
          <w:tcPr>
            <w:tcW w:w="412" w:type="dxa"/>
            <w:tcBorders>
              <w:top w:val="single" w:sz="4" w:space="0" w:color="auto"/>
              <w:left w:val="single" w:sz="4" w:space="0" w:color="auto"/>
              <w:bottom w:val="single" w:sz="4" w:space="0" w:color="auto"/>
              <w:right w:val="single" w:sz="4" w:space="0" w:color="auto"/>
            </w:tcBorders>
            <w:shd w:val="clear" w:color="auto" w:fill="C6EFCE"/>
            <w:noWrap/>
          </w:tcPr>
          <w:p w14:paraId="50D1DCD2" w14:textId="27F72D0D" w:rsidR="00D65CB4" w:rsidRPr="00BC4EE7" w:rsidRDefault="00572307">
            <w:pPr>
              <w:pStyle w:val="P68B1DB1-Normal12"/>
              <w:spacing w:after="0"/>
              <w:jc w:val="center"/>
              <w:rPr>
                <w:rStyle w:val="eop"/>
                <w:rFonts w:cs="Times New Roman"/>
                <w:noProof/>
              </w:rPr>
            </w:pPr>
            <w:r w:rsidRPr="00BC4EE7">
              <w:rPr>
                <w:rFonts w:cs="Times New Roman"/>
                <w:noProof/>
              </w:rPr>
              <w:t>Q3</w:t>
            </w:r>
          </w:p>
        </w:tc>
        <w:tc>
          <w:tcPr>
            <w:tcW w:w="548" w:type="dxa"/>
            <w:tcBorders>
              <w:top w:val="single" w:sz="4" w:space="0" w:color="auto"/>
              <w:left w:val="single" w:sz="4" w:space="0" w:color="auto"/>
              <w:bottom w:val="single" w:sz="4" w:space="0" w:color="auto"/>
              <w:right w:val="single" w:sz="4" w:space="0" w:color="auto"/>
            </w:tcBorders>
            <w:shd w:val="clear" w:color="auto" w:fill="C6EFCE"/>
            <w:noWrap/>
          </w:tcPr>
          <w:p w14:paraId="1E11477F" w14:textId="192BD438" w:rsidR="00D65CB4" w:rsidRPr="00BC4EE7" w:rsidRDefault="00572307">
            <w:pPr>
              <w:pStyle w:val="P68B1DB1-Normal12"/>
              <w:spacing w:after="0"/>
              <w:jc w:val="center"/>
              <w:rPr>
                <w:rFonts w:eastAsia="Times New Roman" w:cs="Times New Roman"/>
                <w:noProof/>
              </w:rPr>
            </w:pPr>
            <w:r w:rsidRPr="00BC4EE7">
              <w:rPr>
                <w:rFonts w:cs="Times New Roman"/>
                <w:noProof/>
              </w:rPr>
              <w:t>2026</w:t>
            </w:r>
          </w:p>
        </w:tc>
        <w:tc>
          <w:tcPr>
            <w:tcW w:w="6446" w:type="dxa"/>
            <w:tcBorders>
              <w:top w:val="single" w:sz="4" w:space="0" w:color="auto"/>
              <w:left w:val="single" w:sz="4" w:space="0" w:color="auto"/>
              <w:bottom w:val="single" w:sz="4" w:space="0" w:color="auto"/>
              <w:right w:val="single" w:sz="4" w:space="0" w:color="auto"/>
            </w:tcBorders>
            <w:shd w:val="clear" w:color="auto" w:fill="C6EFCE"/>
            <w:noWrap/>
          </w:tcPr>
          <w:p w14:paraId="17F0997F" w14:textId="29AA88CE" w:rsidR="00D65CB4" w:rsidRPr="00BC4EE7" w:rsidRDefault="00572307">
            <w:pPr>
              <w:pStyle w:val="P68B1DB1-Normal12"/>
              <w:spacing w:after="0"/>
              <w:rPr>
                <w:rFonts w:cs="Times New Roman"/>
                <w:noProof/>
              </w:rPr>
            </w:pPr>
            <w:r w:rsidRPr="00BC4EE7">
              <w:rPr>
                <w:rFonts w:cs="Times New Roman"/>
                <w:noProof/>
              </w:rPr>
              <w:t xml:space="preserve">A SEPIDES-eknek végleges odaítélési határozatokat kell közzétenniük, vagy jogi finanszírozási megállapodásokat kell kötniük a végső kedvezményezettekkel az RRF-beruházások 100%-ának a rendszerbe való felhasználásához szükséges összegről. A SEPIDES-nek biztosítania kell, hogy e finanszírozás legalább 40%-a a Helyreállítási és Rezilienciaépítési Eszközről szóló rendelet VI. mellékletében foglalt módszertan alkalmazásával hozzájáruljon az éghajlat-politikai célkitűzésekhez.  </w:t>
            </w:r>
          </w:p>
        </w:tc>
      </w:tr>
    </w:tbl>
    <w:p w14:paraId="1A8F52C7" w14:textId="77777777" w:rsidR="00D65CB4" w:rsidRPr="00BC4EE7" w:rsidRDefault="00D65CB4">
      <w:pPr>
        <w:rPr>
          <w:rFonts w:ascii="Times New Roman" w:hAnsi="Times New Roman" w:cs="Times New Roman"/>
          <w:noProof/>
        </w:rPr>
      </w:pPr>
    </w:p>
    <w:p w14:paraId="5B1460E4" w14:textId="77777777" w:rsidR="00D65CB4" w:rsidRPr="00BC4EE7" w:rsidRDefault="00D65CB4">
      <w:pPr>
        <w:pStyle w:val="Text1"/>
        <w:ind w:left="0"/>
        <w:rPr>
          <w:rFonts w:ascii="Times New Roman" w:hAnsi="Times New Roman" w:cs="Times New Roman"/>
          <w:noProof/>
        </w:rPr>
        <w:sectPr w:rsidR="00D65CB4" w:rsidRPr="00BC4EE7" w:rsidSect="00B511EF">
          <w:headerReference w:type="even" r:id="rId610"/>
          <w:headerReference w:type="default" r:id="rId611"/>
          <w:footerReference w:type="even" r:id="rId612"/>
          <w:footerReference w:type="default" r:id="rId613"/>
          <w:headerReference w:type="first" r:id="rId614"/>
          <w:footerReference w:type="first" r:id="rId615"/>
          <w:pgSz w:w="16839" w:h="11907" w:orient="landscape"/>
          <w:pgMar w:top="1134" w:right="1134" w:bottom="1134" w:left="1134" w:header="567" w:footer="567" w:gutter="0"/>
          <w:cols w:space="720"/>
          <w:docGrid w:linePitch="360"/>
        </w:sectPr>
      </w:pPr>
    </w:p>
    <w:p w14:paraId="5B5F53E3" w14:textId="77777777" w:rsidR="00D65CB4" w:rsidRPr="00BC4EE7" w:rsidRDefault="00572307">
      <w:pPr>
        <w:pStyle w:val="P68B1DB1-Normal36"/>
        <w:numPr>
          <w:ilvl w:val="0"/>
          <w:numId w:val="50"/>
        </w:numPr>
        <w:spacing w:before="120" w:after="120" w:line="240" w:lineRule="auto"/>
        <w:jc w:val="both"/>
        <w:rPr>
          <w:rFonts w:eastAsia="Calibri" w:cs="Times New Roman"/>
          <w:noProof/>
        </w:rPr>
      </w:pPr>
      <w:r w:rsidRPr="00BC4EE7">
        <w:rPr>
          <w:rFonts w:cs="Times New Roman"/>
          <w:noProof/>
        </w:rPr>
        <w:t>A helyreállítási és rezilienciaépítési terv becsült összköltsége</w:t>
      </w:r>
    </w:p>
    <w:p w14:paraId="732200E1" w14:textId="125C3D4F" w:rsidR="00D65CB4" w:rsidRPr="00BC4EE7" w:rsidRDefault="00572307">
      <w:pPr>
        <w:pStyle w:val="P68B1DB1-Normal4"/>
        <w:spacing w:before="120" w:after="120" w:line="240" w:lineRule="auto"/>
        <w:ind w:left="850"/>
        <w:jc w:val="both"/>
        <w:rPr>
          <w:rFonts w:eastAsia="Calibri" w:cs="Times New Roman"/>
          <w:noProof/>
        </w:rPr>
      </w:pPr>
      <w:r w:rsidRPr="00BC4EE7">
        <w:rPr>
          <w:rFonts w:cs="Times New Roman"/>
          <w:noProof/>
        </w:rPr>
        <w:t>Spanyolország helyreállítási és rezilienciaépítési tervének becsült összköltsége 163 029 653 473 EUR.</w:t>
      </w:r>
    </w:p>
    <w:p w14:paraId="7A88BAA2" w14:textId="77777777" w:rsidR="00D65CB4" w:rsidRPr="00BC4EE7" w:rsidRDefault="00D65CB4">
      <w:pPr>
        <w:spacing w:before="120" w:after="120" w:line="240" w:lineRule="auto"/>
        <w:jc w:val="both"/>
        <w:rPr>
          <w:rFonts w:ascii="Times New Roman" w:eastAsia="Calibri" w:hAnsi="Times New Roman" w:cs="Times New Roman"/>
          <w:noProof/>
          <w:sz w:val="24"/>
        </w:rPr>
      </w:pPr>
    </w:p>
    <w:p w14:paraId="6A6CE5A4" w14:textId="77777777" w:rsidR="00D65CB4" w:rsidRPr="00BC4EE7" w:rsidRDefault="00572307">
      <w:pPr>
        <w:pStyle w:val="P68B1DB1-Normal36"/>
        <w:spacing w:before="120" w:after="120" w:line="240" w:lineRule="auto"/>
        <w:jc w:val="both"/>
        <w:rPr>
          <w:rFonts w:eastAsia="Calibri" w:cs="Times New Roman"/>
          <w:noProof/>
        </w:rPr>
      </w:pPr>
      <w:r w:rsidRPr="00BC4EE7">
        <w:rPr>
          <w:rFonts w:cs="Times New Roman"/>
          <w:noProof/>
        </w:rPr>
        <w:t xml:space="preserve">2. SZAKASZ: PÉNZÜGYI TÁMOGATÁS </w:t>
      </w:r>
    </w:p>
    <w:p w14:paraId="6EB2AA1A" w14:textId="77777777" w:rsidR="00D65CB4" w:rsidRPr="00BC4EE7" w:rsidRDefault="00572307">
      <w:pPr>
        <w:pStyle w:val="P68B1DB1-NumPar137"/>
        <w:numPr>
          <w:ilvl w:val="0"/>
          <w:numId w:val="191"/>
        </w:numPr>
        <w:rPr>
          <w:rFonts w:cs="Times New Roman"/>
          <w:noProof/>
        </w:rPr>
      </w:pPr>
      <w:r w:rsidRPr="00BC4EE7">
        <w:rPr>
          <w:rFonts w:cs="Times New Roman"/>
          <w:noProof/>
        </w:rPr>
        <w:t xml:space="preserve">Pénzügyi hozzájárulás </w:t>
      </w:r>
    </w:p>
    <w:p w14:paraId="5734AC5E" w14:textId="77777777" w:rsidR="00D65CB4" w:rsidRPr="00BC4EE7" w:rsidRDefault="00572307">
      <w:pPr>
        <w:pStyle w:val="P68B1DB1-Normal4"/>
        <w:spacing w:before="120" w:after="120" w:line="240" w:lineRule="auto"/>
        <w:ind w:left="850"/>
        <w:jc w:val="both"/>
        <w:rPr>
          <w:rFonts w:eastAsia="Calibri" w:cs="Times New Roman"/>
          <w:noProof/>
        </w:rPr>
      </w:pPr>
      <w:r w:rsidRPr="00BC4EE7">
        <w:rPr>
          <w:rFonts w:cs="Times New Roman"/>
          <w:noProof/>
        </w:rPr>
        <w:t>A 2. cikk (2) bekezdésében említett részösszegek szerkezete a következő:</w:t>
      </w:r>
    </w:p>
    <w:p w14:paraId="24258B11" w14:textId="77777777" w:rsidR="00D65CB4" w:rsidRPr="00BC4EE7" w:rsidRDefault="00572307">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sidRPr="00BC4EE7">
        <w:rPr>
          <w:rFonts w:cs="Times New Roman"/>
          <w:noProof/>
        </w:rPr>
        <w:t xml:space="preserve">Első részösszeg (vissza nem térítendő támogatás): </w:t>
      </w:r>
    </w:p>
    <w:tbl>
      <w:tblPr>
        <w:tblW w:w="10314" w:type="dxa"/>
        <w:tblInd w:w="-459" w:type="dxa"/>
        <w:tblLayout w:type="fixed"/>
        <w:tblLook w:val="04A0" w:firstRow="1" w:lastRow="0" w:firstColumn="1" w:lastColumn="0" w:noHBand="0" w:noVBand="1"/>
      </w:tblPr>
      <w:tblGrid>
        <w:gridCol w:w="993"/>
        <w:gridCol w:w="2163"/>
        <w:gridCol w:w="1239"/>
        <w:gridCol w:w="5906"/>
        <w:gridCol w:w="13"/>
      </w:tblGrid>
      <w:tr w:rsidR="00D65CB4" w:rsidRPr="00BC4EE7" w14:paraId="19034D7E" w14:textId="77777777" w:rsidTr="00572307">
        <w:trPr>
          <w:trHeight w:val="807"/>
          <w:tblHeader/>
        </w:trPr>
        <w:tc>
          <w:tcPr>
            <w:tcW w:w="99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F54C266" w14:textId="77777777"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Sorszám</w:t>
            </w:r>
          </w:p>
        </w:tc>
        <w:tc>
          <w:tcPr>
            <w:tcW w:w="216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01B297E1" w14:textId="77777777"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Kapcsolódó intézkedés (reform vagy beruházás)</w:t>
            </w:r>
          </w:p>
        </w:tc>
        <w:tc>
          <w:tcPr>
            <w:tcW w:w="1239"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3B793787" w14:textId="77777777"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Mérföldkő/cél</w:t>
            </w:r>
          </w:p>
        </w:tc>
        <w:tc>
          <w:tcPr>
            <w:tcW w:w="5919" w:type="dxa"/>
            <w:gridSpan w:val="2"/>
            <w:vMerge w:val="restart"/>
            <w:tcBorders>
              <w:top w:val="single" w:sz="4" w:space="0" w:color="auto"/>
              <w:left w:val="nil"/>
              <w:bottom w:val="single" w:sz="4" w:space="0" w:color="000000"/>
              <w:right w:val="single" w:sz="4" w:space="0" w:color="auto"/>
            </w:tcBorders>
            <w:shd w:val="clear" w:color="auto" w:fill="BDD7EE"/>
            <w:vAlign w:val="center"/>
            <w:hideMark/>
          </w:tcPr>
          <w:p w14:paraId="34541701" w14:textId="77777777"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Név</w:t>
            </w:r>
          </w:p>
        </w:tc>
      </w:tr>
      <w:tr w:rsidR="00D65CB4" w:rsidRPr="00BC4EE7" w14:paraId="6CAFC044" w14:textId="77777777" w:rsidTr="00572307">
        <w:trPr>
          <w:trHeight w:val="679"/>
        </w:trPr>
        <w:tc>
          <w:tcPr>
            <w:tcW w:w="993" w:type="dxa"/>
            <w:vMerge/>
            <w:tcBorders>
              <w:top w:val="single" w:sz="4" w:space="0" w:color="auto"/>
              <w:left w:val="single" w:sz="4" w:space="0" w:color="auto"/>
              <w:bottom w:val="single" w:sz="4" w:space="0" w:color="000000"/>
              <w:right w:val="single" w:sz="4" w:space="0" w:color="auto"/>
            </w:tcBorders>
            <w:vAlign w:val="center"/>
            <w:hideMark/>
          </w:tcPr>
          <w:p w14:paraId="2EC0A33B" w14:textId="77777777" w:rsidR="00D65CB4" w:rsidRPr="00BC4EE7" w:rsidRDefault="00D65CB4">
            <w:pPr>
              <w:spacing w:after="0" w:line="240" w:lineRule="auto"/>
              <w:rPr>
                <w:rFonts w:ascii="Times New Roman" w:eastAsia="Times New Roman" w:hAnsi="Times New Roman" w:cs="Times New Roman"/>
                <w:b/>
                <w:noProof/>
                <w:sz w:val="20"/>
              </w:rPr>
            </w:pPr>
          </w:p>
        </w:tc>
        <w:tc>
          <w:tcPr>
            <w:tcW w:w="2163" w:type="dxa"/>
            <w:vMerge/>
            <w:tcBorders>
              <w:top w:val="single" w:sz="4" w:space="0" w:color="auto"/>
              <w:left w:val="single" w:sz="4" w:space="0" w:color="auto"/>
              <w:bottom w:val="single" w:sz="4" w:space="0" w:color="000000"/>
              <w:right w:val="single" w:sz="4" w:space="0" w:color="auto"/>
            </w:tcBorders>
            <w:vAlign w:val="center"/>
            <w:hideMark/>
          </w:tcPr>
          <w:p w14:paraId="2F42DAB6" w14:textId="77777777" w:rsidR="00D65CB4" w:rsidRPr="00BC4EE7" w:rsidRDefault="00D65CB4">
            <w:pPr>
              <w:spacing w:after="0" w:line="240" w:lineRule="auto"/>
              <w:rPr>
                <w:rFonts w:ascii="Times New Roman" w:eastAsia="Times New Roman" w:hAnsi="Times New Roman" w:cs="Times New Roman"/>
                <w:b/>
                <w:noProof/>
                <w:sz w:val="20"/>
              </w:rPr>
            </w:pPr>
          </w:p>
        </w:tc>
        <w:tc>
          <w:tcPr>
            <w:tcW w:w="1239" w:type="dxa"/>
            <w:vMerge/>
            <w:tcBorders>
              <w:top w:val="single" w:sz="4" w:space="0" w:color="auto"/>
              <w:left w:val="single" w:sz="4" w:space="0" w:color="auto"/>
              <w:bottom w:val="single" w:sz="4" w:space="0" w:color="000000"/>
              <w:right w:val="single" w:sz="4" w:space="0" w:color="auto"/>
            </w:tcBorders>
            <w:vAlign w:val="center"/>
            <w:hideMark/>
          </w:tcPr>
          <w:p w14:paraId="32CD4E83" w14:textId="77777777" w:rsidR="00D65CB4" w:rsidRPr="00BC4EE7" w:rsidRDefault="00D65CB4">
            <w:pPr>
              <w:spacing w:after="0" w:line="240" w:lineRule="auto"/>
              <w:rPr>
                <w:rFonts w:ascii="Times New Roman" w:eastAsia="Times New Roman" w:hAnsi="Times New Roman" w:cs="Times New Roman"/>
                <w:b/>
                <w:noProof/>
                <w:sz w:val="20"/>
              </w:rPr>
            </w:pPr>
          </w:p>
        </w:tc>
        <w:tc>
          <w:tcPr>
            <w:tcW w:w="5919" w:type="dxa"/>
            <w:gridSpan w:val="2"/>
            <w:vMerge/>
            <w:tcBorders>
              <w:top w:val="single" w:sz="4" w:space="0" w:color="auto"/>
              <w:left w:val="nil"/>
              <w:bottom w:val="single" w:sz="4" w:space="0" w:color="000000"/>
              <w:right w:val="single" w:sz="4" w:space="0" w:color="auto"/>
            </w:tcBorders>
            <w:vAlign w:val="center"/>
            <w:hideMark/>
          </w:tcPr>
          <w:p w14:paraId="0949BBA1" w14:textId="77777777" w:rsidR="00D65CB4" w:rsidRPr="00BC4EE7" w:rsidRDefault="00D65CB4">
            <w:pPr>
              <w:spacing w:after="0" w:line="240" w:lineRule="auto"/>
              <w:rPr>
                <w:rFonts w:ascii="Times New Roman" w:eastAsia="Times New Roman" w:hAnsi="Times New Roman" w:cs="Times New Roman"/>
                <w:b/>
                <w:noProof/>
                <w:sz w:val="20"/>
              </w:rPr>
            </w:pPr>
          </w:p>
        </w:tc>
      </w:tr>
      <w:tr w:rsidR="00D65CB4" w:rsidRPr="00BC4EE7" w14:paraId="225A0F73" w14:textId="77777777" w:rsidTr="00572307">
        <w:trPr>
          <w:trHeight w:val="268"/>
        </w:trPr>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6FD40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w:t>
            </w:r>
          </w:p>
        </w:tc>
        <w:tc>
          <w:tcPr>
            <w:tcW w:w="2163" w:type="dxa"/>
            <w:tcBorders>
              <w:top w:val="single" w:sz="4" w:space="0" w:color="auto"/>
              <w:left w:val="nil"/>
              <w:bottom w:val="single" w:sz="4" w:space="0" w:color="auto"/>
              <w:right w:val="single" w:sz="4" w:space="0" w:color="auto"/>
            </w:tcBorders>
            <w:shd w:val="clear" w:color="auto" w:fill="C6EFCE"/>
            <w:noWrap/>
            <w:vAlign w:val="center"/>
          </w:tcPr>
          <w:p w14:paraId="362717E5"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C1.R1</w:t>
            </w:r>
          </w:p>
        </w:tc>
        <w:tc>
          <w:tcPr>
            <w:tcW w:w="1239" w:type="dxa"/>
            <w:tcBorders>
              <w:top w:val="single" w:sz="4" w:space="0" w:color="auto"/>
              <w:left w:val="nil"/>
              <w:bottom w:val="single" w:sz="4" w:space="0" w:color="auto"/>
              <w:right w:val="single" w:sz="4" w:space="0" w:color="auto"/>
            </w:tcBorders>
            <w:shd w:val="clear" w:color="auto" w:fill="C6EFCE"/>
            <w:noWrap/>
            <w:vAlign w:val="center"/>
          </w:tcPr>
          <w:p w14:paraId="14CC7ADE"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5919" w:type="dxa"/>
            <w:gridSpan w:val="2"/>
            <w:tcBorders>
              <w:top w:val="single" w:sz="4" w:space="0" w:color="auto"/>
              <w:left w:val="nil"/>
              <w:bottom w:val="single" w:sz="4" w:space="0" w:color="auto"/>
              <w:right w:val="single" w:sz="4" w:space="0" w:color="auto"/>
            </w:tcBorders>
            <w:shd w:val="clear" w:color="auto" w:fill="C6EFCE"/>
            <w:noWrap/>
            <w:vAlign w:val="center"/>
          </w:tcPr>
          <w:p w14:paraId="039265D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TMA/178/2020 rendelet és a 23/2020. sz. királyi törvényerejű rendelet</w:t>
            </w:r>
          </w:p>
        </w:tc>
      </w:tr>
      <w:tr w:rsidR="00D65CB4" w:rsidRPr="00BC4EE7" w14:paraId="2480D24E" w14:textId="77777777" w:rsidTr="00572307">
        <w:trPr>
          <w:trHeight w:val="268"/>
        </w:trPr>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0F6B8B"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21</w:t>
            </w:r>
          </w:p>
        </w:tc>
        <w:tc>
          <w:tcPr>
            <w:tcW w:w="2163" w:type="dxa"/>
            <w:tcBorders>
              <w:top w:val="single" w:sz="4" w:space="0" w:color="auto"/>
              <w:left w:val="nil"/>
              <w:bottom w:val="single" w:sz="4" w:space="0" w:color="auto"/>
              <w:right w:val="single" w:sz="4" w:space="0" w:color="auto"/>
            </w:tcBorders>
            <w:shd w:val="clear" w:color="auto" w:fill="C6EFCE"/>
            <w:noWrap/>
            <w:vAlign w:val="center"/>
          </w:tcPr>
          <w:p w14:paraId="0E9D9941"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C2.R1</w:t>
            </w:r>
          </w:p>
        </w:tc>
        <w:tc>
          <w:tcPr>
            <w:tcW w:w="1239" w:type="dxa"/>
            <w:tcBorders>
              <w:top w:val="single" w:sz="4" w:space="0" w:color="auto"/>
              <w:left w:val="nil"/>
              <w:bottom w:val="single" w:sz="4" w:space="0" w:color="auto"/>
              <w:right w:val="single" w:sz="4" w:space="0" w:color="auto"/>
            </w:tcBorders>
            <w:shd w:val="clear" w:color="auto" w:fill="C6EFCE"/>
            <w:noWrap/>
            <w:vAlign w:val="center"/>
          </w:tcPr>
          <w:p w14:paraId="4F0CF980"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5919" w:type="dxa"/>
            <w:gridSpan w:val="2"/>
            <w:tcBorders>
              <w:top w:val="single" w:sz="4" w:space="0" w:color="auto"/>
              <w:left w:val="nil"/>
              <w:bottom w:val="single" w:sz="4" w:space="0" w:color="auto"/>
              <w:right w:val="single" w:sz="4" w:space="0" w:color="auto"/>
            </w:tcBorders>
            <w:shd w:val="clear" w:color="auto" w:fill="C6EFCE"/>
            <w:noWrap/>
            <w:vAlign w:val="center"/>
          </w:tcPr>
          <w:p w14:paraId="3FCC87C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spanyol városfejlesztési menetrend és a spanyolországi építőipar energetikai rehabilitációjára vonatkozó hosszú távú felújítási stratégia hatálybalépése </w:t>
            </w:r>
          </w:p>
        </w:tc>
      </w:tr>
      <w:tr w:rsidR="00D65CB4" w:rsidRPr="00BC4EE7" w14:paraId="415FB51A" w14:textId="77777777" w:rsidTr="00572307">
        <w:trPr>
          <w:trHeight w:val="268"/>
        </w:trPr>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10AFFB"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39</w:t>
            </w:r>
          </w:p>
        </w:tc>
        <w:tc>
          <w:tcPr>
            <w:tcW w:w="2163" w:type="dxa"/>
            <w:tcBorders>
              <w:top w:val="single" w:sz="4" w:space="0" w:color="auto"/>
              <w:left w:val="nil"/>
              <w:bottom w:val="single" w:sz="4" w:space="0" w:color="auto"/>
              <w:right w:val="single" w:sz="4" w:space="0" w:color="auto"/>
            </w:tcBorders>
            <w:shd w:val="clear" w:color="auto" w:fill="C6EFCE"/>
            <w:noWrap/>
            <w:vAlign w:val="center"/>
          </w:tcPr>
          <w:p w14:paraId="043C327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C3.R1</w:t>
            </w:r>
          </w:p>
        </w:tc>
        <w:tc>
          <w:tcPr>
            <w:tcW w:w="1239" w:type="dxa"/>
            <w:tcBorders>
              <w:top w:val="single" w:sz="4" w:space="0" w:color="auto"/>
              <w:left w:val="nil"/>
              <w:bottom w:val="single" w:sz="4" w:space="0" w:color="auto"/>
              <w:right w:val="single" w:sz="4" w:space="0" w:color="auto"/>
            </w:tcBorders>
            <w:shd w:val="clear" w:color="auto" w:fill="C6EFCE"/>
            <w:noWrap/>
            <w:vAlign w:val="center"/>
          </w:tcPr>
          <w:p w14:paraId="14699418"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5919" w:type="dxa"/>
            <w:gridSpan w:val="2"/>
            <w:tcBorders>
              <w:top w:val="single" w:sz="4" w:space="0" w:color="auto"/>
              <w:left w:val="nil"/>
              <w:bottom w:val="single" w:sz="4" w:space="0" w:color="auto"/>
              <w:right w:val="single" w:sz="4" w:space="0" w:color="auto"/>
            </w:tcBorders>
            <w:shd w:val="clear" w:color="auto" w:fill="C6EFCE"/>
            <w:noWrap/>
            <w:vAlign w:val="center"/>
          </w:tcPr>
          <w:p w14:paraId="3163166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mezőgazdasággal és az élelmiszerekkel kapcsolatos sürgős intézkedésekről szóló 5/2020. sz. királyi törvényerejű rendelet és az élelmiszerlánc működésének javítását célzó intézkedésekről szóló 12/2013. sz. törvény módosításáról szóló 8/2020. sz. törvény hatálybalépése</w:t>
            </w:r>
          </w:p>
        </w:tc>
      </w:tr>
      <w:tr w:rsidR="00D65CB4" w:rsidRPr="00BC4EE7" w14:paraId="256249B1" w14:textId="77777777" w:rsidTr="00572307">
        <w:trPr>
          <w:trHeight w:val="268"/>
        </w:trPr>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B3830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63</w:t>
            </w:r>
          </w:p>
        </w:tc>
        <w:tc>
          <w:tcPr>
            <w:tcW w:w="2163" w:type="dxa"/>
            <w:tcBorders>
              <w:top w:val="single" w:sz="4" w:space="0" w:color="auto"/>
              <w:left w:val="nil"/>
              <w:bottom w:val="single" w:sz="4" w:space="0" w:color="auto"/>
              <w:right w:val="single" w:sz="4" w:space="0" w:color="auto"/>
            </w:tcBorders>
            <w:shd w:val="clear" w:color="auto" w:fill="C6EFCE"/>
            <w:noWrap/>
            <w:vAlign w:val="center"/>
          </w:tcPr>
          <w:p w14:paraId="74B79D67"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C4.R2</w:t>
            </w:r>
          </w:p>
        </w:tc>
        <w:tc>
          <w:tcPr>
            <w:tcW w:w="1239" w:type="dxa"/>
            <w:tcBorders>
              <w:top w:val="single" w:sz="4" w:space="0" w:color="auto"/>
              <w:left w:val="nil"/>
              <w:bottom w:val="single" w:sz="4" w:space="0" w:color="auto"/>
              <w:right w:val="single" w:sz="4" w:space="0" w:color="auto"/>
            </w:tcBorders>
            <w:shd w:val="clear" w:color="auto" w:fill="C6EFCE"/>
            <w:noWrap/>
            <w:vAlign w:val="center"/>
          </w:tcPr>
          <w:p w14:paraId="431E7925"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5919" w:type="dxa"/>
            <w:gridSpan w:val="2"/>
            <w:tcBorders>
              <w:top w:val="single" w:sz="4" w:space="0" w:color="auto"/>
              <w:left w:val="nil"/>
              <w:bottom w:val="single" w:sz="4" w:space="0" w:color="auto"/>
              <w:right w:val="single" w:sz="4" w:space="0" w:color="auto"/>
            </w:tcBorders>
            <w:shd w:val="clear" w:color="auto" w:fill="C6EFCE"/>
            <w:noWrap/>
            <w:vAlign w:val="center"/>
          </w:tcPr>
          <w:p w14:paraId="031A5CA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környezetbarát infrastruktúrára, az összeköttetésekre és az ökológiai helyreállításra vonatkozó nemzeti stratégia elfogadása</w:t>
            </w:r>
          </w:p>
        </w:tc>
      </w:tr>
      <w:tr w:rsidR="00D65CB4" w:rsidRPr="00BC4EE7" w14:paraId="01448C79" w14:textId="77777777" w:rsidTr="00572307">
        <w:trPr>
          <w:trHeight w:val="268"/>
        </w:trPr>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B1D3E9"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82</w:t>
            </w:r>
          </w:p>
        </w:tc>
        <w:tc>
          <w:tcPr>
            <w:tcW w:w="2163" w:type="dxa"/>
            <w:tcBorders>
              <w:top w:val="single" w:sz="4" w:space="0" w:color="auto"/>
              <w:left w:val="nil"/>
              <w:bottom w:val="single" w:sz="4" w:space="0" w:color="auto"/>
              <w:right w:val="single" w:sz="4" w:space="0" w:color="auto"/>
            </w:tcBorders>
            <w:shd w:val="clear" w:color="auto" w:fill="C6EFCE"/>
            <w:noWrap/>
            <w:vAlign w:val="center"/>
          </w:tcPr>
          <w:p w14:paraId="2F1B5C80"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C6.R1</w:t>
            </w:r>
          </w:p>
        </w:tc>
        <w:tc>
          <w:tcPr>
            <w:tcW w:w="1239" w:type="dxa"/>
            <w:tcBorders>
              <w:top w:val="single" w:sz="4" w:space="0" w:color="auto"/>
              <w:left w:val="nil"/>
              <w:bottom w:val="single" w:sz="4" w:space="0" w:color="auto"/>
              <w:right w:val="single" w:sz="4" w:space="0" w:color="auto"/>
            </w:tcBorders>
            <w:shd w:val="clear" w:color="auto" w:fill="C6EFCE"/>
            <w:noWrap/>
            <w:vAlign w:val="center"/>
          </w:tcPr>
          <w:p w14:paraId="47B85F95"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5919" w:type="dxa"/>
            <w:gridSpan w:val="2"/>
            <w:tcBorders>
              <w:top w:val="single" w:sz="4" w:space="0" w:color="auto"/>
              <w:left w:val="nil"/>
              <w:bottom w:val="single" w:sz="4" w:space="0" w:color="auto"/>
              <w:right w:val="single" w:sz="4" w:space="0" w:color="auto"/>
            </w:tcBorders>
            <w:shd w:val="clear" w:color="auto" w:fill="C6EFCE"/>
            <w:noWrap/>
            <w:vAlign w:val="center"/>
          </w:tcPr>
          <w:p w14:paraId="0737C31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fenntartható, biztonságos és összekapcsolt mobilitásra vonatkozó stratégia (nyilvános konzultáció)</w:t>
            </w:r>
          </w:p>
        </w:tc>
      </w:tr>
      <w:tr w:rsidR="00D65CB4" w:rsidRPr="00BC4EE7" w14:paraId="7297BF1D" w14:textId="77777777" w:rsidTr="00572307">
        <w:trPr>
          <w:trHeight w:val="268"/>
        </w:trPr>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CDB122"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102</w:t>
            </w:r>
          </w:p>
        </w:tc>
        <w:tc>
          <w:tcPr>
            <w:tcW w:w="2163" w:type="dxa"/>
            <w:tcBorders>
              <w:top w:val="single" w:sz="4" w:space="0" w:color="auto"/>
              <w:left w:val="nil"/>
              <w:bottom w:val="single" w:sz="4" w:space="0" w:color="auto"/>
              <w:right w:val="single" w:sz="4" w:space="0" w:color="auto"/>
            </w:tcBorders>
            <w:shd w:val="clear" w:color="auto" w:fill="C6EFCE"/>
            <w:noWrap/>
            <w:vAlign w:val="center"/>
          </w:tcPr>
          <w:p w14:paraId="17114184"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C7.R1</w:t>
            </w:r>
          </w:p>
        </w:tc>
        <w:tc>
          <w:tcPr>
            <w:tcW w:w="1239" w:type="dxa"/>
            <w:tcBorders>
              <w:top w:val="single" w:sz="4" w:space="0" w:color="auto"/>
              <w:left w:val="nil"/>
              <w:bottom w:val="single" w:sz="4" w:space="0" w:color="auto"/>
              <w:right w:val="single" w:sz="4" w:space="0" w:color="auto"/>
            </w:tcBorders>
            <w:shd w:val="clear" w:color="auto" w:fill="C6EFCE"/>
            <w:noWrap/>
            <w:vAlign w:val="center"/>
          </w:tcPr>
          <w:p w14:paraId="0C0B33EE"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5919" w:type="dxa"/>
            <w:gridSpan w:val="2"/>
            <w:tcBorders>
              <w:top w:val="single" w:sz="4" w:space="0" w:color="auto"/>
              <w:left w:val="nil"/>
              <w:bottom w:val="single" w:sz="4" w:space="0" w:color="auto"/>
              <w:right w:val="single" w:sz="4" w:space="0" w:color="auto"/>
            </w:tcBorders>
            <w:shd w:val="clear" w:color="auto" w:fill="C6EFCE"/>
            <w:noWrap/>
            <w:vAlign w:val="center"/>
          </w:tcPr>
          <w:p w14:paraId="24D3F62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23/2020. sz. királyi törvényerejű rendelet hatálybalépése (energiaintézkedések)</w:t>
            </w:r>
          </w:p>
        </w:tc>
      </w:tr>
      <w:tr w:rsidR="00D65CB4" w:rsidRPr="00BC4EE7" w14:paraId="37286307" w14:textId="77777777" w:rsidTr="00572307">
        <w:trPr>
          <w:trHeight w:val="268"/>
        </w:trPr>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8BA02A"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103</w:t>
            </w:r>
          </w:p>
        </w:tc>
        <w:tc>
          <w:tcPr>
            <w:tcW w:w="2163" w:type="dxa"/>
            <w:tcBorders>
              <w:top w:val="single" w:sz="4" w:space="0" w:color="auto"/>
              <w:left w:val="nil"/>
              <w:bottom w:val="single" w:sz="4" w:space="0" w:color="auto"/>
              <w:right w:val="single" w:sz="4" w:space="0" w:color="auto"/>
            </w:tcBorders>
            <w:shd w:val="clear" w:color="auto" w:fill="C6EFCE"/>
            <w:noWrap/>
            <w:vAlign w:val="center"/>
          </w:tcPr>
          <w:p w14:paraId="018C4301"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C7.R1</w:t>
            </w:r>
          </w:p>
        </w:tc>
        <w:tc>
          <w:tcPr>
            <w:tcW w:w="1239" w:type="dxa"/>
            <w:tcBorders>
              <w:top w:val="single" w:sz="4" w:space="0" w:color="auto"/>
              <w:left w:val="nil"/>
              <w:bottom w:val="single" w:sz="4" w:space="0" w:color="auto"/>
              <w:right w:val="single" w:sz="4" w:space="0" w:color="auto"/>
            </w:tcBorders>
            <w:shd w:val="clear" w:color="auto" w:fill="C6EFCE"/>
            <w:noWrap/>
            <w:vAlign w:val="center"/>
          </w:tcPr>
          <w:p w14:paraId="7CF3255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5919" w:type="dxa"/>
            <w:gridSpan w:val="2"/>
            <w:tcBorders>
              <w:top w:val="single" w:sz="4" w:space="0" w:color="auto"/>
              <w:left w:val="nil"/>
              <w:bottom w:val="single" w:sz="4" w:space="0" w:color="auto"/>
              <w:right w:val="single" w:sz="4" w:space="0" w:color="auto"/>
            </w:tcBorders>
            <w:shd w:val="clear" w:color="auto" w:fill="C6EFCE"/>
            <w:noWrap/>
            <w:vAlign w:val="center"/>
          </w:tcPr>
          <w:p w14:paraId="16EDAD9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960/2020. sz. királyi rendelet hatálybalépése (a megújuló energiára vonatkozó gazdasági rendszer)</w:t>
            </w:r>
          </w:p>
        </w:tc>
      </w:tr>
      <w:tr w:rsidR="00D65CB4" w:rsidRPr="00BC4EE7" w14:paraId="7A01B14E" w14:textId="77777777" w:rsidTr="00572307">
        <w:trPr>
          <w:trHeight w:val="268"/>
        </w:trPr>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6BC4BC"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104</w:t>
            </w:r>
          </w:p>
        </w:tc>
        <w:tc>
          <w:tcPr>
            <w:tcW w:w="2163" w:type="dxa"/>
            <w:tcBorders>
              <w:top w:val="single" w:sz="4" w:space="0" w:color="auto"/>
              <w:left w:val="nil"/>
              <w:bottom w:val="single" w:sz="4" w:space="0" w:color="auto"/>
              <w:right w:val="single" w:sz="4" w:space="0" w:color="auto"/>
            </w:tcBorders>
            <w:shd w:val="clear" w:color="auto" w:fill="C6EFCE"/>
            <w:noWrap/>
            <w:vAlign w:val="center"/>
          </w:tcPr>
          <w:p w14:paraId="786714D2"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C7.R1</w:t>
            </w:r>
          </w:p>
        </w:tc>
        <w:tc>
          <w:tcPr>
            <w:tcW w:w="1239" w:type="dxa"/>
            <w:tcBorders>
              <w:top w:val="single" w:sz="4" w:space="0" w:color="auto"/>
              <w:left w:val="nil"/>
              <w:bottom w:val="single" w:sz="4" w:space="0" w:color="auto"/>
              <w:right w:val="single" w:sz="4" w:space="0" w:color="auto"/>
            </w:tcBorders>
            <w:shd w:val="clear" w:color="auto" w:fill="C6EFCE"/>
            <w:noWrap/>
            <w:vAlign w:val="center"/>
          </w:tcPr>
          <w:p w14:paraId="2596A2CB"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5919" w:type="dxa"/>
            <w:gridSpan w:val="2"/>
            <w:tcBorders>
              <w:top w:val="single" w:sz="4" w:space="0" w:color="auto"/>
              <w:left w:val="nil"/>
              <w:bottom w:val="single" w:sz="4" w:space="0" w:color="auto"/>
              <w:right w:val="single" w:sz="4" w:space="0" w:color="auto"/>
            </w:tcBorders>
            <w:shd w:val="clear" w:color="auto" w:fill="C6EFCE"/>
            <w:noWrap/>
            <w:vAlign w:val="center"/>
          </w:tcPr>
          <w:p w14:paraId="1EF00BC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1183/2020. sz. királyi rendelet hatálybalépése (a megújuló energiaforrások villamosenergia-hálózathoz való csatlakoztatása)</w:t>
            </w:r>
          </w:p>
        </w:tc>
      </w:tr>
      <w:tr w:rsidR="00D65CB4" w:rsidRPr="00BC4EE7" w14:paraId="51C42565" w14:textId="77777777" w:rsidTr="00572307">
        <w:trPr>
          <w:trHeight w:val="268"/>
        </w:trPr>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FBE483"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105</w:t>
            </w:r>
          </w:p>
        </w:tc>
        <w:tc>
          <w:tcPr>
            <w:tcW w:w="2163" w:type="dxa"/>
            <w:tcBorders>
              <w:top w:val="single" w:sz="4" w:space="0" w:color="auto"/>
              <w:left w:val="nil"/>
              <w:bottom w:val="single" w:sz="4" w:space="0" w:color="auto"/>
              <w:right w:val="single" w:sz="4" w:space="0" w:color="auto"/>
            </w:tcBorders>
            <w:shd w:val="clear" w:color="auto" w:fill="C6EFCE"/>
            <w:noWrap/>
            <w:vAlign w:val="center"/>
          </w:tcPr>
          <w:p w14:paraId="337A5413"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C7.R1</w:t>
            </w:r>
          </w:p>
        </w:tc>
        <w:tc>
          <w:tcPr>
            <w:tcW w:w="1239" w:type="dxa"/>
            <w:tcBorders>
              <w:top w:val="single" w:sz="4" w:space="0" w:color="auto"/>
              <w:left w:val="nil"/>
              <w:bottom w:val="single" w:sz="4" w:space="0" w:color="auto"/>
              <w:right w:val="single" w:sz="4" w:space="0" w:color="auto"/>
            </w:tcBorders>
            <w:shd w:val="clear" w:color="auto" w:fill="C6EFCE"/>
            <w:noWrap/>
            <w:vAlign w:val="center"/>
          </w:tcPr>
          <w:p w14:paraId="76F8389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5919" w:type="dxa"/>
            <w:gridSpan w:val="2"/>
            <w:tcBorders>
              <w:top w:val="single" w:sz="4" w:space="0" w:color="auto"/>
              <w:left w:val="nil"/>
              <w:bottom w:val="single" w:sz="4" w:space="0" w:color="auto"/>
              <w:right w:val="single" w:sz="4" w:space="0" w:color="auto"/>
            </w:tcBorders>
            <w:shd w:val="clear" w:color="auto" w:fill="C6EFCE"/>
            <w:noWrap/>
            <w:vAlign w:val="center"/>
          </w:tcPr>
          <w:p w14:paraId="2BA0C57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Az éghajlatváltozásról és az energetikai átállásról szóló törvény hatálybalépése </w:t>
            </w:r>
          </w:p>
        </w:tc>
      </w:tr>
      <w:tr w:rsidR="00D65CB4" w:rsidRPr="00BC4EE7" w14:paraId="0D65DCDF" w14:textId="77777777" w:rsidTr="00572307">
        <w:trPr>
          <w:trHeight w:val="268"/>
        </w:trPr>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DB7240"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121</w:t>
            </w:r>
          </w:p>
        </w:tc>
        <w:tc>
          <w:tcPr>
            <w:tcW w:w="2163" w:type="dxa"/>
            <w:tcBorders>
              <w:top w:val="single" w:sz="4" w:space="0" w:color="auto"/>
              <w:left w:val="nil"/>
              <w:bottom w:val="single" w:sz="4" w:space="0" w:color="auto"/>
              <w:right w:val="single" w:sz="4" w:space="0" w:color="auto"/>
            </w:tcBorders>
            <w:shd w:val="clear" w:color="auto" w:fill="C6EFCE"/>
            <w:noWrap/>
            <w:vAlign w:val="center"/>
          </w:tcPr>
          <w:p w14:paraId="39BAE3EE"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C8.R1</w:t>
            </w:r>
          </w:p>
        </w:tc>
        <w:tc>
          <w:tcPr>
            <w:tcW w:w="1239" w:type="dxa"/>
            <w:tcBorders>
              <w:top w:val="single" w:sz="4" w:space="0" w:color="auto"/>
              <w:left w:val="nil"/>
              <w:bottom w:val="single" w:sz="4" w:space="0" w:color="auto"/>
              <w:right w:val="single" w:sz="4" w:space="0" w:color="auto"/>
            </w:tcBorders>
            <w:shd w:val="clear" w:color="auto" w:fill="C6EFCE"/>
            <w:noWrap/>
            <w:vAlign w:val="center"/>
          </w:tcPr>
          <w:p w14:paraId="51C703D7"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5919" w:type="dxa"/>
            <w:gridSpan w:val="2"/>
            <w:tcBorders>
              <w:top w:val="single" w:sz="4" w:space="0" w:color="auto"/>
              <w:left w:val="nil"/>
              <w:bottom w:val="single" w:sz="4" w:space="0" w:color="auto"/>
              <w:right w:val="single" w:sz="4" w:space="0" w:color="auto"/>
            </w:tcBorders>
            <w:shd w:val="clear" w:color="auto" w:fill="C6EFCE"/>
            <w:noWrap/>
            <w:vAlign w:val="center"/>
          </w:tcPr>
          <w:p w14:paraId="5AEB3BE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hosszú távú dekarbonizációs stratégia („ELP2050”) jóváhagyása.</w:t>
            </w:r>
          </w:p>
        </w:tc>
      </w:tr>
      <w:tr w:rsidR="00D65CB4" w:rsidRPr="00BC4EE7" w14:paraId="5F4A8EF4" w14:textId="77777777" w:rsidTr="00572307">
        <w:trPr>
          <w:trHeight w:val="268"/>
        </w:trPr>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D70339"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122</w:t>
            </w:r>
          </w:p>
        </w:tc>
        <w:tc>
          <w:tcPr>
            <w:tcW w:w="2163" w:type="dxa"/>
            <w:tcBorders>
              <w:top w:val="single" w:sz="4" w:space="0" w:color="auto"/>
              <w:left w:val="nil"/>
              <w:bottom w:val="single" w:sz="4" w:space="0" w:color="auto"/>
              <w:right w:val="single" w:sz="4" w:space="0" w:color="auto"/>
            </w:tcBorders>
            <w:shd w:val="clear" w:color="auto" w:fill="C6EFCE"/>
            <w:noWrap/>
            <w:vAlign w:val="center"/>
          </w:tcPr>
          <w:p w14:paraId="2EA35BA1"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C8.R2</w:t>
            </w:r>
          </w:p>
        </w:tc>
        <w:tc>
          <w:tcPr>
            <w:tcW w:w="1239" w:type="dxa"/>
            <w:tcBorders>
              <w:top w:val="single" w:sz="4" w:space="0" w:color="auto"/>
              <w:left w:val="nil"/>
              <w:bottom w:val="single" w:sz="4" w:space="0" w:color="auto"/>
              <w:right w:val="single" w:sz="4" w:space="0" w:color="auto"/>
            </w:tcBorders>
            <w:shd w:val="clear" w:color="auto" w:fill="C6EFCE"/>
            <w:noWrap/>
            <w:vAlign w:val="center"/>
          </w:tcPr>
          <w:p w14:paraId="4BFEF2A0"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5919" w:type="dxa"/>
            <w:gridSpan w:val="2"/>
            <w:tcBorders>
              <w:top w:val="single" w:sz="4" w:space="0" w:color="auto"/>
              <w:left w:val="nil"/>
              <w:bottom w:val="single" w:sz="4" w:space="0" w:color="auto"/>
              <w:right w:val="single" w:sz="4" w:space="0" w:color="auto"/>
            </w:tcBorders>
            <w:shd w:val="clear" w:color="auto" w:fill="C6EFCE"/>
            <w:noWrap/>
            <w:vAlign w:val="center"/>
          </w:tcPr>
          <w:p w14:paraId="0EAEB46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Tervezési, jogalkotási és szabályozási reformok hatálybalépése az energiatárolási megoldások fejlesztésének előmozdítása érdekében.</w:t>
            </w:r>
          </w:p>
        </w:tc>
      </w:tr>
      <w:tr w:rsidR="00D65CB4" w:rsidRPr="00BC4EE7" w14:paraId="102F31C0" w14:textId="77777777" w:rsidTr="00572307">
        <w:trPr>
          <w:trHeight w:val="268"/>
        </w:trPr>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5B1CC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129</w:t>
            </w:r>
          </w:p>
        </w:tc>
        <w:tc>
          <w:tcPr>
            <w:tcW w:w="2163" w:type="dxa"/>
            <w:tcBorders>
              <w:top w:val="single" w:sz="4" w:space="0" w:color="auto"/>
              <w:left w:val="nil"/>
              <w:bottom w:val="single" w:sz="4" w:space="0" w:color="auto"/>
              <w:right w:val="single" w:sz="4" w:space="0" w:color="auto"/>
            </w:tcBorders>
            <w:shd w:val="clear" w:color="auto" w:fill="C6EFCE"/>
            <w:noWrap/>
            <w:vAlign w:val="center"/>
          </w:tcPr>
          <w:p w14:paraId="246CCF79"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C9.R1</w:t>
            </w:r>
          </w:p>
        </w:tc>
        <w:tc>
          <w:tcPr>
            <w:tcW w:w="1239" w:type="dxa"/>
            <w:tcBorders>
              <w:top w:val="single" w:sz="4" w:space="0" w:color="auto"/>
              <w:left w:val="nil"/>
              <w:bottom w:val="single" w:sz="4" w:space="0" w:color="auto"/>
              <w:right w:val="single" w:sz="4" w:space="0" w:color="auto"/>
            </w:tcBorders>
            <w:shd w:val="clear" w:color="auto" w:fill="C6EFCE"/>
            <w:noWrap/>
            <w:vAlign w:val="center"/>
          </w:tcPr>
          <w:p w14:paraId="7D60171E"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5919" w:type="dxa"/>
            <w:gridSpan w:val="2"/>
            <w:tcBorders>
              <w:top w:val="single" w:sz="4" w:space="0" w:color="auto"/>
              <w:left w:val="nil"/>
              <w:bottom w:val="single" w:sz="4" w:space="0" w:color="auto"/>
              <w:right w:val="single" w:sz="4" w:space="0" w:color="auto"/>
            </w:tcBorders>
            <w:shd w:val="clear" w:color="auto" w:fill="C6EFCE"/>
            <w:noWrap/>
            <w:vAlign w:val="center"/>
          </w:tcPr>
          <w:p w14:paraId="6A63C2A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Hidrogén-ütemterv </w:t>
            </w:r>
          </w:p>
        </w:tc>
      </w:tr>
      <w:tr w:rsidR="00D65CB4" w:rsidRPr="00BC4EE7" w14:paraId="3AFE7425" w14:textId="77777777" w:rsidTr="00572307">
        <w:trPr>
          <w:trHeight w:val="268"/>
        </w:trPr>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944540"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137</w:t>
            </w:r>
          </w:p>
        </w:tc>
        <w:tc>
          <w:tcPr>
            <w:tcW w:w="2163" w:type="dxa"/>
            <w:tcBorders>
              <w:top w:val="single" w:sz="4" w:space="0" w:color="auto"/>
              <w:left w:val="nil"/>
              <w:bottom w:val="single" w:sz="4" w:space="0" w:color="auto"/>
              <w:right w:val="single" w:sz="4" w:space="0" w:color="auto"/>
            </w:tcBorders>
            <w:shd w:val="clear" w:color="auto" w:fill="C6EFCE"/>
            <w:noWrap/>
            <w:vAlign w:val="center"/>
          </w:tcPr>
          <w:p w14:paraId="3C31926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C10.R1</w:t>
            </w:r>
          </w:p>
        </w:tc>
        <w:tc>
          <w:tcPr>
            <w:tcW w:w="1239" w:type="dxa"/>
            <w:tcBorders>
              <w:top w:val="single" w:sz="4" w:space="0" w:color="auto"/>
              <w:left w:val="nil"/>
              <w:bottom w:val="single" w:sz="4" w:space="0" w:color="auto"/>
              <w:right w:val="single" w:sz="4" w:space="0" w:color="auto"/>
            </w:tcBorders>
            <w:shd w:val="clear" w:color="auto" w:fill="C6EFCE"/>
            <w:noWrap/>
            <w:vAlign w:val="center"/>
          </w:tcPr>
          <w:p w14:paraId="54CB21E9"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5919" w:type="dxa"/>
            <w:gridSpan w:val="2"/>
            <w:tcBorders>
              <w:top w:val="single" w:sz="4" w:space="0" w:color="auto"/>
              <w:left w:val="nil"/>
              <w:bottom w:val="single" w:sz="4" w:space="0" w:color="auto"/>
              <w:right w:val="single" w:sz="4" w:space="0" w:color="auto"/>
            </w:tcBorders>
            <w:shd w:val="clear" w:color="auto" w:fill="C6EFCE"/>
            <w:noWrap/>
            <w:vAlign w:val="center"/>
          </w:tcPr>
          <w:p w14:paraId="0FE0B7F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Méltányos Átállást Támogató Alap Intézetének létrehozása </w:t>
            </w:r>
          </w:p>
        </w:tc>
      </w:tr>
      <w:tr w:rsidR="00D65CB4" w:rsidRPr="00BC4EE7" w14:paraId="1C1B59BE" w14:textId="77777777" w:rsidTr="00572307">
        <w:trPr>
          <w:trHeight w:val="268"/>
        </w:trPr>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BA7B1E"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144</w:t>
            </w:r>
          </w:p>
        </w:tc>
        <w:tc>
          <w:tcPr>
            <w:tcW w:w="2163" w:type="dxa"/>
            <w:tcBorders>
              <w:top w:val="single" w:sz="4" w:space="0" w:color="auto"/>
              <w:left w:val="nil"/>
              <w:bottom w:val="single" w:sz="4" w:space="0" w:color="auto"/>
              <w:right w:val="single" w:sz="4" w:space="0" w:color="auto"/>
            </w:tcBorders>
            <w:shd w:val="clear" w:color="auto" w:fill="C6EFCE"/>
            <w:noWrap/>
            <w:vAlign w:val="center"/>
          </w:tcPr>
          <w:p w14:paraId="63121945"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C11.R1</w:t>
            </w:r>
          </w:p>
        </w:tc>
        <w:tc>
          <w:tcPr>
            <w:tcW w:w="1239" w:type="dxa"/>
            <w:tcBorders>
              <w:top w:val="single" w:sz="4" w:space="0" w:color="auto"/>
              <w:left w:val="nil"/>
              <w:bottom w:val="single" w:sz="4" w:space="0" w:color="auto"/>
              <w:right w:val="single" w:sz="4" w:space="0" w:color="auto"/>
            </w:tcBorders>
            <w:shd w:val="clear" w:color="auto" w:fill="C6EFCE"/>
            <w:noWrap/>
            <w:vAlign w:val="center"/>
          </w:tcPr>
          <w:p w14:paraId="48605112"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5919" w:type="dxa"/>
            <w:gridSpan w:val="2"/>
            <w:tcBorders>
              <w:top w:val="single" w:sz="4" w:space="0" w:color="auto"/>
              <w:left w:val="nil"/>
              <w:bottom w:val="single" w:sz="4" w:space="0" w:color="auto"/>
              <w:right w:val="single" w:sz="4" w:space="0" w:color="auto"/>
            </w:tcBorders>
            <w:shd w:val="clear" w:color="auto" w:fill="C6EFCE"/>
            <w:noWrap/>
            <w:vAlign w:val="center"/>
          </w:tcPr>
          <w:p w14:paraId="3212F3A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ideiglenes foglalkoztatás csökkentését célzó jogalkotási aktus hatálybalépése a közigazgatásban</w:t>
            </w:r>
          </w:p>
        </w:tc>
      </w:tr>
      <w:tr w:rsidR="00D65CB4" w:rsidRPr="00BC4EE7" w14:paraId="4B8826FB" w14:textId="77777777" w:rsidTr="00572307">
        <w:trPr>
          <w:trHeight w:val="268"/>
        </w:trPr>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4E8758"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151</w:t>
            </w:r>
          </w:p>
        </w:tc>
        <w:tc>
          <w:tcPr>
            <w:tcW w:w="2163" w:type="dxa"/>
            <w:tcBorders>
              <w:top w:val="single" w:sz="4" w:space="0" w:color="auto"/>
              <w:left w:val="nil"/>
              <w:bottom w:val="single" w:sz="4" w:space="0" w:color="auto"/>
              <w:right w:val="single" w:sz="4" w:space="0" w:color="auto"/>
            </w:tcBorders>
            <w:shd w:val="clear" w:color="auto" w:fill="C6EFCE"/>
            <w:noWrap/>
            <w:vAlign w:val="center"/>
          </w:tcPr>
          <w:p w14:paraId="3FAB1316"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C11.R2</w:t>
            </w:r>
          </w:p>
        </w:tc>
        <w:tc>
          <w:tcPr>
            <w:tcW w:w="1239" w:type="dxa"/>
            <w:tcBorders>
              <w:top w:val="single" w:sz="4" w:space="0" w:color="auto"/>
              <w:left w:val="nil"/>
              <w:bottom w:val="single" w:sz="4" w:space="0" w:color="auto"/>
              <w:right w:val="single" w:sz="4" w:space="0" w:color="auto"/>
            </w:tcBorders>
            <w:shd w:val="clear" w:color="auto" w:fill="C6EFCE"/>
            <w:noWrap/>
            <w:vAlign w:val="center"/>
          </w:tcPr>
          <w:p w14:paraId="2107FDD9"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5919" w:type="dxa"/>
            <w:gridSpan w:val="2"/>
            <w:tcBorders>
              <w:top w:val="single" w:sz="4" w:space="0" w:color="auto"/>
              <w:left w:val="nil"/>
              <w:bottom w:val="single" w:sz="4" w:space="0" w:color="auto"/>
              <w:right w:val="single" w:sz="4" w:space="0" w:color="auto"/>
            </w:tcBorders>
            <w:shd w:val="clear" w:color="auto" w:fill="C6EFCE"/>
            <w:noWrap/>
            <w:vAlign w:val="center"/>
          </w:tcPr>
          <w:p w14:paraId="4AA232E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igazságszolgáltatás területére vonatkozó eljárási és szervezeti intézkedésekről szóló 3/2020. sz. törvény hatálybalépése</w:t>
            </w:r>
          </w:p>
        </w:tc>
      </w:tr>
      <w:tr w:rsidR="00D65CB4" w:rsidRPr="00BC4EE7" w14:paraId="6ECFDD41" w14:textId="77777777" w:rsidTr="00572307">
        <w:trPr>
          <w:trHeight w:val="268"/>
        </w:trPr>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4C3B35"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153</w:t>
            </w:r>
          </w:p>
        </w:tc>
        <w:tc>
          <w:tcPr>
            <w:tcW w:w="2163" w:type="dxa"/>
            <w:tcBorders>
              <w:top w:val="single" w:sz="4" w:space="0" w:color="auto"/>
              <w:left w:val="nil"/>
              <w:bottom w:val="single" w:sz="4" w:space="0" w:color="auto"/>
              <w:right w:val="single" w:sz="4" w:space="0" w:color="auto"/>
            </w:tcBorders>
            <w:shd w:val="clear" w:color="auto" w:fill="C6EFCE"/>
            <w:noWrap/>
            <w:vAlign w:val="center"/>
          </w:tcPr>
          <w:p w14:paraId="248839CC"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C11.R3</w:t>
            </w:r>
          </w:p>
        </w:tc>
        <w:tc>
          <w:tcPr>
            <w:tcW w:w="1239" w:type="dxa"/>
            <w:tcBorders>
              <w:top w:val="single" w:sz="4" w:space="0" w:color="auto"/>
              <w:left w:val="nil"/>
              <w:bottom w:val="single" w:sz="4" w:space="0" w:color="auto"/>
              <w:right w:val="single" w:sz="4" w:space="0" w:color="auto"/>
            </w:tcBorders>
            <w:shd w:val="clear" w:color="auto" w:fill="C6EFCE"/>
            <w:noWrap/>
            <w:vAlign w:val="center"/>
          </w:tcPr>
          <w:p w14:paraId="191DFCE9"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5919" w:type="dxa"/>
            <w:gridSpan w:val="2"/>
            <w:tcBorders>
              <w:top w:val="single" w:sz="4" w:space="0" w:color="auto"/>
              <w:left w:val="nil"/>
              <w:bottom w:val="single" w:sz="4" w:space="0" w:color="auto"/>
              <w:right w:val="single" w:sz="4" w:space="0" w:color="auto"/>
            </w:tcBorders>
            <w:shd w:val="clear" w:color="auto" w:fill="C6EFCE"/>
            <w:noWrap/>
            <w:vAlign w:val="center"/>
          </w:tcPr>
          <w:p w14:paraId="2E7C3A2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Caja General de Depósitos szabályozásáról szóló 937/2020. sz. királyi rendelet hatálybalépése</w:t>
            </w:r>
          </w:p>
        </w:tc>
      </w:tr>
      <w:tr w:rsidR="00D65CB4" w:rsidRPr="00BC4EE7" w14:paraId="14EC4688" w14:textId="77777777" w:rsidTr="00572307">
        <w:trPr>
          <w:trHeight w:val="268"/>
        </w:trPr>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6806D1"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154</w:t>
            </w:r>
          </w:p>
        </w:tc>
        <w:tc>
          <w:tcPr>
            <w:tcW w:w="2163" w:type="dxa"/>
            <w:tcBorders>
              <w:top w:val="single" w:sz="4" w:space="0" w:color="auto"/>
              <w:left w:val="nil"/>
              <w:bottom w:val="single" w:sz="4" w:space="0" w:color="auto"/>
              <w:right w:val="single" w:sz="4" w:space="0" w:color="auto"/>
            </w:tcBorders>
            <w:shd w:val="clear" w:color="auto" w:fill="C6EFCE"/>
            <w:noWrap/>
            <w:vAlign w:val="center"/>
          </w:tcPr>
          <w:p w14:paraId="2CDA51A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C11.R3</w:t>
            </w:r>
          </w:p>
        </w:tc>
        <w:tc>
          <w:tcPr>
            <w:tcW w:w="1239" w:type="dxa"/>
            <w:tcBorders>
              <w:top w:val="single" w:sz="4" w:space="0" w:color="auto"/>
              <w:left w:val="nil"/>
              <w:bottom w:val="single" w:sz="4" w:space="0" w:color="auto"/>
              <w:right w:val="single" w:sz="4" w:space="0" w:color="auto"/>
            </w:tcBorders>
            <w:shd w:val="clear" w:color="auto" w:fill="C6EFCE"/>
            <w:noWrap/>
            <w:vAlign w:val="center"/>
          </w:tcPr>
          <w:p w14:paraId="4E7C13D7"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5919" w:type="dxa"/>
            <w:gridSpan w:val="2"/>
            <w:tcBorders>
              <w:top w:val="single" w:sz="4" w:space="0" w:color="auto"/>
              <w:left w:val="nil"/>
              <w:bottom w:val="single" w:sz="4" w:space="0" w:color="auto"/>
              <w:right w:val="single" w:sz="4" w:space="0" w:color="auto"/>
            </w:tcBorders>
            <w:shd w:val="clear" w:color="auto" w:fill="C6EFCE"/>
            <w:noWrap/>
            <w:vAlign w:val="center"/>
          </w:tcPr>
          <w:p w14:paraId="09120F9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elszámolások ellenőrzéséről szóló 22/2015. sz. törvény végrehajtásáról szóló rendeletet jóváhagyó királyi rendelet hatálybalépése</w:t>
            </w:r>
          </w:p>
        </w:tc>
      </w:tr>
      <w:tr w:rsidR="00D65CB4" w:rsidRPr="00BC4EE7" w14:paraId="09108666" w14:textId="77777777" w:rsidTr="00572307">
        <w:trPr>
          <w:trHeight w:val="268"/>
        </w:trPr>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5A97D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157</w:t>
            </w:r>
          </w:p>
        </w:tc>
        <w:tc>
          <w:tcPr>
            <w:tcW w:w="2163" w:type="dxa"/>
            <w:tcBorders>
              <w:top w:val="single" w:sz="4" w:space="0" w:color="auto"/>
              <w:left w:val="nil"/>
              <w:bottom w:val="single" w:sz="4" w:space="0" w:color="auto"/>
              <w:right w:val="single" w:sz="4" w:space="0" w:color="auto"/>
            </w:tcBorders>
            <w:shd w:val="clear" w:color="auto" w:fill="C6EFCE"/>
            <w:noWrap/>
            <w:vAlign w:val="center"/>
          </w:tcPr>
          <w:p w14:paraId="7980C58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C11.R5</w:t>
            </w:r>
          </w:p>
        </w:tc>
        <w:tc>
          <w:tcPr>
            <w:tcW w:w="1239" w:type="dxa"/>
            <w:tcBorders>
              <w:top w:val="single" w:sz="4" w:space="0" w:color="auto"/>
              <w:left w:val="nil"/>
              <w:bottom w:val="single" w:sz="4" w:space="0" w:color="auto"/>
              <w:right w:val="single" w:sz="4" w:space="0" w:color="auto"/>
            </w:tcBorders>
            <w:shd w:val="clear" w:color="auto" w:fill="C6EFCE"/>
            <w:noWrap/>
            <w:vAlign w:val="center"/>
          </w:tcPr>
          <w:p w14:paraId="5C27FBB4"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5919" w:type="dxa"/>
            <w:gridSpan w:val="2"/>
            <w:tcBorders>
              <w:top w:val="single" w:sz="4" w:space="0" w:color="auto"/>
              <w:left w:val="nil"/>
              <w:bottom w:val="single" w:sz="4" w:space="0" w:color="auto"/>
              <w:right w:val="single" w:sz="4" w:space="0" w:color="auto"/>
            </w:tcBorders>
            <w:shd w:val="clear" w:color="auto" w:fill="C6EFCE"/>
            <w:noWrap/>
            <w:vAlign w:val="center"/>
          </w:tcPr>
          <w:p w14:paraId="04F012D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helyreállítási, átalakítási és rezilienciaépítési terv végrehajtásáról szóló 36/2020. sz. királyi törvényerejű rendelet hatálybalépése</w:t>
            </w:r>
          </w:p>
        </w:tc>
      </w:tr>
      <w:tr w:rsidR="00D65CB4" w:rsidRPr="00BC4EE7" w14:paraId="11B8D24D" w14:textId="77777777" w:rsidTr="00572307">
        <w:trPr>
          <w:trHeight w:val="1021"/>
        </w:trPr>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00AFE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158</w:t>
            </w:r>
          </w:p>
        </w:tc>
        <w:tc>
          <w:tcPr>
            <w:tcW w:w="2163" w:type="dxa"/>
            <w:tcBorders>
              <w:top w:val="single" w:sz="4" w:space="0" w:color="auto"/>
              <w:left w:val="nil"/>
              <w:bottom w:val="single" w:sz="4" w:space="0" w:color="auto"/>
              <w:right w:val="single" w:sz="4" w:space="0" w:color="auto"/>
            </w:tcBorders>
            <w:shd w:val="clear" w:color="auto" w:fill="C6EFCE"/>
            <w:noWrap/>
            <w:vAlign w:val="center"/>
          </w:tcPr>
          <w:p w14:paraId="6769EBC4"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C11.R5</w:t>
            </w:r>
          </w:p>
        </w:tc>
        <w:tc>
          <w:tcPr>
            <w:tcW w:w="1239" w:type="dxa"/>
            <w:tcBorders>
              <w:top w:val="single" w:sz="4" w:space="0" w:color="auto"/>
              <w:left w:val="nil"/>
              <w:bottom w:val="single" w:sz="4" w:space="0" w:color="auto"/>
              <w:right w:val="single" w:sz="4" w:space="0" w:color="auto"/>
            </w:tcBorders>
            <w:shd w:val="clear" w:color="auto" w:fill="C6EFCE"/>
            <w:noWrap/>
            <w:vAlign w:val="center"/>
          </w:tcPr>
          <w:p w14:paraId="6586A1C8"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5919" w:type="dxa"/>
            <w:gridSpan w:val="2"/>
            <w:tcBorders>
              <w:top w:val="single" w:sz="4" w:space="0" w:color="auto"/>
              <w:left w:val="nil"/>
              <w:bottom w:val="single" w:sz="4" w:space="0" w:color="auto"/>
              <w:right w:val="single" w:sz="4" w:space="0" w:color="auto"/>
            </w:tcBorders>
            <w:shd w:val="clear" w:color="auto" w:fill="C6EFCE"/>
            <w:noWrap/>
            <w:vAlign w:val="center"/>
          </w:tcPr>
          <w:p w14:paraId="78F95ED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Új szervek létrehozása a központi kormányzaton belül a terv végrehajtásának, ellenőrzésének és ellenőrzésének nyomon követésére.</w:t>
            </w:r>
          </w:p>
        </w:tc>
      </w:tr>
      <w:tr w:rsidR="00D65CB4" w:rsidRPr="00BC4EE7" w14:paraId="3139CDE1" w14:textId="77777777" w:rsidTr="00572307">
        <w:trPr>
          <w:gridAfter w:val="1"/>
          <w:wAfter w:w="13" w:type="dxa"/>
          <w:trHeight w:val="302"/>
        </w:trPr>
        <w:tc>
          <w:tcPr>
            <w:tcW w:w="99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4C51AE2"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159</w:t>
            </w:r>
          </w:p>
        </w:tc>
        <w:tc>
          <w:tcPr>
            <w:tcW w:w="2163" w:type="dxa"/>
            <w:tcBorders>
              <w:top w:val="single" w:sz="4" w:space="0" w:color="auto"/>
              <w:left w:val="nil"/>
              <w:bottom w:val="single" w:sz="4" w:space="0" w:color="auto"/>
              <w:right w:val="single" w:sz="4" w:space="0" w:color="auto"/>
            </w:tcBorders>
            <w:shd w:val="clear" w:color="auto" w:fill="C6EFCE"/>
            <w:noWrap/>
            <w:vAlign w:val="bottom"/>
          </w:tcPr>
          <w:p w14:paraId="68A4FDCE"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C11.R5</w:t>
            </w:r>
          </w:p>
        </w:tc>
        <w:tc>
          <w:tcPr>
            <w:tcW w:w="1239" w:type="dxa"/>
            <w:tcBorders>
              <w:top w:val="single" w:sz="4" w:space="0" w:color="auto"/>
              <w:left w:val="nil"/>
              <w:bottom w:val="single" w:sz="4" w:space="0" w:color="auto"/>
              <w:right w:val="single" w:sz="4" w:space="0" w:color="auto"/>
            </w:tcBorders>
            <w:shd w:val="clear" w:color="auto" w:fill="C6EFCE"/>
            <w:noWrap/>
            <w:vAlign w:val="bottom"/>
          </w:tcPr>
          <w:p w14:paraId="1CA9C066"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5906" w:type="dxa"/>
            <w:tcBorders>
              <w:top w:val="single" w:sz="4" w:space="0" w:color="auto"/>
              <w:left w:val="nil"/>
              <w:bottom w:val="single" w:sz="4" w:space="0" w:color="auto"/>
              <w:right w:val="single" w:sz="4" w:space="0" w:color="auto"/>
            </w:tcBorders>
            <w:shd w:val="clear" w:color="auto" w:fill="C6EFCE"/>
            <w:noWrap/>
            <w:vAlign w:val="bottom"/>
          </w:tcPr>
          <w:p w14:paraId="3746C67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helyreállítási és rezilienciaépítési terv nyomon követése és a kiadások számviteli végrehajtása céljából megosztandó információk eljárásait és formátumát meghatározó végzés</w:t>
            </w:r>
          </w:p>
        </w:tc>
      </w:tr>
      <w:tr w:rsidR="00D65CB4" w:rsidRPr="00BC4EE7" w14:paraId="4F59C612" w14:textId="77777777" w:rsidTr="00572307">
        <w:trPr>
          <w:gridAfter w:val="1"/>
          <w:wAfter w:w="13" w:type="dxa"/>
          <w:trHeight w:val="302"/>
        </w:trPr>
        <w:tc>
          <w:tcPr>
            <w:tcW w:w="99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19BFF1E"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173</w:t>
            </w:r>
          </w:p>
        </w:tc>
        <w:tc>
          <w:tcPr>
            <w:tcW w:w="2163" w:type="dxa"/>
            <w:tcBorders>
              <w:top w:val="single" w:sz="4" w:space="0" w:color="auto"/>
              <w:left w:val="nil"/>
              <w:bottom w:val="single" w:sz="4" w:space="0" w:color="auto"/>
              <w:right w:val="single" w:sz="4" w:space="0" w:color="auto"/>
            </w:tcBorders>
            <w:shd w:val="clear" w:color="auto" w:fill="C6EFCE"/>
            <w:noWrap/>
            <w:vAlign w:val="bottom"/>
          </w:tcPr>
          <w:p w14:paraId="2896D53A"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C11.I5</w:t>
            </w:r>
          </w:p>
        </w:tc>
        <w:tc>
          <w:tcPr>
            <w:tcW w:w="1239" w:type="dxa"/>
            <w:tcBorders>
              <w:top w:val="single" w:sz="4" w:space="0" w:color="auto"/>
              <w:left w:val="nil"/>
              <w:bottom w:val="single" w:sz="4" w:space="0" w:color="auto"/>
              <w:right w:val="single" w:sz="4" w:space="0" w:color="auto"/>
            </w:tcBorders>
            <w:shd w:val="clear" w:color="auto" w:fill="C6EFCE"/>
            <w:noWrap/>
            <w:vAlign w:val="bottom"/>
          </w:tcPr>
          <w:p w14:paraId="3D7ED5CE"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5906" w:type="dxa"/>
            <w:tcBorders>
              <w:top w:val="single" w:sz="4" w:space="0" w:color="auto"/>
              <w:left w:val="nil"/>
              <w:bottom w:val="single" w:sz="4" w:space="0" w:color="auto"/>
              <w:right w:val="single" w:sz="4" w:space="0" w:color="auto"/>
            </w:tcBorders>
            <w:shd w:val="clear" w:color="auto" w:fill="C6EFCE"/>
            <w:noWrap/>
            <w:vAlign w:val="bottom"/>
          </w:tcPr>
          <w:p w14:paraId="45DD217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Helyreállítási és Rezilienciaépítési Eszköz integrált információs rendszere</w:t>
            </w:r>
          </w:p>
        </w:tc>
      </w:tr>
      <w:tr w:rsidR="00D65CB4" w:rsidRPr="00BC4EE7" w14:paraId="00898677" w14:textId="77777777" w:rsidTr="00572307">
        <w:trPr>
          <w:trHeight w:val="268"/>
        </w:trPr>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68863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177</w:t>
            </w:r>
          </w:p>
        </w:tc>
        <w:tc>
          <w:tcPr>
            <w:tcW w:w="2163" w:type="dxa"/>
            <w:tcBorders>
              <w:top w:val="single" w:sz="4" w:space="0" w:color="auto"/>
              <w:left w:val="nil"/>
              <w:bottom w:val="single" w:sz="4" w:space="0" w:color="auto"/>
              <w:right w:val="single" w:sz="4" w:space="0" w:color="auto"/>
            </w:tcBorders>
            <w:shd w:val="clear" w:color="auto" w:fill="C6EFCE"/>
            <w:noWrap/>
            <w:vAlign w:val="center"/>
          </w:tcPr>
          <w:p w14:paraId="16F31A85"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C12.R2</w:t>
            </w:r>
          </w:p>
        </w:tc>
        <w:tc>
          <w:tcPr>
            <w:tcW w:w="1239" w:type="dxa"/>
            <w:tcBorders>
              <w:top w:val="single" w:sz="4" w:space="0" w:color="auto"/>
              <w:left w:val="nil"/>
              <w:bottom w:val="single" w:sz="4" w:space="0" w:color="auto"/>
              <w:right w:val="single" w:sz="4" w:space="0" w:color="auto"/>
            </w:tcBorders>
            <w:shd w:val="clear" w:color="auto" w:fill="C6EFCE"/>
            <w:noWrap/>
            <w:vAlign w:val="center"/>
          </w:tcPr>
          <w:p w14:paraId="074D2F12"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5919" w:type="dxa"/>
            <w:gridSpan w:val="2"/>
            <w:tcBorders>
              <w:top w:val="single" w:sz="4" w:space="0" w:color="auto"/>
              <w:left w:val="nil"/>
              <w:bottom w:val="single" w:sz="4" w:space="0" w:color="auto"/>
              <w:right w:val="single" w:sz="4" w:space="0" w:color="auto"/>
            </w:tcBorders>
            <w:shd w:val="clear" w:color="auto" w:fill="C6EFCE"/>
            <w:noWrap/>
            <w:vAlign w:val="center"/>
          </w:tcPr>
          <w:p w14:paraId="3713755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körforgásos gazdaságra vonatkozó spanyol stratégia (EEEC)</w:t>
            </w:r>
          </w:p>
        </w:tc>
      </w:tr>
      <w:tr w:rsidR="00D65CB4" w:rsidRPr="00BC4EE7" w14:paraId="47407B36" w14:textId="77777777" w:rsidTr="00572307">
        <w:trPr>
          <w:trHeight w:val="268"/>
        </w:trPr>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F8405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181</w:t>
            </w:r>
          </w:p>
        </w:tc>
        <w:tc>
          <w:tcPr>
            <w:tcW w:w="2163" w:type="dxa"/>
            <w:tcBorders>
              <w:top w:val="single" w:sz="4" w:space="0" w:color="auto"/>
              <w:left w:val="nil"/>
              <w:bottom w:val="single" w:sz="4" w:space="0" w:color="auto"/>
              <w:right w:val="single" w:sz="4" w:space="0" w:color="auto"/>
            </w:tcBorders>
            <w:shd w:val="clear" w:color="auto" w:fill="C6EFCE"/>
            <w:noWrap/>
            <w:vAlign w:val="center"/>
          </w:tcPr>
          <w:p w14:paraId="6CCA5EBE"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C12.I2</w:t>
            </w:r>
          </w:p>
        </w:tc>
        <w:tc>
          <w:tcPr>
            <w:tcW w:w="1239" w:type="dxa"/>
            <w:tcBorders>
              <w:top w:val="single" w:sz="4" w:space="0" w:color="auto"/>
              <w:left w:val="nil"/>
              <w:bottom w:val="single" w:sz="4" w:space="0" w:color="auto"/>
              <w:right w:val="single" w:sz="4" w:space="0" w:color="auto"/>
            </w:tcBorders>
            <w:shd w:val="clear" w:color="auto" w:fill="C6EFCE"/>
            <w:noWrap/>
            <w:vAlign w:val="center"/>
          </w:tcPr>
          <w:p w14:paraId="2AA18959"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5919" w:type="dxa"/>
            <w:gridSpan w:val="2"/>
            <w:tcBorders>
              <w:top w:val="single" w:sz="4" w:space="0" w:color="auto"/>
              <w:left w:val="nil"/>
              <w:bottom w:val="single" w:sz="4" w:space="0" w:color="auto"/>
              <w:right w:val="single" w:sz="4" w:space="0" w:color="auto"/>
            </w:tcBorders>
            <w:shd w:val="clear" w:color="auto" w:fill="C6EFCE"/>
            <w:noWrap/>
            <w:vAlign w:val="center"/>
          </w:tcPr>
          <w:p w14:paraId="121EEB9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Terv a gépjárműipar értékláncának fellendítésére a fenntartható és összekapcsolt mobilitás felé</w:t>
            </w:r>
          </w:p>
        </w:tc>
      </w:tr>
      <w:tr w:rsidR="00D65CB4" w:rsidRPr="00BC4EE7" w14:paraId="7D88A5EB" w14:textId="77777777" w:rsidTr="00572307">
        <w:trPr>
          <w:trHeight w:val="268"/>
        </w:trPr>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C3966B"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199</w:t>
            </w:r>
          </w:p>
        </w:tc>
        <w:tc>
          <w:tcPr>
            <w:tcW w:w="2163" w:type="dxa"/>
            <w:tcBorders>
              <w:top w:val="single" w:sz="4" w:space="0" w:color="auto"/>
              <w:left w:val="nil"/>
              <w:bottom w:val="single" w:sz="4" w:space="0" w:color="auto"/>
              <w:right w:val="single" w:sz="4" w:space="0" w:color="auto"/>
            </w:tcBorders>
            <w:shd w:val="clear" w:color="auto" w:fill="C6EFCE"/>
            <w:noWrap/>
            <w:vAlign w:val="center"/>
          </w:tcPr>
          <w:p w14:paraId="5D6E4B81"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C13.I3</w:t>
            </w:r>
          </w:p>
        </w:tc>
        <w:tc>
          <w:tcPr>
            <w:tcW w:w="1239" w:type="dxa"/>
            <w:tcBorders>
              <w:top w:val="single" w:sz="4" w:space="0" w:color="auto"/>
              <w:left w:val="nil"/>
              <w:bottom w:val="single" w:sz="4" w:space="0" w:color="auto"/>
              <w:right w:val="single" w:sz="4" w:space="0" w:color="auto"/>
            </w:tcBorders>
            <w:shd w:val="clear" w:color="auto" w:fill="C6EFCE"/>
            <w:noWrap/>
            <w:vAlign w:val="center"/>
          </w:tcPr>
          <w:p w14:paraId="6B537C63"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5919" w:type="dxa"/>
            <w:gridSpan w:val="2"/>
            <w:tcBorders>
              <w:top w:val="single" w:sz="4" w:space="0" w:color="auto"/>
              <w:left w:val="nil"/>
              <w:bottom w:val="single" w:sz="4" w:space="0" w:color="auto"/>
              <w:right w:val="single" w:sz="4" w:space="0" w:color="auto"/>
            </w:tcBorders>
            <w:shd w:val="clear" w:color="auto" w:fill="C6EFCE"/>
            <w:noWrap/>
            <w:vAlign w:val="center"/>
          </w:tcPr>
          <w:p w14:paraId="7CD7CAB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kkv-k digitalizációjára vonatkozó terv (2021–2025)</w:t>
            </w:r>
          </w:p>
        </w:tc>
      </w:tr>
      <w:tr w:rsidR="00D65CB4" w:rsidRPr="00BC4EE7" w14:paraId="15A33561" w14:textId="77777777" w:rsidTr="00572307">
        <w:trPr>
          <w:trHeight w:val="268"/>
        </w:trPr>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5227AC"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214</w:t>
            </w:r>
          </w:p>
        </w:tc>
        <w:tc>
          <w:tcPr>
            <w:tcW w:w="2163" w:type="dxa"/>
            <w:tcBorders>
              <w:top w:val="single" w:sz="4" w:space="0" w:color="auto"/>
              <w:left w:val="nil"/>
              <w:bottom w:val="single" w:sz="4" w:space="0" w:color="auto"/>
              <w:right w:val="single" w:sz="4" w:space="0" w:color="auto"/>
            </w:tcBorders>
            <w:shd w:val="clear" w:color="auto" w:fill="C6EFCE"/>
            <w:noWrap/>
            <w:vAlign w:val="center"/>
          </w:tcPr>
          <w:p w14:paraId="30C8E2B4"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C14.R1</w:t>
            </w:r>
          </w:p>
        </w:tc>
        <w:tc>
          <w:tcPr>
            <w:tcW w:w="1239" w:type="dxa"/>
            <w:tcBorders>
              <w:top w:val="single" w:sz="4" w:space="0" w:color="auto"/>
              <w:left w:val="nil"/>
              <w:bottom w:val="single" w:sz="4" w:space="0" w:color="auto"/>
              <w:right w:val="single" w:sz="4" w:space="0" w:color="auto"/>
            </w:tcBorders>
            <w:shd w:val="clear" w:color="auto" w:fill="C6EFCE"/>
            <w:noWrap/>
            <w:vAlign w:val="center"/>
          </w:tcPr>
          <w:p w14:paraId="25ADD88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5919" w:type="dxa"/>
            <w:gridSpan w:val="2"/>
            <w:tcBorders>
              <w:top w:val="single" w:sz="4" w:space="0" w:color="auto"/>
              <w:left w:val="nil"/>
              <w:bottom w:val="single" w:sz="4" w:space="0" w:color="auto"/>
              <w:right w:val="single" w:sz="4" w:space="0" w:color="auto"/>
            </w:tcBorders>
            <w:shd w:val="clear" w:color="auto" w:fill="C6EFCE"/>
            <w:noWrap/>
            <w:vAlign w:val="center"/>
          </w:tcPr>
          <w:p w14:paraId="195965C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Terv az idegenforgalmi ágazat népszerűsítésére</w:t>
            </w:r>
          </w:p>
        </w:tc>
      </w:tr>
      <w:tr w:rsidR="00D65CB4" w:rsidRPr="00BC4EE7" w14:paraId="41036978" w14:textId="77777777" w:rsidTr="00572307">
        <w:trPr>
          <w:trHeight w:val="268"/>
        </w:trPr>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437DCA"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215</w:t>
            </w:r>
          </w:p>
        </w:tc>
        <w:tc>
          <w:tcPr>
            <w:tcW w:w="2163" w:type="dxa"/>
            <w:tcBorders>
              <w:top w:val="single" w:sz="4" w:space="0" w:color="auto"/>
              <w:left w:val="nil"/>
              <w:bottom w:val="single" w:sz="4" w:space="0" w:color="auto"/>
              <w:right w:val="single" w:sz="4" w:space="0" w:color="auto"/>
            </w:tcBorders>
            <w:shd w:val="clear" w:color="auto" w:fill="C6EFCE"/>
            <w:noWrap/>
            <w:vAlign w:val="center"/>
          </w:tcPr>
          <w:p w14:paraId="053D8707"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C14.R1</w:t>
            </w:r>
          </w:p>
        </w:tc>
        <w:tc>
          <w:tcPr>
            <w:tcW w:w="1239" w:type="dxa"/>
            <w:tcBorders>
              <w:top w:val="single" w:sz="4" w:space="0" w:color="auto"/>
              <w:left w:val="nil"/>
              <w:bottom w:val="single" w:sz="4" w:space="0" w:color="auto"/>
              <w:right w:val="single" w:sz="4" w:space="0" w:color="auto"/>
            </w:tcBorders>
            <w:shd w:val="clear" w:color="auto" w:fill="C6EFCE"/>
            <w:noWrap/>
            <w:vAlign w:val="center"/>
          </w:tcPr>
          <w:p w14:paraId="2471C673"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5919" w:type="dxa"/>
            <w:gridSpan w:val="2"/>
            <w:tcBorders>
              <w:top w:val="single" w:sz="4" w:space="0" w:color="auto"/>
              <w:left w:val="nil"/>
              <w:bottom w:val="single" w:sz="4" w:space="0" w:color="auto"/>
              <w:right w:val="single" w:sz="4" w:space="0" w:color="auto"/>
            </w:tcBorders>
            <w:shd w:val="clear" w:color="auto" w:fill="C6EFCE"/>
            <w:noWrap/>
            <w:vAlign w:val="center"/>
          </w:tcPr>
          <w:p w14:paraId="3BD6F86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turizmussal kapcsolatos adatokat gyűjtő „DATAESTUR” honlap elindítása</w:t>
            </w:r>
          </w:p>
        </w:tc>
      </w:tr>
      <w:tr w:rsidR="00D65CB4" w:rsidRPr="00BC4EE7" w14:paraId="61B30B60" w14:textId="77777777" w:rsidTr="00572307">
        <w:trPr>
          <w:trHeight w:val="268"/>
        </w:trPr>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F1FE54"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230</w:t>
            </w:r>
          </w:p>
        </w:tc>
        <w:tc>
          <w:tcPr>
            <w:tcW w:w="2163" w:type="dxa"/>
            <w:tcBorders>
              <w:top w:val="single" w:sz="4" w:space="0" w:color="auto"/>
              <w:left w:val="nil"/>
              <w:bottom w:val="single" w:sz="4" w:space="0" w:color="auto"/>
              <w:right w:val="single" w:sz="4" w:space="0" w:color="auto"/>
            </w:tcBorders>
            <w:shd w:val="clear" w:color="auto" w:fill="C6EFCE"/>
            <w:noWrap/>
            <w:vAlign w:val="center"/>
          </w:tcPr>
          <w:p w14:paraId="70B6BF45"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C15.R2</w:t>
            </w:r>
          </w:p>
        </w:tc>
        <w:tc>
          <w:tcPr>
            <w:tcW w:w="1239" w:type="dxa"/>
            <w:tcBorders>
              <w:top w:val="single" w:sz="4" w:space="0" w:color="auto"/>
              <w:left w:val="nil"/>
              <w:bottom w:val="single" w:sz="4" w:space="0" w:color="auto"/>
              <w:right w:val="single" w:sz="4" w:space="0" w:color="auto"/>
            </w:tcBorders>
            <w:shd w:val="clear" w:color="auto" w:fill="C6EFCE"/>
            <w:noWrap/>
            <w:vAlign w:val="center"/>
          </w:tcPr>
          <w:p w14:paraId="2DD4A358"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5919" w:type="dxa"/>
            <w:gridSpan w:val="2"/>
            <w:tcBorders>
              <w:top w:val="single" w:sz="4" w:space="0" w:color="auto"/>
              <w:left w:val="nil"/>
              <w:bottom w:val="single" w:sz="4" w:space="0" w:color="auto"/>
              <w:right w:val="single" w:sz="4" w:space="0" w:color="auto"/>
            </w:tcBorders>
            <w:shd w:val="clear" w:color="auto" w:fill="C6EFCE"/>
            <w:noWrap/>
            <w:vAlign w:val="center"/>
          </w:tcPr>
          <w:p w14:paraId="518B226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2025 Digitális Spanyolország terv és stratégia az 5G technológia előmozdítására</w:t>
            </w:r>
          </w:p>
        </w:tc>
      </w:tr>
      <w:tr w:rsidR="00D65CB4" w:rsidRPr="00BC4EE7" w14:paraId="33B6CDC0" w14:textId="77777777" w:rsidTr="00572307">
        <w:trPr>
          <w:trHeight w:val="268"/>
        </w:trPr>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C852CB"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231</w:t>
            </w:r>
          </w:p>
        </w:tc>
        <w:tc>
          <w:tcPr>
            <w:tcW w:w="2163" w:type="dxa"/>
            <w:tcBorders>
              <w:top w:val="single" w:sz="4" w:space="0" w:color="auto"/>
              <w:left w:val="nil"/>
              <w:bottom w:val="single" w:sz="4" w:space="0" w:color="auto"/>
              <w:right w:val="single" w:sz="4" w:space="0" w:color="auto"/>
            </w:tcBorders>
            <w:shd w:val="clear" w:color="auto" w:fill="C6EFCE"/>
            <w:noWrap/>
            <w:vAlign w:val="center"/>
          </w:tcPr>
          <w:p w14:paraId="1C1D0553"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C15.R2</w:t>
            </w:r>
          </w:p>
        </w:tc>
        <w:tc>
          <w:tcPr>
            <w:tcW w:w="1239" w:type="dxa"/>
            <w:tcBorders>
              <w:top w:val="single" w:sz="4" w:space="0" w:color="auto"/>
              <w:left w:val="nil"/>
              <w:bottom w:val="single" w:sz="4" w:space="0" w:color="auto"/>
              <w:right w:val="single" w:sz="4" w:space="0" w:color="auto"/>
            </w:tcBorders>
            <w:shd w:val="clear" w:color="auto" w:fill="C6EFCE"/>
            <w:noWrap/>
            <w:vAlign w:val="center"/>
          </w:tcPr>
          <w:p w14:paraId="2061F0E2"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5919" w:type="dxa"/>
            <w:gridSpan w:val="2"/>
            <w:tcBorders>
              <w:top w:val="single" w:sz="4" w:space="0" w:color="auto"/>
              <w:left w:val="nil"/>
              <w:bottom w:val="single" w:sz="4" w:space="0" w:color="auto"/>
              <w:right w:val="single" w:sz="4" w:space="0" w:color="auto"/>
            </w:tcBorders>
            <w:shd w:val="clear" w:color="auto" w:fill="C6EFCE"/>
            <w:noWrap/>
            <w:vAlign w:val="center"/>
          </w:tcPr>
          <w:p w14:paraId="6862DCA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700 MHz-es frekvenciasáv felszabadítása</w:t>
            </w:r>
          </w:p>
        </w:tc>
      </w:tr>
      <w:tr w:rsidR="00D65CB4" w:rsidRPr="00BC4EE7" w14:paraId="2CE72776" w14:textId="77777777" w:rsidTr="00572307">
        <w:trPr>
          <w:trHeight w:val="268"/>
        </w:trPr>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00209C"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249</w:t>
            </w:r>
          </w:p>
        </w:tc>
        <w:tc>
          <w:tcPr>
            <w:tcW w:w="2163" w:type="dxa"/>
            <w:tcBorders>
              <w:top w:val="single" w:sz="4" w:space="0" w:color="auto"/>
              <w:left w:val="nil"/>
              <w:bottom w:val="single" w:sz="4" w:space="0" w:color="auto"/>
              <w:right w:val="single" w:sz="4" w:space="0" w:color="auto"/>
            </w:tcBorders>
            <w:shd w:val="clear" w:color="auto" w:fill="C6EFCE"/>
            <w:noWrap/>
            <w:vAlign w:val="center"/>
          </w:tcPr>
          <w:p w14:paraId="2AEFBCB1"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C16.R1</w:t>
            </w:r>
          </w:p>
        </w:tc>
        <w:tc>
          <w:tcPr>
            <w:tcW w:w="1239" w:type="dxa"/>
            <w:tcBorders>
              <w:top w:val="single" w:sz="4" w:space="0" w:color="auto"/>
              <w:left w:val="nil"/>
              <w:bottom w:val="single" w:sz="4" w:space="0" w:color="auto"/>
              <w:right w:val="single" w:sz="4" w:space="0" w:color="auto"/>
            </w:tcBorders>
            <w:shd w:val="clear" w:color="auto" w:fill="C6EFCE"/>
            <w:noWrap/>
            <w:vAlign w:val="center"/>
          </w:tcPr>
          <w:p w14:paraId="4A2698BC"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5919" w:type="dxa"/>
            <w:gridSpan w:val="2"/>
            <w:tcBorders>
              <w:top w:val="single" w:sz="4" w:space="0" w:color="auto"/>
              <w:left w:val="nil"/>
              <w:bottom w:val="single" w:sz="4" w:space="0" w:color="auto"/>
              <w:right w:val="single" w:sz="4" w:space="0" w:color="auto"/>
            </w:tcBorders>
            <w:shd w:val="clear" w:color="auto" w:fill="C6EFCE"/>
            <w:noWrap/>
            <w:vAlign w:val="center"/>
          </w:tcPr>
          <w:p w14:paraId="45BE343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mesterséges intelligenciára vonatkozó nemzeti stratégia </w:t>
            </w:r>
          </w:p>
        </w:tc>
      </w:tr>
      <w:tr w:rsidR="00D65CB4" w:rsidRPr="00BC4EE7" w14:paraId="43625525" w14:textId="77777777" w:rsidTr="00572307">
        <w:trPr>
          <w:trHeight w:val="268"/>
        </w:trPr>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E193CA"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255</w:t>
            </w:r>
          </w:p>
        </w:tc>
        <w:tc>
          <w:tcPr>
            <w:tcW w:w="2163" w:type="dxa"/>
            <w:tcBorders>
              <w:top w:val="single" w:sz="4" w:space="0" w:color="auto"/>
              <w:left w:val="nil"/>
              <w:bottom w:val="single" w:sz="4" w:space="0" w:color="auto"/>
              <w:right w:val="single" w:sz="4" w:space="0" w:color="auto"/>
            </w:tcBorders>
            <w:shd w:val="clear" w:color="auto" w:fill="C6EFCE"/>
            <w:noWrap/>
            <w:vAlign w:val="center"/>
          </w:tcPr>
          <w:p w14:paraId="7AEF6F84"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C17.R2</w:t>
            </w:r>
          </w:p>
        </w:tc>
        <w:tc>
          <w:tcPr>
            <w:tcW w:w="1239" w:type="dxa"/>
            <w:tcBorders>
              <w:top w:val="single" w:sz="4" w:space="0" w:color="auto"/>
              <w:left w:val="nil"/>
              <w:bottom w:val="single" w:sz="4" w:space="0" w:color="auto"/>
              <w:right w:val="single" w:sz="4" w:space="0" w:color="auto"/>
            </w:tcBorders>
            <w:shd w:val="clear" w:color="auto" w:fill="C6EFCE"/>
            <w:noWrap/>
            <w:vAlign w:val="center"/>
          </w:tcPr>
          <w:p w14:paraId="4E961190"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5919" w:type="dxa"/>
            <w:gridSpan w:val="2"/>
            <w:tcBorders>
              <w:top w:val="single" w:sz="4" w:space="0" w:color="auto"/>
              <w:left w:val="nil"/>
              <w:bottom w:val="single" w:sz="4" w:space="0" w:color="auto"/>
              <w:right w:val="single" w:sz="4" w:space="0" w:color="auto"/>
            </w:tcBorders>
            <w:shd w:val="clear" w:color="auto" w:fill="C6EFCE"/>
            <w:noWrap/>
            <w:vAlign w:val="center"/>
          </w:tcPr>
          <w:p w14:paraId="6E2CAFD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2021 és 2027 közötti időszakra vonatkozó spanyol tudományos, technológiai és innovációs stratégia közzététele</w:t>
            </w:r>
          </w:p>
        </w:tc>
      </w:tr>
      <w:tr w:rsidR="00D65CB4" w:rsidRPr="00BC4EE7" w14:paraId="1B21B86D" w14:textId="77777777" w:rsidTr="00572307">
        <w:trPr>
          <w:trHeight w:val="268"/>
        </w:trPr>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695378"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257</w:t>
            </w:r>
          </w:p>
        </w:tc>
        <w:tc>
          <w:tcPr>
            <w:tcW w:w="2163" w:type="dxa"/>
            <w:tcBorders>
              <w:top w:val="single" w:sz="4" w:space="0" w:color="auto"/>
              <w:left w:val="nil"/>
              <w:bottom w:val="single" w:sz="4" w:space="0" w:color="auto"/>
              <w:right w:val="single" w:sz="4" w:space="0" w:color="auto"/>
            </w:tcBorders>
            <w:shd w:val="clear" w:color="auto" w:fill="C6EFCE"/>
            <w:noWrap/>
            <w:vAlign w:val="center"/>
          </w:tcPr>
          <w:p w14:paraId="19B3F312"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C17.R3</w:t>
            </w:r>
          </w:p>
        </w:tc>
        <w:tc>
          <w:tcPr>
            <w:tcW w:w="1239" w:type="dxa"/>
            <w:tcBorders>
              <w:top w:val="single" w:sz="4" w:space="0" w:color="auto"/>
              <w:left w:val="nil"/>
              <w:bottom w:val="single" w:sz="4" w:space="0" w:color="auto"/>
              <w:right w:val="single" w:sz="4" w:space="0" w:color="auto"/>
            </w:tcBorders>
            <w:shd w:val="clear" w:color="auto" w:fill="C6EFCE"/>
            <w:noWrap/>
            <w:vAlign w:val="center"/>
          </w:tcPr>
          <w:p w14:paraId="2780B02A"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5919" w:type="dxa"/>
            <w:gridSpan w:val="2"/>
            <w:tcBorders>
              <w:top w:val="single" w:sz="4" w:space="0" w:color="auto"/>
              <w:left w:val="nil"/>
              <w:bottom w:val="single" w:sz="4" w:space="0" w:color="auto"/>
              <w:right w:val="single" w:sz="4" w:space="0" w:color="auto"/>
            </w:tcBorders>
            <w:shd w:val="clear" w:color="auto" w:fill="C6EFCE"/>
            <w:noWrap/>
            <w:vAlign w:val="center"/>
          </w:tcPr>
          <w:p w14:paraId="0EF2FEB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Az állami kutatási szervezetek átszervezéséről szóló királyi rendelet hatálybalépése. </w:t>
            </w:r>
          </w:p>
        </w:tc>
      </w:tr>
      <w:tr w:rsidR="00D65CB4" w:rsidRPr="00BC4EE7" w14:paraId="31BB6365" w14:textId="77777777" w:rsidTr="00572307">
        <w:trPr>
          <w:trHeight w:val="268"/>
        </w:trPr>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ACE531"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285</w:t>
            </w:r>
          </w:p>
        </w:tc>
        <w:tc>
          <w:tcPr>
            <w:tcW w:w="2163" w:type="dxa"/>
            <w:tcBorders>
              <w:top w:val="single" w:sz="4" w:space="0" w:color="auto"/>
              <w:left w:val="nil"/>
              <w:bottom w:val="single" w:sz="4" w:space="0" w:color="auto"/>
              <w:right w:val="single" w:sz="4" w:space="0" w:color="auto"/>
            </w:tcBorders>
            <w:shd w:val="clear" w:color="auto" w:fill="C6EFCE"/>
            <w:noWrap/>
            <w:vAlign w:val="center"/>
          </w:tcPr>
          <w:p w14:paraId="3EE18076"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C19.R1</w:t>
            </w:r>
          </w:p>
        </w:tc>
        <w:tc>
          <w:tcPr>
            <w:tcW w:w="1239" w:type="dxa"/>
            <w:tcBorders>
              <w:top w:val="single" w:sz="4" w:space="0" w:color="auto"/>
              <w:left w:val="nil"/>
              <w:bottom w:val="single" w:sz="4" w:space="0" w:color="auto"/>
              <w:right w:val="single" w:sz="4" w:space="0" w:color="auto"/>
            </w:tcBorders>
            <w:shd w:val="clear" w:color="auto" w:fill="C6EFCE"/>
            <w:noWrap/>
            <w:vAlign w:val="center"/>
          </w:tcPr>
          <w:p w14:paraId="6C0A0BDA"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5919" w:type="dxa"/>
            <w:gridSpan w:val="2"/>
            <w:tcBorders>
              <w:top w:val="single" w:sz="4" w:space="0" w:color="auto"/>
              <w:left w:val="nil"/>
              <w:bottom w:val="single" w:sz="4" w:space="0" w:color="auto"/>
              <w:right w:val="single" w:sz="4" w:space="0" w:color="auto"/>
            </w:tcBorders>
            <w:shd w:val="clear" w:color="auto" w:fill="C6EFCE"/>
            <w:noWrap/>
            <w:vAlign w:val="center"/>
          </w:tcPr>
          <w:p w14:paraId="587593F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nemzeti digitális kompetenciaterv Minisztertanács általi jóváhagyása</w:t>
            </w:r>
          </w:p>
        </w:tc>
      </w:tr>
      <w:tr w:rsidR="00D65CB4" w:rsidRPr="00BC4EE7" w14:paraId="65CB87EA" w14:textId="77777777" w:rsidTr="00572307">
        <w:trPr>
          <w:trHeight w:val="268"/>
        </w:trPr>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E0F7A6"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295</w:t>
            </w:r>
          </w:p>
        </w:tc>
        <w:tc>
          <w:tcPr>
            <w:tcW w:w="2163" w:type="dxa"/>
            <w:tcBorders>
              <w:top w:val="single" w:sz="4" w:space="0" w:color="auto"/>
              <w:left w:val="nil"/>
              <w:bottom w:val="single" w:sz="4" w:space="0" w:color="auto"/>
              <w:right w:val="single" w:sz="4" w:space="0" w:color="auto"/>
            </w:tcBorders>
            <w:shd w:val="clear" w:color="auto" w:fill="C6EFCE"/>
            <w:noWrap/>
            <w:vAlign w:val="center"/>
          </w:tcPr>
          <w:p w14:paraId="5D8992F7"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C20.R1</w:t>
            </w:r>
          </w:p>
        </w:tc>
        <w:tc>
          <w:tcPr>
            <w:tcW w:w="1239" w:type="dxa"/>
            <w:tcBorders>
              <w:top w:val="single" w:sz="4" w:space="0" w:color="auto"/>
              <w:left w:val="nil"/>
              <w:bottom w:val="single" w:sz="4" w:space="0" w:color="auto"/>
              <w:right w:val="single" w:sz="4" w:space="0" w:color="auto"/>
            </w:tcBorders>
            <w:shd w:val="clear" w:color="auto" w:fill="C6EFCE"/>
            <w:noWrap/>
            <w:vAlign w:val="center"/>
          </w:tcPr>
          <w:p w14:paraId="01D7EAB8"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5919" w:type="dxa"/>
            <w:gridSpan w:val="2"/>
            <w:tcBorders>
              <w:top w:val="single" w:sz="4" w:space="0" w:color="auto"/>
              <w:left w:val="nil"/>
              <w:bottom w:val="single" w:sz="4" w:space="0" w:color="auto"/>
              <w:right w:val="single" w:sz="4" w:space="0" w:color="auto"/>
            </w:tcBorders>
            <w:shd w:val="clear" w:color="auto" w:fill="C6EFCE"/>
            <w:noWrap/>
            <w:vAlign w:val="center"/>
          </w:tcPr>
          <w:p w14:paraId="5354584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szakképzés korszerűsítésére vonatkozó terv és a kapcsolódó királyi törvényerejű rendeletek</w:t>
            </w:r>
          </w:p>
        </w:tc>
      </w:tr>
      <w:tr w:rsidR="00D65CB4" w:rsidRPr="00BC4EE7" w14:paraId="0F90DF70" w14:textId="77777777" w:rsidTr="00572307">
        <w:trPr>
          <w:trHeight w:val="268"/>
        </w:trPr>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2A10F8"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303</w:t>
            </w:r>
          </w:p>
        </w:tc>
        <w:tc>
          <w:tcPr>
            <w:tcW w:w="2163" w:type="dxa"/>
            <w:tcBorders>
              <w:top w:val="single" w:sz="4" w:space="0" w:color="auto"/>
              <w:left w:val="nil"/>
              <w:bottom w:val="single" w:sz="4" w:space="0" w:color="auto"/>
              <w:right w:val="single" w:sz="4" w:space="0" w:color="auto"/>
            </w:tcBorders>
            <w:shd w:val="clear" w:color="auto" w:fill="C6EFCE"/>
            <w:noWrap/>
            <w:vAlign w:val="center"/>
          </w:tcPr>
          <w:p w14:paraId="04D9E8B1"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C21.R1</w:t>
            </w:r>
          </w:p>
        </w:tc>
        <w:tc>
          <w:tcPr>
            <w:tcW w:w="1239" w:type="dxa"/>
            <w:tcBorders>
              <w:top w:val="single" w:sz="4" w:space="0" w:color="auto"/>
              <w:left w:val="nil"/>
              <w:bottom w:val="single" w:sz="4" w:space="0" w:color="auto"/>
              <w:right w:val="single" w:sz="4" w:space="0" w:color="auto"/>
            </w:tcBorders>
            <w:shd w:val="clear" w:color="auto" w:fill="C6EFCE"/>
            <w:noWrap/>
            <w:vAlign w:val="center"/>
          </w:tcPr>
          <w:p w14:paraId="36C085AC"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5919" w:type="dxa"/>
            <w:gridSpan w:val="2"/>
            <w:tcBorders>
              <w:top w:val="single" w:sz="4" w:space="0" w:color="auto"/>
              <w:left w:val="nil"/>
              <w:bottom w:val="single" w:sz="4" w:space="0" w:color="auto"/>
              <w:right w:val="single" w:sz="4" w:space="0" w:color="auto"/>
            </w:tcBorders>
            <w:shd w:val="clear" w:color="auto" w:fill="C6EFCE"/>
            <w:noWrap/>
            <w:vAlign w:val="center"/>
          </w:tcPr>
          <w:p w14:paraId="12D4FA3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Az oktatásról szóló sarkalatos törvény hatálybalépése </w:t>
            </w:r>
          </w:p>
        </w:tc>
      </w:tr>
      <w:tr w:rsidR="00D65CB4" w:rsidRPr="00BC4EE7" w14:paraId="41765BBB" w14:textId="77777777" w:rsidTr="00572307">
        <w:trPr>
          <w:trHeight w:val="268"/>
        </w:trPr>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D88708"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318</w:t>
            </w:r>
          </w:p>
        </w:tc>
        <w:tc>
          <w:tcPr>
            <w:tcW w:w="2163" w:type="dxa"/>
            <w:tcBorders>
              <w:top w:val="single" w:sz="4" w:space="0" w:color="auto"/>
              <w:left w:val="nil"/>
              <w:bottom w:val="single" w:sz="4" w:space="0" w:color="auto"/>
              <w:right w:val="single" w:sz="4" w:space="0" w:color="auto"/>
            </w:tcBorders>
            <w:shd w:val="clear" w:color="auto" w:fill="C6EFCE"/>
            <w:noWrap/>
            <w:vAlign w:val="center"/>
          </w:tcPr>
          <w:p w14:paraId="64C11259"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C22.R5</w:t>
            </w:r>
          </w:p>
        </w:tc>
        <w:tc>
          <w:tcPr>
            <w:tcW w:w="1239" w:type="dxa"/>
            <w:tcBorders>
              <w:top w:val="single" w:sz="4" w:space="0" w:color="auto"/>
              <w:left w:val="nil"/>
              <w:bottom w:val="single" w:sz="4" w:space="0" w:color="auto"/>
              <w:right w:val="single" w:sz="4" w:space="0" w:color="auto"/>
            </w:tcBorders>
            <w:shd w:val="clear" w:color="auto" w:fill="C6EFCE"/>
            <w:noWrap/>
            <w:vAlign w:val="center"/>
          </w:tcPr>
          <w:p w14:paraId="5DE9D55E"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5919" w:type="dxa"/>
            <w:gridSpan w:val="2"/>
            <w:tcBorders>
              <w:top w:val="single" w:sz="4" w:space="0" w:color="auto"/>
              <w:left w:val="nil"/>
              <w:bottom w:val="single" w:sz="4" w:space="0" w:color="auto"/>
              <w:right w:val="single" w:sz="4" w:space="0" w:color="auto"/>
            </w:tcBorders>
            <w:shd w:val="clear" w:color="auto" w:fill="C6EFCE"/>
            <w:noWrap/>
            <w:vAlign w:val="center"/>
          </w:tcPr>
          <w:p w14:paraId="6EAB6CB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létfontosságú minimumjövedelem jóváhagyásáról szóló, május 29-i 20/2020. sz. királyi törvényerejű rendelet hatálybalépése</w:t>
            </w:r>
          </w:p>
        </w:tc>
      </w:tr>
      <w:tr w:rsidR="00D65CB4" w:rsidRPr="00BC4EE7" w14:paraId="1C570DE3" w14:textId="77777777" w:rsidTr="00572307">
        <w:trPr>
          <w:trHeight w:val="268"/>
        </w:trPr>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A9F810"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329</w:t>
            </w:r>
          </w:p>
        </w:tc>
        <w:tc>
          <w:tcPr>
            <w:tcW w:w="2163" w:type="dxa"/>
            <w:tcBorders>
              <w:top w:val="single" w:sz="4" w:space="0" w:color="auto"/>
              <w:left w:val="nil"/>
              <w:bottom w:val="single" w:sz="4" w:space="0" w:color="auto"/>
              <w:right w:val="single" w:sz="4" w:space="0" w:color="auto"/>
            </w:tcBorders>
            <w:shd w:val="clear" w:color="auto" w:fill="C6EFCE"/>
            <w:noWrap/>
            <w:vAlign w:val="center"/>
          </w:tcPr>
          <w:p w14:paraId="379E6391"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C23.R1</w:t>
            </w:r>
          </w:p>
        </w:tc>
        <w:tc>
          <w:tcPr>
            <w:tcW w:w="1239" w:type="dxa"/>
            <w:tcBorders>
              <w:top w:val="single" w:sz="4" w:space="0" w:color="auto"/>
              <w:left w:val="nil"/>
              <w:bottom w:val="single" w:sz="4" w:space="0" w:color="auto"/>
              <w:right w:val="single" w:sz="4" w:space="0" w:color="auto"/>
            </w:tcBorders>
            <w:shd w:val="clear" w:color="auto" w:fill="C6EFCE"/>
            <w:noWrap/>
            <w:vAlign w:val="center"/>
          </w:tcPr>
          <w:p w14:paraId="525E7EE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5919" w:type="dxa"/>
            <w:gridSpan w:val="2"/>
            <w:tcBorders>
              <w:top w:val="single" w:sz="4" w:space="0" w:color="auto"/>
              <w:left w:val="nil"/>
              <w:bottom w:val="single" w:sz="4" w:space="0" w:color="auto"/>
              <w:right w:val="single" w:sz="4" w:space="0" w:color="auto"/>
            </w:tcBorders>
            <w:shd w:val="clear" w:color="auto" w:fill="C6EFCE"/>
            <w:noWrap/>
            <w:vAlign w:val="center"/>
          </w:tcPr>
          <w:p w14:paraId="0E382E5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magánszektorban és a közigazgatásban végzett távmunka szabályozásáról szóló két királyi törvényerejű rendelet hatálybalépése</w:t>
            </w:r>
          </w:p>
        </w:tc>
      </w:tr>
      <w:tr w:rsidR="00D65CB4" w:rsidRPr="00BC4EE7" w14:paraId="6C75E026" w14:textId="77777777" w:rsidTr="00572307">
        <w:trPr>
          <w:trHeight w:val="268"/>
        </w:trPr>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BC731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330</w:t>
            </w:r>
          </w:p>
        </w:tc>
        <w:tc>
          <w:tcPr>
            <w:tcW w:w="2163" w:type="dxa"/>
            <w:tcBorders>
              <w:top w:val="single" w:sz="4" w:space="0" w:color="auto"/>
              <w:left w:val="nil"/>
              <w:bottom w:val="single" w:sz="4" w:space="0" w:color="auto"/>
              <w:right w:val="single" w:sz="4" w:space="0" w:color="auto"/>
            </w:tcBorders>
            <w:shd w:val="clear" w:color="auto" w:fill="C6EFCE"/>
            <w:noWrap/>
            <w:vAlign w:val="center"/>
          </w:tcPr>
          <w:p w14:paraId="2298FB79"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C23.R2</w:t>
            </w:r>
          </w:p>
        </w:tc>
        <w:tc>
          <w:tcPr>
            <w:tcW w:w="1239" w:type="dxa"/>
            <w:tcBorders>
              <w:top w:val="single" w:sz="4" w:space="0" w:color="auto"/>
              <w:left w:val="nil"/>
              <w:bottom w:val="single" w:sz="4" w:space="0" w:color="auto"/>
              <w:right w:val="single" w:sz="4" w:space="0" w:color="auto"/>
            </w:tcBorders>
            <w:shd w:val="clear" w:color="auto" w:fill="C6EFCE"/>
            <w:noWrap/>
            <w:vAlign w:val="center"/>
          </w:tcPr>
          <w:p w14:paraId="61F425E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5919" w:type="dxa"/>
            <w:gridSpan w:val="2"/>
            <w:tcBorders>
              <w:top w:val="single" w:sz="4" w:space="0" w:color="auto"/>
              <w:left w:val="nil"/>
              <w:bottom w:val="single" w:sz="4" w:space="0" w:color="auto"/>
              <w:right w:val="single" w:sz="4" w:space="0" w:color="auto"/>
            </w:tcBorders>
            <w:shd w:val="clear" w:color="auto" w:fill="C6EFCE"/>
            <w:noWrap/>
            <w:vAlign w:val="center"/>
          </w:tcPr>
          <w:p w14:paraId="6E5FCE2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nők és férfiak egyenlő díjazásáról, valamint az esélyegyenlőségi tervekről és nyilvántartásba vételükről szóló két rendelet hatálybalépése</w:t>
            </w:r>
          </w:p>
        </w:tc>
      </w:tr>
      <w:tr w:rsidR="00D65CB4" w:rsidRPr="00BC4EE7" w14:paraId="44371A85" w14:textId="77777777" w:rsidTr="00572307">
        <w:trPr>
          <w:trHeight w:val="268"/>
        </w:trPr>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251469"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333</w:t>
            </w:r>
          </w:p>
        </w:tc>
        <w:tc>
          <w:tcPr>
            <w:tcW w:w="2163" w:type="dxa"/>
            <w:tcBorders>
              <w:top w:val="single" w:sz="4" w:space="0" w:color="auto"/>
              <w:left w:val="nil"/>
              <w:bottom w:val="single" w:sz="4" w:space="0" w:color="auto"/>
              <w:right w:val="single" w:sz="4" w:space="0" w:color="auto"/>
            </w:tcBorders>
            <w:shd w:val="clear" w:color="auto" w:fill="C6EFCE"/>
            <w:noWrap/>
            <w:vAlign w:val="center"/>
          </w:tcPr>
          <w:p w14:paraId="068CA457"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C23.R5</w:t>
            </w:r>
          </w:p>
        </w:tc>
        <w:tc>
          <w:tcPr>
            <w:tcW w:w="1239" w:type="dxa"/>
            <w:tcBorders>
              <w:top w:val="single" w:sz="4" w:space="0" w:color="auto"/>
              <w:left w:val="nil"/>
              <w:bottom w:val="single" w:sz="4" w:space="0" w:color="auto"/>
              <w:right w:val="single" w:sz="4" w:space="0" w:color="auto"/>
            </w:tcBorders>
            <w:shd w:val="clear" w:color="auto" w:fill="C6EFCE"/>
            <w:noWrap/>
            <w:vAlign w:val="center"/>
          </w:tcPr>
          <w:p w14:paraId="5C8946D1"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5919" w:type="dxa"/>
            <w:gridSpan w:val="2"/>
            <w:tcBorders>
              <w:top w:val="single" w:sz="4" w:space="0" w:color="auto"/>
              <w:left w:val="nil"/>
              <w:bottom w:val="single" w:sz="4" w:space="0" w:color="auto"/>
              <w:right w:val="single" w:sz="4" w:space="0" w:color="auto"/>
            </w:tcBorders>
            <w:shd w:val="clear" w:color="auto" w:fill="C6EFCE"/>
            <w:noWrap/>
            <w:vAlign w:val="center"/>
          </w:tcPr>
          <w:p w14:paraId="196EA18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Az ifjúsági munkanélküliség kezelésére irányuló cselekvési terv hatálybalépése </w:t>
            </w:r>
          </w:p>
        </w:tc>
      </w:tr>
      <w:tr w:rsidR="00D65CB4" w:rsidRPr="00BC4EE7" w14:paraId="59388524" w14:textId="77777777" w:rsidTr="00572307">
        <w:trPr>
          <w:trHeight w:val="268"/>
        </w:trPr>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014ACB"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363</w:t>
            </w:r>
          </w:p>
        </w:tc>
        <w:tc>
          <w:tcPr>
            <w:tcW w:w="2163" w:type="dxa"/>
            <w:tcBorders>
              <w:top w:val="single" w:sz="4" w:space="0" w:color="auto"/>
              <w:left w:val="nil"/>
              <w:bottom w:val="single" w:sz="4" w:space="0" w:color="auto"/>
              <w:right w:val="single" w:sz="4" w:space="0" w:color="auto"/>
            </w:tcBorders>
            <w:shd w:val="clear" w:color="auto" w:fill="C6EFCE"/>
            <w:noWrap/>
            <w:vAlign w:val="center"/>
          </w:tcPr>
          <w:p w14:paraId="799F057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C25.R1</w:t>
            </w:r>
          </w:p>
        </w:tc>
        <w:tc>
          <w:tcPr>
            <w:tcW w:w="1239" w:type="dxa"/>
            <w:tcBorders>
              <w:top w:val="single" w:sz="4" w:space="0" w:color="auto"/>
              <w:left w:val="nil"/>
              <w:bottom w:val="single" w:sz="4" w:space="0" w:color="auto"/>
              <w:right w:val="single" w:sz="4" w:space="0" w:color="auto"/>
            </w:tcBorders>
            <w:shd w:val="clear" w:color="auto" w:fill="C6EFCE"/>
            <w:noWrap/>
            <w:vAlign w:val="center"/>
          </w:tcPr>
          <w:p w14:paraId="64A29201"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5919" w:type="dxa"/>
            <w:gridSpan w:val="2"/>
            <w:tcBorders>
              <w:top w:val="single" w:sz="4" w:space="0" w:color="auto"/>
              <w:left w:val="nil"/>
              <w:bottom w:val="single" w:sz="4" w:space="0" w:color="auto"/>
              <w:right w:val="single" w:sz="4" w:space="0" w:color="auto"/>
            </w:tcBorders>
            <w:shd w:val="clear" w:color="auto" w:fill="C6EFCE"/>
            <w:noWrap/>
            <w:vAlign w:val="center"/>
          </w:tcPr>
          <w:p w14:paraId="4BC82B7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Terv: „Spanyolország, Európa audiovizuális központja”.</w:t>
            </w:r>
          </w:p>
        </w:tc>
      </w:tr>
      <w:tr w:rsidR="00D65CB4" w:rsidRPr="00BC4EE7" w14:paraId="4FA78BE7" w14:textId="77777777" w:rsidTr="00572307">
        <w:trPr>
          <w:trHeight w:val="268"/>
        </w:trPr>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589B27"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385</w:t>
            </w:r>
          </w:p>
        </w:tc>
        <w:tc>
          <w:tcPr>
            <w:tcW w:w="2163" w:type="dxa"/>
            <w:tcBorders>
              <w:top w:val="single" w:sz="4" w:space="0" w:color="auto"/>
              <w:left w:val="nil"/>
              <w:bottom w:val="single" w:sz="4" w:space="0" w:color="auto"/>
              <w:right w:val="single" w:sz="4" w:space="0" w:color="auto"/>
            </w:tcBorders>
            <w:shd w:val="clear" w:color="auto" w:fill="C6EFCE"/>
            <w:noWrap/>
            <w:vAlign w:val="center"/>
          </w:tcPr>
          <w:p w14:paraId="2A4528A5"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C28.R1</w:t>
            </w:r>
          </w:p>
        </w:tc>
        <w:tc>
          <w:tcPr>
            <w:tcW w:w="1239" w:type="dxa"/>
            <w:tcBorders>
              <w:top w:val="single" w:sz="4" w:space="0" w:color="auto"/>
              <w:left w:val="nil"/>
              <w:bottom w:val="single" w:sz="4" w:space="0" w:color="auto"/>
              <w:right w:val="single" w:sz="4" w:space="0" w:color="auto"/>
            </w:tcBorders>
            <w:shd w:val="clear" w:color="auto" w:fill="C6EFCE"/>
            <w:noWrap/>
            <w:vAlign w:val="center"/>
          </w:tcPr>
          <w:p w14:paraId="3A3516FC"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5919" w:type="dxa"/>
            <w:gridSpan w:val="2"/>
            <w:tcBorders>
              <w:top w:val="single" w:sz="4" w:space="0" w:color="auto"/>
              <w:left w:val="nil"/>
              <w:bottom w:val="single" w:sz="4" w:space="0" w:color="auto"/>
              <w:right w:val="single" w:sz="4" w:space="0" w:color="auto"/>
            </w:tcBorders>
            <w:shd w:val="clear" w:color="auto" w:fill="C6EFCE"/>
            <w:noWrap/>
            <w:vAlign w:val="center"/>
          </w:tcPr>
          <w:p w14:paraId="21BFA19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Covid19-világjárvány hatásainak enyhítése érdekében 2020-ban és 2021-ben elfogadott költségvetési intézkedések.</w:t>
            </w:r>
          </w:p>
        </w:tc>
      </w:tr>
      <w:tr w:rsidR="00D65CB4" w:rsidRPr="00BC4EE7" w14:paraId="2BF8B17A" w14:textId="77777777" w:rsidTr="00572307">
        <w:trPr>
          <w:trHeight w:val="268"/>
        </w:trPr>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AEF987"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387</w:t>
            </w:r>
          </w:p>
        </w:tc>
        <w:tc>
          <w:tcPr>
            <w:tcW w:w="2163" w:type="dxa"/>
            <w:tcBorders>
              <w:top w:val="single" w:sz="4" w:space="0" w:color="auto"/>
              <w:left w:val="nil"/>
              <w:bottom w:val="single" w:sz="4" w:space="0" w:color="auto"/>
              <w:right w:val="single" w:sz="4" w:space="0" w:color="auto"/>
            </w:tcBorders>
            <w:shd w:val="clear" w:color="auto" w:fill="C6EFCE"/>
            <w:noWrap/>
            <w:vAlign w:val="center"/>
          </w:tcPr>
          <w:p w14:paraId="78A79D5C"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C28.R3</w:t>
            </w:r>
          </w:p>
        </w:tc>
        <w:tc>
          <w:tcPr>
            <w:tcW w:w="1239" w:type="dxa"/>
            <w:tcBorders>
              <w:top w:val="single" w:sz="4" w:space="0" w:color="auto"/>
              <w:left w:val="nil"/>
              <w:bottom w:val="single" w:sz="4" w:space="0" w:color="auto"/>
              <w:right w:val="single" w:sz="4" w:space="0" w:color="auto"/>
            </w:tcBorders>
            <w:shd w:val="clear" w:color="auto" w:fill="C6EFCE"/>
            <w:noWrap/>
            <w:vAlign w:val="center"/>
          </w:tcPr>
          <w:p w14:paraId="514CD326"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5919" w:type="dxa"/>
            <w:gridSpan w:val="2"/>
            <w:tcBorders>
              <w:top w:val="single" w:sz="4" w:space="0" w:color="auto"/>
              <w:left w:val="nil"/>
              <w:bottom w:val="single" w:sz="4" w:space="0" w:color="auto"/>
              <w:right w:val="single" w:sz="4" w:space="0" w:color="auto"/>
            </w:tcBorders>
            <w:shd w:val="clear" w:color="auto" w:fill="C6EFCE"/>
            <w:noWrap/>
            <w:vAlign w:val="center"/>
          </w:tcPr>
          <w:p w14:paraId="0B4D350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szakértői bizottság pénzügyi államtitkár általi kinevezése.</w:t>
            </w:r>
          </w:p>
        </w:tc>
      </w:tr>
      <w:tr w:rsidR="00D65CB4" w:rsidRPr="00BC4EE7" w14:paraId="2DD40F4E" w14:textId="77777777" w:rsidTr="00572307">
        <w:trPr>
          <w:trHeight w:val="268"/>
        </w:trPr>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BD5DEC"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392</w:t>
            </w:r>
          </w:p>
        </w:tc>
        <w:tc>
          <w:tcPr>
            <w:tcW w:w="2163" w:type="dxa"/>
            <w:tcBorders>
              <w:top w:val="single" w:sz="4" w:space="0" w:color="auto"/>
              <w:left w:val="nil"/>
              <w:bottom w:val="single" w:sz="4" w:space="0" w:color="auto"/>
              <w:right w:val="single" w:sz="4" w:space="0" w:color="auto"/>
            </w:tcBorders>
            <w:shd w:val="clear" w:color="auto" w:fill="C6EFCE"/>
            <w:noWrap/>
            <w:vAlign w:val="center"/>
          </w:tcPr>
          <w:p w14:paraId="41C92750"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C28.R5</w:t>
            </w:r>
          </w:p>
        </w:tc>
        <w:tc>
          <w:tcPr>
            <w:tcW w:w="1239" w:type="dxa"/>
            <w:tcBorders>
              <w:top w:val="single" w:sz="4" w:space="0" w:color="auto"/>
              <w:left w:val="nil"/>
              <w:bottom w:val="single" w:sz="4" w:space="0" w:color="auto"/>
              <w:right w:val="single" w:sz="4" w:space="0" w:color="auto"/>
            </w:tcBorders>
            <w:shd w:val="clear" w:color="auto" w:fill="C6EFCE"/>
            <w:noWrap/>
            <w:vAlign w:val="center"/>
          </w:tcPr>
          <w:p w14:paraId="5CF5F636"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5919" w:type="dxa"/>
            <w:gridSpan w:val="2"/>
            <w:tcBorders>
              <w:top w:val="single" w:sz="4" w:space="0" w:color="auto"/>
              <w:left w:val="nil"/>
              <w:bottom w:val="single" w:sz="4" w:space="0" w:color="auto"/>
              <w:right w:val="single" w:sz="4" w:space="0" w:color="auto"/>
            </w:tcBorders>
            <w:shd w:val="clear" w:color="auto" w:fill="C6EFCE"/>
            <w:noWrap/>
            <w:vAlign w:val="center"/>
          </w:tcPr>
          <w:p w14:paraId="62F360C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Digitális szolgáltatási adó</w:t>
            </w:r>
          </w:p>
        </w:tc>
      </w:tr>
      <w:tr w:rsidR="00D65CB4" w:rsidRPr="00BC4EE7" w14:paraId="19A73E5B" w14:textId="77777777" w:rsidTr="00572307">
        <w:trPr>
          <w:trHeight w:val="268"/>
        </w:trPr>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5BDD7B"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393</w:t>
            </w:r>
          </w:p>
        </w:tc>
        <w:tc>
          <w:tcPr>
            <w:tcW w:w="2163" w:type="dxa"/>
            <w:tcBorders>
              <w:top w:val="single" w:sz="4" w:space="0" w:color="auto"/>
              <w:left w:val="nil"/>
              <w:bottom w:val="single" w:sz="4" w:space="0" w:color="auto"/>
              <w:right w:val="single" w:sz="4" w:space="0" w:color="auto"/>
            </w:tcBorders>
            <w:shd w:val="clear" w:color="auto" w:fill="C6EFCE"/>
            <w:noWrap/>
            <w:vAlign w:val="center"/>
          </w:tcPr>
          <w:p w14:paraId="4E4C8FB9"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C28.R6</w:t>
            </w:r>
          </w:p>
        </w:tc>
        <w:tc>
          <w:tcPr>
            <w:tcW w:w="1239" w:type="dxa"/>
            <w:tcBorders>
              <w:top w:val="single" w:sz="4" w:space="0" w:color="auto"/>
              <w:left w:val="nil"/>
              <w:bottom w:val="single" w:sz="4" w:space="0" w:color="auto"/>
              <w:right w:val="single" w:sz="4" w:space="0" w:color="auto"/>
            </w:tcBorders>
            <w:shd w:val="clear" w:color="auto" w:fill="C6EFCE"/>
            <w:noWrap/>
            <w:vAlign w:val="center"/>
          </w:tcPr>
          <w:p w14:paraId="6A329674"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5919" w:type="dxa"/>
            <w:gridSpan w:val="2"/>
            <w:tcBorders>
              <w:top w:val="single" w:sz="4" w:space="0" w:color="auto"/>
              <w:left w:val="nil"/>
              <w:bottom w:val="single" w:sz="4" w:space="0" w:color="auto"/>
              <w:right w:val="single" w:sz="4" w:space="0" w:color="auto"/>
            </w:tcBorders>
            <w:shd w:val="clear" w:color="auto" w:fill="C6EFCE"/>
            <w:noWrap/>
            <w:vAlign w:val="center"/>
          </w:tcPr>
          <w:p w14:paraId="31C2CFB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Pénzügyi tranzakciós adó</w:t>
            </w:r>
          </w:p>
        </w:tc>
      </w:tr>
      <w:tr w:rsidR="00D65CB4" w:rsidRPr="00BC4EE7" w14:paraId="4FDBCE8D" w14:textId="77777777" w:rsidTr="00572307">
        <w:trPr>
          <w:trHeight w:val="268"/>
        </w:trPr>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0FD63E"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394</w:t>
            </w:r>
          </w:p>
        </w:tc>
        <w:tc>
          <w:tcPr>
            <w:tcW w:w="2163" w:type="dxa"/>
            <w:tcBorders>
              <w:top w:val="single" w:sz="4" w:space="0" w:color="auto"/>
              <w:left w:val="nil"/>
              <w:bottom w:val="single" w:sz="4" w:space="0" w:color="auto"/>
              <w:right w:val="single" w:sz="4" w:space="0" w:color="auto"/>
            </w:tcBorders>
            <w:shd w:val="clear" w:color="auto" w:fill="C6EFCE"/>
            <w:noWrap/>
            <w:vAlign w:val="center"/>
          </w:tcPr>
          <w:p w14:paraId="3A9AD04E"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C28.R7</w:t>
            </w:r>
          </w:p>
        </w:tc>
        <w:tc>
          <w:tcPr>
            <w:tcW w:w="1239" w:type="dxa"/>
            <w:tcBorders>
              <w:top w:val="single" w:sz="4" w:space="0" w:color="auto"/>
              <w:left w:val="nil"/>
              <w:bottom w:val="single" w:sz="4" w:space="0" w:color="auto"/>
              <w:right w:val="single" w:sz="4" w:space="0" w:color="auto"/>
            </w:tcBorders>
            <w:shd w:val="clear" w:color="auto" w:fill="C6EFCE"/>
            <w:noWrap/>
            <w:vAlign w:val="center"/>
          </w:tcPr>
          <w:p w14:paraId="60361A9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5919" w:type="dxa"/>
            <w:gridSpan w:val="2"/>
            <w:tcBorders>
              <w:top w:val="single" w:sz="4" w:space="0" w:color="auto"/>
              <w:left w:val="nil"/>
              <w:bottom w:val="single" w:sz="4" w:space="0" w:color="auto"/>
              <w:right w:val="single" w:sz="4" w:space="0" w:color="auto"/>
            </w:tcBorders>
            <w:shd w:val="clear" w:color="auto" w:fill="C6EFCE"/>
            <w:noWrap/>
            <w:vAlign w:val="center"/>
          </w:tcPr>
          <w:p w14:paraId="16A8413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személyi jövedelemadó és a vagyonadó módosítása 2021-ben</w:t>
            </w:r>
          </w:p>
        </w:tc>
      </w:tr>
      <w:tr w:rsidR="00D65CB4" w:rsidRPr="00BC4EE7" w14:paraId="7E5243A2" w14:textId="77777777" w:rsidTr="00572307">
        <w:trPr>
          <w:trHeight w:val="268"/>
        </w:trPr>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8FC7B2"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395</w:t>
            </w:r>
          </w:p>
        </w:tc>
        <w:tc>
          <w:tcPr>
            <w:tcW w:w="2163" w:type="dxa"/>
            <w:tcBorders>
              <w:top w:val="single" w:sz="4" w:space="0" w:color="auto"/>
              <w:left w:val="nil"/>
              <w:bottom w:val="single" w:sz="4" w:space="0" w:color="auto"/>
              <w:right w:val="single" w:sz="4" w:space="0" w:color="auto"/>
            </w:tcBorders>
            <w:shd w:val="clear" w:color="auto" w:fill="C6EFCE"/>
            <w:noWrap/>
            <w:vAlign w:val="center"/>
          </w:tcPr>
          <w:p w14:paraId="2CECD4A7"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C28.R8</w:t>
            </w:r>
          </w:p>
        </w:tc>
        <w:tc>
          <w:tcPr>
            <w:tcW w:w="1239" w:type="dxa"/>
            <w:tcBorders>
              <w:top w:val="single" w:sz="4" w:space="0" w:color="auto"/>
              <w:left w:val="nil"/>
              <w:bottom w:val="single" w:sz="4" w:space="0" w:color="auto"/>
              <w:right w:val="single" w:sz="4" w:space="0" w:color="auto"/>
            </w:tcBorders>
            <w:shd w:val="clear" w:color="auto" w:fill="C6EFCE"/>
            <w:noWrap/>
            <w:vAlign w:val="center"/>
          </w:tcPr>
          <w:p w14:paraId="14A6CE1B"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5919" w:type="dxa"/>
            <w:gridSpan w:val="2"/>
            <w:tcBorders>
              <w:top w:val="single" w:sz="4" w:space="0" w:color="auto"/>
              <w:left w:val="nil"/>
              <w:bottom w:val="single" w:sz="4" w:space="0" w:color="auto"/>
              <w:right w:val="single" w:sz="4" w:space="0" w:color="auto"/>
            </w:tcBorders>
            <w:shd w:val="clear" w:color="auto" w:fill="C6EFCE"/>
            <w:noWrap/>
            <w:vAlign w:val="center"/>
          </w:tcPr>
          <w:p w14:paraId="5E3DA79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társasági adó módosítása 2021-ben</w:t>
            </w:r>
          </w:p>
        </w:tc>
      </w:tr>
      <w:tr w:rsidR="00D65CB4" w:rsidRPr="00BC4EE7" w14:paraId="77226243" w14:textId="77777777" w:rsidTr="00572307">
        <w:trPr>
          <w:trHeight w:val="268"/>
        </w:trPr>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F99583"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396</w:t>
            </w:r>
          </w:p>
        </w:tc>
        <w:tc>
          <w:tcPr>
            <w:tcW w:w="2163" w:type="dxa"/>
            <w:tcBorders>
              <w:top w:val="single" w:sz="4" w:space="0" w:color="auto"/>
              <w:left w:val="nil"/>
              <w:bottom w:val="single" w:sz="4" w:space="0" w:color="auto"/>
              <w:right w:val="single" w:sz="4" w:space="0" w:color="auto"/>
            </w:tcBorders>
            <w:shd w:val="clear" w:color="auto" w:fill="C6EFCE"/>
            <w:noWrap/>
            <w:vAlign w:val="center"/>
          </w:tcPr>
          <w:p w14:paraId="65E99F93"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C28.R9</w:t>
            </w:r>
          </w:p>
        </w:tc>
        <w:tc>
          <w:tcPr>
            <w:tcW w:w="1239" w:type="dxa"/>
            <w:tcBorders>
              <w:top w:val="single" w:sz="4" w:space="0" w:color="auto"/>
              <w:left w:val="nil"/>
              <w:bottom w:val="single" w:sz="4" w:space="0" w:color="auto"/>
              <w:right w:val="single" w:sz="4" w:space="0" w:color="auto"/>
            </w:tcBorders>
            <w:shd w:val="clear" w:color="auto" w:fill="C6EFCE"/>
            <w:noWrap/>
            <w:vAlign w:val="center"/>
          </w:tcPr>
          <w:p w14:paraId="4E9BB433"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5919" w:type="dxa"/>
            <w:gridSpan w:val="2"/>
            <w:tcBorders>
              <w:top w:val="single" w:sz="4" w:space="0" w:color="auto"/>
              <w:left w:val="nil"/>
              <w:bottom w:val="single" w:sz="4" w:space="0" w:color="auto"/>
              <w:right w:val="single" w:sz="4" w:space="0" w:color="auto"/>
            </w:tcBorders>
            <w:shd w:val="clear" w:color="auto" w:fill="C6EFCE"/>
            <w:noWrap/>
            <w:vAlign w:val="center"/>
          </w:tcPr>
          <w:p w14:paraId="465CF4A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közvetett adók módosítása 2021-ben</w:t>
            </w:r>
          </w:p>
        </w:tc>
      </w:tr>
      <w:tr w:rsidR="00D65CB4" w:rsidRPr="00BC4EE7" w14:paraId="47016335" w14:textId="77777777" w:rsidTr="00572307">
        <w:trPr>
          <w:trHeight w:val="268"/>
        </w:trPr>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209BF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397</w:t>
            </w:r>
          </w:p>
        </w:tc>
        <w:tc>
          <w:tcPr>
            <w:tcW w:w="2163" w:type="dxa"/>
            <w:tcBorders>
              <w:top w:val="single" w:sz="4" w:space="0" w:color="auto"/>
              <w:left w:val="nil"/>
              <w:bottom w:val="single" w:sz="4" w:space="0" w:color="auto"/>
              <w:right w:val="single" w:sz="4" w:space="0" w:color="auto"/>
            </w:tcBorders>
            <w:shd w:val="clear" w:color="auto" w:fill="C6EFCE"/>
            <w:noWrap/>
            <w:vAlign w:val="center"/>
          </w:tcPr>
          <w:p w14:paraId="670D88FC"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C29.R1</w:t>
            </w:r>
          </w:p>
        </w:tc>
        <w:tc>
          <w:tcPr>
            <w:tcW w:w="1239" w:type="dxa"/>
            <w:tcBorders>
              <w:top w:val="single" w:sz="4" w:space="0" w:color="auto"/>
              <w:left w:val="nil"/>
              <w:bottom w:val="single" w:sz="4" w:space="0" w:color="auto"/>
              <w:right w:val="single" w:sz="4" w:space="0" w:color="auto"/>
            </w:tcBorders>
            <w:shd w:val="clear" w:color="auto" w:fill="C6EFCE"/>
            <w:noWrap/>
            <w:vAlign w:val="center"/>
          </w:tcPr>
          <w:p w14:paraId="0D4D156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5919" w:type="dxa"/>
            <w:gridSpan w:val="2"/>
            <w:tcBorders>
              <w:top w:val="single" w:sz="4" w:space="0" w:color="auto"/>
              <w:left w:val="nil"/>
              <w:bottom w:val="single" w:sz="4" w:space="0" w:color="auto"/>
              <w:right w:val="single" w:sz="4" w:space="0" w:color="auto"/>
            </w:tcBorders>
            <w:shd w:val="clear" w:color="auto" w:fill="C6EFCE"/>
            <w:noWrap/>
            <w:vAlign w:val="center"/>
          </w:tcPr>
          <w:p w14:paraId="613B9CF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Állandó csoport létrehozása a Pénzügyminisztériumban a kiadások felülvizsgálatai eredményei végrehajtásának aktív nyomon követésére és az éves költségvetési törvény kidolgozási rendjének jóváhagyására</w:t>
            </w:r>
          </w:p>
        </w:tc>
      </w:tr>
      <w:tr w:rsidR="00D65CB4" w:rsidRPr="00BC4EE7" w14:paraId="0185B913" w14:textId="77777777" w:rsidTr="00572307">
        <w:trPr>
          <w:trHeight w:val="268"/>
        </w:trPr>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47B9EE"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398</w:t>
            </w:r>
          </w:p>
        </w:tc>
        <w:tc>
          <w:tcPr>
            <w:tcW w:w="2163" w:type="dxa"/>
            <w:tcBorders>
              <w:top w:val="single" w:sz="4" w:space="0" w:color="auto"/>
              <w:left w:val="nil"/>
              <w:bottom w:val="single" w:sz="4" w:space="0" w:color="auto"/>
              <w:right w:val="single" w:sz="4" w:space="0" w:color="auto"/>
            </w:tcBorders>
            <w:shd w:val="clear" w:color="auto" w:fill="C6EFCE"/>
            <w:noWrap/>
            <w:vAlign w:val="center"/>
          </w:tcPr>
          <w:p w14:paraId="29B4927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C29.R1</w:t>
            </w:r>
          </w:p>
        </w:tc>
        <w:tc>
          <w:tcPr>
            <w:tcW w:w="1239" w:type="dxa"/>
            <w:tcBorders>
              <w:top w:val="single" w:sz="4" w:space="0" w:color="auto"/>
              <w:left w:val="nil"/>
              <w:bottom w:val="single" w:sz="4" w:space="0" w:color="auto"/>
              <w:right w:val="single" w:sz="4" w:space="0" w:color="auto"/>
            </w:tcBorders>
            <w:shd w:val="clear" w:color="auto" w:fill="C6EFCE"/>
            <w:noWrap/>
            <w:vAlign w:val="center"/>
          </w:tcPr>
          <w:p w14:paraId="0F6493A3"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5919" w:type="dxa"/>
            <w:gridSpan w:val="2"/>
            <w:tcBorders>
              <w:top w:val="single" w:sz="4" w:space="0" w:color="auto"/>
              <w:left w:val="nil"/>
              <w:bottom w:val="single" w:sz="4" w:space="0" w:color="auto"/>
              <w:right w:val="single" w:sz="4" w:space="0" w:color="auto"/>
            </w:tcBorders>
            <w:shd w:val="clear" w:color="auto" w:fill="C6EFCE"/>
            <w:noWrap/>
            <w:vAlign w:val="center"/>
          </w:tcPr>
          <w:p w14:paraId="20809FF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kiadások felülvizsgálatának III. szakasza</w:t>
            </w:r>
          </w:p>
        </w:tc>
      </w:tr>
      <w:tr w:rsidR="00D65CB4" w:rsidRPr="00BC4EE7" w14:paraId="339E507F" w14:textId="77777777" w:rsidTr="00572307">
        <w:trPr>
          <w:trHeight w:val="268"/>
        </w:trPr>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19C86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399</w:t>
            </w:r>
          </w:p>
        </w:tc>
        <w:tc>
          <w:tcPr>
            <w:tcW w:w="2163" w:type="dxa"/>
            <w:tcBorders>
              <w:top w:val="single" w:sz="4" w:space="0" w:color="auto"/>
              <w:left w:val="nil"/>
              <w:bottom w:val="single" w:sz="4" w:space="0" w:color="auto"/>
              <w:right w:val="single" w:sz="4" w:space="0" w:color="auto"/>
            </w:tcBorders>
            <w:shd w:val="clear" w:color="auto" w:fill="C6EFCE"/>
            <w:noWrap/>
            <w:vAlign w:val="center"/>
          </w:tcPr>
          <w:p w14:paraId="322AABC1"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C29.R1</w:t>
            </w:r>
          </w:p>
        </w:tc>
        <w:tc>
          <w:tcPr>
            <w:tcW w:w="1239" w:type="dxa"/>
            <w:tcBorders>
              <w:top w:val="single" w:sz="4" w:space="0" w:color="auto"/>
              <w:left w:val="nil"/>
              <w:bottom w:val="single" w:sz="4" w:space="0" w:color="auto"/>
              <w:right w:val="single" w:sz="4" w:space="0" w:color="auto"/>
            </w:tcBorders>
            <w:shd w:val="clear" w:color="auto" w:fill="C6EFCE"/>
            <w:noWrap/>
            <w:vAlign w:val="center"/>
          </w:tcPr>
          <w:p w14:paraId="2A0BEC42"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5919" w:type="dxa"/>
            <w:gridSpan w:val="2"/>
            <w:tcBorders>
              <w:top w:val="single" w:sz="4" w:space="0" w:color="auto"/>
              <w:left w:val="nil"/>
              <w:bottom w:val="single" w:sz="4" w:space="0" w:color="auto"/>
              <w:right w:val="single" w:sz="4" w:space="0" w:color="auto"/>
            </w:tcBorders>
            <w:shd w:val="clear" w:color="auto" w:fill="C6EFCE"/>
            <w:noWrap/>
            <w:vAlign w:val="center"/>
          </w:tcPr>
          <w:p w14:paraId="267362B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Állandó egység létrehozása az AIReF-en belül, amely a kormány által előírt kiadási felülvizsgálatok elvégzéséért felel.</w:t>
            </w:r>
          </w:p>
        </w:tc>
      </w:tr>
      <w:tr w:rsidR="00D65CB4" w:rsidRPr="00BC4EE7" w14:paraId="0C03F910" w14:textId="77777777" w:rsidTr="00572307">
        <w:trPr>
          <w:trHeight w:val="268"/>
        </w:trPr>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82E3B3"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406</w:t>
            </w:r>
          </w:p>
        </w:tc>
        <w:tc>
          <w:tcPr>
            <w:tcW w:w="2163" w:type="dxa"/>
            <w:tcBorders>
              <w:top w:val="single" w:sz="4" w:space="0" w:color="auto"/>
              <w:left w:val="nil"/>
              <w:bottom w:val="single" w:sz="4" w:space="0" w:color="auto"/>
              <w:right w:val="single" w:sz="4" w:space="0" w:color="auto"/>
            </w:tcBorders>
            <w:shd w:val="clear" w:color="auto" w:fill="C6EFCE"/>
            <w:noWrap/>
            <w:vAlign w:val="center"/>
          </w:tcPr>
          <w:p w14:paraId="47663E21"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C30.R1</w:t>
            </w:r>
          </w:p>
        </w:tc>
        <w:tc>
          <w:tcPr>
            <w:tcW w:w="1239" w:type="dxa"/>
            <w:tcBorders>
              <w:top w:val="single" w:sz="4" w:space="0" w:color="auto"/>
              <w:left w:val="nil"/>
              <w:bottom w:val="single" w:sz="4" w:space="0" w:color="auto"/>
              <w:right w:val="single" w:sz="4" w:space="0" w:color="auto"/>
            </w:tcBorders>
            <w:shd w:val="clear" w:color="auto" w:fill="C6EFCE"/>
            <w:noWrap/>
            <w:vAlign w:val="center"/>
          </w:tcPr>
          <w:p w14:paraId="386A4FF4"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5919" w:type="dxa"/>
            <w:gridSpan w:val="2"/>
            <w:tcBorders>
              <w:top w:val="single" w:sz="4" w:space="0" w:color="auto"/>
              <w:left w:val="nil"/>
              <w:bottom w:val="single" w:sz="4" w:space="0" w:color="auto"/>
              <w:right w:val="single" w:sz="4" w:space="0" w:color="auto"/>
            </w:tcBorders>
            <w:shd w:val="clear" w:color="auto" w:fill="C6EFCE"/>
            <w:noWrap/>
            <w:vAlign w:val="center"/>
          </w:tcPr>
          <w:p w14:paraId="618A26E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szociális biztonság finanszírozásának szétválasztása</w:t>
            </w:r>
          </w:p>
        </w:tc>
      </w:tr>
      <w:tr w:rsidR="00D65CB4" w:rsidRPr="00BC4EE7" w14:paraId="53616CB8" w14:textId="77777777" w:rsidTr="00572307">
        <w:trPr>
          <w:trHeight w:val="268"/>
        </w:trPr>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769FA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412</w:t>
            </w:r>
          </w:p>
        </w:tc>
        <w:tc>
          <w:tcPr>
            <w:tcW w:w="2163" w:type="dxa"/>
            <w:tcBorders>
              <w:top w:val="single" w:sz="4" w:space="0" w:color="auto"/>
              <w:left w:val="nil"/>
              <w:bottom w:val="single" w:sz="4" w:space="0" w:color="auto"/>
              <w:right w:val="single" w:sz="4" w:space="0" w:color="auto"/>
            </w:tcBorders>
            <w:shd w:val="clear" w:color="auto" w:fill="C6EFCE"/>
            <w:noWrap/>
            <w:vAlign w:val="center"/>
          </w:tcPr>
          <w:p w14:paraId="54D8608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C30.R4</w:t>
            </w:r>
          </w:p>
        </w:tc>
        <w:tc>
          <w:tcPr>
            <w:tcW w:w="1239" w:type="dxa"/>
            <w:tcBorders>
              <w:top w:val="single" w:sz="4" w:space="0" w:color="auto"/>
              <w:left w:val="nil"/>
              <w:bottom w:val="single" w:sz="4" w:space="0" w:color="auto"/>
              <w:right w:val="single" w:sz="4" w:space="0" w:color="auto"/>
            </w:tcBorders>
            <w:shd w:val="clear" w:color="auto" w:fill="C6EFCE"/>
            <w:noWrap/>
            <w:vAlign w:val="center"/>
          </w:tcPr>
          <w:p w14:paraId="0BFCDD9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5919" w:type="dxa"/>
            <w:gridSpan w:val="2"/>
            <w:tcBorders>
              <w:top w:val="single" w:sz="4" w:space="0" w:color="auto"/>
              <w:left w:val="nil"/>
              <w:bottom w:val="single" w:sz="4" w:space="0" w:color="auto"/>
              <w:right w:val="single" w:sz="4" w:space="0" w:color="auto"/>
            </w:tcBorders>
            <w:shd w:val="clear" w:color="auto" w:fill="C6EFCE"/>
            <w:noWrap/>
            <w:vAlign w:val="center"/>
          </w:tcPr>
          <w:p w14:paraId="7ECE821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anyasági többletek észszerűsítése</w:t>
            </w:r>
          </w:p>
        </w:tc>
      </w:tr>
      <w:tr w:rsidR="00D65CB4" w:rsidRPr="00BC4EE7" w14:paraId="7400C457" w14:textId="77777777" w:rsidTr="00572307">
        <w:trPr>
          <w:trHeight w:val="268"/>
        </w:trPr>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94A9E1"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413</w:t>
            </w:r>
          </w:p>
        </w:tc>
        <w:tc>
          <w:tcPr>
            <w:tcW w:w="2163" w:type="dxa"/>
            <w:tcBorders>
              <w:top w:val="single" w:sz="4" w:space="0" w:color="auto"/>
              <w:left w:val="nil"/>
              <w:bottom w:val="single" w:sz="4" w:space="0" w:color="auto"/>
              <w:right w:val="single" w:sz="4" w:space="0" w:color="auto"/>
            </w:tcBorders>
            <w:shd w:val="clear" w:color="auto" w:fill="C6EFCE"/>
            <w:noWrap/>
            <w:vAlign w:val="center"/>
          </w:tcPr>
          <w:p w14:paraId="7146112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C30.R5</w:t>
            </w:r>
          </w:p>
        </w:tc>
        <w:tc>
          <w:tcPr>
            <w:tcW w:w="1239" w:type="dxa"/>
            <w:tcBorders>
              <w:top w:val="single" w:sz="4" w:space="0" w:color="auto"/>
              <w:left w:val="nil"/>
              <w:bottom w:val="single" w:sz="4" w:space="0" w:color="auto"/>
              <w:right w:val="single" w:sz="4" w:space="0" w:color="auto"/>
            </w:tcBorders>
            <w:shd w:val="clear" w:color="auto" w:fill="C6EFCE"/>
            <w:noWrap/>
            <w:vAlign w:val="center"/>
          </w:tcPr>
          <w:p w14:paraId="280DCF87"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5919" w:type="dxa"/>
            <w:gridSpan w:val="2"/>
            <w:tcBorders>
              <w:top w:val="single" w:sz="4" w:space="0" w:color="auto"/>
              <w:left w:val="nil"/>
              <w:bottom w:val="single" w:sz="4" w:space="0" w:color="auto"/>
              <w:right w:val="single" w:sz="4" w:space="0" w:color="auto"/>
            </w:tcBorders>
            <w:shd w:val="clear" w:color="auto" w:fill="C6EFCE"/>
            <w:noWrap/>
            <w:vAlign w:val="center"/>
          </w:tcPr>
          <w:p w14:paraId="34DF425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jelenlegi kiegészítő nyugdíjrendszerhez kapcsolódó adókedvezmények felülvizsgálata</w:t>
            </w:r>
          </w:p>
        </w:tc>
      </w:tr>
      <w:tr w:rsidR="00D65CB4" w:rsidRPr="00BC4EE7" w14:paraId="1FBF7217" w14:textId="77777777" w:rsidTr="00572307">
        <w:trPr>
          <w:trHeight w:val="268"/>
        </w:trPr>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793B69" w14:textId="77777777" w:rsidR="00D65CB4" w:rsidRPr="00BC4EE7" w:rsidRDefault="00D65CB4">
            <w:pPr>
              <w:spacing w:after="0" w:line="240" w:lineRule="auto"/>
              <w:jc w:val="center"/>
              <w:rPr>
                <w:rFonts w:ascii="Times New Roman" w:eastAsia="Times New Roman" w:hAnsi="Times New Roman" w:cs="Times New Roman"/>
                <w:noProof/>
                <w:sz w:val="20"/>
              </w:rPr>
            </w:pPr>
          </w:p>
        </w:tc>
        <w:tc>
          <w:tcPr>
            <w:tcW w:w="2163" w:type="dxa"/>
            <w:tcBorders>
              <w:top w:val="single" w:sz="4" w:space="0" w:color="auto"/>
              <w:left w:val="nil"/>
              <w:bottom w:val="single" w:sz="4" w:space="0" w:color="auto"/>
              <w:right w:val="single" w:sz="4" w:space="0" w:color="auto"/>
            </w:tcBorders>
            <w:shd w:val="clear" w:color="auto" w:fill="C6EFCE"/>
            <w:noWrap/>
            <w:vAlign w:val="center"/>
          </w:tcPr>
          <w:p w14:paraId="31E90416" w14:textId="77777777" w:rsidR="00D65CB4" w:rsidRPr="00BC4EE7" w:rsidRDefault="00D65CB4">
            <w:pPr>
              <w:spacing w:after="0" w:line="240" w:lineRule="auto"/>
              <w:rPr>
                <w:rFonts w:ascii="Times New Roman" w:eastAsia="Times New Roman" w:hAnsi="Times New Roman" w:cs="Times New Roman"/>
                <w:noProof/>
                <w:sz w:val="20"/>
              </w:rPr>
            </w:pPr>
          </w:p>
        </w:tc>
        <w:tc>
          <w:tcPr>
            <w:tcW w:w="1239" w:type="dxa"/>
            <w:tcBorders>
              <w:top w:val="single" w:sz="4" w:space="0" w:color="auto"/>
              <w:left w:val="nil"/>
              <w:bottom w:val="single" w:sz="4" w:space="0" w:color="auto"/>
              <w:right w:val="single" w:sz="4" w:space="0" w:color="auto"/>
            </w:tcBorders>
            <w:shd w:val="clear" w:color="auto" w:fill="C6EFCE"/>
            <w:noWrap/>
            <w:vAlign w:val="center"/>
          </w:tcPr>
          <w:p w14:paraId="534E8AC5" w14:textId="77777777" w:rsidR="00D65CB4" w:rsidRPr="00BC4EE7" w:rsidRDefault="00572307">
            <w:pPr>
              <w:pStyle w:val="P68B1DB1-Normal38"/>
              <w:spacing w:after="0" w:line="240" w:lineRule="auto"/>
              <w:rPr>
                <w:rFonts w:eastAsia="Times New Roman" w:cs="Times New Roman"/>
                <w:noProof/>
              </w:rPr>
            </w:pPr>
            <w:r w:rsidRPr="00BC4EE7">
              <w:rPr>
                <w:rFonts w:cs="Times New Roman"/>
                <w:noProof/>
              </w:rPr>
              <w:t>Részösszeg</w:t>
            </w:r>
          </w:p>
        </w:tc>
        <w:tc>
          <w:tcPr>
            <w:tcW w:w="5919" w:type="dxa"/>
            <w:gridSpan w:val="2"/>
            <w:tcBorders>
              <w:top w:val="single" w:sz="4" w:space="0" w:color="auto"/>
              <w:left w:val="nil"/>
              <w:bottom w:val="single" w:sz="4" w:space="0" w:color="auto"/>
              <w:right w:val="single" w:sz="4" w:space="0" w:color="auto"/>
            </w:tcBorders>
            <w:shd w:val="clear" w:color="auto" w:fill="C6EFCE"/>
            <w:noWrap/>
            <w:vAlign w:val="center"/>
          </w:tcPr>
          <w:p w14:paraId="072E8C0D" w14:textId="05D2F4A5" w:rsidR="00D65CB4" w:rsidRPr="00BC4EE7" w:rsidRDefault="00572307">
            <w:pPr>
              <w:pStyle w:val="P68B1DB1-Normal38"/>
              <w:spacing w:after="0" w:line="240" w:lineRule="auto"/>
              <w:rPr>
                <w:rFonts w:eastAsia="Times New Roman" w:cs="Times New Roman"/>
                <w:noProof/>
              </w:rPr>
            </w:pPr>
            <w:r w:rsidRPr="00BC4EE7">
              <w:rPr>
                <w:rFonts w:cs="Times New Roman"/>
                <w:noProof/>
              </w:rPr>
              <w:t>·EURÓPAI BIZOTTSÁG 11 494 252 874 EUR</w:t>
            </w:r>
          </w:p>
        </w:tc>
      </w:tr>
    </w:tbl>
    <w:p w14:paraId="0E88AC02" w14:textId="77777777" w:rsidR="00D65CB4" w:rsidRPr="00BC4EE7" w:rsidRDefault="00D65CB4">
      <w:pPr>
        <w:spacing w:before="120" w:after="120" w:line="240" w:lineRule="auto"/>
        <w:jc w:val="both"/>
        <w:rPr>
          <w:rFonts w:ascii="Times New Roman" w:eastAsia="Calibri" w:hAnsi="Times New Roman" w:cs="Times New Roman"/>
          <w:noProof/>
          <w:sz w:val="24"/>
        </w:rPr>
      </w:pPr>
    </w:p>
    <w:p w14:paraId="1D237968" w14:textId="77777777" w:rsidR="00D65CB4" w:rsidRPr="00BC4EE7" w:rsidRDefault="00D65CB4">
      <w:pPr>
        <w:numPr>
          <w:ilvl w:val="1"/>
          <w:numId w:val="50"/>
        </w:numPr>
        <w:tabs>
          <w:tab w:val="clear" w:pos="6236"/>
          <w:tab w:val="num" w:pos="850"/>
        </w:tabs>
        <w:spacing w:before="120" w:after="120" w:line="240" w:lineRule="auto"/>
        <w:ind w:left="850"/>
        <w:jc w:val="both"/>
        <w:rPr>
          <w:rFonts w:ascii="Times New Roman" w:hAnsi="Times New Roman" w:cs="Times New Roman"/>
          <w:noProof/>
          <w:sz w:val="24"/>
        </w:rPr>
        <w:sectPr w:rsidR="00D65CB4" w:rsidRPr="00BC4EE7" w:rsidSect="00B511EF">
          <w:headerReference w:type="even" r:id="rId616"/>
          <w:headerReference w:type="default" r:id="rId617"/>
          <w:footerReference w:type="even" r:id="rId618"/>
          <w:footerReference w:type="default" r:id="rId619"/>
          <w:headerReference w:type="first" r:id="rId620"/>
          <w:footerReference w:type="first" r:id="rId621"/>
          <w:pgSz w:w="11907" w:h="16839"/>
          <w:pgMar w:top="1134" w:right="1134" w:bottom="1134" w:left="1134" w:header="567" w:footer="567" w:gutter="0"/>
          <w:cols w:space="720"/>
          <w:docGrid w:linePitch="360"/>
        </w:sectPr>
      </w:pPr>
    </w:p>
    <w:p w14:paraId="2C3B7F6D" w14:textId="77777777" w:rsidR="00D65CB4" w:rsidRPr="00BC4EE7" w:rsidRDefault="00572307">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sidRPr="00BC4EE7">
        <w:rPr>
          <w:rFonts w:cs="Times New Roman"/>
          <w:noProof/>
        </w:rPr>
        <w:t xml:space="preserve">Második részösszeg (vissza nem térítendő támogatás): </w:t>
      </w:r>
    </w:p>
    <w:tbl>
      <w:tblPr>
        <w:tblW w:w="9889" w:type="dxa"/>
        <w:tblInd w:w="-34" w:type="dxa"/>
        <w:tblLook w:val="04A0" w:firstRow="1" w:lastRow="0" w:firstColumn="1" w:lastColumn="0" w:noHBand="0" w:noVBand="1"/>
      </w:tblPr>
      <w:tblGrid>
        <w:gridCol w:w="1232"/>
        <w:gridCol w:w="1370"/>
        <w:gridCol w:w="1226"/>
        <w:gridCol w:w="6061"/>
      </w:tblGrid>
      <w:tr w:rsidR="00D65CB4" w:rsidRPr="00BC4EE7" w14:paraId="49E29A45" w14:textId="77777777" w:rsidTr="00572307">
        <w:trPr>
          <w:trHeight w:val="906"/>
          <w:tblHeader/>
        </w:trPr>
        <w:tc>
          <w:tcPr>
            <w:tcW w:w="1232"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01944301" w14:textId="77777777"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Sorszám</w:t>
            </w:r>
          </w:p>
        </w:tc>
        <w:tc>
          <w:tcPr>
            <w:tcW w:w="137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2FDB3F00" w14:textId="77777777"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Kapcsolódó intézkedés (reform vagy beruházás)</w:t>
            </w:r>
          </w:p>
        </w:tc>
        <w:tc>
          <w:tcPr>
            <w:tcW w:w="1226"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090CC157" w14:textId="2D75C558"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Mérföldkő/</w:t>
            </w:r>
            <w:r>
              <w:rPr>
                <w:rFonts w:cs="Times New Roman"/>
                <w:noProof/>
              </w:rPr>
              <w:br/>
            </w:r>
            <w:r w:rsidRPr="00BC4EE7">
              <w:rPr>
                <w:rFonts w:cs="Times New Roman"/>
                <w:noProof/>
              </w:rPr>
              <w:t>cél</w:t>
            </w:r>
          </w:p>
        </w:tc>
        <w:tc>
          <w:tcPr>
            <w:tcW w:w="6061" w:type="dxa"/>
            <w:vMerge w:val="restart"/>
            <w:tcBorders>
              <w:top w:val="single" w:sz="4" w:space="0" w:color="auto"/>
              <w:left w:val="nil"/>
              <w:bottom w:val="single" w:sz="4" w:space="0" w:color="000000"/>
              <w:right w:val="single" w:sz="4" w:space="0" w:color="auto"/>
            </w:tcBorders>
            <w:shd w:val="clear" w:color="auto" w:fill="BDD7EE"/>
            <w:vAlign w:val="center"/>
            <w:hideMark/>
          </w:tcPr>
          <w:p w14:paraId="4961D985" w14:textId="77777777"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Név</w:t>
            </w:r>
          </w:p>
        </w:tc>
      </w:tr>
      <w:tr w:rsidR="00D65CB4" w:rsidRPr="00BC4EE7" w14:paraId="48B02ED2" w14:textId="77777777" w:rsidTr="00572307">
        <w:trPr>
          <w:trHeight w:val="509"/>
        </w:trPr>
        <w:tc>
          <w:tcPr>
            <w:tcW w:w="1232" w:type="dxa"/>
            <w:vMerge/>
            <w:tcBorders>
              <w:top w:val="single" w:sz="4" w:space="0" w:color="auto"/>
              <w:left w:val="single" w:sz="4" w:space="0" w:color="auto"/>
              <w:bottom w:val="single" w:sz="4" w:space="0" w:color="000000"/>
              <w:right w:val="single" w:sz="4" w:space="0" w:color="auto"/>
            </w:tcBorders>
            <w:vAlign w:val="center"/>
            <w:hideMark/>
          </w:tcPr>
          <w:p w14:paraId="15452E39" w14:textId="77777777" w:rsidR="00D65CB4" w:rsidRPr="00BC4EE7" w:rsidRDefault="00D65CB4">
            <w:pPr>
              <w:spacing w:after="0" w:line="240" w:lineRule="auto"/>
              <w:rPr>
                <w:rFonts w:ascii="Times New Roman" w:eastAsia="Times New Roman" w:hAnsi="Times New Roman" w:cs="Times New Roman"/>
                <w:b/>
                <w:noProof/>
                <w:sz w:val="20"/>
              </w:rPr>
            </w:pPr>
          </w:p>
        </w:tc>
        <w:tc>
          <w:tcPr>
            <w:tcW w:w="1370" w:type="dxa"/>
            <w:vMerge/>
            <w:tcBorders>
              <w:top w:val="single" w:sz="4" w:space="0" w:color="auto"/>
              <w:left w:val="single" w:sz="4" w:space="0" w:color="auto"/>
              <w:bottom w:val="single" w:sz="4" w:space="0" w:color="000000"/>
              <w:right w:val="single" w:sz="4" w:space="0" w:color="auto"/>
            </w:tcBorders>
            <w:vAlign w:val="center"/>
            <w:hideMark/>
          </w:tcPr>
          <w:p w14:paraId="1A0AFC6D" w14:textId="77777777" w:rsidR="00D65CB4" w:rsidRPr="00BC4EE7" w:rsidRDefault="00D65CB4">
            <w:pPr>
              <w:spacing w:after="0" w:line="240" w:lineRule="auto"/>
              <w:rPr>
                <w:rFonts w:ascii="Times New Roman" w:eastAsia="Times New Roman" w:hAnsi="Times New Roman" w:cs="Times New Roman"/>
                <w:b/>
                <w:noProof/>
                <w:sz w:val="20"/>
              </w:rPr>
            </w:pPr>
          </w:p>
        </w:tc>
        <w:tc>
          <w:tcPr>
            <w:tcW w:w="1226" w:type="dxa"/>
            <w:vMerge/>
            <w:tcBorders>
              <w:top w:val="single" w:sz="4" w:space="0" w:color="auto"/>
              <w:left w:val="single" w:sz="4" w:space="0" w:color="auto"/>
              <w:bottom w:val="single" w:sz="4" w:space="0" w:color="000000"/>
              <w:right w:val="single" w:sz="4" w:space="0" w:color="auto"/>
            </w:tcBorders>
            <w:vAlign w:val="center"/>
            <w:hideMark/>
          </w:tcPr>
          <w:p w14:paraId="3282B285" w14:textId="77777777" w:rsidR="00D65CB4" w:rsidRPr="00BC4EE7" w:rsidRDefault="00D65CB4">
            <w:pPr>
              <w:spacing w:after="0" w:line="240" w:lineRule="auto"/>
              <w:rPr>
                <w:rFonts w:ascii="Times New Roman" w:eastAsia="Times New Roman" w:hAnsi="Times New Roman" w:cs="Times New Roman"/>
                <w:b/>
                <w:noProof/>
                <w:sz w:val="20"/>
              </w:rPr>
            </w:pPr>
          </w:p>
        </w:tc>
        <w:tc>
          <w:tcPr>
            <w:tcW w:w="6061" w:type="dxa"/>
            <w:vMerge/>
            <w:tcBorders>
              <w:top w:val="single" w:sz="4" w:space="0" w:color="auto"/>
              <w:left w:val="nil"/>
              <w:bottom w:val="single" w:sz="4" w:space="0" w:color="000000"/>
              <w:right w:val="single" w:sz="4" w:space="0" w:color="auto"/>
            </w:tcBorders>
            <w:vAlign w:val="center"/>
            <w:hideMark/>
          </w:tcPr>
          <w:p w14:paraId="5B0778BF" w14:textId="77777777" w:rsidR="00D65CB4" w:rsidRPr="00BC4EE7" w:rsidRDefault="00D65CB4">
            <w:pPr>
              <w:spacing w:after="0" w:line="240" w:lineRule="auto"/>
              <w:rPr>
                <w:rFonts w:ascii="Times New Roman" w:eastAsia="Times New Roman" w:hAnsi="Times New Roman" w:cs="Times New Roman"/>
                <w:b/>
                <w:noProof/>
                <w:sz w:val="20"/>
              </w:rPr>
            </w:pPr>
          </w:p>
        </w:tc>
      </w:tr>
      <w:tr w:rsidR="00D65CB4" w:rsidRPr="00BC4EE7" w14:paraId="1A37BBBF" w14:textId="77777777" w:rsidTr="00572307">
        <w:trPr>
          <w:trHeight w:val="302"/>
        </w:trPr>
        <w:tc>
          <w:tcPr>
            <w:tcW w:w="1232"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011CA9"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24</w:t>
            </w:r>
          </w:p>
        </w:tc>
        <w:tc>
          <w:tcPr>
            <w:tcW w:w="1370" w:type="dxa"/>
            <w:tcBorders>
              <w:top w:val="single" w:sz="4" w:space="0" w:color="auto"/>
              <w:left w:val="nil"/>
              <w:bottom w:val="single" w:sz="4" w:space="0" w:color="auto"/>
              <w:right w:val="single" w:sz="4" w:space="0" w:color="auto"/>
            </w:tcBorders>
            <w:shd w:val="clear" w:color="auto" w:fill="C6EFCE"/>
            <w:noWrap/>
            <w:vAlign w:val="bottom"/>
          </w:tcPr>
          <w:p w14:paraId="07B5483B"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C2.R5</w:t>
            </w:r>
          </w:p>
        </w:tc>
        <w:tc>
          <w:tcPr>
            <w:tcW w:w="1226" w:type="dxa"/>
            <w:tcBorders>
              <w:top w:val="single" w:sz="4" w:space="0" w:color="auto"/>
              <w:left w:val="nil"/>
              <w:bottom w:val="single" w:sz="4" w:space="0" w:color="auto"/>
              <w:right w:val="single" w:sz="4" w:space="0" w:color="auto"/>
            </w:tcBorders>
            <w:shd w:val="clear" w:color="auto" w:fill="C6EFCE"/>
            <w:noWrap/>
            <w:vAlign w:val="bottom"/>
          </w:tcPr>
          <w:p w14:paraId="50A0A1D3"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6061" w:type="dxa"/>
            <w:tcBorders>
              <w:top w:val="single" w:sz="4" w:space="0" w:color="auto"/>
              <w:left w:val="nil"/>
              <w:bottom w:val="single" w:sz="4" w:space="0" w:color="auto"/>
              <w:right w:val="single" w:sz="4" w:space="0" w:color="auto"/>
            </w:tcBorders>
            <w:shd w:val="clear" w:color="auto" w:fill="C6EFCE"/>
            <w:noWrap/>
            <w:vAlign w:val="bottom"/>
          </w:tcPr>
          <w:p w14:paraId="3D6D03C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Az épületkorszerűsítési hivatalokról szóló királyi rendelet (egyablakos ügyintézés) hatálybalépése </w:t>
            </w:r>
          </w:p>
        </w:tc>
      </w:tr>
      <w:tr w:rsidR="00D65CB4" w:rsidRPr="00BC4EE7" w14:paraId="79DEBF0C" w14:textId="77777777" w:rsidTr="00572307">
        <w:trPr>
          <w:trHeight w:val="302"/>
        </w:trPr>
        <w:tc>
          <w:tcPr>
            <w:tcW w:w="1232"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72A53EB"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26</w:t>
            </w:r>
          </w:p>
        </w:tc>
        <w:tc>
          <w:tcPr>
            <w:tcW w:w="1370" w:type="dxa"/>
            <w:tcBorders>
              <w:top w:val="single" w:sz="4" w:space="0" w:color="auto"/>
              <w:left w:val="nil"/>
              <w:bottom w:val="single" w:sz="4" w:space="0" w:color="auto"/>
              <w:right w:val="single" w:sz="4" w:space="0" w:color="auto"/>
            </w:tcBorders>
            <w:shd w:val="clear" w:color="auto" w:fill="C6EFCE"/>
            <w:noWrap/>
            <w:vAlign w:val="bottom"/>
          </w:tcPr>
          <w:p w14:paraId="5DE24DCA"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C2.I1</w:t>
            </w:r>
          </w:p>
        </w:tc>
        <w:tc>
          <w:tcPr>
            <w:tcW w:w="1226" w:type="dxa"/>
            <w:tcBorders>
              <w:top w:val="single" w:sz="4" w:space="0" w:color="auto"/>
              <w:left w:val="nil"/>
              <w:bottom w:val="single" w:sz="4" w:space="0" w:color="auto"/>
              <w:right w:val="single" w:sz="4" w:space="0" w:color="auto"/>
            </w:tcBorders>
            <w:shd w:val="clear" w:color="auto" w:fill="C6EFCE"/>
            <w:noWrap/>
            <w:vAlign w:val="bottom"/>
          </w:tcPr>
          <w:p w14:paraId="4DCF1C0B"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6061" w:type="dxa"/>
            <w:tcBorders>
              <w:top w:val="single" w:sz="4" w:space="0" w:color="auto"/>
              <w:left w:val="nil"/>
              <w:bottom w:val="single" w:sz="4" w:space="0" w:color="auto"/>
              <w:right w:val="single" w:sz="4" w:space="0" w:color="auto"/>
            </w:tcBorders>
            <w:shd w:val="clear" w:color="auto" w:fill="C6EFCE"/>
            <w:noWrap/>
            <w:vAlign w:val="bottom"/>
          </w:tcPr>
          <w:p w14:paraId="1D73ADC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megújítási program végrehajtásának szabályozási keretéről szóló királyi rendelet hatálybalépése; és a programot támogató személyi jövedelemadó-ösztönzőket szabályozó királyi törvényerejű rendelet </w:t>
            </w:r>
          </w:p>
        </w:tc>
      </w:tr>
      <w:tr w:rsidR="00D65CB4" w:rsidRPr="00BC4EE7" w14:paraId="4798EE41" w14:textId="77777777" w:rsidTr="00572307">
        <w:trPr>
          <w:trHeight w:val="302"/>
        </w:trPr>
        <w:tc>
          <w:tcPr>
            <w:tcW w:w="1232"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154370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30</w:t>
            </w:r>
          </w:p>
        </w:tc>
        <w:tc>
          <w:tcPr>
            <w:tcW w:w="1370" w:type="dxa"/>
            <w:tcBorders>
              <w:top w:val="single" w:sz="4" w:space="0" w:color="auto"/>
              <w:left w:val="nil"/>
              <w:bottom w:val="single" w:sz="4" w:space="0" w:color="auto"/>
              <w:right w:val="single" w:sz="4" w:space="0" w:color="auto"/>
            </w:tcBorders>
            <w:shd w:val="clear" w:color="auto" w:fill="C6EFCE"/>
            <w:noWrap/>
            <w:vAlign w:val="bottom"/>
          </w:tcPr>
          <w:p w14:paraId="46D0EC20"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C2.I2</w:t>
            </w:r>
          </w:p>
        </w:tc>
        <w:tc>
          <w:tcPr>
            <w:tcW w:w="1226" w:type="dxa"/>
            <w:tcBorders>
              <w:top w:val="single" w:sz="4" w:space="0" w:color="auto"/>
              <w:left w:val="nil"/>
              <w:bottom w:val="single" w:sz="4" w:space="0" w:color="auto"/>
              <w:right w:val="single" w:sz="4" w:space="0" w:color="auto"/>
            </w:tcBorders>
            <w:shd w:val="clear" w:color="auto" w:fill="C6EFCE"/>
            <w:noWrap/>
            <w:vAlign w:val="bottom"/>
          </w:tcPr>
          <w:p w14:paraId="57FF71F2"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6061" w:type="dxa"/>
            <w:tcBorders>
              <w:top w:val="single" w:sz="4" w:space="0" w:color="auto"/>
              <w:left w:val="nil"/>
              <w:bottom w:val="single" w:sz="4" w:space="0" w:color="auto"/>
              <w:right w:val="single" w:sz="4" w:space="0" w:color="auto"/>
            </w:tcBorders>
            <w:shd w:val="clear" w:color="auto" w:fill="C6EFCE"/>
            <w:noWrap/>
            <w:vAlign w:val="bottom"/>
          </w:tcPr>
          <w:p w14:paraId="7DC3477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Az energiahatékony szociális bérlakások energiahatékonysági kritériumoknak megfelelő programjának végrehajtására vonatkozó szabályozási keret meghatározásáról szóló királyi rendelet hatálybalépése </w:t>
            </w:r>
          </w:p>
        </w:tc>
      </w:tr>
      <w:tr w:rsidR="00D65CB4" w:rsidRPr="00BC4EE7" w14:paraId="33933791" w14:textId="77777777" w:rsidTr="00572307">
        <w:trPr>
          <w:trHeight w:val="302"/>
        </w:trPr>
        <w:tc>
          <w:tcPr>
            <w:tcW w:w="1232"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0F9079B"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40</w:t>
            </w:r>
          </w:p>
        </w:tc>
        <w:tc>
          <w:tcPr>
            <w:tcW w:w="1370" w:type="dxa"/>
            <w:tcBorders>
              <w:top w:val="single" w:sz="4" w:space="0" w:color="auto"/>
              <w:left w:val="nil"/>
              <w:bottom w:val="single" w:sz="4" w:space="0" w:color="auto"/>
              <w:right w:val="single" w:sz="4" w:space="0" w:color="auto"/>
            </w:tcBorders>
            <w:shd w:val="clear" w:color="auto" w:fill="C6EFCE"/>
            <w:noWrap/>
            <w:vAlign w:val="bottom"/>
          </w:tcPr>
          <w:p w14:paraId="7CA5B6E6"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C3.R1</w:t>
            </w:r>
          </w:p>
        </w:tc>
        <w:tc>
          <w:tcPr>
            <w:tcW w:w="1226" w:type="dxa"/>
            <w:tcBorders>
              <w:top w:val="single" w:sz="4" w:space="0" w:color="auto"/>
              <w:left w:val="nil"/>
              <w:bottom w:val="single" w:sz="4" w:space="0" w:color="auto"/>
              <w:right w:val="single" w:sz="4" w:space="0" w:color="auto"/>
            </w:tcBorders>
            <w:shd w:val="clear" w:color="auto" w:fill="C6EFCE"/>
            <w:noWrap/>
            <w:vAlign w:val="bottom"/>
          </w:tcPr>
          <w:p w14:paraId="7C667D7A"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6061" w:type="dxa"/>
            <w:tcBorders>
              <w:top w:val="single" w:sz="4" w:space="0" w:color="auto"/>
              <w:left w:val="nil"/>
              <w:bottom w:val="single" w:sz="4" w:space="0" w:color="auto"/>
              <w:right w:val="single" w:sz="4" w:space="0" w:color="auto"/>
            </w:tcBorders>
            <w:shd w:val="clear" w:color="auto" w:fill="C6EFCE"/>
            <w:noWrap/>
            <w:vAlign w:val="bottom"/>
          </w:tcPr>
          <w:p w14:paraId="02E8AF2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Az élelmiszerlánc működésének javítását célzó intézkedésekről szóló 12/2013. sz. törvény második módosításának hatálybalépése </w:t>
            </w:r>
          </w:p>
        </w:tc>
      </w:tr>
      <w:tr w:rsidR="00D65CB4" w:rsidRPr="00BC4EE7" w14:paraId="61B9AA8B" w14:textId="77777777" w:rsidTr="00572307">
        <w:trPr>
          <w:trHeight w:val="302"/>
        </w:trPr>
        <w:tc>
          <w:tcPr>
            <w:tcW w:w="1232"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1C78075"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46</w:t>
            </w:r>
          </w:p>
        </w:tc>
        <w:tc>
          <w:tcPr>
            <w:tcW w:w="1370" w:type="dxa"/>
            <w:tcBorders>
              <w:top w:val="single" w:sz="4" w:space="0" w:color="auto"/>
              <w:left w:val="nil"/>
              <w:bottom w:val="single" w:sz="4" w:space="0" w:color="auto"/>
              <w:right w:val="single" w:sz="4" w:space="0" w:color="auto"/>
            </w:tcBorders>
            <w:shd w:val="clear" w:color="auto" w:fill="C6EFCE"/>
            <w:noWrap/>
            <w:vAlign w:val="bottom"/>
          </w:tcPr>
          <w:p w14:paraId="4D97DD9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C3.I1.</w:t>
            </w:r>
          </w:p>
        </w:tc>
        <w:tc>
          <w:tcPr>
            <w:tcW w:w="1226" w:type="dxa"/>
            <w:tcBorders>
              <w:top w:val="single" w:sz="4" w:space="0" w:color="auto"/>
              <w:left w:val="nil"/>
              <w:bottom w:val="single" w:sz="4" w:space="0" w:color="auto"/>
              <w:right w:val="single" w:sz="4" w:space="0" w:color="auto"/>
            </w:tcBorders>
            <w:shd w:val="clear" w:color="auto" w:fill="C6EFCE"/>
            <w:noWrap/>
            <w:vAlign w:val="bottom"/>
          </w:tcPr>
          <w:p w14:paraId="561E03C9"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T</w:t>
            </w:r>
          </w:p>
        </w:tc>
        <w:tc>
          <w:tcPr>
            <w:tcW w:w="6061" w:type="dxa"/>
            <w:tcBorders>
              <w:top w:val="single" w:sz="4" w:space="0" w:color="auto"/>
              <w:left w:val="nil"/>
              <w:bottom w:val="single" w:sz="4" w:space="0" w:color="auto"/>
              <w:right w:val="single" w:sz="4" w:space="0" w:color="auto"/>
            </w:tcBorders>
            <w:shd w:val="clear" w:color="auto" w:fill="C6EFCE"/>
            <w:noWrap/>
            <w:vAlign w:val="bottom"/>
          </w:tcPr>
          <w:p w14:paraId="58842CD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Mezőgazdasági, Halászati és Élelmiszerügyi Minisztérium (MAPA) és a SEIASA közötti szerződéses megállapodás hatálybalépése az öntözött területek fejlesztésének és fenntarthatóságának támogatása érdekében (I. szakasz)</w:t>
            </w:r>
          </w:p>
        </w:tc>
      </w:tr>
      <w:tr w:rsidR="00D65CB4" w:rsidRPr="00BC4EE7" w14:paraId="3B45D081" w14:textId="77777777" w:rsidTr="00572307">
        <w:trPr>
          <w:trHeight w:val="302"/>
        </w:trPr>
        <w:tc>
          <w:tcPr>
            <w:tcW w:w="1232"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D0804C"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56</w:t>
            </w:r>
          </w:p>
        </w:tc>
        <w:tc>
          <w:tcPr>
            <w:tcW w:w="1370" w:type="dxa"/>
            <w:tcBorders>
              <w:top w:val="single" w:sz="4" w:space="0" w:color="auto"/>
              <w:left w:val="nil"/>
              <w:bottom w:val="single" w:sz="4" w:space="0" w:color="auto"/>
              <w:right w:val="single" w:sz="4" w:space="0" w:color="auto"/>
            </w:tcBorders>
            <w:shd w:val="clear" w:color="auto" w:fill="C6EFCE"/>
            <w:noWrap/>
            <w:vAlign w:val="bottom"/>
          </w:tcPr>
          <w:p w14:paraId="1BD6A95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C3.I7</w:t>
            </w:r>
          </w:p>
        </w:tc>
        <w:tc>
          <w:tcPr>
            <w:tcW w:w="1226" w:type="dxa"/>
            <w:tcBorders>
              <w:top w:val="single" w:sz="4" w:space="0" w:color="auto"/>
              <w:left w:val="nil"/>
              <w:bottom w:val="single" w:sz="4" w:space="0" w:color="auto"/>
              <w:right w:val="single" w:sz="4" w:space="0" w:color="auto"/>
            </w:tcBorders>
            <w:shd w:val="clear" w:color="auto" w:fill="C6EFCE"/>
            <w:noWrap/>
            <w:vAlign w:val="bottom"/>
          </w:tcPr>
          <w:p w14:paraId="152C591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6061" w:type="dxa"/>
            <w:tcBorders>
              <w:top w:val="single" w:sz="4" w:space="0" w:color="auto"/>
              <w:left w:val="nil"/>
              <w:bottom w:val="single" w:sz="4" w:space="0" w:color="auto"/>
              <w:right w:val="single" w:sz="4" w:space="0" w:color="auto"/>
            </w:tcBorders>
            <w:shd w:val="clear" w:color="auto" w:fill="C6EFCE"/>
            <w:noWrap/>
            <w:vAlign w:val="bottom"/>
          </w:tcPr>
          <w:p w14:paraId="6163587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Megállapodások az állami kutatási szervekkel</w:t>
            </w:r>
          </w:p>
        </w:tc>
      </w:tr>
      <w:tr w:rsidR="00D65CB4" w:rsidRPr="00BC4EE7" w14:paraId="6AD2D41F" w14:textId="77777777" w:rsidTr="00572307">
        <w:trPr>
          <w:trHeight w:val="302"/>
        </w:trPr>
        <w:tc>
          <w:tcPr>
            <w:tcW w:w="1232"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05CC7B3"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74</w:t>
            </w:r>
          </w:p>
        </w:tc>
        <w:tc>
          <w:tcPr>
            <w:tcW w:w="1370" w:type="dxa"/>
            <w:tcBorders>
              <w:top w:val="single" w:sz="4" w:space="0" w:color="auto"/>
              <w:left w:val="nil"/>
              <w:bottom w:val="single" w:sz="4" w:space="0" w:color="auto"/>
              <w:right w:val="single" w:sz="4" w:space="0" w:color="auto"/>
            </w:tcBorders>
            <w:shd w:val="clear" w:color="auto" w:fill="C6EFCE"/>
            <w:noWrap/>
            <w:vAlign w:val="bottom"/>
          </w:tcPr>
          <w:p w14:paraId="0265C18C"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C5.R1</w:t>
            </w:r>
          </w:p>
        </w:tc>
        <w:tc>
          <w:tcPr>
            <w:tcW w:w="1226" w:type="dxa"/>
            <w:tcBorders>
              <w:top w:val="single" w:sz="4" w:space="0" w:color="auto"/>
              <w:left w:val="nil"/>
              <w:bottom w:val="single" w:sz="4" w:space="0" w:color="auto"/>
              <w:right w:val="single" w:sz="4" w:space="0" w:color="auto"/>
            </w:tcBorders>
            <w:shd w:val="clear" w:color="auto" w:fill="C6EFCE"/>
            <w:noWrap/>
            <w:vAlign w:val="bottom"/>
          </w:tcPr>
          <w:p w14:paraId="14BECF16"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6061" w:type="dxa"/>
            <w:tcBorders>
              <w:top w:val="single" w:sz="4" w:space="0" w:color="auto"/>
              <w:left w:val="nil"/>
              <w:bottom w:val="single" w:sz="4" w:space="0" w:color="auto"/>
              <w:right w:val="single" w:sz="4" w:space="0" w:color="auto"/>
            </w:tcBorders>
            <w:shd w:val="clear" w:color="auto" w:fill="C6EFCE"/>
            <w:noWrap/>
            <w:vAlign w:val="bottom"/>
          </w:tcPr>
          <w:p w14:paraId="771B3BD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hidrológiai tervezésről szóló rendelet módosításainak hatálybalépése </w:t>
            </w:r>
          </w:p>
        </w:tc>
      </w:tr>
      <w:tr w:rsidR="00D65CB4" w:rsidRPr="00BC4EE7" w14:paraId="6C3BD0AB" w14:textId="77777777" w:rsidTr="00572307">
        <w:trPr>
          <w:trHeight w:val="302"/>
        </w:trPr>
        <w:tc>
          <w:tcPr>
            <w:tcW w:w="1232"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5208FF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83</w:t>
            </w:r>
          </w:p>
        </w:tc>
        <w:tc>
          <w:tcPr>
            <w:tcW w:w="1370" w:type="dxa"/>
            <w:tcBorders>
              <w:top w:val="single" w:sz="4" w:space="0" w:color="auto"/>
              <w:left w:val="nil"/>
              <w:bottom w:val="single" w:sz="4" w:space="0" w:color="auto"/>
              <w:right w:val="single" w:sz="4" w:space="0" w:color="auto"/>
            </w:tcBorders>
            <w:shd w:val="clear" w:color="auto" w:fill="C6EFCE"/>
            <w:noWrap/>
            <w:vAlign w:val="bottom"/>
          </w:tcPr>
          <w:p w14:paraId="3D40B7F3"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C6.R1</w:t>
            </w:r>
          </w:p>
        </w:tc>
        <w:tc>
          <w:tcPr>
            <w:tcW w:w="1226" w:type="dxa"/>
            <w:tcBorders>
              <w:top w:val="single" w:sz="4" w:space="0" w:color="auto"/>
              <w:left w:val="nil"/>
              <w:bottom w:val="single" w:sz="4" w:space="0" w:color="auto"/>
              <w:right w:val="single" w:sz="4" w:space="0" w:color="auto"/>
            </w:tcBorders>
            <w:shd w:val="clear" w:color="auto" w:fill="C6EFCE"/>
            <w:noWrap/>
            <w:vAlign w:val="bottom"/>
          </w:tcPr>
          <w:p w14:paraId="76DDB359"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6061" w:type="dxa"/>
            <w:tcBorders>
              <w:top w:val="single" w:sz="4" w:space="0" w:color="auto"/>
              <w:left w:val="nil"/>
              <w:bottom w:val="single" w:sz="4" w:space="0" w:color="auto"/>
              <w:right w:val="single" w:sz="4" w:space="0" w:color="auto"/>
            </w:tcBorders>
            <w:shd w:val="clear" w:color="auto" w:fill="C6EFCE"/>
            <w:noWrap/>
            <w:vAlign w:val="bottom"/>
          </w:tcPr>
          <w:p w14:paraId="323667E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fenntartható, biztonságos és összekapcsolt mobilitásra vonatkozó stratégia (jóváhagyás) </w:t>
            </w:r>
          </w:p>
        </w:tc>
      </w:tr>
      <w:tr w:rsidR="00D65CB4" w:rsidRPr="00BC4EE7" w14:paraId="24E452D9" w14:textId="77777777" w:rsidTr="00572307">
        <w:trPr>
          <w:trHeight w:val="302"/>
        </w:trPr>
        <w:tc>
          <w:tcPr>
            <w:tcW w:w="1232"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DC11739"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108</w:t>
            </w:r>
          </w:p>
        </w:tc>
        <w:tc>
          <w:tcPr>
            <w:tcW w:w="1370" w:type="dxa"/>
            <w:tcBorders>
              <w:top w:val="single" w:sz="4" w:space="0" w:color="auto"/>
              <w:left w:val="nil"/>
              <w:bottom w:val="single" w:sz="4" w:space="0" w:color="auto"/>
              <w:right w:val="single" w:sz="4" w:space="0" w:color="auto"/>
            </w:tcBorders>
            <w:shd w:val="clear" w:color="auto" w:fill="C6EFCE"/>
            <w:noWrap/>
            <w:vAlign w:val="bottom"/>
          </w:tcPr>
          <w:p w14:paraId="03A4BD27"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C7.R2</w:t>
            </w:r>
          </w:p>
        </w:tc>
        <w:tc>
          <w:tcPr>
            <w:tcW w:w="1226" w:type="dxa"/>
            <w:tcBorders>
              <w:top w:val="single" w:sz="4" w:space="0" w:color="auto"/>
              <w:left w:val="nil"/>
              <w:bottom w:val="single" w:sz="4" w:space="0" w:color="auto"/>
              <w:right w:val="single" w:sz="4" w:space="0" w:color="auto"/>
            </w:tcBorders>
            <w:shd w:val="clear" w:color="auto" w:fill="C6EFCE"/>
            <w:noWrap/>
            <w:vAlign w:val="bottom"/>
          </w:tcPr>
          <w:p w14:paraId="61F933AB"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6061" w:type="dxa"/>
            <w:tcBorders>
              <w:top w:val="single" w:sz="4" w:space="0" w:color="auto"/>
              <w:left w:val="nil"/>
              <w:bottom w:val="single" w:sz="4" w:space="0" w:color="auto"/>
              <w:right w:val="single" w:sz="4" w:space="0" w:color="auto"/>
            </w:tcBorders>
            <w:shd w:val="clear" w:color="auto" w:fill="C6EFCE"/>
            <w:noWrap/>
            <w:vAlign w:val="bottom"/>
          </w:tcPr>
          <w:p w14:paraId="3040114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saját fogyasztásra vonatkozó nemzeti stratégia</w:t>
            </w:r>
          </w:p>
        </w:tc>
      </w:tr>
      <w:tr w:rsidR="00D65CB4" w:rsidRPr="00BC4EE7" w14:paraId="3A54A1F1" w14:textId="77777777" w:rsidTr="00572307">
        <w:trPr>
          <w:trHeight w:val="302"/>
        </w:trPr>
        <w:tc>
          <w:tcPr>
            <w:tcW w:w="1232"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64B182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112</w:t>
            </w:r>
          </w:p>
        </w:tc>
        <w:tc>
          <w:tcPr>
            <w:tcW w:w="1370" w:type="dxa"/>
            <w:tcBorders>
              <w:top w:val="single" w:sz="4" w:space="0" w:color="auto"/>
              <w:left w:val="nil"/>
              <w:bottom w:val="single" w:sz="4" w:space="0" w:color="auto"/>
              <w:right w:val="single" w:sz="4" w:space="0" w:color="auto"/>
            </w:tcBorders>
            <w:shd w:val="clear" w:color="auto" w:fill="C6EFCE"/>
            <w:noWrap/>
            <w:vAlign w:val="bottom"/>
          </w:tcPr>
          <w:p w14:paraId="69EBBC9B"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C7.R4</w:t>
            </w:r>
          </w:p>
        </w:tc>
        <w:tc>
          <w:tcPr>
            <w:tcW w:w="1226" w:type="dxa"/>
            <w:tcBorders>
              <w:top w:val="single" w:sz="4" w:space="0" w:color="auto"/>
              <w:left w:val="nil"/>
              <w:bottom w:val="single" w:sz="4" w:space="0" w:color="auto"/>
              <w:right w:val="single" w:sz="4" w:space="0" w:color="auto"/>
            </w:tcBorders>
            <w:shd w:val="clear" w:color="auto" w:fill="C6EFCE"/>
            <w:noWrap/>
            <w:vAlign w:val="bottom"/>
          </w:tcPr>
          <w:p w14:paraId="13AF77FA"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6061" w:type="dxa"/>
            <w:tcBorders>
              <w:top w:val="single" w:sz="4" w:space="0" w:color="auto"/>
              <w:left w:val="nil"/>
              <w:bottom w:val="single" w:sz="4" w:space="0" w:color="auto"/>
              <w:right w:val="single" w:sz="4" w:space="0" w:color="auto"/>
            </w:tcBorders>
            <w:shd w:val="clear" w:color="auto" w:fill="C6EFCE"/>
            <w:noWrap/>
            <w:vAlign w:val="bottom"/>
          </w:tcPr>
          <w:p w14:paraId="4D9A7A5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tengeri szélenergiára és egyéb tengeri energiára vonatkozó ütemterv</w:t>
            </w:r>
          </w:p>
        </w:tc>
      </w:tr>
      <w:tr w:rsidR="00D65CB4" w:rsidRPr="00BC4EE7" w14:paraId="7C779811" w14:textId="77777777" w:rsidTr="00572307">
        <w:trPr>
          <w:trHeight w:val="302"/>
        </w:trPr>
        <w:tc>
          <w:tcPr>
            <w:tcW w:w="1232"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BD56CD2"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139</w:t>
            </w:r>
          </w:p>
        </w:tc>
        <w:tc>
          <w:tcPr>
            <w:tcW w:w="1370" w:type="dxa"/>
            <w:tcBorders>
              <w:top w:val="single" w:sz="4" w:space="0" w:color="auto"/>
              <w:left w:val="nil"/>
              <w:bottom w:val="single" w:sz="4" w:space="0" w:color="auto"/>
              <w:right w:val="single" w:sz="4" w:space="0" w:color="auto"/>
            </w:tcBorders>
            <w:shd w:val="clear" w:color="auto" w:fill="C6EFCE"/>
            <w:noWrap/>
            <w:vAlign w:val="bottom"/>
          </w:tcPr>
          <w:p w14:paraId="25BC9F10"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C10.I1</w:t>
            </w:r>
          </w:p>
        </w:tc>
        <w:tc>
          <w:tcPr>
            <w:tcW w:w="1226" w:type="dxa"/>
            <w:tcBorders>
              <w:top w:val="single" w:sz="4" w:space="0" w:color="auto"/>
              <w:left w:val="nil"/>
              <w:bottom w:val="single" w:sz="4" w:space="0" w:color="auto"/>
              <w:right w:val="single" w:sz="4" w:space="0" w:color="auto"/>
            </w:tcBorders>
            <w:shd w:val="clear" w:color="auto" w:fill="C6EFCE"/>
            <w:noWrap/>
            <w:vAlign w:val="bottom"/>
          </w:tcPr>
          <w:p w14:paraId="502EFC6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6061" w:type="dxa"/>
            <w:tcBorders>
              <w:top w:val="single" w:sz="4" w:space="0" w:color="auto"/>
              <w:left w:val="nil"/>
              <w:bottom w:val="single" w:sz="4" w:space="0" w:color="auto"/>
              <w:right w:val="single" w:sz="4" w:space="0" w:color="auto"/>
            </w:tcBorders>
            <w:shd w:val="clear" w:color="auto" w:fill="C6EFCE"/>
            <w:noWrap/>
            <w:vAlign w:val="bottom"/>
          </w:tcPr>
          <w:p w14:paraId="3596FD1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„Igazságos átmenet” képzési támogatási program és támogatás nyújtása az igazságos átmenet térségeinek gazdasági fejlődéséhez</w:t>
            </w:r>
          </w:p>
        </w:tc>
      </w:tr>
      <w:tr w:rsidR="00D65CB4" w:rsidRPr="00BC4EE7" w14:paraId="2F542DB1" w14:textId="77777777" w:rsidTr="00572307">
        <w:trPr>
          <w:trHeight w:val="302"/>
        </w:trPr>
        <w:tc>
          <w:tcPr>
            <w:tcW w:w="1232"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11C009"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155</w:t>
            </w:r>
          </w:p>
        </w:tc>
        <w:tc>
          <w:tcPr>
            <w:tcW w:w="1370" w:type="dxa"/>
            <w:tcBorders>
              <w:top w:val="single" w:sz="4" w:space="0" w:color="auto"/>
              <w:left w:val="nil"/>
              <w:bottom w:val="single" w:sz="4" w:space="0" w:color="auto"/>
              <w:right w:val="single" w:sz="4" w:space="0" w:color="auto"/>
            </w:tcBorders>
            <w:shd w:val="clear" w:color="auto" w:fill="C6EFCE"/>
            <w:noWrap/>
            <w:vAlign w:val="bottom"/>
          </w:tcPr>
          <w:p w14:paraId="2B00D67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C11.R4</w:t>
            </w:r>
          </w:p>
        </w:tc>
        <w:tc>
          <w:tcPr>
            <w:tcW w:w="1226" w:type="dxa"/>
            <w:tcBorders>
              <w:top w:val="single" w:sz="4" w:space="0" w:color="auto"/>
              <w:left w:val="nil"/>
              <w:bottom w:val="single" w:sz="4" w:space="0" w:color="auto"/>
              <w:right w:val="single" w:sz="4" w:space="0" w:color="auto"/>
            </w:tcBorders>
            <w:shd w:val="clear" w:color="auto" w:fill="C6EFCE"/>
            <w:noWrap/>
            <w:vAlign w:val="bottom"/>
          </w:tcPr>
          <w:p w14:paraId="5A313C3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6061" w:type="dxa"/>
            <w:tcBorders>
              <w:top w:val="single" w:sz="4" w:space="0" w:color="auto"/>
              <w:left w:val="nil"/>
              <w:bottom w:val="single" w:sz="4" w:space="0" w:color="auto"/>
              <w:right w:val="single" w:sz="4" w:space="0" w:color="auto"/>
            </w:tcBorders>
            <w:shd w:val="clear" w:color="auto" w:fill="C6EFCE"/>
            <w:noWrap/>
            <w:vAlign w:val="bottom"/>
          </w:tcPr>
          <w:p w14:paraId="2DE117A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Nemzeti Értékelő Hivatalt létrehozó miniszteri rendelet hatálybalépése </w:t>
            </w:r>
          </w:p>
        </w:tc>
      </w:tr>
      <w:tr w:rsidR="00D65CB4" w:rsidRPr="00BC4EE7" w14:paraId="05B6D331" w14:textId="77777777" w:rsidTr="00572307">
        <w:trPr>
          <w:trHeight w:val="302"/>
        </w:trPr>
        <w:tc>
          <w:tcPr>
            <w:tcW w:w="1232"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A39DBA8"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189</w:t>
            </w:r>
          </w:p>
        </w:tc>
        <w:tc>
          <w:tcPr>
            <w:tcW w:w="1370" w:type="dxa"/>
            <w:tcBorders>
              <w:top w:val="single" w:sz="4" w:space="0" w:color="auto"/>
              <w:left w:val="nil"/>
              <w:bottom w:val="single" w:sz="4" w:space="0" w:color="auto"/>
              <w:right w:val="single" w:sz="4" w:space="0" w:color="auto"/>
            </w:tcBorders>
            <w:shd w:val="clear" w:color="auto" w:fill="C6EFCE"/>
            <w:noWrap/>
            <w:vAlign w:val="bottom"/>
          </w:tcPr>
          <w:p w14:paraId="58AC96B1"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C13.R1</w:t>
            </w:r>
          </w:p>
        </w:tc>
        <w:tc>
          <w:tcPr>
            <w:tcW w:w="1226" w:type="dxa"/>
            <w:tcBorders>
              <w:top w:val="single" w:sz="4" w:space="0" w:color="auto"/>
              <w:left w:val="nil"/>
              <w:bottom w:val="single" w:sz="4" w:space="0" w:color="auto"/>
              <w:right w:val="single" w:sz="4" w:space="0" w:color="auto"/>
            </w:tcBorders>
            <w:shd w:val="clear" w:color="auto" w:fill="C6EFCE"/>
            <w:noWrap/>
            <w:vAlign w:val="bottom"/>
          </w:tcPr>
          <w:p w14:paraId="701DFC42"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6061" w:type="dxa"/>
            <w:tcBorders>
              <w:top w:val="single" w:sz="4" w:space="0" w:color="auto"/>
              <w:left w:val="nil"/>
              <w:bottom w:val="single" w:sz="4" w:space="0" w:color="auto"/>
              <w:right w:val="single" w:sz="4" w:space="0" w:color="auto"/>
            </w:tcBorders>
            <w:shd w:val="clear" w:color="auto" w:fill="C6EFCE"/>
            <w:noWrap/>
            <w:vAlign w:val="bottom"/>
          </w:tcPr>
          <w:p w14:paraId="496368C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Az ügyvédi és ügyvédi hivatás gyakorlásáról szóló 34/2006. sz. törvény módosításáról szóló törvény hatálybalépése  </w:t>
            </w:r>
          </w:p>
        </w:tc>
      </w:tr>
      <w:tr w:rsidR="00D65CB4" w:rsidRPr="00BC4EE7" w14:paraId="788E0D72" w14:textId="77777777" w:rsidTr="00572307">
        <w:trPr>
          <w:trHeight w:val="302"/>
        </w:trPr>
        <w:tc>
          <w:tcPr>
            <w:tcW w:w="1232"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D0A3D1"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216</w:t>
            </w:r>
          </w:p>
        </w:tc>
        <w:tc>
          <w:tcPr>
            <w:tcW w:w="1370" w:type="dxa"/>
            <w:tcBorders>
              <w:top w:val="single" w:sz="4" w:space="0" w:color="auto"/>
              <w:left w:val="nil"/>
              <w:bottom w:val="single" w:sz="4" w:space="0" w:color="auto"/>
              <w:right w:val="single" w:sz="4" w:space="0" w:color="auto"/>
            </w:tcBorders>
            <w:shd w:val="clear" w:color="auto" w:fill="C6EFCE"/>
            <w:noWrap/>
            <w:vAlign w:val="bottom"/>
          </w:tcPr>
          <w:p w14:paraId="4C29586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C14.R1</w:t>
            </w:r>
          </w:p>
        </w:tc>
        <w:tc>
          <w:tcPr>
            <w:tcW w:w="1226" w:type="dxa"/>
            <w:tcBorders>
              <w:top w:val="single" w:sz="4" w:space="0" w:color="auto"/>
              <w:left w:val="nil"/>
              <w:bottom w:val="single" w:sz="4" w:space="0" w:color="auto"/>
              <w:right w:val="single" w:sz="4" w:space="0" w:color="auto"/>
            </w:tcBorders>
            <w:shd w:val="clear" w:color="auto" w:fill="C6EFCE"/>
            <w:noWrap/>
            <w:vAlign w:val="bottom"/>
          </w:tcPr>
          <w:p w14:paraId="69321CB8"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6061" w:type="dxa"/>
            <w:tcBorders>
              <w:top w:val="single" w:sz="4" w:space="0" w:color="auto"/>
              <w:left w:val="nil"/>
              <w:bottom w:val="single" w:sz="4" w:space="0" w:color="auto"/>
              <w:right w:val="single" w:sz="4" w:space="0" w:color="auto"/>
            </w:tcBorders>
            <w:shd w:val="clear" w:color="auto" w:fill="C6EFCE"/>
            <w:noWrap/>
            <w:vAlign w:val="bottom"/>
          </w:tcPr>
          <w:p w14:paraId="4284B7D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Az idegenforgalom versenyképességét szolgáló állami pénzügyi alap végrehajtásáról szóló királyi rendelet hatálybalépése </w:t>
            </w:r>
          </w:p>
        </w:tc>
      </w:tr>
      <w:tr w:rsidR="00D65CB4" w:rsidRPr="00BC4EE7" w14:paraId="210A1BAF" w14:textId="77777777" w:rsidTr="00572307">
        <w:trPr>
          <w:trHeight w:val="302"/>
        </w:trPr>
        <w:tc>
          <w:tcPr>
            <w:tcW w:w="1232"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CA6B3CA"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217</w:t>
            </w:r>
          </w:p>
        </w:tc>
        <w:tc>
          <w:tcPr>
            <w:tcW w:w="1370" w:type="dxa"/>
            <w:tcBorders>
              <w:top w:val="single" w:sz="4" w:space="0" w:color="auto"/>
              <w:left w:val="nil"/>
              <w:bottom w:val="single" w:sz="4" w:space="0" w:color="auto"/>
              <w:right w:val="single" w:sz="4" w:space="0" w:color="auto"/>
            </w:tcBorders>
            <w:shd w:val="clear" w:color="auto" w:fill="C6EFCE"/>
            <w:noWrap/>
            <w:vAlign w:val="bottom"/>
          </w:tcPr>
          <w:p w14:paraId="224C4372"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C14.I1</w:t>
            </w:r>
          </w:p>
        </w:tc>
        <w:tc>
          <w:tcPr>
            <w:tcW w:w="1226" w:type="dxa"/>
            <w:tcBorders>
              <w:top w:val="single" w:sz="4" w:space="0" w:color="auto"/>
              <w:left w:val="nil"/>
              <w:bottom w:val="single" w:sz="4" w:space="0" w:color="auto"/>
              <w:right w:val="single" w:sz="4" w:space="0" w:color="auto"/>
            </w:tcBorders>
            <w:shd w:val="clear" w:color="auto" w:fill="C6EFCE"/>
            <w:noWrap/>
            <w:vAlign w:val="bottom"/>
          </w:tcPr>
          <w:p w14:paraId="62C43804"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T</w:t>
            </w:r>
          </w:p>
        </w:tc>
        <w:tc>
          <w:tcPr>
            <w:tcW w:w="6061" w:type="dxa"/>
            <w:tcBorders>
              <w:top w:val="single" w:sz="4" w:space="0" w:color="auto"/>
              <w:left w:val="nil"/>
              <w:bottom w:val="single" w:sz="4" w:space="0" w:color="auto"/>
              <w:right w:val="single" w:sz="4" w:space="0" w:color="auto"/>
            </w:tcBorders>
            <w:shd w:val="clear" w:color="auto" w:fill="C6EFCE"/>
            <w:noWrap/>
            <w:vAlign w:val="bottom"/>
          </w:tcPr>
          <w:p w14:paraId="1CA5D5D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turisztikai célpontok fenntarthatóságát előmozdító tervek költségvetési odaítélése</w:t>
            </w:r>
          </w:p>
        </w:tc>
      </w:tr>
      <w:tr w:rsidR="00D65CB4" w:rsidRPr="00BC4EE7" w14:paraId="5995A86C" w14:textId="77777777" w:rsidTr="00572307">
        <w:trPr>
          <w:trHeight w:val="302"/>
        </w:trPr>
        <w:tc>
          <w:tcPr>
            <w:tcW w:w="1232"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BD4DC59"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232</w:t>
            </w:r>
          </w:p>
        </w:tc>
        <w:tc>
          <w:tcPr>
            <w:tcW w:w="1370" w:type="dxa"/>
            <w:tcBorders>
              <w:top w:val="single" w:sz="4" w:space="0" w:color="auto"/>
              <w:left w:val="nil"/>
              <w:bottom w:val="single" w:sz="4" w:space="0" w:color="auto"/>
              <w:right w:val="single" w:sz="4" w:space="0" w:color="auto"/>
            </w:tcBorders>
            <w:shd w:val="clear" w:color="auto" w:fill="C6EFCE"/>
            <w:noWrap/>
            <w:vAlign w:val="bottom"/>
          </w:tcPr>
          <w:p w14:paraId="5015F8A8"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C15.R2</w:t>
            </w:r>
          </w:p>
        </w:tc>
        <w:tc>
          <w:tcPr>
            <w:tcW w:w="1226" w:type="dxa"/>
            <w:tcBorders>
              <w:top w:val="single" w:sz="4" w:space="0" w:color="auto"/>
              <w:left w:val="nil"/>
              <w:bottom w:val="single" w:sz="4" w:space="0" w:color="auto"/>
              <w:right w:val="single" w:sz="4" w:space="0" w:color="auto"/>
            </w:tcBorders>
            <w:shd w:val="clear" w:color="auto" w:fill="C6EFCE"/>
            <w:noWrap/>
            <w:vAlign w:val="bottom"/>
          </w:tcPr>
          <w:p w14:paraId="75F112F4"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6061" w:type="dxa"/>
            <w:tcBorders>
              <w:top w:val="single" w:sz="4" w:space="0" w:color="auto"/>
              <w:left w:val="nil"/>
              <w:bottom w:val="single" w:sz="4" w:space="0" w:color="auto"/>
              <w:right w:val="single" w:sz="4" w:space="0" w:color="auto"/>
            </w:tcBorders>
            <w:shd w:val="clear" w:color="auto" w:fill="C6EFCE"/>
            <w:noWrap/>
            <w:vAlign w:val="bottom"/>
          </w:tcPr>
          <w:p w14:paraId="3C71173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700 MHz-es frekvenciasáv kiosztása</w:t>
            </w:r>
          </w:p>
        </w:tc>
      </w:tr>
      <w:tr w:rsidR="00D65CB4" w:rsidRPr="00BC4EE7" w14:paraId="3F6862D5" w14:textId="77777777" w:rsidTr="00572307">
        <w:trPr>
          <w:trHeight w:val="302"/>
        </w:trPr>
        <w:tc>
          <w:tcPr>
            <w:tcW w:w="1232"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D6B1D96"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233</w:t>
            </w:r>
          </w:p>
        </w:tc>
        <w:tc>
          <w:tcPr>
            <w:tcW w:w="1370" w:type="dxa"/>
            <w:tcBorders>
              <w:top w:val="single" w:sz="4" w:space="0" w:color="auto"/>
              <w:left w:val="nil"/>
              <w:bottom w:val="single" w:sz="4" w:space="0" w:color="auto"/>
              <w:right w:val="single" w:sz="4" w:space="0" w:color="auto"/>
            </w:tcBorders>
            <w:shd w:val="clear" w:color="auto" w:fill="C6EFCE"/>
            <w:noWrap/>
            <w:vAlign w:val="bottom"/>
          </w:tcPr>
          <w:p w14:paraId="715AE1F9"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C15.R2</w:t>
            </w:r>
          </w:p>
        </w:tc>
        <w:tc>
          <w:tcPr>
            <w:tcW w:w="1226" w:type="dxa"/>
            <w:tcBorders>
              <w:top w:val="single" w:sz="4" w:space="0" w:color="auto"/>
              <w:left w:val="nil"/>
              <w:bottom w:val="single" w:sz="4" w:space="0" w:color="auto"/>
              <w:right w:val="single" w:sz="4" w:space="0" w:color="auto"/>
            </w:tcBorders>
            <w:shd w:val="clear" w:color="auto" w:fill="C6EFCE"/>
            <w:noWrap/>
            <w:vAlign w:val="bottom"/>
          </w:tcPr>
          <w:p w14:paraId="469C0F88"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6061" w:type="dxa"/>
            <w:tcBorders>
              <w:top w:val="single" w:sz="4" w:space="0" w:color="auto"/>
              <w:left w:val="nil"/>
              <w:bottom w:val="single" w:sz="4" w:space="0" w:color="auto"/>
              <w:right w:val="single" w:sz="4" w:space="0" w:color="auto"/>
            </w:tcBorders>
            <w:shd w:val="clear" w:color="auto" w:fill="C6EFCE"/>
            <w:noWrap/>
            <w:vAlign w:val="bottom"/>
          </w:tcPr>
          <w:p w14:paraId="6C0CBAD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5G spektrumadó csökkentéséről szóló jogi aktus hatálybalépése</w:t>
            </w:r>
          </w:p>
        </w:tc>
      </w:tr>
      <w:tr w:rsidR="00D65CB4" w:rsidRPr="00BC4EE7" w14:paraId="143E0516" w14:textId="77777777" w:rsidTr="00572307">
        <w:trPr>
          <w:trHeight w:val="302"/>
        </w:trPr>
        <w:tc>
          <w:tcPr>
            <w:tcW w:w="1232"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A45D1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250</w:t>
            </w:r>
          </w:p>
        </w:tc>
        <w:tc>
          <w:tcPr>
            <w:tcW w:w="1370" w:type="dxa"/>
            <w:tcBorders>
              <w:top w:val="single" w:sz="4" w:space="0" w:color="auto"/>
              <w:left w:val="nil"/>
              <w:bottom w:val="single" w:sz="4" w:space="0" w:color="auto"/>
              <w:right w:val="single" w:sz="4" w:space="0" w:color="auto"/>
            </w:tcBorders>
            <w:shd w:val="clear" w:color="auto" w:fill="C6EFCE"/>
            <w:noWrap/>
            <w:vAlign w:val="bottom"/>
          </w:tcPr>
          <w:p w14:paraId="16953CA4"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C16.R1</w:t>
            </w:r>
          </w:p>
        </w:tc>
        <w:tc>
          <w:tcPr>
            <w:tcW w:w="1226" w:type="dxa"/>
            <w:tcBorders>
              <w:top w:val="single" w:sz="4" w:space="0" w:color="auto"/>
              <w:left w:val="nil"/>
              <w:bottom w:val="single" w:sz="4" w:space="0" w:color="auto"/>
              <w:right w:val="single" w:sz="4" w:space="0" w:color="auto"/>
            </w:tcBorders>
            <w:shd w:val="clear" w:color="auto" w:fill="C6EFCE"/>
            <w:noWrap/>
            <w:vAlign w:val="bottom"/>
          </w:tcPr>
          <w:p w14:paraId="764412E7"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6061" w:type="dxa"/>
            <w:tcBorders>
              <w:top w:val="single" w:sz="4" w:space="0" w:color="auto"/>
              <w:left w:val="nil"/>
              <w:bottom w:val="single" w:sz="4" w:space="0" w:color="auto"/>
              <w:right w:val="single" w:sz="4" w:space="0" w:color="auto"/>
            </w:tcBorders>
            <w:shd w:val="clear" w:color="auto" w:fill="C6EFCE"/>
            <w:noWrap/>
            <w:vAlign w:val="bottom"/>
          </w:tcPr>
          <w:p w14:paraId="2C96120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digitális jogokról szóló charta</w:t>
            </w:r>
          </w:p>
        </w:tc>
      </w:tr>
      <w:tr w:rsidR="00D65CB4" w:rsidRPr="00BC4EE7" w14:paraId="3E47B5B5" w14:textId="77777777" w:rsidTr="00572307">
        <w:trPr>
          <w:trHeight w:val="302"/>
        </w:trPr>
        <w:tc>
          <w:tcPr>
            <w:tcW w:w="1232"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55EA78"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258</w:t>
            </w:r>
          </w:p>
        </w:tc>
        <w:tc>
          <w:tcPr>
            <w:tcW w:w="1370" w:type="dxa"/>
            <w:tcBorders>
              <w:top w:val="single" w:sz="4" w:space="0" w:color="auto"/>
              <w:left w:val="nil"/>
              <w:bottom w:val="single" w:sz="4" w:space="0" w:color="auto"/>
              <w:right w:val="single" w:sz="4" w:space="0" w:color="auto"/>
            </w:tcBorders>
            <w:shd w:val="clear" w:color="auto" w:fill="C6EFCE"/>
            <w:noWrap/>
            <w:vAlign w:val="bottom"/>
          </w:tcPr>
          <w:p w14:paraId="3D10D064"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C17.I1</w:t>
            </w:r>
          </w:p>
        </w:tc>
        <w:tc>
          <w:tcPr>
            <w:tcW w:w="1226" w:type="dxa"/>
            <w:tcBorders>
              <w:top w:val="single" w:sz="4" w:space="0" w:color="auto"/>
              <w:left w:val="nil"/>
              <w:bottom w:val="single" w:sz="4" w:space="0" w:color="auto"/>
              <w:right w:val="single" w:sz="4" w:space="0" w:color="auto"/>
            </w:tcBorders>
            <w:shd w:val="clear" w:color="auto" w:fill="C6EFCE"/>
            <w:noWrap/>
            <w:vAlign w:val="bottom"/>
          </w:tcPr>
          <w:p w14:paraId="49175B27"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T</w:t>
            </w:r>
          </w:p>
        </w:tc>
        <w:tc>
          <w:tcPr>
            <w:tcW w:w="6061" w:type="dxa"/>
            <w:tcBorders>
              <w:top w:val="single" w:sz="4" w:space="0" w:color="auto"/>
              <w:left w:val="nil"/>
              <w:bottom w:val="single" w:sz="4" w:space="0" w:color="auto"/>
              <w:right w:val="single" w:sz="4" w:space="0" w:color="auto"/>
            </w:tcBorders>
            <w:shd w:val="clear" w:color="auto" w:fill="C6EFCE"/>
            <w:noWrap/>
            <w:vAlign w:val="bottom"/>
          </w:tcPr>
          <w:p w14:paraId="2010C44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Tudományügyi és Innovációs Minisztérium által az autonóm közösségekkel aláírt, a „kiegészítő K+F tervek” végrehajtására vonatkozó megállapodások. </w:t>
            </w:r>
          </w:p>
        </w:tc>
      </w:tr>
      <w:tr w:rsidR="00D65CB4" w:rsidRPr="00BC4EE7" w14:paraId="6FE2883C" w14:textId="77777777" w:rsidTr="00572307">
        <w:trPr>
          <w:trHeight w:val="302"/>
        </w:trPr>
        <w:tc>
          <w:tcPr>
            <w:tcW w:w="1232"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12C4A2"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273</w:t>
            </w:r>
          </w:p>
        </w:tc>
        <w:tc>
          <w:tcPr>
            <w:tcW w:w="1370" w:type="dxa"/>
            <w:tcBorders>
              <w:top w:val="single" w:sz="4" w:space="0" w:color="auto"/>
              <w:left w:val="nil"/>
              <w:bottom w:val="single" w:sz="4" w:space="0" w:color="auto"/>
              <w:right w:val="single" w:sz="4" w:space="0" w:color="auto"/>
            </w:tcBorders>
            <w:shd w:val="clear" w:color="auto" w:fill="C6EFCE"/>
            <w:noWrap/>
            <w:vAlign w:val="bottom"/>
          </w:tcPr>
          <w:p w14:paraId="4B0E5990"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C18.R1</w:t>
            </w:r>
          </w:p>
        </w:tc>
        <w:tc>
          <w:tcPr>
            <w:tcW w:w="1226" w:type="dxa"/>
            <w:tcBorders>
              <w:top w:val="single" w:sz="4" w:space="0" w:color="auto"/>
              <w:left w:val="nil"/>
              <w:bottom w:val="single" w:sz="4" w:space="0" w:color="auto"/>
              <w:right w:val="single" w:sz="4" w:space="0" w:color="auto"/>
            </w:tcBorders>
            <w:shd w:val="clear" w:color="auto" w:fill="C6EFCE"/>
            <w:noWrap/>
            <w:vAlign w:val="bottom"/>
          </w:tcPr>
          <w:p w14:paraId="008EB392"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6061" w:type="dxa"/>
            <w:tcBorders>
              <w:top w:val="single" w:sz="4" w:space="0" w:color="auto"/>
              <w:left w:val="nil"/>
              <w:bottom w:val="single" w:sz="4" w:space="0" w:color="auto"/>
              <w:right w:val="single" w:sz="4" w:space="0" w:color="auto"/>
            </w:tcBorders>
            <w:shd w:val="clear" w:color="auto" w:fill="C6EFCE"/>
            <w:noWrap/>
            <w:vAlign w:val="bottom"/>
          </w:tcPr>
          <w:p w14:paraId="7D8B9BB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alapellátásra és a közösségi ellátásra vonatkozó cselekvési terv</w:t>
            </w:r>
          </w:p>
        </w:tc>
      </w:tr>
      <w:tr w:rsidR="00D65CB4" w:rsidRPr="00BC4EE7" w14:paraId="50516EFF" w14:textId="77777777" w:rsidTr="00572307">
        <w:trPr>
          <w:trHeight w:val="302"/>
        </w:trPr>
        <w:tc>
          <w:tcPr>
            <w:tcW w:w="1232"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9164CC"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278</w:t>
            </w:r>
          </w:p>
        </w:tc>
        <w:tc>
          <w:tcPr>
            <w:tcW w:w="1370" w:type="dxa"/>
            <w:tcBorders>
              <w:top w:val="single" w:sz="4" w:space="0" w:color="auto"/>
              <w:left w:val="nil"/>
              <w:bottom w:val="single" w:sz="4" w:space="0" w:color="auto"/>
              <w:right w:val="single" w:sz="4" w:space="0" w:color="auto"/>
            </w:tcBorders>
            <w:shd w:val="clear" w:color="auto" w:fill="C6EFCE"/>
            <w:noWrap/>
            <w:vAlign w:val="bottom"/>
          </w:tcPr>
          <w:p w14:paraId="44D4E1D1"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C18.I1</w:t>
            </w:r>
          </w:p>
        </w:tc>
        <w:tc>
          <w:tcPr>
            <w:tcW w:w="1226" w:type="dxa"/>
            <w:tcBorders>
              <w:top w:val="single" w:sz="4" w:space="0" w:color="auto"/>
              <w:left w:val="nil"/>
              <w:bottom w:val="single" w:sz="4" w:space="0" w:color="auto"/>
              <w:right w:val="single" w:sz="4" w:space="0" w:color="auto"/>
            </w:tcBorders>
            <w:shd w:val="clear" w:color="auto" w:fill="C6EFCE"/>
            <w:noWrap/>
            <w:vAlign w:val="bottom"/>
          </w:tcPr>
          <w:p w14:paraId="35E7E47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6061" w:type="dxa"/>
            <w:tcBorders>
              <w:top w:val="single" w:sz="4" w:space="0" w:color="auto"/>
              <w:left w:val="nil"/>
              <w:bottom w:val="single" w:sz="4" w:space="0" w:color="auto"/>
              <w:right w:val="single" w:sz="4" w:space="0" w:color="auto"/>
            </w:tcBorders>
            <w:shd w:val="clear" w:color="auto" w:fill="C6EFCE"/>
            <w:noWrap/>
            <w:vAlign w:val="bottom"/>
          </w:tcPr>
          <w:p w14:paraId="1C35A04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berendezésekre vonatkozó beruházási terv jóváhagyása és a források elosztása </w:t>
            </w:r>
          </w:p>
        </w:tc>
      </w:tr>
      <w:tr w:rsidR="00D65CB4" w:rsidRPr="00BC4EE7" w14:paraId="664D40DD" w14:textId="77777777" w:rsidTr="00572307">
        <w:trPr>
          <w:trHeight w:val="302"/>
        </w:trPr>
        <w:tc>
          <w:tcPr>
            <w:tcW w:w="1232"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F1C0BDE"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289</w:t>
            </w:r>
          </w:p>
        </w:tc>
        <w:tc>
          <w:tcPr>
            <w:tcW w:w="1370" w:type="dxa"/>
            <w:tcBorders>
              <w:top w:val="single" w:sz="4" w:space="0" w:color="auto"/>
              <w:left w:val="nil"/>
              <w:bottom w:val="single" w:sz="4" w:space="0" w:color="auto"/>
              <w:right w:val="single" w:sz="4" w:space="0" w:color="auto"/>
            </w:tcBorders>
            <w:shd w:val="clear" w:color="auto" w:fill="C6EFCE"/>
            <w:noWrap/>
            <w:vAlign w:val="bottom"/>
          </w:tcPr>
          <w:p w14:paraId="52003EAE"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C19.I2</w:t>
            </w:r>
          </w:p>
        </w:tc>
        <w:tc>
          <w:tcPr>
            <w:tcW w:w="1226" w:type="dxa"/>
            <w:tcBorders>
              <w:top w:val="single" w:sz="4" w:space="0" w:color="auto"/>
              <w:left w:val="nil"/>
              <w:bottom w:val="single" w:sz="4" w:space="0" w:color="auto"/>
              <w:right w:val="single" w:sz="4" w:space="0" w:color="auto"/>
            </w:tcBorders>
            <w:shd w:val="clear" w:color="auto" w:fill="C6EFCE"/>
            <w:noWrap/>
            <w:vAlign w:val="bottom"/>
          </w:tcPr>
          <w:p w14:paraId="6E717CCA"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6061" w:type="dxa"/>
            <w:tcBorders>
              <w:top w:val="single" w:sz="4" w:space="0" w:color="auto"/>
              <w:left w:val="nil"/>
              <w:bottom w:val="single" w:sz="4" w:space="0" w:color="auto"/>
              <w:right w:val="single" w:sz="4" w:space="0" w:color="auto"/>
            </w:tcBorders>
            <w:shd w:val="clear" w:color="auto" w:fill="C6EFCE"/>
            <w:noWrap/>
            <w:vAlign w:val="bottom"/>
          </w:tcPr>
          <w:p w14:paraId="12CD3A9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állami és államilag támogatott iskolák digitális eszközökkel való ellátására irányuló program</w:t>
            </w:r>
          </w:p>
        </w:tc>
      </w:tr>
      <w:tr w:rsidR="00D65CB4" w:rsidRPr="00BC4EE7" w14:paraId="2535707A" w14:textId="77777777" w:rsidTr="00572307">
        <w:trPr>
          <w:trHeight w:val="302"/>
        </w:trPr>
        <w:tc>
          <w:tcPr>
            <w:tcW w:w="1232"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CBE5D37"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306</w:t>
            </w:r>
          </w:p>
        </w:tc>
        <w:tc>
          <w:tcPr>
            <w:tcW w:w="1370" w:type="dxa"/>
            <w:tcBorders>
              <w:top w:val="single" w:sz="4" w:space="0" w:color="auto"/>
              <w:left w:val="nil"/>
              <w:bottom w:val="single" w:sz="4" w:space="0" w:color="auto"/>
              <w:right w:val="single" w:sz="4" w:space="0" w:color="auto"/>
            </w:tcBorders>
            <w:shd w:val="clear" w:color="auto" w:fill="C6EFCE"/>
            <w:noWrap/>
            <w:vAlign w:val="bottom"/>
          </w:tcPr>
          <w:p w14:paraId="6E0AD547"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C21.R3</w:t>
            </w:r>
          </w:p>
        </w:tc>
        <w:tc>
          <w:tcPr>
            <w:tcW w:w="1226" w:type="dxa"/>
            <w:tcBorders>
              <w:top w:val="single" w:sz="4" w:space="0" w:color="auto"/>
              <w:left w:val="nil"/>
              <w:bottom w:val="single" w:sz="4" w:space="0" w:color="auto"/>
              <w:right w:val="single" w:sz="4" w:space="0" w:color="auto"/>
            </w:tcBorders>
            <w:shd w:val="clear" w:color="auto" w:fill="C6EFCE"/>
            <w:noWrap/>
            <w:vAlign w:val="bottom"/>
          </w:tcPr>
          <w:p w14:paraId="30A4FDE1"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6061" w:type="dxa"/>
            <w:tcBorders>
              <w:top w:val="single" w:sz="4" w:space="0" w:color="auto"/>
              <w:left w:val="nil"/>
              <w:bottom w:val="single" w:sz="4" w:space="0" w:color="auto"/>
              <w:right w:val="single" w:sz="4" w:space="0" w:color="auto"/>
            </w:tcBorders>
            <w:shd w:val="clear" w:color="auto" w:fill="C6EFCE"/>
            <w:noWrap/>
            <w:vAlign w:val="bottom"/>
          </w:tcPr>
          <w:p w14:paraId="44AC689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egyetemek szervezésére vonatkozó királyi rendeletek hatálybalépése</w:t>
            </w:r>
          </w:p>
        </w:tc>
      </w:tr>
      <w:tr w:rsidR="00D65CB4" w:rsidRPr="00BC4EE7" w14:paraId="3FB31BA1" w14:textId="77777777" w:rsidTr="00572307">
        <w:trPr>
          <w:trHeight w:val="302"/>
        </w:trPr>
        <w:tc>
          <w:tcPr>
            <w:tcW w:w="1232"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E28C952"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331</w:t>
            </w:r>
          </w:p>
        </w:tc>
        <w:tc>
          <w:tcPr>
            <w:tcW w:w="1370" w:type="dxa"/>
            <w:tcBorders>
              <w:top w:val="single" w:sz="4" w:space="0" w:color="auto"/>
              <w:left w:val="nil"/>
              <w:bottom w:val="single" w:sz="4" w:space="0" w:color="auto"/>
              <w:right w:val="single" w:sz="4" w:space="0" w:color="auto"/>
            </w:tcBorders>
            <w:shd w:val="clear" w:color="auto" w:fill="C6EFCE"/>
            <w:noWrap/>
            <w:vAlign w:val="bottom"/>
          </w:tcPr>
          <w:p w14:paraId="4DC00FD4"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C23.R3</w:t>
            </w:r>
          </w:p>
        </w:tc>
        <w:tc>
          <w:tcPr>
            <w:tcW w:w="1226" w:type="dxa"/>
            <w:tcBorders>
              <w:top w:val="single" w:sz="4" w:space="0" w:color="auto"/>
              <w:left w:val="nil"/>
              <w:bottom w:val="single" w:sz="4" w:space="0" w:color="auto"/>
              <w:right w:val="single" w:sz="4" w:space="0" w:color="auto"/>
            </w:tcBorders>
            <w:shd w:val="clear" w:color="auto" w:fill="C6EFCE"/>
            <w:noWrap/>
            <w:vAlign w:val="bottom"/>
          </w:tcPr>
          <w:p w14:paraId="5C2C04F7"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6061" w:type="dxa"/>
            <w:tcBorders>
              <w:top w:val="single" w:sz="4" w:space="0" w:color="auto"/>
              <w:left w:val="nil"/>
              <w:bottom w:val="single" w:sz="4" w:space="0" w:color="auto"/>
              <w:right w:val="single" w:sz="4" w:space="0" w:color="auto"/>
            </w:tcBorders>
            <w:shd w:val="clear" w:color="auto" w:fill="C6EFCE"/>
            <w:noWrap/>
            <w:vAlign w:val="bottom"/>
          </w:tcPr>
          <w:p w14:paraId="1FC7667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technológiai eszközökkel harmadik személyek részére történő terjesztési tevékenységet végző munkavállalók védelméről szóló királyi törvényerejű rendelet hatálybalépése</w:t>
            </w:r>
          </w:p>
        </w:tc>
      </w:tr>
      <w:tr w:rsidR="00D65CB4" w:rsidRPr="00BC4EE7" w14:paraId="15080A9A" w14:textId="77777777" w:rsidTr="00572307">
        <w:trPr>
          <w:trHeight w:val="302"/>
        </w:trPr>
        <w:tc>
          <w:tcPr>
            <w:tcW w:w="1232"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537CA00"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332</w:t>
            </w:r>
          </w:p>
        </w:tc>
        <w:tc>
          <w:tcPr>
            <w:tcW w:w="1370" w:type="dxa"/>
            <w:tcBorders>
              <w:top w:val="single" w:sz="4" w:space="0" w:color="auto"/>
              <w:left w:val="nil"/>
              <w:bottom w:val="single" w:sz="4" w:space="0" w:color="auto"/>
              <w:right w:val="single" w:sz="4" w:space="0" w:color="auto"/>
            </w:tcBorders>
            <w:shd w:val="clear" w:color="auto" w:fill="C6EFCE"/>
            <w:noWrap/>
            <w:vAlign w:val="bottom"/>
          </w:tcPr>
          <w:p w14:paraId="584D4C06"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C23.R4</w:t>
            </w:r>
          </w:p>
        </w:tc>
        <w:tc>
          <w:tcPr>
            <w:tcW w:w="1226" w:type="dxa"/>
            <w:tcBorders>
              <w:top w:val="single" w:sz="4" w:space="0" w:color="auto"/>
              <w:left w:val="nil"/>
              <w:bottom w:val="single" w:sz="4" w:space="0" w:color="auto"/>
              <w:right w:val="single" w:sz="4" w:space="0" w:color="auto"/>
            </w:tcBorders>
            <w:shd w:val="clear" w:color="auto" w:fill="C6EFCE"/>
            <w:noWrap/>
            <w:vAlign w:val="bottom"/>
          </w:tcPr>
          <w:p w14:paraId="286A5CD8"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6061" w:type="dxa"/>
            <w:tcBorders>
              <w:top w:val="single" w:sz="4" w:space="0" w:color="auto"/>
              <w:left w:val="nil"/>
              <w:bottom w:val="single" w:sz="4" w:space="0" w:color="auto"/>
              <w:right w:val="single" w:sz="4" w:space="0" w:color="auto"/>
            </w:tcBorders>
            <w:shd w:val="clear" w:color="auto" w:fill="C6EFCE"/>
            <w:noWrap/>
            <w:vAlign w:val="bottom"/>
          </w:tcPr>
          <w:p w14:paraId="13789C1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munkavállalók statútumának módosítása az ideiglenes foglalkoztatás csökkentésének támogatása érdekében a szerződéstípusok számának észszerűsítése révén</w:t>
            </w:r>
          </w:p>
        </w:tc>
      </w:tr>
      <w:tr w:rsidR="00D65CB4" w:rsidRPr="00BC4EE7" w14:paraId="62C886C0" w14:textId="77777777" w:rsidTr="00572307">
        <w:trPr>
          <w:trHeight w:val="302"/>
        </w:trPr>
        <w:tc>
          <w:tcPr>
            <w:tcW w:w="1232"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08B61E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334</w:t>
            </w:r>
          </w:p>
        </w:tc>
        <w:tc>
          <w:tcPr>
            <w:tcW w:w="1370" w:type="dxa"/>
            <w:tcBorders>
              <w:top w:val="single" w:sz="4" w:space="0" w:color="auto"/>
              <w:left w:val="nil"/>
              <w:bottom w:val="single" w:sz="4" w:space="0" w:color="auto"/>
              <w:right w:val="single" w:sz="4" w:space="0" w:color="auto"/>
            </w:tcBorders>
            <w:shd w:val="clear" w:color="auto" w:fill="C6EFCE"/>
            <w:noWrap/>
            <w:vAlign w:val="bottom"/>
          </w:tcPr>
          <w:p w14:paraId="2E38B2D7"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C23.R5</w:t>
            </w:r>
          </w:p>
        </w:tc>
        <w:tc>
          <w:tcPr>
            <w:tcW w:w="1226" w:type="dxa"/>
            <w:tcBorders>
              <w:top w:val="single" w:sz="4" w:space="0" w:color="auto"/>
              <w:left w:val="nil"/>
              <w:bottom w:val="single" w:sz="4" w:space="0" w:color="auto"/>
              <w:right w:val="single" w:sz="4" w:space="0" w:color="auto"/>
            </w:tcBorders>
            <w:shd w:val="clear" w:color="auto" w:fill="C6EFCE"/>
            <w:noWrap/>
            <w:vAlign w:val="bottom"/>
          </w:tcPr>
          <w:p w14:paraId="5031B1C1"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6061" w:type="dxa"/>
            <w:tcBorders>
              <w:top w:val="single" w:sz="4" w:space="0" w:color="auto"/>
              <w:left w:val="nil"/>
              <w:bottom w:val="single" w:sz="4" w:space="0" w:color="auto"/>
              <w:right w:val="single" w:sz="4" w:space="0" w:color="auto"/>
            </w:tcBorders>
            <w:shd w:val="clear" w:color="auto" w:fill="C6EFCE"/>
            <w:noWrap/>
            <w:vAlign w:val="bottom"/>
          </w:tcPr>
          <w:p w14:paraId="1D7D162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Királyi rendelet a 2021–2024-es időszakra szóló új spanyol foglalkoztatási stratégiáról</w:t>
            </w:r>
          </w:p>
        </w:tc>
      </w:tr>
      <w:tr w:rsidR="00D65CB4" w:rsidRPr="00BC4EE7" w14:paraId="21B068B8" w14:textId="77777777" w:rsidTr="00572307">
        <w:trPr>
          <w:trHeight w:val="302"/>
        </w:trPr>
        <w:tc>
          <w:tcPr>
            <w:tcW w:w="1232"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1E65BC0"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336</w:t>
            </w:r>
          </w:p>
        </w:tc>
        <w:tc>
          <w:tcPr>
            <w:tcW w:w="1370" w:type="dxa"/>
            <w:tcBorders>
              <w:top w:val="single" w:sz="4" w:space="0" w:color="auto"/>
              <w:left w:val="nil"/>
              <w:bottom w:val="single" w:sz="4" w:space="0" w:color="auto"/>
              <w:right w:val="single" w:sz="4" w:space="0" w:color="auto"/>
            </w:tcBorders>
            <w:shd w:val="clear" w:color="auto" w:fill="C6EFCE"/>
            <w:noWrap/>
            <w:vAlign w:val="bottom"/>
          </w:tcPr>
          <w:p w14:paraId="3D5AB316"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C23.R6</w:t>
            </w:r>
          </w:p>
        </w:tc>
        <w:tc>
          <w:tcPr>
            <w:tcW w:w="1226" w:type="dxa"/>
            <w:tcBorders>
              <w:top w:val="single" w:sz="4" w:space="0" w:color="auto"/>
              <w:left w:val="nil"/>
              <w:bottom w:val="single" w:sz="4" w:space="0" w:color="auto"/>
              <w:right w:val="single" w:sz="4" w:space="0" w:color="auto"/>
            </w:tcBorders>
            <w:shd w:val="clear" w:color="auto" w:fill="C6EFCE"/>
            <w:noWrap/>
            <w:vAlign w:val="bottom"/>
          </w:tcPr>
          <w:p w14:paraId="5B9520C4"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6061" w:type="dxa"/>
            <w:tcBorders>
              <w:top w:val="single" w:sz="4" w:space="0" w:color="auto"/>
              <w:left w:val="nil"/>
              <w:bottom w:val="single" w:sz="4" w:space="0" w:color="auto"/>
              <w:right w:val="single" w:sz="4" w:space="0" w:color="auto"/>
            </w:tcBorders>
            <w:shd w:val="clear" w:color="auto" w:fill="C6EFCE"/>
            <w:noWrap/>
            <w:vAlign w:val="bottom"/>
          </w:tcPr>
          <w:p w14:paraId="0316EDE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munkavállalók statútumának módosítása a ciklikus és strukturális sokkhatásokhoz való alkalmazkodást célzó rendszer létrehozása érdekében, beleértve egy olyan rendszert, amely belső rugalmasságot biztosít a vállalatok számára, és stabilitást biztosít a munkavállalók számára</w:t>
            </w:r>
          </w:p>
        </w:tc>
      </w:tr>
      <w:tr w:rsidR="00D65CB4" w:rsidRPr="00BC4EE7" w14:paraId="2D2B0382" w14:textId="77777777" w:rsidTr="00572307">
        <w:trPr>
          <w:trHeight w:val="302"/>
        </w:trPr>
        <w:tc>
          <w:tcPr>
            <w:tcW w:w="1232"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7AE131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338</w:t>
            </w:r>
          </w:p>
        </w:tc>
        <w:tc>
          <w:tcPr>
            <w:tcW w:w="1370" w:type="dxa"/>
            <w:tcBorders>
              <w:top w:val="single" w:sz="4" w:space="0" w:color="auto"/>
              <w:left w:val="nil"/>
              <w:bottom w:val="single" w:sz="4" w:space="0" w:color="auto"/>
              <w:right w:val="single" w:sz="4" w:space="0" w:color="auto"/>
            </w:tcBorders>
            <w:shd w:val="clear" w:color="auto" w:fill="C6EFCE"/>
            <w:noWrap/>
            <w:vAlign w:val="bottom"/>
          </w:tcPr>
          <w:p w14:paraId="3C204030"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C23.R8</w:t>
            </w:r>
          </w:p>
        </w:tc>
        <w:tc>
          <w:tcPr>
            <w:tcW w:w="1226" w:type="dxa"/>
            <w:tcBorders>
              <w:top w:val="single" w:sz="4" w:space="0" w:color="auto"/>
              <w:left w:val="nil"/>
              <w:bottom w:val="single" w:sz="4" w:space="0" w:color="auto"/>
              <w:right w:val="single" w:sz="4" w:space="0" w:color="auto"/>
            </w:tcBorders>
            <w:shd w:val="clear" w:color="auto" w:fill="C6EFCE"/>
            <w:noWrap/>
            <w:vAlign w:val="bottom"/>
          </w:tcPr>
          <w:p w14:paraId="3C4B468E"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6061" w:type="dxa"/>
            <w:tcBorders>
              <w:top w:val="single" w:sz="4" w:space="0" w:color="auto"/>
              <w:left w:val="nil"/>
              <w:bottom w:val="single" w:sz="4" w:space="0" w:color="auto"/>
              <w:right w:val="single" w:sz="4" w:space="0" w:color="auto"/>
            </w:tcBorders>
            <w:shd w:val="clear" w:color="auto" w:fill="C6EFCE"/>
            <w:noWrap/>
            <w:vAlign w:val="bottom"/>
          </w:tcPr>
          <w:p w14:paraId="2EDE9C9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munkavállalók statútumának módosítása a kollektív tárgyalásokra vonatkozó jogi szabályok javítása érdekében </w:t>
            </w:r>
          </w:p>
        </w:tc>
      </w:tr>
      <w:tr w:rsidR="00D65CB4" w:rsidRPr="00BC4EE7" w14:paraId="11FCB514" w14:textId="77777777" w:rsidTr="00572307">
        <w:trPr>
          <w:trHeight w:val="302"/>
        </w:trPr>
        <w:tc>
          <w:tcPr>
            <w:tcW w:w="1232"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6326F36"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339</w:t>
            </w:r>
          </w:p>
        </w:tc>
        <w:tc>
          <w:tcPr>
            <w:tcW w:w="1370" w:type="dxa"/>
            <w:tcBorders>
              <w:top w:val="single" w:sz="4" w:space="0" w:color="auto"/>
              <w:left w:val="nil"/>
              <w:bottom w:val="single" w:sz="4" w:space="0" w:color="auto"/>
              <w:right w:val="single" w:sz="4" w:space="0" w:color="auto"/>
            </w:tcBorders>
            <w:shd w:val="clear" w:color="auto" w:fill="C6EFCE"/>
            <w:noWrap/>
            <w:vAlign w:val="bottom"/>
          </w:tcPr>
          <w:p w14:paraId="37E1546B"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C23.R9</w:t>
            </w:r>
          </w:p>
        </w:tc>
        <w:tc>
          <w:tcPr>
            <w:tcW w:w="1226" w:type="dxa"/>
            <w:tcBorders>
              <w:top w:val="single" w:sz="4" w:space="0" w:color="auto"/>
              <w:left w:val="nil"/>
              <w:bottom w:val="single" w:sz="4" w:space="0" w:color="auto"/>
              <w:right w:val="single" w:sz="4" w:space="0" w:color="auto"/>
            </w:tcBorders>
            <w:shd w:val="clear" w:color="auto" w:fill="C6EFCE"/>
            <w:noWrap/>
            <w:vAlign w:val="bottom"/>
          </w:tcPr>
          <w:p w14:paraId="5A7052A1"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6061" w:type="dxa"/>
            <w:tcBorders>
              <w:top w:val="single" w:sz="4" w:space="0" w:color="auto"/>
              <w:left w:val="nil"/>
              <w:bottom w:val="single" w:sz="4" w:space="0" w:color="auto"/>
              <w:right w:val="single" w:sz="4" w:space="0" w:color="auto"/>
            </w:tcBorders>
            <w:shd w:val="clear" w:color="auto" w:fill="C6EFCE"/>
            <w:noWrap/>
            <w:vAlign w:val="bottom"/>
          </w:tcPr>
          <w:p w14:paraId="221EC87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munkavállalók statútumának módosítása az alvállalkozásba adott vállalatoknál dolgozó személyek jogainak javítása érdekében</w:t>
            </w:r>
          </w:p>
        </w:tc>
      </w:tr>
      <w:tr w:rsidR="00D65CB4" w:rsidRPr="00BC4EE7" w14:paraId="6171C868" w14:textId="77777777" w:rsidTr="00572307">
        <w:trPr>
          <w:trHeight w:val="302"/>
        </w:trPr>
        <w:tc>
          <w:tcPr>
            <w:tcW w:w="1232"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6BB76D1"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345</w:t>
            </w:r>
          </w:p>
        </w:tc>
        <w:tc>
          <w:tcPr>
            <w:tcW w:w="1370" w:type="dxa"/>
            <w:tcBorders>
              <w:top w:val="single" w:sz="4" w:space="0" w:color="auto"/>
              <w:left w:val="nil"/>
              <w:bottom w:val="single" w:sz="4" w:space="0" w:color="auto"/>
              <w:right w:val="single" w:sz="4" w:space="0" w:color="auto"/>
            </w:tcBorders>
            <w:shd w:val="clear" w:color="auto" w:fill="C6EFCE"/>
            <w:noWrap/>
            <w:vAlign w:val="bottom"/>
          </w:tcPr>
          <w:p w14:paraId="00C9EC66"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C23.I4</w:t>
            </w:r>
          </w:p>
        </w:tc>
        <w:tc>
          <w:tcPr>
            <w:tcW w:w="1226" w:type="dxa"/>
            <w:tcBorders>
              <w:top w:val="single" w:sz="4" w:space="0" w:color="auto"/>
              <w:left w:val="nil"/>
              <w:bottom w:val="single" w:sz="4" w:space="0" w:color="auto"/>
              <w:right w:val="single" w:sz="4" w:space="0" w:color="auto"/>
            </w:tcBorders>
            <w:shd w:val="clear" w:color="auto" w:fill="C6EFCE"/>
            <w:noWrap/>
            <w:vAlign w:val="bottom"/>
          </w:tcPr>
          <w:p w14:paraId="5D7EA892"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6061" w:type="dxa"/>
            <w:tcBorders>
              <w:top w:val="single" w:sz="4" w:space="0" w:color="auto"/>
              <w:left w:val="nil"/>
              <w:bottom w:val="single" w:sz="4" w:space="0" w:color="auto"/>
              <w:right w:val="single" w:sz="4" w:space="0" w:color="auto"/>
            </w:tcBorders>
            <w:shd w:val="clear" w:color="auto" w:fill="C6EFCE"/>
            <w:noWrap/>
            <w:vAlign w:val="bottom"/>
          </w:tcPr>
          <w:p w14:paraId="5F15C6A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veszélyeztetett csoportokat, vállalkozásokat és mikrovállalkozásokat célzó területi projektekre elkülönített források regionális elosztásának jóváhagyása. </w:t>
            </w:r>
          </w:p>
        </w:tc>
      </w:tr>
      <w:tr w:rsidR="00D65CB4" w:rsidRPr="00BC4EE7" w14:paraId="7D5A64A0" w14:textId="77777777" w:rsidTr="00572307">
        <w:trPr>
          <w:trHeight w:val="302"/>
        </w:trPr>
        <w:tc>
          <w:tcPr>
            <w:tcW w:w="1232"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5222747"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378</w:t>
            </w:r>
          </w:p>
        </w:tc>
        <w:tc>
          <w:tcPr>
            <w:tcW w:w="1370" w:type="dxa"/>
            <w:tcBorders>
              <w:top w:val="single" w:sz="4" w:space="0" w:color="auto"/>
              <w:left w:val="nil"/>
              <w:bottom w:val="single" w:sz="4" w:space="0" w:color="auto"/>
              <w:right w:val="single" w:sz="4" w:space="0" w:color="auto"/>
            </w:tcBorders>
            <w:shd w:val="clear" w:color="auto" w:fill="C6EFCE"/>
            <w:noWrap/>
            <w:vAlign w:val="bottom"/>
          </w:tcPr>
          <w:p w14:paraId="6A49C567"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C27.R2</w:t>
            </w:r>
          </w:p>
        </w:tc>
        <w:tc>
          <w:tcPr>
            <w:tcW w:w="1226" w:type="dxa"/>
            <w:tcBorders>
              <w:top w:val="single" w:sz="4" w:space="0" w:color="auto"/>
              <w:left w:val="nil"/>
              <w:bottom w:val="single" w:sz="4" w:space="0" w:color="auto"/>
              <w:right w:val="single" w:sz="4" w:space="0" w:color="auto"/>
            </w:tcBorders>
            <w:shd w:val="clear" w:color="auto" w:fill="C6EFCE"/>
            <w:noWrap/>
            <w:vAlign w:val="bottom"/>
          </w:tcPr>
          <w:p w14:paraId="2B26EED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T</w:t>
            </w:r>
          </w:p>
        </w:tc>
        <w:tc>
          <w:tcPr>
            <w:tcW w:w="6061" w:type="dxa"/>
            <w:tcBorders>
              <w:top w:val="single" w:sz="4" w:space="0" w:color="auto"/>
              <w:left w:val="nil"/>
              <w:bottom w:val="single" w:sz="4" w:space="0" w:color="auto"/>
              <w:right w:val="single" w:sz="4" w:space="0" w:color="auto"/>
            </w:tcBorders>
            <w:shd w:val="clear" w:color="auto" w:fill="C6EFCE"/>
            <w:noWrap/>
            <w:vAlign w:val="bottom"/>
          </w:tcPr>
          <w:p w14:paraId="0FA6641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adóhatóság korszerűsítése – Az adóhatóság személyzetének létszáma</w:t>
            </w:r>
          </w:p>
        </w:tc>
      </w:tr>
      <w:tr w:rsidR="00D65CB4" w:rsidRPr="00BC4EE7" w14:paraId="399D84E0" w14:textId="77777777" w:rsidTr="00572307">
        <w:trPr>
          <w:trHeight w:val="302"/>
        </w:trPr>
        <w:tc>
          <w:tcPr>
            <w:tcW w:w="1232"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FD336A7"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379</w:t>
            </w:r>
          </w:p>
        </w:tc>
        <w:tc>
          <w:tcPr>
            <w:tcW w:w="1370" w:type="dxa"/>
            <w:tcBorders>
              <w:top w:val="single" w:sz="4" w:space="0" w:color="auto"/>
              <w:left w:val="nil"/>
              <w:bottom w:val="single" w:sz="4" w:space="0" w:color="auto"/>
              <w:right w:val="single" w:sz="4" w:space="0" w:color="auto"/>
            </w:tcBorders>
            <w:shd w:val="clear" w:color="auto" w:fill="C6EFCE"/>
            <w:noWrap/>
            <w:vAlign w:val="bottom"/>
          </w:tcPr>
          <w:p w14:paraId="34E46721"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C27.R2</w:t>
            </w:r>
          </w:p>
        </w:tc>
        <w:tc>
          <w:tcPr>
            <w:tcW w:w="1226" w:type="dxa"/>
            <w:tcBorders>
              <w:top w:val="single" w:sz="4" w:space="0" w:color="auto"/>
              <w:left w:val="nil"/>
              <w:bottom w:val="single" w:sz="4" w:space="0" w:color="auto"/>
              <w:right w:val="single" w:sz="4" w:space="0" w:color="auto"/>
            </w:tcBorders>
            <w:shd w:val="clear" w:color="auto" w:fill="C6EFCE"/>
            <w:noWrap/>
            <w:vAlign w:val="bottom"/>
          </w:tcPr>
          <w:p w14:paraId="39553B40"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T</w:t>
            </w:r>
          </w:p>
        </w:tc>
        <w:tc>
          <w:tcPr>
            <w:tcW w:w="6061" w:type="dxa"/>
            <w:tcBorders>
              <w:top w:val="single" w:sz="4" w:space="0" w:color="auto"/>
              <w:left w:val="nil"/>
              <w:bottom w:val="single" w:sz="4" w:space="0" w:color="auto"/>
              <w:right w:val="single" w:sz="4" w:space="0" w:color="auto"/>
            </w:tcBorders>
            <w:shd w:val="clear" w:color="auto" w:fill="C6EFCE"/>
            <w:noWrap/>
            <w:vAlign w:val="bottom"/>
          </w:tcPr>
          <w:p w14:paraId="15CECD0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adóhatóság korszerűsítése – adóügyi vizsgálatok</w:t>
            </w:r>
          </w:p>
        </w:tc>
      </w:tr>
      <w:tr w:rsidR="00D65CB4" w:rsidRPr="00BC4EE7" w14:paraId="6102C70A" w14:textId="77777777" w:rsidTr="00572307">
        <w:trPr>
          <w:trHeight w:val="302"/>
        </w:trPr>
        <w:tc>
          <w:tcPr>
            <w:tcW w:w="1232"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AFF69B4"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380</w:t>
            </w:r>
          </w:p>
        </w:tc>
        <w:tc>
          <w:tcPr>
            <w:tcW w:w="1370" w:type="dxa"/>
            <w:tcBorders>
              <w:top w:val="single" w:sz="4" w:space="0" w:color="auto"/>
              <w:left w:val="nil"/>
              <w:bottom w:val="single" w:sz="4" w:space="0" w:color="auto"/>
              <w:right w:val="single" w:sz="4" w:space="0" w:color="auto"/>
            </w:tcBorders>
            <w:shd w:val="clear" w:color="auto" w:fill="C6EFCE"/>
            <w:noWrap/>
            <w:vAlign w:val="bottom"/>
          </w:tcPr>
          <w:p w14:paraId="6387008B"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C27.R3</w:t>
            </w:r>
          </w:p>
        </w:tc>
        <w:tc>
          <w:tcPr>
            <w:tcW w:w="1226" w:type="dxa"/>
            <w:tcBorders>
              <w:top w:val="single" w:sz="4" w:space="0" w:color="auto"/>
              <w:left w:val="nil"/>
              <w:bottom w:val="single" w:sz="4" w:space="0" w:color="auto"/>
              <w:right w:val="single" w:sz="4" w:space="0" w:color="auto"/>
            </w:tcBorders>
            <w:shd w:val="clear" w:color="auto" w:fill="C6EFCE"/>
            <w:noWrap/>
            <w:vAlign w:val="bottom"/>
          </w:tcPr>
          <w:p w14:paraId="4D2CD2E6"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T</w:t>
            </w:r>
          </w:p>
        </w:tc>
        <w:tc>
          <w:tcPr>
            <w:tcW w:w="6061" w:type="dxa"/>
            <w:tcBorders>
              <w:top w:val="single" w:sz="4" w:space="0" w:color="auto"/>
              <w:left w:val="nil"/>
              <w:bottom w:val="single" w:sz="4" w:space="0" w:color="auto"/>
              <w:right w:val="single" w:sz="4" w:space="0" w:color="auto"/>
            </w:tcBorders>
            <w:shd w:val="clear" w:color="auto" w:fill="C6EFCE"/>
            <w:noWrap/>
            <w:vAlign w:val="bottom"/>
          </w:tcPr>
          <w:p w14:paraId="4BA3ABC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Fokozott segítségnyújtás az adófizetőknek – Sociedades Web korszerűsítve és legalább 1666123 adófizető számára elérhető.</w:t>
            </w:r>
          </w:p>
        </w:tc>
      </w:tr>
      <w:tr w:rsidR="00D65CB4" w:rsidRPr="00BC4EE7" w14:paraId="7F48A702" w14:textId="77777777" w:rsidTr="00572307">
        <w:trPr>
          <w:trHeight w:val="302"/>
        </w:trPr>
        <w:tc>
          <w:tcPr>
            <w:tcW w:w="1232"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29AB63B"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381</w:t>
            </w:r>
          </w:p>
        </w:tc>
        <w:tc>
          <w:tcPr>
            <w:tcW w:w="1370" w:type="dxa"/>
            <w:tcBorders>
              <w:top w:val="single" w:sz="4" w:space="0" w:color="auto"/>
              <w:left w:val="nil"/>
              <w:bottom w:val="single" w:sz="4" w:space="0" w:color="auto"/>
              <w:right w:val="single" w:sz="4" w:space="0" w:color="auto"/>
            </w:tcBorders>
            <w:shd w:val="clear" w:color="auto" w:fill="C6EFCE"/>
            <w:noWrap/>
            <w:vAlign w:val="bottom"/>
          </w:tcPr>
          <w:p w14:paraId="444DC8FB"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C27.R3</w:t>
            </w:r>
          </w:p>
        </w:tc>
        <w:tc>
          <w:tcPr>
            <w:tcW w:w="1226" w:type="dxa"/>
            <w:tcBorders>
              <w:top w:val="single" w:sz="4" w:space="0" w:color="auto"/>
              <w:left w:val="nil"/>
              <w:bottom w:val="single" w:sz="4" w:space="0" w:color="auto"/>
              <w:right w:val="single" w:sz="4" w:space="0" w:color="auto"/>
            </w:tcBorders>
            <w:shd w:val="clear" w:color="auto" w:fill="C6EFCE"/>
            <w:noWrap/>
            <w:vAlign w:val="bottom"/>
          </w:tcPr>
          <w:p w14:paraId="77240CF6"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T</w:t>
            </w:r>
          </w:p>
        </w:tc>
        <w:tc>
          <w:tcPr>
            <w:tcW w:w="6061" w:type="dxa"/>
            <w:tcBorders>
              <w:top w:val="single" w:sz="4" w:space="0" w:color="auto"/>
              <w:left w:val="nil"/>
              <w:bottom w:val="single" w:sz="4" w:space="0" w:color="auto"/>
              <w:right w:val="single" w:sz="4" w:space="0" w:color="auto"/>
            </w:tcBorders>
            <w:shd w:val="clear" w:color="auto" w:fill="C6EFCE"/>
            <w:noWrap/>
            <w:vAlign w:val="bottom"/>
          </w:tcPr>
          <w:p w14:paraId="3D123A0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Fokozott segítségnyújtás az adófizetőknek – a Renta Web korszerűsítése és legalább 1779505 adóalany számára elérhető</w:t>
            </w:r>
          </w:p>
        </w:tc>
      </w:tr>
      <w:tr w:rsidR="00D65CB4" w:rsidRPr="00BC4EE7" w14:paraId="5D1E0B56" w14:textId="77777777" w:rsidTr="00572307">
        <w:trPr>
          <w:trHeight w:val="302"/>
        </w:trPr>
        <w:tc>
          <w:tcPr>
            <w:tcW w:w="1232"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13BE5B9"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383</w:t>
            </w:r>
          </w:p>
        </w:tc>
        <w:tc>
          <w:tcPr>
            <w:tcW w:w="1370" w:type="dxa"/>
            <w:tcBorders>
              <w:top w:val="single" w:sz="4" w:space="0" w:color="auto"/>
              <w:left w:val="nil"/>
              <w:bottom w:val="single" w:sz="4" w:space="0" w:color="auto"/>
              <w:right w:val="single" w:sz="4" w:space="0" w:color="auto"/>
            </w:tcBorders>
            <w:shd w:val="clear" w:color="auto" w:fill="C6EFCE"/>
            <w:noWrap/>
            <w:vAlign w:val="bottom"/>
          </w:tcPr>
          <w:p w14:paraId="11E8B690"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C27.R4</w:t>
            </w:r>
          </w:p>
        </w:tc>
        <w:tc>
          <w:tcPr>
            <w:tcW w:w="1226" w:type="dxa"/>
            <w:tcBorders>
              <w:top w:val="single" w:sz="4" w:space="0" w:color="auto"/>
              <w:left w:val="nil"/>
              <w:bottom w:val="single" w:sz="4" w:space="0" w:color="auto"/>
              <w:right w:val="single" w:sz="4" w:space="0" w:color="auto"/>
            </w:tcBorders>
            <w:shd w:val="clear" w:color="auto" w:fill="C6EFCE"/>
            <w:noWrap/>
            <w:vAlign w:val="bottom"/>
          </w:tcPr>
          <w:p w14:paraId="27B06950"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T</w:t>
            </w:r>
          </w:p>
        </w:tc>
        <w:tc>
          <w:tcPr>
            <w:tcW w:w="6061" w:type="dxa"/>
            <w:tcBorders>
              <w:top w:val="single" w:sz="4" w:space="0" w:color="auto"/>
              <w:left w:val="nil"/>
              <w:bottom w:val="single" w:sz="4" w:space="0" w:color="auto"/>
              <w:right w:val="single" w:sz="4" w:space="0" w:color="auto"/>
            </w:tcBorders>
            <w:shd w:val="clear" w:color="auto" w:fill="C6EFCE"/>
            <w:noWrap/>
            <w:vAlign w:val="bottom"/>
          </w:tcPr>
          <w:p w14:paraId="35C4E1F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Nemzetközi dimenzió – A regisztrált külföldi adófizetők azonosítása </w:t>
            </w:r>
          </w:p>
        </w:tc>
      </w:tr>
      <w:tr w:rsidR="00D65CB4" w:rsidRPr="00BC4EE7" w14:paraId="11B29C5D" w14:textId="77777777" w:rsidTr="00572307">
        <w:trPr>
          <w:trHeight w:val="302"/>
        </w:trPr>
        <w:tc>
          <w:tcPr>
            <w:tcW w:w="1232"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4A5C213"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384</w:t>
            </w:r>
          </w:p>
        </w:tc>
        <w:tc>
          <w:tcPr>
            <w:tcW w:w="1370" w:type="dxa"/>
            <w:tcBorders>
              <w:top w:val="single" w:sz="4" w:space="0" w:color="auto"/>
              <w:left w:val="nil"/>
              <w:bottom w:val="single" w:sz="4" w:space="0" w:color="auto"/>
              <w:right w:val="single" w:sz="4" w:space="0" w:color="auto"/>
            </w:tcBorders>
            <w:shd w:val="clear" w:color="auto" w:fill="C6EFCE"/>
            <w:noWrap/>
            <w:vAlign w:val="bottom"/>
          </w:tcPr>
          <w:p w14:paraId="461338F4"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C27.R5</w:t>
            </w:r>
          </w:p>
        </w:tc>
        <w:tc>
          <w:tcPr>
            <w:tcW w:w="1226" w:type="dxa"/>
            <w:tcBorders>
              <w:top w:val="single" w:sz="4" w:space="0" w:color="auto"/>
              <w:left w:val="nil"/>
              <w:bottom w:val="single" w:sz="4" w:space="0" w:color="auto"/>
              <w:right w:val="single" w:sz="4" w:space="0" w:color="auto"/>
            </w:tcBorders>
            <w:shd w:val="clear" w:color="auto" w:fill="C6EFCE"/>
            <w:noWrap/>
            <w:vAlign w:val="bottom"/>
          </w:tcPr>
          <w:p w14:paraId="6A7CD19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T</w:t>
            </w:r>
          </w:p>
        </w:tc>
        <w:tc>
          <w:tcPr>
            <w:tcW w:w="6061" w:type="dxa"/>
            <w:tcBorders>
              <w:top w:val="single" w:sz="4" w:space="0" w:color="auto"/>
              <w:left w:val="nil"/>
              <w:bottom w:val="single" w:sz="4" w:space="0" w:color="auto"/>
              <w:right w:val="single" w:sz="4" w:space="0" w:color="auto"/>
            </w:tcBorders>
            <w:shd w:val="clear" w:color="auto" w:fill="C6EFCE"/>
            <w:noWrap/>
            <w:vAlign w:val="bottom"/>
          </w:tcPr>
          <w:p w14:paraId="5182603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Együttműködési modell – Átláthatósági jelentések</w:t>
            </w:r>
          </w:p>
        </w:tc>
      </w:tr>
      <w:tr w:rsidR="00D65CB4" w:rsidRPr="00BC4EE7" w14:paraId="410E88F6" w14:textId="77777777" w:rsidTr="00572307">
        <w:trPr>
          <w:trHeight w:val="302"/>
        </w:trPr>
        <w:tc>
          <w:tcPr>
            <w:tcW w:w="1232"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C2568F7"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389</w:t>
            </w:r>
          </w:p>
        </w:tc>
        <w:tc>
          <w:tcPr>
            <w:tcW w:w="1370" w:type="dxa"/>
            <w:tcBorders>
              <w:top w:val="single" w:sz="4" w:space="0" w:color="auto"/>
              <w:left w:val="nil"/>
              <w:bottom w:val="single" w:sz="4" w:space="0" w:color="auto"/>
              <w:right w:val="single" w:sz="4" w:space="0" w:color="auto"/>
            </w:tcBorders>
            <w:shd w:val="clear" w:color="auto" w:fill="C6EFCE"/>
            <w:noWrap/>
            <w:vAlign w:val="bottom"/>
          </w:tcPr>
          <w:p w14:paraId="123882A8"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C28.R4</w:t>
            </w:r>
          </w:p>
        </w:tc>
        <w:tc>
          <w:tcPr>
            <w:tcW w:w="1226" w:type="dxa"/>
            <w:tcBorders>
              <w:top w:val="single" w:sz="4" w:space="0" w:color="auto"/>
              <w:left w:val="nil"/>
              <w:bottom w:val="single" w:sz="4" w:space="0" w:color="auto"/>
              <w:right w:val="single" w:sz="4" w:space="0" w:color="auto"/>
            </w:tcBorders>
            <w:shd w:val="clear" w:color="auto" w:fill="C6EFCE"/>
            <w:noWrap/>
            <w:vAlign w:val="bottom"/>
          </w:tcPr>
          <w:p w14:paraId="1CF91FFB"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6061" w:type="dxa"/>
            <w:tcBorders>
              <w:top w:val="single" w:sz="4" w:space="0" w:color="auto"/>
              <w:left w:val="nil"/>
              <w:bottom w:val="single" w:sz="4" w:space="0" w:color="auto"/>
              <w:right w:val="single" w:sz="4" w:space="0" w:color="auto"/>
            </w:tcBorders>
            <w:shd w:val="clear" w:color="auto" w:fill="C6EFCE"/>
            <w:noWrap/>
            <w:vAlign w:val="bottom"/>
          </w:tcPr>
          <w:p w14:paraId="1C4C957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egyszer használatos műanyagokra és -hulladékokra kivetett adók</w:t>
            </w:r>
          </w:p>
        </w:tc>
      </w:tr>
      <w:tr w:rsidR="00D65CB4" w:rsidRPr="00BC4EE7" w14:paraId="1405C776" w14:textId="77777777" w:rsidTr="00572307">
        <w:trPr>
          <w:trHeight w:val="302"/>
        </w:trPr>
        <w:tc>
          <w:tcPr>
            <w:tcW w:w="1232"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5A92EF0"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400</w:t>
            </w:r>
          </w:p>
        </w:tc>
        <w:tc>
          <w:tcPr>
            <w:tcW w:w="1370" w:type="dxa"/>
            <w:tcBorders>
              <w:top w:val="single" w:sz="4" w:space="0" w:color="auto"/>
              <w:left w:val="nil"/>
              <w:bottom w:val="single" w:sz="4" w:space="0" w:color="auto"/>
              <w:right w:val="single" w:sz="4" w:space="0" w:color="auto"/>
            </w:tcBorders>
            <w:shd w:val="clear" w:color="auto" w:fill="C6EFCE"/>
            <w:noWrap/>
            <w:vAlign w:val="bottom"/>
          </w:tcPr>
          <w:p w14:paraId="267AAAC5"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C29.R1</w:t>
            </w:r>
          </w:p>
        </w:tc>
        <w:tc>
          <w:tcPr>
            <w:tcW w:w="1226" w:type="dxa"/>
            <w:tcBorders>
              <w:top w:val="single" w:sz="4" w:space="0" w:color="auto"/>
              <w:left w:val="nil"/>
              <w:bottom w:val="single" w:sz="4" w:space="0" w:color="auto"/>
              <w:right w:val="single" w:sz="4" w:space="0" w:color="auto"/>
            </w:tcBorders>
            <w:shd w:val="clear" w:color="auto" w:fill="C6EFCE"/>
            <w:noWrap/>
            <w:vAlign w:val="bottom"/>
          </w:tcPr>
          <w:p w14:paraId="4AF60B87"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6061" w:type="dxa"/>
            <w:tcBorders>
              <w:top w:val="single" w:sz="4" w:space="0" w:color="auto"/>
              <w:left w:val="nil"/>
              <w:bottom w:val="single" w:sz="4" w:space="0" w:color="auto"/>
              <w:right w:val="single" w:sz="4" w:space="0" w:color="auto"/>
            </w:tcBorders>
            <w:shd w:val="clear" w:color="auto" w:fill="C6EFCE"/>
            <w:noWrap/>
            <w:vAlign w:val="bottom"/>
          </w:tcPr>
          <w:p w14:paraId="5C250A3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Miniszterek Tanácsa hagyja jóvá az AIReF-től megrendelendő kiadások felülvizsgálatának új ciklusát (2022–26).</w:t>
            </w:r>
          </w:p>
        </w:tc>
      </w:tr>
      <w:tr w:rsidR="00D65CB4" w:rsidRPr="00BC4EE7" w14:paraId="32948522" w14:textId="77777777" w:rsidTr="00572307">
        <w:trPr>
          <w:trHeight w:val="302"/>
        </w:trPr>
        <w:tc>
          <w:tcPr>
            <w:tcW w:w="1232"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CC1A76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403</w:t>
            </w:r>
          </w:p>
        </w:tc>
        <w:tc>
          <w:tcPr>
            <w:tcW w:w="1370" w:type="dxa"/>
            <w:tcBorders>
              <w:top w:val="single" w:sz="4" w:space="0" w:color="auto"/>
              <w:left w:val="nil"/>
              <w:bottom w:val="single" w:sz="4" w:space="0" w:color="auto"/>
              <w:right w:val="single" w:sz="4" w:space="0" w:color="auto"/>
            </w:tcBorders>
            <w:shd w:val="clear" w:color="auto" w:fill="C6EFCE"/>
            <w:noWrap/>
            <w:vAlign w:val="bottom"/>
          </w:tcPr>
          <w:p w14:paraId="6C40C4DB"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C29.R2</w:t>
            </w:r>
          </w:p>
        </w:tc>
        <w:tc>
          <w:tcPr>
            <w:tcW w:w="1226" w:type="dxa"/>
            <w:tcBorders>
              <w:top w:val="single" w:sz="4" w:space="0" w:color="auto"/>
              <w:left w:val="nil"/>
              <w:bottom w:val="single" w:sz="4" w:space="0" w:color="auto"/>
              <w:right w:val="single" w:sz="4" w:space="0" w:color="auto"/>
            </w:tcBorders>
            <w:shd w:val="clear" w:color="auto" w:fill="C6EFCE"/>
            <w:noWrap/>
            <w:vAlign w:val="bottom"/>
          </w:tcPr>
          <w:p w14:paraId="0BCCF19C"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6061" w:type="dxa"/>
            <w:tcBorders>
              <w:top w:val="single" w:sz="4" w:space="0" w:color="auto"/>
              <w:left w:val="nil"/>
              <w:bottom w:val="single" w:sz="4" w:space="0" w:color="auto"/>
              <w:right w:val="single" w:sz="4" w:space="0" w:color="auto"/>
            </w:tcBorders>
            <w:shd w:val="clear" w:color="auto" w:fill="C6EFCE"/>
            <w:noWrap/>
            <w:vAlign w:val="bottom"/>
          </w:tcPr>
          <w:p w14:paraId="505D9E7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költségvetés fenntartható fejlődési célokkal való összehangolásáról szóló jelentés</w:t>
            </w:r>
          </w:p>
        </w:tc>
      </w:tr>
      <w:tr w:rsidR="00D65CB4" w:rsidRPr="00BC4EE7" w14:paraId="49B99F65" w14:textId="77777777" w:rsidTr="00572307">
        <w:trPr>
          <w:trHeight w:val="302"/>
        </w:trPr>
        <w:tc>
          <w:tcPr>
            <w:tcW w:w="1232"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6C43DA6"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407</w:t>
            </w:r>
          </w:p>
        </w:tc>
        <w:tc>
          <w:tcPr>
            <w:tcW w:w="1370" w:type="dxa"/>
            <w:tcBorders>
              <w:top w:val="single" w:sz="4" w:space="0" w:color="auto"/>
              <w:left w:val="nil"/>
              <w:bottom w:val="single" w:sz="4" w:space="0" w:color="auto"/>
              <w:right w:val="single" w:sz="4" w:space="0" w:color="auto"/>
            </w:tcBorders>
            <w:shd w:val="clear" w:color="auto" w:fill="C6EFCE"/>
            <w:noWrap/>
            <w:vAlign w:val="bottom"/>
          </w:tcPr>
          <w:p w14:paraId="317DCA0B"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C30.R2</w:t>
            </w:r>
          </w:p>
        </w:tc>
        <w:tc>
          <w:tcPr>
            <w:tcW w:w="1226" w:type="dxa"/>
            <w:tcBorders>
              <w:top w:val="single" w:sz="4" w:space="0" w:color="auto"/>
              <w:left w:val="nil"/>
              <w:bottom w:val="single" w:sz="4" w:space="0" w:color="auto"/>
              <w:right w:val="single" w:sz="4" w:space="0" w:color="auto"/>
            </w:tcBorders>
            <w:shd w:val="clear" w:color="auto" w:fill="C6EFCE"/>
            <w:noWrap/>
            <w:vAlign w:val="bottom"/>
          </w:tcPr>
          <w:p w14:paraId="41BCDF70"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M</w:t>
            </w:r>
          </w:p>
        </w:tc>
        <w:tc>
          <w:tcPr>
            <w:tcW w:w="6061" w:type="dxa"/>
            <w:tcBorders>
              <w:top w:val="single" w:sz="4" w:space="0" w:color="auto"/>
              <w:left w:val="nil"/>
              <w:bottom w:val="single" w:sz="4" w:space="0" w:color="auto"/>
              <w:right w:val="single" w:sz="4" w:space="0" w:color="auto"/>
            </w:tcBorders>
            <w:shd w:val="clear" w:color="auto" w:fill="C6EFCE"/>
            <w:noWrap/>
            <w:vAlign w:val="bottom"/>
          </w:tcPr>
          <w:p w14:paraId="05D4A48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nyugdíjak vásárlóerejének fenntartása, valamint a tényleges nyugdíjkorhatár és a törvényes nyugdíjkorhatár összehangolása</w:t>
            </w:r>
          </w:p>
        </w:tc>
      </w:tr>
      <w:tr w:rsidR="00D65CB4" w:rsidRPr="00BC4EE7" w14:paraId="45708A50" w14:textId="77777777" w:rsidTr="00572307">
        <w:trPr>
          <w:trHeight w:val="302"/>
        </w:trPr>
        <w:tc>
          <w:tcPr>
            <w:tcW w:w="1232"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124CE4A" w14:textId="77777777" w:rsidR="00D65CB4" w:rsidRPr="00BC4EE7" w:rsidRDefault="00D65CB4">
            <w:pPr>
              <w:spacing w:after="0" w:line="240" w:lineRule="auto"/>
              <w:jc w:val="center"/>
              <w:rPr>
                <w:rFonts w:ascii="Times New Roman" w:eastAsia="Times New Roman" w:hAnsi="Times New Roman" w:cs="Times New Roman"/>
                <w:noProof/>
                <w:sz w:val="20"/>
              </w:rPr>
            </w:pPr>
          </w:p>
        </w:tc>
        <w:tc>
          <w:tcPr>
            <w:tcW w:w="1370" w:type="dxa"/>
            <w:tcBorders>
              <w:top w:val="single" w:sz="4" w:space="0" w:color="auto"/>
              <w:left w:val="nil"/>
              <w:bottom w:val="single" w:sz="4" w:space="0" w:color="auto"/>
              <w:right w:val="single" w:sz="4" w:space="0" w:color="auto"/>
            </w:tcBorders>
            <w:shd w:val="clear" w:color="auto" w:fill="C6EFCE"/>
            <w:noWrap/>
            <w:vAlign w:val="bottom"/>
          </w:tcPr>
          <w:p w14:paraId="2C0ADC9A" w14:textId="77777777" w:rsidR="00D65CB4" w:rsidRPr="00BC4EE7" w:rsidRDefault="00D65CB4">
            <w:pPr>
              <w:spacing w:after="0" w:line="240" w:lineRule="auto"/>
              <w:jc w:val="center"/>
              <w:rPr>
                <w:rFonts w:ascii="Times New Roman" w:eastAsia="Times New Roman" w:hAnsi="Times New Roman" w:cs="Times New Roman"/>
                <w:noProof/>
                <w:sz w:val="20"/>
              </w:rPr>
            </w:pPr>
          </w:p>
        </w:tc>
        <w:tc>
          <w:tcPr>
            <w:tcW w:w="1226" w:type="dxa"/>
            <w:tcBorders>
              <w:top w:val="single" w:sz="4" w:space="0" w:color="auto"/>
              <w:left w:val="nil"/>
              <w:bottom w:val="single" w:sz="4" w:space="0" w:color="auto"/>
              <w:right w:val="single" w:sz="4" w:space="0" w:color="auto"/>
            </w:tcBorders>
            <w:shd w:val="clear" w:color="auto" w:fill="C6EFCE"/>
            <w:noWrap/>
            <w:vAlign w:val="center"/>
          </w:tcPr>
          <w:p w14:paraId="37BDD331" w14:textId="77777777"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Részösszeg</w:t>
            </w:r>
          </w:p>
        </w:tc>
        <w:tc>
          <w:tcPr>
            <w:tcW w:w="6061" w:type="dxa"/>
            <w:tcBorders>
              <w:top w:val="single" w:sz="4" w:space="0" w:color="auto"/>
              <w:left w:val="nil"/>
              <w:bottom w:val="single" w:sz="4" w:space="0" w:color="auto"/>
              <w:right w:val="single" w:sz="4" w:space="0" w:color="auto"/>
            </w:tcBorders>
            <w:shd w:val="clear" w:color="auto" w:fill="C6EFCE"/>
            <w:noWrap/>
            <w:vAlign w:val="center"/>
          </w:tcPr>
          <w:p w14:paraId="085BD113" w14:textId="20E59525" w:rsidR="00D65CB4" w:rsidRPr="00BC4EE7" w:rsidRDefault="00572307">
            <w:pPr>
              <w:pStyle w:val="P68B1DB1-Normal38"/>
              <w:spacing w:after="0" w:line="240" w:lineRule="auto"/>
              <w:rPr>
                <w:rFonts w:eastAsia="Times New Roman" w:cs="Times New Roman"/>
                <w:noProof/>
              </w:rPr>
            </w:pPr>
            <w:r w:rsidRPr="00BC4EE7">
              <w:rPr>
                <w:rFonts w:cs="Times New Roman"/>
                <w:noProof/>
              </w:rPr>
              <w:t>·EURÓPAI BIZOTTSÁG 13 793 103 448 EUR</w:t>
            </w:r>
          </w:p>
        </w:tc>
      </w:tr>
    </w:tbl>
    <w:p w14:paraId="0976F2B0" w14:textId="77777777" w:rsidR="00D65CB4" w:rsidRPr="00BC4EE7" w:rsidRDefault="00D65CB4">
      <w:pPr>
        <w:spacing w:before="120" w:after="120" w:line="240" w:lineRule="auto"/>
        <w:jc w:val="both"/>
        <w:rPr>
          <w:rFonts w:ascii="Times New Roman" w:eastAsia="Calibri" w:hAnsi="Times New Roman" w:cs="Times New Roman"/>
          <w:noProof/>
          <w:sz w:val="24"/>
        </w:rPr>
      </w:pPr>
    </w:p>
    <w:p w14:paraId="3348F253" w14:textId="77777777" w:rsidR="00D65CB4" w:rsidRPr="00BC4EE7" w:rsidRDefault="00572307">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sidRPr="00BC4EE7">
        <w:rPr>
          <w:rFonts w:cs="Times New Roman"/>
          <w:noProof/>
        </w:rPr>
        <w:t xml:space="preserve">Harmadik részösszeg (vissza nem térítendő támogatás): </w:t>
      </w:r>
    </w:p>
    <w:tbl>
      <w:tblPr>
        <w:tblW w:w="9663" w:type="dxa"/>
        <w:tblInd w:w="113" w:type="dxa"/>
        <w:tblLook w:val="04A0" w:firstRow="1" w:lastRow="0" w:firstColumn="1" w:lastColumn="0" w:noHBand="0" w:noVBand="1"/>
      </w:tblPr>
      <w:tblGrid>
        <w:gridCol w:w="1300"/>
        <w:gridCol w:w="1443"/>
        <w:gridCol w:w="1250"/>
        <w:gridCol w:w="5670"/>
      </w:tblGrid>
      <w:tr w:rsidR="00D65CB4" w:rsidRPr="00BC4EE7" w14:paraId="3EF5B9FC" w14:textId="77777777">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10853053" w14:textId="77777777"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Sorszám</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609B8F48" w14:textId="77777777"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Kapcsolódó intézkedés (reform vagy beruházás)</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AD4A0A9" w14:textId="1A209710"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Mérföldkő/</w:t>
            </w:r>
            <w:r>
              <w:rPr>
                <w:rFonts w:cs="Times New Roman"/>
                <w:noProof/>
              </w:rPr>
              <w:br/>
            </w:r>
            <w:r w:rsidRPr="00BC4EE7">
              <w:rPr>
                <w:rFonts w:cs="Times New Roman"/>
                <w:noProof/>
              </w:rPr>
              <w:t>cél</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5A2455A0" w14:textId="77777777"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Név</w:t>
            </w:r>
          </w:p>
        </w:tc>
      </w:tr>
      <w:tr w:rsidR="00D65CB4" w:rsidRPr="00BC4EE7" w14:paraId="415F6468"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73ECD0BC" w14:textId="77777777" w:rsidR="00D65CB4" w:rsidRPr="00BC4EE7" w:rsidRDefault="00D65CB4">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5F10B47B" w14:textId="77777777" w:rsidR="00D65CB4" w:rsidRPr="00BC4EE7" w:rsidRDefault="00D65CB4">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1EE8BA03" w14:textId="77777777" w:rsidR="00D65CB4" w:rsidRPr="00BC4EE7" w:rsidRDefault="00D65CB4">
            <w:pPr>
              <w:spacing w:after="0" w:line="240" w:lineRule="auto"/>
              <w:rPr>
                <w:rFonts w:ascii="Times New Roman" w:eastAsia="Times New Roman" w:hAnsi="Times New Roman" w:cs="Times New Roman"/>
                <w:b/>
                <w:noProof/>
                <w:sz w:val="20"/>
              </w:rPr>
            </w:pPr>
          </w:p>
        </w:tc>
        <w:tc>
          <w:tcPr>
            <w:tcW w:w="5670" w:type="dxa"/>
            <w:vMerge/>
            <w:tcBorders>
              <w:top w:val="single" w:sz="4" w:space="0" w:color="auto"/>
              <w:left w:val="nil"/>
              <w:bottom w:val="single" w:sz="4" w:space="0" w:color="000000"/>
              <w:right w:val="single" w:sz="4" w:space="0" w:color="auto"/>
            </w:tcBorders>
            <w:vAlign w:val="center"/>
            <w:hideMark/>
          </w:tcPr>
          <w:p w14:paraId="6134CB12" w14:textId="77777777" w:rsidR="00D65CB4" w:rsidRPr="00BC4EE7" w:rsidRDefault="00D65CB4">
            <w:pPr>
              <w:spacing w:after="0" w:line="240" w:lineRule="auto"/>
              <w:rPr>
                <w:rFonts w:ascii="Times New Roman" w:eastAsia="Times New Roman" w:hAnsi="Times New Roman" w:cs="Times New Roman"/>
                <w:b/>
                <w:noProof/>
                <w:sz w:val="20"/>
              </w:rPr>
            </w:pPr>
          </w:p>
        </w:tc>
      </w:tr>
      <w:tr w:rsidR="00D65CB4" w:rsidRPr="00BC4EE7" w14:paraId="3049448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39BAEB8"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68A808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A71203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0EDDD2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műszaki építési szabályzat (megerősítendő) és a kisfeszültségű elektrotechnikai szabályzat (LVER) módosításai és a nyilvános elektromos töltési szolgáltatások szabályozásáról szóló királyi rendelet jóváhagyása</w:t>
            </w:r>
          </w:p>
        </w:tc>
      </w:tr>
      <w:tr w:rsidR="00D65CB4" w:rsidRPr="00BC4EE7" w14:paraId="5EDC68A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5D7E850"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6F7E7A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C3.R6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F7FD4E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61781D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nemzeti halászati területekkel való gazdálkodásról szóló királyi rendelet hatálybalépése </w:t>
            </w:r>
          </w:p>
        </w:tc>
      </w:tr>
      <w:tr w:rsidR="00D65CB4" w:rsidRPr="00BC4EE7" w14:paraId="7E06965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8A87356"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51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15D96D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E6F8AF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8332B0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Beruházási terv a mezőgazdaság és az állattenyésztés fenntarthatóságának és versenyképességének előmozdítására </w:t>
            </w:r>
          </w:p>
        </w:tc>
      </w:tr>
      <w:tr w:rsidR="00D65CB4" w:rsidRPr="00BC4EE7" w14:paraId="483C799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DC1750B"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57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B41C1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5A7345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A8FC31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Akusztikai szondák beszerzése a halászati kutatáshoz</w:t>
            </w:r>
          </w:p>
        </w:tc>
      </w:tr>
      <w:tr w:rsidR="00D65CB4" w:rsidRPr="00BC4EE7" w14:paraId="1970996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31151B9"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61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A79051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C3.I11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FC4355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54028F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halászati ágazat beruházási projektjeinek finanszírozása</w:t>
            </w:r>
          </w:p>
        </w:tc>
      </w:tr>
      <w:tr w:rsidR="00D65CB4" w:rsidRPr="00BC4EE7" w14:paraId="44AA276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FBA8A38"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65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25552D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C4.I1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E5813C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3FB243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tűzoltásra szolgáló különleges célú légi járművekre vonatkozó szerződések odaítélése, valamint a biológiai sokféleségre vonatkozó tudásfigyelő és -kezelési rendszer létrehozása</w:t>
            </w:r>
          </w:p>
        </w:tc>
      </w:tr>
      <w:tr w:rsidR="00D65CB4" w:rsidRPr="00BC4EE7" w14:paraId="724B1DF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EB776A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110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F50FB9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C7.R3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0D12F9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41B9C6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Kísérleti projekt az energiaközösségek számára </w:t>
            </w:r>
          </w:p>
        </w:tc>
      </w:tr>
      <w:tr w:rsidR="00D65CB4" w:rsidRPr="00BC4EE7" w14:paraId="6A4DED1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6CA4A34"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115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98D77E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C7.I1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33D5F3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47A7E5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Pályázat innovatív vagy hozzáadott értéket képviselő megújulóenergia-kapacitás beruházási támogatására</w:t>
            </w:r>
          </w:p>
        </w:tc>
      </w:tr>
      <w:tr w:rsidR="00D65CB4" w:rsidRPr="00BC4EE7" w14:paraId="4DE38C0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A8DF74E"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124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35544A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C8.R4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93781E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18030F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villamosenergia-ágazatban a kutatást és az innovációt előmozdító szabályozói tesztkörnyezetek előmozdítását célzó intézkedések hatálybalépése.</w:t>
            </w:r>
          </w:p>
        </w:tc>
      </w:tr>
      <w:tr w:rsidR="00D65CB4" w:rsidRPr="00BC4EE7" w14:paraId="0E23F53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D80FFDB"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130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8E4375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C9.R1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62B188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E5A02A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megújuló gázokra vonatkozó származási garanciák létrehozásáról szóló rendelet hatálybalépése</w:t>
            </w:r>
          </w:p>
        </w:tc>
      </w:tr>
      <w:tr w:rsidR="00D65CB4" w:rsidRPr="00BC4EE7" w14:paraId="027EC31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4831C45"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190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E03C0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96B1AB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CED310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fizetésképtelenségi törvény reformjáról szóló törvény hatálybalépése</w:t>
            </w:r>
          </w:p>
        </w:tc>
      </w:tr>
      <w:tr w:rsidR="00D65CB4" w:rsidRPr="00BC4EE7" w14:paraId="2953DD8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4102D1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229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B9F9BD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C15.R1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52B2E1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494537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távközlési törvény hatálybalépése</w:t>
            </w:r>
          </w:p>
        </w:tc>
      </w:tr>
      <w:tr w:rsidR="00D65CB4" w:rsidRPr="00BC4EE7" w14:paraId="62FC46C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165FB81"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254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06E429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C17.R1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0FD02E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56446C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tudományról, a technológiáról és az innovációról szóló, június 1-jei 14/2011. sz. törvény módosításának hatálybalépése.</w:t>
            </w:r>
          </w:p>
        </w:tc>
      </w:tr>
      <w:tr w:rsidR="00D65CB4" w:rsidRPr="00BC4EE7" w14:paraId="1A935B0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3348EF3"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270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25CB26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C17.I8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935071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25ED16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fenntartható autóiparral kapcsolatos K+F+I projektek támogatása </w:t>
            </w:r>
          </w:p>
        </w:tc>
      </w:tr>
      <w:tr w:rsidR="00D65CB4" w:rsidRPr="00BC4EE7" w14:paraId="727BAF9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178E0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274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CB1949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C18.R2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39F299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C0B8F0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spanyol közegészségügyi stratégia jóváhagyása </w:t>
            </w:r>
          </w:p>
        </w:tc>
      </w:tr>
      <w:tr w:rsidR="00D65CB4" w:rsidRPr="00BC4EE7" w14:paraId="44B0B27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E0C8489"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296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1452A4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C20.R2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5749E1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5E1DB8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egységes integrált szakképzési rendszerről szóló törvény hatálybalépése a rendszer korszerűsítésének céljával</w:t>
            </w:r>
          </w:p>
        </w:tc>
      </w:tr>
      <w:tr w:rsidR="00D65CB4" w:rsidRPr="00BC4EE7" w14:paraId="705E646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9BAB3C7"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304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A8FB68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C21.R2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6594B3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AA6E9A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Az oktatás minimális követelményeiről szóló királyi rendelet hatálybalépése </w:t>
            </w:r>
          </w:p>
        </w:tc>
      </w:tr>
      <w:tr w:rsidR="00D65CB4" w:rsidRPr="00BC4EE7" w14:paraId="06E9132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03E1722"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314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90A663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C22.R1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F00375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6585CB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Az autonómiára és függőségi ellátásra vonatkozó rendszer (SAAD) értékelésének a területi tanács általi jóváhagyása. </w:t>
            </w:r>
          </w:p>
        </w:tc>
      </w:tr>
      <w:tr w:rsidR="00D65CB4" w:rsidRPr="00BC4EE7" w14:paraId="37F3312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6915826"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317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0EF897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C22.R4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07A588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0A2FDE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migránsok és a nemzetközi védelmet kérelmezők spanyolországi befogadási rendszerére vonatkozó jogalkotási reform hatálybalépése </w:t>
            </w:r>
          </w:p>
        </w:tc>
      </w:tr>
      <w:tr w:rsidR="00D65CB4" w:rsidRPr="00BC4EE7" w14:paraId="47CAE65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7B0EF73"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350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9DEB93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C23.I7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07338E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F5C022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minimális életjövedelem (IMV) felhasználási arányának javítása és hatékonyságának növelése befogadási politikák révén</w:t>
            </w:r>
          </w:p>
        </w:tc>
      </w:tr>
      <w:tr w:rsidR="00D65CB4" w:rsidRPr="00BC4EE7" w14:paraId="1ABA29C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DF3411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360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815E78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C24.I3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B5EFDE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63F700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Digitalizáció és a főbb kulturális szolgáltatások előmozdítása </w:t>
            </w:r>
          </w:p>
        </w:tc>
      </w:tr>
      <w:tr w:rsidR="00D65CB4" w:rsidRPr="00BC4EE7" w14:paraId="47F43AB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2E120E3"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364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1B798C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C25.R1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B6BFA5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870518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audiovizuális kommunikációról szóló általános törvény hatálybalépése.</w:t>
            </w:r>
          </w:p>
        </w:tc>
      </w:tr>
      <w:tr w:rsidR="00D65CB4" w:rsidRPr="00BC4EE7" w14:paraId="76832BD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F7CC7A1"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374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1036D3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C26.I3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B80B47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397ED9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sporton belüli egyenlőség előmozdítását célzó projektek </w:t>
            </w:r>
          </w:p>
        </w:tc>
      </w:tr>
      <w:tr w:rsidR="00D65CB4" w:rsidRPr="00BC4EE7" w14:paraId="744A87F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136FEA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376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5D505A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C27.R1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84659C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DEE915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adókijátszás és az adócsalás elleni törvény hatálybalépése</w:t>
            </w:r>
          </w:p>
        </w:tc>
      </w:tr>
      <w:tr w:rsidR="00D65CB4" w:rsidRPr="00BC4EE7" w14:paraId="035DF41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A4F65D9"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390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303228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C28.R4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A516A9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072136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gépjármű-nyilvántartási adó és a forgalmi adó elemzése</w:t>
            </w:r>
          </w:p>
        </w:tc>
      </w:tr>
      <w:tr w:rsidR="00D65CB4" w:rsidRPr="00BC4EE7" w14:paraId="7D1130E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668C767"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391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CB6A01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C28.R4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528A53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357096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fluorozott gázokra kivetett adó reformjának hatálybalépése </w:t>
            </w:r>
          </w:p>
        </w:tc>
      </w:tr>
      <w:tr w:rsidR="00D65CB4" w:rsidRPr="00BC4EE7" w14:paraId="3F89D63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78ED2E2"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401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D3CF96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C29.R1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7389AF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19DD89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Nyomonkövetési jelentés közzététele</w:t>
            </w:r>
          </w:p>
        </w:tc>
      </w:tr>
      <w:tr w:rsidR="00D65CB4" w:rsidRPr="00BC4EE7" w14:paraId="0D77000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5EAF363"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411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187F1C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C30.R3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753772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80FB3F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önálló vállalkozók társadalombiztosítási járulékrendszerének reformja</w:t>
            </w:r>
          </w:p>
        </w:tc>
      </w:tr>
      <w:tr w:rsidR="00D65CB4" w:rsidRPr="00BC4EE7" w14:paraId="42BC5EC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949513B"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414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CBE16D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C30.R5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37FA1E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2730CB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jelenlegi kiegészítő nyugdíjrendszer felülvizsgálata</w:t>
            </w:r>
          </w:p>
        </w:tc>
      </w:tr>
      <w:tr w:rsidR="00D65CB4" w:rsidRPr="00BC4EE7" w14:paraId="67E66F5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F8C505B" w14:textId="77777777" w:rsidR="00D65CB4" w:rsidRPr="00BC4EE7" w:rsidRDefault="00D65CB4">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4F39404" w14:textId="77777777" w:rsidR="00D65CB4" w:rsidRPr="00BC4EE7" w:rsidRDefault="00D65CB4">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F8238F1" w14:textId="77777777" w:rsidR="00D65CB4" w:rsidRPr="00BC4EE7" w:rsidRDefault="00572307">
            <w:pPr>
              <w:pStyle w:val="P68B1DB1-Normal38"/>
              <w:spacing w:after="0" w:line="240" w:lineRule="auto"/>
              <w:rPr>
                <w:rFonts w:eastAsia="Times New Roman" w:cs="Times New Roman"/>
                <w:noProof/>
              </w:rPr>
            </w:pPr>
            <w:r w:rsidRPr="00BC4EE7">
              <w:rPr>
                <w:rFonts w:cs="Times New Roman"/>
                <w:noProof/>
              </w:rPr>
              <w:t>Részösszeg</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1CF4712" w14:textId="3E00CFF3" w:rsidR="00D65CB4" w:rsidRPr="00BC4EE7" w:rsidRDefault="00572307">
            <w:pPr>
              <w:pStyle w:val="P68B1DB1-Normal38"/>
              <w:spacing w:after="0" w:line="240" w:lineRule="auto"/>
              <w:rPr>
                <w:rFonts w:eastAsia="Times New Roman" w:cs="Times New Roman"/>
                <w:noProof/>
              </w:rPr>
            </w:pPr>
            <w:r w:rsidRPr="00BC4EE7">
              <w:rPr>
                <w:rFonts w:cs="Times New Roman"/>
                <w:noProof/>
              </w:rPr>
              <w:t>·EURÓPAI BIZOTTSÁG 6 896 551 724 EUR</w:t>
            </w:r>
          </w:p>
        </w:tc>
      </w:tr>
    </w:tbl>
    <w:p w14:paraId="0E4ACC87" w14:textId="77777777" w:rsidR="00D65CB4" w:rsidRPr="00BC4EE7" w:rsidRDefault="00D65CB4">
      <w:pPr>
        <w:spacing w:before="120" w:after="120" w:line="240" w:lineRule="auto"/>
        <w:jc w:val="both"/>
        <w:rPr>
          <w:rFonts w:ascii="Times New Roman" w:eastAsia="Calibri" w:hAnsi="Times New Roman" w:cs="Times New Roman"/>
          <w:noProof/>
          <w:sz w:val="24"/>
        </w:rPr>
      </w:pPr>
    </w:p>
    <w:p w14:paraId="6695220B" w14:textId="77777777" w:rsidR="00D65CB4" w:rsidRPr="00BC4EE7" w:rsidRDefault="00572307">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sidRPr="00BC4EE7">
        <w:rPr>
          <w:rFonts w:cs="Times New Roman"/>
          <w:noProof/>
        </w:rPr>
        <w:t xml:space="preserve">Negyedik kifizetés (vissza nem térítendő támogatás): </w:t>
      </w:r>
    </w:p>
    <w:tbl>
      <w:tblPr>
        <w:tblW w:w="9663" w:type="dxa"/>
        <w:tblInd w:w="113" w:type="dxa"/>
        <w:tblLook w:val="04A0" w:firstRow="1" w:lastRow="0" w:firstColumn="1" w:lastColumn="0" w:noHBand="0" w:noVBand="1"/>
      </w:tblPr>
      <w:tblGrid>
        <w:gridCol w:w="1300"/>
        <w:gridCol w:w="1443"/>
        <w:gridCol w:w="1250"/>
        <w:gridCol w:w="5670"/>
      </w:tblGrid>
      <w:tr w:rsidR="00D65CB4" w:rsidRPr="00BC4EE7" w14:paraId="0556E70F" w14:textId="77777777">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0247F962" w14:textId="77777777"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Sorszám</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1E36E1F8" w14:textId="77777777"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Kapcsolódó intézkedés (reform vagy beruházás)</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3A87B7DF" w14:textId="6F500F56"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Mérföldkő/</w:t>
            </w:r>
            <w:r>
              <w:rPr>
                <w:rFonts w:cs="Times New Roman"/>
                <w:noProof/>
              </w:rPr>
              <w:br/>
            </w:r>
            <w:r w:rsidRPr="00BC4EE7">
              <w:rPr>
                <w:rFonts w:cs="Times New Roman"/>
                <w:noProof/>
              </w:rPr>
              <w:t>cél</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03A5A927" w14:textId="77777777"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Név</w:t>
            </w:r>
          </w:p>
        </w:tc>
      </w:tr>
      <w:tr w:rsidR="00D65CB4" w:rsidRPr="00BC4EE7" w14:paraId="57DCDFA0"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71EACC2A" w14:textId="77777777" w:rsidR="00D65CB4" w:rsidRPr="00BC4EE7" w:rsidRDefault="00D65CB4">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57A75D6B" w14:textId="77777777" w:rsidR="00D65CB4" w:rsidRPr="00BC4EE7" w:rsidRDefault="00D65CB4">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4AB7BCF1" w14:textId="77777777" w:rsidR="00D65CB4" w:rsidRPr="00BC4EE7" w:rsidRDefault="00D65CB4">
            <w:pPr>
              <w:spacing w:after="0" w:line="240" w:lineRule="auto"/>
              <w:rPr>
                <w:rFonts w:ascii="Times New Roman" w:eastAsia="Times New Roman" w:hAnsi="Times New Roman" w:cs="Times New Roman"/>
                <w:b/>
                <w:noProof/>
                <w:sz w:val="20"/>
              </w:rPr>
            </w:pPr>
          </w:p>
        </w:tc>
        <w:tc>
          <w:tcPr>
            <w:tcW w:w="5670" w:type="dxa"/>
            <w:vMerge/>
            <w:tcBorders>
              <w:top w:val="single" w:sz="4" w:space="0" w:color="auto"/>
              <w:left w:val="nil"/>
              <w:bottom w:val="single" w:sz="4" w:space="0" w:color="000000"/>
              <w:right w:val="single" w:sz="4" w:space="0" w:color="auto"/>
            </w:tcBorders>
            <w:vAlign w:val="center"/>
            <w:hideMark/>
          </w:tcPr>
          <w:p w14:paraId="05D8590C" w14:textId="77777777" w:rsidR="00D65CB4" w:rsidRPr="00BC4EE7" w:rsidRDefault="00D65CB4">
            <w:pPr>
              <w:spacing w:after="0" w:line="240" w:lineRule="auto"/>
              <w:rPr>
                <w:rFonts w:ascii="Times New Roman" w:eastAsia="Times New Roman" w:hAnsi="Times New Roman" w:cs="Times New Roman"/>
                <w:b/>
                <w:noProof/>
                <w:sz w:val="20"/>
              </w:rPr>
            </w:pPr>
          </w:p>
        </w:tc>
      </w:tr>
      <w:tr w:rsidR="00D65CB4" w:rsidRPr="00BC4EE7" w14:paraId="1A13C9A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F7BD4CA"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C9F372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313B0F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579508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fenntartható mobilitás előmozdítását célzó beszerzésekre fordított vagy az önkormányzatok által odaítélt költségvetés</w:t>
            </w:r>
          </w:p>
        </w:tc>
      </w:tr>
      <w:tr w:rsidR="00D65CB4" w:rsidRPr="00BC4EE7" w14:paraId="1599744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4E4E92"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928FDC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49C5A6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D44706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lakásügyi törvény hatálybalépése, beleértve a közel nulla energiaigényű épületekkel összhangban a lakáskínálat növelését támogató intézkedéseket </w:t>
            </w:r>
          </w:p>
        </w:tc>
      </w:tr>
      <w:tr w:rsidR="00D65CB4" w:rsidRPr="00BC4EE7" w14:paraId="3FCC538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B0F164C"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CD72C2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5C616D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B66BF7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Az építészet minőségéről és az építési környezetről szóló törvény hatálybalépése </w:t>
            </w:r>
          </w:p>
        </w:tc>
      </w:tr>
      <w:tr w:rsidR="00D65CB4" w:rsidRPr="00BC4EE7" w14:paraId="51EA53E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CAE5D2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8398B7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C2.R6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2A7772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D9395E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horizontális tulajdonjogi törvény módosításainak hatálybalépése a rehabilitáció finanszírozásának megkönnyítése érdekében </w:t>
            </w:r>
          </w:p>
        </w:tc>
      </w:tr>
      <w:tr w:rsidR="00D65CB4" w:rsidRPr="00BC4EE7" w14:paraId="23FEC73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5A18A14"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13AEDD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CC3436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9FC6D6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Cselekvési tervek a spanyol városfejlesztési menetrend keretében </w:t>
            </w:r>
          </w:p>
        </w:tc>
      </w:tr>
      <w:tr w:rsidR="00D65CB4" w:rsidRPr="00BC4EE7" w14:paraId="7351215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02E446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A03FE9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649A28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1ED9A9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szabályozási keret hatálybalépése a gazdaságokban elérhető legjobb technikák általános nyilvántartásának létrehozása érdekében, amely tájékoztatást nyújt a szennyezőanyag- és ÜHG-kibocsátásról, valamint az ágazatokon átívelő mezőgazdasági üzemekre vonatkozó kritériumokat tartalmazó tervezési jogszabályok megreformálása</w:t>
            </w:r>
          </w:p>
        </w:tc>
      </w:tr>
      <w:tr w:rsidR="00D65CB4" w:rsidRPr="00BC4EE7" w14:paraId="2003BD6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A792289"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42E951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A1AA3D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B0B6A8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spanyol öntözőrendszer javítását célzó irányítási mechanizmusról szóló királyi rendelet hatálybalépése.</w:t>
            </w:r>
          </w:p>
        </w:tc>
      </w:tr>
      <w:tr w:rsidR="00D65CB4" w:rsidRPr="00BC4EE7" w14:paraId="1070FD7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A86D165"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11BDE8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C3.R5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5344B1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23182B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agrár-élelmiszeripari ágazat és a vidéki területek digitalizációs stratégiájára vonatkozó második cselekvési terv elfogadása.</w:t>
            </w:r>
          </w:p>
        </w:tc>
      </w:tr>
      <w:tr w:rsidR="00D65CB4" w:rsidRPr="00BC4EE7" w14:paraId="08936EA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9B8037C"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36A9CA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C08FFD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04B01D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Mezőgazdasági, Halászati és Élelmiszerügyi Minisztérium (MAPA) és a SEIASA közötti, az öntözött területek javítását és fenntarthatóságát támogató megállapodás végrehajtása (II. szakasz)</w:t>
            </w:r>
          </w:p>
        </w:tc>
      </w:tr>
      <w:tr w:rsidR="00D65CB4" w:rsidRPr="00BC4EE7" w14:paraId="6C3C62B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B09B233"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55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E060FB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995BA5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01B8EA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IKT-berendezések beszerzése a halászati érdekeltségű tengeri tartalékok számára, valamint a tengeri tartalékok céljára szolgáló különleges célú hajók beszerzésére vonatkozó szerződések</w:t>
            </w:r>
          </w:p>
        </w:tc>
      </w:tr>
      <w:tr w:rsidR="00D65CB4" w:rsidRPr="00BC4EE7" w14:paraId="67314BB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3A44D1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60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12F3FC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C3.I10</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CADB05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E53FD8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Könnyű járőrhajók és nyílt tengeri járőrhajók vásárlása a jogellenes, be nem jelentett és szabályozatlan halászat elleni küzdelem érdekében </w:t>
            </w:r>
          </w:p>
        </w:tc>
      </w:tr>
      <w:tr w:rsidR="00D65CB4" w:rsidRPr="00BC4EE7" w14:paraId="08C877B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9320C4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62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00F1D5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C4.R1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EE4BED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879EEB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természeti örökségre és a biológiai sokféleségre vonatkozó stratégiai terv és a védett tengeri területek hálózatára vonatkozó terv </w:t>
            </w:r>
          </w:p>
        </w:tc>
      </w:tr>
      <w:tr w:rsidR="00D65CB4" w:rsidRPr="00BC4EE7" w14:paraId="4D5929E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DA58405"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64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1C673C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C4.R3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555845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CC2198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spanyol erdőgazdálkodási stratégia és támogatási terv jóváhagyása</w:t>
            </w:r>
          </w:p>
        </w:tc>
      </w:tr>
      <w:tr w:rsidR="00D65CB4" w:rsidRPr="00BC4EE7" w14:paraId="63EC54B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0AA4E8C"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77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0944ED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C5.I2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4A0687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8D3799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folyópartok árvízkockázatokkal szembeni védelmének helyreállítása</w:t>
            </w:r>
          </w:p>
        </w:tc>
      </w:tr>
      <w:tr w:rsidR="00D65CB4" w:rsidRPr="00BC4EE7" w14:paraId="31A1A9A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C7AFFF7"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80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5BAA0D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C5.I4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3BA1B1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5AF502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leromlott területek és ökoszisztémák helyreállítása legalább 50 kilométernyi partvonalon </w:t>
            </w:r>
          </w:p>
        </w:tc>
      </w:tr>
      <w:tr w:rsidR="00D65CB4" w:rsidRPr="00BC4EE7" w14:paraId="70190CF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1F53C57"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84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818879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C6.R2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0163EE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077698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Indikatív vasúti stratégia</w:t>
            </w:r>
          </w:p>
        </w:tc>
      </w:tr>
      <w:tr w:rsidR="00D65CB4" w:rsidRPr="00BC4EE7" w14:paraId="587A0EE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C12D877"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85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A070F6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C6.I1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BE6581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ECDCE8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TEN-T törzshálózat: a projektek odaítélése</w:t>
            </w:r>
          </w:p>
        </w:tc>
      </w:tr>
      <w:tr w:rsidR="00D65CB4" w:rsidRPr="00BC4EE7" w14:paraId="3617DEA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D9999CA"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88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8ADC23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C6.I2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D01483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53B7C2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TEN-T hálózat különböző közlekedési módok (vasúti és közúti): a költségvetés részleges odaítélése</w:t>
            </w:r>
          </w:p>
        </w:tc>
      </w:tr>
      <w:tr w:rsidR="00D65CB4" w:rsidRPr="00BC4EE7" w14:paraId="2E06108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CC4B23C"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95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0F6894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C6.I3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CFD4EB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CC0DDB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Intermodális és logisztikai infrastruktúrák: a költségvetés részleges odaítélése </w:t>
            </w:r>
          </w:p>
        </w:tc>
      </w:tr>
      <w:tr w:rsidR="00D65CB4" w:rsidRPr="00BC4EE7" w14:paraId="0288A63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9B56948"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99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F94BF4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C6.I4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87A012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B89DA4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fenntartható és digitális közlekedés programjának támogatása. </w:t>
            </w:r>
          </w:p>
        </w:tc>
      </w:tr>
      <w:tr w:rsidR="00D65CB4" w:rsidRPr="00BC4EE7" w14:paraId="551F9F8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F5DA1E9"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140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619533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C10.I1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49B5C1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728039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Környezetvédelmi, digitális és szociális infrastrukturális projektek támogatása.</w:t>
            </w:r>
          </w:p>
        </w:tc>
      </w:tr>
      <w:tr w:rsidR="00D65CB4" w:rsidRPr="00BC4EE7" w14:paraId="3D16B0E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93739A2"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145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6AADBE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C11.R1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3C34E3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69D56C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40/2015. sz. törvény és a területközi együttműködést erősítő miniszteri rendeletek módosításának hatálybalépése</w:t>
            </w:r>
          </w:p>
        </w:tc>
      </w:tr>
      <w:tr w:rsidR="00D65CB4" w:rsidRPr="00BC4EE7" w14:paraId="737001F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8CCED4"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146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6E7771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C11.R1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8D1035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57A648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törvény hatálybalépése a közpolitikák értékelésének megerősítése érdekében</w:t>
            </w:r>
          </w:p>
        </w:tc>
      </w:tr>
      <w:tr w:rsidR="00D65CB4" w:rsidRPr="00BC4EE7" w14:paraId="10CDB6C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B080FB6"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147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F4F8EC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C11.R1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A2499E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931A68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helyi közigazgatási rendszerekről szóló 7/1985. sz. törvény reformjának hatálybalépése és a helyi önkormányzatok népességi és területi elhatárolásáról szóló rendeletet jóváhagyó, július 11-i 1690/1986. sz. királyi rendelet módosítása</w:t>
            </w:r>
          </w:p>
        </w:tc>
      </w:tr>
      <w:tr w:rsidR="00D65CB4" w:rsidRPr="00BC4EE7" w14:paraId="7719242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EE992D6"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148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1B2EB7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C11.R1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800184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6AF889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államigazgatás közszolgálatára vonatkozó szabályozási intézkedések hatálybalépése</w:t>
            </w:r>
          </w:p>
        </w:tc>
      </w:tr>
      <w:tr w:rsidR="00D65CB4" w:rsidRPr="00BC4EE7" w14:paraId="319CC06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A8C2D88"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152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EBB739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C11.R2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84DBEF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9A31D0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bírósági eljárások hatékonyságát javító királyi törvényerejű rendelet és a digitális hatékonyságról szóló királyi törvényerejű rendelet hatálybalépése</w:t>
            </w:r>
          </w:p>
        </w:tc>
      </w:tr>
      <w:tr w:rsidR="00D65CB4" w:rsidRPr="00BC4EE7" w14:paraId="23C7C83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58EE23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156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58A841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C11.R4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DFB6F0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1E0451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Nemzeti közbeszerzési stratégia</w:t>
            </w:r>
          </w:p>
        </w:tc>
      </w:tr>
      <w:tr w:rsidR="00D65CB4" w:rsidRPr="00BC4EE7" w14:paraId="49C72AB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257E029"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164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03F4F0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7C67F2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507DD7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Elektronikus úton lefolytatandó bírósági eljárás</w:t>
            </w:r>
          </w:p>
        </w:tc>
      </w:tr>
      <w:tr w:rsidR="00D65CB4" w:rsidRPr="00BC4EE7" w14:paraId="6EC9F9A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8BD9ED7"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174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D83967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C11.I5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C2F3C1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B217D2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Új kommunikációs eszközök és tevékenységek</w:t>
            </w:r>
          </w:p>
        </w:tc>
      </w:tr>
      <w:tr w:rsidR="00D65CB4" w:rsidRPr="00BC4EE7" w14:paraId="3DE0152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57AA0DB"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178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C79C5B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C12.R2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6A2638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ED21E4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körforgásos gazdaságra vonatkozó szakpolitikai csomag részét képező jogi aktusok hatálybalépése</w:t>
            </w:r>
          </w:p>
        </w:tc>
      </w:tr>
      <w:tr w:rsidR="00D65CB4" w:rsidRPr="00BC4EE7" w14:paraId="2F2386F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89976E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179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2744D8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C12.R2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2CFB97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60B009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hulladékokról és a szennyezett talajról szóló törvény hatálybalépése </w:t>
            </w:r>
          </w:p>
        </w:tc>
      </w:tr>
      <w:tr w:rsidR="00D65CB4" w:rsidRPr="00BC4EE7" w14:paraId="612894E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0FC815A"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182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1FB1D3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C12.I2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99C46F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B5BF09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PERTE az elektromos járművek területén</w:t>
            </w:r>
          </w:p>
        </w:tc>
      </w:tr>
      <w:tr w:rsidR="00D65CB4" w:rsidRPr="00BC4EE7" w14:paraId="1D07B16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CE67FB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183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BFA3F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C12.I2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001419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B3D62E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PERTE-k a tervben meghatározott stratégiai területeken </w:t>
            </w:r>
          </w:p>
        </w:tc>
      </w:tr>
      <w:tr w:rsidR="00D65CB4" w:rsidRPr="00BC4EE7" w14:paraId="4D06C3E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B2D7776"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184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A4CC8C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C12.I2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EC03FA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055F78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Innovatív projektek az ipar átalakítására az energiahatékonyság, a fenntarthatóság és a digitalizáció tekintetében </w:t>
            </w:r>
          </w:p>
        </w:tc>
      </w:tr>
      <w:tr w:rsidR="00D65CB4" w:rsidRPr="00BC4EE7" w14:paraId="3B0C9B8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7971D90"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191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B55D53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6E13F6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A4B050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vállalkozás-létrehozásról és -növekedésről szóló törvény hatálybalépése</w:t>
            </w:r>
          </w:p>
        </w:tc>
      </w:tr>
      <w:tr w:rsidR="00D65CB4" w:rsidRPr="00BC4EE7" w14:paraId="1F16E36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DB6AC61"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192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400037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F92D52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F085E5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induló vállalkozásokról szóló törvény hatálybalépése</w:t>
            </w:r>
          </w:p>
        </w:tc>
      </w:tr>
      <w:tr w:rsidR="00D65CB4" w:rsidRPr="00BC4EE7" w14:paraId="6B8EDEA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C1FA78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450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56C066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C3F1F2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C9BAED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Spanyolországban tartózkodó külföldiek jogairól és szabadságairól, valamint társadalmi beilleszkedéséről szóló 4/2000. sz. sarkalatos törvény módosításáról szóló, július 26-i 629/2022. sz. királyi rendelet hatálybalépése</w:t>
            </w:r>
          </w:p>
        </w:tc>
      </w:tr>
      <w:tr w:rsidR="00D65CB4" w:rsidRPr="00BC4EE7" w14:paraId="2C6264C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3013649"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200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08C8B9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AD3664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B08D1B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digitális eszköztár program számára elkülönített költségvetés</w:t>
            </w:r>
          </w:p>
        </w:tc>
      </w:tr>
      <w:tr w:rsidR="00D65CB4" w:rsidRPr="00BC4EE7" w14:paraId="6D562E2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5C0CD1B"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201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089621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185120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911722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változtatási program megbízottjai számára lekötött költségvetés</w:t>
            </w:r>
          </w:p>
        </w:tc>
      </w:tr>
      <w:tr w:rsidR="00D65CB4" w:rsidRPr="00BC4EE7" w14:paraId="71FEF5B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E361133"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202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B3E827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81F8D6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D81A75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innovatív üzleti klasztertámogatási programra lekötött költségvetés</w:t>
            </w:r>
          </w:p>
        </w:tc>
      </w:tr>
      <w:tr w:rsidR="00D65CB4" w:rsidRPr="00BC4EE7" w14:paraId="0125BBD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D25B11E"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203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A08AFE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A5203B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766786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digitális innovációs központok program számára lekötött költségvetés</w:t>
            </w:r>
          </w:p>
        </w:tc>
      </w:tr>
      <w:tr w:rsidR="00D65CB4" w:rsidRPr="00BC4EE7" w14:paraId="1B9A0AF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A5132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218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ADDBC4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C14.I1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78BE83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D58329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turisztikai célpontok fenntarthatóságát előmozdító tervek költségvetési odaítélése</w:t>
            </w:r>
          </w:p>
        </w:tc>
      </w:tr>
      <w:tr w:rsidR="00D65CB4" w:rsidRPr="00BC4EE7" w14:paraId="4857B8D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FA3C1C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234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84EE36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C15.R2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576280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0E97C7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26 GHz-es frekvenciasáv kiosztása</w:t>
            </w:r>
          </w:p>
        </w:tc>
      </w:tr>
      <w:tr w:rsidR="00D65CB4" w:rsidRPr="00BC4EE7" w14:paraId="2F36947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85BF0F1"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235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A3734A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C15.R2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2EBC21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982850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Az 5G kiberbiztonságról szóló törvény hatálybalépése </w:t>
            </w:r>
          </w:p>
        </w:tc>
      </w:tr>
      <w:tr w:rsidR="00D65CB4" w:rsidRPr="00BC4EE7" w14:paraId="29F5CC8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BE99BA6"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245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C051F0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C15.I7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B83FC5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174D3F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nemzeti kiberbiztonsági ipart támogató program, a globális biztonsági innovációs program és a kapcsolódó intézkedések elindítása.</w:t>
            </w:r>
          </w:p>
        </w:tc>
      </w:tr>
      <w:tr w:rsidR="00D65CB4" w:rsidRPr="00BC4EE7" w14:paraId="4FBFE52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5B450A7"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247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186E8F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C15.I7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FA329F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18D95F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kiberbiztonsági kapacitások megerősítése és javítása: Kiberbiztonsági segélyvonal</w:t>
            </w:r>
          </w:p>
        </w:tc>
      </w:tr>
      <w:tr w:rsidR="00D65CB4" w:rsidRPr="00BC4EE7" w14:paraId="250C02A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FC73AB7"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259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9242DF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C17.I2.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C04FC8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658BB0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nemzeti tudományos infrastruktúrákat és a spanyol tudományos technológiai és innovációs rendszer kapacitását javító projektek, valamint a nemzetközi szervezetekkel aláírt kétoldalú megállapodások és egyéb eszközök odaítélése az európai és nemzetközi infrastruktúra projektjeinek finanszírozására. </w:t>
            </w:r>
          </w:p>
        </w:tc>
      </w:tr>
      <w:tr w:rsidR="00D65CB4" w:rsidRPr="00BC4EE7" w14:paraId="15E6543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8CE1429"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261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4E846C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C17.I3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DF030F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294149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Új magán-, interdiszciplináris, állami K+F+I projektek odaítélése, koncepciótesztek, nemzetközi versenyfelhívások és a társadalmi kihívásoknak megfelelő, élvonalbeli K+F </w:t>
            </w:r>
          </w:p>
        </w:tc>
      </w:tr>
      <w:tr w:rsidR="00D65CB4" w:rsidRPr="00BC4EE7" w14:paraId="075FD5B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039DC1C"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300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6BDEA0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C20.I3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EC6D4F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CE424A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2020 végéhez képest legalább 50000 új szakképzési férőhely.</w:t>
            </w:r>
          </w:p>
        </w:tc>
      </w:tr>
      <w:tr w:rsidR="00D65CB4" w:rsidRPr="00BC4EE7" w14:paraId="4908B9D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297AC39"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319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FB6C42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C22.R5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18FBD8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267893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általános államigazgatás nem járulékalapú pénzügyi juttatási rendszerének átszervezésére és egyszerűsítésére irányuló terv” című dokumentum közzététele.</w:t>
            </w:r>
          </w:p>
        </w:tc>
      </w:tr>
      <w:tr w:rsidR="00D65CB4" w:rsidRPr="00BC4EE7" w14:paraId="6137034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ECEF872"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335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51E313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C23.R5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252D1F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E4CBE8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foglalkoztatási törvény módosításának hatálybalépése (3/2015. sz. királyi törvényerejű rendelet)</w:t>
            </w:r>
          </w:p>
        </w:tc>
      </w:tr>
      <w:tr w:rsidR="00D65CB4" w:rsidRPr="00BC4EE7" w14:paraId="0D8C5F6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686D0A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337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007B0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C23.R7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67C90E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3CF2A0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43/2006. sz. törvény reformjának hatálybalépése a munkaerő-felvételt ösztönző rendszer egyszerűsítése és hatékonyságának növelése érdekében, figyelembe véve az AIReF ajánlásait</w:t>
            </w:r>
          </w:p>
        </w:tc>
      </w:tr>
      <w:tr w:rsidR="00D65CB4" w:rsidRPr="00BC4EE7" w14:paraId="3F95252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D33EA59"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340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BB2379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C23.R10</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F0A8A5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26A358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nem járulékalapú munkanélküliségi támogatás szabályozásának reformjáról szóló 8/2015. sz. királyi törvényerejű rendelet módosításának hatálybalépése</w:t>
            </w:r>
          </w:p>
        </w:tc>
      </w:tr>
      <w:tr w:rsidR="00D65CB4" w:rsidRPr="00BC4EE7" w14:paraId="1FC884B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7BE6B0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352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F1E09E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C24.R1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E6E822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084554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művész alapszabályának, szponzorálásának és az adókedvezmények rendszerének hatálybalépése.</w:t>
            </w:r>
          </w:p>
        </w:tc>
      </w:tr>
      <w:tr w:rsidR="00D65CB4" w:rsidRPr="00BC4EE7" w14:paraId="150424D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A977CE6"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367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09F746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C26.R1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04135A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0B46E9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sporttörvény hatálybalépése </w:t>
            </w:r>
          </w:p>
        </w:tc>
      </w:tr>
      <w:tr w:rsidR="00D65CB4" w:rsidRPr="00BC4EE7" w14:paraId="03964CE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B05776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377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BC3D3C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C27.R1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2A0A68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821611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adókijátszás és az adócsalás elleni törvény hatásainak időközi értékelése.</w:t>
            </w:r>
          </w:p>
        </w:tc>
      </w:tr>
      <w:tr w:rsidR="00D65CB4" w:rsidRPr="00BC4EE7" w14:paraId="04E54C9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8101CF2"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404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D33352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C29.R3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08AC65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6E8327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Jelentés a zöld költségvetés-tervezés összehangolásáról</w:t>
            </w:r>
          </w:p>
        </w:tc>
      </w:tr>
      <w:tr w:rsidR="00D65CB4" w:rsidRPr="00BC4EE7" w14:paraId="171B8E4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BB8D1CA"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408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C55196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C30.R2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7BCA1B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A93E74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számítási időszak kiigazítása az öregségi nyugdíj kiszámításához </w:t>
            </w:r>
          </w:p>
        </w:tc>
      </w:tr>
      <w:tr w:rsidR="00D65CB4" w:rsidRPr="00BC4EE7" w14:paraId="4A39ECD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72E9975"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409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1C1D88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C30.R2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49D51C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257B7F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fenntarthatósági tényező generációk közötti tőkemechanizmussal való felváltása</w:t>
            </w:r>
          </w:p>
        </w:tc>
      </w:tr>
      <w:tr w:rsidR="00D65CB4" w:rsidRPr="00BC4EE7" w14:paraId="2541642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B404AC7"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410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C81772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C30.R2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DC407B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469432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Aktualizált előrejelzések, amelyek azt mutatják, hogy a 2021-ben és 2022-ben végrehajtott nyugdíjreformok hogyan biztosítják a költségvetés hosszú távú fenntarthatóságát</w:t>
            </w:r>
          </w:p>
        </w:tc>
      </w:tr>
      <w:tr w:rsidR="00D65CB4" w:rsidRPr="00BC4EE7" w14:paraId="4CA8C9B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8AC7FEA"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415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CB419F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C30.R6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455BA8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7E2A38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maximális hozzájárulási alap kiigazítása</w:t>
            </w:r>
          </w:p>
        </w:tc>
      </w:tr>
      <w:tr w:rsidR="00D65CB4" w:rsidRPr="00BC4EE7" w14:paraId="2737D7A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0F630D0" w14:textId="77777777" w:rsidR="00D65CB4" w:rsidRPr="00BC4EE7" w:rsidRDefault="00D65CB4">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FBB6704" w14:textId="77777777" w:rsidR="00D65CB4" w:rsidRPr="00BC4EE7" w:rsidRDefault="00D65CB4">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36BDAEC" w14:textId="2E25C3E9" w:rsidR="00D65CB4" w:rsidRPr="00BC4EE7" w:rsidRDefault="00572307">
            <w:pPr>
              <w:pStyle w:val="P68B1DB1-Normal38"/>
              <w:spacing w:after="0" w:line="240" w:lineRule="auto"/>
              <w:rPr>
                <w:rFonts w:eastAsia="Times New Roman" w:cs="Times New Roman"/>
                <w:noProof/>
              </w:rPr>
            </w:pPr>
            <w:r w:rsidRPr="00BC4EE7">
              <w:rPr>
                <w:rFonts w:cs="Times New Roman"/>
                <w:noProof/>
              </w:rPr>
              <w:t>Részösszeg</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BBA5ABD" w14:textId="722451D9" w:rsidR="00D65CB4" w:rsidRPr="00BC4EE7" w:rsidRDefault="00572307">
            <w:pPr>
              <w:pStyle w:val="P68B1DB1-Normal38"/>
              <w:spacing w:after="0" w:line="240" w:lineRule="auto"/>
              <w:rPr>
                <w:rFonts w:eastAsia="Times New Roman" w:cs="Times New Roman"/>
                <w:noProof/>
              </w:rPr>
            </w:pPr>
            <w:r w:rsidRPr="00BC4EE7">
              <w:rPr>
                <w:rFonts w:cs="Times New Roman"/>
                <w:noProof/>
              </w:rPr>
              <w:t>·EURÓPAI BIZOTTSÁG 11 435 531 581 EUR</w:t>
            </w:r>
          </w:p>
        </w:tc>
      </w:tr>
    </w:tbl>
    <w:p w14:paraId="4C121253" w14:textId="77777777" w:rsidR="00D65CB4" w:rsidRPr="00BC4EE7" w:rsidRDefault="00D65CB4">
      <w:pPr>
        <w:spacing w:before="120" w:after="120" w:line="240" w:lineRule="auto"/>
        <w:jc w:val="both"/>
        <w:rPr>
          <w:rFonts w:ascii="Times New Roman" w:eastAsia="Calibri" w:hAnsi="Times New Roman" w:cs="Times New Roman"/>
          <w:noProof/>
          <w:sz w:val="24"/>
        </w:rPr>
      </w:pPr>
    </w:p>
    <w:p w14:paraId="2968E40E" w14:textId="77777777" w:rsidR="00D65CB4" w:rsidRPr="00BC4EE7" w:rsidRDefault="00D65CB4">
      <w:pPr>
        <w:numPr>
          <w:ilvl w:val="1"/>
          <w:numId w:val="50"/>
        </w:numPr>
        <w:tabs>
          <w:tab w:val="clear" w:pos="6236"/>
          <w:tab w:val="num" w:pos="850"/>
        </w:tabs>
        <w:spacing w:before="120" w:after="120" w:line="240" w:lineRule="auto"/>
        <w:ind w:left="850"/>
        <w:jc w:val="both"/>
        <w:rPr>
          <w:rFonts w:ascii="Times New Roman" w:hAnsi="Times New Roman" w:cs="Times New Roman"/>
          <w:noProof/>
          <w:sz w:val="24"/>
        </w:rPr>
        <w:sectPr w:rsidR="00D65CB4" w:rsidRPr="00BC4EE7" w:rsidSect="00B511EF">
          <w:headerReference w:type="even" r:id="rId622"/>
          <w:headerReference w:type="default" r:id="rId623"/>
          <w:footerReference w:type="even" r:id="rId624"/>
          <w:footerReference w:type="default" r:id="rId625"/>
          <w:headerReference w:type="first" r:id="rId626"/>
          <w:footerReference w:type="first" r:id="rId627"/>
          <w:pgSz w:w="11907" w:h="16839"/>
          <w:pgMar w:top="1134" w:right="1134" w:bottom="1134" w:left="1134" w:header="567" w:footer="567" w:gutter="0"/>
          <w:cols w:space="720"/>
          <w:docGrid w:linePitch="360"/>
        </w:sectPr>
      </w:pPr>
    </w:p>
    <w:p w14:paraId="6C55E346" w14:textId="77777777" w:rsidR="00D65CB4" w:rsidRPr="00BC4EE7" w:rsidRDefault="00572307">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sidRPr="00BC4EE7">
        <w:rPr>
          <w:rFonts w:cs="Times New Roman"/>
          <w:noProof/>
        </w:rPr>
        <w:t xml:space="preserve">Ötödik rész (vissza nem térítendő támogatás): </w:t>
      </w:r>
    </w:p>
    <w:tbl>
      <w:tblPr>
        <w:tblW w:w="9663" w:type="dxa"/>
        <w:tblInd w:w="113" w:type="dxa"/>
        <w:tblLook w:val="04A0" w:firstRow="1" w:lastRow="0" w:firstColumn="1" w:lastColumn="0" w:noHBand="0" w:noVBand="1"/>
      </w:tblPr>
      <w:tblGrid>
        <w:gridCol w:w="1300"/>
        <w:gridCol w:w="1443"/>
        <w:gridCol w:w="1250"/>
        <w:gridCol w:w="5670"/>
      </w:tblGrid>
      <w:tr w:rsidR="00D65CB4" w:rsidRPr="00BC4EE7" w14:paraId="7D39B078" w14:textId="77777777">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35FCEE90" w14:textId="77777777"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Sorszám</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358E726" w14:textId="77777777"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Kapcsolódó intézkedés (reform vagy beruházás)</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4A878AB" w14:textId="6D693DDE"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Mérföldkő/</w:t>
            </w:r>
            <w:r>
              <w:rPr>
                <w:rFonts w:cs="Times New Roman"/>
                <w:noProof/>
              </w:rPr>
              <w:br/>
            </w:r>
            <w:r w:rsidRPr="00BC4EE7">
              <w:rPr>
                <w:rFonts w:cs="Times New Roman"/>
                <w:noProof/>
              </w:rPr>
              <w:t>cél</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0E2A0620" w14:textId="77777777"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Név</w:t>
            </w:r>
          </w:p>
        </w:tc>
      </w:tr>
      <w:tr w:rsidR="00D65CB4" w:rsidRPr="00BC4EE7" w14:paraId="25D26112"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2933EA4D" w14:textId="77777777" w:rsidR="00D65CB4" w:rsidRPr="00BC4EE7" w:rsidRDefault="00D65CB4">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47B04571" w14:textId="77777777" w:rsidR="00D65CB4" w:rsidRPr="00BC4EE7" w:rsidRDefault="00D65CB4">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5064E61A" w14:textId="77777777" w:rsidR="00D65CB4" w:rsidRPr="00BC4EE7" w:rsidRDefault="00D65CB4">
            <w:pPr>
              <w:spacing w:after="0" w:line="240" w:lineRule="auto"/>
              <w:rPr>
                <w:rFonts w:ascii="Times New Roman" w:eastAsia="Times New Roman" w:hAnsi="Times New Roman" w:cs="Times New Roman"/>
                <w:b/>
                <w:noProof/>
                <w:sz w:val="20"/>
              </w:rPr>
            </w:pPr>
          </w:p>
        </w:tc>
        <w:tc>
          <w:tcPr>
            <w:tcW w:w="5670" w:type="dxa"/>
            <w:vMerge/>
            <w:tcBorders>
              <w:top w:val="single" w:sz="4" w:space="0" w:color="auto"/>
              <w:left w:val="nil"/>
              <w:bottom w:val="single" w:sz="4" w:space="0" w:color="000000"/>
              <w:right w:val="single" w:sz="4" w:space="0" w:color="auto"/>
            </w:tcBorders>
            <w:vAlign w:val="center"/>
            <w:hideMark/>
          </w:tcPr>
          <w:p w14:paraId="49DC5C6B" w14:textId="77777777" w:rsidR="00D65CB4" w:rsidRPr="00BC4EE7" w:rsidRDefault="00D65CB4">
            <w:pPr>
              <w:spacing w:after="0" w:line="240" w:lineRule="auto"/>
              <w:rPr>
                <w:rFonts w:ascii="Times New Roman" w:eastAsia="Times New Roman" w:hAnsi="Times New Roman" w:cs="Times New Roman"/>
                <w:b/>
                <w:noProof/>
                <w:sz w:val="20"/>
              </w:rPr>
            </w:pPr>
          </w:p>
        </w:tc>
      </w:tr>
      <w:tr w:rsidR="00D65CB4" w:rsidRPr="00BC4EE7" w14:paraId="73AA3C5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46B816E"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B5130D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4CBF78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FE307A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Az elektromos közlekedést előmozdító innovatív projektek odaítélése </w:t>
            </w:r>
          </w:p>
        </w:tc>
      </w:tr>
      <w:tr w:rsidR="00D65CB4" w:rsidRPr="00BC4EE7" w14:paraId="1C1B533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9A32DB8"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21a.</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41DBB0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39D6E9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9A939C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hosszú távú felújítási stratégia spanyolországi végrehajtásával foglalkozó munkacsoportok ajánlásainak közzététele</w:t>
            </w:r>
          </w:p>
        </w:tc>
      </w:tr>
      <w:tr w:rsidR="00D65CB4" w:rsidRPr="00BC4EE7" w14:paraId="2ADF483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F54A52C"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515F4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5C1F06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C307AA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mezőgazdasági talajok fenntartható táplálkozására vonatkozó normatív keret hatálybalépése.</w:t>
            </w:r>
          </w:p>
        </w:tc>
      </w:tr>
      <w:tr w:rsidR="00D65CB4" w:rsidRPr="00BC4EE7" w14:paraId="28E8C2A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2E1579E"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53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9EB1DB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BE0D79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BBBA65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Mezőgazdasági, Halászati és Élelmiszerügyi Minisztérium (MAPA) és az ENISA közötti szerződéses megállapodások aláírása</w:t>
            </w:r>
          </w:p>
        </w:tc>
      </w:tr>
      <w:tr w:rsidR="00D65CB4" w:rsidRPr="00BC4EE7" w14:paraId="443DE8E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47F535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70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3ADC51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C4.I3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C6EE6E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59E480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Korábbi bányatelepek (legalább 20 korábbi bányatelep) rehabilitációja</w:t>
            </w:r>
          </w:p>
        </w:tc>
      </w:tr>
      <w:tr w:rsidR="00D65CB4" w:rsidRPr="00BC4EE7" w14:paraId="5E40908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61D57F0"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73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EC3607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C4.I4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8596E2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9E2D63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fenntartható erdőgazdálkodással kapcsolatos intézkedések </w:t>
            </w:r>
          </w:p>
        </w:tc>
      </w:tr>
      <w:tr w:rsidR="00D65CB4" w:rsidRPr="00BC4EE7" w14:paraId="49A4601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DF4C296"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75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D9DBE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C5.R1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DD5AD2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9602CD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vízügyi törvény módosításának és az 1620/2007. sz. királyi rendeletet felváltó új rendeletnek a hatálybalépése</w:t>
            </w:r>
          </w:p>
        </w:tc>
      </w:tr>
      <w:tr w:rsidR="00D65CB4" w:rsidRPr="00BC4EE7" w14:paraId="0F253F1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207FA9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76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726878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C5.I1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C2ABAE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E51473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Jobb víz- és szennyvízkezelési infrastruktúrák </w:t>
            </w:r>
          </w:p>
        </w:tc>
      </w:tr>
      <w:tr w:rsidR="00D65CB4" w:rsidRPr="00BC4EE7" w14:paraId="4F2DC99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F29EB1"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109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0BEA26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C7.R2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C69027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38F654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nemzeti önellátási stratégia intézkedéseinek lezárása</w:t>
            </w:r>
          </w:p>
        </w:tc>
      </w:tr>
      <w:tr w:rsidR="00D65CB4" w:rsidRPr="00BC4EE7" w14:paraId="069F938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9B4314"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113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16929F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C7.R4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A7B981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286560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tengeri szélenergiára és egyéb tengeri energiára vonatkozó térképen meghatározott szabályozási intézkedések hatálybalépése</w:t>
            </w:r>
          </w:p>
        </w:tc>
      </w:tr>
      <w:tr w:rsidR="00D65CB4" w:rsidRPr="00BC4EE7" w14:paraId="626A322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2EA757C"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131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7A9E3A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C9.I1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B901E3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2E410E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Kkv-k finanszírozása a hidrogén értékláncának megerősítése érdekében</w:t>
            </w:r>
          </w:p>
        </w:tc>
      </w:tr>
      <w:tr w:rsidR="00D65CB4" w:rsidRPr="00BC4EE7" w14:paraId="72E35EF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121A9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138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493F83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C10.R1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BA52CA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AAE7C4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Az igazságos átmenetre vonatkozó protokollok és a tanácsadó testület </w:t>
            </w:r>
          </w:p>
        </w:tc>
      </w:tr>
      <w:tr w:rsidR="00D65CB4" w:rsidRPr="00BC4EE7" w14:paraId="70D2BAD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7BE8D56"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433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40D5D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C11.R1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6594CE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AE8676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nemzetbiztonsági keret aktualizálása</w:t>
            </w:r>
          </w:p>
        </w:tc>
      </w:tr>
      <w:tr w:rsidR="00D65CB4" w:rsidRPr="00BC4EE7" w14:paraId="275E014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F55E853"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453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DBE907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C15.I7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2BA118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73F6DA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nemzeti kiberbiztonsági ipart támogató program, a globális biztonsági innovációs program és a kapcsolódó intézkedések elindítása.</w:t>
            </w:r>
          </w:p>
        </w:tc>
      </w:tr>
      <w:tr w:rsidR="00D65CB4" w:rsidRPr="00BC4EE7" w14:paraId="604871A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C62B177"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307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13F0B6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C21.R3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AA655B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A328C9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egyetemi rendszerről szóló sarkalatos törvény hatálybalépése</w:t>
            </w:r>
          </w:p>
        </w:tc>
      </w:tr>
      <w:tr w:rsidR="00D65CB4" w:rsidRPr="00BC4EE7" w14:paraId="0EC9061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63D8DC7"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468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274F14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B58C61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7B390D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egyetemi mikrotanúsítványok fejlesztésére vonatkozó cselekvési terv elfogadása</w:t>
            </w:r>
          </w:p>
        </w:tc>
      </w:tr>
      <w:tr w:rsidR="00D65CB4" w:rsidRPr="00BC4EE7" w14:paraId="5C81DA0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0FC573B"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315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BAB645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C22.R2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934A19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327E4C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szociális szolgáltatásokról szóló törvény és a miniszteri rendeletek hatálybalépése</w:t>
            </w:r>
          </w:p>
        </w:tc>
      </w:tr>
      <w:tr w:rsidR="00D65CB4" w:rsidRPr="00BC4EE7" w14:paraId="6E9E7FA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C951520"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316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E5878B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C22.R3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31CDE4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58807C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családi sokszínűségről szóló törvény hatálybalépése</w:t>
            </w:r>
          </w:p>
        </w:tc>
      </w:tr>
      <w:tr w:rsidR="00D65CB4" w:rsidRPr="00BC4EE7" w14:paraId="376139D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9341BE"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321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94DF26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C22.I1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E597E8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A591AA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Szociális Jogokért és a 2030-ig tartó időszakra szóló menetrendért felelős minisztérium által végrehajtott projektek</w:t>
            </w:r>
          </w:p>
        </w:tc>
      </w:tr>
      <w:tr w:rsidR="00D65CB4" w:rsidRPr="00BC4EE7" w14:paraId="7D9C9B8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F3A7AC"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473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974336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C22.I4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9E58A1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5EF04E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Különböző típusú szolgáltatások létrehozása a szexuális erőszak áldozatai számára.</w:t>
            </w:r>
          </w:p>
        </w:tc>
      </w:tr>
      <w:tr w:rsidR="00D65CB4" w:rsidRPr="00BC4EE7" w14:paraId="0F1B3C0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C07D3B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386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35345B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C28.R2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CA5622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FB35D9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Adókedvezmények felülvizsgálata és módosítása</w:t>
            </w:r>
          </w:p>
        </w:tc>
      </w:tr>
      <w:tr w:rsidR="00D65CB4" w:rsidRPr="00BC4EE7" w14:paraId="132D78D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D9E8C1"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388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CC2E74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C28.R3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C2FDE0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36635D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EGSZB ajánlásain alapuló reformok hatálybalépése</w:t>
            </w:r>
          </w:p>
        </w:tc>
      </w:tr>
      <w:tr w:rsidR="00D65CB4" w:rsidRPr="00BC4EE7" w14:paraId="2B777E1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280A45E"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402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C2E9E1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C29.R1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372A59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046E97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kiadások felülvizsgálatának III. szakasza</w:t>
            </w:r>
          </w:p>
        </w:tc>
      </w:tr>
      <w:tr w:rsidR="00D65CB4" w:rsidRPr="00BC4EE7" w14:paraId="23FB34A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7DEAFD1" w14:textId="77777777" w:rsidR="00D65CB4" w:rsidRPr="00BC4EE7" w:rsidRDefault="00D65CB4">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50BE08F" w14:textId="77777777" w:rsidR="00D65CB4" w:rsidRPr="00BC4EE7" w:rsidRDefault="00D65CB4">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3B29CB3" w14:textId="57494339" w:rsidR="00D65CB4" w:rsidRPr="00BC4EE7" w:rsidRDefault="00572307">
            <w:pPr>
              <w:pStyle w:val="P68B1DB1-Normal38"/>
              <w:spacing w:after="0" w:line="240" w:lineRule="auto"/>
              <w:rPr>
                <w:rFonts w:eastAsia="Times New Roman" w:cs="Times New Roman"/>
                <w:noProof/>
              </w:rPr>
            </w:pPr>
            <w:r w:rsidRPr="00BC4EE7">
              <w:rPr>
                <w:rFonts w:cs="Times New Roman"/>
                <w:noProof/>
              </w:rPr>
              <w:t>Részösszeg</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6325533" w14:textId="44A2D6E1" w:rsidR="00D65CB4" w:rsidRPr="00BC4EE7" w:rsidRDefault="00572307">
            <w:pPr>
              <w:pStyle w:val="P68B1DB1-Normal38"/>
              <w:spacing w:after="0" w:line="240" w:lineRule="auto"/>
              <w:rPr>
                <w:rFonts w:eastAsia="Times New Roman" w:cs="Times New Roman"/>
                <w:noProof/>
              </w:rPr>
            </w:pPr>
            <w:r w:rsidRPr="00BC4EE7">
              <w:rPr>
                <w:rFonts w:cs="Times New Roman"/>
                <w:noProof/>
              </w:rPr>
              <w:t>·EURÓPAI BIZOTTSÁG 7 671 001 527 EUR</w:t>
            </w:r>
          </w:p>
        </w:tc>
      </w:tr>
    </w:tbl>
    <w:p w14:paraId="0476ED92" w14:textId="77777777" w:rsidR="00D65CB4" w:rsidRPr="00BC4EE7" w:rsidRDefault="00D65CB4">
      <w:pPr>
        <w:spacing w:before="120" w:after="120" w:line="240" w:lineRule="auto"/>
        <w:jc w:val="both"/>
        <w:rPr>
          <w:rFonts w:ascii="Times New Roman" w:eastAsia="Calibri" w:hAnsi="Times New Roman" w:cs="Times New Roman"/>
          <w:noProof/>
          <w:sz w:val="24"/>
        </w:rPr>
      </w:pPr>
    </w:p>
    <w:p w14:paraId="3801C281" w14:textId="77777777" w:rsidR="00D65CB4" w:rsidRPr="00BC4EE7" w:rsidRDefault="00D65CB4">
      <w:pPr>
        <w:numPr>
          <w:ilvl w:val="1"/>
          <w:numId w:val="50"/>
        </w:numPr>
        <w:tabs>
          <w:tab w:val="clear" w:pos="6236"/>
          <w:tab w:val="num" w:pos="850"/>
        </w:tabs>
        <w:spacing w:before="120" w:after="120" w:line="240" w:lineRule="auto"/>
        <w:ind w:left="850"/>
        <w:jc w:val="both"/>
        <w:rPr>
          <w:rFonts w:ascii="Times New Roman" w:hAnsi="Times New Roman" w:cs="Times New Roman"/>
          <w:noProof/>
          <w:sz w:val="24"/>
        </w:rPr>
        <w:sectPr w:rsidR="00D65CB4" w:rsidRPr="00BC4EE7" w:rsidSect="00B511EF">
          <w:headerReference w:type="even" r:id="rId628"/>
          <w:headerReference w:type="default" r:id="rId629"/>
          <w:footerReference w:type="even" r:id="rId630"/>
          <w:footerReference w:type="default" r:id="rId631"/>
          <w:headerReference w:type="first" r:id="rId632"/>
          <w:footerReference w:type="first" r:id="rId633"/>
          <w:pgSz w:w="11907" w:h="16839"/>
          <w:pgMar w:top="1134" w:right="1134" w:bottom="1134" w:left="1134" w:header="567" w:footer="567" w:gutter="0"/>
          <w:cols w:space="720"/>
          <w:docGrid w:linePitch="360"/>
        </w:sectPr>
      </w:pPr>
    </w:p>
    <w:p w14:paraId="6184B4C8" w14:textId="77777777" w:rsidR="00D65CB4" w:rsidRPr="00BC4EE7" w:rsidRDefault="00572307">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sidRPr="00BC4EE7">
        <w:rPr>
          <w:rFonts w:cs="Times New Roman"/>
          <w:noProof/>
        </w:rPr>
        <w:t xml:space="preserve">Hatodik kifizetés (vissza nem térítendő támogatás): </w:t>
      </w:r>
    </w:p>
    <w:tbl>
      <w:tblPr>
        <w:tblW w:w="9665" w:type="dxa"/>
        <w:tblInd w:w="113" w:type="dxa"/>
        <w:tblLook w:val="04A0" w:firstRow="1" w:lastRow="0" w:firstColumn="1" w:lastColumn="0" w:noHBand="0" w:noVBand="1"/>
      </w:tblPr>
      <w:tblGrid>
        <w:gridCol w:w="1300"/>
        <w:gridCol w:w="1443"/>
        <w:gridCol w:w="1250"/>
        <w:gridCol w:w="5672"/>
      </w:tblGrid>
      <w:tr w:rsidR="00D65CB4" w:rsidRPr="00BC4EE7" w14:paraId="7714E221" w14:textId="77777777">
        <w:trPr>
          <w:trHeight w:val="909"/>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3B184615" w14:textId="77777777" w:rsidR="00D65CB4" w:rsidRPr="00BC4EE7" w:rsidRDefault="00572307">
            <w:pPr>
              <w:pStyle w:val="P68B1DB1-Normal38"/>
              <w:spacing w:after="0" w:line="240" w:lineRule="auto"/>
              <w:jc w:val="center"/>
              <w:rPr>
                <w:rFonts w:eastAsia="Times New Roman" w:cs="Times New Roman"/>
                <w:noProof/>
              </w:rPr>
            </w:pPr>
            <w:bookmarkStart w:id="65" w:name="_Hlk145968623"/>
            <w:r w:rsidRPr="00BC4EE7">
              <w:rPr>
                <w:rFonts w:cs="Times New Roman"/>
                <w:noProof/>
              </w:rPr>
              <w:t>Sorszám</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2D455CE9" w14:textId="77777777"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Kapcsolódó intézkedés (reform vagy beruházás)</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590A22D8" w14:textId="79774F94"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Mérföldkő/</w:t>
            </w:r>
            <w:r>
              <w:rPr>
                <w:rFonts w:cs="Times New Roman"/>
                <w:noProof/>
              </w:rPr>
              <w:br/>
            </w:r>
            <w:r w:rsidRPr="00BC4EE7">
              <w:rPr>
                <w:rFonts w:cs="Times New Roman"/>
                <w:noProof/>
              </w:rPr>
              <w:t>cél</w:t>
            </w:r>
          </w:p>
        </w:tc>
        <w:tc>
          <w:tcPr>
            <w:tcW w:w="5672" w:type="dxa"/>
            <w:vMerge w:val="restart"/>
            <w:tcBorders>
              <w:top w:val="single" w:sz="4" w:space="0" w:color="auto"/>
              <w:left w:val="nil"/>
              <w:bottom w:val="single" w:sz="4" w:space="0" w:color="000000"/>
              <w:right w:val="single" w:sz="4" w:space="0" w:color="auto"/>
            </w:tcBorders>
            <w:shd w:val="clear" w:color="auto" w:fill="BDD7EE"/>
            <w:vAlign w:val="center"/>
            <w:hideMark/>
          </w:tcPr>
          <w:p w14:paraId="74E7AE41" w14:textId="77777777"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Név</w:t>
            </w:r>
          </w:p>
        </w:tc>
      </w:tr>
      <w:tr w:rsidR="00D65CB4" w:rsidRPr="00BC4EE7" w14:paraId="01CB0D0A"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77340931" w14:textId="77777777" w:rsidR="00D65CB4" w:rsidRPr="00BC4EE7" w:rsidRDefault="00D65CB4">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22518AB9" w14:textId="77777777" w:rsidR="00D65CB4" w:rsidRPr="00BC4EE7" w:rsidRDefault="00D65CB4">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2D43A0AB" w14:textId="77777777" w:rsidR="00D65CB4" w:rsidRPr="00BC4EE7" w:rsidRDefault="00D65CB4">
            <w:pPr>
              <w:spacing w:after="0" w:line="240" w:lineRule="auto"/>
              <w:rPr>
                <w:rFonts w:ascii="Times New Roman" w:eastAsia="Times New Roman" w:hAnsi="Times New Roman" w:cs="Times New Roman"/>
                <w:b/>
                <w:noProof/>
                <w:sz w:val="20"/>
              </w:rPr>
            </w:pPr>
          </w:p>
        </w:tc>
        <w:tc>
          <w:tcPr>
            <w:tcW w:w="5672" w:type="dxa"/>
            <w:vMerge/>
            <w:tcBorders>
              <w:top w:val="single" w:sz="4" w:space="0" w:color="auto"/>
              <w:left w:val="nil"/>
              <w:bottom w:val="single" w:sz="4" w:space="0" w:color="000000"/>
              <w:right w:val="single" w:sz="4" w:space="0" w:color="auto"/>
            </w:tcBorders>
            <w:vAlign w:val="center"/>
            <w:hideMark/>
          </w:tcPr>
          <w:p w14:paraId="16778236" w14:textId="77777777" w:rsidR="00D65CB4" w:rsidRPr="00BC4EE7" w:rsidRDefault="00D65CB4">
            <w:pPr>
              <w:spacing w:after="0" w:line="240" w:lineRule="auto"/>
              <w:rPr>
                <w:rFonts w:ascii="Times New Roman" w:eastAsia="Times New Roman" w:hAnsi="Times New Roman" w:cs="Times New Roman"/>
                <w:b/>
                <w:noProof/>
                <w:sz w:val="20"/>
              </w:rPr>
            </w:pPr>
          </w:p>
        </w:tc>
      </w:tr>
      <w:tr w:rsidR="00D65CB4" w:rsidRPr="00BC4EE7" w14:paraId="1F3B0EE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5DC64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18CC06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FBD056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1853B2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Az autonóm közösségek által vásárolt vagy odaítélt, legalább 900 millió EUR összegű költségvetés a fenntartható mobilitás előmozdítása érdekében </w:t>
            </w:r>
          </w:p>
        </w:tc>
      </w:tr>
      <w:bookmarkEnd w:id="65"/>
      <w:tr w:rsidR="00D65CB4" w:rsidRPr="00BC4EE7" w14:paraId="68C38C6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88AE5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995142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3731E54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035532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fenntartható mobilitás előmozdítását célzó, befejezett projektek, többek között városi és nagyvárosi területeken </w:t>
            </w:r>
          </w:p>
        </w:tc>
      </w:tr>
      <w:tr w:rsidR="00D65CB4" w:rsidRPr="00BC4EE7" w14:paraId="2726397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EF379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12</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6433AD2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2D87D96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FAC7C3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Az elektromos járművekre és az elektromos töltőpontokra vonatkozó támogatási kérelmek nyilvántartásba vétele </w:t>
            </w:r>
          </w:p>
        </w:tc>
      </w:tr>
      <w:tr w:rsidR="00D65CB4" w:rsidRPr="00BC4EE7" w14:paraId="05E01A9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77BB9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14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C64412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D24894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DB4384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Rövid távolságú (Cercanías) vasútvonalak </w:t>
            </w:r>
          </w:p>
        </w:tc>
      </w:tr>
      <w:tr w:rsidR="00D65CB4" w:rsidRPr="00BC4EE7" w14:paraId="3C6E396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68029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15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E394E5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77F9C3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5983D2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Az állomások fejlesztése a digitalizációval </w:t>
            </w:r>
          </w:p>
        </w:tc>
      </w:tr>
      <w:tr w:rsidR="00D65CB4" w:rsidRPr="00BC4EE7" w14:paraId="108C70D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9C645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16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69C2C54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0174D4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8FC426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Továbbfejlesztett „Cercanías” állomások </w:t>
            </w:r>
          </w:p>
        </w:tc>
      </w:tr>
      <w:tr w:rsidR="00D65CB4" w:rsidRPr="00BC4EE7" w14:paraId="0A9C021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D0BE0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32</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116933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A1A974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92925C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Lakóépületek és nem lakáscélú épületek felújításának odaítélése, amelyek átlagosan legalább 30%-os primerenergia-kereslet-csökkentést érnek el</w:t>
            </w:r>
          </w:p>
        </w:tc>
      </w:tr>
      <w:tr w:rsidR="00D65CB4" w:rsidRPr="00BC4EE7" w14:paraId="4C35979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09E7C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422</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D0E986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C3.R2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33FAC8E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6FABD1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állatállomány-szállítás biológiai biztonságának javítását célzó rendelet és az antibiotikumok állatfajokban való fenntartható használatára vonatkozó szabályozás hatálybalépése</w:t>
            </w:r>
          </w:p>
        </w:tc>
      </w:tr>
      <w:tr w:rsidR="00D65CB4" w:rsidRPr="00BC4EE7" w14:paraId="0210068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04589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424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4C7543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DF5FCF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0F6AB2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Mezőgazdasági, Halászati és Élelmiszerügyi Minisztérium (MAPA) és a SEIASA közötti megállapodás kiegészítésének végrehajtása az öntözött területek fejlesztésének és fenntarthatóságának támogatása érdekében (II. szakasz)</w:t>
            </w:r>
          </w:p>
        </w:tc>
      </w:tr>
      <w:tr w:rsidR="00D65CB4" w:rsidRPr="00BC4EE7" w14:paraId="48E49AF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D828D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54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6EA37CD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C3.I5</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0FA73C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33810A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Innovatív és digitális üzleti projektek végrehajtásához támogatott agrár-élelmiszeripari kkv-k</w:t>
            </w:r>
          </w:p>
        </w:tc>
      </w:tr>
      <w:tr w:rsidR="00D65CB4" w:rsidRPr="00BC4EE7" w14:paraId="72099B9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19883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58</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3F8C60D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C3.I8</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76B889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364186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Kutatásfejlesztési és innovációs projektek a halászati és akvakultúra-ágazat rezilienciájának és fenntarthatóságának támogatására</w:t>
            </w:r>
          </w:p>
        </w:tc>
      </w:tr>
      <w:tr w:rsidR="00D65CB4" w:rsidRPr="00BC4EE7" w14:paraId="353C04A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A3883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59</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DAE5A9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C3.I9</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4D6F36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544A35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spanyol halászati információs rendszer (SIPE) és a halászati felügyeleti rendszer digitális megerősítése </w:t>
            </w:r>
          </w:p>
        </w:tc>
      </w:tr>
      <w:tr w:rsidR="00D65CB4" w:rsidRPr="00BC4EE7" w14:paraId="08B0262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8C04D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67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8A1809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C4.I2.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6CF29A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47E9F4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Tengeri védett területek </w:t>
            </w:r>
          </w:p>
        </w:tc>
      </w:tr>
      <w:tr w:rsidR="00D65CB4" w:rsidRPr="00BC4EE7" w14:paraId="7318357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B4801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79</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6FA27E4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C5.I3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7D2F25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2A79BF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vízkészletek ismeretének és felhasználásának javítását, valamint az esőzések és más meteorológiai adatok nyomon követését szolgáló eszközök végrehajtására irányuló szerződések odaítélése </w:t>
            </w:r>
          </w:p>
        </w:tc>
      </w:tr>
      <w:tr w:rsidR="00D65CB4" w:rsidRPr="00BC4EE7" w14:paraId="34FE770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CC1B47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81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E35AB6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C5.I4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BFD444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5E31BBC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leromlott területek és ökoszisztémák helyreállítása legalább 100 kilométernyi partvonalon</w:t>
            </w:r>
          </w:p>
        </w:tc>
      </w:tr>
      <w:tr w:rsidR="00D65CB4" w:rsidRPr="00BC4EE7" w14:paraId="7FD3F8F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C7058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106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82CA00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C7.R1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3031F8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9DD74B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További megújulóenergia-termelési kapacitás </w:t>
            </w:r>
          </w:p>
        </w:tc>
      </w:tr>
      <w:tr w:rsidR="00D65CB4" w:rsidRPr="00BC4EE7" w14:paraId="0E82517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03A73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107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6133213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C7.R1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18EA10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57C3D2F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Spanyolországban telepített összesített további megújulóenergia-kapacitás </w:t>
            </w:r>
          </w:p>
        </w:tc>
      </w:tr>
      <w:tr w:rsidR="00D65CB4" w:rsidRPr="00BC4EE7" w14:paraId="0598AAA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7CE6F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114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AB5D20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C7.R4</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C4600E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49E3D0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biogázra vonatkozó ütemtervben meghatározott intézkedések befejezése</w:t>
            </w:r>
          </w:p>
        </w:tc>
      </w:tr>
      <w:tr w:rsidR="00D65CB4" w:rsidRPr="00BC4EE7" w14:paraId="08B7B0E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D6E84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116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6B9B084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C7.I1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35993CA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52B8704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tengeri megújulóenergia-infrastruktúra új projektjei, technológiái vagy létesítményei</w:t>
            </w:r>
          </w:p>
        </w:tc>
      </w:tr>
      <w:tr w:rsidR="00D65CB4" w:rsidRPr="00BC4EE7" w14:paraId="766404C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0968D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118</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608471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C7.I2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269D0E2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235009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Tiszta energiával és intelligens projektekkel foglalkozó hivatal </w:t>
            </w:r>
          </w:p>
        </w:tc>
      </w:tr>
      <w:tr w:rsidR="00D65CB4" w:rsidRPr="00BC4EE7" w14:paraId="2CEF566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175BF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123</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9301CA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C8.R3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5C8DBC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5A3834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rugalmasság és a keresletoldali válasz integrálását célzó szabályozási intézkedések hatálybalépése.</w:t>
            </w:r>
          </w:p>
        </w:tc>
      </w:tr>
      <w:tr w:rsidR="00D65CB4" w:rsidRPr="00BC4EE7" w14:paraId="3D35474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D204E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125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381221A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C8.I1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2AA2C01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0B00ED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Odaítélt innovatív tárolási projektek</w:t>
            </w:r>
          </w:p>
        </w:tc>
      </w:tr>
      <w:tr w:rsidR="00D65CB4" w:rsidRPr="00BC4EE7" w14:paraId="08C2DE5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FD844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127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BC97FA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C8.I2.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C33D36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B431D2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Innovatív digitalizációs projektek a villamosenergia-elosztás terén</w:t>
            </w:r>
          </w:p>
        </w:tc>
      </w:tr>
      <w:tr w:rsidR="00D65CB4" w:rsidRPr="00BC4EE7" w14:paraId="4750A54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D8F38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128</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3C03F4F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C8.I3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ED9568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2DA99F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energetikai átállás új üzleti modelljeinek előmozdítására irányuló projektek</w:t>
            </w:r>
          </w:p>
        </w:tc>
      </w:tr>
      <w:tr w:rsidR="00D65CB4" w:rsidRPr="00BC4EE7" w14:paraId="21CBD92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E0FF2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132</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1A8CEF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C9.I1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41886E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BFC86C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Technológiai fejlődés a megújuló hidrogén értékláncában </w:t>
            </w:r>
          </w:p>
        </w:tc>
      </w:tr>
      <w:tr w:rsidR="00D65CB4" w:rsidRPr="00BC4EE7" w14:paraId="4C420BA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55E0F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133</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DA447F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C9.I1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26A69B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7672D4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Megújulóhidrogén-klaszterek (vagy völgyek)  </w:t>
            </w:r>
          </w:p>
        </w:tc>
      </w:tr>
      <w:tr w:rsidR="00D65CB4" w:rsidRPr="00BC4EE7" w14:paraId="6D1C4A8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C5414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134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665610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C9.I1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A486AD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7387CE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Úttörő hidrogénprojektek  </w:t>
            </w:r>
          </w:p>
        </w:tc>
      </w:tr>
      <w:tr w:rsidR="00D65CB4" w:rsidRPr="00BC4EE7" w14:paraId="050FC56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635DF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135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C1835E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C9.I1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7D7C34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B6BE3D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Vizsgálólétesítmények vagy új gyártósorok.</w:t>
            </w:r>
          </w:p>
        </w:tc>
      </w:tr>
      <w:tr w:rsidR="00D65CB4" w:rsidRPr="00BC4EE7" w14:paraId="1622535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140F2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149</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195264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C11.R1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1E9471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D59B93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új értékelő közjogi szerv alapszabálya</w:t>
            </w:r>
          </w:p>
        </w:tc>
      </w:tr>
      <w:tr w:rsidR="00D65CB4" w:rsidRPr="00BC4EE7" w14:paraId="0EFDFCF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E2D49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437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2037FD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C11.R3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B4C887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21D096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pénzügyi rendszerre vonatkozó, az éghajlatváltozással kapcsolatos kockázatokról szóló kétéves jelentés közzététele és a Fenntartható Pénzügyi Tanács létrehozása</w:t>
            </w:r>
          </w:p>
        </w:tc>
      </w:tr>
      <w:tr w:rsidR="00D65CB4" w:rsidRPr="00BC4EE7" w14:paraId="43CD5C8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DEA66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160</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38A2EEB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C11.I1.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DAC19B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2E63C01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nemzeti közbeszerzési platformok összekapcsolása</w:t>
            </w:r>
          </w:p>
        </w:tc>
      </w:tr>
      <w:tr w:rsidR="00D65CB4" w:rsidRPr="00BC4EE7" w14:paraId="5F5922F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63213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161</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DFD74E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C11.I1.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F7B61F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B693D1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központi közigazgatás digitális átalakítását támogató projektek odaítélése</w:t>
            </w:r>
          </w:p>
        </w:tc>
      </w:tr>
      <w:tr w:rsidR="00D65CB4" w:rsidRPr="00BC4EE7" w14:paraId="710577E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A07EB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163</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D29B91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C11.I2.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4ADE72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E8936B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társadalombiztosítási és egészségügyi adatok cseréjére szolgáló interoperábilis platformok</w:t>
            </w:r>
          </w:p>
        </w:tc>
      </w:tr>
      <w:tr w:rsidR="00D65CB4" w:rsidRPr="00BC4EE7" w14:paraId="336DFC1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D6B0C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165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3C4817C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C11.I2.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34C63A7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3BEA28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központi közigazgatás digitalizációs ösztönző projektjeit támogató projektek odaítélése</w:t>
            </w:r>
          </w:p>
        </w:tc>
      </w:tr>
      <w:tr w:rsidR="00D65CB4" w:rsidRPr="00BC4EE7" w14:paraId="3B7A13D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6C0F0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167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588C31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C11.I3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AB099B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405542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regionális és helyi szervezetek digitalizációja</w:t>
            </w:r>
          </w:p>
        </w:tc>
      </w:tr>
      <w:tr w:rsidR="00D65CB4" w:rsidRPr="00BC4EE7" w14:paraId="6E5E3F8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57F75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176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AB9D04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C12.R1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3578FD2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D95941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iparról szóló törvény hatálybalépése</w:t>
            </w:r>
          </w:p>
        </w:tc>
      </w:tr>
      <w:tr w:rsidR="00D65CB4" w:rsidRPr="00BC4EE7" w14:paraId="7F4ECBD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B7A82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187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0BAF47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C12.I3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F40CB8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23CCB52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hulladékra vonatkozó jogszabályok végrehajtását támogató és a körforgásos gazdaság vállalkozáson belüli előmozdítását célzó projektek lezárása</w:t>
            </w:r>
          </w:p>
        </w:tc>
      </w:tr>
      <w:tr w:rsidR="00D65CB4" w:rsidRPr="00BC4EE7" w14:paraId="6C959CA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F00C0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451</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009E5C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C13.R2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6C09B1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60BC51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vállalkozók támogatásáról és nemzetközivé válásáról szóló, szeptember 27-i 14/2013. sz. törvény módosításának hatálybalépése</w:t>
            </w:r>
          </w:p>
        </w:tc>
      </w:tr>
      <w:tr w:rsidR="00D65CB4" w:rsidRPr="00BC4EE7" w14:paraId="5783867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A6EE6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194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914F9D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4C1F38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2FA7E83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vállalkozói ökoszisztéma fellendítését célzó intézkedések előnyeit élvező felhasználók</w:t>
            </w:r>
          </w:p>
        </w:tc>
      </w:tr>
      <w:tr w:rsidR="00D65CB4" w:rsidRPr="00BC4EE7" w14:paraId="1D2EB2D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C9E42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196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3B41DDF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8EC4E7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C8B75B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CERSA-garancia</w:t>
            </w:r>
          </w:p>
        </w:tc>
      </w:tr>
      <w:tr w:rsidR="00D65CB4" w:rsidRPr="00BC4EE7" w14:paraId="32B34F2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8F83A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198</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3BB45B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26E23F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667AF0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ipari vállalkozástámogatási program által támogatott vállalkozók és kkv-k</w:t>
            </w:r>
          </w:p>
        </w:tc>
      </w:tr>
      <w:tr w:rsidR="00D65CB4" w:rsidRPr="00BC4EE7" w14:paraId="1BFDF0C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F0654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205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86B4EE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27BDFD0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EA0057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változtatási programban részt vevő alkalmazottak költségvetésének végrehajtása</w:t>
            </w:r>
          </w:p>
        </w:tc>
      </w:tr>
      <w:tr w:rsidR="00D65CB4" w:rsidRPr="00BC4EE7" w14:paraId="7EC7526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0BFB7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206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EBB860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B12C85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A9C71D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Az innovatív üzleti klasztertámogatási program költségvetésének végrehajtása </w:t>
            </w:r>
          </w:p>
        </w:tc>
      </w:tr>
      <w:tr w:rsidR="00D65CB4" w:rsidRPr="00BC4EE7" w14:paraId="1B56943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B09CA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207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576495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5E99CC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E303B0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digitális innovációs központok program költségvetésének végrehajtása</w:t>
            </w:r>
          </w:p>
        </w:tc>
      </w:tr>
      <w:tr w:rsidR="00D65CB4" w:rsidRPr="00BC4EE7" w14:paraId="299FB66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805C2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210</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E5BB55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C13.I4</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2F48591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58DBD3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technológiai alapból támogatásban részesült kkv-k és vállalkozói szövetségek</w:t>
            </w:r>
          </w:p>
        </w:tc>
      </w:tr>
      <w:tr w:rsidR="00D65CB4" w:rsidRPr="00BC4EE7" w14:paraId="1751BA0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2455D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219</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FFE188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C14.I1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3200FEB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B397BD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turisztikai célpontok fenntarthatóságát előmozdító tervek költségvetési odaítélése</w:t>
            </w:r>
          </w:p>
        </w:tc>
      </w:tr>
      <w:tr w:rsidR="00D65CB4" w:rsidRPr="00BC4EE7" w14:paraId="6DB9E16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59A7C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236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B86815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C15.I1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21BDC3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1DBF10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Szupergyors széles sávú hálózat kiépítése: díj</w:t>
            </w:r>
          </w:p>
        </w:tc>
      </w:tr>
      <w:tr w:rsidR="00D65CB4" w:rsidRPr="00BC4EE7" w14:paraId="5151DB0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09DB3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246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82B062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C15.I7</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598AD3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D3ABC2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kiberbiztonsági kapacitások megerősítése és javítása: Erőforrások</w:t>
            </w:r>
          </w:p>
        </w:tc>
      </w:tr>
      <w:tr w:rsidR="00D65CB4" w:rsidRPr="00BC4EE7" w14:paraId="18446A3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4D26F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251</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6DC8FC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C16.R1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68461B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FA4971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mesterséges intelligenciával kapcsolatos projektek támogatása </w:t>
            </w:r>
          </w:p>
        </w:tc>
      </w:tr>
      <w:tr w:rsidR="00D65CB4" w:rsidRPr="00BC4EE7" w14:paraId="3B57ABC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AC011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256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8B1ECC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C17.R2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CD45A1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2991041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2021 és 2027 közötti időszakra vonatkozó spanyol tudományos, technológiai és innovációs stratégia félidős értékelése </w:t>
            </w:r>
          </w:p>
        </w:tc>
      </w:tr>
      <w:tr w:rsidR="00D65CB4" w:rsidRPr="00BC4EE7" w14:paraId="7DB24D2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65793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265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8E8D66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C17.I5</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7750A1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01055A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Az innovatív és technológiaalapú vállalatok tőkét kaptak az INNVIERTE program keretében, hogy már korai szakaszban megerősítsék kutatási tevékenységeiket </w:t>
            </w:r>
          </w:p>
        </w:tc>
      </w:tr>
      <w:tr w:rsidR="00D65CB4" w:rsidRPr="00BC4EE7" w14:paraId="594100D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4652B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271</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0E115D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C17.I9</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60EE81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4EB7DA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K+F+Innovációs projektek támogatása az űrrepülés területén, különös tekintettel az alacsony és nulla kibocsátásra  </w:t>
            </w:r>
          </w:p>
        </w:tc>
      </w:tr>
      <w:tr w:rsidR="00D65CB4" w:rsidRPr="00BC4EE7" w14:paraId="35B1026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CAB57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275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49F686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C18.R3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274DB5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580E3FC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nemzeti egészségügyi rendszer méltányosságáról, egyetemességéről és kohéziójáról szóló törvény, valamint a rendkívül összetett ellátás átirányítása és a közös szolgáltatásportfólió növekedése</w:t>
            </w:r>
          </w:p>
        </w:tc>
      </w:tr>
      <w:tr w:rsidR="00D65CB4" w:rsidRPr="00BC4EE7" w14:paraId="37A9E37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B6A6E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276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42DB23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C18.R4</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381A36E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0B916BB" w14:textId="785E86B5" w:rsidR="00D65CB4" w:rsidRPr="00BC4EE7" w:rsidRDefault="00572307">
            <w:pPr>
              <w:pStyle w:val="P68B1DB1-Normal39"/>
              <w:spacing w:after="0" w:line="240" w:lineRule="auto"/>
              <w:rPr>
                <w:rFonts w:eastAsia="Times New Roman" w:cs="Times New Roman"/>
                <w:noProof/>
              </w:rPr>
            </w:pPr>
            <w:r w:rsidRPr="00BC4EE7">
              <w:rPr>
                <w:rFonts w:cs="Times New Roman"/>
                <w:noProof/>
              </w:rPr>
              <w:t>A törvény által előírt egészségügyi szolgálatok személyi állományának keretszabályzatáról szóló törvény, egyéb kiegészítő intézkedések és a szakorvosi képzési rendszer fejlesztése</w:t>
            </w:r>
          </w:p>
        </w:tc>
      </w:tr>
      <w:tr w:rsidR="00D65CB4" w:rsidRPr="00BC4EE7" w14:paraId="256B8A3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883CC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277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4904B0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C18.R5</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2E9B0FE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DBCF76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Az orvosi termékek garanciáiról és racionális használatáról szóló törvény </w:t>
            </w:r>
          </w:p>
        </w:tc>
      </w:tr>
      <w:tr w:rsidR="00D65CB4" w:rsidRPr="00BC4EE7" w14:paraId="49A09F8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A19C5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279</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37F6CEC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C18.I1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268869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EFFE27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Berendezések telepítése/megújítása/bővítése </w:t>
            </w:r>
          </w:p>
        </w:tc>
      </w:tr>
      <w:tr w:rsidR="00D65CB4" w:rsidRPr="00BC4EE7" w14:paraId="016E50E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14571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280</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15D891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C18.I2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C60DD4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B15767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Közegészségügyi kampányok és intézkedések</w:t>
            </w:r>
          </w:p>
        </w:tc>
      </w:tr>
      <w:tr w:rsidR="00D65CB4" w:rsidRPr="00BC4EE7" w14:paraId="57FA99B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22851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282</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75773C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C18.I4</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10285A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58CD531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továbbképzési tervek keretében képzett egészségügyi szakemberek </w:t>
            </w:r>
          </w:p>
        </w:tc>
      </w:tr>
      <w:tr w:rsidR="00D65CB4" w:rsidRPr="00BC4EE7" w14:paraId="2E466AF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E8C5E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283</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3FDB58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C18.I5</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72A61E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FFB7F1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VALTERM ED rendszer és platform a nemzeti egészségügyi rendszer egészségügyi technológiáinak és előnyeinek értékelésére</w:t>
            </w:r>
          </w:p>
        </w:tc>
      </w:tr>
      <w:tr w:rsidR="00D65CB4" w:rsidRPr="00BC4EE7" w14:paraId="3DD0F03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8283F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284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00E36D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C18.I6</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C5B675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9996BF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Az egészségügyi adattava működtetése </w:t>
            </w:r>
          </w:p>
        </w:tc>
      </w:tr>
      <w:tr w:rsidR="00D65CB4" w:rsidRPr="00BC4EE7" w14:paraId="1A979DC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9CABB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286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C73C89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C19.I1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0E25B0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6CA512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polgárok digitális készségekkel kapcsolatos képzése.</w:t>
            </w:r>
          </w:p>
        </w:tc>
      </w:tr>
      <w:tr w:rsidR="00D65CB4" w:rsidRPr="00BC4EE7" w14:paraId="318F3A7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8BEBF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308</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3E9163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C21.I1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005770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2CB4DD0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Költségvetési díj a kisgyermekkori nevelés első ciklusának előmozdítására </w:t>
            </w:r>
          </w:p>
        </w:tc>
      </w:tr>
      <w:tr w:rsidR="00D65CB4" w:rsidRPr="00BC4EE7" w14:paraId="376B6DB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C1DB0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312</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DFCEE3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C21.I4</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B4C91A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37D427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Ösztöndíjak és ösztöndíjak posztdoktori hallgatók, segédprofesszorok és kutatók számára</w:t>
            </w:r>
          </w:p>
        </w:tc>
      </w:tr>
      <w:tr w:rsidR="00D65CB4" w:rsidRPr="00BC4EE7" w14:paraId="3C0DB4C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5D4FA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313</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9C4FC9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C21.I5</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51B785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9E5482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Az egyetemek digitális indexének növelése </w:t>
            </w:r>
          </w:p>
        </w:tc>
      </w:tr>
      <w:tr w:rsidR="00D65CB4" w:rsidRPr="00BC4EE7" w14:paraId="431C5C5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DCB0A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320</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1729EC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C22.R5</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354258D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D57F9F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nem járulékalapú pénzügyi ellátások rendszerének átszervezését és egyszerűsítését célzó jogszabályok hatálybalépése</w:t>
            </w:r>
          </w:p>
        </w:tc>
      </w:tr>
      <w:tr w:rsidR="00D65CB4" w:rsidRPr="00BC4EE7" w14:paraId="68C1CF9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0FE5A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324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6EAF6C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C22.I2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F0A6E2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E30FF5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Speciális technológiai eszközök bevezetése a szociális szolgáltatások információs és irányítási rendszereinek javítása érdekében.</w:t>
            </w:r>
          </w:p>
        </w:tc>
      </w:tr>
      <w:tr w:rsidR="00D65CB4" w:rsidRPr="00BC4EE7" w14:paraId="4D2F185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463CF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341</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79D601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C23.R11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B7B36B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0EF738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állami foglalkoztatási szolgálat korszerűsítésére irányuló szerződések keretében nyújtott szolgáltatások teljesítéséről szóló igazolások</w:t>
            </w:r>
          </w:p>
        </w:tc>
      </w:tr>
      <w:tr w:rsidR="00D65CB4" w:rsidRPr="00BC4EE7" w14:paraId="2B301B3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C4D05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346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37874A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C23.I4</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F2165C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F4AFF4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veszélyeztetett csoportokra, a vállalkozói szellemre és a mikrovállalkozásokra irányuló területi projektek lezárultak, legalább 39000 munkavállaló és 64000 vállalkozás részvételével.</w:t>
            </w:r>
          </w:p>
        </w:tc>
      </w:tr>
      <w:tr w:rsidR="00D65CB4" w:rsidRPr="00BC4EE7" w14:paraId="0767FCD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91C1E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348</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5C8DDD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C23.I5</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5F24A3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B159E5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Képzési tevékenységek az ÁFSZ-ek személyzete számára</w:t>
            </w:r>
          </w:p>
        </w:tc>
      </w:tr>
      <w:tr w:rsidR="00D65CB4" w:rsidRPr="00BC4EE7" w14:paraId="2AB8486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5CB05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353</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6DE584F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C24.R2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92BF57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675A7E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szerzői és szomszédos jogok megerősítését célzó jogalkotási és szabályozási intézkedések hatálybalépése</w:t>
            </w:r>
          </w:p>
        </w:tc>
      </w:tr>
      <w:tr w:rsidR="00D65CB4" w:rsidRPr="00BC4EE7" w14:paraId="1DC6B8E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BE635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354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4F51AB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C24.I1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A0E440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054BC4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kulturális iparágak versenyképességének erősítése </w:t>
            </w:r>
          </w:p>
        </w:tc>
      </w:tr>
      <w:tr w:rsidR="00D65CB4" w:rsidRPr="00BC4EE7" w14:paraId="55BFAE6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AFF44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355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83AD50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C24.I2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40C59C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8DCB2A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előadó- és zeneművészeti infrastruktúra korszerűsítése és fenntartható kezelése</w:t>
            </w:r>
          </w:p>
        </w:tc>
      </w:tr>
      <w:tr w:rsidR="00D65CB4" w:rsidRPr="00BC4EE7" w14:paraId="271FE2D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93770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357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54ACCF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C24.I2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1A6161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BAB566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Könyvtári e-könyvengedélyek</w:t>
            </w:r>
          </w:p>
        </w:tc>
      </w:tr>
      <w:tr w:rsidR="00D65CB4" w:rsidRPr="00BC4EE7" w14:paraId="3327BED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4E88D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359</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8E5143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C24.I2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2745A04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523A2C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kulturális és kreatív kezdeményezések ösztönzése </w:t>
            </w:r>
          </w:p>
        </w:tc>
      </w:tr>
      <w:tr w:rsidR="00D65CB4" w:rsidRPr="00BC4EE7" w14:paraId="02EDE75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D0700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361</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566B26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C24.I3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FD70EE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5863ACE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digitalizáció befejezése és a főbb kulturális szolgáltatások előmozdítása </w:t>
            </w:r>
          </w:p>
        </w:tc>
      </w:tr>
      <w:tr w:rsidR="00D65CB4" w:rsidRPr="00BC4EE7" w14:paraId="1CF326C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D126B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362</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1C6E4B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C24.I3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64228A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31EBAD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bibliográfiai örökség digitalizálásának befejezése </w:t>
            </w:r>
          </w:p>
        </w:tc>
      </w:tr>
      <w:tr w:rsidR="00D65CB4" w:rsidRPr="00BC4EE7" w14:paraId="0453C6C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232AC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365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B2D24F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C25.R1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DF0815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E9F678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 A moziról szóló törvény hatálybalépése. </w:t>
            </w:r>
          </w:p>
        </w:tc>
      </w:tr>
      <w:tr w:rsidR="00D65CB4" w:rsidRPr="00BC4EE7" w14:paraId="08128EB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FD186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366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349F1BE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C25.I1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6FDAAD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5C8F7F4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kkv-k támogatása az audiovizuális ágazatban.</w:t>
            </w:r>
          </w:p>
        </w:tc>
      </w:tr>
      <w:tr w:rsidR="00D65CB4" w:rsidRPr="00BC4EE7" w14:paraId="3D380C4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FA376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368</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C2D6A3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C26.R2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5500E4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B418FD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Az egyes sportfoglalkozások szabályozásáról szóló törvény hatálybalépése </w:t>
            </w:r>
          </w:p>
        </w:tc>
      </w:tr>
      <w:tr w:rsidR="00D65CB4" w:rsidRPr="00BC4EE7" w14:paraId="337BDDF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3C3CE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369</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63F9A22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C26.R3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ACF183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5E0286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sportnak az ülő életmód és az inaktivitás elleni küzdelemre irányuló nemzeti stratégiája</w:t>
            </w:r>
          </w:p>
        </w:tc>
      </w:tr>
      <w:tr w:rsidR="00D65CB4" w:rsidRPr="00BC4EE7" w14:paraId="63AE351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FE92F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371</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E58BF7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C26.I1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DB6C2E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75FDD0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Sportorvosi központok </w:t>
            </w:r>
          </w:p>
        </w:tc>
      </w:tr>
      <w:tr w:rsidR="00D65CB4" w:rsidRPr="00BC4EE7" w14:paraId="4DC1DF3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38C43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375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5CC900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C26.I3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3BD534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5130874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sportra vonatkozó szociális terv intézkedéseinek lezárása</w:t>
            </w:r>
          </w:p>
        </w:tc>
      </w:tr>
      <w:tr w:rsidR="00D65CB4" w:rsidRPr="00BC4EE7" w14:paraId="47BA7F8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9D44E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382</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96A334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C27.R3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A3E1C4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BD0E3A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Négy digitális támogatási platform megvalósítása</w:t>
            </w:r>
          </w:p>
        </w:tc>
      </w:tr>
      <w:tr w:rsidR="00D65CB4" w:rsidRPr="00BC4EE7" w14:paraId="256ED7C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BAE2E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405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49FFD6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C29.R3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8CA374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0B89D1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Jelentés a zöld költségvetés-tervezés összehangolásáról</w:t>
            </w:r>
          </w:p>
        </w:tc>
      </w:tr>
      <w:tr w:rsidR="00D65CB4" w:rsidRPr="00BC4EE7" w14:paraId="75490AE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58495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477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E01EE2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C31.R1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B1A822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2FFAAD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megújulóenergia-termelés és a villamosenergia-hálózati infrastruktúra engedélyezésének javítását célzó reform</w:t>
            </w:r>
          </w:p>
        </w:tc>
      </w:tr>
      <w:tr w:rsidR="00D65CB4" w:rsidRPr="00BC4EE7" w14:paraId="197CC35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555C68" w14:textId="77777777" w:rsidR="00D65CB4" w:rsidRPr="00BC4EE7" w:rsidRDefault="00D65CB4">
            <w:pPr>
              <w:spacing w:after="0" w:line="240" w:lineRule="auto"/>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4C6D7CE" w14:textId="77777777" w:rsidR="00D65CB4" w:rsidRPr="00BC4EE7" w:rsidRDefault="00D65CB4">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B519B07" w14:textId="623FC744" w:rsidR="00D65CB4" w:rsidRPr="00BC4EE7" w:rsidRDefault="00572307">
            <w:pPr>
              <w:pStyle w:val="P68B1DB1-Normal38"/>
              <w:spacing w:after="0" w:line="240" w:lineRule="auto"/>
              <w:rPr>
                <w:rFonts w:eastAsia="Times New Roman" w:cs="Times New Roman"/>
                <w:noProof/>
              </w:rPr>
            </w:pPr>
            <w:r w:rsidRPr="00BC4EE7">
              <w:rPr>
                <w:rFonts w:cs="Times New Roman"/>
                <w:noProof/>
              </w:rPr>
              <w:t>Részösszeg</w:t>
            </w:r>
          </w:p>
        </w:tc>
        <w:tc>
          <w:tcPr>
            <w:tcW w:w="5672" w:type="dxa"/>
            <w:tcBorders>
              <w:top w:val="single" w:sz="4" w:space="0" w:color="auto"/>
              <w:left w:val="nil"/>
              <w:bottom w:val="single" w:sz="4" w:space="0" w:color="auto"/>
              <w:right w:val="single" w:sz="4" w:space="0" w:color="auto"/>
            </w:tcBorders>
            <w:shd w:val="clear" w:color="auto" w:fill="C6EFCE"/>
            <w:noWrap/>
            <w:vAlign w:val="bottom"/>
          </w:tcPr>
          <w:p w14:paraId="64B5474A" w14:textId="55ED68B5" w:rsidR="00D65CB4" w:rsidRPr="00BC4EE7" w:rsidRDefault="00572307">
            <w:pPr>
              <w:pStyle w:val="P68B1DB1-Normal38"/>
              <w:spacing w:after="0" w:line="240" w:lineRule="auto"/>
              <w:rPr>
                <w:rFonts w:eastAsia="Times New Roman" w:cs="Times New Roman"/>
                <w:noProof/>
              </w:rPr>
            </w:pPr>
            <w:r w:rsidRPr="00BC4EE7">
              <w:rPr>
                <w:rFonts w:cs="Times New Roman"/>
                <w:noProof/>
              </w:rPr>
              <w:t>·EURÓPAI BIZOTTSÁG 4 076 613 963 EUR</w:t>
            </w:r>
          </w:p>
        </w:tc>
      </w:tr>
    </w:tbl>
    <w:p w14:paraId="2A6E8E49" w14:textId="77777777" w:rsidR="00D65CB4" w:rsidRPr="00BC4EE7" w:rsidRDefault="00D65CB4">
      <w:pPr>
        <w:spacing w:before="120" w:after="120" w:line="240" w:lineRule="auto"/>
        <w:jc w:val="both"/>
        <w:rPr>
          <w:rFonts w:ascii="Times New Roman" w:eastAsia="Calibri" w:hAnsi="Times New Roman" w:cs="Times New Roman"/>
          <w:noProof/>
          <w:sz w:val="20"/>
        </w:rPr>
      </w:pPr>
    </w:p>
    <w:p w14:paraId="2B82CF9F" w14:textId="77777777" w:rsidR="00D65CB4" w:rsidRPr="00BC4EE7" w:rsidRDefault="00D65CB4">
      <w:pPr>
        <w:numPr>
          <w:ilvl w:val="1"/>
          <w:numId w:val="50"/>
        </w:numPr>
        <w:tabs>
          <w:tab w:val="clear" w:pos="6236"/>
          <w:tab w:val="num" w:pos="850"/>
        </w:tabs>
        <w:spacing w:before="120" w:after="120" w:line="240" w:lineRule="auto"/>
        <w:ind w:left="850"/>
        <w:jc w:val="both"/>
        <w:rPr>
          <w:rFonts w:ascii="Times New Roman" w:hAnsi="Times New Roman" w:cs="Times New Roman"/>
          <w:noProof/>
          <w:sz w:val="24"/>
        </w:rPr>
        <w:sectPr w:rsidR="00D65CB4" w:rsidRPr="00BC4EE7" w:rsidSect="00B511EF">
          <w:headerReference w:type="even" r:id="rId634"/>
          <w:headerReference w:type="default" r:id="rId635"/>
          <w:footerReference w:type="even" r:id="rId636"/>
          <w:footerReference w:type="default" r:id="rId637"/>
          <w:headerReference w:type="first" r:id="rId638"/>
          <w:footerReference w:type="first" r:id="rId639"/>
          <w:pgSz w:w="11907" w:h="16839"/>
          <w:pgMar w:top="1134" w:right="1134" w:bottom="1134" w:left="1134" w:header="567" w:footer="567" w:gutter="0"/>
          <w:cols w:space="720"/>
          <w:docGrid w:linePitch="360"/>
        </w:sectPr>
      </w:pPr>
    </w:p>
    <w:p w14:paraId="6E555F62" w14:textId="77777777" w:rsidR="00D65CB4" w:rsidRPr="00BC4EE7" w:rsidRDefault="00572307">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sidRPr="00BC4EE7">
        <w:rPr>
          <w:rFonts w:cs="Times New Roman"/>
          <w:noProof/>
        </w:rPr>
        <w:t xml:space="preserve">Hetedik részlet (vissza nem térítendő támogatás): </w:t>
      </w:r>
    </w:p>
    <w:tbl>
      <w:tblPr>
        <w:tblW w:w="9697" w:type="dxa"/>
        <w:tblInd w:w="113" w:type="dxa"/>
        <w:tblLook w:val="04A0" w:firstRow="1" w:lastRow="0" w:firstColumn="1" w:lastColumn="0" w:noHBand="0" w:noVBand="1"/>
      </w:tblPr>
      <w:tblGrid>
        <w:gridCol w:w="1300"/>
        <w:gridCol w:w="1443"/>
        <w:gridCol w:w="1250"/>
        <w:gridCol w:w="5704"/>
      </w:tblGrid>
      <w:tr w:rsidR="00D65CB4" w:rsidRPr="00BC4EE7" w14:paraId="65CCA498" w14:textId="77777777">
        <w:trPr>
          <w:trHeight w:val="906"/>
          <w:tblHeader/>
        </w:trPr>
        <w:tc>
          <w:tcPr>
            <w:tcW w:w="130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C391CC6" w14:textId="77777777"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Sorszám</w:t>
            </w:r>
          </w:p>
        </w:tc>
        <w:tc>
          <w:tcPr>
            <w:tcW w:w="144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611C09B" w14:textId="77777777"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Kapcsolódó intézkedés (reform vagy beruházás)</w:t>
            </w:r>
          </w:p>
        </w:tc>
        <w:tc>
          <w:tcPr>
            <w:tcW w:w="125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216CAA2" w14:textId="7199CE6D"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Mérföldkő/</w:t>
            </w:r>
            <w:r>
              <w:rPr>
                <w:rFonts w:cs="Times New Roman"/>
                <w:noProof/>
              </w:rPr>
              <w:br/>
            </w:r>
            <w:r w:rsidRPr="00BC4EE7">
              <w:rPr>
                <w:rFonts w:cs="Times New Roman"/>
                <w:noProof/>
              </w:rPr>
              <w:t>cél</w:t>
            </w:r>
          </w:p>
        </w:tc>
        <w:tc>
          <w:tcPr>
            <w:tcW w:w="5704" w:type="dxa"/>
            <w:vMerge w:val="restart"/>
            <w:tcBorders>
              <w:top w:val="single" w:sz="4" w:space="0" w:color="auto"/>
              <w:left w:val="nil"/>
              <w:bottom w:val="single" w:sz="4" w:space="0" w:color="auto"/>
              <w:right w:val="single" w:sz="4" w:space="0" w:color="auto"/>
            </w:tcBorders>
            <w:shd w:val="clear" w:color="auto" w:fill="BDD7EE"/>
            <w:vAlign w:val="center"/>
            <w:hideMark/>
          </w:tcPr>
          <w:p w14:paraId="7F6877E6" w14:textId="77777777"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Név</w:t>
            </w:r>
          </w:p>
        </w:tc>
      </w:tr>
      <w:tr w:rsidR="00D65CB4" w:rsidRPr="00BC4EE7" w14:paraId="274F07CF" w14:textId="77777777">
        <w:trPr>
          <w:trHeight w:val="509"/>
        </w:trPr>
        <w:tc>
          <w:tcPr>
            <w:tcW w:w="1300" w:type="dxa"/>
            <w:vMerge/>
            <w:tcBorders>
              <w:top w:val="single" w:sz="4" w:space="0" w:color="auto"/>
              <w:left w:val="single" w:sz="4" w:space="0" w:color="auto"/>
              <w:bottom w:val="single" w:sz="4" w:space="0" w:color="auto"/>
              <w:right w:val="single" w:sz="4" w:space="0" w:color="auto"/>
            </w:tcBorders>
            <w:vAlign w:val="center"/>
            <w:hideMark/>
          </w:tcPr>
          <w:p w14:paraId="76D346BD" w14:textId="77777777" w:rsidR="00D65CB4" w:rsidRPr="00BC4EE7" w:rsidRDefault="00D65CB4">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14:paraId="224DB39A" w14:textId="77777777" w:rsidR="00D65CB4" w:rsidRPr="00BC4EE7" w:rsidRDefault="00D65CB4">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19EFE700" w14:textId="77777777" w:rsidR="00D65CB4" w:rsidRPr="00BC4EE7" w:rsidRDefault="00D65CB4">
            <w:pPr>
              <w:spacing w:after="0" w:line="240" w:lineRule="auto"/>
              <w:rPr>
                <w:rFonts w:ascii="Times New Roman" w:eastAsia="Times New Roman" w:hAnsi="Times New Roman" w:cs="Times New Roman"/>
                <w:b/>
                <w:noProof/>
                <w:sz w:val="20"/>
              </w:rPr>
            </w:pPr>
          </w:p>
        </w:tc>
        <w:tc>
          <w:tcPr>
            <w:tcW w:w="5704" w:type="dxa"/>
            <w:vMerge/>
            <w:tcBorders>
              <w:top w:val="single" w:sz="4" w:space="0" w:color="auto"/>
              <w:left w:val="single" w:sz="4" w:space="0" w:color="auto"/>
              <w:bottom w:val="single" w:sz="4" w:space="0" w:color="auto"/>
              <w:right w:val="single" w:sz="4" w:space="0" w:color="auto"/>
            </w:tcBorders>
            <w:vAlign w:val="center"/>
            <w:hideMark/>
          </w:tcPr>
          <w:p w14:paraId="237DAC7D" w14:textId="77777777" w:rsidR="00D65CB4" w:rsidRPr="00BC4EE7" w:rsidRDefault="00D65CB4">
            <w:pPr>
              <w:spacing w:after="0" w:line="240" w:lineRule="auto"/>
              <w:rPr>
                <w:rFonts w:ascii="Times New Roman" w:eastAsia="Times New Roman" w:hAnsi="Times New Roman" w:cs="Times New Roman"/>
                <w:b/>
                <w:noProof/>
                <w:sz w:val="20"/>
              </w:rPr>
            </w:pPr>
          </w:p>
        </w:tc>
      </w:tr>
      <w:tr w:rsidR="00D65CB4" w:rsidRPr="00BC4EE7" w14:paraId="2964FF1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DEB6638"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ABD39E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863184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CA8237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fenntartható mobilitásról szóló törvény elfogadása </w:t>
            </w:r>
          </w:p>
        </w:tc>
      </w:tr>
      <w:tr w:rsidR="00D65CB4" w:rsidRPr="00BC4EE7" w14:paraId="4241E17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68C6947"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3AFABB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55AC2D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5F2E4D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fenntartható mobilitás előmozdítását célzó beszerzésekre fordított vagy az önkormányzatok által odaítélt költségvetés</w:t>
            </w:r>
          </w:p>
        </w:tc>
      </w:tr>
      <w:tr w:rsidR="00D65CB4" w:rsidRPr="00BC4EE7" w14:paraId="4C09296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472CE58"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362F07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5AEFD3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535CD1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Díj az állami közutak mobilitásának új formáit javító projektekben</w:t>
            </w:r>
          </w:p>
        </w:tc>
      </w:tr>
      <w:tr w:rsidR="00D65CB4" w:rsidRPr="00BC4EE7" w14:paraId="32BAE1C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686CDB5"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C8E587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BE3D00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DB0626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rövid távolságú vasútvonalakba történő beruházásokra odaítélt kumulatív költségvetés </w:t>
            </w:r>
          </w:p>
        </w:tc>
      </w:tr>
      <w:tr w:rsidR="00D65CB4" w:rsidRPr="00BC4EE7" w14:paraId="4C83CE9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6756903"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14A756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085C32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69DBDB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Lakóingatlan-felújítási tevékenységek vagy a lakóingatlan-felújítási tevékenységek végrehajtásához nyújtott támogatásról szóló határozatok, amelyek átlagosan legalább 30%-os primerenergia-igény-csökkentést érnek el vagy kívánnak elérni (legalább 160000 egyedi lakásban legalább 231000 intézkedés)</w:t>
            </w:r>
          </w:p>
        </w:tc>
      </w:tr>
      <w:tr w:rsidR="00D65CB4" w:rsidRPr="00BC4EE7" w14:paraId="7C6C85C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798C6F9"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B163C0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F0A0F9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0050A6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Középületek felújításának befejezése, átlagosan legalább 30%-os primerenergia-igény-csökkentéssel (legalább 290 000 m²)</w:t>
            </w:r>
          </w:p>
        </w:tc>
      </w:tr>
      <w:tr w:rsidR="00D65CB4" w:rsidRPr="00BC4EE7" w14:paraId="46F4654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A5603C1"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50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0DAEDB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9DF315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274D3F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Továbbfejlesztett tisztító- és fertőtlenítőközpontok és növényi szaporítóanyag-előállító központok megerősített képzési és biológiai biztonsági rendszerekkel</w:t>
            </w:r>
          </w:p>
        </w:tc>
      </w:tr>
      <w:tr w:rsidR="00D65CB4" w:rsidRPr="00BC4EE7" w14:paraId="1558A95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8DD1CC5"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86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5A5873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C6.I1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A40EDB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7EB9FA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TEN-T törzshálózat: a munka előrehaladása </w:t>
            </w:r>
          </w:p>
        </w:tc>
      </w:tr>
      <w:tr w:rsidR="00D65CB4" w:rsidRPr="00BC4EE7" w14:paraId="6C032F0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565B9D1"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89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A962B6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C6.I2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E0C6CF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DBCB89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Nem törzshálózati TEN-T hálózat: a vasúti munkálatok előrehaladása</w:t>
            </w:r>
          </w:p>
        </w:tc>
      </w:tr>
      <w:tr w:rsidR="00D65CB4" w:rsidRPr="00BC4EE7" w14:paraId="39542FD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312BF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90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671652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C6.I2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7422D4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0D0122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Egységes európai égbolt: az odaítélt projekt és a projektek befejezésének előrehaladása</w:t>
            </w:r>
          </w:p>
        </w:tc>
      </w:tr>
      <w:tr w:rsidR="00D65CB4" w:rsidRPr="00BC4EE7" w14:paraId="03956CA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DBC1941"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91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421BDC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C6.I2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D79B21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40B1E47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Közlekedési, Mobilitásügyi és Városfejlesztési Minisztérium digitalizációja</w:t>
            </w:r>
          </w:p>
        </w:tc>
      </w:tr>
      <w:tr w:rsidR="00D65CB4" w:rsidRPr="00BC4EE7" w14:paraId="73CD546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6757BCA"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96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41AAE4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C6.I3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E9DA97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17B573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Az intermodális és logisztikai infrastruktúra költségvetésének végrehajtása </w:t>
            </w:r>
          </w:p>
        </w:tc>
      </w:tr>
      <w:tr w:rsidR="00D65CB4" w:rsidRPr="00BC4EE7" w14:paraId="236FAA8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2C16EA"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100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77DB0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C6.I4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E1BB64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82D786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Fenntartható és digitális közlekedés: a munkálatok kezdete</w:t>
            </w:r>
          </w:p>
        </w:tc>
      </w:tr>
      <w:tr w:rsidR="00D65CB4" w:rsidRPr="00BC4EE7" w14:paraId="1E9A01F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DEDEAF7"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111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B5BCB1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C7.R3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B8BF90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3DCF46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Energiával kapcsolatos kísérleti projektek lezárása a helyi közösségekben</w:t>
            </w:r>
          </w:p>
        </w:tc>
      </w:tr>
      <w:tr w:rsidR="00D65CB4" w:rsidRPr="00BC4EE7" w14:paraId="6F3B409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54A510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431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F141DE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C10.I1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1CC6AB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A266D4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Környezetvédelmi, digitális és szociális infrastrukturális projektek támogatása</w:t>
            </w:r>
          </w:p>
        </w:tc>
      </w:tr>
      <w:tr w:rsidR="00D65CB4" w:rsidRPr="00BC4EE7" w14:paraId="2615DCF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F29CE1A"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150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1D48EF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C11.R1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27E6E0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750E95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állami foglalkoztatás stabilizálása</w:t>
            </w:r>
          </w:p>
        </w:tc>
      </w:tr>
      <w:tr w:rsidR="00D65CB4" w:rsidRPr="00BC4EE7" w14:paraId="4197D85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FCBE34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432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BDBD17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C11.R1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AFEDF6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ECD35D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Az érdekcsoportok tevékenységeinek átláthatóságáról és integritásáról szóló törvény </w:t>
            </w:r>
          </w:p>
        </w:tc>
      </w:tr>
      <w:tr w:rsidR="00D65CB4" w:rsidRPr="00BC4EE7" w14:paraId="5F2BF65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9527962"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434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C079C4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C11.R2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B02935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CDAC10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szervezeti és eljárási hatékonyságról szóló törvény hatálybalépése</w:t>
            </w:r>
          </w:p>
        </w:tc>
      </w:tr>
      <w:tr w:rsidR="00D65CB4" w:rsidRPr="00BC4EE7" w14:paraId="44B1950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4966EC7"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435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A2495D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C11.R2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895593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548D1D8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védelemhez való jogról szóló törvény hatálybalépése</w:t>
            </w:r>
          </w:p>
        </w:tc>
      </w:tr>
      <w:tr w:rsidR="00D65CB4" w:rsidRPr="00BC4EE7" w14:paraId="74BD08B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BAE61F0"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436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BF029D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C11.R3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781646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9F4F08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ügyfélszolgálatról szóló törvény és a Pénzügyi Ügyfélvédelmi Hatóságot létrehozó törvény hatálybalépése</w:t>
            </w:r>
          </w:p>
        </w:tc>
      </w:tr>
      <w:tr w:rsidR="00D65CB4" w:rsidRPr="00BC4EE7" w14:paraId="2A08DFA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0551B8"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170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E1CBA8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C11.I4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F2C160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95697C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Járművek felújítása a közigazgatásban</w:t>
            </w:r>
          </w:p>
        </w:tc>
      </w:tr>
      <w:tr w:rsidR="00D65CB4" w:rsidRPr="00BC4EE7" w14:paraId="2DBCE79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1797611"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171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BB346F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C11.I4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7B53A1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E8209C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Középületek energetikai felújítása (140 000 m²)</w:t>
            </w:r>
          </w:p>
        </w:tc>
      </w:tr>
      <w:tr w:rsidR="00D65CB4" w:rsidRPr="00BC4EE7" w14:paraId="72B6ED0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30D415B"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185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E910E0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C12.I2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DD532A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70555B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PERTES költségvetésének végrehajtása és az ipar átalakítását célzó innovatív projektek </w:t>
            </w:r>
          </w:p>
        </w:tc>
      </w:tr>
      <w:tr w:rsidR="00D65CB4" w:rsidRPr="00BC4EE7" w14:paraId="2859041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EB1112B"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440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9EC8BC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C12.R2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2BBB74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671D73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hulladékkoordinációs bizottság munkacsoportja a hulladékokról szóló jogszabályoknak való megfelelés nyomon követésével</w:t>
            </w:r>
          </w:p>
        </w:tc>
      </w:tr>
      <w:tr w:rsidR="00D65CB4" w:rsidRPr="00BC4EE7" w14:paraId="3361C54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9FF7E6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442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9A2677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C12.I3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668969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5665F4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hulladékgazdálkodási projektek végrehajtásához nyújtott támogatások elosztása.</w:t>
            </w:r>
          </w:p>
        </w:tc>
      </w:tr>
      <w:tr w:rsidR="00D65CB4" w:rsidRPr="00BC4EE7" w14:paraId="7B4A908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8DA7EF3"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446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1450CA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C12.I5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103AE2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53DB4B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körforgásos gazdaságot támogató támogatási rendszer: A támogatási rendszer létrehozása</w:t>
            </w:r>
          </w:p>
        </w:tc>
      </w:tr>
      <w:tr w:rsidR="00D65CB4" w:rsidRPr="00BC4EE7" w14:paraId="17C0FD6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69809F2"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448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1C2870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C12.I5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EC2994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A7EA65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körforgásos gazdaságot támogató támogatási rendszer: A minisztérium befejezte a beruházást </w:t>
            </w:r>
          </w:p>
        </w:tc>
      </w:tr>
      <w:tr w:rsidR="00D65CB4" w:rsidRPr="00BC4EE7" w14:paraId="5B68DAE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1C6140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448a</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6FC73C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C12.I6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DF20AC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993852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Támogatási program az elektromosjármű-ágazat számára (támogatások): A minisztérium befejezte a beruházást</w:t>
            </w:r>
          </w:p>
        </w:tc>
      </w:tr>
      <w:tr w:rsidR="00D65CB4" w:rsidRPr="00BC4EE7" w14:paraId="330F2B5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A1A0C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448b</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3A3127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C12.I6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20772D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42CC4F6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Támogatási program az elektromosjármű-ágazat számára (támogatások); A támogatási rendszer létrehozása</w:t>
            </w:r>
          </w:p>
        </w:tc>
      </w:tr>
      <w:tr w:rsidR="00D65CB4" w:rsidRPr="00BC4EE7" w14:paraId="753422D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7FD706E"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452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0CF1A0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426783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72DF224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kkv-k finanszírozáshoz való hozzáférésének javítását célzó intézkedések a 2023. március 17-i 6/2023. sz. törvény módosításai révén.</w:t>
            </w:r>
          </w:p>
        </w:tc>
      </w:tr>
      <w:tr w:rsidR="00D65CB4" w:rsidRPr="00BC4EE7" w14:paraId="049603A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C29E7E0"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193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EB15EC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58CFEF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5D1EE07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vállalkozói ökoszisztéma fellendítését célzó intézkedések előnyeit élvező vállalkozók vagy kkv-k</w:t>
            </w:r>
          </w:p>
        </w:tc>
      </w:tr>
      <w:tr w:rsidR="00D65CB4" w:rsidRPr="00BC4EE7" w14:paraId="22DD66F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A180AD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195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765CCA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767F82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AA6FA4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Egyéb tevékenységek terjesztése, kommunikáció és finanszírozás</w:t>
            </w:r>
          </w:p>
        </w:tc>
      </w:tr>
      <w:tr w:rsidR="00D65CB4" w:rsidRPr="00BC4EE7" w14:paraId="0116F93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C3E966"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197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0DDB57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4874DA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5BBCF9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„Kkv-k növekedéséhez szükséges készségek” program által támogatott kkv-k</w:t>
            </w:r>
          </w:p>
        </w:tc>
      </w:tr>
      <w:tr w:rsidR="00D65CB4" w:rsidRPr="00BC4EE7" w14:paraId="229C2A7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962AEE1"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204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9DBE50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3EE031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CF8DF5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digitális eszköztár program által támogatott kkv-k</w:t>
            </w:r>
          </w:p>
        </w:tc>
      </w:tr>
      <w:tr w:rsidR="00D65CB4" w:rsidRPr="00BC4EE7" w14:paraId="3058F70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C1559B7"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211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A1F967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8DB92D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4A9E275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Korszerűsítési intézkedések az önkormányzati piacokon vagy kereskedelmi területeken</w:t>
            </w:r>
          </w:p>
        </w:tc>
      </w:tr>
      <w:tr w:rsidR="00D65CB4" w:rsidRPr="00BC4EE7" w14:paraId="64E44A2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096BA8"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212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473FB0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071093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B7B512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kistelepülések piaci infrastruktúrájának korszerűsítése</w:t>
            </w:r>
          </w:p>
        </w:tc>
      </w:tr>
      <w:tr w:rsidR="00D65CB4" w:rsidRPr="00BC4EE7" w14:paraId="26BEA0A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4FCF0D1"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213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6AF3C1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BA0569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126560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nemzetközivé válásukat támogató projektekben részt vevő vállalatok</w:t>
            </w:r>
          </w:p>
        </w:tc>
      </w:tr>
      <w:tr w:rsidR="00D65CB4" w:rsidRPr="00BC4EE7" w14:paraId="77AB901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A2638A0"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220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7574C0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C14.I1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B0CBD2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2C055E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turisztikai célpontok fenntarthatóságát előmozdító tervek lezárása</w:t>
            </w:r>
          </w:p>
        </w:tc>
      </w:tr>
      <w:tr w:rsidR="00D65CB4" w:rsidRPr="00BC4EE7" w14:paraId="713A70E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BC3F67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225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7D3BFF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C14.I4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179886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7E71DD0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Nagy turista influxusú helyi területeken található kereskedelmi területekre irányuló projektek</w:t>
            </w:r>
          </w:p>
        </w:tc>
      </w:tr>
      <w:tr w:rsidR="00D65CB4" w:rsidRPr="00BC4EE7" w14:paraId="5F56413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A0A097C"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238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E1AC37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C15.I2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3C9C23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E2D6A5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konnektivitás javítása a kulcsfontosságú központokban és ágazatokban </w:t>
            </w:r>
          </w:p>
        </w:tc>
      </w:tr>
      <w:tr w:rsidR="00D65CB4" w:rsidRPr="00BC4EE7" w14:paraId="3703242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B107CC7"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239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28F8EB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C15.I3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862298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58E07C0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Konnektivitási utalványok kkv-k és kiszolgáltatott csoportok számára </w:t>
            </w:r>
          </w:p>
        </w:tc>
      </w:tr>
      <w:tr w:rsidR="00D65CB4" w:rsidRPr="00BC4EE7" w14:paraId="5EEFDB9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E8E1568"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240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BD7DD3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C15.I4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34E8E2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7B03BB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épületek távközlési infrastruktúrájának átalakítása</w:t>
            </w:r>
          </w:p>
        </w:tc>
      </w:tr>
      <w:tr w:rsidR="00D65CB4" w:rsidRPr="00BC4EE7" w14:paraId="5E4A971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2C8BA60"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241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9A2D26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C15.I5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66DEDD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52493A3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határokon átnyúló digitális infrastruktúra fejlesztése: díj</w:t>
            </w:r>
          </w:p>
        </w:tc>
      </w:tr>
      <w:tr w:rsidR="00D65CB4" w:rsidRPr="00BC4EE7" w14:paraId="4A8693A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E93EC2E"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243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BD886D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C15.I6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CB9AFC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7A98948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5G technológia bevezetése: díj</w:t>
            </w:r>
          </w:p>
        </w:tc>
      </w:tr>
      <w:tr w:rsidR="00D65CB4" w:rsidRPr="00BC4EE7" w14:paraId="649C100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DB1F59"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458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C4E5D3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C16.R1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55AF68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DB1447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Szabályozói tesztkörnyezetek és a Mesterséges Intelligencia-megfigyeléssel foglalkozó spanyol ügynökség (AESIA)</w:t>
            </w:r>
          </w:p>
        </w:tc>
      </w:tr>
      <w:tr w:rsidR="00D65CB4" w:rsidRPr="00BC4EE7" w14:paraId="6887505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2208A81"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262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56E512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C17.I3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42C1A4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AF9498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zöld és digitális átálláshoz kapcsolódó, legalább 35%-os K+I projektek jóváhagyása</w:t>
            </w:r>
          </w:p>
        </w:tc>
      </w:tr>
      <w:tr w:rsidR="00D65CB4" w:rsidRPr="00BC4EE7" w14:paraId="1944C86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21A9DE"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263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87E6D1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C17.I4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52BAAC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74265B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tudományos kutatói karrier támogatása ösztöndíjak és támogatások révén </w:t>
            </w:r>
          </w:p>
        </w:tc>
      </w:tr>
      <w:tr w:rsidR="00D65CB4" w:rsidRPr="00BC4EE7" w14:paraId="37C7F26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EC9676A"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266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F9156B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C17.I5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5B8015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F18718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Támogatás a technológiaalapú fiatal cégek számára üzleti tervük folytatásához.</w:t>
            </w:r>
          </w:p>
        </w:tc>
      </w:tr>
      <w:tr w:rsidR="00D65CB4" w:rsidRPr="00BC4EE7" w14:paraId="16E5584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CAA3EC5"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267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A36C2A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C17.I6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1D5D47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344866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nemzeti egészségügyi rendszer stratégiai kapacitásainak megerősítésére és nemzetközivé tételére irányuló projektek, a precíziós, személyre szabott orvoslási stratégiához kapcsolódó projektek, valamint a fejlett terápiákra irányuló köz-magánbefektetési eszközhöz való hozzájárulás.</w:t>
            </w:r>
          </w:p>
        </w:tc>
      </w:tr>
      <w:tr w:rsidR="00D65CB4" w:rsidRPr="00BC4EE7" w14:paraId="4314A8D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778E92B"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461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496121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C17.I9</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C41567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19F308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repülés- és űrkutatási ágazatban kiírt K+F+I pályázati felhívások közzététele. </w:t>
            </w:r>
          </w:p>
        </w:tc>
      </w:tr>
      <w:tr w:rsidR="00D65CB4" w:rsidRPr="00BC4EE7" w14:paraId="5C445A0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A9D3F9B"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287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9DE37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C19.I1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D2B407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F55DE7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digitális képességek fejlesztését célzó intézkedések lezárása</w:t>
            </w:r>
          </w:p>
        </w:tc>
      </w:tr>
      <w:tr w:rsidR="00D65CB4" w:rsidRPr="00BC4EE7" w14:paraId="05B6EE3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53E1CA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293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ADEEEC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C19.I4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57BA25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30F86E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Ösztöndíjprogramok a digitális tehetségek számára </w:t>
            </w:r>
          </w:p>
        </w:tc>
      </w:tr>
      <w:tr w:rsidR="00D65CB4" w:rsidRPr="00BC4EE7" w14:paraId="7E40F47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5DE54FB"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298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6F023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C20.I1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6B47E6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4562E6E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Munkavállalók és munkanélküliek továbbképzésére és átképzésére irányuló moduláris képzések </w:t>
            </w:r>
          </w:p>
        </w:tc>
      </w:tr>
      <w:tr w:rsidR="00D65CB4" w:rsidRPr="00BC4EE7" w14:paraId="5AAAB27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CEEB306"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299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C56BF8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C20.I2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6FE696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91F23B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Szakképzési kiválósági és innovációs központok</w:t>
            </w:r>
          </w:p>
        </w:tc>
      </w:tr>
      <w:tr w:rsidR="00D65CB4" w:rsidRPr="00BC4EE7" w14:paraId="7863A5B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18E8BC0"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467a</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49427E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C20.I2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2CAC87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87A56E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„Vállalkozói” osztálytermek létrehozása</w:t>
            </w:r>
          </w:p>
        </w:tc>
      </w:tr>
      <w:tr w:rsidR="00D65CB4" w:rsidRPr="00BC4EE7" w14:paraId="34CC089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1D85ABC"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467b</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1D934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C20.I2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DA7A80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3E5752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szakképzésben részt vevő tanárok zöld képzéseinek befejezése</w:t>
            </w:r>
          </w:p>
        </w:tc>
      </w:tr>
      <w:tr w:rsidR="00D65CB4" w:rsidRPr="00BC4EE7" w14:paraId="4F20B8C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272AE9A"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301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4A0F55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C20.I3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DF077E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4D33967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Kétnyelvű szakképzési ciklusok </w:t>
            </w:r>
          </w:p>
        </w:tc>
      </w:tr>
      <w:tr w:rsidR="00D65CB4" w:rsidRPr="00BC4EE7" w14:paraId="6478532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55ECC05"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305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0C5A81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C21.R2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9CE771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50BC579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tanárokat az új tanterv végrehajtásában segítő és támogató anyagok, valamint a szakemberek képzése </w:t>
            </w:r>
          </w:p>
        </w:tc>
      </w:tr>
      <w:tr w:rsidR="00D65CB4" w:rsidRPr="00BC4EE7" w14:paraId="7FA7B39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71BEF10"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310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AF337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D5669C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72488F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Az iskolák támogatása a PROA+ program keretében </w:t>
            </w:r>
          </w:p>
        </w:tc>
      </w:tr>
      <w:tr w:rsidR="00D65CB4" w:rsidRPr="00BC4EE7" w14:paraId="6E8AE03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FA085DC"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311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C3C2E2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BC350D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F01AE5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Kísérő és orientációs egységek a kiszolgáltatott helyzetben lévő diákok számára </w:t>
            </w:r>
          </w:p>
        </w:tc>
      </w:tr>
      <w:tr w:rsidR="00D65CB4" w:rsidRPr="00BC4EE7" w14:paraId="2A70EA8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C904FC"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470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AD1116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C22.I1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194D4A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5AE4A9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Bentlakásos, nem lakáscélú és nappali gondozási helyek.  </w:t>
            </w:r>
          </w:p>
        </w:tc>
      </w:tr>
      <w:tr w:rsidR="00D65CB4" w:rsidRPr="00BC4EE7" w14:paraId="3A9D3BB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8E25586"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326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DF7C1A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C22.I3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4CD2AE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DF4278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hozzáférhetőség javítását célzó projektek</w:t>
            </w:r>
          </w:p>
        </w:tc>
      </w:tr>
      <w:tr w:rsidR="00D65CB4" w:rsidRPr="00BC4EE7" w14:paraId="13176E7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D079A04"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327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7AC657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C22.I4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BBC7FA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97A478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szexuális erőszak áldozatainak központjai.</w:t>
            </w:r>
          </w:p>
        </w:tc>
      </w:tr>
      <w:tr w:rsidR="00D65CB4" w:rsidRPr="00BC4EE7" w14:paraId="13BA8C3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4F5DCAC"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347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71F554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C23.I5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8165CE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4CF5FB6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állami pályaorientációs, vállalkozói, támogatási és innovációs központok teljes mértékben működőképesek.</w:t>
            </w:r>
          </w:p>
        </w:tc>
      </w:tr>
      <w:tr w:rsidR="00D65CB4" w:rsidRPr="00BC4EE7" w14:paraId="38B1B11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6A0EB3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351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66DB99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C23.I7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A767AE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7E55B29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minimáljövedelem-rendszerek hatókörének, hatékonyságának és sikerének értékelésére irányuló értékelés</w:t>
            </w:r>
          </w:p>
        </w:tc>
      </w:tr>
      <w:tr w:rsidR="00D65CB4" w:rsidRPr="00BC4EE7" w14:paraId="168043F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E4600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358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B45CD9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C24.I2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FED88F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56ABC3B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Könyvvásárlás könyvtárak számára</w:t>
            </w:r>
          </w:p>
        </w:tc>
      </w:tr>
      <w:tr w:rsidR="00D65CB4" w:rsidRPr="00BC4EE7" w14:paraId="755A2DA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BCE1BA"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476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62C8BD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C25.I1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5FD86D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A2A570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audiovizuális ágazatban működő kkv-kat támogató projektek lezárása</w:t>
            </w:r>
          </w:p>
        </w:tc>
      </w:tr>
      <w:tr w:rsidR="00D65CB4" w:rsidRPr="00BC4EE7" w14:paraId="407FDED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95D4F5"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483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2176F8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81E748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7369E4E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megújuló hidrogénre vonatkozó támogatási rendszer: A minisztérium befejezte a beruházást</w:t>
            </w:r>
          </w:p>
        </w:tc>
      </w:tr>
      <w:tr w:rsidR="00D65CB4" w:rsidRPr="00BC4EE7" w14:paraId="041847B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494C56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480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A66F94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B77183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2E847D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megújuló hidrogénre vonatkozó támogatási rendszer: A rendszer létrehozása</w:t>
            </w:r>
          </w:p>
        </w:tc>
      </w:tr>
      <w:tr w:rsidR="00D65CB4" w:rsidRPr="00BC4EE7" w14:paraId="2D659B6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2830334"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487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71EBAA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0EC886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D3A373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értéklánc támogatási rendszere: A minisztérium befejezte a beruházást</w:t>
            </w:r>
          </w:p>
        </w:tc>
      </w:tr>
      <w:tr w:rsidR="00D65CB4" w:rsidRPr="00BC4EE7" w14:paraId="4AB30BD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E080834"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484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2F6C7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75FCB5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108D3D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értéklánc támogatási rendszere: A rendszer létrehozása</w:t>
            </w:r>
          </w:p>
        </w:tc>
      </w:tr>
      <w:tr w:rsidR="00D65CB4" w:rsidRPr="00BC4EE7" w14:paraId="55E81A3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DAD854"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488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3A9F8E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C31.I4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ABF002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4C75952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villamosenergia-átviteli projektekre vonatkozó kiválasztási kritériumok közzététele</w:t>
            </w:r>
          </w:p>
        </w:tc>
      </w:tr>
      <w:tr w:rsidR="00D65CB4" w:rsidRPr="00BC4EE7" w14:paraId="3CC80EF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4418A8A"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489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16CA79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C31.I4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0658B4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29C99E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támogatott villamosenergia-átviteli projektek listájának elfogadása</w:t>
            </w:r>
          </w:p>
        </w:tc>
      </w:tr>
      <w:tr w:rsidR="00D65CB4" w:rsidRPr="00BC4EE7" w14:paraId="55C0087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1F3562C"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491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F3DCF8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C31.I5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14EEC9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BD8584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Az ipar dekarbonizációjához nyújtott támogatásra vonatkozó felhívások és szabályok közzététele, valamint a vállalatok szén-dioxid-mentesítését ösztönző alap végrehajtásáról szóló tanulmány elkészítése (szén-dioxid-kibocsátási szerződés a különbözetekért) </w:t>
            </w:r>
          </w:p>
        </w:tc>
      </w:tr>
      <w:tr w:rsidR="00D65CB4" w:rsidRPr="00BC4EE7" w14:paraId="3F0B149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3129C0B"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492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BF93CC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C31.I5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39D252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EA8713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Szén-dioxid-mentesítési projektek díjának közzététele </w:t>
            </w:r>
          </w:p>
        </w:tc>
      </w:tr>
      <w:tr w:rsidR="00D65CB4" w:rsidRPr="00BC4EE7" w14:paraId="0C27A44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2253CE"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494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AF5C2F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145D30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EBE78A9" w14:textId="64AB79A7" w:rsidR="00D65CB4" w:rsidRPr="00BC4EE7" w:rsidRDefault="00572307">
            <w:pPr>
              <w:pStyle w:val="P68B1DB1-Normal39"/>
              <w:spacing w:after="0" w:line="240" w:lineRule="auto"/>
              <w:rPr>
                <w:rFonts w:eastAsia="Times New Roman" w:cs="Times New Roman"/>
                <w:noProof/>
              </w:rPr>
            </w:pPr>
            <w:r w:rsidRPr="00BC4EE7">
              <w:rPr>
                <w:rFonts w:cs="Times New Roman"/>
                <w:noProof/>
              </w:rPr>
              <w:t>Az ipari dekarbonizáció támogatási rendszere: A SEPIDES átalakítása közvállalkozássá</w:t>
            </w:r>
          </w:p>
        </w:tc>
      </w:tr>
      <w:tr w:rsidR="00D65CB4" w:rsidRPr="00BC4EE7" w14:paraId="2E0A9EB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7D5995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497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869B51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A551C8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E354E5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ipari dekarbonizáció támogatási rendszere: A minisztérium befejezte a beruházást</w:t>
            </w:r>
          </w:p>
        </w:tc>
      </w:tr>
      <w:tr w:rsidR="00D65CB4" w:rsidRPr="00BC4EE7" w14:paraId="388A29B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877C724"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495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61FA92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7A9781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5B71D1C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ipari dekarbonizáció támogatási rendszere: A rendszer létrehozása</w:t>
            </w:r>
          </w:p>
        </w:tc>
      </w:tr>
      <w:tr w:rsidR="00D65CB4" w:rsidRPr="00BC4EE7" w14:paraId="406E9B7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DC4F64E" w14:textId="77777777" w:rsidR="00D65CB4" w:rsidRPr="00BC4EE7" w:rsidRDefault="00D65CB4">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829E1E2" w14:textId="77777777" w:rsidR="00D65CB4" w:rsidRPr="00BC4EE7" w:rsidRDefault="00D65CB4">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9CB62E1" w14:textId="75F85337" w:rsidR="00D65CB4" w:rsidRPr="00BC4EE7" w:rsidRDefault="00572307">
            <w:pPr>
              <w:pStyle w:val="P68B1DB1-Normal38"/>
              <w:spacing w:after="0" w:line="240" w:lineRule="auto"/>
              <w:rPr>
                <w:rFonts w:eastAsia="Times New Roman" w:cs="Times New Roman"/>
                <w:noProof/>
              </w:rPr>
            </w:pPr>
            <w:r w:rsidRPr="00BC4EE7">
              <w:rPr>
                <w:rFonts w:cs="Times New Roman"/>
                <w:noProof/>
              </w:rPr>
              <w:t>Részösszeg</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A9D5264" w14:textId="7771AB70" w:rsidR="00D65CB4" w:rsidRPr="00BC4EE7" w:rsidRDefault="00572307">
            <w:pPr>
              <w:pStyle w:val="P68B1DB1-Normal38"/>
              <w:spacing w:after="0" w:line="240" w:lineRule="auto"/>
              <w:rPr>
                <w:rFonts w:eastAsia="Times New Roman" w:cs="Times New Roman"/>
                <w:noProof/>
              </w:rPr>
            </w:pPr>
            <w:r w:rsidRPr="00BC4EE7">
              <w:rPr>
                <w:rFonts w:cs="Times New Roman"/>
                <w:noProof/>
              </w:rPr>
              <w:t>·EURÓPAI BIZOTTSÁG 10 261 710 743 EUR</w:t>
            </w:r>
          </w:p>
        </w:tc>
      </w:tr>
    </w:tbl>
    <w:p w14:paraId="2A4D388A" w14:textId="77777777" w:rsidR="00D65CB4" w:rsidRPr="00BC4EE7" w:rsidRDefault="00D65CB4">
      <w:pPr>
        <w:spacing w:before="120" w:after="120" w:line="240" w:lineRule="auto"/>
        <w:jc w:val="both"/>
        <w:rPr>
          <w:rFonts w:ascii="Times New Roman" w:eastAsia="Calibri" w:hAnsi="Times New Roman" w:cs="Times New Roman"/>
          <w:noProof/>
          <w:sz w:val="24"/>
        </w:rPr>
      </w:pPr>
    </w:p>
    <w:p w14:paraId="6F7EC66B" w14:textId="77777777" w:rsidR="00D65CB4" w:rsidRPr="00BC4EE7" w:rsidRDefault="00572307">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sidRPr="00BC4EE7">
        <w:rPr>
          <w:rFonts w:cs="Times New Roman"/>
          <w:noProof/>
        </w:rPr>
        <w:t xml:space="preserve">Nyolcadik részlet (vissza nem térítendő támogatás): </w:t>
      </w:r>
    </w:p>
    <w:tbl>
      <w:tblPr>
        <w:tblW w:w="9663" w:type="dxa"/>
        <w:tblInd w:w="113" w:type="dxa"/>
        <w:tblLook w:val="04A0" w:firstRow="1" w:lastRow="0" w:firstColumn="1" w:lastColumn="0" w:noHBand="0" w:noVBand="1"/>
      </w:tblPr>
      <w:tblGrid>
        <w:gridCol w:w="1300"/>
        <w:gridCol w:w="1443"/>
        <w:gridCol w:w="1250"/>
        <w:gridCol w:w="5670"/>
      </w:tblGrid>
      <w:tr w:rsidR="00D65CB4" w:rsidRPr="00BC4EE7" w14:paraId="37E5C586" w14:textId="77777777">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6D8EF13A" w14:textId="77777777"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Sorszám</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1FC92FBD" w14:textId="77777777"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Kapcsolódó intézkedés (reform vagy beruházás)</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04392E45" w14:textId="4096BB3C"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Mérföldkő/</w:t>
            </w:r>
            <w:r>
              <w:rPr>
                <w:rFonts w:cs="Times New Roman"/>
                <w:noProof/>
              </w:rPr>
              <w:br/>
            </w:r>
            <w:r w:rsidRPr="00BC4EE7">
              <w:rPr>
                <w:rFonts w:cs="Times New Roman"/>
                <w:noProof/>
              </w:rPr>
              <w:t>cél</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20B0C0EB" w14:textId="77777777"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Név</w:t>
            </w:r>
          </w:p>
        </w:tc>
      </w:tr>
      <w:tr w:rsidR="00D65CB4" w:rsidRPr="00BC4EE7" w14:paraId="2D2586AB"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04D76A78" w14:textId="77777777" w:rsidR="00D65CB4" w:rsidRPr="00BC4EE7" w:rsidRDefault="00D65CB4">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571C2754" w14:textId="77777777" w:rsidR="00D65CB4" w:rsidRPr="00BC4EE7" w:rsidRDefault="00D65CB4">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6E1DA205" w14:textId="77777777" w:rsidR="00D65CB4" w:rsidRPr="00BC4EE7" w:rsidRDefault="00D65CB4">
            <w:pPr>
              <w:spacing w:after="0" w:line="240" w:lineRule="auto"/>
              <w:rPr>
                <w:rFonts w:ascii="Times New Roman" w:eastAsia="Times New Roman" w:hAnsi="Times New Roman" w:cs="Times New Roman"/>
                <w:b/>
                <w:noProof/>
                <w:sz w:val="20"/>
              </w:rPr>
            </w:pPr>
          </w:p>
        </w:tc>
        <w:tc>
          <w:tcPr>
            <w:tcW w:w="5670" w:type="dxa"/>
            <w:vMerge/>
            <w:tcBorders>
              <w:top w:val="single" w:sz="4" w:space="0" w:color="auto"/>
              <w:left w:val="nil"/>
              <w:bottom w:val="single" w:sz="4" w:space="0" w:color="000000"/>
              <w:right w:val="single" w:sz="4" w:space="0" w:color="auto"/>
            </w:tcBorders>
            <w:vAlign w:val="center"/>
            <w:hideMark/>
          </w:tcPr>
          <w:p w14:paraId="01DD9839" w14:textId="77777777" w:rsidR="00D65CB4" w:rsidRPr="00BC4EE7" w:rsidRDefault="00D65CB4">
            <w:pPr>
              <w:spacing w:after="0" w:line="240" w:lineRule="auto"/>
              <w:rPr>
                <w:rFonts w:ascii="Times New Roman" w:eastAsia="Times New Roman" w:hAnsi="Times New Roman" w:cs="Times New Roman"/>
                <w:b/>
                <w:noProof/>
                <w:sz w:val="20"/>
              </w:rPr>
            </w:pPr>
          </w:p>
        </w:tc>
      </w:tr>
      <w:tr w:rsidR="00D65CB4" w:rsidRPr="00BC4EE7" w14:paraId="1B2C905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AC1E4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421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1321B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201A76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480C5A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3. szintű biológiai biztonsági laboratórium és egy nemzeti növény-egészségügyi laboratórium építésének befejezése.</w:t>
            </w:r>
          </w:p>
        </w:tc>
      </w:tr>
      <w:tr w:rsidR="00D65CB4" w:rsidRPr="00BC4EE7" w14:paraId="6207687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2CBE3AB"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78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2E9E23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C5.I2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197988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FC2DF9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víztartó rétegekből kivont víz mennyiségének csökkenése </w:t>
            </w:r>
          </w:p>
        </w:tc>
      </w:tr>
      <w:tr w:rsidR="00D65CB4" w:rsidRPr="00BC4EE7" w14:paraId="4E4F040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3F5158"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168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20704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880A01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98BABE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regionális és helyi közigazgatások, valamint a Területpolitikai és Közigazgatási Minisztérium digitális átalakulását támogató projektek odaítélése</w:t>
            </w:r>
          </w:p>
        </w:tc>
      </w:tr>
      <w:tr w:rsidR="00D65CB4" w:rsidRPr="00BC4EE7" w14:paraId="23190C3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8596597"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444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89B39C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C12.I4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604850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670091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PERTE CHIP. A félvezetők értékláncának megerősítése. </w:t>
            </w:r>
          </w:p>
        </w:tc>
      </w:tr>
      <w:tr w:rsidR="00D65CB4" w:rsidRPr="00BC4EE7" w14:paraId="079D113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2F5C264"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222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92F433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C14.I2.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53209A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BA9AEA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idegenforgalmi ágazat intelligens úticél-platformjának elindítása.</w:t>
            </w:r>
          </w:p>
        </w:tc>
      </w:tr>
      <w:tr w:rsidR="00D65CB4" w:rsidRPr="00BC4EE7" w14:paraId="28B0EC9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FAAEDDC"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223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B73DA3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C14.I2.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686C91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BDD6D2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mesterséges intelligenciához és más alaptechnológiákhoz kapcsolódó innovatív technológiaalapú projektek kedvezményezettjei</w:t>
            </w:r>
          </w:p>
        </w:tc>
      </w:tr>
      <w:tr w:rsidR="00D65CB4" w:rsidRPr="00BC4EE7" w14:paraId="694246F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671806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224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B589D1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C14.I3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18EED0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328A4A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Kedvezményezettek a félszigeten kívüli régiókban, amelyek a versenyképességük és a nemzetközi piacok változásaihoz való alkalmazkodási képességük javítására irányuló projekteket hajtottak végre</w:t>
            </w:r>
          </w:p>
        </w:tc>
      </w:tr>
      <w:tr w:rsidR="00D65CB4" w:rsidRPr="00BC4EE7" w14:paraId="7CF46D8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EA9E5A0"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226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6DAE7D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C14.I4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6FC1BB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0BFE65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Turisztikai termékek az idegenforgalmi stratégiával összhangban </w:t>
            </w:r>
          </w:p>
        </w:tc>
      </w:tr>
      <w:tr w:rsidR="00D65CB4" w:rsidRPr="00BC4EE7" w14:paraId="6E47BCE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81B7AD0"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227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43473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C14.I4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D0FF80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8AADF5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éves hulladék- vagy energiafogyasztásukat csökkentő turisztikai létesítmények</w:t>
            </w:r>
          </w:p>
        </w:tc>
      </w:tr>
      <w:tr w:rsidR="00D65CB4" w:rsidRPr="00BC4EE7" w14:paraId="00F702C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2642F4"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454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3E3797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C15.I8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8B7702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05611D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PERTE CHIP. A tudományos kapacitások, a tervezés és az innovatív gyártás megerősítése: díj</w:t>
            </w:r>
          </w:p>
        </w:tc>
      </w:tr>
      <w:tr w:rsidR="00D65CB4" w:rsidRPr="00BC4EE7" w14:paraId="4F27E48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326370"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322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B1D8B0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C22.I1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76C5C3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319C85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Otthoni távgondozási szolgáltatások az autonómiával és gondozással foglalkozó rendszerben (SAAD) </w:t>
            </w:r>
          </w:p>
        </w:tc>
      </w:tr>
      <w:tr w:rsidR="00D65CB4" w:rsidRPr="00BC4EE7" w14:paraId="2BD0854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8772C51"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349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EEC036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F4A85E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9004E8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szociális gazdasággal kapcsolatos projektek lezárultak</w:t>
            </w:r>
          </w:p>
        </w:tc>
      </w:tr>
      <w:tr w:rsidR="00D65CB4" w:rsidRPr="00BC4EE7" w14:paraId="26AB80C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996BE06"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481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704F15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3AAF4D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07EAC79" w14:textId="380AEDAC"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megújuló hidrogénre vonatkozó támogatási rendszer: A végső kedvezményezettekkel aláírt jogi megállapodások vagy közzétett végleges odaítélési határozatok (I) </w:t>
            </w:r>
          </w:p>
        </w:tc>
      </w:tr>
      <w:tr w:rsidR="00D65CB4" w:rsidRPr="00BC4EE7" w14:paraId="3EAB09A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C788F44"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485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81CDAE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6078AE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A692486" w14:textId="01CAB80E" w:rsidR="00D65CB4" w:rsidRPr="00BC4EE7" w:rsidRDefault="00572307">
            <w:pPr>
              <w:pStyle w:val="P68B1DB1-Normal39"/>
              <w:spacing w:after="0" w:line="240" w:lineRule="auto"/>
              <w:rPr>
                <w:rFonts w:eastAsia="Times New Roman" w:cs="Times New Roman"/>
                <w:noProof/>
              </w:rPr>
            </w:pPr>
            <w:r w:rsidRPr="00BC4EE7">
              <w:rPr>
                <w:rFonts w:cs="Times New Roman"/>
                <w:noProof/>
              </w:rPr>
              <w:t>Az értéklánc támogatási rendszere: A végső kedvezményezettekkel aláírt jogi megállapodások vagy közzétett végleges odaítélési határozatok (I)</w:t>
            </w:r>
          </w:p>
        </w:tc>
      </w:tr>
      <w:tr w:rsidR="00D65CB4" w:rsidRPr="00BC4EE7" w14:paraId="59EB80E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EE2EAFE" w14:textId="77777777" w:rsidR="00D65CB4" w:rsidRPr="00BC4EE7" w:rsidRDefault="00D65CB4">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25DDAA8" w14:textId="77777777" w:rsidR="00D65CB4" w:rsidRPr="00BC4EE7" w:rsidRDefault="00D65CB4">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59A2458" w14:textId="5E36F691" w:rsidR="00D65CB4" w:rsidRPr="00BC4EE7" w:rsidRDefault="00572307">
            <w:pPr>
              <w:pStyle w:val="P68B1DB1-Normal38"/>
              <w:spacing w:after="0" w:line="240" w:lineRule="auto"/>
              <w:rPr>
                <w:rFonts w:eastAsia="Times New Roman" w:cs="Times New Roman"/>
                <w:noProof/>
              </w:rPr>
            </w:pPr>
            <w:r w:rsidRPr="00BC4EE7">
              <w:rPr>
                <w:rFonts w:cs="Times New Roman"/>
                <w:noProof/>
              </w:rPr>
              <w:t>Részösszeg</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570F81F" w14:textId="4349DCD0" w:rsidR="00D65CB4" w:rsidRPr="00BC4EE7" w:rsidRDefault="00572307">
            <w:pPr>
              <w:pStyle w:val="P68B1DB1-Normal38"/>
              <w:spacing w:after="0" w:line="240" w:lineRule="auto"/>
              <w:rPr>
                <w:rFonts w:eastAsia="Times New Roman" w:cs="Times New Roman"/>
                <w:noProof/>
              </w:rPr>
            </w:pPr>
            <w:r w:rsidRPr="00BC4EE7">
              <w:rPr>
                <w:rFonts w:cs="Times New Roman"/>
                <w:noProof/>
              </w:rPr>
              <w:t>·EURÓPAI BIZOTTSÁG 573 787 087 EUR</w:t>
            </w:r>
          </w:p>
        </w:tc>
      </w:tr>
    </w:tbl>
    <w:p w14:paraId="718EA2A7" w14:textId="77777777" w:rsidR="00D65CB4" w:rsidRPr="00BC4EE7" w:rsidRDefault="00D65CB4">
      <w:pPr>
        <w:spacing w:before="120" w:after="120" w:line="240" w:lineRule="auto"/>
        <w:jc w:val="both"/>
        <w:rPr>
          <w:rFonts w:ascii="Times New Roman" w:eastAsia="Calibri" w:hAnsi="Times New Roman" w:cs="Times New Roman"/>
          <w:noProof/>
          <w:sz w:val="24"/>
        </w:rPr>
      </w:pPr>
    </w:p>
    <w:p w14:paraId="0802D0D7" w14:textId="77777777" w:rsidR="00D65CB4" w:rsidRPr="00BC4EE7" w:rsidRDefault="00572307">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sidRPr="00BC4EE7">
        <w:rPr>
          <w:rFonts w:cs="Times New Roman"/>
          <w:noProof/>
        </w:rPr>
        <w:t xml:space="preserve">Kilencedik kifizetés (vissza nem térítendő támogatás): </w:t>
      </w:r>
    </w:p>
    <w:tbl>
      <w:tblPr>
        <w:tblW w:w="9605" w:type="dxa"/>
        <w:tblInd w:w="113" w:type="dxa"/>
        <w:tblLook w:val="04A0" w:firstRow="1" w:lastRow="0" w:firstColumn="1" w:lastColumn="0" w:noHBand="0" w:noVBand="1"/>
      </w:tblPr>
      <w:tblGrid>
        <w:gridCol w:w="1300"/>
        <w:gridCol w:w="1443"/>
        <w:gridCol w:w="1250"/>
        <w:gridCol w:w="5612"/>
      </w:tblGrid>
      <w:tr w:rsidR="00D65CB4" w:rsidRPr="00BC4EE7" w14:paraId="5CE0D0D8" w14:textId="77777777">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6F12786F" w14:textId="77777777"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Sorszám</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32A31A3C" w14:textId="77777777"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Kapcsolódó intézkedés (reform vagy beruházás)</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36323675" w14:textId="34911F70"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Mérföldkő/</w:t>
            </w:r>
            <w:r>
              <w:rPr>
                <w:rFonts w:cs="Times New Roman"/>
                <w:noProof/>
              </w:rPr>
              <w:br/>
            </w:r>
            <w:r w:rsidRPr="00BC4EE7">
              <w:rPr>
                <w:rFonts w:cs="Times New Roman"/>
                <w:noProof/>
              </w:rPr>
              <w:t>cél</w:t>
            </w:r>
          </w:p>
        </w:tc>
        <w:tc>
          <w:tcPr>
            <w:tcW w:w="5612" w:type="dxa"/>
            <w:vMerge w:val="restart"/>
            <w:tcBorders>
              <w:top w:val="single" w:sz="4" w:space="0" w:color="auto"/>
              <w:left w:val="nil"/>
              <w:bottom w:val="single" w:sz="4" w:space="0" w:color="000000"/>
              <w:right w:val="single" w:sz="4" w:space="0" w:color="auto"/>
            </w:tcBorders>
            <w:shd w:val="clear" w:color="auto" w:fill="BDD7EE"/>
            <w:vAlign w:val="center"/>
            <w:hideMark/>
          </w:tcPr>
          <w:p w14:paraId="3F5FE4FF" w14:textId="77777777"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Név</w:t>
            </w:r>
          </w:p>
        </w:tc>
      </w:tr>
      <w:tr w:rsidR="00D65CB4" w:rsidRPr="00BC4EE7" w14:paraId="2D9C9877"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37B8CFE0" w14:textId="77777777" w:rsidR="00D65CB4" w:rsidRPr="00BC4EE7" w:rsidRDefault="00D65CB4">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480BA34F" w14:textId="77777777" w:rsidR="00D65CB4" w:rsidRPr="00BC4EE7" w:rsidRDefault="00D65CB4">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0184ECDD" w14:textId="77777777" w:rsidR="00D65CB4" w:rsidRPr="00BC4EE7" w:rsidRDefault="00D65CB4">
            <w:pPr>
              <w:spacing w:after="0" w:line="240" w:lineRule="auto"/>
              <w:rPr>
                <w:rFonts w:ascii="Times New Roman" w:eastAsia="Times New Roman" w:hAnsi="Times New Roman" w:cs="Times New Roman"/>
                <w:b/>
                <w:noProof/>
                <w:sz w:val="20"/>
              </w:rPr>
            </w:pPr>
          </w:p>
        </w:tc>
        <w:tc>
          <w:tcPr>
            <w:tcW w:w="5612" w:type="dxa"/>
            <w:vMerge/>
            <w:tcBorders>
              <w:top w:val="single" w:sz="4" w:space="0" w:color="auto"/>
              <w:left w:val="nil"/>
              <w:bottom w:val="single" w:sz="4" w:space="0" w:color="000000"/>
              <w:right w:val="single" w:sz="4" w:space="0" w:color="auto"/>
            </w:tcBorders>
            <w:vAlign w:val="center"/>
            <w:hideMark/>
          </w:tcPr>
          <w:p w14:paraId="637F819F" w14:textId="77777777" w:rsidR="00D65CB4" w:rsidRPr="00BC4EE7" w:rsidRDefault="00D65CB4">
            <w:pPr>
              <w:spacing w:after="0" w:line="240" w:lineRule="auto"/>
              <w:rPr>
                <w:rFonts w:ascii="Times New Roman" w:eastAsia="Times New Roman" w:hAnsi="Times New Roman" w:cs="Times New Roman"/>
                <w:b/>
                <w:noProof/>
                <w:sz w:val="20"/>
              </w:rPr>
            </w:pPr>
          </w:p>
        </w:tc>
      </w:tr>
      <w:tr w:rsidR="00D65CB4" w:rsidRPr="00BC4EE7" w14:paraId="120AD89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B91DB27"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417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59163C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5AD7F7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2BFFDE9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Szoftveralkalmazás kifejlesztése a közlekedési infrastrukturális beruházások költség-haszon elemzésének végrehajtásához </w:t>
            </w:r>
          </w:p>
        </w:tc>
      </w:tr>
      <w:tr w:rsidR="00D65CB4" w:rsidRPr="00BC4EE7" w14:paraId="3C80F1F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B76521A"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538719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16B301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081F86B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fenntartható mobilitás előmozdítását célzó, befejezett projektek, többek között városi és nagyvárosi területeken</w:t>
            </w:r>
          </w:p>
        </w:tc>
      </w:tr>
      <w:tr w:rsidR="00D65CB4" w:rsidRPr="00BC4EE7" w14:paraId="443B567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9CEF532"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3A14F5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E6D7DB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797CCFC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városi területeken az állami utak fejlesztése a mobilitás új formáinak előmozdítása érdekében</w:t>
            </w:r>
          </w:p>
        </w:tc>
      </w:tr>
      <w:tr w:rsidR="00D65CB4" w:rsidRPr="00BC4EE7" w14:paraId="79C6A18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370D8F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419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B413FE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13C1F4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5A89F69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Elektromos járművek és elektromos töltőállomások kiépítése</w:t>
            </w:r>
          </w:p>
        </w:tc>
      </w:tr>
      <w:tr w:rsidR="00D65CB4" w:rsidRPr="00BC4EE7" w14:paraId="54C9577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42E9BBE"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B19A5C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1F8E63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04A54EB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elektromos közlekedést előmozdító innovatív projektek lezárása</w:t>
            </w:r>
          </w:p>
        </w:tc>
      </w:tr>
      <w:tr w:rsidR="00D65CB4" w:rsidRPr="00BC4EE7" w14:paraId="156FB5E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B2D1E50"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68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CF0B1B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C4.I2.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8DF6ED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0EACC78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Tengeri védett területek </w:t>
            </w:r>
          </w:p>
        </w:tc>
      </w:tr>
      <w:tr w:rsidR="00D65CB4" w:rsidRPr="00BC4EE7" w14:paraId="265823B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9A21E4E"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71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B7189C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C4.I3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DC053D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465E2FA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Ökoszisztéma-helyreállítási intézkedések </w:t>
            </w:r>
          </w:p>
        </w:tc>
      </w:tr>
      <w:tr w:rsidR="00D65CB4" w:rsidRPr="00BC4EE7" w14:paraId="70D7F48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E5F06D6" w14:textId="75E6CD12"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81b</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E96140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C5.I4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E8B846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696207F3" w14:textId="3725EB2D" w:rsidR="00D65CB4" w:rsidRPr="00BC4EE7" w:rsidRDefault="00572307">
            <w:pPr>
              <w:pStyle w:val="P68B1DB1-Normal39"/>
              <w:spacing w:after="0" w:line="240" w:lineRule="auto"/>
              <w:rPr>
                <w:rFonts w:eastAsia="Times New Roman" w:cs="Times New Roman"/>
                <w:noProof/>
              </w:rPr>
            </w:pPr>
            <w:r w:rsidRPr="00BC4EE7">
              <w:rPr>
                <w:rFonts w:cs="Times New Roman"/>
                <w:noProof/>
              </w:rPr>
              <w:t>A leromlott területek és ökoszisztémák helyreállítása legalább 145 kilométernyi partvonalon</w:t>
            </w:r>
          </w:p>
        </w:tc>
      </w:tr>
      <w:tr w:rsidR="00D65CB4" w:rsidRPr="00BC4EE7" w14:paraId="5845764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CBE30A"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119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3D1B8F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C7.I2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FB0EC3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3163AF3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szigetek energetikai átállását támogató projektek lezárása</w:t>
            </w:r>
          </w:p>
        </w:tc>
      </w:tr>
      <w:tr w:rsidR="00D65CB4" w:rsidRPr="00BC4EE7" w14:paraId="6C041C0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BD8069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141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982C06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C10.I1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81C039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05C1847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Álláskeresési támogatás és átképzés munkanélküliek számára </w:t>
            </w:r>
          </w:p>
        </w:tc>
      </w:tr>
      <w:tr w:rsidR="00D65CB4" w:rsidRPr="00BC4EE7" w14:paraId="53B7618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4B32A7A"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142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8717B8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C10.I1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49D224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2B3963D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ipari létesítmények zöld hidrogénnel és energiatárolással kapcsolatos átalakítására irányuló beruházási projektek.</w:t>
            </w:r>
          </w:p>
        </w:tc>
      </w:tr>
      <w:tr w:rsidR="00D65CB4" w:rsidRPr="00BC4EE7" w14:paraId="3F66180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D265E80"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162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042D2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F44935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74D58BE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központi közigazgatás digitális átalakítását támogató projektek lezárása</w:t>
            </w:r>
          </w:p>
        </w:tc>
      </w:tr>
      <w:tr w:rsidR="00D65CB4" w:rsidRPr="00BC4EE7" w14:paraId="1B35F46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AB5AED2"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166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700910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BC93C4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621A04C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központi közigazgatás digitalizációs ösztönző projektjeit támogató projektek lezárása</w:t>
            </w:r>
          </w:p>
        </w:tc>
      </w:tr>
      <w:tr w:rsidR="00D65CB4" w:rsidRPr="00BC4EE7" w14:paraId="0C2A750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FECD58C"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441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BC9516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C12.R2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54575E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44C9C8D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körforgásos gazdaságról szóló második csomag részét képező jogi aktusok hatálybalépése</w:t>
            </w:r>
          </w:p>
        </w:tc>
      </w:tr>
      <w:tr w:rsidR="00D65CB4" w:rsidRPr="00BC4EE7" w14:paraId="2673601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3D7C191"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447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729AA7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C12.I5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47DB2C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55407FC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körforgásos gazdaságot támogató támogatási rendszer: A végső kedvezményezettekkel aláírt jogi megállapodások vagy a végső odaítélési határozatok közzététele</w:t>
            </w:r>
          </w:p>
        </w:tc>
      </w:tr>
      <w:tr w:rsidR="00D65CB4" w:rsidRPr="00BC4EE7" w14:paraId="6DD2677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33B42C7"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449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37DAB0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7160F9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7461FA7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verseny védelméről szóló törvény és rendeletei módosításainak hatálybalépése</w:t>
            </w:r>
          </w:p>
        </w:tc>
      </w:tr>
      <w:tr w:rsidR="00D65CB4" w:rsidRPr="00BC4EE7" w14:paraId="3D92703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BD74D84"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208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C5975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04BF55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6D10EE4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digitális eszköztár program befejezése</w:t>
            </w:r>
          </w:p>
        </w:tc>
      </w:tr>
      <w:tr w:rsidR="00D65CB4" w:rsidRPr="00BC4EE7" w14:paraId="240FCA2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5E8A89B"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209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99910F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02D62B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2832130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digitális technológiák fokozott használatát célzó intézkedéseket végrehajtó kkv-k (a digitális eszköztár kivételével)</w:t>
            </w:r>
          </w:p>
        </w:tc>
      </w:tr>
      <w:tr w:rsidR="00D65CB4" w:rsidRPr="00BC4EE7" w14:paraId="0C39C88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CCA39B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237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515FB2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C15.I1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74FD0F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4C0F90F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Szupergyors széles sávú hálózat kiépítése: A projekt lezárása</w:t>
            </w:r>
          </w:p>
        </w:tc>
      </w:tr>
      <w:tr w:rsidR="00D65CB4" w:rsidRPr="00BC4EE7" w14:paraId="1112D7B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CE8044"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281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01B846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C18.I3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AB312C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52E407F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Közegészségügyi felügyeleti hálózati információs rendszer</w:t>
            </w:r>
          </w:p>
        </w:tc>
      </w:tr>
      <w:tr w:rsidR="00D65CB4" w:rsidRPr="00BC4EE7" w14:paraId="3DD3926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AE95AEC"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466a</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51DD5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C18.I6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0A5F32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696E0C1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Tömeges adatfeldolgozási projektek</w:t>
            </w:r>
          </w:p>
        </w:tc>
      </w:tr>
      <w:tr w:rsidR="00D65CB4" w:rsidRPr="00BC4EE7" w14:paraId="4FE0AA9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8A5038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290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D868C5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C19.I2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DC2EE7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1A4478F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oktatás digitális átalakítására irányuló intézkedések lezárása</w:t>
            </w:r>
          </w:p>
        </w:tc>
      </w:tr>
      <w:tr w:rsidR="00D65CB4" w:rsidRPr="00BC4EE7" w14:paraId="3C87039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8FD320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291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4761CB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C19.I2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237E22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14EBFE4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Csatlakoztatott digitális eszközök biztosítása állami és államilag támogatott iskolákban a „digitális szakadék” áthidalása és legalább 240000 osztályterem felszerelése érdekében</w:t>
            </w:r>
          </w:p>
        </w:tc>
      </w:tr>
      <w:tr w:rsidR="00D65CB4" w:rsidRPr="00BC4EE7" w14:paraId="7D093C1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A2C115"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294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8D5FFB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C19.I4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4BF2AE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54DEA91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Informatikai szakemberek képzése</w:t>
            </w:r>
          </w:p>
        </w:tc>
      </w:tr>
      <w:tr w:rsidR="00D65CB4" w:rsidRPr="00BC4EE7" w14:paraId="5A6389B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652C6F8"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297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0A8141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C20.I1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B17F48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010C92A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szakmai képesítések nemzeti katalógusának új kompetenciaegységei </w:t>
            </w:r>
          </w:p>
        </w:tc>
      </w:tr>
      <w:tr w:rsidR="00D65CB4" w:rsidRPr="00BC4EE7" w14:paraId="06F7D69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7A79C15"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467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41BAC1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C20.I2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4A4EB3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65E1153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osztálytermek alkalmazott technológiai terekké alakítása</w:t>
            </w:r>
          </w:p>
        </w:tc>
      </w:tr>
      <w:tr w:rsidR="00D65CB4" w:rsidRPr="00BC4EE7" w14:paraId="504ADD0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CEF4E9E"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302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3A7EA5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C20.I3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BD6485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76A26D5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Új szakképzési helyek a 2020 végi szinthez képest</w:t>
            </w:r>
          </w:p>
        </w:tc>
      </w:tr>
      <w:tr w:rsidR="00D65CB4" w:rsidRPr="00BC4EE7" w14:paraId="1EBEA7A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30F528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309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DDEDDB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9EC7DF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10A82C7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Új helyek a kisgyermekkori nevelés első ciklusához </w:t>
            </w:r>
          </w:p>
        </w:tc>
      </w:tr>
      <w:tr w:rsidR="00D65CB4" w:rsidRPr="00BC4EE7" w14:paraId="2F5D86F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31692A"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325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99C210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C22.I2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5AC39A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5B2B836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szociális szolgáltatások technológiai átalakítására, valamint a lakásvédelemmel és nevelőszülőkkel kapcsolatos infrastruktúra és szolgáltatások korszerűsítésére irányuló projektek lezárása </w:t>
            </w:r>
          </w:p>
        </w:tc>
      </w:tr>
      <w:tr w:rsidR="00D65CB4" w:rsidRPr="00BC4EE7" w14:paraId="5AAF8CE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20FD5E6"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471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48DB16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C22.I2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ADC400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1E91CE9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kísérleti projektek végrehajtása</w:t>
            </w:r>
          </w:p>
        </w:tc>
      </w:tr>
      <w:tr w:rsidR="00D65CB4" w:rsidRPr="00BC4EE7" w14:paraId="7D12829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BBEA65C"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472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C00E2B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C22.I4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906C21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235132B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Beruházások telefonszolgáltatásokba és online szolgáltatásokba a nők elleni erőszak áldozatainak támogatása érdekében</w:t>
            </w:r>
          </w:p>
        </w:tc>
      </w:tr>
      <w:tr w:rsidR="00D65CB4" w:rsidRPr="00BC4EE7" w14:paraId="406432F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A2805D0"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342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C73D04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C23.I1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20949B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395D03B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Az ifjúsági programokat elvégzők. </w:t>
            </w:r>
          </w:p>
        </w:tc>
      </w:tr>
      <w:tr w:rsidR="00D65CB4" w:rsidRPr="00BC4EE7" w14:paraId="17BB2E1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F04E488"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343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9C0205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C23.I2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AA5181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6A99576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„Plan Empleo Mujer, Vidéki és városi területek” programot, valamint a nemi alapú erőszak és az emberforgalom áldozatai programot elvégző személyek</w:t>
            </w:r>
          </w:p>
        </w:tc>
      </w:tr>
      <w:tr w:rsidR="00D65CB4" w:rsidRPr="00BC4EE7" w14:paraId="10C7A54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2E2EA44"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344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641ECF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A2DD89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0BDBF80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digitális, ökológiai és produktív átalakuláshoz szükséges készségek elsajátítására irányuló képzési programokat elvégző személyek</w:t>
            </w:r>
          </w:p>
        </w:tc>
      </w:tr>
      <w:tr w:rsidR="00D65CB4" w:rsidRPr="00BC4EE7" w14:paraId="229C563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61B4744"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420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F89CC5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470771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3994F58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készségigények kutatási program révén történő felismerése</w:t>
            </w:r>
          </w:p>
        </w:tc>
      </w:tr>
      <w:tr w:rsidR="00D65CB4" w:rsidRPr="00BC4EE7" w14:paraId="38ACC6D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2A581AE"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356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26CE56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C24.I2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6A9573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4982C42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spanyol kulturális örökség megőrzése, helyreállítása és fejlesztése</w:t>
            </w:r>
          </w:p>
        </w:tc>
      </w:tr>
      <w:tr w:rsidR="00D65CB4" w:rsidRPr="00BC4EE7" w14:paraId="1F8BAF1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756084A"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370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A88F05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C26.I1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2787A2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32F296B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sportágazat digitalizációja</w:t>
            </w:r>
          </w:p>
        </w:tc>
      </w:tr>
      <w:tr w:rsidR="00D65CB4" w:rsidRPr="00BC4EE7" w14:paraId="4E96EB1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CC8ADF7"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372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9C6C7C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C26.I1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9EBF2F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1BD4D25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Informatikai projektek lezárása a nagy teljesítményű központokban és a doppingellenes igazgatásban</w:t>
            </w:r>
          </w:p>
        </w:tc>
      </w:tr>
      <w:tr w:rsidR="00D65CB4" w:rsidRPr="00BC4EE7" w14:paraId="08473BC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EC598C4"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373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824EA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C26.I2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B10200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54A991B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sport- és sportlétesítmények műszaki központjainak felújítása és fejlesztése </w:t>
            </w:r>
          </w:p>
        </w:tc>
      </w:tr>
      <w:tr w:rsidR="00D65CB4" w:rsidRPr="00BC4EE7" w14:paraId="67CC6DD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EB594B2" w14:textId="77777777" w:rsidR="00D65CB4" w:rsidRPr="00BC4EE7" w:rsidRDefault="00D65CB4">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7164CAC" w14:textId="77777777" w:rsidR="00D65CB4" w:rsidRPr="00BC4EE7" w:rsidRDefault="00D65CB4">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D8864C9" w14:textId="57D35939" w:rsidR="00D65CB4" w:rsidRPr="00BC4EE7" w:rsidRDefault="00572307">
            <w:pPr>
              <w:pStyle w:val="P68B1DB1-Normal38"/>
              <w:spacing w:after="0" w:line="240" w:lineRule="auto"/>
              <w:rPr>
                <w:rFonts w:eastAsia="Times New Roman" w:cs="Times New Roman"/>
                <w:noProof/>
              </w:rPr>
            </w:pPr>
            <w:r w:rsidRPr="00BC4EE7">
              <w:rPr>
                <w:rFonts w:cs="Times New Roman"/>
                <w:noProof/>
              </w:rPr>
              <w:t>Részösszeg</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648F4810" w14:textId="36797311" w:rsidR="00D65CB4" w:rsidRPr="00BC4EE7" w:rsidRDefault="00572307">
            <w:pPr>
              <w:pStyle w:val="P68B1DB1-Normal38"/>
              <w:spacing w:after="0" w:line="240" w:lineRule="auto"/>
              <w:rPr>
                <w:rFonts w:eastAsia="Times New Roman" w:cs="Times New Roman"/>
                <w:noProof/>
              </w:rPr>
            </w:pPr>
            <w:r w:rsidRPr="00BC4EE7">
              <w:rPr>
                <w:rFonts w:cs="Times New Roman"/>
                <w:noProof/>
              </w:rPr>
              <w:t>·EURÓPAI BIZOTTSÁG 5 633 854 130 EUR</w:t>
            </w:r>
          </w:p>
        </w:tc>
      </w:tr>
    </w:tbl>
    <w:p w14:paraId="16B1E38C" w14:textId="77777777" w:rsidR="00D65CB4" w:rsidRPr="00BC4EE7" w:rsidRDefault="00D65CB4">
      <w:pPr>
        <w:spacing w:before="120" w:after="120" w:line="240" w:lineRule="auto"/>
        <w:jc w:val="both"/>
        <w:rPr>
          <w:rFonts w:ascii="Times New Roman" w:eastAsia="Calibri" w:hAnsi="Times New Roman" w:cs="Times New Roman"/>
          <w:noProof/>
          <w:sz w:val="24"/>
        </w:rPr>
      </w:pPr>
    </w:p>
    <w:p w14:paraId="417320EA" w14:textId="77777777" w:rsidR="00D65CB4" w:rsidRPr="00BC4EE7" w:rsidRDefault="00572307">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sidRPr="00BC4EE7">
        <w:rPr>
          <w:rFonts w:cs="Times New Roman"/>
          <w:noProof/>
        </w:rPr>
        <w:t xml:space="preserve">Tizedik részlet (vissza nem térítendő támogatás): </w:t>
      </w:r>
    </w:p>
    <w:tbl>
      <w:tblPr>
        <w:tblW w:w="9600" w:type="dxa"/>
        <w:tblInd w:w="113" w:type="dxa"/>
        <w:tblLook w:val="04A0" w:firstRow="1" w:lastRow="0" w:firstColumn="1" w:lastColumn="0" w:noHBand="0" w:noVBand="1"/>
      </w:tblPr>
      <w:tblGrid>
        <w:gridCol w:w="1300"/>
        <w:gridCol w:w="1443"/>
        <w:gridCol w:w="1250"/>
        <w:gridCol w:w="5607"/>
      </w:tblGrid>
      <w:tr w:rsidR="00D65CB4" w:rsidRPr="00BC4EE7" w14:paraId="67D015EC" w14:textId="77777777">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78C28D8B" w14:textId="77777777"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Sorszám</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5ABCF3D9" w14:textId="77777777"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Kapcsolódó intézkedés (reform vagy beruházás)</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1DE3AA78" w14:textId="3E6FDEA2"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Mérföldkő/</w:t>
            </w:r>
            <w:r>
              <w:rPr>
                <w:rFonts w:cs="Times New Roman"/>
                <w:noProof/>
              </w:rPr>
              <w:br/>
            </w:r>
            <w:r w:rsidRPr="00BC4EE7">
              <w:rPr>
                <w:rFonts w:cs="Times New Roman"/>
                <w:noProof/>
              </w:rPr>
              <w:t>cél</w:t>
            </w:r>
          </w:p>
        </w:tc>
        <w:tc>
          <w:tcPr>
            <w:tcW w:w="5607" w:type="dxa"/>
            <w:vMerge w:val="restart"/>
            <w:tcBorders>
              <w:top w:val="single" w:sz="4" w:space="0" w:color="auto"/>
              <w:left w:val="nil"/>
              <w:bottom w:val="single" w:sz="4" w:space="0" w:color="000000"/>
              <w:right w:val="single" w:sz="4" w:space="0" w:color="auto"/>
            </w:tcBorders>
            <w:shd w:val="clear" w:color="auto" w:fill="BDD7EE"/>
            <w:vAlign w:val="center"/>
            <w:hideMark/>
          </w:tcPr>
          <w:p w14:paraId="420F80E1" w14:textId="77777777"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Név</w:t>
            </w:r>
          </w:p>
        </w:tc>
      </w:tr>
      <w:tr w:rsidR="00D65CB4" w:rsidRPr="00BC4EE7" w14:paraId="33ADD356"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34E5E4F0" w14:textId="77777777" w:rsidR="00D65CB4" w:rsidRPr="00BC4EE7" w:rsidRDefault="00D65CB4">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728C9BBC" w14:textId="77777777" w:rsidR="00D65CB4" w:rsidRPr="00BC4EE7" w:rsidRDefault="00D65CB4">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173F5F41" w14:textId="77777777" w:rsidR="00D65CB4" w:rsidRPr="00BC4EE7" w:rsidRDefault="00D65CB4">
            <w:pPr>
              <w:spacing w:after="0" w:line="240" w:lineRule="auto"/>
              <w:rPr>
                <w:rFonts w:ascii="Times New Roman" w:eastAsia="Times New Roman" w:hAnsi="Times New Roman" w:cs="Times New Roman"/>
                <w:b/>
                <w:noProof/>
                <w:sz w:val="20"/>
              </w:rPr>
            </w:pPr>
          </w:p>
        </w:tc>
        <w:tc>
          <w:tcPr>
            <w:tcW w:w="5607" w:type="dxa"/>
            <w:vMerge/>
            <w:tcBorders>
              <w:top w:val="single" w:sz="4" w:space="0" w:color="auto"/>
              <w:left w:val="nil"/>
              <w:bottom w:val="single" w:sz="4" w:space="0" w:color="000000"/>
              <w:right w:val="single" w:sz="4" w:space="0" w:color="auto"/>
            </w:tcBorders>
            <w:vAlign w:val="center"/>
            <w:hideMark/>
          </w:tcPr>
          <w:p w14:paraId="75360013" w14:textId="77777777" w:rsidR="00D65CB4" w:rsidRPr="00BC4EE7" w:rsidRDefault="00D65CB4">
            <w:pPr>
              <w:spacing w:after="0" w:line="240" w:lineRule="auto"/>
              <w:rPr>
                <w:rFonts w:ascii="Times New Roman" w:eastAsia="Times New Roman" w:hAnsi="Times New Roman" w:cs="Times New Roman"/>
                <w:b/>
                <w:noProof/>
                <w:sz w:val="20"/>
              </w:rPr>
            </w:pPr>
          </w:p>
        </w:tc>
      </w:tr>
      <w:tr w:rsidR="00D65CB4" w:rsidRPr="00BC4EE7" w14:paraId="129755F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E915C97"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418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999D83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E09454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04B443B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Tesztkörnyezeti iroda</w:t>
            </w:r>
          </w:p>
        </w:tc>
      </w:tr>
      <w:tr w:rsidR="00D65CB4" w:rsidRPr="00BC4EE7" w14:paraId="31B2100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679022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B5596D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D87D6A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F42688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Korszerűsített rövid távolságú (Cercanías) vasútvonalak </w:t>
            </w:r>
          </w:p>
        </w:tc>
      </w:tr>
      <w:tr w:rsidR="00D65CB4" w:rsidRPr="00BC4EE7" w14:paraId="0E8D627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71D29D2"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4DA11E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CED1EE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FC89F2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Az állomások fejlesztése a digitalizációval </w:t>
            </w:r>
          </w:p>
        </w:tc>
      </w:tr>
      <w:tr w:rsidR="00D65CB4" w:rsidRPr="00BC4EE7" w14:paraId="46EA26A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107793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6C3560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EC92DB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6EB2B5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Továbbfejlesztett „Cercanías” állomások </w:t>
            </w:r>
          </w:p>
        </w:tc>
      </w:tr>
      <w:tr w:rsidR="00D65CB4" w:rsidRPr="00BC4EE7" w14:paraId="6668482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D9DF83"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606E5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2750F7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FDE18B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Felújítás alá vont területen vagy környéken lévő földterület, amely átlagosan legalább 30%-kal csökkenti a primerenergia-igényt (hektár)</w:t>
            </w:r>
          </w:p>
        </w:tc>
      </w:tr>
      <w:tr w:rsidR="00D65CB4" w:rsidRPr="00BC4EE7" w14:paraId="5C825F5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9A4FF2C"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9DE104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7225C3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C38723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Lakóingatlan-felújítási tevékenységek befejezése, átlagosan legalább 30%-os primerenergia-kereslet-csökkentés elérése (legalább 285000 egyedi lakásban legalább 410000 intézkedés) </w:t>
            </w:r>
          </w:p>
        </w:tc>
      </w:tr>
      <w:tr w:rsidR="00D65CB4" w:rsidRPr="00BC4EE7" w14:paraId="5080237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090E274"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14C3F0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51BB76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358CB6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Szociális bérezés céljából vagy megfizethető áron épített új lakások, amelyek megfelelnek az energiahatékonyság kritériumainak</w:t>
            </w:r>
          </w:p>
        </w:tc>
      </w:tr>
      <w:tr w:rsidR="00D65CB4" w:rsidRPr="00BC4EE7" w14:paraId="71D0F12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EDD0EB4"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89E90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2BCAE7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B7EFD8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Lakóépületek és nem lakáscélú épületek felújításának befejezése, átlagosan legalább 30%-os primerenergia-kereslet-csökkentés elérése </w:t>
            </w:r>
          </w:p>
        </w:tc>
      </w:tr>
      <w:tr w:rsidR="00D65CB4" w:rsidRPr="00BC4EE7" w14:paraId="7871898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7C005C2"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CA9E44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CA75AE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B57F57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Az 5000 főnél kevesebb lakosú települések lakóépületeinek és nem lakáscélú épületeinek felújítása, átlagosan legalább 30%-os primerenergia-kereslet-csökkentés elérése mellett </w:t>
            </w:r>
          </w:p>
        </w:tc>
      </w:tr>
      <w:tr w:rsidR="00D65CB4" w:rsidRPr="00BC4EE7" w14:paraId="1E5FC7B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6B53CFC"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F153A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223322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B476E5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Tiszta energiával kapcsolatos projektek 5000 főnél kevesebb lakosú településeken </w:t>
            </w:r>
          </w:p>
        </w:tc>
      </w:tr>
      <w:tr w:rsidR="00D65CB4" w:rsidRPr="00BC4EE7" w14:paraId="31DA889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B7E4B84"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723E71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765128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B85AA1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Középületek felújításának befejezése, átlagosan legalább 30%-os primerenergia-igény-csökkentéssel (legalább 1 230 000 m²) </w:t>
            </w:r>
          </w:p>
        </w:tc>
      </w:tr>
      <w:tr w:rsidR="00D65CB4" w:rsidRPr="00BC4EE7" w14:paraId="7B54D31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B72C6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423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930191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C3.R6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53EF90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BE5009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halászati törvény és a halászatra vonatkozó ellenőrzési, vizsgálati és szankcionálási rendszerek korszerűsítéséről szóló törvény felülvizsgálatának hatálybalépése.</w:t>
            </w:r>
          </w:p>
        </w:tc>
      </w:tr>
      <w:tr w:rsidR="00D65CB4" w:rsidRPr="00BC4EE7" w14:paraId="6BC5310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033B7BC"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B1C63C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B2C201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6D7B19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Az öntözőrendszerek korszerűsítése a víztakarékosság és az energiahatékonyság szempontjából  </w:t>
            </w:r>
          </w:p>
        </w:tc>
      </w:tr>
      <w:tr w:rsidR="00D65CB4" w:rsidRPr="00BC4EE7" w14:paraId="33CF034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6F75382"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94B53E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9DEAF2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EF2CDD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Állattartó létesítmény építése 3. biológiai biztonsági szinttel. </w:t>
            </w:r>
          </w:p>
        </w:tc>
      </w:tr>
      <w:tr w:rsidR="00D65CB4" w:rsidRPr="00BC4EE7" w14:paraId="7599FF7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BC81CC"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52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CC36E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662A31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1188B0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precíziós mezőgazdasággal, az energiahatékonysággal, a körforgásos gazdasággal és a megújuló energia használatával kapcsolatos befejezett projektek  </w:t>
            </w:r>
          </w:p>
        </w:tc>
      </w:tr>
      <w:tr w:rsidR="00D65CB4" w:rsidRPr="00BC4EE7" w14:paraId="51B0F86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FEAE228"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66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0F2F5A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C4.I1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3C7727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5802FA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biológiai sokféleséggel kapcsolatos ismeretek nyomon követésére és kezelésére szolgáló rendszer befejezése és működőképessé tétele</w:t>
            </w:r>
          </w:p>
        </w:tc>
      </w:tr>
      <w:tr w:rsidR="00D65CB4" w:rsidRPr="00BC4EE7" w14:paraId="5753D94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D356B7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69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5699AD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C4.I2.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F65EA5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3DB18D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biológiai sokféleség megőrzésére irányuló intézkedések</w:t>
            </w:r>
          </w:p>
        </w:tc>
      </w:tr>
      <w:tr w:rsidR="00D65CB4" w:rsidRPr="00BC4EE7" w14:paraId="4C952A8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6C339FB"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72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A942D1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C4.I3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191F20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6FF560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Korábbi bányatelepek (legalább 30 korábbi bányatelep) rehabilitációjának befejezése</w:t>
            </w:r>
          </w:p>
        </w:tc>
      </w:tr>
      <w:tr w:rsidR="00D65CB4" w:rsidRPr="00BC4EE7" w14:paraId="378A155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18E70C4"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425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088C74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C4.I4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A50B6F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58918D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fenntartható erdőgazdálkodással kapcsolatos intézkedések (II. rész)</w:t>
            </w:r>
          </w:p>
        </w:tc>
      </w:tr>
      <w:tr w:rsidR="00D65CB4" w:rsidRPr="00BC4EE7" w14:paraId="56F0C58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7629243"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426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B91E96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C5.I3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7B334A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0F80BF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vízkészletek ismeretének és felhasználásának javítását, valamint a csapadékmennyiség és más meteorológiai adatok nyomon követését szolgáló eszközök üzembe helyezése</w:t>
            </w:r>
          </w:p>
        </w:tc>
      </w:tr>
      <w:tr w:rsidR="00D65CB4" w:rsidRPr="00BC4EE7" w14:paraId="1B19C01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DD66CA2"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427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612839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C5.I1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F4EA10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6836DD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Jobb víz- és szennyvízkezelési infrastruktúrák</w:t>
            </w:r>
          </w:p>
        </w:tc>
      </w:tr>
      <w:tr w:rsidR="00D65CB4" w:rsidRPr="00BC4EE7" w14:paraId="30CAA2A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5EA731E"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428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E4F140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C5.I1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AC0FB8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87D7A5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Jobb víz- és szennyvízkezelési infrastruktúrák </w:t>
            </w:r>
          </w:p>
        </w:tc>
      </w:tr>
      <w:tr w:rsidR="00D65CB4" w:rsidRPr="00BC4EE7" w14:paraId="03AE29D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8CF056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429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9105D9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C5.I2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3E2999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72BBAE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Fotovillamosenergia-szolgáltatás sótalanító üzemek számára és elosztása</w:t>
            </w:r>
          </w:p>
        </w:tc>
      </w:tr>
      <w:tr w:rsidR="00D65CB4" w:rsidRPr="00BC4EE7" w14:paraId="0379519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B8771CC"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430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625796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C5.I3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6AF132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057F660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vízfelhasználók digitalizációját célzó PERTE-intézkedések</w:t>
            </w:r>
          </w:p>
        </w:tc>
      </w:tr>
      <w:tr w:rsidR="00D65CB4" w:rsidRPr="00BC4EE7" w14:paraId="1551400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3ADE4C"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87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6EF36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C6.I1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47CC8E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23423E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TEN-T törzshálózat: a munkálatok befejezése </w:t>
            </w:r>
          </w:p>
        </w:tc>
      </w:tr>
      <w:tr w:rsidR="00D65CB4" w:rsidRPr="00BC4EE7" w14:paraId="75F70AA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912762E"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92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4CA58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C6.I2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B778F6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04C4337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Új vagy korszerűsített TEN-T hálózat, egyéb munkák </w:t>
            </w:r>
          </w:p>
        </w:tc>
      </w:tr>
      <w:tr w:rsidR="00D65CB4" w:rsidRPr="00BC4EE7" w14:paraId="352D390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161CD18"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93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005CC6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C6.I2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97ED46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1A800A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Egységes európai égbolt: a projekt lezárása</w:t>
            </w:r>
          </w:p>
        </w:tc>
      </w:tr>
      <w:tr w:rsidR="00D65CB4" w:rsidRPr="00BC4EE7" w14:paraId="4F46257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F22DF2"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94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FD9535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C6.I2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F5DF8F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324A12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jelenlegi szabályozáshoz igazított államút-hálózat </w:t>
            </w:r>
          </w:p>
        </w:tc>
      </w:tr>
      <w:tr w:rsidR="00D65CB4" w:rsidRPr="00BC4EE7" w14:paraId="3675B56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17FBBB"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97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02102F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C6.I3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D7A680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BF5F99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Intermodális és logisztikai infrastruktúra  </w:t>
            </w:r>
          </w:p>
        </w:tc>
      </w:tr>
      <w:tr w:rsidR="00D65CB4" w:rsidRPr="00BC4EE7" w14:paraId="1ACC4AE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CBE1C0B"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98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46BF1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C6.I3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91DC12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588C3C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vasúti akadálymentesítési és a fenntarthatósági projektek lezárása a kikötőkben </w:t>
            </w:r>
          </w:p>
        </w:tc>
      </w:tr>
      <w:tr w:rsidR="00D65CB4" w:rsidRPr="00BC4EE7" w14:paraId="62C2EF6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61E851"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101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91A3CF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C6.I4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EA101B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1CC396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Fenntartható és digitális közlekedés: a munkálatok befejezése</w:t>
            </w:r>
          </w:p>
        </w:tc>
      </w:tr>
      <w:tr w:rsidR="00D65CB4" w:rsidRPr="00BC4EE7" w14:paraId="00A47A8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B67D541"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117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96D025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C7.I1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5FFBAD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EAEBD6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További termelési kapacitás innovatív vagy hozzáadott értéket képviselő megújuló energia előállítására</w:t>
            </w:r>
          </w:p>
        </w:tc>
      </w:tr>
      <w:tr w:rsidR="00D65CB4" w:rsidRPr="00BC4EE7" w14:paraId="7C9458E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0FD2E50"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120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BE67F6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C7.I2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4B2EE5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F6E112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További megújulóenergia-termelési kapacitás a szigeteken</w:t>
            </w:r>
          </w:p>
        </w:tc>
      </w:tr>
      <w:tr w:rsidR="00D65CB4" w:rsidRPr="00BC4EE7" w14:paraId="614DCF1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222C8E4"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126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B81B72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C8.I1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A5C5BA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43646F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Innovatív tárolási projektek működőképesek </w:t>
            </w:r>
          </w:p>
        </w:tc>
      </w:tr>
      <w:tr w:rsidR="00D65CB4" w:rsidRPr="00BC4EE7" w14:paraId="08AD8CE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10DAEE6"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136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FB5A5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C9.I1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9C66D1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0C53DF6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Engedélyezett elektrolizátor-kapacitás</w:t>
            </w:r>
          </w:p>
        </w:tc>
      </w:tr>
      <w:tr w:rsidR="00D65CB4" w:rsidRPr="00BC4EE7" w14:paraId="315D870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502DBF3"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143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9BCB9F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C10.I1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836230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0FEA7A2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Bezárt szénbányákban vagy erőművekkel szomszédos területeken rehabilitált földterület.</w:t>
            </w:r>
          </w:p>
        </w:tc>
      </w:tr>
      <w:tr w:rsidR="00D65CB4" w:rsidRPr="00BC4EE7" w14:paraId="19FA120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C131035"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169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2619F3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625D26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4068A7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regionális és helyi közigazgatások, valamint a Területpolitikai és Közigazgatási Minisztérium digitális átalakulását támogató valamennyi projekt lezárása</w:t>
            </w:r>
          </w:p>
        </w:tc>
      </w:tr>
      <w:tr w:rsidR="00D65CB4" w:rsidRPr="00BC4EE7" w14:paraId="1DB6473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9917AFE"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438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2838D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B187BE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555F57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személyes digitális ellátásról szóló terv végrehajtása</w:t>
            </w:r>
          </w:p>
        </w:tc>
      </w:tr>
      <w:tr w:rsidR="00D65CB4" w:rsidRPr="00BC4EE7" w14:paraId="7CBB5F5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4D80923"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172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EE367F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C11.I4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518706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59E15E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középületek energetikai felújítása (1 050 000 m²)</w:t>
            </w:r>
          </w:p>
        </w:tc>
      </w:tr>
      <w:tr w:rsidR="00D65CB4" w:rsidRPr="00BC4EE7" w14:paraId="3AEC4A3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B456253"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439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FD9DC3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C11.I4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3E1666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92210D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Fotovoltaikus napenergia-rendszerek vagy más megújuló energiák alkalmazása a központi közigazgatás létesítményeiben</w:t>
            </w:r>
          </w:p>
        </w:tc>
      </w:tr>
      <w:tr w:rsidR="00D65CB4" w:rsidRPr="00BC4EE7" w14:paraId="342E7C5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5E7F879"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175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F34014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C11.I5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9224AB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0399892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közigazgatásból kiképzett személyzet </w:t>
            </w:r>
          </w:p>
        </w:tc>
      </w:tr>
      <w:tr w:rsidR="00D65CB4" w:rsidRPr="00BC4EE7" w14:paraId="6DDE5FC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66629FE"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180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865DB2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C12.I1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696286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9982C0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Nagy értékű ágazati és interoperábilis adatterek</w:t>
            </w:r>
          </w:p>
        </w:tc>
      </w:tr>
      <w:tr w:rsidR="00D65CB4" w:rsidRPr="00BC4EE7" w14:paraId="3354031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70E82C9"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186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2BC12C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C12.I2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429AAF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D8FDE6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PERTE-k és az ipar átalakítását célzó innovatív projektek lezárása</w:t>
            </w:r>
          </w:p>
        </w:tc>
      </w:tr>
      <w:tr w:rsidR="00D65CB4" w:rsidRPr="00BC4EE7" w14:paraId="587C2F5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9084661"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188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D80BEB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C12.I3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F217DA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2DD225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elkülönítetten gyűjtött települési hulladék növelése</w:t>
            </w:r>
          </w:p>
        </w:tc>
      </w:tr>
      <w:tr w:rsidR="00D65CB4" w:rsidRPr="00BC4EE7" w14:paraId="6783359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F2FEEA0"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443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CE22C7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C12.I3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BCFCD5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E0601E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Hulladékgazdálkodási projektek lezárása</w:t>
            </w:r>
          </w:p>
        </w:tc>
      </w:tr>
      <w:tr w:rsidR="00D65CB4" w:rsidRPr="00BC4EE7" w14:paraId="300F476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FAC7AD6"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445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6F1436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C12.I4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0B484B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8542B5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PERTE CHIP. A félvezetők értékláncának megerősítése (II.).   </w:t>
            </w:r>
          </w:p>
        </w:tc>
      </w:tr>
      <w:tr w:rsidR="00D65CB4" w:rsidRPr="00BC4EE7" w14:paraId="00397E4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53306FE"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448c</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1A0308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C12.I6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972F80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AA2BCF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Támogatási program az elektromosjármű-ágazat számára (támogatások): A végső kedvezményezettekkel aláírt jogi megállapodások vagy a végső odaítélési határozatok közzététele</w:t>
            </w:r>
          </w:p>
        </w:tc>
      </w:tr>
      <w:tr w:rsidR="00D65CB4" w:rsidRPr="00BC4EE7" w14:paraId="48438AC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8ADEBAB"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221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336C75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C14.I1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78AB3D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F2136E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turisztikai célpontok fenntarthatóságát előmozdító projektek lezárása </w:t>
            </w:r>
          </w:p>
        </w:tc>
      </w:tr>
      <w:tr w:rsidR="00D65CB4" w:rsidRPr="00BC4EE7" w14:paraId="333BC22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22F550C"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228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CDE910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C14.I4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16E104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6728A9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jelenlegi vagy jövőbeli turisztikai célú történelmi örökségi helyszínek rehabilitációjára irányuló projektek</w:t>
            </w:r>
          </w:p>
        </w:tc>
      </w:tr>
      <w:tr w:rsidR="00D65CB4" w:rsidRPr="00BC4EE7" w14:paraId="2D556B0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69469A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242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6A6CFF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C15.I5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885007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016F7E8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határokon átnyúló digitális infrastruktúra fejlesztése: a projekt lezárása</w:t>
            </w:r>
          </w:p>
        </w:tc>
      </w:tr>
      <w:tr w:rsidR="00D65CB4" w:rsidRPr="00BC4EE7" w14:paraId="50EC3F1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0F742DC"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244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8CCBF0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C15.I6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1CA8F6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2EBF39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5G technológia bevezetése: A projekt lezárása</w:t>
            </w:r>
          </w:p>
        </w:tc>
      </w:tr>
      <w:tr w:rsidR="00D65CB4" w:rsidRPr="00BC4EE7" w14:paraId="0F8474D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23D5CC1"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248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71C143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C15.I7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B4002A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1B2B2D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nemzeti kiberbiztonsági ipart támogató program, a globális biztonsági innovációs program és a kapcsolódó intézkedések projektjeinek lezárása.</w:t>
            </w:r>
          </w:p>
        </w:tc>
      </w:tr>
      <w:tr w:rsidR="00D65CB4" w:rsidRPr="00BC4EE7" w14:paraId="22AFB12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7844568"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455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867A20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C15.I8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AC02BC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95B67F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PERTE CHIP. A tudományos kapacitások, a tervezés és az innovatív gyártás megerősítése: folyósítás.</w:t>
            </w:r>
          </w:p>
        </w:tc>
      </w:tr>
      <w:tr w:rsidR="00D65CB4" w:rsidRPr="00BC4EE7" w14:paraId="45C82A4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92B8014"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456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4DD5C7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C15.I8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B318CA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6EE0F2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PERTE CHIP. Székek és mikroelektronikai tehetségek</w:t>
            </w:r>
          </w:p>
        </w:tc>
      </w:tr>
      <w:tr w:rsidR="00D65CB4" w:rsidRPr="00BC4EE7" w14:paraId="6825FB4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B09C659"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252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10B09C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C16.R1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F8372D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0D9372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felkeresett országlátogatások </w:t>
            </w:r>
          </w:p>
        </w:tc>
      </w:tr>
      <w:tr w:rsidR="00D65CB4" w:rsidRPr="00BC4EE7" w14:paraId="1615B51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426D042"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253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0101D3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C16.R1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53C908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F817FE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mesterséges intelligenciával kapcsolatos projektek lezárása </w:t>
            </w:r>
          </w:p>
        </w:tc>
      </w:tr>
      <w:tr w:rsidR="00D65CB4" w:rsidRPr="00BC4EE7" w14:paraId="031A7A1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9D0EED9"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457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F67DD3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C16.R1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E9E4D6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A0CAB7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PERTE CHIP. A kvantum-ökoszisztéma megerősítése.</w:t>
            </w:r>
          </w:p>
        </w:tc>
      </w:tr>
      <w:tr w:rsidR="00D65CB4" w:rsidRPr="00BC4EE7" w14:paraId="4563F5F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9CA0B30"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260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71BF39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C17.I2.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65C35A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A832D0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tudományos infrastruktúrát és a spanyol tudományos technológiai és innovációs rendszer kapacitását javító valamennyi projekt lezárása, beleértve az európai és nemzetközi infrastruktúrával kapcsolatos projekteket is.</w:t>
            </w:r>
          </w:p>
        </w:tc>
      </w:tr>
      <w:tr w:rsidR="00D65CB4" w:rsidRPr="00BC4EE7" w14:paraId="28E085B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6E0891C"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264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EF8B25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C17.I4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5DF86A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B3DB1F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spanyol tudományos kutatói karriert támogató ösztöndíjak és ösztöndíjak befejezése </w:t>
            </w:r>
          </w:p>
        </w:tc>
      </w:tr>
      <w:tr w:rsidR="00D65CB4" w:rsidRPr="00BC4EE7" w14:paraId="63809BF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877113A"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459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ADCC40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C17.I5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259E25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D4DFA1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technológiatranszfer előmozdítását és az innovatív technológiákkal kapcsolatos kutatási eredmények átadását támogató projektek lezárása</w:t>
            </w:r>
          </w:p>
        </w:tc>
      </w:tr>
      <w:tr w:rsidR="00D65CB4" w:rsidRPr="00BC4EE7" w14:paraId="2D131FF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7ED7CD9"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268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CDB6A4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C17.I6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889BAC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6D0387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Az egészségügyi ágazatban a kutatásfejlesztés és az innováció megerősítését célzó valamennyi projekt lezárása. </w:t>
            </w:r>
          </w:p>
        </w:tc>
      </w:tr>
      <w:tr w:rsidR="00D65CB4" w:rsidRPr="00BC4EE7" w14:paraId="5CA654F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BD6459"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460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9BF979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C17.I6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626DC2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BD8F11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Pénzeszközök folyósítása K+F projektekhez a PERTE Health keretében  </w:t>
            </w:r>
          </w:p>
        </w:tc>
      </w:tr>
      <w:tr w:rsidR="00D65CB4" w:rsidRPr="00BC4EE7" w14:paraId="6290EB9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416CF30"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269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A17528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C17.I7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BC5189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34E6BF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Energiatárolási K+F központ </w:t>
            </w:r>
          </w:p>
        </w:tc>
      </w:tr>
      <w:tr w:rsidR="00D65CB4" w:rsidRPr="00BC4EE7" w14:paraId="2E344B4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CAC2D7E"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272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45A28D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C17.I9</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1DDB9D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230337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K+F+Innovációs projektek lezárása az űrrepülés területén, különös tekintettel az alacsony és nulla kibocsátásra </w:t>
            </w:r>
          </w:p>
        </w:tc>
      </w:tr>
      <w:tr w:rsidR="00D65CB4" w:rsidRPr="00BC4EE7" w14:paraId="76B53D7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39C3B5"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462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E15BE7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C17.I9</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338883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ACD72A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Pénzeszközök folyósítása a PERTE Aerospace keretében megvalósuló projektekhez.</w:t>
            </w:r>
          </w:p>
        </w:tc>
      </w:tr>
      <w:tr w:rsidR="00D65CB4" w:rsidRPr="00BC4EE7" w14:paraId="7A16492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052B7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463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B62727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C18.I4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ACD219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A8E246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egészségügyi szakemberek képzése és a tudásmegosztáshoz szükséges erőforrások</w:t>
            </w:r>
          </w:p>
        </w:tc>
      </w:tr>
      <w:tr w:rsidR="00D65CB4" w:rsidRPr="00BC4EE7" w14:paraId="0DA0FD2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400FB37"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464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4B240A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C18.I5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568029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23746B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Terv a gyógyszerfogyasztás racionalizálására és a fenntarthatóság előmozdítására</w:t>
            </w:r>
          </w:p>
        </w:tc>
      </w:tr>
      <w:tr w:rsidR="00D65CB4" w:rsidRPr="00BC4EE7" w14:paraId="33D78FD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41C81C1"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465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AAB8F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C18.I4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487565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7091E2D" w14:textId="164CB14F"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ritka betegségekben szenvedő betegek egészségügyi ellátásának javítását célzó projektek lezárása </w:t>
            </w:r>
          </w:p>
        </w:tc>
      </w:tr>
      <w:tr w:rsidR="00D65CB4" w:rsidRPr="00BC4EE7" w14:paraId="329A60A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FB72AA9"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466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0EC8EA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C18.I5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E288C6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4A03EE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genomikai szolgáltatások bővítése a nemzeti egészségügyi rendszerben</w:t>
            </w:r>
          </w:p>
        </w:tc>
      </w:tr>
      <w:tr w:rsidR="00D65CB4" w:rsidRPr="00BC4EE7" w14:paraId="576B561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77B2270"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288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9E503D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C19.I1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1D24C0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BBC072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polgárok digitális készségekkel kapcsolatos képzése.</w:t>
            </w:r>
          </w:p>
        </w:tc>
      </w:tr>
      <w:tr w:rsidR="00D65CB4" w:rsidRPr="00BC4EE7" w14:paraId="439E8C8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BD33C13"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292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1B47ED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C19.I3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471F09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226BFF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Digitális képzés a foglalkoztatásért</w:t>
            </w:r>
          </w:p>
        </w:tc>
      </w:tr>
      <w:tr w:rsidR="00D65CB4" w:rsidRPr="00BC4EE7" w14:paraId="3EAD169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4812D82"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292a</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ABBA0F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C19.I3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B1A8A7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43F625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Digitális képzés a munkakörnyezetben</w:t>
            </w:r>
          </w:p>
        </w:tc>
      </w:tr>
      <w:tr w:rsidR="00D65CB4" w:rsidRPr="00BC4EE7" w14:paraId="5BC6DBA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148C7D2"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469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0268DC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219872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8637D3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Felnőtteknek kiállított Uuniversity mikrotanúsítványok</w:t>
            </w:r>
          </w:p>
        </w:tc>
      </w:tr>
      <w:tr w:rsidR="00D65CB4" w:rsidRPr="00BC4EE7" w14:paraId="5642E12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6E666FE"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323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00A14B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C22.I1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DCA50E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58DA6B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Bentlakásos, nem lakáscélú és nappali gondozási helyek.  </w:t>
            </w:r>
          </w:p>
        </w:tc>
      </w:tr>
      <w:tr w:rsidR="00D65CB4" w:rsidRPr="00BC4EE7" w14:paraId="47C042B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EC46112"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328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ECCC97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C22.I5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1593FC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7F0B0E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migránsok és a nemzetközi védelmet kérelmezők befogadási rendszerének kapacitása </w:t>
            </w:r>
          </w:p>
        </w:tc>
      </w:tr>
      <w:tr w:rsidR="00D65CB4" w:rsidRPr="00BC4EE7" w14:paraId="76F5DFD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5CBA0B9"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475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FE1AEE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C24.I1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0008C2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00D3D4F" w14:textId="173AE4AA" w:rsidR="00D65CB4" w:rsidRPr="00BC4EE7" w:rsidRDefault="00572307">
            <w:pPr>
              <w:pStyle w:val="P68B1DB1-Normal39"/>
              <w:spacing w:after="0" w:line="240" w:lineRule="auto"/>
              <w:rPr>
                <w:rFonts w:eastAsia="Times New Roman" w:cs="Times New Roman"/>
                <w:noProof/>
              </w:rPr>
            </w:pPr>
            <w:r w:rsidRPr="00BC4EE7">
              <w:rPr>
                <w:rFonts w:cs="Times New Roman"/>
                <w:noProof/>
              </w:rPr>
              <w:t>A kulturális iparágak versenyképességének erősítését célzó kezdeményezések és projektek lezárása</w:t>
            </w:r>
          </w:p>
        </w:tc>
      </w:tr>
      <w:tr w:rsidR="00D65CB4" w:rsidRPr="00BC4EE7" w14:paraId="38B0060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98C9F1"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474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D87FB3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C24.I2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4BC5C1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924ED4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spanyol kulturális örökség megőrzése, helyreállítása és fejlesztése (Tabacalera)</w:t>
            </w:r>
          </w:p>
        </w:tc>
      </w:tr>
      <w:tr w:rsidR="00D65CB4" w:rsidRPr="00BC4EE7" w14:paraId="58A402D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3E4F637"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478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1C67F7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7159A4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2CC74A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megújulóenergia-termelésen vagy a mérőn kívüli tároláson alapuló energiatárolást vagy saját fogyasztást előmozdító beruházás</w:t>
            </w:r>
          </w:p>
        </w:tc>
      </w:tr>
      <w:tr w:rsidR="00D65CB4" w:rsidRPr="00BC4EE7" w14:paraId="3A1B992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0E83B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479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2E0F75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B7DFDA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B79C8D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energiaközösségek által végrehajtott kezdeményezések száma</w:t>
            </w:r>
          </w:p>
        </w:tc>
      </w:tr>
      <w:tr w:rsidR="00D65CB4" w:rsidRPr="00BC4EE7" w14:paraId="2862131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FCF6979"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482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30E2DE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2040D2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0794BE9" w14:textId="496313BE" w:rsidR="00D65CB4" w:rsidRPr="00BC4EE7" w:rsidRDefault="00572307">
            <w:pPr>
              <w:pStyle w:val="P68B1DB1-Normal39"/>
              <w:spacing w:after="0" w:line="240" w:lineRule="auto"/>
              <w:rPr>
                <w:rFonts w:eastAsia="Times New Roman" w:cs="Times New Roman"/>
                <w:noProof/>
              </w:rPr>
            </w:pPr>
            <w:r w:rsidRPr="00BC4EE7">
              <w:rPr>
                <w:rFonts w:cs="Times New Roman"/>
                <w:noProof/>
              </w:rPr>
              <w:t>A megújuló hidrogénre vonatkozó támogatási rendszer: A végső kedvezményezettekkel aláírt jogi megállapodások vagy közzétett végleges odaítélési határozatok (II.)</w:t>
            </w:r>
          </w:p>
        </w:tc>
      </w:tr>
      <w:tr w:rsidR="00D65CB4" w:rsidRPr="00BC4EE7" w14:paraId="68069B5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58262D1"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486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615DE7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005573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7EF07AF" w14:textId="25FE1524" w:rsidR="00D65CB4" w:rsidRPr="00BC4EE7" w:rsidRDefault="00572307">
            <w:pPr>
              <w:pStyle w:val="P68B1DB1-Normal39"/>
              <w:spacing w:after="0" w:line="240" w:lineRule="auto"/>
              <w:rPr>
                <w:rFonts w:eastAsia="Times New Roman" w:cs="Times New Roman"/>
                <w:noProof/>
              </w:rPr>
            </w:pPr>
            <w:r w:rsidRPr="00BC4EE7">
              <w:rPr>
                <w:rFonts w:cs="Times New Roman"/>
                <w:noProof/>
              </w:rPr>
              <w:t>Az értéklánc támogatási rendszere: A végső kedvezményezettekkel aláírt jogi megállapodások vagy közzétett végleges odaítélési határozatok (II.)</w:t>
            </w:r>
          </w:p>
        </w:tc>
      </w:tr>
      <w:tr w:rsidR="00D65CB4" w:rsidRPr="00BC4EE7" w14:paraId="05809DD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823F7B"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490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FCA3A9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C31.I4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C364B5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9F5CB3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támogatott villamosenergia-átviteli projektek lezárása</w:t>
            </w:r>
          </w:p>
        </w:tc>
      </w:tr>
      <w:tr w:rsidR="00D65CB4" w:rsidRPr="00BC4EE7" w14:paraId="5884615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2344428"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493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A27807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C31.I5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877DEB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9A921D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Dekarbonizációs projektek lezárása</w:t>
            </w:r>
          </w:p>
        </w:tc>
      </w:tr>
      <w:tr w:rsidR="00D65CB4" w:rsidRPr="00BC4EE7" w14:paraId="7C7B002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9981D53"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496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BA9F29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1CD355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08854A2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ipari dekarbonizáció támogatási rendszere: A végső kedvezményezettekkel aláírt jogi megállapodások vagy a végső odaítélési határozatok közzététele</w:t>
            </w:r>
          </w:p>
        </w:tc>
      </w:tr>
      <w:tr w:rsidR="00D65CB4" w:rsidRPr="00BC4EE7" w14:paraId="651D1B6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FEAB7EF" w14:textId="77777777" w:rsidR="00D65CB4" w:rsidRPr="00BC4EE7" w:rsidRDefault="00D65CB4">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A9F4CA0" w14:textId="77777777" w:rsidR="00D65CB4" w:rsidRPr="00BC4EE7" w:rsidRDefault="00D65CB4">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C4B7940" w14:textId="09326149" w:rsidR="00D65CB4" w:rsidRPr="00BC4EE7" w:rsidRDefault="00572307">
            <w:pPr>
              <w:pStyle w:val="P68B1DB1-Normal38"/>
              <w:spacing w:after="0" w:line="240" w:lineRule="auto"/>
              <w:rPr>
                <w:rFonts w:eastAsia="Times New Roman" w:cs="Times New Roman"/>
                <w:noProof/>
              </w:rPr>
            </w:pPr>
            <w:r w:rsidRPr="00BC4EE7">
              <w:rPr>
                <w:rFonts w:cs="Times New Roman"/>
                <w:noProof/>
              </w:rPr>
              <w:t>Részösszeg</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677985D" w14:textId="05D07DD9" w:rsidR="00D65CB4" w:rsidRPr="00BC4EE7" w:rsidRDefault="00572307">
            <w:pPr>
              <w:pStyle w:val="P68B1DB1-Normal38"/>
              <w:spacing w:after="0" w:line="240" w:lineRule="auto"/>
              <w:rPr>
                <w:rFonts w:eastAsia="Times New Roman" w:cs="Times New Roman"/>
                <w:noProof/>
              </w:rPr>
            </w:pPr>
            <w:r w:rsidRPr="00BC4EE7">
              <w:rPr>
                <w:rFonts w:cs="Times New Roman"/>
                <w:noProof/>
              </w:rPr>
              <w:t>·EURÓPAI BIZOTTSÁG 8 017 775 948 EUR</w:t>
            </w:r>
          </w:p>
        </w:tc>
      </w:tr>
    </w:tbl>
    <w:p w14:paraId="16D5F339" w14:textId="77777777" w:rsidR="00D65CB4" w:rsidRPr="00BC4EE7" w:rsidRDefault="00D65CB4">
      <w:pPr>
        <w:spacing w:before="120" w:after="120" w:line="240" w:lineRule="auto"/>
        <w:jc w:val="both"/>
        <w:rPr>
          <w:rFonts w:ascii="Times New Roman" w:eastAsia="Calibri" w:hAnsi="Times New Roman" w:cs="Times New Roman"/>
          <w:noProof/>
          <w:sz w:val="24"/>
        </w:rPr>
      </w:pPr>
    </w:p>
    <w:p w14:paraId="0CA79CFD" w14:textId="30DF263D" w:rsidR="00D65CB4" w:rsidRPr="00BC4EE7" w:rsidRDefault="00572307">
      <w:pPr>
        <w:pStyle w:val="P68B1DB1-Normal36"/>
        <w:numPr>
          <w:ilvl w:val="0"/>
          <w:numId w:val="50"/>
        </w:numPr>
        <w:spacing w:before="120" w:after="120" w:line="240" w:lineRule="auto"/>
        <w:jc w:val="both"/>
        <w:rPr>
          <w:rFonts w:eastAsia="Calibri" w:cs="Times New Roman"/>
          <w:noProof/>
        </w:rPr>
      </w:pPr>
      <w:r w:rsidRPr="00BC4EE7">
        <w:rPr>
          <w:rFonts w:cs="Times New Roman"/>
          <w:noProof/>
        </w:rPr>
        <w:t xml:space="preserve">Kölcsön </w:t>
      </w:r>
    </w:p>
    <w:p w14:paraId="153E4591" w14:textId="78F92C86" w:rsidR="00D65CB4" w:rsidRPr="00BC4EE7" w:rsidRDefault="00572307">
      <w:pPr>
        <w:pStyle w:val="P68B1DB1-Normal4"/>
        <w:spacing w:before="120" w:after="120" w:line="240" w:lineRule="auto"/>
        <w:ind w:left="850"/>
        <w:jc w:val="both"/>
        <w:rPr>
          <w:rFonts w:eastAsia="Calibri" w:cs="Times New Roman"/>
          <w:noProof/>
        </w:rPr>
      </w:pPr>
      <w:r w:rsidRPr="00BC4EE7">
        <w:rPr>
          <w:rFonts w:cs="Times New Roman"/>
          <w:noProof/>
        </w:rPr>
        <w:t>A 2a. cikk (2) bekezdésében említett részleteket a következőképpen kell megszervezni:</w:t>
      </w:r>
    </w:p>
    <w:p w14:paraId="37C02A2E" w14:textId="77777777" w:rsidR="00D65CB4" w:rsidRPr="00BC4EE7" w:rsidRDefault="00572307">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sidRPr="00BC4EE7">
        <w:rPr>
          <w:rFonts w:cs="Times New Roman"/>
          <w:noProof/>
        </w:rPr>
        <w:t xml:space="preserve">Első részösszeg (hitel formájában nyújtott támogatás): </w:t>
      </w:r>
    </w:p>
    <w:tbl>
      <w:tblPr>
        <w:tblW w:w="9663" w:type="dxa"/>
        <w:tblInd w:w="113" w:type="dxa"/>
        <w:tblLook w:val="04A0" w:firstRow="1" w:lastRow="0" w:firstColumn="1" w:lastColumn="0" w:noHBand="0" w:noVBand="1"/>
      </w:tblPr>
      <w:tblGrid>
        <w:gridCol w:w="1300"/>
        <w:gridCol w:w="1443"/>
        <w:gridCol w:w="1250"/>
        <w:gridCol w:w="5670"/>
      </w:tblGrid>
      <w:tr w:rsidR="00D65CB4" w:rsidRPr="00BC4EE7" w14:paraId="69124C72" w14:textId="77777777">
        <w:trPr>
          <w:trHeight w:val="906"/>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621F0831" w14:textId="77777777"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Sorszám</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5B8A25B4" w14:textId="77777777"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Kapcsolódó intézkedés (reform vagy beruházás)</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5DD5456D" w14:textId="64BCC99C"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Mérföldkő/</w:t>
            </w:r>
            <w:r>
              <w:rPr>
                <w:rFonts w:cs="Times New Roman"/>
                <w:noProof/>
              </w:rPr>
              <w:br/>
            </w:r>
            <w:r w:rsidRPr="00BC4EE7">
              <w:rPr>
                <w:rFonts w:cs="Times New Roman"/>
                <w:noProof/>
              </w:rPr>
              <w:t>cél</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59D55B09" w14:textId="77777777"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Név</w:t>
            </w:r>
          </w:p>
        </w:tc>
      </w:tr>
      <w:tr w:rsidR="00D65CB4" w:rsidRPr="00BC4EE7" w14:paraId="0C3E33E9"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7E0BABFE" w14:textId="77777777" w:rsidR="00D65CB4" w:rsidRPr="00BC4EE7" w:rsidRDefault="00D65CB4">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20D235C6" w14:textId="77777777" w:rsidR="00D65CB4" w:rsidRPr="00BC4EE7" w:rsidRDefault="00D65CB4">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3B65A234" w14:textId="77777777" w:rsidR="00D65CB4" w:rsidRPr="00BC4EE7" w:rsidRDefault="00D65CB4">
            <w:pPr>
              <w:spacing w:after="0" w:line="240" w:lineRule="auto"/>
              <w:rPr>
                <w:rFonts w:ascii="Times New Roman" w:eastAsia="Times New Roman" w:hAnsi="Times New Roman" w:cs="Times New Roman"/>
                <w:b/>
                <w:noProof/>
                <w:sz w:val="20"/>
              </w:rPr>
            </w:pPr>
          </w:p>
        </w:tc>
        <w:tc>
          <w:tcPr>
            <w:tcW w:w="5670" w:type="dxa"/>
            <w:vMerge/>
            <w:tcBorders>
              <w:top w:val="single" w:sz="4" w:space="0" w:color="auto"/>
              <w:left w:val="nil"/>
              <w:bottom w:val="single" w:sz="4" w:space="0" w:color="000000"/>
              <w:right w:val="single" w:sz="4" w:space="0" w:color="auto"/>
            </w:tcBorders>
            <w:vAlign w:val="center"/>
            <w:hideMark/>
          </w:tcPr>
          <w:p w14:paraId="450C8459" w14:textId="77777777" w:rsidR="00D65CB4" w:rsidRPr="00BC4EE7" w:rsidRDefault="00D65CB4">
            <w:pPr>
              <w:spacing w:after="0" w:line="240" w:lineRule="auto"/>
              <w:rPr>
                <w:rFonts w:ascii="Times New Roman" w:eastAsia="Times New Roman" w:hAnsi="Times New Roman" w:cs="Times New Roman"/>
                <w:b/>
                <w:noProof/>
                <w:sz w:val="20"/>
              </w:rPr>
            </w:pPr>
          </w:p>
        </w:tc>
      </w:tr>
      <w:tr w:rsidR="00D65CB4" w:rsidRPr="00BC4EE7" w14:paraId="7B3EA417" w14:textId="77777777">
        <w:trPr>
          <w:trHeight w:val="302"/>
        </w:trPr>
        <w:tc>
          <w:tcPr>
            <w:tcW w:w="1300" w:type="dxa"/>
            <w:tcBorders>
              <w:top w:val="nil"/>
              <w:left w:val="single" w:sz="4" w:space="0" w:color="auto"/>
              <w:bottom w:val="single" w:sz="4" w:space="0" w:color="auto"/>
              <w:right w:val="single" w:sz="4" w:space="0" w:color="auto"/>
            </w:tcBorders>
            <w:shd w:val="clear" w:color="auto" w:fill="C6EFCE"/>
            <w:noWrap/>
            <w:vAlign w:val="bottom"/>
            <w:hideMark/>
          </w:tcPr>
          <w:p w14:paraId="495A227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L1</w:t>
            </w:r>
          </w:p>
        </w:tc>
        <w:tc>
          <w:tcPr>
            <w:tcW w:w="1443" w:type="dxa"/>
            <w:tcBorders>
              <w:top w:val="nil"/>
              <w:left w:val="nil"/>
              <w:bottom w:val="single" w:sz="4" w:space="0" w:color="auto"/>
              <w:right w:val="single" w:sz="4" w:space="0" w:color="auto"/>
            </w:tcBorders>
            <w:shd w:val="clear" w:color="auto" w:fill="C6EFCE"/>
            <w:noWrap/>
            <w:vAlign w:val="bottom"/>
            <w:hideMark/>
          </w:tcPr>
          <w:p w14:paraId="21EA4C7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C1.R3</w:t>
            </w:r>
          </w:p>
        </w:tc>
        <w:tc>
          <w:tcPr>
            <w:tcW w:w="1250" w:type="dxa"/>
            <w:tcBorders>
              <w:top w:val="nil"/>
              <w:left w:val="nil"/>
              <w:bottom w:val="single" w:sz="4" w:space="0" w:color="auto"/>
              <w:right w:val="single" w:sz="4" w:space="0" w:color="auto"/>
            </w:tcBorders>
            <w:shd w:val="clear" w:color="auto" w:fill="C6EFCE"/>
            <w:noWrap/>
            <w:vAlign w:val="bottom"/>
            <w:hideMark/>
          </w:tcPr>
          <w:p w14:paraId="34841B0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nil"/>
              <w:left w:val="nil"/>
              <w:bottom w:val="single" w:sz="4" w:space="0" w:color="auto"/>
              <w:right w:val="single" w:sz="4" w:space="0" w:color="auto"/>
            </w:tcBorders>
            <w:shd w:val="clear" w:color="auto" w:fill="C6EFCE"/>
            <w:noWrap/>
            <w:vAlign w:val="bottom"/>
            <w:hideMark/>
          </w:tcPr>
          <w:p w14:paraId="4B0E361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alacsony kibocsátású zónákat szabályozó királyi rendelet hatálybalépése</w:t>
            </w:r>
          </w:p>
        </w:tc>
      </w:tr>
      <w:tr w:rsidR="00D65CB4" w:rsidRPr="00BC4EE7" w14:paraId="7801387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D29F0FB" w14:textId="77777777" w:rsidR="00D65CB4" w:rsidRPr="00BC4EE7" w:rsidRDefault="00D65CB4">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D0E92F1" w14:textId="77777777" w:rsidR="00D65CB4" w:rsidRPr="00BC4EE7" w:rsidRDefault="00D65CB4">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3280582" w14:textId="77777777" w:rsidR="00D65CB4" w:rsidRPr="00BC4EE7" w:rsidRDefault="00572307">
            <w:pPr>
              <w:pStyle w:val="P68B1DB1-Normal38"/>
              <w:spacing w:after="0" w:line="240" w:lineRule="auto"/>
              <w:rPr>
                <w:rFonts w:eastAsia="Times New Roman" w:cs="Times New Roman"/>
                <w:noProof/>
              </w:rPr>
            </w:pPr>
            <w:r w:rsidRPr="00BC4EE7">
              <w:rPr>
                <w:rFonts w:cs="Times New Roman"/>
                <w:noProof/>
              </w:rPr>
              <w:t>Részösszeg</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16843E3" w14:textId="26061622" w:rsidR="00D65CB4" w:rsidRPr="00BC4EE7" w:rsidRDefault="00572307">
            <w:pPr>
              <w:pStyle w:val="P68B1DB1-Normal38"/>
              <w:spacing w:after="0" w:line="240" w:lineRule="auto"/>
              <w:rPr>
                <w:rFonts w:eastAsia="Times New Roman" w:cs="Times New Roman"/>
                <w:noProof/>
              </w:rPr>
            </w:pPr>
            <w:r w:rsidRPr="00BC4EE7">
              <w:rPr>
                <w:rFonts w:cs="Times New Roman"/>
                <w:noProof/>
              </w:rPr>
              <w:t>·EURÓPAI BIZOTTSÁG 528 000 381 EUR</w:t>
            </w:r>
          </w:p>
        </w:tc>
      </w:tr>
    </w:tbl>
    <w:p w14:paraId="61DF7D93" w14:textId="77777777" w:rsidR="00D65CB4" w:rsidRPr="00BC4EE7" w:rsidRDefault="00D65CB4">
      <w:pPr>
        <w:spacing w:before="120" w:after="120" w:line="240" w:lineRule="auto"/>
        <w:jc w:val="both"/>
        <w:rPr>
          <w:rFonts w:ascii="Times New Roman" w:eastAsia="Calibri" w:hAnsi="Times New Roman" w:cs="Times New Roman"/>
          <w:noProof/>
          <w:sz w:val="24"/>
        </w:rPr>
      </w:pPr>
    </w:p>
    <w:p w14:paraId="5463D0DD" w14:textId="77777777" w:rsidR="00D65CB4" w:rsidRPr="00BC4EE7" w:rsidRDefault="00D65CB4">
      <w:pPr>
        <w:numPr>
          <w:ilvl w:val="1"/>
          <w:numId w:val="50"/>
        </w:numPr>
        <w:tabs>
          <w:tab w:val="clear" w:pos="6236"/>
          <w:tab w:val="num" w:pos="850"/>
        </w:tabs>
        <w:spacing w:before="120" w:after="120" w:line="240" w:lineRule="auto"/>
        <w:ind w:left="850"/>
        <w:jc w:val="both"/>
        <w:rPr>
          <w:rFonts w:ascii="Times New Roman" w:hAnsi="Times New Roman" w:cs="Times New Roman"/>
          <w:noProof/>
          <w:sz w:val="24"/>
        </w:rPr>
        <w:sectPr w:rsidR="00D65CB4" w:rsidRPr="00BC4EE7" w:rsidSect="00B511EF">
          <w:headerReference w:type="even" r:id="rId640"/>
          <w:headerReference w:type="default" r:id="rId641"/>
          <w:footerReference w:type="even" r:id="rId642"/>
          <w:footerReference w:type="default" r:id="rId643"/>
          <w:headerReference w:type="first" r:id="rId644"/>
          <w:footerReference w:type="first" r:id="rId645"/>
          <w:pgSz w:w="11907" w:h="16839"/>
          <w:pgMar w:top="1134" w:right="1134" w:bottom="1134" w:left="1134" w:header="567" w:footer="567" w:gutter="0"/>
          <w:cols w:space="720"/>
          <w:docGrid w:linePitch="360"/>
        </w:sectPr>
      </w:pPr>
    </w:p>
    <w:p w14:paraId="55E15C86" w14:textId="77777777" w:rsidR="00D65CB4" w:rsidRPr="00BC4EE7" w:rsidRDefault="00572307">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sidRPr="00BC4EE7">
        <w:rPr>
          <w:rFonts w:cs="Times New Roman"/>
          <w:noProof/>
        </w:rPr>
        <w:t xml:space="preserve">Második részösszeg (hitel formájában nyújtott támogatás): </w:t>
      </w:r>
    </w:p>
    <w:tbl>
      <w:tblPr>
        <w:tblW w:w="9663" w:type="dxa"/>
        <w:tblInd w:w="113" w:type="dxa"/>
        <w:tblLook w:val="04A0" w:firstRow="1" w:lastRow="0" w:firstColumn="1" w:lastColumn="0" w:noHBand="0" w:noVBand="1"/>
      </w:tblPr>
      <w:tblGrid>
        <w:gridCol w:w="1297"/>
        <w:gridCol w:w="1443"/>
        <w:gridCol w:w="1253"/>
        <w:gridCol w:w="5670"/>
      </w:tblGrid>
      <w:tr w:rsidR="00D65CB4" w:rsidRPr="00BC4EE7" w14:paraId="070EFD94" w14:textId="77777777">
        <w:trPr>
          <w:trHeight w:val="906"/>
        </w:trPr>
        <w:tc>
          <w:tcPr>
            <w:tcW w:w="1297"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1A75EA4" w14:textId="77777777"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Sorszám</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CE68AE0" w14:textId="77777777"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Kapcsolódó intézkedés (reform vagy beruházás)</w:t>
            </w:r>
          </w:p>
        </w:tc>
        <w:tc>
          <w:tcPr>
            <w:tcW w:w="125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36A9049" w14:textId="398F60EE"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Mérföldkő/</w:t>
            </w:r>
            <w:r>
              <w:rPr>
                <w:rFonts w:cs="Times New Roman"/>
                <w:noProof/>
              </w:rPr>
              <w:br/>
            </w:r>
            <w:r w:rsidRPr="00BC4EE7">
              <w:rPr>
                <w:rFonts w:cs="Times New Roman"/>
                <w:noProof/>
              </w:rPr>
              <w:t>cél</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6A2E2359" w14:textId="77777777"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Név</w:t>
            </w:r>
          </w:p>
        </w:tc>
      </w:tr>
      <w:tr w:rsidR="00D65CB4" w:rsidRPr="00BC4EE7" w14:paraId="334484C5" w14:textId="77777777">
        <w:trPr>
          <w:trHeight w:val="509"/>
        </w:trPr>
        <w:tc>
          <w:tcPr>
            <w:tcW w:w="1297" w:type="dxa"/>
            <w:vMerge/>
            <w:tcBorders>
              <w:top w:val="single" w:sz="4" w:space="0" w:color="auto"/>
              <w:left w:val="single" w:sz="4" w:space="0" w:color="auto"/>
              <w:bottom w:val="single" w:sz="4" w:space="0" w:color="000000"/>
              <w:right w:val="single" w:sz="4" w:space="0" w:color="auto"/>
            </w:tcBorders>
            <w:vAlign w:val="center"/>
            <w:hideMark/>
          </w:tcPr>
          <w:p w14:paraId="6522CDFC" w14:textId="77777777" w:rsidR="00D65CB4" w:rsidRPr="00BC4EE7" w:rsidRDefault="00D65CB4">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034537BC" w14:textId="77777777" w:rsidR="00D65CB4" w:rsidRPr="00BC4EE7" w:rsidRDefault="00D65CB4">
            <w:pPr>
              <w:spacing w:after="0" w:line="240" w:lineRule="auto"/>
              <w:rPr>
                <w:rFonts w:ascii="Times New Roman" w:eastAsia="Times New Roman" w:hAnsi="Times New Roman" w:cs="Times New Roman"/>
                <w:b/>
                <w:noProof/>
                <w:sz w:val="20"/>
              </w:rPr>
            </w:pPr>
          </w:p>
        </w:tc>
        <w:tc>
          <w:tcPr>
            <w:tcW w:w="1253" w:type="dxa"/>
            <w:vMerge/>
            <w:tcBorders>
              <w:top w:val="single" w:sz="4" w:space="0" w:color="auto"/>
              <w:left w:val="single" w:sz="4" w:space="0" w:color="auto"/>
              <w:bottom w:val="single" w:sz="4" w:space="0" w:color="000000"/>
              <w:right w:val="single" w:sz="4" w:space="0" w:color="auto"/>
            </w:tcBorders>
            <w:vAlign w:val="center"/>
            <w:hideMark/>
          </w:tcPr>
          <w:p w14:paraId="1177CC17" w14:textId="77777777" w:rsidR="00D65CB4" w:rsidRPr="00BC4EE7" w:rsidRDefault="00D65CB4">
            <w:pPr>
              <w:spacing w:after="0" w:line="240" w:lineRule="auto"/>
              <w:rPr>
                <w:rFonts w:ascii="Times New Roman" w:eastAsia="Times New Roman" w:hAnsi="Times New Roman" w:cs="Times New Roman"/>
                <w:b/>
                <w:noProof/>
                <w:sz w:val="20"/>
              </w:rPr>
            </w:pPr>
          </w:p>
        </w:tc>
        <w:tc>
          <w:tcPr>
            <w:tcW w:w="5670" w:type="dxa"/>
            <w:vMerge/>
            <w:tcBorders>
              <w:top w:val="single" w:sz="4" w:space="0" w:color="auto"/>
              <w:left w:val="nil"/>
              <w:bottom w:val="single" w:sz="4" w:space="0" w:color="000000"/>
              <w:right w:val="single" w:sz="4" w:space="0" w:color="auto"/>
            </w:tcBorders>
            <w:vAlign w:val="center"/>
            <w:hideMark/>
          </w:tcPr>
          <w:p w14:paraId="3BDD48F4" w14:textId="77777777" w:rsidR="00D65CB4" w:rsidRPr="00BC4EE7" w:rsidRDefault="00D65CB4">
            <w:pPr>
              <w:spacing w:after="0" w:line="240" w:lineRule="auto"/>
              <w:rPr>
                <w:rFonts w:ascii="Times New Roman" w:eastAsia="Times New Roman" w:hAnsi="Times New Roman" w:cs="Times New Roman"/>
                <w:b/>
                <w:noProof/>
                <w:sz w:val="20"/>
              </w:rPr>
            </w:pPr>
          </w:p>
        </w:tc>
      </w:tr>
      <w:tr w:rsidR="00D65CB4" w:rsidRPr="00BC4EE7" w14:paraId="38EA10FF" w14:textId="7777777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6A64205"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33FAC7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C2.I7</w:t>
            </w: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0CC7DAE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A256D9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Végrehajtási megállapodás</w:t>
            </w:r>
          </w:p>
        </w:tc>
      </w:tr>
      <w:tr w:rsidR="00D65CB4" w:rsidRPr="00BC4EE7" w14:paraId="156E1DF5" w14:textId="7777777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BA06059"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L10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29D286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C3.I12</w:t>
            </w: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5222AFE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7C2561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Mezőgazdasági, Halászati és Élelmiszerügyi Minisztérium (MAPA) és a SEIASA közötti, az öntözött területek javítását és fenntarthatóságát támogató megállapodás végrehajtása (III. szakasz)</w:t>
            </w:r>
          </w:p>
        </w:tc>
      </w:tr>
      <w:tr w:rsidR="00D65CB4" w:rsidRPr="00BC4EE7" w14:paraId="78F900DE" w14:textId="7777777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C7FF2CE"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L25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392A88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C13.I6</w:t>
            </w: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7C57CE6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F97432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Végrehajtási megállapodás ICO-val az ICO zöld vonaláról</w:t>
            </w:r>
          </w:p>
        </w:tc>
      </w:tr>
      <w:tr w:rsidR="00D65CB4" w:rsidRPr="00BC4EE7" w14:paraId="32F6F2C5" w14:textId="7777777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3A33798"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L30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79867E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C13.I6</w:t>
            </w: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1CD7172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29F43C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Az ICO-vállalkozásokra és vállalkozókra vonatkozó végrehajtási megállapodás (beleértve a részvényalapokat is) </w:t>
            </w:r>
          </w:p>
        </w:tc>
      </w:tr>
      <w:tr w:rsidR="00D65CB4" w:rsidRPr="00BC4EE7" w14:paraId="62DBFCE4" w14:textId="7777777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6CC3720"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L35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36BA30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C13.I7</w:t>
            </w: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7359828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BF0759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Következő Tech-alap – Végrehajtási megállapodás a tengelyrel </w:t>
            </w:r>
          </w:p>
        </w:tc>
      </w:tr>
      <w:tr w:rsidR="00D65CB4" w:rsidRPr="00BC4EE7" w14:paraId="3B3ADF4C" w14:textId="7777777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C81AB45"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L53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9433E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C13.I13</w:t>
            </w: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2197395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17EDEE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Regionális Rezilienciaépítési Alap: Végrehajtási megállapodás </w:t>
            </w:r>
          </w:p>
        </w:tc>
      </w:tr>
      <w:tr w:rsidR="00D65CB4" w:rsidRPr="00BC4EE7" w14:paraId="5BAD0CF1" w14:textId="7777777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C953F19"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L63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4A28FC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C15.I9</w:t>
            </w: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4B729C2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6DCB23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Csipfinanszírozási eszköz: A finanszírozási mechanizmus hivatalos jóváhagyása</w:t>
            </w:r>
          </w:p>
        </w:tc>
      </w:tr>
      <w:tr w:rsidR="00D65CB4" w:rsidRPr="00BC4EE7" w14:paraId="32057403" w14:textId="7777777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8D65F28"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L77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30D40B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C25.I3</w:t>
            </w: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5E77CB3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4BC2C8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ICO Audiovizuális Platform Alap: Végrehajtási megállapodás </w:t>
            </w:r>
          </w:p>
        </w:tc>
      </w:tr>
      <w:tr w:rsidR="00D65CB4" w:rsidRPr="00BC4EE7" w14:paraId="37E56C78" w14:textId="7777777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ECD007F" w14:textId="77777777" w:rsidR="00D65CB4" w:rsidRPr="00BC4EE7" w:rsidRDefault="00D65CB4">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998C115" w14:textId="77777777" w:rsidR="00D65CB4" w:rsidRPr="00BC4EE7" w:rsidRDefault="00D65CB4">
            <w:pPr>
              <w:spacing w:after="0" w:line="240" w:lineRule="auto"/>
              <w:rPr>
                <w:rFonts w:ascii="Times New Roman" w:eastAsia="Times New Roman" w:hAnsi="Times New Roman" w:cs="Times New Roman"/>
                <w:noProof/>
                <w:sz w:val="20"/>
              </w:rPr>
            </w:pP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34341E44" w14:textId="5A729F87" w:rsidR="00D65CB4" w:rsidRPr="00BC4EE7" w:rsidRDefault="00572307">
            <w:pPr>
              <w:pStyle w:val="P68B1DB1-Normal38"/>
              <w:spacing w:after="0" w:line="240" w:lineRule="auto"/>
              <w:rPr>
                <w:rFonts w:eastAsia="Times New Roman" w:cs="Times New Roman"/>
                <w:noProof/>
              </w:rPr>
            </w:pPr>
            <w:r w:rsidRPr="00BC4EE7">
              <w:rPr>
                <w:rFonts w:cs="Times New Roman"/>
                <w:noProof/>
              </w:rPr>
              <w:t>Részösszeg</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E79F629" w14:textId="38065E16" w:rsidR="00D65CB4" w:rsidRPr="00BC4EE7" w:rsidRDefault="00572307">
            <w:pPr>
              <w:pStyle w:val="P68B1DB1-Normal38"/>
              <w:spacing w:after="0" w:line="240" w:lineRule="auto"/>
              <w:rPr>
                <w:rFonts w:eastAsia="Times New Roman" w:cs="Times New Roman"/>
                <w:noProof/>
              </w:rPr>
            </w:pPr>
            <w:r w:rsidRPr="00BC4EE7">
              <w:rPr>
                <w:rFonts w:cs="Times New Roman"/>
                <w:noProof/>
              </w:rPr>
              <w:t>·EURÓPAI BIZOTTSÁG 14 916 010 762 EUR</w:t>
            </w:r>
          </w:p>
        </w:tc>
      </w:tr>
    </w:tbl>
    <w:p w14:paraId="07D30D6F" w14:textId="77777777" w:rsidR="00D65CB4" w:rsidRPr="00BC4EE7" w:rsidRDefault="00D65CB4">
      <w:pPr>
        <w:spacing w:before="120" w:after="120" w:line="240" w:lineRule="auto"/>
        <w:jc w:val="both"/>
        <w:rPr>
          <w:rFonts w:ascii="Times New Roman" w:eastAsia="Calibri" w:hAnsi="Times New Roman" w:cs="Times New Roman"/>
          <w:noProof/>
          <w:sz w:val="24"/>
        </w:rPr>
      </w:pPr>
    </w:p>
    <w:p w14:paraId="46B70403" w14:textId="77777777" w:rsidR="00D65CB4" w:rsidRPr="00BC4EE7" w:rsidRDefault="00572307">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sidRPr="00BC4EE7">
        <w:rPr>
          <w:rFonts w:cs="Times New Roman"/>
          <w:noProof/>
        </w:rPr>
        <w:t xml:space="preserve">Harmadik részösszeg (hitel formájában nyújtott támogatás): </w:t>
      </w:r>
    </w:p>
    <w:tbl>
      <w:tblPr>
        <w:tblW w:w="9663" w:type="dxa"/>
        <w:tblInd w:w="113" w:type="dxa"/>
        <w:tblLook w:val="04A0" w:firstRow="1" w:lastRow="0" w:firstColumn="1" w:lastColumn="0" w:noHBand="0" w:noVBand="1"/>
      </w:tblPr>
      <w:tblGrid>
        <w:gridCol w:w="1300"/>
        <w:gridCol w:w="1443"/>
        <w:gridCol w:w="1250"/>
        <w:gridCol w:w="5670"/>
      </w:tblGrid>
      <w:tr w:rsidR="00D65CB4" w:rsidRPr="00BC4EE7" w14:paraId="14C9FC28" w14:textId="77777777">
        <w:trPr>
          <w:trHeight w:val="906"/>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7621B2C4" w14:textId="77777777"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Sorszám</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05D3F494" w14:textId="77777777"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Kapcsolódó intézkedés (reform vagy beruházás)</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2F5A907B" w14:textId="4C865C95"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Mérföldkő/</w:t>
            </w:r>
            <w:r>
              <w:rPr>
                <w:rFonts w:cs="Times New Roman"/>
                <w:noProof/>
              </w:rPr>
              <w:br/>
            </w:r>
            <w:r w:rsidRPr="00BC4EE7">
              <w:rPr>
                <w:rFonts w:cs="Times New Roman"/>
                <w:noProof/>
              </w:rPr>
              <w:t>cél</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406599CC" w14:textId="77777777"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Név</w:t>
            </w:r>
          </w:p>
        </w:tc>
      </w:tr>
      <w:tr w:rsidR="00D65CB4" w:rsidRPr="00BC4EE7" w14:paraId="33AA8FF5"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23DB443A" w14:textId="77777777" w:rsidR="00D65CB4" w:rsidRPr="00BC4EE7" w:rsidRDefault="00D65CB4">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2DD539AA" w14:textId="77777777" w:rsidR="00D65CB4" w:rsidRPr="00BC4EE7" w:rsidRDefault="00D65CB4">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68120B5E" w14:textId="77777777" w:rsidR="00D65CB4" w:rsidRPr="00BC4EE7" w:rsidRDefault="00D65CB4">
            <w:pPr>
              <w:spacing w:after="0" w:line="240" w:lineRule="auto"/>
              <w:rPr>
                <w:rFonts w:ascii="Times New Roman" w:eastAsia="Times New Roman" w:hAnsi="Times New Roman" w:cs="Times New Roman"/>
                <w:b/>
                <w:noProof/>
                <w:sz w:val="20"/>
              </w:rPr>
            </w:pPr>
          </w:p>
        </w:tc>
        <w:tc>
          <w:tcPr>
            <w:tcW w:w="5670" w:type="dxa"/>
            <w:vMerge/>
            <w:tcBorders>
              <w:top w:val="single" w:sz="4" w:space="0" w:color="auto"/>
              <w:left w:val="nil"/>
              <w:bottom w:val="single" w:sz="4" w:space="0" w:color="000000"/>
              <w:right w:val="single" w:sz="4" w:space="0" w:color="auto"/>
            </w:tcBorders>
            <w:vAlign w:val="center"/>
            <w:hideMark/>
          </w:tcPr>
          <w:p w14:paraId="174B0279" w14:textId="77777777" w:rsidR="00D65CB4" w:rsidRPr="00BC4EE7" w:rsidRDefault="00D65CB4">
            <w:pPr>
              <w:spacing w:after="0" w:line="240" w:lineRule="auto"/>
              <w:rPr>
                <w:rFonts w:ascii="Times New Roman" w:eastAsia="Times New Roman" w:hAnsi="Times New Roman" w:cs="Times New Roman"/>
                <w:b/>
                <w:noProof/>
                <w:sz w:val="20"/>
              </w:rPr>
            </w:pPr>
          </w:p>
        </w:tc>
      </w:tr>
      <w:tr w:rsidR="00D65CB4" w:rsidRPr="00BC4EE7" w14:paraId="1AD6171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1618618"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L12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62034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C4.R4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C23F23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A0EF4E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Az elsivatagosodás elleni küzdelemre irányuló nemzeti stratégia és a kapcsolódó cselekvési terv (2022–2026) elfogadása, valamint testületi testületek létrehozása.  </w:t>
            </w:r>
          </w:p>
        </w:tc>
      </w:tr>
      <w:tr w:rsidR="00D65CB4" w:rsidRPr="00BC4EE7" w14:paraId="76E401A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3FA6E11"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L15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95D6B8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C6.R3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FF2DC5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2FC5F6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Energiahatékonysági stratégia</w:t>
            </w:r>
          </w:p>
        </w:tc>
      </w:tr>
      <w:tr w:rsidR="00D65CB4" w:rsidRPr="00BC4EE7" w14:paraId="5A7F8A7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4202F59"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L18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1C52E7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495645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2379C9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Rendelet a Biztonsági és Rezilienciaépítési Alap létrehozásáról </w:t>
            </w:r>
          </w:p>
        </w:tc>
      </w:tr>
      <w:tr w:rsidR="00D65CB4" w:rsidRPr="00BC4EE7" w14:paraId="73A55D6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9F0C422"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L22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4A14DA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C12.I7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B2DD35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810B2B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Támogatási program az elektromos autók és az agrár-élelmiszeripar értékláncában megvalósuló stratégiai projektekhez (kölcsönök): A minisztérium befejezte a beruházást</w:t>
            </w:r>
          </w:p>
        </w:tc>
      </w:tr>
      <w:tr w:rsidR="00D65CB4" w:rsidRPr="00BC4EE7" w14:paraId="038190D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9FD8F2A"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L23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F6A083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C12.I7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1C9E42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9433CD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Támogatási program az elektromos autók és az agrár-élelmiszeripar értékláncában megvalósuló stratégiai projektekhez (kölcsönök): A rendszer létrehozása</w:t>
            </w:r>
          </w:p>
        </w:tc>
      </w:tr>
      <w:tr w:rsidR="00D65CB4" w:rsidRPr="00BC4EE7" w14:paraId="266D0BB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62E2614"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L25a</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3778B3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C25389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AF8D0B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ICO zöld vonal – A végső kedvezményezettekkel (beleértve a tőkealapokat is) aláírt jogi megállapodások (I)</w:t>
            </w:r>
          </w:p>
        </w:tc>
      </w:tr>
      <w:tr w:rsidR="00D65CB4" w:rsidRPr="00BC4EE7" w14:paraId="4505375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C9E83AA"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L40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82DD86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1D340A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065309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Foco – Az alapot létrehozó rendeletek</w:t>
            </w:r>
          </w:p>
        </w:tc>
      </w:tr>
      <w:tr w:rsidR="00D65CB4" w:rsidRPr="00BC4EE7" w14:paraId="2E61D69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427F5F1"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L44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C130CC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C13.I9</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1DDC2E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38AC98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Szolvenciatámogatási Alap a stratégiai vállalkozások számára</w:t>
            </w:r>
          </w:p>
        </w:tc>
      </w:tr>
      <w:tr w:rsidR="00D65CB4" w:rsidRPr="00BC4EE7" w14:paraId="62B6089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A7278FB"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L47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498276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C13.I12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C2B60D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72E350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ENISA Vállalkozás- és Kkv-alap – Végrehajtási megállapodás</w:t>
            </w:r>
          </w:p>
        </w:tc>
      </w:tr>
      <w:tr w:rsidR="00D65CB4" w:rsidRPr="00BC4EE7" w14:paraId="7DA56D6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C756784"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L51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F11362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257521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AF5AAC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Regionális Rezilienciaépítési Alap – InvestEU: A spanyol kormány és az Európai Bizottság közötti hozzájárulási megállapodás aláírása</w:t>
            </w:r>
          </w:p>
        </w:tc>
      </w:tr>
      <w:tr w:rsidR="00D65CB4" w:rsidRPr="00BC4EE7" w14:paraId="5581456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E622151"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L54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5A4FCA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57DD03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6AA7CC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Regionális Rezilienciaépítési Alap – Egyéb tételek: A végső kedvezményezettekkel aláírt jogi megállapodások (beleértve a tőkealapokat is) (I)</w:t>
            </w:r>
          </w:p>
        </w:tc>
      </w:tr>
      <w:tr w:rsidR="00D65CB4" w:rsidRPr="00BC4EE7" w14:paraId="173642B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B50E805"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L58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9E1F2F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C32BDD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1A94E8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Regionális Rezilienciaépítési Alap – Közvetlen költségvetési irányvonal: A végső kedvezményezettekkel aláírt jogi megállapodások (I)</w:t>
            </w:r>
          </w:p>
        </w:tc>
      </w:tr>
      <w:tr w:rsidR="00D65CB4" w:rsidRPr="00BC4EE7" w14:paraId="42BAD5E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7AA7718"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L68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1A79CE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C17.I10</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63BF55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53F916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Pénzeszközök kötelezettségvállalása hitelek formájában az egészségügyi és az űrrepülési ágazat támogatására</w:t>
            </w:r>
          </w:p>
        </w:tc>
      </w:tr>
      <w:tr w:rsidR="00D65CB4" w:rsidRPr="00BC4EE7" w14:paraId="250E927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4AC01AE"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L72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5C91F6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C22.I6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FC70FF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2BCEE4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Szociális Hatásalap: Rendelet az eszköz létrehozásáról</w:t>
            </w:r>
          </w:p>
        </w:tc>
      </w:tr>
      <w:tr w:rsidR="00D65CB4" w:rsidRPr="00BC4EE7" w14:paraId="27ABB9E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B164D5B"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L83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A2704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C31.I7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FBA33E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566E6A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Az ipar dekarbonizációjához nyújtott támogatásra vonatkozó felhívások és szabályok közzététele. </w:t>
            </w:r>
          </w:p>
        </w:tc>
      </w:tr>
      <w:tr w:rsidR="00D65CB4" w:rsidRPr="00BC4EE7" w14:paraId="1FE21F8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20700C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L84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B668F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C31.I7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DE5202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A0E410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Szén-dioxid-mentesítési projektek díjának közzététele</w:t>
            </w:r>
          </w:p>
        </w:tc>
      </w:tr>
      <w:tr w:rsidR="00D65CB4" w:rsidRPr="00BC4EE7" w14:paraId="0CB3433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0E08AC2"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L86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13812F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C31.I8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F3C431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5E63CB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ipari dekarbonizáció támogatási rendszere (hitelek): A minisztérium befejezte a beruházást</w:t>
            </w:r>
          </w:p>
        </w:tc>
      </w:tr>
      <w:tr w:rsidR="00D65CB4" w:rsidRPr="00BC4EE7" w14:paraId="7326C18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4268AEB"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L87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5AC2F7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C31.I8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9A5B6C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560F1B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hitelprogram létrehozása</w:t>
            </w:r>
          </w:p>
        </w:tc>
      </w:tr>
      <w:tr w:rsidR="00D65CB4" w:rsidRPr="00BC4EE7" w14:paraId="50229C7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4144B52" w14:textId="77777777" w:rsidR="00D65CB4" w:rsidRPr="00BC4EE7" w:rsidRDefault="00D65CB4">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99A5B23" w14:textId="77777777" w:rsidR="00D65CB4" w:rsidRPr="00BC4EE7" w:rsidRDefault="00D65CB4">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1A71918" w14:textId="306429B2" w:rsidR="00D65CB4" w:rsidRPr="00BC4EE7" w:rsidRDefault="00572307">
            <w:pPr>
              <w:pStyle w:val="P68B1DB1-Normal38"/>
              <w:spacing w:after="0" w:line="240" w:lineRule="auto"/>
              <w:rPr>
                <w:rFonts w:eastAsia="Times New Roman" w:cs="Times New Roman"/>
                <w:noProof/>
              </w:rPr>
            </w:pPr>
            <w:r w:rsidRPr="00BC4EE7">
              <w:rPr>
                <w:rFonts w:cs="Times New Roman"/>
                <w:noProof/>
              </w:rPr>
              <w:t>Részösszeg</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27A7D38" w14:textId="628D960C" w:rsidR="00D65CB4" w:rsidRPr="00BC4EE7" w:rsidRDefault="00572307">
            <w:pPr>
              <w:pStyle w:val="P68B1DB1-Normal38"/>
              <w:spacing w:after="0" w:line="240" w:lineRule="auto"/>
              <w:rPr>
                <w:rFonts w:eastAsia="Times New Roman" w:cs="Times New Roman"/>
                <w:noProof/>
              </w:rPr>
            </w:pPr>
            <w:r w:rsidRPr="00BC4EE7">
              <w:rPr>
                <w:rFonts w:cs="Times New Roman"/>
                <w:noProof/>
              </w:rPr>
              <w:t>16 632 012 000</w:t>
            </w:r>
          </w:p>
        </w:tc>
      </w:tr>
    </w:tbl>
    <w:p w14:paraId="2F080BC8" w14:textId="77777777" w:rsidR="00D65CB4" w:rsidRPr="00BC4EE7" w:rsidRDefault="00D65CB4">
      <w:pPr>
        <w:spacing w:before="120" w:after="120" w:line="240" w:lineRule="auto"/>
        <w:jc w:val="both"/>
        <w:rPr>
          <w:rFonts w:ascii="Times New Roman" w:eastAsia="Calibri" w:hAnsi="Times New Roman" w:cs="Times New Roman"/>
          <w:noProof/>
          <w:sz w:val="24"/>
        </w:rPr>
      </w:pPr>
    </w:p>
    <w:p w14:paraId="62B8B28C" w14:textId="396FC8D8" w:rsidR="00D65CB4" w:rsidRPr="00BC4EE7" w:rsidRDefault="00572307">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sidRPr="00BC4EE7">
        <w:rPr>
          <w:rFonts w:cs="Times New Roman"/>
          <w:noProof/>
        </w:rPr>
        <w:t xml:space="preserve">Negyedik részlet (hiteltámogatás): </w:t>
      </w:r>
    </w:p>
    <w:tbl>
      <w:tblPr>
        <w:tblW w:w="9663" w:type="dxa"/>
        <w:tblInd w:w="113" w:type="dxa"/>
        <w:tblLook w:val="04A0" w:firstRow="1" w:lastRow="0" w:firstColumn="1" w:lastColumn="0" w:noHBand="0" w:noVBand="1"/>
      </w:tblPr>
      <w:tblGrid>
        <w:gridCol w:w="1300"/>
        <w:gridCol w:w="1443"/>
        <w:gridCol w:w="1250"/>
        <w:gridCol w:w="5670"/>
      </w:tblGrid>
      <w:tr w:rsidR="00D65CB4" w:rsidRPr="00BC4EE7" w14:paraId="52A73B5E" w14:textId="77777777">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62A69C38" w14:textId="77777777"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Sorszám</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2CC3F7BF" w14:textId="77777777"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Kapcsolódó intézkedés (reform vagy beruházás)</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75042756" w14:textId="599A9CF7"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Mérföldkő/</w:t>
            </w:r>
            <w:r>
              <w:rPr>
                <w:rFonts w:cs="Times New Roman"/>
                <w:noProof/>
              </w:rPr>
              <w:br/>
            </w:r>
            <w:r w:rsidRPr="00BC4EE7">
              <w:rPr>
                <w:rFonts w:cs="Times New Roman"/>
                <w:noProof/>
              </w:rPr>
              <w:t>cél</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3B65FCFD" w14:textId="77777777"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Név</w:t>
            </w:r>
          </w:p>
        </w:tc>
      </w:tr>
      <w:tr w:rsidR="00D65CB4" w:rsidRPr="00BC4EE7" w14:paraId="36F11D18"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749D6D98" w14:textId="77777777" w:rsidR="00D65CB4" w:rsidRPr="00BC4EE7" w:rsidRDefault="00D65CB4">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5682685D" w14:textId="77777777" w:rsidR="00D65CB4" w:rsidRPr="00BC4EE7" w:rsidRDefault="00D65CB4">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63EA9345" w14:textId="77777777" w:rsidR="00D65CB4" w:rsidRPr="00BC4EE7" w:rsidRDefault="00D65CB4">
            <w:pPr>
              <w:spacing w:after="0" w:line="240" w:lineRule="auto"/>
              <w:rPr>
                <w:rFonts w:ascii="Times New Roman" w:eastAsia="Times New Roman" w:hAnsi="Times New Roman" w:cs="Times New Roman"/>
                <w:b/>
                <w:noProof/>
                <w:sz w:val="20"/>
              </w:rPr>
            </w:pPr>
          </w:p>
        </w:tc>
        <w:tc>
          <w:tcPr>
            <w:tcW w:w="5670" w:type="dxa"/>
            <w:vMerge/>
            <w:tcBorders>
              <w:top w:val="single" w:sz="4" w:space="0" w:color="auto"/>
              <w:left w:val="nil"/>
              <w:bottom w:val="single" w:sz="4" w:space="0" w:color="000000"/>
              <w:right w:val="single" w:sz="4" w:space="0" w:color="auto"/>
            </w:tcBorders>
            <w:vAlign w:val="center"/>
            <w:hideMark/>
          </w:tcPr>
          <w:p w14:paraId="3920B5F4" w14:textId="77777777" w:rsidR="00D65CB4" w:rsidRPr="00BC4EE7" w:rsidRDefault="00D65CB4">
            <w:pPr>
              <w:spacing w:after="0" w:line="240" w:lineRule="auto"/>
              <w:rPr>
                <w:rFonts w:ascii="Times New Roman" w:eastAsia="Times New Roman" w:hAnsi="Times New Roman" w:cs="Times New Roman"/>
                <w:b/>
                <w:noProof/>
                <w:sz w:val="20"/>
              </w:rPr>
            </w:pPr>
          </w:p>
        </w:tc>
      </w:tr>
      <w:tr w:rsidR="00D65CB4" w:rsidRPr="00BC4EE7" w14:paraId="52775BE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AF5F82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93F147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C2.R7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400061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FF5C44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 föld- és városrehabilitációs törvény egységes szerkezetbe foglalt szövege módosításának hatálybalépése </w:t>
            </w:r>
          </w:p>
        </w:tc>
      </w:tr>
      <w:tr w:rsidR="00D65CB4" w:rsidRPr="00BC4EE7" w14:paraId="76C020E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84596C2"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0B5621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C2.R7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980455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8F0538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építési engedélyezési eljárások egyszerűsítésére és észszerűsítésére vonatkozó bevált gyakorlatokról szóló útmutató közzététele</w:t>
            </w:r>
          </w:p>
        </w:tc>
      </w:tr>
      <w:tr w:rsidR="00D65CB4" w:rsidRPr="00BC4EE7" w14:paraId="22618BC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3BA273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7801E5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919890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3AB016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ICO-hiteleszköz a szociális lakhatás előmozdítására: A végső kedvezményezettekkel aláírt jogi megállapodások (I)</w:t>
            </w:r>
          </w:p>
        </w:tc>
      </w:tr>
      <w:tr w:rsidR="00D65CB4" w:rsidRPr="00BC4EE7" w14:paraId="55B5162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3D514E"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L89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264CD4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024735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1689F5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Projektek odaítélése a közigazgatás kiberbiztonsági képességeinek megerősítésére a kiberfenyegetések megelőzése, védelme, észlelése és elhárítása terén (kiberbiztonsági program)</w:t>
            </w:r>
          </w:p>
        </w:tc>
      </w:tr>
      <w:tr w:rsidR="00D65CB4" w:rsidRPr="00BC4EE7" w14:paraId="0584499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1EEE3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L19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0A69CD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2DB8F3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C110F4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Biztonsági és Rezilienciaépítési Alap: A végső kedvezményezettekkel aláírt jogi finanszírozási megállapodások (beleértve a tőkealapokat is) (I)</w:t>
            </w:r>
          </w:p>
        </w:tc>
      </w:tr>
      <w:tr w:rsidR="00D65CB4" w:rsidRPr="00BC4EE7" w14:paraId="0FF83B7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5CD8775"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L26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8D2607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9CB30E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31F39C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ICO zöld vonal – A végső kedvezményezettekkel (beleértve a tőkealapokat is) aláírt jogi megállapodások (II.)</w:t>
            </w:r>
          </w:p>
        </w:tc>
      </w:tr>
      <w:tr w:rsidR="00D65CB4" w:rsidRPr="00BC4EE7" w14:paraId="73D1638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10D4813"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L31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592DB9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DFE1B4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8691ED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ICO Vállalkozások és Vállalkozók – A végső kedvezményezettekkel aláírt jogi megállapodások (beleértve a tőkealapokat) (I)</w:t>
            </w:r>
          </w:p>
        </w:tc>
      </w:tr>
      <w:tr w:rsidR="00D65CB4" w:rsidRPr="00BC4EE7" w14:paraId="2BEFAD5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2E496F3"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L36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67FBED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DC8504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8BBE93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Következő Tech – A végső kedvezményezettekkel és a tőkealapokkal aláírt jogi megállapodások (I)</w:t>
            </w:r>
          </w:p>
        </w:tc>
      </w:tr>
      <w:tr w:rsidR="00D65CB4" w:rsidRPr="00BC4EE7" w14:paraId="5709ED1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4D9B6D4"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L41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F479CC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956A69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C417A9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Foco – A végső kedvezményezettekkel (beleértve a tőkealapokat is) aláírt jogi megállapodások (I)</w:t>
            </w:r>
          </w:p>
        </w:tc>
      </w:tr>
      <w:tr w:rsidR="00D65CB4" w:rsidRPr="00BC4EE7" w14:paraId="435420A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2D98890"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L45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E58C3C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C13.I10</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E5C278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065254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FONREC</w:t>
            </w:r>
          </w:p>
        </w:tc>
      </w:tr>
      <w:tr w:rsidR="00D65CB4" w:rsidRPr="00BC4EE7" w14:paraId="0D7D956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D76B823"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L48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E82E16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C13.I12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E0EA36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29EB47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ENISA Vállalkozás- és Kkv-alap – A végső kedvezményezettekkel aláírt jogi megállapodások</w:t>
            </w:r>
          </w:p>
        </w:tc>
      </w:tr>
      <w:tr w:rsidR="00D65CB4" w:rsidRPr="00BC4EE7" w14:paraId="336C8A9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5D9E418"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L55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310255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D7646E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D8B489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Regionális Rezilienciaépítési Alap – Egyéb tételek: A végső kedvezményezettekkel aláírt jogi megállapodások (beleértve a tőkealapokat is) (II)</w:t>
            </w:r>
          </w:p>
        </w:tc>
      </w:tr>
      <w:tr w:rsidR="00D65CB4" w:rsidRPr="00BC4EE7" w14:paraId="76C523E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60CC1FA"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L59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27A83D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12097C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A6BDB3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Regionális Rezilienciaépítési Alap – Közvetlen költségvetési irányvonal: A végső kedvezményezettekkel aláírt jogi megállapodások (II.)</w:t>
            </w:r>
          </w:p>
        </w:tc>
      </w:tr>
      <w:tr w:rsidR="00D65CB4" w:rsidRPr="00BC4EE7" w14:paraId="11DBBF5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3FFE55C"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L64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B0EBEF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C15.I9</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FC184B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E0E338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Csipfinanszírozási eszköz: A végső kedvezményezettekkel aláírt jogi megállapodások (I)</w:t>
            </w:r>
          </w:p>
        </w:tc>
      </w:tr>
      <w:tr w:rsidR="00D65CB4" w:rsidRPr="00BC4EE7" w14:paraId="46B5BBE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647A19A"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L78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50F719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C25.I3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C8606E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CC46DD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ICO Audiovizuális Platform Alap: A végső kedvezményezettekkel aláírt jogi finanszírozási megállapodások (beleértve a tőkealapokat is) (I).  </w:t>
            </w:r>
          </w:p>
        </w:tc>
      </w:tr>
      <w:tr w:rsidR="00D65CB4" w:rsidRPr="00BC4EE7" w14:paraId="7A6E7E7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E51998F" w14:textId="77777777" w:rsidR="00D65CB4" w:rsidRPr="00BC4EE7" w:rsidRDefault="00D65CB4">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B7CA8B6" w14:textId="77777777" w:rsidR="00D65CB4" w:rsidRPr="00BC4EE7" w:rsidRDefault="00D65CB4">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8613CF0" w14:textId="7E9B26BD" w:rsidR="00D65CB4" w:rsidRPr="00BC4EE7" w:rsidRDefault="00572307">
            <w:pPr>
              <w:pStyle w:val="P68B1DB1-Normal38"/>
              <w:spacing w:after="0" w:line="240" w:lineRule="auto"/>
              <w:rPr>
                <w:rFonts w:eastAsia="Times New Roman" w:cs="Times New Roman"/>
                <w:noProof/>
              </w:rPr>
            </w:pPr>
            <w:r w:rsidRPr="00BC4EE7">
              <w:rPr>
                <w:rFonts w:cs="Times New Roman"/>
                <w:noProof/>
              </w:rPr>
              <w:t>Részösszeg</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56B8F8A" w14:textId="653C51D5" w:rsidR="00D65CB4" w:rsidRPr="00BC4EE7" w:rsidRDefault="00572307">
            <w:pPr>
              <w:pStyle w:val="P68B1DB1-Normal38"/>
              <w:spacing w:after="0" w:line="240" w:lineRule="auto"/>
              <w:rPr>
                <w:rFonts w:eastAsia="Times New Roman" w:cs="Times New Roman"/>
                <w:noProof/>
              </w:rPr>
            </w:pPr>
            <w:r w:rsidRPr="00BC4EE7">
              <w:rPr>
                <w:rFonts w:cs="Times New Roman"/>
                <w:noProof/>
              </w:rPr>
              <w:t>·EURÓPAI BIZOTTSÁG 18 612 013 429 EUR</w:t>
            </w:r>
          </w:p>
        </w:tc>
      </w:tr>
    </w:tbl>
    <w:p w14:paraId="453DEC58" w14:textId="77777777" w:rsidR="00D65CB4" w:rsidRPr="00BC4EE7" w:rsidRDefault="00D65CB4">
      <w:pPr>
        <w:spacing w:before="120" w:after="120" w:line="240" w:lineRule="auto"/>
        <w:jc w:val="both"/>
        <w:rPr>
          <w:rFonts w:ascii="Times New Roman" w:eastAsia="Calibri" w:hAnsi="Times New Roman" w:cs="Times New Roman"/>
          <w:noProof/>
          <w:sz w:val="24"/>
        </w:rPr>
      </w:pPr>
    </w:p>
    <w:p w14:paraId="1450A0C7" w14:textId="77777777" w:rsidR="00D65CB4" w:rsidRPr="00BC4EE7" w:rsidRDefault="00D65CB4">
      <w:pPr>
        <w:numPr>
          <w:ilvl w:val="1"/>
          <w:numId w:val="50"/>
        </w:numPr>
        <w:tabs>
          <w:tab w:val="clear" w:pos="6236"/>
          <w:tab w:val="num" w:pos="850"/>
        </w:tabs>
        <w:spacing w:before="120" w:after="120" w:line="240" w:lineRule="auto"/>
        <w:ind w:left="850"/>
        <w:jc w:val="both"/>
        <w:rPr>
          <w:rFonts w:ascii="Times New Roman" w:hAnsi="Times New Roman" w:cs="Times New Roman"/>
          <w:noProof/>
          <w:sz w:val="24"/>
        </w:rPr>
        <w:sectPr w:rsidR="00D65CB4" w:rsidRPr="00BC4EE7" w:rsidSect="00B511EF">
          <w:headerReference w:type="even" r:id="rId646"/>
          <w:headerReference w:type="default" r:id="rId647"/>
          <w:footerReference w:type="even" r:id="rId648"/>
          <w:footerReference w:type="default" r:id="rId649"/>
          <w:headerReference w:type="first" r:id="rId650"/>
          <w:footerReference w:type="first" r:id="rId651"/>
          <w:pgSz w:w="11907" w:h="16839"/>
          <w:pgMar w:top="1134" w:right="1134" w:bottom="1134" w:left="1134" w:header="567" w:footer="567" w:gutter="0"/>
          <w:cols w:space="720"/>
          <w:docGrid w:linePitch="360"/>
        </w:sectPr>
      </w:pPr>
    </w:p>
    <w:p w14:paraId="73A0D850" w14:textId="3248986B" w:rsidR="00D65CB4" w:rsidRPr="00BC4EE7" w:rsidRDefault="00572307">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sidRPr="00BC4EE7">
        <w:rPr>
          <w:rFonts w:cs="Times New Roman"/>
          <w:noProof/>
        </w:rPr>
        <w:t xml:space="preserve">Ötödik részlet (hiteltámogatás): </w:t>
      </w:r>
    </w:p>
    <w:tbl>
      <w:tblPr>
        <w:tblW w:w="9663" w:type="dxa"/>
        <w:tblInd w:w="113" w:type="dxa"/>
        <w:tblLook w:val="04A0" w:firstRow="1" w:lastRow="0" w:firstColumn="1" w:lastColumn="0" w:noHBand="0" w:noVBand="1"/>
      </w:tblPr>
      <w:tblGrid>
        <w:gridCol w:w="1300"/>
        <w:gridCol w:w="1443"/>
        <w:gridCol w:w="1250"/>
        <w:gridCol w:w="5670"/>
      </w:tblGrid>
      <w:tr w:rsidR="00D65CB4" w:rsidRPr="00BC4EE7" w14:paraId="486661A0" w14:textId="77777777">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7C9767ED" w14:textId="77777777"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Sorszám</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577ADA78" w14:textId="77777777"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Kapcsolódó intézkedés (reform vagy beruházás)</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1F1C12AD" w14:textId="1B848B98"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Mérföldkő/</w:t>
            </w:r>
            <w:r>
              <w:rPr>
                <w:rFonts w:cs="Times New Roman"/>
                <w:noProof/>
              </w:rPr>
              <w:br/>
            </w:r>
            <w:r w:rsidRPr="00BC4EE7">
              <w:rPr>
                <w:rFonts w:cs="Times New Roman"/>
                <w:noProof/>
              </w:rPr>
              <w:t>cél</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13052B9A" w14:textId="77777777"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Név</w:t>
            </w:r>
          </w:p>
        </w:tc>
      </w:tr>
      <w:tr w:rsidR="00D65CB4" w:rsidRPr="00BC4EE7" w14:paraId="07375CFB"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1ABC1730" w14:textId="77777777" w:rsidR="00D65CB4" w:rsidRPr="00BC4EE7" w:rsidRDefault="00D65CB4">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3CD23AAB" w14:textId="77777777" w:rsidR="00D65CB4" w:rsidRPr="00BC4EE7" w:rsidRDefault="00D65CB4">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68218EBB" w14:textId="77777777" w:rsidR="00D65CB4" w:rsidRPr="00BC4EE7" w:rsidRDefault="00D65CB4">
            <w:pPr>
              <w:spacing w:after="0" w:line="240" w:lineRule="auto"/>
              <w:rPr>
                <w:rFonts w:ascii="Times New Roman" w:eastAsia="Times New Roman" w:hAnsi="Times New Roman" w:cs="Times New Roman"/>
                <w:b/>
                <w:noProof/>
                <w:sz w:val="20"/>
              </w:rPr>
            </w:pPr>
          </w:p>
        </w:tc>
        <w:tc>
          <w:tcPr>
            <w:tcW w:w="5670" w:type="dxa"/>
            <w:vMerge/>
            <w:tcBorders>
              <w:top w:val="single" w:sz="4" w:space="0" w:color="auto"/>
              <w:left w:val="nil"/>
              <w:bottom w:val="single" w:sz="4" w:space="0" w:color="000000"/>
              <w:right w:val="single" w:sz="4" w:space="0" w:color="auto"/>
            </w:tcBorders>
            <w:vAlign w:val="center"/>
            <w:hideMark/>
          </w:tcPr>
          <w:p w14:paraId="6A6D8940" w14:textId="77777777" w:rsidR="00D65CB4" w:rsidRPr="00BC4EE7" w:rsidRDefault="00D65CB4">
            <w:pPr>
              <w:spacing w:after="0" w:line="240" w:lineRule="auto"/>
              <w:rPr>
                <w:rFonts w:ascii="Times New Roman" w:eastAsia="Times New Roman" w:hAnsi="Times New Roman" w:cs="Times New Roman"/>
                <w:b/>
                <w:noProof/>
                <w:sz w:val="20"/>
              </w:rPr>
            </w:pPr>
          </w:p>
        </w:tc>
      </w:tr>
      <w:tr w:rsidR="00D65CB4" w:rsidRPr="00BC4EE7" w14:paraId="792590E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1F6BEE8"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206AD3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C3.R8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52EDB4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19F58F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mezőgazdasági üzemek információs rendszeréről szóló rendelet hatálybalépése</w:t>
            </w:r>
          </w:p>
        </w:tc>
      </w:tr>
      <w:tr w:rsidR="00D65CB4" w:rsidRPr="00BC4EE7" w14:paraId="6197830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945BEC"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L16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897287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C6.R3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9F7BB0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FD0353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szénlábnyom kiszámítása a Közutak Főigazgatósága által</w:t>
            </w:r>
          </w:p>
        </w:tc>
      </w:tr>
      <w:tr w:rsidR="00D65CB4" w:rsidRPr="00BC4EE7" w14:paraId="655A970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C8ABF3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L27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1D7989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705EEB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9A3A0C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ICO zöld vonal – A végső kedvezményezettekkel (beleértve a tőkealapokat is) aláírt jogi megállapodások (III)</w:t>
            </w:r>
          </w:p>
        </w:tc>
      </w:tr>
      <w:tr w:rsidR="00D65CB4" w:rsidRPr="00BC4EE7" w14:paraId="6698D36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F61BB7E"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L32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362AE9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BD073D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6F9575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ICO Enterprises and Entrepreneurs Line – A végső kedvezményezettekkel aláírt jogi megállapodások (beleértve a tőkealapokat) (II)</w:t>
            </w:r>
          </w:p>
        </w:tc>
      </w:tr>
      <w:tr w:rsidR="00D65CB4" w:rsidRPr="00BC4EE7" w14:paraId="6DDD1C7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FF35A6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L37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E10E6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5F209C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16D6C3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Következő Tech – A végső kedvezményezettekkel és a tőkealapokkal aláírt jogi megállapodások (II.)</w:t>
            </w:r>
          </w:p>
        </w:tc>
      </w:tr>
      <w:tr w:rsidR="00D65CB4" w:rsidRPr="00BC4EE7" w14:paraId="6BA5F2C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6993088"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L56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E7B9A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DC948B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DF7EF5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Regionális Rezilienciaépítési Alap – Egyéb irányvonalak: A végső kedvezményezettekkel aláírt jogi megállapodások (beleértve a tőkealapokat is) (III)</w:t>
            </w:r>
          </w:p>
        </w:tc>
      </w:tr>
      <w:tr w:rsidR="00D65CB4" w:rsidRPr="00BC4EE7" w14:paraId="581A488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85EFCFA"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L71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F1BF07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C22.R6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DE3EEE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C51C5B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vonatkozó jogszabály hatálybalépése</w:t>
            </w:r>
          </w:p>
        </w:tc>
      </w:tr>
      <w:tr w:rsidR="00D65CB4" w:rsidRPr="00BC4EE7" w14:paraId="46B3603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35C6CF6"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L75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BCCC2A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C25.I2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9545DB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49C995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projektek digitalizálásának és tartalomterjesztésének finanszírozására odaítélt díjak közzététele</w:t>
            </w:r>
          </w:p>
        </w:tc>
      </w:tr>
      <w:tr w:rsidR="00D65CB4" w:rsidRPr="00BC4EE7" w14:paraId="36B5BF2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BF7C68D" w14:textId="77777777" w:rsidR="00D65CB4" w:rsidRPr="00BC4EE7" w:rsidRDefault="00D65CB4">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B88D9A1" w14:textId="77777777" w:rsidR="00D65CB4" w:rsidRPr="00BC4EE7" w:rsidRDefault="00D65CB4">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C11B721" w14:textId="6935CAD0" w:rsidR="00D65CB4" w:rsidRPr="00BC4EE7" w:rsidRDefault="00572307">
            <w:pPr>
              <w:pStyle w:val="P68B1DB1-Normal38"/>
              <w:spacing w:after="0" w:line="240" w:lineRule="auto"/>
              <w:rPr>
                <w:rFonts w:eastAsia="Times New Roman" w:cs="Times New Roman"/>
                <w:noProof/>
              </w:rPr>
            </w:pPr>
            <w:r w:rsidRPr="00BC4EE7">
              <w:rPr>
                <w:rFonts w:cs="Times New Roman"/>
                <w:noProof/>
              </w:rPr>
              <w:t>Részösszeg</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EAB24F5" w14:textId="34AA0A01" w:rsidR="00D65CB4" w:rsidRPr="00BC4EE7" w:rsidRDefault="00572307">
            <w:pPr>
              <w:pStyle w:val="P68B1DB1-Normal38"/>
              <w:spacing w:after="0" w:line="240" w:lineRule="auto"/>
              <w:rPr>
                <w:rFonts w:eastAsia="Times New Roman" w:cs="Times New Roman"/>
                <w:noProof/>
              </w:rPr>
            </w:pPr>
            <w:r w:rsidRPr="00BC4EE7">
              <w:rPr>
                <w:rFonts w:cs="Times New Roman"/>
                <w:noProof/>
              </w:rPr>
              <w:t xml:space="preserve"> ·EURÓPAI BIZOTTSÁG 4 224 003 048 EUR</w:t>
            </w:r>
          </w:p>
        </w:tc>
      </w:tr>
    </w:tbl>
    <w:p w14:paraId="5091427A" w14:textId="77777777" w:rsidR="00D65CB4" w:rsidRPr="00BC4EE7" w:rsidRDefault="00D65CB4">
      <w:pPr>
        <w:spacing w:before="120" w:after="120" w:line="240" w:lineRule="auto"/>
        <w:jc w:val="both"/>
        <w:rPr>
          <w:rFonts w:ascii="Times New Roman" w:eastAsia="Calibri" w:hAnsi="Times New Roman" w:cs="Times New Roman"/>
          <w:noProof/>
          <w:sz w:val="24"/>
        </w:rPr>
      </w:pPr>
    </w:p>
    <w:p w14:paraId="6FB014F7" w14:textId="1733FE95" w:rsidR="00D65CB4" w:rsidRPr="00BC4EE7" w:rsidRDefault="00572307">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sidRPr="00BC4EE7">
        <w:rPr>
          <w:rFonts w:cs="Times New Roman"/>
          <w:noProof/>
        </w:rPr>
        <w:t xml:space="preserve">Hatodik részlet (hiteltámogatás): </w:t>
      </w:r>
    </w:p>
    <w:tbl>
      <w:tblPr>
        <w:tblW w:w="9663" w:type="dxa"/>
        <w:tblInd w:w="113" w:type="dxa"/>
        <w:tblLook w:val="04A0" w:firstRow="1" w:lastRow="0" w:firstColumn="1" w:lastColumn="0" w:noHBand="0" w:noVBand="1"/>
      </w:tblPr>
      <w:tblGrid>
        <w:gridCol w:w="1300"/>
        <w:gridCol w:w="1443"/>
        <w:gridCol w:w="1250"/>
        <w:gridCol w:w="5670"/>
      </w:tblGrid>
      <w:tr w:rsidR="00D65CB4" w:rsidRPr="00BC4EE7" w14:paraId="0531B7F7" w14:textId="77777777">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51212EFB" w14:textId="77777777"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Sorszám</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011438B7" w14:textId="77777777"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Kapcsolódó intézkedés (reform vagy beruházás)</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7FD07CAC" w14:textId="46EC1438"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Mérföldkő/</w:t>
            </w:r>
            <w:r>
              <w:rPr>
                <w:rFonts w:cs="Times New Roman"/>
                <w:noProof/>
              </w:rPr>
              <w:br/>
            </w:r>
            <w:r w:rsidRPr="00BC4EE7">
              <w:rPr>
                <w:rFonts w:cs="Times New Roman"/>
                <w:noProof/>
              </w:rPr>
              <w:t>cél</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7C4BDB87" w14:textId="77777777" w:rsidR="00D65CB4" w:rsidRPr="00BC4EE7" w:rsidRDefault="00572307">
            <w:pPr>
              <w:pStyle w:val="P68B1DB1-Normal38"/>
              <w:spacing w:after="0" w:line="240" w:lineRule="auto"/>
              <w:jc w:val="center"/>
              <w:rPr>
                <w:rFonts w:eastAsia="Times New Roman" w:cs="Times New Roman"/>
                <w:noProof/>
              </w:rPr>
            </w:pPr>
            <w:r w:rsidRPr="00BC4EE7">
              <w:rPr>
                <w:rFonts w:cs="Times New Roman"/>
                <w:noProof/>
              </w:rPr>
              <w:t>Név</w:t>
            </w:r>
          </w:p>
        </w:tc>
      </w:tr>
      <w:tr w:rsidR="00D65CB4" w:rsidRPr="00BC4EE7" w14:paraId="37F58787"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5F6B4430" w14:textId="77777777" w:rsidR="00D65CB4" w:rsidRPr="00BC4EE7" w:rsidRDefault="00D65CB4">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3123CDE4" w14:textId="77777777" w:rsidR="00D65CB4" w:rsidRPr="00BC4EE7" w:rsidRDefault="00D65CB4">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459E5F3F" w14:textId="77777777" w:rsidR="00D65CB4" w:rsidRPr="00BC4EE7" w:rsidRDefault="00D65CB4">
            <w:pPr>
              <w:spacing w:after="0" w:line="240" w:lineRule="auto"/>
              <w:rPr>
                <w:rFonts w:ascii="Times New Roman" w:eastAsia="Times New Roman" w:hAnsi="Times New Roman" w:cs="Times New Roman"/>
                <w:b/>
                <w:noProof/>
                <w:sz w:val="20"/>
              </w:rPr>
            </w:pPr>
          </w:p>
        </w:tc>
        <w:tc>
          <w:tcPr>
            <w:tcW w:w="5670" w:type="dxa"/>
            <w:vMerge/>
            <w:tcBorders>
              <w:top w:val="single" w:sz="4" w:space="0" w:color="auto"/>
              <w:left w:val="nil"/>
              <w:bottom w:val="single" w:sz="4" w:space="0" w:color="000000"/>
              <w:right w:val="single" w:sz="4" w:space="0" w:color="auto"/>
            </w:tcBorders>
            <w:vAlign w:val="center"/>
            <w:hideMark/>
          </w:tcPr>
          <w:p w14:paraId="67B8CF4C" w14:textId="77777777" w:rsidR="00D65CB4" w:rsidRPr="00BC4EE7" w:rsidRDefault="00D65CB4">
            <w:pPr>
              <w:spacing w:after="0" w:line="240" w:lineRule="auto"/>
              <w:rPr>
                <w:rFonts w:ascii="Times New Roman" w:eastAsia="Times New Roman" w:hAnsi="Times New Roman" w:cs="Times New Roman"/>
                <w:b/>
                <w:noProof/>
                <w:sz w:val="20"/>
              </w:rPr>
            </w:pPr>
          </w:p>
        </w:tc>
      </w:tr>
      <w:tr w:rsidR="00D65CB4" w:rsidRPr="00BC4EE7" w14:paraId="265C02A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15D159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B13247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86BC44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9567F3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ICO-hiteleszköz a szociális lakhatás előmozdítására: A végső kedvezményezettekkel aláírt jogi megállapodások (II.)</w:t>
            </w:r>
          </w:p>
        </w:tc>
      </w:tr>
      <w:tr w:rsidR="00D65CB4" w:rsidRPr="00BC4EE7" w14:paraId="3C7E889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06091B3"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3C23B0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D5E209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F15A59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ICO-hiteleszköz a szociális lakhatás előmozdítására: A minisztérium befejezte a beruházást</w:t>
            </w:r>
          </w:p>
        </w:tc>
      </w:tr>
      <w:tr w:rsidR="00D65CB4" w:rsidRPr="00BC4EE7" w14:paraId="44A942A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D4BEB6A"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4932F6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C3.R7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D8F545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EA3957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élelmiszer-veszteség és az élelmiszer-pazarlás megelőzéséről szóló törvény hatálybalépése</w:t>
            </w:r>
          </w:p>
        </w:tc>
      </w:tr>
      <w:tr w:rsidR="00D65CB4" w:rsidRPr="00BC4EE7" w14:paraId="77D3A13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C6FE840"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L11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C2DAD5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C3.I12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F5F2D5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15AEA1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Az öntözőrendszerek korszerűsítése a víztakarékosság és az energiahatékonyság szempontjából  </w:t>
            </w:r>
          </w:p>
        </w:tc>
      </w:tr>
      <w:tr w:rsidR="00D65CB4" w:rsidRPr="00BC4EE7" w14:paraId="3296460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CDC968C"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L13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882B2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C5.I5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3EBB2F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43E3C2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felszín alatti vizek kitermelésének csökkentése</w:t>
            </w:r>
          </w:p>
        </w:tc>
      </w:tr>
      <w:tr w:rsidR="00D65CB4" w:rsidRPr="00BC4EE7" w14:paraId="1C31B99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A09A501"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L14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F0BFA1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C5.I6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9873A2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3CF8BC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városi vízkörforgás és az ipari ágazat digitalizálására irányuló intézkedések</w:t>
            </w:r>
          </w:p>
        </w:tc>
      </w:tr>
      <w:tr w:rsidR="00D65CB4" w:rsidRPr="00BC4EE7" w14:paraId="4D68E83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AAAACF4"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L17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0B9DC3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542001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009A76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közigazgatás kiberbiztonsági képességeinek megerősítését célzó projektek lezárása a kiberfenyegetések megelőzése, védelme, észlelése és elhárítása terén (kiberbiztonsági program)</w:t>
            </w:r>
          </w:p>
        </w:tc>
      </w:tr>
      <w:tr w:rsidR="00D65CB4" w:rsidRPr="00BC4EE7" w14:paraId="7978858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CA1B490"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L20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298DAB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D0AA51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C6C800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Biztonsági és Rezilienciaépítési Alap: A végső kedvezményezettekkel aláírt jogi finanszírozási megállapodások (beleértve a tőkealapokat) (II)</w:t>
            </w:r>
          </w:p>
        </w:tc>
      </w:tr>
      <w:tr w:rsidR="00D65CB4" w:rsidRPr="00BC4EE7" w14:paraId="62640F3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A8597A"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L21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87D5C7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C51DF9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BFC1FF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Biztonsági és Rezilienciaépítési Alap: A minisztérium befejezte a beruházást</w:t>
            </w:r>
          </w:p>
        </w:tc>
      </w:tr>
      <w:tr w:rsidR="00D65CB4" w:rsidRPr="00BC4EE7" w14:paraId="348EBD2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3A896C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L24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5AE574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C12.I7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C56C44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7B4222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Támogatási program az elektromos autók és az agrár-élelmiszeripar értékláncában megvalósuló stratégiai projektekhez (kölcsönök): A végső kedvezményezettekkel aláírt jogi megállapodások vagy a végső odaítélési határozatok közzététele</w:t>
            </w:r>
          </w:p>
        </w:tc>
      </w:tr>
      <w:tr w:rsidR="00D65CB4" w:rsidRPr="00BC4EE7" w14:paraId="39BC994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2FC8273"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L28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C254F7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E66725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B3CE22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ICO zöld vonal – A végső kedvezményezettekkel (beleértve a tőkealapokat is) aláírt jogi megállapodások (IV.)</w:t>
            </w:r>
          </w:p>
        </w:tc>
      </w:tr>
      <w:tr w:rsidR="00D65CB4" w:rsidRPr="00BC4EE7" w14:paraId="2BE35B5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5131F4"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L29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CF62C7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B14AE5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3721D8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ICO zöld vonal – a minisztérium befejezte a beruházást</w:t>
            </w:r>
          </w:p>
        </w:tc>
      </w:tr>
      <w:tr w:rsidR="00D65CB4" w:rsidRPr="00BC4EE7" w14:paraId="35EB025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C342B9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L33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87A0E6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D87ACF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903128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ICO Enterprises and Entrepreneurs Line – A végső kedvezményezettekkel aláírt jogi megállapodások (beleértve a tőkealapokat) (III)</w:t>
            </w:r>
          </w:p>
        </w:tc>
      </w:tr>
      <w:tr w:rsidR="00D65CB4" w:rsidRPr="00BC4EE7" w14:paraId="3DF2B4F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C48A29"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L34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5F50B3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4BCA31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3C955F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ICO Enterprises and Entrepreneurs Line – a minisztérium befejezte a beruházást.</w:t>
            </w:r>
          </w:p>
        </w:tc>
      </w:tr>
      <w:tr w:rsidR="00D65CB4" w:rsidRPr="00BC4EE7" w14:paraId="411E1AD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314A32C"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L38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9C4A11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76565A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7F946C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Következő Tech – A végső kedvezményezettekkel és a tőkealapokkal aláírt jogi megállapodások (II.)</w:t>
            </w:r>
          </w:p>
        </w:tc>
      </w:tr>
      <w:tr w:rsidR="00D65CB4" w:rsidRPr="00BC4EE7" w14:paraId="522583F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AF860F4"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L39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5AC48F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D78A4F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85C90A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Következő Tech – a minisztérium befejezte a beruházásokat. </w:t>
            </w:r>
          </w:p>
        </w:tc>
      </w:tr>
      <w:tr w:rsidR="00D65CB4" w:rsidRPr="00BC4EE7" w14:paraId="20BE6FD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443C6B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L42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72C02B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E723B2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F54BC0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Foco – A végső kedvezményezettekkel (beleértve a tőkealapokat is) aláírt jogi megállapodások (II)</w:t>
            </w:r>
          </w:p>
        </w:tc>
      </w:tr>
      <w:tr w:rsidR="00D65CB4" w:rsidRPr="00BC4EE7" w14:paraId="693BB86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4D4C14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L43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108840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EBE17A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D9F097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Foco – a minisztérium befejezte a beruházást.</w:t>
            </w:r>
          </w:p>
        </w:tc>
      </w:tr>
      <w:tr w:rsidR="00D65CB4" w:rsidRPr="00BC4EE7" w14:paraId="00FDE08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31D5561"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L46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761328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C13.I11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6DCE33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304FA2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CERSA</w:t>
            </w:r>
          </w:p>
        </w:tc>
      </w:tr>
      <w:tr w:rsidR="00D65CB4" w:rsidRPr="00BC4EE7" w14:paraId="14EB567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69C12AF"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L49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C85836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C13.I12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90F558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C521B3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ENISA Vállalkozás- és Kkv-alap – A végső kedvezményezettekkel aláírt jogi megállapodások</w:t>
            </w:r>
          </w:p>
        </w:tc>
      </w:tr>
      <w:tr w:rsidR="00D65CB4" w:rsidRPr="00BC4EE7" w14:paraId="5443480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360D744"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L50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52F22D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C13.I12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C589BD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E5EC1F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Az ENISA Vállalkozás- és Kkv-alapja – a minisztérium befejezte a beruházásokat. </w:t>
            </w:r>
          </w:p>
        </w:tc>
      </w:tr>
      <w:tr w:rsidR="00D65CB4" w:rsidRPr="00BC4EE7" w14:paraId="3DA437F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42E98E5"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L52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AAC620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23A9D4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DAFD5A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Regionális Rezilienciaépítési Alap – InvestEU: Az InvestEU beruházási bizottsága által jóváhagyott eszközhöz rendelt legalább 500 millión összegű finanszírozási vagy beruházási műveletek.</w:t>
            </w:r>
          </w:p>
        </w:tc>
      </w:tr>
      <w:tr w:rsidR="00D65CB4" w:rsidRPr="00BC4EE7" w14:paraId="2C28E13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04DA52"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L57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5386DD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0DA496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13E3FF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Regionális Rezilienciaépítési Alap – Egyéb irányvonalak: A végső kedvezményezettekkel aláírt jogi megállapodások (beleértve a tőkealapokat is) (IV)</w:t>
            </w:r>
          </w:p>
        </w:tc>
      </w:tr>
      <w:tr w:rsidR="00D65CB4" w:rsidRPr="00BC4EE7" w14:paraId="6FE7676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755BA53"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L60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ED9E1D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7B9A6D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84310C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Regionális Rezilienciaépítési Alap – éghajlat-politikai hozzájárulás</w:t>
            </w:r>
          </w:p>
        </w:tc>
      </w:tr>
      <w:tr w:rsidR="00D65CB4" w:rsidRPr="00BC4EE7" w14:paraId="2394C39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B75B9D9"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L61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E6789E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5234FF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6BFB523" w14:textId="0A2DFBFB" w:rsidR="00D65CB4" w:rsidRPr="00BC4EE7" w:rsidRDefault="00572307">
            <w:pPr>
              <w:pStyle w:val="P68B1DB1-Normal39"/>
              <w:spacing w:after="0" w:line="240" w:lineRule="auto"/>
              <w:rPr>
                <w:rFonts w:eastAsia="Times New Roman" w:cs="Times New Roman"/>
                <w:noProof/>
              </w:rPr>
            </w:pPr>
            <w:r w:rsidRPr="00BC4EE7">
              <w:rPr>
                <w:rFonts w:cs="Times New Roman"/>
                <w:noProof/>
              </w:rPr>
              <w:t>Regionális Rezilienciaépítési Alap – Közvetlen költségvetési irányvonal: A projektek közigazgatási szervek általi lezárása</w:t>
            </w:r>
          </w:p>
        </w:tc>
      </w:tr>
      <w:tr w:rsidR="00D65CB4" w:rsidRPr="00BC4EE7" w14:paraId="2D6711E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D20B427"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L62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AAC016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3BE9FF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30B8E8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Regionális Rezilienciaépítési Alap – A gazdasági és digitális átállásért felelős minisztérium befejezte a beruházást</w:t>
            </w:r>
          </w:p>
        </w:tc>
      </w:tr>
      <w:tr w:rsidR="00D65CB4" w:rsidRPr="00BC4EE7" w14:paraId="0FBD714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625B9DB"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L65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057ED9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C15.I9</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84263F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601D7B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Csipfinanszírozási eszköz: A végső kedvezményezettekkel aláírt jogi megállapodások (II.)</w:t>
            </w:r>
          </w:p>
        </w:tc>
      </w:tr>
      <w:tr w:rsidR="00D65CB4" w:rsidRPr="00BC4EE7" w14:paraId="1488A4A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1AF9CE9"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L66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9239AF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C15.I9</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5FCED8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331B20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Csipfinanszírozási eszköz: A minisztérium befejezte a beruházást. </w:t>
            </w:r>
          </w:p>
        </w:tc>
      </w:tr>
      <w:tr w:rsidR="00D65CB4" w:rsidRPr="00BC4EE7" w14:paraId="2A4E33C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9211473"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L67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51A56B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C17.I10</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E7CB91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1D66E31"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Tőketámogatásba való beruházás az egészségügyi ágazatban</w:t>
            </w:r>
          </w:p>
        </w:tc>
      </w:tr>
      <w:tr w:rsidR="00D65CB4" w:rsidRPr="00BC4EE7" w14:paraId="53016EA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5253B4D"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L69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060C2E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C17.I10</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B22E2A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45DF15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Pénzeszközök folyósítása hitelek formájában az egészségügyi és az űrrepülési ágazat támogatására</w:t>
            </w:r>
          </w:p>
        </w:tc>
      </w:tr>
      <w:tr w:rsidR="00D65CB4" w:rsidRPr="00BC4EE7" w14:paraId="56BD5FE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8FFC048"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L70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680776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C17.I10</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9717DF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1FA348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nemzeti egészségügyi rendszer K+F kapacitásainak javítása.</w:t>
            </w:r>
          </w:p>
        </w:tc>
      </w:tr>
      <w:tr w:rsidR="00D65CB4" w:rsidRPr="00BC4EE7" w14:paraId="39EBA74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A140FDC"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L73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EB12B9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C22.I6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DE1E9F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ED985B8"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Szociális Hatásalap: A végső kedvezményezettekkel aláírt jogi finanszírozási megállapodások (beleértve a tőkealapokat is)</w:t>
            </w:r>
          </w:p>
        </w:tc>
      </w:tr>
      <w:tr w:rsidR="00D65CB4" w:rsidRPr="00BC4EE7" w14:paraId="686BCED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07D3AEB"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L74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F4A00F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C22.I6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513FB6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AA0085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Szociális Hatásalap: A minisztérium befejezte a beruházást</w:t>
            </w:r>
          </w:p>
        </w:tc>
      </w:tr>
      <w:tr w:rsidR="00D65CB4" w:rsidRPr="00BC4EE7" w14:paraId="4E64FFE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AEBBA0C"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L76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04D15F6"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C25.I2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850294C"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64D4BE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 tartalom digitalizálására és terjesztésére irányuló projektek végrehajtása</w:t>
            </w:r>
          </w:p>
        </w:tc>
      </w:tr>
      <w:tr w:rsidR="00D65CB4" w:rsidRPr="00BC4EE7" w14:paraId="0EEAEAE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BB3DB5"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L79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13AFFF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C25.I3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F7AEEA4"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A21D4B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ICO Audiovizuális Platform Alap: A végső kedvezményezettekkel aláírt jogi finanszírozási megállapodások (beleértve a tőkealapokat is) (II.).</w:t>
            </w:r>
          </w:p>
        </w:tc>
      </w:tr>
      <w:tr w:rsidR="00D65CB4" w:rsidRPr="00BC4EE7" w14:paraId="209D0F6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5420850"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L80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145DCF3"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C25.I3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03A21BA"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12CD967"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ICO Audiovizuális Platform Alap: A minisztérium befejezte a beruházást </w:t>
            </w:r>
          </w:p>
        </w:tc>
      </w:tr>
      <w:tr w:rsidR="00D65CB4" w:rsidRPr="00BC4EE7" w14:paraId="44CDC7A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4657541"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L81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350225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C28.I1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4425AB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09FFD8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Lakóépület-felújítási intézkedések befejezése, az energiahatékonyság javítása.</w:t>
            </w:r>
          </w:p>
        </w:tc>
      </w:tr>
      <w:tr w:rsidR="00D65CB4" w:rsidRPr="00BC4EE7" w14:paraId="0D89965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570767B"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L82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67E2459"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C28.I1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045581B"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F51BB41" w14:textId="212883DC"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Kiépített EVS és töltőinfrastruktúra </w:t>
            </w:r>
          </w:p>
        </w:tc>
      </w:tr>
      <w:tr w:rsidR="00D65CB4" w:rsidRPr="00BC4EE7" w14:paraId="1E38707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2594665"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L85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5EE72C5"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C31.I7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7B5E6EE"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868F97F"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 xml:space="preserve">Dekarbonizációs projektek lezárása, beleértve a vállalatokat a szén-dioxid-mentesítésre ösztönző alapra vonatkozó kísérleti projektet (szén-dioxid-kibocsátási szerződés a különbözetekért) </w:t>
            </w:r>
          </w:p>
        </w:tc>
      </w:tr>
      <w:tr w:rsidR="00D65CB4" w:rsidRPr="00BC4EE7" w14:paraId="6567588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63EDA85" w14:textId="77777777" w:rsidR="00D65CB4" w:rsidRPr="00BC4EE7" w:rsidRDefault="00572307">
            <w:pPr>
              <w:pStyle w:val="P68B1DB1-Normal39"/>
              <w:spacing w:after="0" w:line="240" w:lineRule="auto"/>
              <w:jc w:val="center"/>
              <w:rPr>
                <w:rFonts w:eastAsia="Times New Roman" w:cs="Times New Roman"/>
                <w:noProof/>
              </w:rPr>
            </w:pPr>
            <w:r w:rsidRPr="00BC4EE7">
              <w:rPr>
                <w:rFonts w:cs="Times New Roman"/>
                <w:noProof/>
              </w:rPr>
              <w:t>L88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4520BFD"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C31.I8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AA2C380"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132D022" w14:textId="77777777" w:rsidR="00D65CB4" w:rsidRPr="00BC4EE7" w:rsidRDefault="00572307">
            <w:pPr>
              <w:pStyle w:val="P68B1DB1-Normal39"/>
              <w:spacing w:after="0" w:line="240" w:lineRule="auto"/>
              <w:rPr>
                <w:rFonts w:eastAsia="Times New Roman" w:cs="Times New Roman"/>
                <w:noProof/>
              </w:rPr>
            </w:pPr>
            <w:r w:rsidRPr="00BC4EE7">
              <w:rPr>
                <w:rFonts w:cs="Times New Roman"/>
                <w:noProof/>
              </w:rPr>
              <w:t>Az ipari dekarbonizáció támogatási rendszere (hitelek): A végső kedvezményezettekkel aláírt jogi megállapodások vagy a végleges odaítélési határozatok közzététele.</w:t>
            </w:r>
          </w:p>
        </w:tc>
      </w:tr>
      <w:tr w:rsidR="00D65CB4" w:rsidRPr="00BC4EE7" w14:paraId="09DDA55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C6EC0BF" w14:textId="77777777" w:rsidR="00D65CB4" w:rsidRPr="00BC4EE7" w:rsidRDefault="00D65CB4">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FE53302" w14:textId="77777777" w:rsidR="00D65CB4" w:rsidRPr="00BC4EE7" w:rsidRDefault="00D65CB4">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6E2B97B" w14:textId="2D0820E9" w:rsidR="00D65CB4" w:rsidRPr="00BC4EE7" w:rsidRDefault="00572307">
            <w:pPr>
              <w:pStyle w:val="P68B1DB1-Normal38"/>
              <w:spacing w:after="0" w:line="240" w:lineRule="auto"/>
              <w:rPr>
                <w:rFonts w:eastAsia="Times New Roman" w:cs="Times New Roman"/>
                <w:noProof/>
              </w:rPr>
            </w:pPr>
            <w:r w:rsidRPr="00BC4EE7">
              <w:rPr>
                <w:rFonts w:cs="Times New Roman"/>
                <w:noProof/>
              </w:rPr>
              <w:t>Részösszeg</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2F270C8" w14:textId="0218588F" w:rsidR="00D65CB4" w:rsidRPr="00BC4EE7" w:rsidRDefault="00572307">
            <w:pPr>
              <w:pStyle w:val="P68B1DB1-Normal38"/>
              <w:spacing w:after="0" w:line="240" w:lineRule="auto"/>
              <w:rPr>
                <w:rFonts w:eastAsia="Times New Roman" w:cs="Times New Roman"/>
                <w:noProof/>
              </w:rPr>
            </w:pPr>
            <w:r w:rsidRPr="00BC4EE7">
              <w:rPr>
                <w:rFonts w:cs="Times New Roman"/>
                <w:noProof/>
              </w:rPr>
              <w:t>·EURÓPAI BIZOTTSÁG 28 248 020 381 EUR</w:t>
            </w:r>
          </w:p>
        </w:tc>
      </w:tr>
    </w:tbl>
    <w:p w14:paraId="7DF0D0AC" w14:textId="77777777" w:rsidR="00D65CB4" w:rsidRPr="00BC4EE7" w:rsidRDefault="00D65CB4">
      <w:pPr>
        <w:spacing w:before="120" w:after="120" w:line="240" w:lineRule="auto"/>
        <w:jc w:val="both"/>
        <w:rPr>
          <w:rFonts w:ascii="Times New Roman" w:eastAsia="Calibri" w:hAnsi="Times New Roman" w:cs="Times New Roman"/>
          <w:noProof/>
          <w:sz w:val="24"/>
        </w:rPr>
      </w:pPr>
    </w:p>
    <w:p w14:paraId="1A824DC6" w14:textId="77777777" w:rsidR="00D65CB4" w:rsidRPr="00BC4EE7" w:rsidRDefault="00D65CB4">
      <w:pPr>
        <w:spacing w:before="120" w:after="120" w:line="240" w:lineRule="auto"/>
        <w:jc w:val="both"/>
        <w:rPr>
          <w:rFonts w:ascii="Times New Roman" w:eastAsia="Calibri" w:hAnsi="Times New Roman" w:cs="Times New Roman"/>
          <w:noProof/>
          <w:sz w:val="24"/>
        </w:rPr>
      </w:pPr>
    </w:p>
    <w:p w14:paraId="13EE5F01" w14:textId="77777777" w:rsidR="00D65CB4" w:rsidRPr="00BC4EE7" w:rsidRDefault="00572307">
      <w:pPr>
        <w:pStyle w:val="P68B1DB1-Normal36"/>
        <w:rPr>
          <w:rFonts w:eastAsia="Calibri" w:cs="Times New Roman"/>
          <w:noProof/>
        </w:rPr>
      </w:pPr>
      <w:r w:rsidRPr="00BC4EE7">
        <w:rPr>
          <w:rFonts w:cs="Times New Roman"/>
          <w:noProof/>
        </w:rPr>
        <w:t xml:space="preserve">3. SZAKASZ: KIEGÉSZÍTŐ INTÉZKEDÉSEK </w:t>
      </w:r>
    </w:p>
    <w:p w14:paraId="3ABF5413" w14:textId="77777777" w:rsidR="00D65CB4" w:rsidRPr="00BC4EE7" w:rsidRDefault="00572307">
      <w:pPr>
        <w:pStyle w:val="P68B1DB1-NumPar137"/>
        <w:numPr>
          <w:ilvl w:val="0"/>
          <w:numId w:val="782"/>
        </w:numPr>
        <w:rPr>
          <w:rFonts w:cs="Times New Roman"/>
          <w:noProof/>
        </w:rPr>
      </w:pPr>
      <w:r w:rsidRPr="00BC4EE7">
        <w:rPr>
          <w:rFonts w:cs="Times New Roman"/>
          <w:noProof/>
        </w:rPr>
        <w:t>A helyreállítási és rezilienciaépítési terv nyomon követéséhez és végrehajtásához kapcsolódó intézkedések</w:t>
      </w:r>
    </w:p>
    <w:p w14:paraId="6B0A1AA4" w14:textId="7EA3F6BC" w:rsidR="00D65CB4" w:rsidRPr="00BC4EE7" w:rsidRDefault="00572307">
      <w:pPr>
        <w:pStyle w:val="P68B1DB1-Normal4"/>
        <w:spacing w:before="120" w:after="120" w:line="240" w:lineRule="auto"/>
        <w:jc w:val="both"/>
        <w:rPr>
          <w:rFonts w:eastAsia="Calibri" w:cs="Times New Roman"/>
          <w:noProof/>
        </w:rPr>
      </w:pPr>
      <w:r w:rsidRPr="00BC4EE7">
        <w:rPr>
          <w:rFonts w:cs="Times New Roman"/>
          <w:noProof/>
        </w:rPr>
        <w:t xml:space="preserve">Spanyolország módosított helyreállítási és rezilienciaépítési tervének nyomon követését és végrehajtását a közigazgatás korszerűsítésére és a helyreállítási terv végrehajtására irányuló sürgős intézkedések jóváhagyásáról szóló, december 30-i 36/2020. sz. királyi törvényerejű rendelet (a továbbiakban: 36/2020. sz. királyi törvényerejű rendelet) határozta meg. Ezeket a következő rendelkezésekkel összhangban kell lefolytatni: </w:t>
      </w:r>
    </w:p>
    <w:p w14:paraId="1F8DFDBA" w14:textId="06992177" w:rsidR="00D65CB4" w:rsidRPr="00BC4EE7" w:rsidRDefault="00572307">
      <w:pPr>
        <w:pStyle w:val="P68B1DB1-ListParagraph6"/>
        <w:numPr>
          <w:ilvl w:val="0"/>
          <w:numId w:val="783"/>
        </w:numPr>
        <w:spacing w:before="120" w:after="120" w:line="240" w:lineRule="auto"/>
        <w:jc w:val="both"/>
        <w:rPr>
          <w:rFonts w:eastAsia="Calibri" w:cs="Times New Roman"/>
          <w:noProof/>
        </w:rPr>
      </w:pPr>
      <w:r w:rsidRPr="00BC4EE7">
        <w:rPr>
          <w:rFonts w:cs="Times New Roman"/>
          <w:noProof/>
        </w:rPr>
        <w:t xml:space="preserve">Létrejött a helyreállítási, átalakítási és rezilienciaépítési bizottság, amely a tervért felelős minisztereket tömöríti, és amelynek elnöki tisztét a kormány elnöke fogja ellátni. Ez a Bizottság kidolgozta a helyreállítási terv kidolgozására és végrehajtására vonatkozó általános szakpolitikai iránymutatásokat, és nyomon követi annak végrehajtását. Munkáját a közigazgatás 20 tagjából álló technikai bizottság segíti, amelynek elnöke az európai alapokért felelős főtitkárság. </w:t>
      </w:r>
    </w:p>
    <w:p w14:paraId="254B8963" w14:textId="3BA580E9" w:rsidR="00D65CB4" w:rsidRPr="00BC4EE7" w:rsidRDefault="00572307">
      <w:pPr>
        <w:pStyle w:val="P68B1DB1-ListParagraph6"/>
        <w:numPr>
          <w:ilvl w:val="0"/>
          <w:numId w:val="783"/>
        </w:numPr>
        <w:spacing w:before="120" w:after="120" w:line="240" w:lineRule="auto"/>
        <w:jc w:val="both"/>
        <w:rPr>
          <w:rFonts w:eastAsia="Calibri" w:cs="Times New Roman"/>
          <w:noProof/>
        </w:rPr>
      </w:pPr>
      <w:r w:rsidRPr="00BC4EE7">
        <w:rPr>
          <w:rFonts w:cs="Times New Roman"/>
          <w:noProof/>
        </w:rPr>
        <w:t xml:space="preserve">A tervért az Európai Bizottsággal szemben a Pénzügyminisztériumon belül újonnan létrehozott Európai Alapok Főtitkársága lesz a felelős hatóság. Ez a hatóság kulcsfontosságú lesz a kifizetési kérelmek benyújtásának nyomon követésében, amely a mérföldkövek és célok elérésén fog alapulni. </w:t>
      </w:r>
    </w:p>
    <w:p w14:paraId="5DE25302" w14:textId="75EA8A8A" w:rsidR="00D65CB4" w:rsidRPr="00BC4EE7" w:rsidRDefault="00572307">
      <w:pPr>
        <w:pStyle w:val="P68B1DB1-ListParagraph6"/>
        <w:numPr>
          <w:ilvl w:val="0"/>
          <w:numId w:val="783"/>
        </w:numPr>
        <w:spacing w:before="120" w:after="120" w:line="240" w:lineRule="auto"/>
        <w:jc w:val="both"/>
        <w:rPr>
          <w:rFonts w:eastAsia="Calibri" w:cs="Times New Roman"/>
          <w:noProof/>
        </w:rPr>
      </w:pPr>
      <w:r w:rsidRPr="00BC4EE7">
        <w:rPr>
          <w:rFonts w:cs="Times New Roman"/>
          <w:noProof/>
        </w:rPr>
        <w:t xml:space="preserve">A módosított terv 419 mérföldkövet és célt tartalmaz, amelyek többsége a 2021–2023-as időszakra vonatkozik. A javasolt mérföldkövek és célok egyértelműek, és a javasolt mutatók relevánsak, elfogadhatók és megalapozottak. </w:t>
      </w:r>
    </w:p>
    <w:p w14:paraId="4E976ED5" w14:textId="17F1AFFD" w:rsidR="00D65CB4" w:rsidRPr="00BC4EE7" w:rsidRDefault="00572307">
      <w:pPr>
        <w:pStyle w:val="P68B1DB1-ListParagraph6"/>
        <w:numPr>
          <w:ilvl w:val="0"/>
          <w:numId w:val="783"/>
        </w:numPr>
        <w:spacing w:before="120" w:after="120" w:line="240" w:lineRule="auto"/>
        <w:jc w:val="both"/>
        <w:rPr>
          <w:rFonts w:eastAsia="Calibri" w:cs="Times New Roman"/>
          <w:noProof/>
        </w:rPr>
      </w:pPr>
      <w:r w:rsidRPr="00BC4EE7">
        <w:rPr>
          <w:rFonts w:cs="Times New Roman"/>
          <w:noProof/>
        </w:rPr>
        <w:t xml:space="preserve">Míg az egyes intézkedésekért felelős minisztérium feladata lesz, hogy a költségvetésben szereplő forrásokkal összhangban intézkedéseket hozzon a kapcsolódó mérföldkövek és célkitűzések elérése érdekében, addig az Európai Alapok Főtitkársága lesz az a szerv, amely elkészíti az Európai Bizottsághoz intézett kifizetési kérelmeket. Minden kifizetési kérelmet az összetevőkért felelős szervek által kiadott jelentéseken alapuló vezetői nyilatkozatnak kell kísérnie. Ezen túlmenően az Államigazgatási Főellenőr (Intervención General de la Administración del Estado – IGAE) ellenőrzéseket fog végezni a mérföldkövek és célkitűzések, valamint az elért eredmények elérésének igazolására. A terv végrehajtására elkülönített forrásokat a központi kormányzat költségvetése tartalmazza. </w:t>
      </w:r>
    </w:p>
    <w:p w14:paraId="733D840D" w14:textId="2DF93329" w:rsidR="00D65CB4" w:rsidRPr="00BC4EE7" w:rsidRDefault="00572307">
      <w:pPr>
        <w:pStyle w:val="P68B1DB1-ListParagraph6"/>
        <w:numPr>
          <w:ilvl w:val="0"/>
          <w:numId w:val="783"/>
        </w:numPr>
        <w:spacing w:before="120" w:after="120" w:line="240" w:lineRule="auto"/>
        <w:jc w:val="both"/>
        <w:rPr>
          <w:rFonts w:eastAsia="Calibri" w:cs="Times New Roman"/>
          <w:noProof/>
        </w:rPr>
      </w:pPr>
      <w:r w:rsidRPr="00BC4EE7">
        <w:rPr>
          <w:rFonts w:cs="Times New Roman"/>
          <w:noProof/>
        </w:rPr>
        <w:t>Intézkedéseket hoztak annak érdekében, hogy a kulcsfontosságú szereplőket bevonják a terv végrehajtásába. A tervhez új ágazati konferenciát szerveznek, amelynek célja a régiók, a helyi önkormányzatok és a központi kormányzat közötti együttműködés irányítása a terv végrehajtása érdekében. Ami a parlamenti ellenőrzést illeti, a 36/2020. sz. királyi törvényerejű rendelet 22. cikke előírja, hogy a kormány negyedévente jelentést tesz az Európai Unió parlamenti vegyes bizottságának a helyreállítási, átalakítási és rezilienciaépítési terv előrehaladásáról.</w:t>
      </w:r>
    </w:p>
    <w:p w14:paraId="13C65C14" w14:textId="77777777" w:rsidR="00D65CB4" w:rsidRPr="00BC4EE7" w:rsidRDefault="00D65CB4">
      <w:pPr>
        <w:spacing w:before="120" w:after="120" w:line="240" w:lineRule="auto"/>
        <w:jc w:val="both"/>
        <w:rPr>
          <w:rFonts w:ascii="Times New Roman" w:eastAsia="Calibri" w:hAnsi="Times New Roman" w:cs="Times New Roman"/>
          <w:noProof/>
          <w:sz w:val="24"/>
        </w:rPr>
      </w:pPr>
    </w:p>
    <w:p w14:paraId="3BC72D0E" w14:textId="77777777" w:rsidR="00D65CB4" w:rsidRPr="00BC4EE7" w:rsidRDefault="00572307">
      <w:pPr>
        <w:pStyle w:val="P68B1DB1-NumPar137"/>
        <w:numPr>
          <w:ilvl w:val="0"/>
          <w:numId w:val="782"/>
        </w:numPr>
        <w:rPr>
          <w:rFonts w:cs="Times New Roman"/>
          <w:noProof/>
        </w:rPr>
      </w:pPr>
      <w:r w:rsidRPr="00BC4EE7">
        <w:rPr>
          <w:rFonts w:cs="Times New Roman"/>
          <w:noProof/>
        </w:rPr>
        <w:t>A Bizottságnak az alapul szolgáló adatokhoz való teljes körű hozzáférését biztosító intézkedések</w:t>
      </w:r>
    </w:p>
    <w:p w14:paraId="631837FE" w14:textId="76F6E88C" w:rsidR="00D65CB4" w:rsidRPr="00BC4EE7" w:rsidRDefault="00572307">
      <w:pPr>
        <w:pStyle w:val="P68B1DB1-Normal4"/>
        <w:spacing w:before="120" w:after="120" w:line="240" w:lineRule="auto"/>
        <w:jc w:val="both"/>
        <w:rPr>
          <w:rFonts w:eastAsia="Calibri" w:cs="Times New Roman"/>
          <w:noProof/>
        </w:rPr>
      </w:pPr>
      <w:r w:rsidRPr="00BC4EE7">
        <w:rPr>
          <w:rFonts w:cs="Times New Roman"/>
          <w:noProof/>
        </w:rPr>
        <w:t>Annak érdekében, hogy a Bizottság számára teljes körű hozzáférést biztosítson az alapul szolgáló releváns adatokhoz, Spanyolország a következő megállapodásokkal rendelkezik:</w:t>
      </w:r>
    </w:p>
    <w:p w14:paraId="137EE5D7" w14:textId="77777777" w:rsidR="00D65CB4" w:rsidRPr="00BC4EE7" w:rsidRDefault="00572307">
      <w:pPr>
        <w:pStyle w:val="P68B1DB1-Normal4"/>
        <w:spacing w:before="120" w:after="120" w:line="240" w:lineRule="auto"/>
        <w:jc w:val="both"/>
        <w:rPr>
          <w:rFonts w:eastAsia="Calibri" w:cs="Times New Roman"/>
          <w:noProof/>
        </w:rPr>
      </w:pPr>
      <w:r w:rsidRPr="00BC4EE7">
        <w:rPr>
          <w:rFonts w:cs="Times New Roman"/>
          <w:noProof/>
        </w:rPr>
        <w:t xml:space="preserve">Spanyolország helyreállítási és rezilienciaépítési tervének koordinátoraként az Európai Alapok Főtitkársága (Pénzügyi Minisztérium) felel a módosított helyreállítási és rezilienciaépítési tervek általános végrehajtásáért, az ország más érintett hatóságaival való koordináció biztosításáért (többek között az egyéb uniós források felhasználásával kapcsolatos koherencia biztosításáért), a mérföldkövek és célok terén elért eredmények nyomon követéséért, a kontroll- és ellenőrzési intézkedések végrehajtásának felügyeletéért és biztosításáért, valamint az összes szükséges jelentéstétel, kifizetési kérelem és a kapcsolódó vezetői nyilatkozat biztosításáért. Az európai alapok főtitkársága egy informatikai rendszerre („Kávé”) támaszkodik, amely lehetővé teszi a minisztériumok és más végrehajtó, ellenőrző és ellenőrző szervek számára, hogy minden releváns információt rögzítsenek, beleértve a mérföldkövekre és célokra, valamint a monitoringmutatókra vonatkozó jelentéstételt, a kontroll- és ellenőrzési jelentéseket, valamint a végrehajtó szervek vezetői jelentéseit, amelyek várhatóan alapul szolgálnak majd a kifizetési kérelmekhez csatolandó vezetői nyilatkozatokhoz. A rendszer lehetővé teszi a minőségi pénzügyi információk és egyéb adatok rögzítését is, például a végső kedvezményezettekre, a vállalkozókra és az alvállalkozókra vonatkozóan. A hatóságok a tényleges tulajdonosokra vonatkozó adatokat is összegyűjtik és tárolják, amelyeket a nemzeti adóhatóság tárol. </w:t>
      </w:r>
    </w:p>
    <w:p w14:paraId="06442C18" w14:textId="23565917" w:rsidR="00D65CB4" w:rsidRPr="00BC4EE7" w:rsidRDefault="00572307">
      <w:pPr>
        <w:pStyle w:val="P68B1DB1-Normal4"/>
        <w:spacing w:before="120" w:after="120" w:line="240" w:lineRule="auto"/>
        <w:jc w:val="both"/>
        <w:rPr>
          <w:rFonts w:eastAsia="Calibri" w:cs="Times New Roman"/>
          <w:noProof/>
        </w:rPr>
      </w:pPr>
      <w:r w:rsidRPr="00BC4EE7">
        <w:rPr>
          <w:rFonts w:cs="Times New Roman"/>
          <w:noProof/>
        </w:rPr>
        <w:t>Ezenkívül a 173. mérföldkővel, valamint az első kifizetési kérelemmel összefüggésben tett ellenőrzési és ellenőrzési kötelezettségvállalásokkal kapcsolatban Spanyolország két megállapodást kötött a külföldi vállalatok tényleges tulajdonosaira vonatkozó információcsere megkönnyítése érdekében: az egyik a Közjegyzői Ügyek Általános Tanácsa és az adóhivatal között, a másik pedig ez utóbbi és a College of Property Registrys között. Ezenkívül Spanyolország miniszteri rendeletet adott ki (HFP/55/2023. sz. rendelet), amelyben felhatalmazta a felhívások szervezéséért felelős hatóságokat arra, hogy a tényleges tulajdonosok adatait olyan külföldi vállalatoktól kérjék, amelyekre vonatkozóan a nemzeti hatóságok nem rendelkeznek információkkal adatbázisaikban.</w:t>
      </w:r>
    </w:p>
    <w:p w14:paraId="005C5709" w14:textId="77777777" w:rsidR="00D65CB4" w:rsidRPr="00BC4EE7" w:rsidRDefault="00572307">
      <w:pPr>
        <w:pStyle w:val="P68B1DB1-Normal4"/>
        <w:spacing w:before="120" w:after="120" w:line="240" w:lineRule="auto"/>
        <w:jc w:val="both"/>
        <w:rPr>
          <w:rFonts w:eastAsia="Calibri" w:cs="Times New Roman"/>
          <w:noProof/>
        </w:rPr>
      </w:pPr>
      <w:r w:rsidRPr="00BC4EE7">
        <w:rPr>
          <w:rFonts w:cs="Times New Roman"/>
          <w:noProof/>
        </w:rPr>
        <w:t>Emellett Spanyolország ellenőrzési célból javította a tényleges tulajdonosokra vonatkozó információkhoz való hozzáférést. A spanyol hatóságok létrehoztak és működésbe léptettek egy „MINERVA” elnevezésű kockázatértékelési informatikai eszközt az összeférhetetlenség szisztematikus ellenőrzésére és megelőzésére, felhasználva a tényleges tulajdonosok adatait.</w:t>
      </w:r>
    </w:p>
    <w:p w14:paraId="26C38D62" w14:textId="71839E3A" w:rsidR="00D65CB4" w:rsidRPr="00BC4EE7" w:rsidRDefault="00572307">
      <w:pPr>
        <w:pStyle w:val="P68B1DB1-Normal4"/>
        <w:spacing w:before="120" w:after="120" w:line="240" w:lineRule="auto"/>
        <w:jc w:val="both"/>
        <w:rPr>
          <w:rFonts w:eastAsia="Calibri" w:cs="Times New Roman"/>
          <w:noProof/>
        </w:rPr>
      </w:pPr>
      <w:r w:rsidRPr="00BC4EE7">
        <w:rPr>
          <w:rFonts w:cs="Times New Roman"/>
          <w:noProof/>
        </w:rPr>
        <w:t>Az (EU) 2021/241 rendelet 24. cikkének (2) bekezdésével összhangban Spanyolország az e melléklet 2.1. szakaszában meghatározott releváns elfogadott mérföldkövek és célok teljesítését követően kellően indokolt kérelmet nyújt be a Bizottságnak a pénzügyi hozzájárulás kifizetése iránt. Spanyolország biztosítja, hogy a Bizottság kérésre teljes körű hozzáféréssel rendelkezzen azokhoz az alapul szolgáló releváns adatokhoz, amelyek alátámasztják a kifizetési kérelem megfelelő indokolását, mind a kifizetési kérelemnek az (EU) 2021/241 rendelet 24. cikkének (3) bekezdése szerinti értékelése, mind pedig ellenőrzési és kontrollcélok céljából.</w:t>
      </w:r>
    </w:p>
    <w:p w14:paraId="459F1C0A" w14:textId="77777777" w:rsidR="00D65CB4" w:rsidRPr="00BC4EE7" w:rsidRDefault="00D65CB4">
      <w:pPr>
        <w:pStyle w:val="Annexetitre"/>
        <w:rPr>
          <w:rFonts w:ascii="Times New Roman" w:hAnsi="Times New Roman" w:cs="Times New Roman"/>
          <w:noProof/>
        </w:rPr>
      </w:pPr>
    </w:p>
    <w:p w14:paraId="26972EED" w14:textId="77777777" w:rsidR="00D65CB4" w:rsidRPr="00BC4EE7" w:rsidRDefault="00D65CB4">
      <w:pPr>
        <w:pStyle w:val="Text1"/>
        <w:ind w:left="0"/>
        <w:rPr>
          <w:rFonts w:ascii="Times New Roman" w:hAnsi="Times New Roman" w:cs="Times New Roman"/>
          <w:noProof/>
        </w:rPr>
      </w:pPr>
    </w:p>
    <w:sectPr w:rsidR="00D65CB4" w:rsidRPr="00BC4EE7">
      <w:headerReference w:type="even" r:id="rId652"/>
      <w:headerReference w:type="default" r:id="rId653"/>
      <w:footerReference w:type="even" r:id="rId654"/>
      <w:footerReference w:type="default" r:id="rId655"/>
      <w:headerReference w:type="first" r:id="rId656"/>
      <w:footerReference w:type="first" r:id="rId657"/>
      <w:pgSz w:w="11907" w:h="16839"/>
      <w:pgMar w:top="1134" w:right="1134" w:bottom="1134"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545B70" w14:textId="77777777" w:rsidR="00D65CB4" w:rsidRDefault="00572307">
      <w:pPr>
        <w:spacing w:after="0" w:line="240" w:lineRule="auto"/>
      </w:pPr>
      <w:r>
        <w:separator/>
      </w:r>
    </w:p>
    <w:p w14:paraId="1B44914F" w14:textId="77777777" w:rsidR="00D65CB4" w:rsidRDefault="00D65CB4"/>
  </w:endnote>
  <w:endnote w:type="continuationSeparator" w:id="0">
    <w:p w14:paraId="5247BDE2" w14:textId="77777777" w:rsidR="00D65CB4" w:rsidRDefault="00572307">
      <w:pPr>
        <w:spacing w:after="0" w:line="240" w:lineRule="auto"/>
      </w:pPr>
      <w:r>
        <w:continuationSeparator/>
      </w:r>
    </w:p>
    <w:p w14:paraId="254C740D" w14:textId="77777777" w:rsidR="00D65CB4" w:rsidRDefault="00D65CB4"/>
  </w:endnote>
  <w:endnote w:type="continuationNotice" w:id="1">
    <w:p w14:paraId="63511137" w14:textId="77777777" w:rsidR="00D65CB4" w:rsidRDefault="00D65CB4">
      <w:pPr>
        <w:spacing w:after="0" w:line="240" w:lineRule="auto"/>
      </w:pPr>
    </w:p>
    <w:p w14:paraId="380E4C04" w14:textId="77777777" w:rsidR="00D65CB4" w:rsidRDefault="00D65C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quot;Courier New&quot;">
    <w:altName w:val="Cambria"/>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quot;Times New Roman&quot;,serif">
    <w:altName w:val="Times New Roman"/>
    <w:panose1 w:val="00000000000000000000"/>
    <w:charset w:val="00"/>
    <w:family w:val="roman"/>
    <w:notTrueType/>
    <w:pitch w:val="default"/>
  </w:font>
  <w:font w:name="MS Mincho">
    <w:altName w:val="Yu Gothic UI"/>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C1100" w14:textId="59E7E8A5" w:rsidR="00567EFF" w:rsidRPr="00567EFF" w:rsidRDefault="00567EFF" w:rsidP="00567EFF">
    <w:pPr>
      <w:pStyle w:val="FooterCoverPage"/>
      <w:rPr>
        <w:rFonts w:ascii="Arial" w:hAnsi="Arial" w:cs="Arial"/>
        <w:b/>
        <w:sz w:val="48"/>
      </w:rPr>
    </w:pPr>
    <w:r w:rsidRPr="00567EFF">
      <w:rPr>
        <w:rFonts w:ascii="Arial" w:hAnsi="Arial" w:cs="Arial"/>
        <w:b/>
        <w:sz w:val="48"/>
      </w:rPr>
      <w:t>HU</w:t>
    </w:r>
    <w:r w:rsidRPr="00567EFF">
      <w:rPr>
        <w:rFonts w:ascii="Arial" w:hAnsi="Arial" w:cs="Arial"/>
        <w:b/>
        <w:sz w:val="48"/>
      </w:rPr>
      <w:tab/>
    </w:r>
    <w:r w:rsidRPr="00567EFF">
      <w:rPr>
        <w:rFonts w:ascii="Arial" w:hAnsi="Arial" w:cs="Arial"/>
        <w:b/>
        <w:sz w:val="48"/>
      </w:rPr>
      <w:tab/>
    </w:r>
    <w:r w:rsidRPr="00567EFF">
      <w:tab/>
    </w:r>
    <w:r w:rsidRPr="00567EFF">
      <w:rPr>
        <w:rFonts w:ascii="Arial" w:hAnsi="Arial" w:cs="Arial"/>
        <w:b/>
        <w:sz w:val="48"/>
      </w:rPr>
      <w:t>HU</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E7A2C" w14:textId="77777777" w:rsidR="00D65CB4" w:rsidRDefault="00D65CB4">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AE3EA" w14:textId="77777777" w:rsidR="00D65CB4" w:rsidRDefault="00D65CB4">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6739406"/>
      <w:docPartObj>
        <w:docPartGallery w:val="Page Numbers (Bottom of Page)"/>
        <w:docPartUnique/>
      </w:docPartObj>
    </w:sdtPr>
    <w:sdtEndPr>
      <w:rPr>
        <w:noProof/>
      </w:rPr>
    </w:sdtEndPr>
    <w:sdtContent>
      <w:p w14:paraId="29ABA597" w14:textId="5388D285"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5D5246BA" w14:textId="77777777" w:rsidR="00D65CB4" w:rsidRDefault="00D65CB4">
    <w:pPr>
      <w:pStyle w:val="FooterCouncil"/>
    </w:pP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F4880" w14:textId="77777777" w:rsidR="00D65CB4" w:rsidRDefault="00D65CB4">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04CCB" w14:textId="77777777" w:rsidR="00D65CB4" w:rsidRDefault="00D65CB4">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0460105"/>
      <w:docPartObj>
        <w:docPartGallery w:val="Page Numbers (Bottom of Page)"/>
        <w:docPartUnique/>
      </w:docPartObj>
    </w:sdtPr>
    <w:sdtEndPr>
      <w:rPr>
        <w:noProof/>
      </w:rPr>
    </w:sdtEndPr>
    <w:sdtContent>
      <w:p w14:paraId="28FDCCEA" w14:textId="307FCE29"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2935FD64" w14:textId="77777777" w:rsidR="00D65CB4" w:rsidRDefault="00D65CB4">
    <w:pPr>
      <w:pStyle w:val="FooterCouncil"/>
    </w:pP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8AA0D" w14:textId="77777777" w:rsidR="00D65CB4" w:rsidRDefault="00D65CB4">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76332" w14:textId="77777777" w:rsidR="00D65CB4" w:rsidRDefault="00D65CB4">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693432"/>
      <w:docPartObj>
        <w:docPartGallery w:val="Page Numbers (Bottom of Page)"/>
        <w:docPartUnique/>
      </w:docPartObj>
    </w:sdtPr>
    <w:sdtEndPr>
      <w:rPr>
        <w:noProof/>
      </w:rPr>
    </w:sdtEndPr>
    <w:sdtContent>
      <w:p w14:paraId="0F1D1553" w14:textId="5F5A53C9"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6B1B30B7" w14:textId="77777777" w:rsidR="00D65CB4" w:rsidRDefault="00D65CB4">
    <w:pPr>
      <w:pStyle w:val="FooterCouncil"/>
    </w:pP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00C74" w14:textId="77777777" w:rsidR="00D65CB4" w:rsidRDefault="00D65CB4">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BD365" w14:textId="77777777" w:rsidR="00D65CB4" w:rsidRDefault="00D65CB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1840292"/>
      <w:docPartObj>
        <w:docPartGallery w:val="Page Numbers (Bottom of Page)"/>
        <w:docPartUnique/>
      </w:docPartObj>
    </w:sdtPr>
    <w:sdtEndPr>
      <w:rPr>
        <w:noProof/>
      </w:rPr>
    </w:sdtEndPr>
    <w:sdtContent>
      <w:p w14:paraId="2679D2AE" w14:textId="0EB17089"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5886B4A0" w14:textId="77777777" w:rsidR="00D65CB4" w:rsidRDefault="00D65CB4">
    <w:pPr>
      <w:pStyle w:val="FooterCouncil"/>
    </w:pP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9579676"/>
      <w:docPartObj>
        <w:docPartGallery w:val="Page Numbers (Bottom of Page)"/>
        <w:docPartUnique/>
      </w:docPartObj>
    </w:sdtPr>
    <w:sdtEndPr>
      <w:rPr>
        <w:noProof/>
      </w:rPr>
    </w:sdtEndPr>
    <w:sdtContent>
      <w:p w14:paraId="3E166685" w14:textId="052D2136"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21E85658" w14:textId="77777777" w:rsidR="00D65CB4" w:rsidRDefault="00D65CB4">
    <w:pPr>
      <w:pStyle w:val="FooterCouncil"/>
    </w:pP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8C58E" w14:textId="77777777" w:rsidR="00D65CB4" w:rsidRDefault="00D65CB4">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886D5" w14:textId="77777777" w:rsidR="00D65CB4" w:rsidRDefault="00D65CB4">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0214715"/>
      <w:docPartObj>
        <w:docPartGallery w:val="Page Numbers (Bottom of Page)"/>
        <w:docPartUnique/>
      </w:docPartObj>
    </w:sdtPr>
    <w:sdtEndPr>
      <w:rPr>
        <w:noProof/>
      </w:rPr>
    </w:sdtEndPr>
    <w:sdtContent>
      <w:p w14:paraId="57211781" w14:textId="0C384F2E"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7F227026" w14:textId="77777777" w:rsidR="00D65CB4" w:rsidRDefault="00D65CB4">
    <w:pPr>
      <w:pStyle w:val="FooterCouncil"/>
    </w:pP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6CCE4" w14:textId="77777777" w:rsidR="00D65CB4" w:rsidRDefault="00D65CB4">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A8A25" w14:textId="77777777" w:rsidR="00D65CB4" w:rsidRDefault="00D65CB4">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5838679"/>
      <w:docPartObj>
        <w:docPartGallery w:val="Page Numbers (Bottom of Page)"/>
        <w:docPartUnique/>
      </w:docPartObj>
    </w:sdtPr>
    <w:sdtEndPr>
      <w:rPr>
        <w:noProof/>
      </w:rPr>
    </w:sdtEndPr>
    <w:sdtContent>
      <w:p w14:paraId="2FD16392" w14:textId="5D481EEC" w:rsidR="00D65CB4" w:rsidRDefault="00572307">
        <w:pPr>
          <w:pStyle w:val="Footer"/>
          <w:jc w:val="center"/>
        </w:pPr>
        <w:r>
          <w:fldChar w:fldCharType="begin"/>
        </w:r>
        <w:r>
          <w:instrText xml:space="preserve"> PAGE   \* MERGEFORMAT </w:instrText>
        </w:r>
        <w:r>
          <w:fldChar w:fldCharType="separate"/>
        </w:r>
        <w:r>
          <w:t>2</w:t>
        </w:r>
        <w:r>
          <w:fldChar w:fldCharType="end"/>
        </w:r>
      </w:p>
    </w:sdtContent>
  </w:sdt>
  <w:p w14:paraId="32EE4E47" w14:textId="77777777" w:rsidR="00D65CB4" w:rsidRDefault="00D65CB4">
    <w:pPr>
      <w:pStyle w:val="FooterCouncil"/>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CCDF1" w14:textId="77777777" w:rsidR="00D65CB4" w:rsidRDefault="00D65CB4">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7BC96" w14:textId="77777777" w:rsidR="00D65CB4" w:rsidRDefault="00D65CB4">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3417454"/>
      <w:docPartObj>
        <w:docPartGallery w:val="Page Numbers (Bottom of Page)"/>
        <w:docPartUnique/>
      </w:docPartObj>
    </w:sdtPr>
    <w:sdtEndPr>
      <w:rPr>
        <w:noProof/>
      </w:rPr>
    </w:sdtEndPr>
    <w:sdtContent>
      <w:p w14:paraId="73CBB389" w14:textId="092A6F6F"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0A7D7032" w14:textId="77777777" w:rsidR="00D65CB4" w:rsidRDefault="00D65CB4">
    <w:pPr>
      <w:pStyle w:val="FooterCouncil"/>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BFDB1" w14:textId="77777777" w:rsidR="00D65CB4" w:rsidRDefault="00D65CB4">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755E4" w14:textId="77777777" w:rsidR="00D65CB4" w:rsidRDefault="00D65CB4">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A6CB0" w14:textId="77777777" w:rsidR="00D65CB4" w:rsidRDefault="00D65CB4">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4401280"/>
      <w:docPartObj>
        <w:docPartGallery w:val="Page Numbers (Bottom of Page)"/>
        <w:docPartUnique/>
      </w:docPartObj>
    </w:sdtPr>
    <w:sdtEndPr>
      <w:rPr>
        <w:noProof/>
      </w:rPr>
    </w:sdtEndPr>
    <w:sdtContent>
      <w:p w14:paraId="493A2E0D" w14:textId="7A1CEB41"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3009EC3E" w14:textId="77777777" w:rsidR="00D65CB4" w:rsidRDefault="00D65CB4">
    <w:pPr>
      <w:pStyle w:val="FooterCouncil"/>
    </w:pP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C590C" w14:textId="77777777" w:rsidR="00D65CB4" w:rsidRDefault="00D65CB4">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A15B0" w14:textId="77777777" w:rsidR="00D65CB4" w:rsidRDefault="00D65CB4">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5402174"/>
      <w:docPartObj>
        <w:docPartGallery w:val="Page Numbers (Bottom of Page)"/>
        <w:docPartUnique/>
      </w:docPartObj>
    </w:sdtPr>
    <w:sdtEndPr>
      <w:rPr>
        <w:noProof/>
      </w:rPr>
    </w:sdtEndPr>
    <w:sdtContent>
      <w:p w14:paraId="42213AB9" w14:textId="1CC173EA"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5443AFEB" w14:textId="77777777" w:rsidR="00D65CB4" w:rsidRDefault="00D65CB4">
    <w:pPr>
      <w:pStyle w:val="FooterCouncil"/>
    </w:pP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D22CA" w14:textId="77777777" w:rsidR="00D65CB4" w:rsidRDefault="00D65CB4">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7F965" w14:textId="77777777" w:rsidR="00D65CB4" w:rsidRDefault="00D65CB4">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5519847"/>
      <w:docPartObj>
        <w:docPartGallery w:val="Page Numbers (Bottom of Page)"/>
        <w:docPartUnique/>
      </w:docPartObj>
    </w:sdtPr>
    <w:sdtEndPr>
      <w:rPr>
        <w:noProof/>
      </w:rPr>
    </w:sdtEndPr>
    <w:sdtContent>
      <w:p w14:paraId="761E2E3E" w14:textId="1E1147F3" w:rsidR="00D65CB4" w:rsidRDefault="00572307">
        <w:pPr>
          <w:pStyle w:val="Footer"/>
          <w:jc w:val="center"/>
        </w:pPr>
        <w:r>
          <w:fldChar w:fldCharType="begin"/>
        </w:r>
        <w:r>
          <w:instrText xml:space="preserve"> PAGE   \* MERGEFORMAT </w:instrText>
        </w:r>
        <w:r>
          <w:fldChar w:fldCharType="separate"/>
        </w:r>
        <w:r>
          <w:t>2</w:t>
        </w:r>
        <w:r>
          <w:fldChar w:fldCharType="end"/>
        </w:r>
      </w:p>
    </w:sdtContent>
  </w:sdt>
  <w:p w14:paraId="2A2CC94B" w14:textId="77777777" w:rsidR="00D65CB4" w:rsidRDefault="00D65CB4">
    <w:pPr>
      <w:pStyle w:val="FooterCouncil"/>
    </w:pP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2313C" w14:textId="77777777" w:rsidR="00D65CB4" w:rsidRDefault="00D65CB4">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F163C" w14:textId="77777777" w:rsidR="00D65CB4" w:rsidRDefault="00D65CB4">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143A0" w14:textId="77777777" w:rsidR="00D65CB4" w:rsidRDefault="00D65CB4">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1214361"/>
      <w:docPartObj>
        <w:docPartGallery w:val="Page Numbers (Bottom of Page)"/>
        <w:docPartUnique/>
      </w:docPartObj>
    </w:sdtPr>
    <w:sdtEndPr>
      <w:rPr>
        <w:noProof/>
      </w:rPr>
    </w:sdtEndPr>
    <w:sdtContent>
      <w:p w14:paraId="1A9EEF3E" w14:textId="77777777" w:rsidR="00D65CB4" w:rsidRDefault="00572307">
        <w:pPr>
          <w:pStyle w:val="Footer"/>
          <w:jc w:val="center"/>
        </w:pPr>
        <w:r>
          <w:fldChar w:fldCharType="begin"/>
        </w:r>
        <w:r>
          <w:instrText xml:space="preserve"> PAGE   \* MERGEFORMAT </w:instrText>
        </w:r>
        <w:r>
          <w:fldChar w:fldCharType="separate"/>
        </w:r>
        <w:r>
          <w:t>2</w:t>
        </w:r>
        <w:r>
          <w:fldChar w:fldCharType="end"/>
        </w:r>
      </w:p>
    </w:sdtContent>
  </w:sdt>
  <w:p w14:paraId="5E4CCC34" w14:textId="77777777" w:rsidR="00D65CB4" w:rsidRDefault="00D65CB4">
    <w:pPr>
      <w:pStyle w:val="FooterCouncil"/>
    </w:pP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0C698" w14:textId="77777777" w:rsidR="00D65CB4" w:rsidRDefault="00D65CB4">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468BD" w14:textId="77777777" w:rsidR="00D65CB4" w:rsidRDefault="00D65CB4">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265777"/>
      <w:docPartObj>
        <w:docPartGallery w:val="Page Numbers (Bottom of Page)"/>
        <w:docPartUnique/>
      </w:docPartObj>
    </w:sdtPr>
    <w:sdtEndPr>
      <w:rPr>
        <w:noProof/>
      </w:rPr>
    </w:sdtEndPr>
    <w:sdtContent>
      <w:p w14:paraId="0515F734" w14:textId="57FA652C"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7EF5BCC3" w14:textId="77777777" w:rsidR="00D65CB4" w:rsidRDefault="00D65CB4">
    <w:pPr>
      <w:pStyle w:val="FooterCouncil"/>
    </w:pP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FE793" w14:textId="77777777" w:rsidR="00D65CB4" w:rsidRDefault="00D65CB4">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08044" w14:textId="77777777" w:rsidR="00D65CB4" w:rsidRDefault="00D65CB4">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2449378"/>
      <w:docPartObj>
        <w:docPartGallery w:val="Page Numbers (Bottom of Page)"/>
        <w:docPartUnique/>
      </w:docPartObj>
    </w:sdtPr>
    <w:sdtEndPr>
      <w:rPr>
        <w:noProof/>
      </w:rPr>
    </w:sdtEndPr>
    <w:sdtContent>
      <w:p w14:paraId="42DA0A5A" w14:textId="37E2D4CA"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5029075A" w14:textId="77777777" w:rsidR="00D65CB4" w:rsidRDefault="00D65CB4">
    <w:pPr>
      <w:pStyle w:val="FooterCouncil"/>
    </w:pP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0ED47" w14:textId="77777777" w:rsidR="00D65CB4" w:rsidRDefault="00D65CB4">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25731" w14:textId="77777777" w:rsidR="00D65CB4" w:rsidRDefault="00D65CB4">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1402134"/>
      <w:docPartObj>
        <w:docPartGallery w:val="Page Numbers (Bottom of Page)"/>
        <w:docPartUnique/>
      </w:docPartObj>
    </w:sdtPr>
    <w:sdtEndPr>
      <w:rPr>
        <w:noProof/>
      </w:rPr>
    </w:sdtEndPr>
    <w:sdtContent>
      <w:p w14:paraId="75D1B58F" w14:textId="19289347"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1C51DA1C" w14:textId="77777777" w:rsidR="00D65CB4" w:rsidRDefault="00D65CB4">
    <w:pPr>
      <w:pStyle w:val="FooterCouncil"/>
    </w:pP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8881329"/>
      <w:docPartObj>
        <w:docPartGallery w:val="Page Numbers (Bottom of Page)"/>
        <w:docPartUnique/>
      </w:docPartObj>
    </w:sdtPr>
    <w:sdtEndPr>
      <w:rPr>
        <w:noProof/>
      </w:rPr>
    </w:sdtEndPr>
    <w:sdtContent>
      <w:p w14:paraId="589C7145" w14:textId="77777777"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04B23A3D" w14:textId="77777777" w:rsidR="00D65CB4" w:rsidRDefault="00D65CB4">
    <w:pPr>
      <w:pStyle w:val="FooterCouncil"/>
    </w:pP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87B0C" w14:textId="77777777" w:rsidR="00D65CB4" w:rsidRDefault="00D65CB4">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267D3" w14:textId="77777777" w:rsidR="00D65CB4" w:rsidRDefault="00D65CB4">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1630168"/>
      <w:docPartObj>
        <w:docPartGallery w:val="Page Numbers (Bottom of Page)"/>
        <w:docPartUnique/>
      </w:docPartObj>
    </w:sdtPr>
    <w:sdtEndPr>
      <w:rPr>
        <w:noProof/>
      </w:rPr>
    </w:sdtEndPr>
    <w:sdtContent>
      <w:p w14:paraId="7A8FFC82" w14:textId="77777777"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00D6F2AE" w14:textId="77777777" w:rsidR="00D65CB4" w:rsidRDefault="00D65CB4">
    <w:pPr>
      <w:pStyle w:val="FooterCouncil"/>
    </w:pP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CB000" w14:textId="77777777" w:rsidR="00D65CB4" w:rsidRDefault="00D65CB4">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090EE" w14:textId="77777777" w:rsidR="00D65CB4" w:rsidRDefault="00D65CB4">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1499338"/>
      <w:docPartObj>
        <w:docPartGallery w:val="Page Numbers (Bottom of Page)"/>
        <w:docPartUnique/>
      </w:docPartObj>
    </w:sdtPr>
    <w:sdtEndPr>
      <w:rPr>
        <w:noProof/>
      </w:rPr>
    </w:sdtEndPr>
    <w:sdtContent>
      <w:p w14:paraId="6E4561A7" w14:textId="05985C1F"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24BC7B63" w14:textId="77777777" w:rsidR="00D65CB4" w:rsidRDefault="00D65CB4">
    <w:pPr>
      <w:pStyle w:val="FooterCouncil"/>
    </w:pP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5CD44" w14:textId="77777777" w:rsidR="00D65CB4" w:rsidRDefault="00D65CB4">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A3D84" w14:textId="77777777" w:rsidR="00D65CB4" w:rsidRDefault="00D65CB4">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1155729"/>
      <w:docPartObj>
        <w:docPartGallery w:val="Page Numbers (Bottom of Page)"/>
        <w:docPartUnique/>
      </w:docPartObj>
    </w:sdtPr>
    <w:sdtEndPr>
      <w:rPr>
        <w:noProof/>
      </w:rPr>
    </w:sdtEndPr>
    <w:sdtContent>
      <w:p w14:paraId="30C6AE0B" w14:textId="64D89BAB"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1A5EA27A" w14:textId="77777777" w:rsidR="00D65CB4" w:rsidRDefault="00D65CB4">
    <w:pPr>
      <w:pStyle w:val="FooterCouncil"/>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2F9C4" w14:textId="77777777" w:rsidR="00D65CB4" w:rsidRDefault="00D65CB4">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F0528" w14:textId="77777777" w:rsidR="00D65CB4" w:rsidRDefault="00D65CB4">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6A72E" w14:textId="77777777" w:rsidR="00D65CB4" w:rsidRDefault="00D65CB4">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584200"/>
      <w:docPartObj>
        <w:docPartGallery w:val="Page Numbers (Bottom of Page)"/>
        <w:docPartUnique/>
      </w:docPartObj>
    </w:sdtPr>
    <w:sdtEndPr>
      <w:rPr>
        <w:noProof/>
      </w:rPr>
    </w:sdtEndPr>
    <w:sdtContent>
      <w:p w14:paraId="6FF547B4" w14:textId="77777777"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2FCCCAD0" w14:textId="77777777" w:rsidR="00D65CB4" w:rsidRDefault="00D65CB4">
    <w:pPr>
      <w:pStyle w:val="FooterCouncil"/>
    </w:pP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95948" w14:textId="77777777" w:rsidR="00D65CB4" w:rsidRDefault="00D65CB4">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B2780" w14:textId="77777777" w:rsidR="00D65CB4" w:rsidRDefault="00D65CB4">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1469490"/>
      <w:docPartObj>
        <w:docPartGallery w:val="Page Numbers (Bottom of Page)"/>
        <w:docPartUnique/>
      </w:docPartObj>
    </w:sdtPr>
    <w:sdtEndPr>
      <w:rPr>
        <w:noProof/>
      </w:rPr>
    </w:sdtEndPr>
    <w:sdtContent>
      <w:p w14:paraId="59A4EEB3" w14:textId="1EE368B3"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7CDE9F5D" w14:textId="77777777" w:rsidR="00D65CB4" w:rsidRDefault="00D65CB4">
    <w:pPr>
      <w:pStyle w:val="FooterCouncil"/>
    </w:pP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07B1E" w14:textId="77777777" w:rsidR="00D65CB4" w:rsidRDefault="00D65CB4">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437D5" w14:textId="77777777" w:rsidR="00D65CB4" w:rsidRDefault="00D65CB4">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6936845"/>
      <w:docPartObj>
        <w:docPartGallery w:val="Page Numbers (Bottom of Page)"/>
        <w:docPartUnique/>
      </w:docPartObj>
    </w:sdtPr>
    <w:sdtEndPr>
      <w:rPr>
        <w:noProof/>
      </w:rPr>
    </w:sdtEndPr>
    <w:sdtContent>
      <w:p w14:paraId="74D27318" w14:textId="6B248874"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17769BB4" w14:textId="77777777" w:rsidR="00D65CB4" w:rsidRDefault="00D65CB4">
    <w:pPr>
      <w:pStyle w:val="FooterCouncil"/>
    </w:pP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72D5D" w14:textId="77777777" w:rsidR="00D65CB4" w:rsidRDefault="00D65CB4">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FA9CE" w14:textId="77777777" w:rsidR="00D65CB4" w:rsidRDefault="00D65CB4">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A67D0" w14:textId="77777777" w:rsidR="00D65CB4" w:rsidRDefault="00D65CB4">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2849923"/>
      <w:docPartObj>
        <w:docPartGallery w:val="Page Numbers (Bottom of Page)"/>
        <w:docPartUnique/>
      </w:docPartObj>
    </w:sdtPr>
    <w:sdtEndPr>
      <w:rPr>
        <w:noProof/>
      </w:rPr>
    </w:sdtEndPr>
    <w:sdtContent>
      <w:p w14:paraId="610ED9F7" w14:textId="38B2DA5E"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48D1DC2B" w14:textId="77777777" w:rsidR="00D65CB4" w:rsidRDefault="00D65CB4">
    <w:pPr>
      <w:pStyle w:val="FooterCouncil"/>
    </w:pP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20250" w14:textId="77777777" w:rsidR="00D65CB4" w:rsidRDefault="00D65CB4">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B1C56" w14:textId="77777777" w:rsidR="00D65CB4" w:rsidRDefault="00D65CB4">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5236908"/>
      <w:docPartObj>
        <w:docPartGallery w:val="Page Numbers (Bottom of Page)"/>
        <w:docPartUnique/>
      </w:docPartObj>
    </w:sdtPr>
    <w:sdtEndPr>
      <w:rPr>
        <w:noProof/>
      </w:rPr>
    </w:sdtEndPr>
    <w:sdtContent>
      <w:p w14:paraId="7494E962" w14:textId="706CF405" w:rsidR="00D65CB4" w:rsidRDefault="00572307">
        <w:pPr>
          <w:pStyle w:val="Footer"/>
          <w:jc w:val="center"/>
        </w:pPr>
        <w:r>
          <w:fldChar w:fldCharType="begin"/>
        </w:r>
        <w:r>
          <w:instrText xml:space="preserve"> PAGE   \* MERGEFORMAT </w:instrText>
        </w:r>
        <w:r>
          <w:fldChar w:fldCharType="separate"/>
        </w:r>
        <w:r>
          <w:t>2</w:t>
        </w:r>
        <w:r>
          <w:fldChar w:fldCharType="end"/>
        </w:r>
      </w:p>
    </w:sdtContent>
  </w:sdt>
  <w:p w14:paraId="65043F17" w14:textId="77777777" w:rsidR="00D65CB4" w:rsidRDefault="00D65CB4">
    <w:pPr>
      <w:pStyle w:val="FooterCouncil"/>
    </w:pP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C6877" w14:textId="77777777" w:rsidR="00D65CB4" w:rsidRDefault="00D65CB4">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9A40F" w14:textId="77777777" w:rsidR="00D65CB4" w:rsidRDefault="00D65CB4">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8087471"/>
      <w:docPartObj>
        <w:docPartGallery w:val="Page Numbers (Bottom of Page)"/>
        <w:docPartUnique/>
      </w:docPartObj>
    </w:sdtPr>
    <w:sdtEndPr>
      <w:rPr>
        <w:noProof/>
      </w:rPr>
    </w:sdtEndPr>
    <w:sdtContent>
      <w:p w14:paraId="1C598FEC" w14:textId="00411E37"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18C123E9" w14:textId="77777777" w:rsidR="00D65CB4" w:rsidRDefault="00D65CB4">
    <w:pPr>
      <w:pStyle w:val="FooterCouncil"/>
    </w:pP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90FAC" w14:textId="77777777" w:rsidR="00D65CB4" w:rsidRDefault="00D65CB4">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1C07F" w14:textId="77777777" w:rsidR="00D65CB4" w:rsidRDefault="00D65CB4">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1923148"/>
      <w:docPartObj>
        <w:docPartGallery w:val="Page Numbers (Bottom of Page)"/>
        <w:docPartUnique/>
      </w:docPartObj>
    </w:sdtPr>
    <w:sdtEndPr>
      <w:rPr>
        <w:noProof/>
      </w:rPr>
    </w:sdtEndPr>
    <w:sdtContent>
      <w:p w14:paraId="1BE94BAB" w14:textId="0D56CC67"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0A593A36" w14:textId="77777777" w:rsidR="00D65CB4" w:rsidRDefault="00D65CB4">
    <w:pPr>
      <w:pStyle w:val="FooterCouncil"/>
    </w:pP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6289448"/>
      <w:docPartObj>
        <w:docPartGallery w:val="Page Numbers (Bottom of Page)"/>
        <w:docPartUnique/>
      </w:docPartObj>
    </w:sdtPr>
    <w:sdtEndPr>
      <w:rPr>
        <w:noProof/>
      </w:rPr>
    </w:sdtEndPr>
    <w:sdtContent>
      <w:p w14:paraId="3BB77AB2" w14:textId="7DA15F83" w:rsidR="00D65CB4" w:rsidRDefault="00572307">
        <w:pPr>
          <w:pStyle w:val="Footer"/>
          <w:jc w:val="center"/>
        </w:pPr>
        <w:r>
          <w:fldChar w:fldCharType="begin"/>
        </w:r>
        <w:r>
          <w:instrText xml:space="preserve"> PAGE   \* MERGEFORMAT </w:instrText>
        </w:r>
        <w:r>
          <w:fldChar w:fldCharType="separate"/>
        </w:r>
        <w:r>
          <w:t>2</w:t>
        </w:r>
        <w:r>
          <w:fldChar w:fldCharType="end"/>
        </w:r>
      </w:p>
    </w:sdtContent>
  </w:sdt>
  <w:p w14:paraId="660BDD68" w14:textId="77777777" w:rsidR="00D65CB4" w:rsidRDefault="00D65CB4">
    <w:pPr>
      <w:pStyle w:val="FooterCouncil"/>
    </w:pP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B5C6D" w14:textId="77777777" w:rsidR="00D65CB4" w:rsidRDefault="00D65CB4">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9C0E6" w14:textId="77777777" w:rsidR="00D65CB4" w:rsidRDefault="00D65CB4">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7783717"/>
      <w:docPartObj>
        <w:docPartGallery w:val="Page Numbers (Bottom of Page)"/>
        <w:docPartUnique/>
      </w:docPartObj>
    </w:sdtPr>
    <w:sdtEndPr>
      <w:rPr>
        <w:noProof/>
      </w:rPr>
    </w:sdtEndPr>
    <w:sdtContent>
      <w:p w14:paraId="3A5D7A18" w14:textId="7E4931BF" w:rsidR="00D65CB4" w:rsidRDefault="00572307">
        <w:pPr>
          <w:pStyle w:val="Footer"/>
          <w:jc w:val="center"/>
        </w:pPr>
        <w:r>
          <w:fldChar w:fldCharType="begin"/>
        </w:r>
        <w:r>
          <w:instrText xml:space="preserve"> PAGE   \* MERGEFORMAT </w:instrText>
        </w:r>
        <w:r>
          <w:fldChar w:fldCharType="separate"/>
        </w:r>
        <w:r>
          <w:t>2</w:t>
        </w:r>
        <w:r>
          <w:fldChar w:fldCharType="end"/>
        </w:r>
      </w:p>
    </w:sdtContent>
  </w:sdt>
  <w:p w14:paraId="70D7CADE" w14:textId="77777777" w:rsidR="00D65CB4" w:rsidRDefault="00D65CB4">
    <w:pPr>
      <w:pStyle w:val="FooterCouncil"/>
    </w:pP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61E77" w14:textId="77777777" w:rsidR="00D65CB4" w:rsidRDefault="00D65CB4">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30367" w14:textId="77777777" w:rsidR="00D65CB4" w:rsidRDefault="00D65CB4">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6227912"/>
      <w:docPartObj>
        <w:docPartGallery w:val="Page Numbers (Bottom of Page)"/>
        <w:docPartUnique/>
      </w:docPartObj>
    </w:sdtPr>
    <w:sdtEndPr>
      <w:rPr>
        <w:noProof/>
      </w:rPr>
    </w:sdtEndPr>
    <w:sdtContent>
      <w:p w14:paraId="33FCF936" w14:textId="77777777"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0AF14EA2" w14:textId="77777777" w:rsidR="00D65CB4" w:rsidRDefault="00D65CB4">
    <w:pPr>
      <w:pStyle w:val="FooterCouncil"/>
    </w:pP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5A9F1" w14:textId="77777777" w:rsidR="00D65CB4" w:rsidRDefault="00D65CB4">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73FF4" w14:textId="77777777" w:rsidR="00D65CB4" w:rsidRDefault="00D65CB4">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0931569"/>
      <w:docPartObj>
        <w:docPartGallery w:val="Page Numbers (Bottom of Page)"/>
        <w:docPartUnique/>
      </w:docPartObj>
    </w:sdtPr>
    <w:sdtEndPr>
      <w:rPr>
        <w:noProof/>
      </w:rPr>
    </w:sdtEndPr>
    <w:sdtContent>
      <w:p w14:paraId="53695092" w14:textId="2774E1D2"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4142BCF7" w14:textId="77777777" w:rsidR="00D65CB4" w:rsidRDefault="00D65CB4">
    <w:pPr>
      <w:pStyle w:val="FooterCouncil"/>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105A4" w14:textId="77777777" w:rsidR="00D65CB4" w:rsidRDefault="00D65CB4">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C6442" w14:textId="77777777" w:rsidR="00D65CB4" w:rsidRDefault="00D65CB4">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2B62F" w14:textId="77777777" w:rsidR="00D65CB4" w:rsidRDefault="00D65CB4">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19646"/>
      <w:docPartObj>
        <w:docPartGallery w:val="Page Numbers (Bottom of Page)"/>
        <w:docPartUnique/>
      </w:docPartObj>
    </w:sdtPr>
    <w:sdtEndPr>
      <w:rPr>
        <w:noProof/>
      </w:rPr>
    </w:sdtEndPr>
    <w:sdtContent>
      <w:p w14:paraId="41E3B567" w14:textId="3CD629AC"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0B2903C4" w14:textId="77777777" w:rsidR="00D65CB4" w:rsidRDefault="00D65CB4">
    <w:pPr>
      <w:pStyle w:val="FooterCouncil"/>
    </w:pP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095A6" w14:textId="77777777" w:rsidR="00D65CB4" w:rsidRDefault="00D65CB4">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1F4CC" w14:textId="77777777" w:rsidR="00D65CB4" w:rsidRDefault="00D65CB4">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5876637"/>
      <w:docPartObj>
        <w:docPartGallery w:val="Page Numbers (Bottom of Page)"/>
        <w:docPartUnique/>
      </w:docPartObj>
    </w:sdtPr>
    <w:sdtEndPr>
      <w:rPr>
        <w:noProof/>
      </w:rPr>
    </w:sdtEndPr>
    <w:sdtContent>
      <w:p w14:paraId="4C28BFED" w14:textId="642FE156"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478662F0" w14:textId="77777777" w:rsidR="00D65CB4" w:rsidRDefault="00D65CB4">
    <w:pPr>
      <w:pStyle w:val="FooterCouncil"/>
    </w:pPr>
  </w:p>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46611" w14:textId="77777777" w:rsidR="00D65CB4" w:rsidRDefault="00D65CB4">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D78C4" w14:textId="77777777" w:rsidR="00D65CB4" w:rsidRDefault="00D65CB4">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9303314"/>
      <w:docPartObj>
        <w:docPartGallery w:val="Page Numbers (Bottom of Page)"/>
        <w:docPartUnique/>
      </w:docPartObj>
    </w:sdtPr>
    <w:sdtEndPr>
      <w:rPr>
        <w:noProof/>
      </w:rPr>
    </w:sdtEndPr>
    <w:sdtContent>
      <w:p w14:paraId="5775453F" w14:textId="7712CD0E"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0BAA2093" w14:textId="77777777" w:rsidR="00D65CB4" w:rsidRDefault="00D65CB4">
    <w:pPr>
      <w:pStyle w:val="FooterCouncil"/>
    </w:pPr>
  </w:p>
</w:ftr>
</file>

<file path=word/footer1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1FB52" w14:textId="77777777" w:rsidR="00D65CB4" w:rsidRDefault="00D65CB4">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59475" w14:textId="77777777" w:rsidR="00D65CB4" w:rsidRDefault="00D65CB4">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F2765" w14:textId="77777777" w:rsidR="00D65CB4" w:rsidRDefault="00D65CB4">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155360"/>
      <w:docPartObj>
        <w:docPartGallery w:val="Page Numbers (Bottom of Page)"/>
        <w:docPartUnique/>
      </w:docPartObj>
    </w:sdtPr>
    <w:sdtEndPr>
      <w:rPr>
        <w:noProof/>
      </w:rPr>
    </w:sdtEndPr>
    <w:sdtContent>
      <w:p w14:paraId="610FB355" w14:textId="6D3A9B16" w:rsidR="00D65CB4" w:rsidRDefault="00572307">
        <w:pPr>
          <w:pStyle w:val="Footer"/>
          <w:jc w:val="center"/>
        </w:pPr>
        <w:r>
          <w:fldChar w:fldCharType="begin"/>
        </w:r>
        <w:r>
          <w:instrText xml:space="preserve"> PAGE   \* MERGEFORMAT </w:instrText>
        </w:r>
        <w:r>
          <w:fldChar w:fldCharType="separate"/>
        </w:r>
        <w:r>
          <w:t>2</w:t>
        </w:r>
        <w:r>
          <w:fldChar w:fldCharType="end"/>
        </w:r>
      </w:p>
    </w:sdtContent>
  </w:sdt>
  <w:p w14:paraId="086DC77F" w14:textId="77777777" w:rsidR="00D65CB4" w:rsidRDefault="00D65CB4">
    <w:pPr>
      <w:pStyle w:val="FooterCouncil"/>
    </w:pPr>
  </w:p>
</w:ftr>
</file>

<file path=word/footer1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C76B0" w14:textId="77777777" w:rsidR="00D65CB4" w:rsidRDefault="00D65CB4">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1EDA5" w14:textId="77777777" w:rsidR="00D65CB4" w:rsidRDefault="00D65CB4">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4859635"/>
      <w:docPartObj>
        <w:docPartGallery w:val="Page Numbers (Bottom of Page)"/>
        <w:docPartUnique/>
      </w:docPartObj>
    </w:sdtPr>
    <w:sdtEndPr>
      <w:rPr>
        <w:noProof/>
      </w:rPr>
    </w:sdtEndPr>
    <w:sdtContent>
      <w:p w14:paraId="5A833CA7" w14:textId="77777777"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77BAA7EF" w14:textId="77777777" w:rsidR="00D65CB4" w:rsidRDefault="00D65CB4">
    <w:pPr>
      <w:pStyle w:val="FooterCouncil"/>
    </w:pPr>
  </w:p>
</w:ftr>
</file>

<file path=word/footer1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4BA12" w14:textId="77777777" w:rsidR="00D65CB4" w:rsidRDefault="00D65CB4">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A8A93" w14:textId="77777777" w:rsidR="00D65CB4" w:rsidRDefault="00D65CB4">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1686836"/>
      <w:docPartObj>
        <w:docPartGallery w:val="Page Numbers (Bottom of Page)"/>
        <w:docPartUnique/>
      </w:docPartObj>
    </w:sdtPr>
    <w:sdtEndPr>
      <w:rPr>
        <w:noProof/>
      </w:rPr>
    </w:sdtEndPr>
    <w:sdtContent>
      <w:p w14:paraId="7335E69E" w14:textId="494E7489"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3C90DDCA" w14:textId="77777777" w:rsidR="00D65CB4" w:rsidRDefault="00D65CB4">
    <w:pPr>
      <w:pStyle w:val="FooterCouncil"/>
    </w:pPr>
  </w:p>
</w:ftr>
</file>

<file path=word/footer1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D139B" w14:textId="77777777" w:rsidR="00D65CB4" w:rsidRDefault="00D65CB4">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9597E" w14:textId="77777777" w:rsidR="00D65CB4" w:rsidRDefault="00D65C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4B429" w14:textId="7F76D73E" w:rsidR="00567EFF" w:rsidRPr="00567EFF" w:rsidRDefault="00567EFF" w:rsidP="00567EFF">
    <w:pPr>
      <w:pStyle w:val="FooterCoverPage"/>
      <w:rPr>
        <w:rFonts w:ascii="Arial" w:hAnsi="Arial" w:cs="Arial"/>
        <w:b/>
        <w:sz w:val="48"/>
      </w:rPr>
    </w:pPr>
    <w:r w:rsidRPr="00567EFF">
      <w:rPr>
        <w:rFonts w:ascii="Arial" w:hAnsi="Arial" w:cs="Arial"/>
        <w:b/>
        <w:sz w:val="48"/>
      </w:rPr>
      <w:t>HU</w:t>
    </w:r>
    <w:r w:rsidRPr="00567EFF">
      <w:rPr>
        <w:rFonts w:ascii="Arial" w:hAnsi="Arial" w:cs="Arial"/>
        <w:b/>
        <w:sz w:val="48"/>
      </w:rPr>
      <w:tab/>
    </w:r>
    <w:r w:rsidRPr="00567EFF">
      <w:rPr>
        <w:rFonts w:ascii="Arial" w:hAnsi="Arial" w:cs="Arial"/>
        <w:b/>
        <w:sz w:val="48"/>
      </w:rPr>
      <w:tab/>
    </w:r>
    <w:r w:rsidRPr="00567EFF">
      <w:tab/>
    </w:r>
    <w:r w:rsidRPr="00567EFF">
      <w:rPr>
        <w:rFonts w:ascii="Arial" w:hAnsi="Arial" w:cs="Arial"/>
        <w:b/>
        <w:sz w:val="48"/>
      </w:rPr>
      <w:t>HU</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4098129"/>
      <w:docPartObj>
        <w:docPartGallery w:val="Page Numbers (Bottom of Page)"/>
        <w:docPartUnique/>
      </w:docPartObj>
    </w:sdtPr>
    <w:sdtEndPr>
      <w:rPr>
        <w:noProof/>
      </w:rPr>
    </w:sdtEndPr>
    <w:sdtContent>
      <w:p w14:paraId="00A1EB86" w14:textId="77777777"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5ED518B1" w14:textId="77777777" w:rsidR="00D65CB4" w:rsidRDefault="00D65CB4">
    <w:pPr>
      <w:pStyle w:val="FooterCouncil"/>
    </w:pPr>
  </w:p>
</w:ftr>
</file>

<file path=word/footer2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9605593"/>
      <w:docPartObj>
        <w:docPartGallery w:val="Page Numbers (Bottom of Page)"/>
        <w:docPartUnique/>
      </w:docPartObj>
    </w:sdtPr>
    <w:sdtEndPr>
      <w:rPr>
        <w:noProof/>
      </w:rPr>
    </w:sdtEndPr>
    <w:sdtContent>
      <w:p w14:paraId="62145F0C" w14:textId="39EEE971"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40136B2E" w14:textId="77777777" w:rsidR="00D65CB4" w:rsidRDefault="00D65CB4">
    <w:pPr>
      <w:pStyle w:val="FooterCouncil"/>
    </w:pPr>
  </w:p>
</w:ftr>
</file>

<file path=word/footer2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57540" w14:textId="77777777" w:rsidR="00D65CB4" w:rsidRDefault="00D65CB4">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E1EA9" w14:textId="77777777" w:rsidR="00D65CB4" w:rsidRDefault="00D65CB4">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4162812"/>
      <w:docPartObj>
        <w:docPartGallery w:val="Page Numbers (Bottom of Page)"/>
        <w:docPartUnique/>
      </w:docPartObj>
    </w:sdtPr>
    <w:sdtEndPr>
      <w:rPr>
        <w:noProof/>
      </w:rPr>
    </w:sdtEndPr>
    <w:sdtContent>
      <w:p w14:paraId="46BD43B2" w14:textId="078BFA05"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26B9B86A" w14:textId="77777777" w:rsidR="00D65CB4" w:rsidRDefault="00D65CB4">
    <w:pPr>
      <w:pStyle w:val="FooterCouncil"/>
    </w:pPr>
  </w:p>
</w:ftr>
</file>

<file path=word/footer2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85649" w14:textId="77777777" w:rsidR="00D65CB4" w:rsidRDefault="00D65CB4">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F1EBC" w14:textId="77777777" w:rsidR="00D65CB4" w:rsidRDefault="00D65CB4">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3535931"/>
      <w:docPartObj>
        <w:docPartGallery w:val="Page Numbers (Bottom of Page)"/>
        <w:docPartUnique/>
      </w:docPartObj>
    </w:sdtPr>
    <w:sdtEndPr>
      <w:rPr>
        <w:noProof/>
      </w:rPr>
    </w:sdtEndPr>
    <w:sdtContent>
      <w:p w14:paraId="6AAB6FE0" w14:textId="14806B2D"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071AE986" w14:textId="77777777" w:rsidR="00D65CB4" w:rsidRDefault="00D65CB4">
    <w:pPr>
      <w:pStyle w:val="FooterCouncil"/>
    </w:pPr>
  </w:p>
</w:ftr>
</file>

<file path=word/footer2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33C38" w14:textId="77777777" w:rsidR="00D65CB4" w:rsidRDefault="00D65CB4">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B7DFD" w14:textId="77777777" w:rsidR="00D65CB4" w:rsidRDefault="00D65CB4">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4578447"/>
      <w:docPartObj>
        <w:docPartGallery w:val="Page Numbers (Bottom of Page)"/>
        <w:docPartUnique/>
      </w:docPartObj>
    </w:sdtPr>
    <w:sdtEndPr>
      <w:rPr>
        <w:noProof/>
      </w:rPr>
    </w:sdtEndPr>
    <w:sdtContent>
      <w:p w14:paraId="22935649" w14:textId="77777777"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0961E226" w14:textId="77777777" w:rsidR="00D65CB4" w:rsidRDefault="00D65CB4">
    <w:pPr>
      <w:pStyle w:val="FooterCouncil"/>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E3BA1" w14:textId="77777777" w:rsidR="00D65CB4" w:rsidRDefault="00D65CB4">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78F27" w14:textId="77777777" w:rsidR="00D65CB4" w:rsidRDefault="00D65CB4">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DB98E" w14:textId="77777777" w:rsidR="00D65CB4" w:rsidRDefault="00D65CB4">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6043913"/>
      <w:docPartObj>
        <w:docPartGallery w:val="Page Numbers (Bottom of Page)"/>
        <w:docPartUnique/>
      </w:docPartObj>
    </w:sdtPr>
    <w:sdtEndPr>
      <w:rPr>
        <w:noProof/>
      </w:rPr>
    </w:sdtEndPr>
    <w:sdtContent>
      <w:p w14:paraId="21D50CA9" w14:textId="77777777"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05536B91" w14:textId="77777777" w:rsidR="00D65CB4" w:rsidRDefault="00D65CB4">
    <w:pPr>
      <w:pStyle w:val="FooterCouncil"/>
    </w:pPr>
  </w:p>
</w:ftr>
</file>

<file path=word/footer2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75A02" w14:textId="77777777" w:rsidR="00D65CB4" w:rsidRDefault="00D65CB4">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35747" w14:textId="77777777" w:rsidR="00D65CB4" w:rsidRDefault="00D65CB4">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2295531"/>
      <w:docPartObj>
        <w:docPartGallery w:val="Page Numbers (Bottom of Page)"/>
        <w:docPartUnique/>
      </w:docPartObj>
    </w:sdtPr>
    <w:sdtEndPr>
      <w:rPr>
        <w:noProof/>
      </w:rPr>
    </w:sdtEndPr>
    <w:sdtContent>
      <w:p w14:paraId="59C6E0C1" w14:textId="7854E986"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4832A0D8" w14:textId="77777777" w:rsidR="00D65CB4" w:rsidRDefault="00D65CB4">
    <w:pPr>
      <w:pStyle w:val="FooterCouncil"/>
    </w:pPr>
  </w:p>
</w:ftr>
</file>

<file path=word/footer2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2BD21" w14:textId="77777777" w:rsidR="00D65CB4" w:rsidRDefault="00D65CB4">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075BA" w14:textId="77777777" w:rsidR="00D65CB4" w:rsidRDefault="00D65CB4">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1663906"/>
      <w:docPartObj>
        <w:docPartGallery w:val="Page Numbers (Bottom of Page)"/>
        <w:docPartUnique/>
      </w:docPartObj>
    </w:sdtPr>
    <w:sdtEndPr>
      <w:rPr>
        <w:noProof/>
      </w:rPr>
    </w:sdtEndPr>
    <w:sdtContent>
      <w:p w14:paraId="15EC0D01" w14:textId="3FD6E909"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63FD5157" w14:textId="77777777" w:rsidR="00D65CB4" w:rsidRDefault="00D65CB4">
    <w:pPr>
      <w:pStyle w:val="FooterCouncil"/>
    </w:pPr>
  </w:p>
</w:ftr>
</file>

<file path=word/footer2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0185A" w14:textId="77777777" w:rsidR="00D65CB4" w:rsidRDefault="00D65CB4">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E7378" w14:textId="77777777" w:rsidR="00D65CB4" w:rsidRDefault="00D65CB4">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D2E40" w14:textId="77777777" w:rsidR="00D65CB4" w:rsidRDefault="00D65CB4">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5668677"/>
      <w:docPartObj>
        <w:docPartGallery w:val="Page Numbers (Bottom of Page)"/>
        <w:docPartUnique/>
      </w:docPartObj>
    </w:sdtPr>
    <w:sdtEndPr>
      <w:rPr>
        <w:noProof/>
      </w:rPr>
    </w:sdtEndPr>
    <w:sdtContent>
      <w:p w14:paraId="1AF15019" w14:textId="71E9C096"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4FC769E1" w14:textId="77777777" w:rsidR="00D65CB4" w:rsidRDefault="00D65CB4">
    <w:pPr>
      <w:pStyle w:val="FooterCouncil"/>
    </w:pPr>
  </w:p>
</w:ftr>
</file>

<file path=word/footer2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7FC68" w14:textId="77777777" w:rsidR="00D65CB4" w:rsidRDefault="00D65CB4">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A278A" w14:textId="77777777" w:rsidR="00D65CB4" w:rsidRDefault="00D65CB4">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5099368"/>
      <w:docPartObj>
        <w:docPartGallery w:val="Page Numbers (Bottom of Page)"/>
        <w:docPartUnique/>
      </w:docPartObj>
    </w:sdtPr>
    <w:sdtEndPr>
      <w:rPr>
        <w:noProof/>
      </w:rPr>
    </w:sdtEndPr>
    <w:sdtContent>
      <w:p w14:paraId="3723DB6C" w14:textId="62F1CBBB"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54F4013F" w14:textId="77777777" w:rsidR="00D65CB4" w:rsidRDefault="00D65CB4">
    <w:pPr>
      <w:pStyle w:val="FooterCouncil"/>
    </w:pPr>
  </w:p>
</w:ftr>
</file>

<file path=word/footer2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F4E0D" w14:textId="77777777" w:rsidR="00D65CB4" w:rsidRDefault="00D65CB4">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68432" w14:textId="77777777" w:rsidR="00D65CB4" w:rsidRDefault="00D65CB4">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3593854"/>
      <w:docPartObj>
        <w:docPartGallery w:val="Page Numbers (Bottom of Page)"/>
        <w:docPartUnique/>
      </w:docPartObj>
    </w:sdtPr>
    <w:sdtEndPr>
      <w:rPr>
        <w:noProof/>
      </w:rPr>
    </w:sdtEndPr>
    <w:sdtContent>
      <w:p w14:paraId="3EC2B2D9" w14:textId="6E58A305"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5E167DA2" w14:textId="77777777" w:rsidR="00D65CB4" w:rsidRDefault="00D65CB4">
    <w:pPr>
      <w:pStyle w:val="FooterCouncil"/>
    </w:pPr>
  </w:p>
</w:ftr>
</file>

<file path=word/footer2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65FC1" w14:textId="77777777" w:rsidR="00D65CB4" w:rsidRDefault="00D65CB4">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B2B40" w14:textId="77777777" w:rsidR="00D65CB4" w:rsidRDefault="00D65CB4">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2202917"/>
      <w:docPartObj>
        <w:docPartGallery w:val="Page Numbers (Bottom of Page)"/>
        <w:docPartUnique/>
      </w:docPartObj>
    </w:sdtPr>
    <w:sdtEndPr>
      <w:rPr>
        <w:noProof/>
      </w:rPr>
    </w:sdtEndPr>
    <w:sdtContent>
      <w:p w14:paraId="279745B2" w14:textId="10286376"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7B0EA900" w14:textId="77777777" w:rsidR="00D65CB4" w:rsidRDefault="00D65CB4">
    <w:pPr>
      <w:pStyle w:val="FooterCouncil"/>
    </w:pPr>
  </w:p>
</w:ftr>
</file>

<file path=word/footer2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9575051"/>
      <w:docPartObj>
        <w:docPartGallery w:val="Page Numbers (Bottom of Page)"/>
        <w:docPartUnique/>
      </w:docPartObj>
    </w:sdtPr>
    <w:sdtEndPr>
      <w:rPr>
        <w:noProof/>
      </w:rPr>
    </w:sdtEndPr>
    <w:sdtContent>
      <w:p w14:paraId="5BF4CCD4" w14:textId="698B0DF6"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3AD060A9" w14:textId="77777777" w:rsidR="00D65CB4" w:rsidRDefault="00D65CB4">
    <w:pPr>
      <w:pStyle w:val="FooterCouncil"/>
    </w:pPr>
  </w:p>
</w:ftr>
</file>

<file path=word/footer2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D5B64" w14:textId="77777777" w:rsidR="00D65CB4" w:rsidRDefault="00D65CB4">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90B33" w14:textId="77777777" w:rsidR="00D65CB4" w:rsidRDefault="00D65CB4">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3062838"/>
      <w:docPartObj>
        <w:docPartGallery w:val="Page Numbers (Bottom of Page)"/>
        <w:docPartUnique/>
      </w:docPartObj>
    </w:sdtPr>
    <w:sdtEndPr>
      <w:rPr>
        <w:noProof/>
      </w:rPr>
    </w:sdtEndPr>
    <w:sdtContent>
      <w:p w14:paraId="52E07448" w14:textId="6A45859A" w:rsidR="00D65CB4" w:rsidRDefault="00572307">
        <w:pPr>
          <w:pStyle w:val="Footer"/>
          <w:jc w:val="center"/>
        </w:pPr>
        <w:r>
          <w:fldChar w:fldCharType="begin"/>
        </w:r>
        <w:r>
          <w:instrText xml:space="preserve"> PAGE   \* MERGEFORMAT </w:instrText>
        </w:r>
        <w:r>
          <w:fldChar w:fldCharType="separate"/>
        </w:r>
        <w:r>
          <w:t>2</w:t>
        </w:r>
        <w:r>
          <w:fldChar w:fldCharType="end"/>
        </w:r>
      </w:p>
    </w:sdtContent>
  </w:sdt>
  <w:p w14:paraId="2CF31B28" w14:textId="77777777" w:rsidR="00D65CB4" w:rsidRDefault="00D65CB4">
    <w:pPr>
      <w:pStyle w:val="FooterCouncil"/>
    </w:pPr>
  </w:p>
</w:ftr>
</file>

<file path=word/footer2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BE6AB" w14:textId="77777777" w:rsidR="00D65CB4" w:rsidRDefault="00D65CB4">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4CD9C" w14:textId="77777777" w:rsidR="00D65CB4" w:rsidRDefault="00D65CB4">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6592940"/>
      <w:docPartObj>
        <w:docPartGallery w:val="Page Numbers (Bottom of Page)"/>
        <w:docPartUnique/>
      </w:docPartObj>
    </w:sdtPr>
    <w:sdtEndPr>
      <w:rPr>
        <w:noProof/>
      </w:rPr>
    </w:sdtEndPr>
    <w:sdtContent>
      <w:p w14:paraId="0F04FAAE" w14:textId="7D024139"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5DE8E818" w14:textId="77777777" w:rsidR="00D65CB4" w:rsidRDefault="00D65CB4">
    <w:pPr>
      <w:pStyle w:val="FooterCouncil"/>
    </w:pPr>
  </w:p>
</w:ftr>
</file>

<file path=word/footer2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F24CB" w14:textId="77777777" w:rsidR="00D65CB4" w:rsidRDefault="00D65CB4">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C55F2" w14:textId="77777777" w:rsidR="00D65CB4" w:rsidRDefault="00D65CB4">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5367256"/>
      <w:docPartObj>
        <w:docPartGallery w:val="Page Numbers (Bottom of Page)"/>
        <w:docPartUnique/>
      </w:docPartObj>
    </w:sdtPr>
    <w:sdtEndPr>
      <w:rPr>
        <w:noProof/>
      </w:rPr>
    </w:sdtEndPr>
    <w:sdtContent>
      <w:p w14:paraId="7865B7A7" w14:textId="33BFB5C1"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56EEAD14" w14:textId="77777777" w:rsidR="00D65CB4" w:rsidRDefault="00D65CB4">
    <w:pPr>
      <w:pStyle w:val="FooterCouncil"/>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AA4D5" w14:textId="77777777" w:rsidR="00D65CB4" w:rsidRDefault="00D65CB4">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AE10E" w14:textId="77777777" w:rsidR="00D65CB4" w:rsidRDefault="00D65CB4">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39D37" w14:textId="77777777" w:rsidR="00D65CB4" w:rsidRDefault="00D65CB4">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319425"/>
      <w:docPartObj>
        <w:docPartGallery w:val="Page Numbers (Bottom of Page)"/>
        <w:docPartUnique/>
      </w:docPartObj>
    </w:sdtPr>
    <w:sdtEndPr>
      <w:rPr>
        <w:noProof/>
      </w:rPr>
    </w:sdtEndPr>
    <w:sdtContent>
      <w:p w14:paraId="65C74C89" w14:textId="0FDBC634"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4171905E" w14:textId="77777777" w:rsidR="00D65CB4" w:rsidRDefault="00D65CB4">
    <w:pPr>
      <w:pStyle w:val="FooterCouncil"/>
    </w:pPr>
  </w:p>
</w:ftr>
</file>

<file path=word/footer2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96CE5" w14:textId="77777777" w:rsidR="00D65CB4" w:rsidRDefault="00D65CB4">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8D9B4" w14:textId="77777777" w:rsidR="00D65CB4" w:rsidRDefault="00D65CB4">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3114920"/>
      <w:docPartObj>
        <w:docPartGallery w:val="Page Numbers (Bottom of Page)"/>
        <w:docPartUnique/>
      </w:docPartObj>
    </w:sdtPr>
    <w:sdtEndPr>
      <w:rPr>
        <w:noProof/>
      </w:rPr>
    </w:sdtEndPr>
    <w:sdtContent>
      <w:p w14:paraId="1A8EE8C7" w14:textId="66858B05"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3CAE2EA7" w14:textId="77777777" w:rsidR="00D65CB4" w:rsidRDefault="00D65CB4">
    <w:pPr>
      <w:pStyle w:val="FooterCouncil"/>
    </w:pPr>
  </w:p>
</w:ftr>
</file>

<file path=word/footer2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228C0" w14:textId="77777777" w:rsidR="00D65CB4" w:rsidRDefault="00D65CB4">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D5BE7" w14:textId="77777777" w:rsidR="00D65CB4" w:rsidRDefault="00D65CB4">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9570087"/>
      <w:docPartObj>
        <w:docPartGallery w:val="Page Numbers (Bottom of Page)"/>
        <w:docPartUnique/>
      </w:docPartObj>
    </w:sdtPr>
    <w:sdtEndPr>
      <w:rPr>
        <w:noProof/>
      </w:rPr>
    </w:sdtEndPr>
    <w:sdtContent>
      <w:p w14:paraId="1231B958" w14:textId="3897D323"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41454ADE" w14:textId="77777777" w:rsidR="00D65CB4" w:rsidRDefault="00D65CB4">
    <w:pPr>
      <w:pStyle w:val="FooterCouncil"/>
    </w:pPr>
  </w:p>
</w:ftr>
</file>

<file path=word/footer2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E7D94" w14:textId="77777777" w:rsidR="00D65CB4" w:rsidRDefault="00D65CB4">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AF58D" w14:textId="77777777" w:rsidR="00D65CB4" w:rsidRDefault="00D65CB4">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89FE0" w14:textId="77777777" w:rsidR="00D65CB4" w:rsidRDefault="00D65CB4">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2375175"/>
      <w:docPartObj>
        <w:docPartGallery w:val="Page Numbers (Bottom of Page)"/>
        <w:docPartUnique/>
      </w:docPartObj>
    </w:sdtPr>
    <w:sdtEndPr>
      <w:rPr>
        <w:noProof/>
      </w:rPr>
    </w:sdtEndPr>
    <w:sdtContent>
      <w:p w14:paraId="725D7BBB" w14:textId="458D6562"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72786285" w14:textId="77777777" w:rsidR="00D65CB4" w:rsidRDefault="00D65CB4">
    <w:pPr>
      <w:pStyle w:val="FooterCouncil"/>
    </w:pPr>
  </w:p>
</w:ftr>
</file>

<file path=word/footer2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59AC1" w14:textId="77777777" w:rsidR="00D65CB4" w:rsidRDefault="00D65CB4">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D7117" w14:textId="77777777" w:rsidR="00D65CB4" w:rsidRDefault="00D65CB4">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4714724"/>
      <w:docPartObj>
        <w:docPartGallery w:val="Page Numbers (Bottom of Page)"/>
        <w:docPartUnique/>
      </w:docPartObj>
    </w:sdtPr>
    <w:sdtEndPr>
      <w:rPr>
        <w:noProof/>
      </w:rPr>
    </w:sdtEndPr>
    <w:sdtContent>
      <w:p w14:paraId="225AE18F" w14:textId="1E20510B"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697A00A5" w14:textId="77777777" w:rsidR="00D65CB4" w:rsidRDefault="00D65CB4">
    <w:pPr>
      <w:pStyle w:val="FooterCouncil"/>
    </w:pPr>
  </w:p>
</w:ftr>
</file>

<file path=word/footer2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DD286" w14:textId="77777777" w:rsidR="00D65CB4" w:rsidRDefault="00D65CB4">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EF54D" w14:textId="77777777" w:rsidR="00D65CB4" w:rsidRDefault="00D65CB4">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9200891"/>
      <w:docPartObj>
        <w:docPartGallery w:val="Page Numbers (Bottom of Page)"/>
        <w:docPartUnique/>
      </w:docPartObj>
    </w:sdtPr>
    <w:sdtEndPr>
      <w:rPr>
        <w:noProof/>
      </w:rPr>
    </w:sdtEndPr>
    <w:sdtContent>
      <w:p w14:paraId="2864AFEA" w14:textId="7C201F6B"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2E605DAD" w14:textId="77777777" w:rsidR="00D65CB4" w:rsidRDefault="00D65CB4">
    <w:pPr>
      <w:pStyle w:val="FooterCouncil"/>
    </w:pPr>
  </w:p>
</w:ftr>
</file>

<file path=word/footer2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41C8E" w14:textId="77777777" w:rsidR="00D65CB4" w:rsidRDefault="00D65CB4">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966C8" w14:textId="77777777" w:rsidR="00D65CB4" w:rsidRDefault="00D65CB4">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9270432"/>
      <w:docPartObj>
        <w:docPartGallery w:val="Page Numbers (Bottom of Page)"/>
        <w:docPartUnique/>
      </w:docPartObj>
    </w:sdtPr>
    <w:sdtEndPr>
      <w:rPr>
        <w:noProof/>
      </w:rPr>
    </w:sdtEndPr>
    <w:sdtContent>
      <w:p w14:paraId="28125388" w14:textId="6C3EB18B" w:rsidR="00D65CB4" w:rsidRDefault="00572307">
        <w:pPr>
          <w:pStyle w:val="Footer"/>
          <w:jc w:val="center"/>
        </w:pPr>
        <w:r>
          <w:fldChar w:fldCharType="begin"/>
        </w:r>
        <w:r>
          <w:instrText xml:space="preserve"> PAGE   \* MERGEFORMAT </w:instrText>
        </w:r>
        <w:r>
          <w:fldChar w:fldCharType="separate"/>
        </w:r>
        <w:r>
          <w:t>2</w:t>
        </w:r>
        <w:r>
          <w:fldChar w:fldCharType="end"/>
        </w:r>
      </w:p>
    </w:sdtContent>
  </w:sdt>
  <w:p w14:paraId="2D47FC9E" w14:textId="77777777" w:rsidR="00D65CB4" w:rsidRDefault="00D65CB4">
    <w:pPr>
      <w:pStyle w:val="FooterCouncil"/>
    </w:pPr>
  </w:p>
</w:ftr>
</file>

<file path=word/footer2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6416102"/>
      <w:docPartObj>
        <w:docPartGallery w:val="Page Numbers (Bottom of Page)"/>
        <w:docPartUnique/>
      </w:docPartObj>
    </w:sdtPr>
    <w:sdtEndPr>
      <w:rPr>
        <w:noProof/>
      </w:rPr>
    </w:sdtEndPr>
    <w:sdtContent>
      <w:p w14:paraId="4833E1B6" w14:textId="190CF5FF"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416C448B" w14:textId="77777777" w:rsidR="00D65CB4" w:rsidRDefault="00D65CB4">
    <w:pPr>
      <w:pStyle w:val="FooterCouncil"/>
    </w:pPr>
  </w:p>
</w:ftr>
</file>

<file path=word/footer2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02CE3" w14:textId="77777777" w:rsidR="00D65CB4" w:rsidRDefault="00D65CB4">
    <w:pPr>
      <w:pStyle w:val="Footer"/>
    </w:pPr>
  </w:p>
</w:ftr>
</file>

<file path=word/footer2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DD6EE" w14:textId="77777777" w:rsidR="00D65CB4" w:rsidRDefault="00D65CB4">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6391929"/>
      <w:docPartObj>
        <w:docPartGallery w:val="Page Numbers (Bottom of Page)"/>
        <w:docPartUnique/>
      </w:docPartObj>
    </w:sdtPr>
    <w:sdtEndPr>
      <w:rPr>
        <w:noProof/>
      </w:rPr>
    </w:sdtEndPr>
    <w:sdtContent>
      <w:p w14:paraId="649F75FE" w14:textId="7317BC37"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5B91DDFD" w14:textId="77777777" w:rsidR="00D65CB4" w:rsidRDefault="00D65CB4">
    <w:pPr>
      <w:pStyle w:val="FooterCouncil"/>
    </w:pPr>
  </w:p>
</w:ftr>
</file>

<file path=word/footer2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C8F32" w14:textId="77777777" w:rsidR="00D65CB4" w:rsidRDefault="00D65CB4">
    <w:pPr>
      <w:pStyle w:val="Footer"/>
    </w:pPr>
  </w:p>
</w:ftr>
</file>

<file path=word/footer2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3CA16" w14:textId="77777777" w:rsidR="00D65CB4" w:rsidRDefault="00D65CB4">
    <w:pPr>
      <w:pStyle w:val="Footer"/>
    </w:pPr>
  </w:p>
</w:ftr>
</file>

<file path=word/footer2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9109484"/>
      <w:docPartObj>
        <w:docPartGallery w:val="Page Numbers (Bottom of Page)"/>
        <w:docPartUnique/>
      </w:docPartObj>
    </w:sdtPr>
    <w:sdtEndPr>
      <w:rPr>
        <w:noProof/>
      </w:rPr>
    </w:sdtEndPr>
    <w:sdtContent>
      <w:p w14:paraId="11B8369D" w14:textId="00A07510"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40E656CD" w14:textId="77777777" w:rsidR="00D65CB4" w:rsidRDefault="00D65CB4">
    <w:pPr>
      <w:pStyle w:val="FooterCouncil"/>
    </w:pPr>
  </w:p>
</w:ftr>
</file>

<file path=word/footer2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B71AB" w14:textId="77777777" w:rsidR="00D65CB4" w:rsidRDefault="00D65CB4">
    <w:pPr>
      <w:pStyle w:val="Footer"/>
    </w:pPr>
  </w:p>
</w:ftr>
</file>

<file path=word/footer2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4437F" w14:textId="77777777" w:rsidR="00D65CB4" w:rsidRDefault="00D65CB4">
    <w:pPr>
      <w:pStyle w:val="Footer"/>
    </w:pPr>
  </w:p>
</w:ftr>
</file>

<file path=word/footer2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8490661"/>
      <w:docPartObj>
        <w:docPartGallery w:val="Page Numbers (Bottom of Page)"/>
        <w:docPartUnique/>
      </w:docPartObj>
    </w:sdtPr>
    <w:sdtEndPr>
      <w:rPr>
        <w:noProof/>
      </w:rPr>
    </w:sdtEndPr>
    <w:sdtContent>
      <w:p w14:paraId="336F094C" w14:textId="77777777"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45C483CC" w14:textId="77777777" w:rsidR="00D65CB4" w:rsidRDefault="00D65CB4">
    <w:pPr>
      <w:pStyle w:val="FooterCouncil"/>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1C268" w14:textId="77777777" w:rsidR="00D65CB4" w:rsidRDefault="00D65CB4">
    <w:pPr>
      <w:pStyle w:val="Footer"/>
    </w:pPr>
  </w:p>
</w:ftr>
</file>

<file path=word/footer2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7BFCA" w14:textId="77777777" w:rsidR="00D65CB4" w:rsidRDefault="00D65CB4">
    <w:pPr>
      <w:pStyle w:val="Footer"/>
    </w:pPr>
  </w:p>
</w:ftr>
</file>

<file path=word/footer2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C50D6" w14:textId="77777777" w:rsidR="00D65CB4" w:rsidRDefault="00D65CB4">
    <w:pPr>
      <w:pStyle w:val="Footer"/>
    </w:pPr>
  </w:p>
</w:ftr>
</file>

<file path=word/footer2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120713"/>
      <w:docPartObj>
        <w:docPartGallery w:val="Page Numbers (Bottom of Page)"/>
        <w:docPartUnique/>
      </w:docPartObj>
    </w:sdtPr>
    <w:sdtEndPr>
      <w:rPr>
        <w:noProof/>
      </w:rPr>
    </w:sdtEndPr>
    <w:sdtContent>
      <w:p w14:paraId="278A2343" w14:textId="7E6B7ED4"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4E1FB734" w14:textId="77777777" w:rsidR="00D65CB4" w:rsidRDefault="00D65CB4">
    <w:pPr>
      <w:pStyle w:val="FooterCouncil"/>
    </w:pPr>
  </w:p>
</w:ftr>
</file>

<file path=word/footer2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EFF43" w14:textId="77777777" w:rsidR="00D65CB4" w:rsidRDefault="00D65CB4">
    <w:pPr>
      <w:pStyle w:val="Footer"/>
    </w:pPr>
  </w:p>
</w:ftr>
</file>

<file path=word/footer2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53744" w14:textId="77777777" w:rsidR="00D65CB4" w:rsidRDefault="00D65CB4">
    <w:pPr>
      <w:pStyle w:val="Footer"/>
    </w:pPr>
  </w:p>
</w:ftr>
</file>

<file path=word/footer2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1956460"/>
      <w:docPartObj>
        <w:docPartGallery w:val="Page Numbers (Bottom of Page)"/>
        <w:docPartUnique/>
      </w:docPartObj>
    </w:sdtPr>
    <w:sdtEndPr>
      <w:rPr>
        <w:noProof/>
      </w:rPr>
    </w:sdtEndPr>
    <w:sdtContent>
      <w:p w14:paraId="65BA0726" w14:textId="5CFA81F2"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6133FBEE" w14:textId="77777777" w:rsidR="00D65CB4" w:rsidRDefault="00D65CB4">
    <w:pPr>
      <w:pStyle w:val="FooterCouncil"/>
    </w:pPr>
  </w:p>
</w:ftr>
</file>

<file path=word/footer2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E8C17" w14:textId="77777777" w:rsidR="00D65CB4" w:rsidRDefault="00D65CB4">
    <w:pPr>
      <w:pStyle w:val="Footer"/>
    </w:pPr>
  </w:p>
</w:ftr>
</file>

<file path=word/footer2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43E68" w14:textId="77777777" w:rsidR="00D65CB4" w:rsidRDefault="00D65CB4">
    <w:pPr>
      <w:pStyle w:val="Footer"/>
    </w:pPr>
  </w:p>
</w:ftr>
</file>

<file path=word/footer2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4950402"/>
      <w:docPartObj>
        <w:docPartGallery w:val="Page Numbers (Bottom of Page)"/>
        <w:docPartUnique/>
      </w:docPartObj>
    </w:sdtPr>
    <w:sdtEndPr>
      <w:rPr>
        <w:noProof/>
      </w:rPr>
    </w:sdtEndPr>
    <w:sdtContent>
      <w:p w14:paraId="622878CD" w14:textId="7152A712" w:rsidR="00D65CB4" w:rsidRDefault="00572307">
        <w:pPr>
          <w:pStyle w:val="Footer"/>
          <w:jc w:val="center"/>
        </w:pPr>
        <w:r>
          <w:fldChar w:fldCharType="begin"/>
        </w:r>
        <w:r>
          <w:instrText xml:space="preserve"> PAGE   \* MERGEFORMAT </w:instrText>
        </w:r>
        <w:r>
          <w:fldChar w:fldCharType="separate"/>
        </w:r>
        <w:r>
          <w:t>2</w:t>
        </w:r>
        <w:r>
          <w:fldChar w:fldCharType="end"/>
        </w:r>
      </w:p>
    </w:sdtContent>
  </w:sdt>
  <w:p w14:paraId="75CCD11D" w14:textId="77777777" w:rsidR="00D65CB4" w:rsidRDefault="00D65CB4">
    <w:pPr>
      <w:pStyle w:val="FooterCouncil"/>
    </w:pPr>
  </w:p>
</w:ftr>
</file>

<file path=word/footer2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798CF" w14:textId="77777777" w:rsidR="00D65CB4" w:rsidRDefault="00D65CB4">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49A99" w14:textId="77777777" w:rsidR="00D65CB4" w:rsidRDefault="00D65CB4">
    <w:pPr>
      <w:pStyle w:val="Footer"/>
    </w:pPr>
  </w:p>
</w:ftr>
</file>

<file path=word/footer2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E82F7" w14:textId="77777777" w:rsidR="00D65CB4" w:rsidRDefault="00D65CB4">
    <w:pPr>
      <w:pStyle w:val="Footer"/>
    </w:pPr>
  </w:p>
</w:ftr>
</file>

<file path=word/footer2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3281672"/>
      <w:docPartObj>
        <w:docPartGallery w:val="Page Numbers (Bottom of Page)"/>
        <w:docPartUnique/>
      </w:docPartObj>
    </w:sdtPr>
    <w:sdtEndPr>
      <w:rPr>
        <w:noProof/>
      </w:rPr>
    </w:sdtEndPr>
    <w:sdtContent>
      <w:p w14:paraId="66427073" w14:textId="66C8A388"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77615837" w14:textId="77777777" w:rsidR="00D65CB4" w:rsidRDefault="00D65CB4">
    <w:pPr>
      <w:pStyle w:val="FooterCouncil"/>
    </w:pPr>
  </w:p>
</w:ftr>
</file>

<file path=word/footer2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9B22A" w14:textId="77777777" w:rsidR="00D65CB4" w:rsidRDefault="00D65CB4">
    <w:pPr>
      <w:pStyle w:val="Footer"/>
    </w:pPr>
  </w:p>
</w:ftr>
</file>

<file path=word/footer2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95B15" w14:textId="77777777" w:rsidR="00D65CB4" w:rsidRDefault="00D65CB4">
    <w:pPr>
      <w:pStyle w:val="Footer"/>
    </w:pPr>
  </w:p>
</w:ftr>
</file>

<file path=word/footer2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7446576"/>
      <w:docPartObj>
        <w:docPartGallery w:val="Page Numbers (Bottom of Page)"/>
        <w:docPartUnique/>
      </w:docPartObj>
    </w:sdtPr>
    <w:sdtEndPr>
      <w:rPr>
        <w:noProof/>
      </w:rPr>
    </w:sdtEndPr>
    <w:sdtContent>
      <w:p w14:paraId="2CCCF913" w14:textId="5EDC1EFB"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37B66D1B" w14:textId="77777777" w:rsidR="00D65CB4" w:rsidRDefault="00D65CB4">
    <w:pPr>
      <w:pStyle w:val="FooterCouncil"/>
    </w:pPr>
  </w:p>
</w:ftr>
</file>

<file path=word/footer2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A1602" w14:textId="77777777" w:rsidR="00D65CB4" w:rsidRDefault="00D65CB4">
    <w:pPr>
      <w:pStyle w:val="Footer"/>
    </w:pPr>
  </w:p>
</w:ftr>
</file>

<file path=word/footer2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58EA4" w14:textId="77777777" w:rsidR="00D65CB4" w:rsidRDefault="00D65CB4">
    <w:pPr>
      <w:pStyle w:val="Footer"/>
    </w:pPr>
  </w:p>
</w:ftr>
</file>

<file path=word/footer2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8395351"/>
      <w:docPartObj>
        <w:docPartGallery w:val="Page Numbers (Bottom of Page)"/>
        <w:docPartUnique/>
      </w:docPartObj>
    </w:sdtPr>
    <w:sdtEndPr>
      <w:rPr>
        <w:noProof/>
      </w:rPr>
    </w:sdtEndPr>
    <w:sdtContent>
      <w:p w14:paraId="5E5D32A3" w14:textId="63D6352E"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643B0202" w14:textId="77777777" w:rsidR="00D65CB4" w:rsidRDefault="00D65CB4">
    <w:pPr>
      <w:pStyle w:val="FooterCouncil"/>
    </w:pPr>
  </w:p>
</w:ftr>
</file>

<file path=word/footer2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77072" w14:textId="77777777" w:rsidR="00D65CB4" w:rsidRDefault="00D65CB4">
    <w:pPr>
      <w:pStyle w:val="Footer"/>
    </w:pPr>
  </w:p>
</w:ftr>
</file>

<file path=word/footer2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633A3" w14:textId="77777777" w:rsidR="00D65CB4" w:rsidRDefault="00D65CB4">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2283620"/>
      <w:docPartObj>
        <w:docPartGallery w:val="Page Numbers (Bottom of Page)"/>
        <w:docPartUnique/>
      </w:docPartObj>
    </w:sdtPr>
    <w:sdtEndPr>
      <w:rPr>
        <w:noProof/>
      </w:rPr>
    </w:sdtEndPr>
    <w:sdtContent>
      <w:p w14:paraId="69CC6BB4" w14:textId="77777777" w:rsidR="00D65CB4" w:rsidRDefault="00572307">
        <w:pPr>
          <w:pStyle w:val="Footer"/>
          <w:jc w:val="center"/>
        </w:pPr>
        <w:r>
          <w:fldChar w:fldCharType="begin"/>
        </w:r>
        <w:r>
          <w:instrText xml:space="preserve"> PAGE   \* MERGEFORMAT </w:instrText>
        </w:r>
        <w:r>
          <w:fldChar w:fldCharType="separate"/>
        </w:r>
        <w:r>
          <w:t>2</w:t>
        </w:r>
        <w:r>
          <w:fldChar w:fldCharType="end"/>
        </w:r>
      </w:p>
    </w:sdtContent>
  </w:sdt>
  <w:p w14:paraId="624CB7ED" w14:textId="77777777" w:rsidR="00D65CB4" w:rsidRDefault="00D65CB4">
    <w:pPr>
      <w:pStyle w:val="FooterCouncil"/>
    </w:pPr>
  </w:p>
</w:ftr>
</file>

<file path=word/footer2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3017181"/>
      <w:docPartObj>
        <w:docPartGallery w:val="Page Numbers (Bottom of Page)"/>
        <w:docPartUnique/>
      </w:docPartObj>
    </w:sdtPr>
    <w:sdtEndPr>
      <w:rPr>
        <w:noProof/>
      </w:rPr>
    </w:sdtEndPr>
    <w:sdtContent>
      <w:p w14:paraId="55787021" w14:textId="669A884A"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18C81089" w14:textId="77777777" w:rsidR="00D65CB4" w:rsidRDefault="00D65CB4">
    <w:pPr>
      <w:pStyle w:val="FooterCouncil"/>
    </w:pPr>
  </w:p>
</w:ftr>
</file>

<file path=word/footer2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111CF" w14:textId="77777777" w:rsidR="00D65CB4" w:rsidRDefault="00D65CB4">
    <w:pPr>
      <w:pStyle w:val="Footer"/>
    </w:pPr>
  </w:p>
</w:ftr>
</file>

<file path=word/footer2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5BEA0" w14:textId="77777777" w:rsidR="00D65CB4" w:rsidRDefault="00D65CB4">
    <w:pPr>
      <w:pStyle w:val="Footer"/>
    </w:pPr>
  </w:p>
</w:ftr>
</file>

<file path=word/footer2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6955797"/>
      <w:docPartObj>
        <w:docPartGallery w:val="Page Numbers (Bottom of Page)"/>
        <w:docPartUnique/>
      </w:docPartObj>
    </w:sdtPr>
    <w:sdtEndPr>
      <w:rPr>
        <w:noProof/>
      </w:rPr>
    </w:sdtEndPr>
    <w:sdtContent>
      <w:p w14:paraId="4082B98B" w14:textId="6BB28EC7"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549D2437" w14:textId="77777777" w:rsidR="00D65CB4" w:rsidRDefault="00D65CB4">
    <w:pPr>
      <w:pStyle w:val="FooterCouncil"/>
    </w:pPr>
  </w:p>
</w:ftr>
</file>

<file path=word/footer2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CE846" w14:textId="77777777" w:rsidR="00D65CB4" w:rsidRDefault="00D65CB4">
    <w:pPr>
      <w:pStyle w:val="Footer"/>
    </w:pPr>
  </w:p>
</w:ftr>
</file>

<file path=word/footer2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EC6FF" w14:textId="77777777" w:rsidR="00D65CB4" w:rsidRDefault="00D65CB4">
    <w:pPr>
      <w:pStyle w:val="Footer"/>
    </w:pPr>
  </w:p>
</w:ftr>
</file>

<file path=word/footer2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9976290"/>
      <w:docPartObj>
        <w:docPartGallery w:val="Page Numbers (Bottom of Page)"/>
        <w:docPartUnique/>
      </w:docPartObj>
    </w:sdtPr>
    <w:sdtEndPr>
      <w:rPr>
        <w:noProof/>
      </w:rPr>
    </w:sdtEndPr>
    <w:sdtContent>
      <w:p w14:paraId="474CD0B6" w14:textId="01AE4010"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3F3DB34B" w14:textId="77777777" w:rsidR="00D65CB4" w:rsidRDefault="00D65CB4">
    <w:pPr>
      <w:pStyle w:val="FooterCouncil"/>
    </w:pPr>
  </w:p>
</w:ftr>
</file>

<file path=word/footer2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1735D" w14:textId="77777777" w:rsidR="00D65CB4" w:rsidRDefault="00D65CB4">
    <w:pPr>
      <w:pStyle w:val="Footer"/>
    </w:pPr>
  </w:p>
</w:ftr>
</file>

<file path=word/footer2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2860B" w14:textId="77777777" w:rsidR="00D65CB4" w:rsidRDefault="00D65CB4">
    <w:pPr>
      <w:pStyle w:val="Footer"/>
    </w:pPr>
  </w:p>
</w:ftr>
</file>

<file path=word/footer2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7879807"/>
      <w:docPartObj>
        <w:docPartGallery w:val="Page Numbers (Bottom of Page)"/>
        <w:docPartUnique/>
      </w:docPartObj>
    </w:sdtPr>
    <w:sdtEndPr>
      <w:rPr>
        <w:noProof/>
      </w:rPr>
    </w:sdtEndPr>
    <w:sdtContent>
      <w:p w14:paraId="0CE8533C" w14:textId="55236A75"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60CAD78D" w14:textId="77777777" w:rsidR="00D65CB4" w:rsidRDefault="00D65CB4">
    <w:pPr>
      <w:pStyle w:val="FooterCouncil"/>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5A7E4" w14:textId="77777777" w:rsidR="00567EFF" w:rsidRPr="00567EFF" w:rsidRDefault="00567EFF" w:rsidP="00567EFF">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C47FA" w14:textId="77777777" w:rsidR="00D65CB4" w:rsidRDefault="00D65CB4">
    <w:pPr>
      <w:pStyle w:val="Footer"/>
    </w:pPr>
  </w:p>
</w:ftr>
</file>

<file path=word/footer3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CB6A2" w14:textId="77777777" w:rsidR="00D65CB4" w:rsidRDefault="00D65CB4">
    <w:pPr>
      <w:pStyle w:val="Footer"/>
    </w:pPr>
  </w:p>
</w:ftr>
</file>

<file path=word/footer3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50540" w14:textId="77777777" w:rsidR="00D65CB4" w:rsidRDefault="00D65CB4">
    <w:pPr>
      <w:pStyle w:val="Footer"/>
    </w:pPr>
  </w:p>
</w:ftr>
</file>

<file path=word/footer3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1581909"/>
      <w:docPartObj>
        <w:docPartGallery w:val="Page Numbers (Bottom of Page)"/>
        <w:docPartUnique/>
      </w:docPartObj>
    </w:sdtPr>
    <w:sdtEndPr>
      <w:rPr>
        <w:noProof/>
      </w:rPr>
    </w:sdtEndPr>
    <w:sdtContent>
      <w:p w14:paraId="1486A754" w14:textId="4FA4037E"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545CFD32" w14:textId="77777777" w:rsidR="00D65CB4" w:rsidRDefault="00D65CB4">
    <w:pPr>
      <w:pStyle w:val="FooterCouncil"/>
    </w:pPr>
  </w:p>
</w:ftr>
</file>

<file path=word/footer3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18FB6" w14:textId="77777777" w:rsidR="00D65CB4" w:rsidRDefault="00D65CB4">
    <w:pPr>
      <w:pStyle w:val="Footer"/>
    </w:pPr>
  </w:p>
</w:ftr>
</file>

<file path=word/footer3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4CB8D" w14:textId="77777777" w:rsidR="00D65CB4" w:rsidRDefault="00D65CB4">
    <w:pPr>
      <w:pStyle w:val="Footer"/>
    </w:pPr>
  </w:p>
</w:ftr>
</file>

<file path=word/footer3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534539"/>
      <w:docPartObj>
        <w:docPartGallery w:val="Page Numbers (Bottom of Page)"/>
        <w:docPartUnique/>
      </w:docPartObj>
    </w:sdtPr>
    <w:sdtEndPr>
      <w:rPr>
        <w:noProof/>
      </w:rPr>
    </w:sdtEndPr>
    <w:sdtContent>
      <w:p w14:paraId="590953ED" w14:textId="21E8F9DE"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0A48D5D9" w14:textId="77777777" w:rsidR="00D65CB4" w:rsidRDefault="00D65CB4">
    <w:pPr>
      <w:pStyle w:val="FooterCouncil"/>
    </w:pPr>
  </w:p>
</w:ftr>
</file>

<file path=word/footer3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72E25" w14:textId="77777777" w:rsidR="00D65CB4" w:rsidRDefault="00D65CB4">
    <w:pPr>
      <w:pStyle w:val="Footer"/>
    </w:pPr>
  </w:p>
</w:ftr>
</file>

<file path=word/footer3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2B808" w14:textId="77777777" w:rsidR="00D65CB4" w:rsidRDefault="00D65CB4">
    <w:pPr>
      <w:pStyle w:val="Footer"/>
    </w:pPr>
  </w:p>
</w:ftr>
</file>

<file path=word/footer3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5578305"/>
      <w:docPartObj>
        <w:docPartGallery w:val="Page Numbers (Bottom of Page)"/>
        <w:docPartUnique/>
      </w:docPartObj>
    </w:sdtPr>
    <w:sdtEndPr>
      <w:rPr>
        <w:noProof/>
      </w:rPr>
    </w:sdtEndPr>
    <w:sdtContent>
      <w:p w14:paraId="56F37D2E" w14:textId="77777777"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5616449F" w14:textId="77777777" w:rsidR="00D65CB4" w:rsidRDefault="00D65CB4">
    <w:pPr>
      <w:pStyle w:val="FooterCouncil"/>
    </w:pPr>
  </w:p>
</w:ftr>
</file>

<file path=word/footer3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3E1ED" w14:textId="77777777" w:rsidR="00D65CB4" w:rsidRDefault="00D65CB4">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BECC5" w14:textId="77777777" w:rsidR="00D65CB4" w:rsidRDefault="00D65CB4">
    <w:pPr>
      <w:pStyle w:val="Footer"/>
    </w:pPr>
  </w:p>
</w:ftr>
</file>

<file path=word/footer3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CF586E" w14:textId="77777777" w:rsidR="00D65CB4" w:rsidRDefault="00D65CB4">
    <w:pPr>
      <w:pStyle w:val="Footer"/>
    </w:pPr>
  </w:p>
</w:ftr>
</file>

<file path=word/footer3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5412125"/>
      <w:docPartObj>
        <w:docPartGallery w:val="Page Numbers (Bottom of Page)"/>
        <w:docPartUnique/>
      </w:docPartObj>
    </w:sdtPr>
    <w:sdtEndPr>
      <w:rPr>
        <w:noProof/>
      </w:rPr>
    </w:sdtEndPr>
    <w:sdtContent>
      <w:p w14:paraId="1988004A" w14:textId="77777777"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117FD97F" w14:textId="77777777" w:rsidR="00D65CB4" w:rsidRDefault="00D65CB4">
    <w:pPr>
      <w:pStyle w:val="FooterCouncil"/>
    </w:pPr>
  </w:p>
</w:ftr>
</file>

<file path=word/footer3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64E56" w14:textId="77777777" w:rsidR="00D65CB4" w:rsidRDefault="00D65CB4">
    <w:pPr>
      <w:pStyle w:val="Footer"/>
    </w:pPr>
  </w:p>
</w:ftr>
</file>

<file path=word/footer3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59394" w14:textId="77777777" w:rsidR="00D65CB4" w:rsidRDefault="00D65CB4">
    <w:pPr>
      <w:pStyle w:val="Footer"/>
    </w:pPr>
  </w:p>
</w:ftr>
</file>

<file path=word/footer3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5533807"/>
      <w:docPartObj>
        <w:docPartGallery w:val="Page Numbers (Bottom of Page)"/>
        <w:docPartUnique/>
      </w:docPartObj>
    </w:sdtPr>
    <w:sdtEndPr>
      <w:rPr>
        <w:noProof/>
      </w:rPr>
    </w:sdtEndPr>
    <w:sdtContent>
      <w:p w14:paraId="2383F2E4" w14:textId="77777777"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1809DF62" w14:textId="77777777" w:rsidR="00D65CB4" w:rsidRDefault="00D65CB4">
    <w:pPr>
      <w:pStyle w:val="FooterCouncil"/>
    </w:pPr>
  </w:p>
</w:ftr>
</file>

<file path=word/footer3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3B05C" w14:textId="77777777" w:rsidR="00D65CB4" w:rsidRDefault="00D65CB4">
    <w:pPr>
      <w:pStyle w:val="Footer"/>
    </w:pPr>
  </w:p>
</w:ftr>
</file>

<file path=word/footer3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21A30" w14:textId="77777777" w:rsidR="00D65CB4" w:rsidRDefault="00D65CB4">
    <w:pPr>
      <w:pStyle w:val="Footer"/>
    </w:pPr>
  </w:p>
</w:ftr>
</file>

<file path=word/footer3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4438331"/>
      <w:docPartObj>
        <w:docPartGallery w:val="Page Numbers (Bottom of Page)"/>
        <w:docPartUnique/>
      </w:docPartObj>
    </w:sdtPr>
    <w:sdtEndPr>
      <w:rPr>
        <w:noProof/>
      </w:rPr>
    </w:sdtEndPr>
    <w:sdtContent>
      <w:p w14:paraId="6B3BBFE5" w14:textId="77777777"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6E3DAB1A" w14:textId="77777777" w:rsidR="00D65CB4" w:rsidRDefault="00D65CB4">
    <w:pPr>
      <w:pStyle w:val="FooterCouncil"/>
    </w:pPr>
  </w:p>
</w:ftr>
</file>

<file path=word/footer3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170B0" w14:textId="77777777" w:rsidR="00D65CB4" w:rsidRDefault="00D65CB4">
    <w:pPr>
      <w:pStyle w:val="Footer"/>
    </w:pPr>
  </w:p>
</w:ftr>
</file>

<file path=word/footer3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1E3A6" w14:textId="77777777" w:rsidR="00D65CB4" w:rsidRDefault="00D65CB4">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4520658"/>
      <w:docPartObj>
        <w:docPartGallery w:val="Page Numbers (Bottom of Page)"/>
        <w:docPartUnique/>
      </w:docPartObj>
    </w:sdtPr>
    <w:sdtEndPr>
      <w:rPr>
        <w:noProof/>
      </w:rPr>
    </w:sdtEndPr>
    <w:sdtContent>
      <w:p w14:paraId="2C8DD9B8" w14:textId="4560445C"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37F87FAC" w14:textId="77777777" w:rsidR="00D65CB4" w:rsidRDefault="00D65CB4">
    <w:pPr>
      <w:pStyle w:val="FooterCouncil"/>
    </w:pPr>
  </w:p>
</w:ftr>
</file>

<file path=word/footer3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6188135"/>
      <w:docPartObj>
        <w:docPartGallery w:val="Page Numbers (Bottom of Page)"/>
        <w:docPartUnique/>
      </w:docPartObj>
    </w:sdtPr>
    <w:sdtEndPr>
      <w:rPr>
        <w:noProof/>
      </w:rPr>
    </w:sdtEndPr>
    <w:sdtContent>
      <w:p w14:paraId="38DA8EE6" w14:textId="77777777"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33A8D3D7" w14:textId="77777777" w:rsidR="00D65CB4" w:rsidRDefault="00D65CB4">
    <w:pPr>
      <w:pStyle w:val="FooterCouncil"/>
    </w:pPr>
  </w:p>
</w:ftr>
</file>

<file path=word/footer3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D94BB" w14:textId="77777777" w:rsidR="00D65CB4" w:rsidRDefault="00D65CB4">
    <w:pPr>
      <w:pStyle w:val="Footer"/>
    </w:pPr>
  </w:p>
</w:ftr>
</file>

<file path=word/footer3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2FA29" w14:textId="77777777" w:rsidR="00D65CB4" w:rsidRDefault="00D65CB4">
    <w:pPr>
      <w:pStyle w:val="Footer"/>
    </w:pPr>
  </w:p>
</w:ftr>
</file>

<file path=word/footer3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5092914"/>
      <w:docPartObj>
        <w:docPartGallery w:val="Page Numbers (Bottom of Page)"/>
        <w:docPartUnique/>
      </w:docPartObj>
    </w:sdtPr>
    <w:sdtEndPr>
      <w:rPr>
        <w:noProof/>
      </w:rPr>
    </w:sdtEndPr>
    <w:sdtContent>
      <w:p w14:paraId="7C6777D5" w14:textId="77777777"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286D2AEE" w14:textId="77777777" w:rsidR="00D65CB4" w:rsidRDefault="00D65CB4">
    <w:pPr>
      <w:pStyle w:val="FooterCouncil"/>
    </w:pPr>
  </w:p>
</w:ftr>
</file>

<file path=word/footer3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0C6D6" w14:textId="77777777" w:rsidR="00D65CB4" w:rsidRDefault="00D65CB4">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D3A23" w14:textId="77777777" w:rsidR="00D65CB4" w:rsidRDefault="00D65CB4">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FB050" w14:textId="77777777" w:rsidR="00D65CB4" w:rsidRDefault="00D65CB4">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3863110"/>
      <w:docPartObj>
        <w:docPartGallery w:val="Page Numbers (Bottom of Page)"/>
        <w:docPartUnique/>
      </w:docPartObj>
    </w:sdtPr>
    <w:sdtEndPr>
      <w:rPr>
        <w:noProof/>
      </w:rPr>
    </w:sdtEndPr>
    <w:sdtContent>
      <w:p w14:paraId="2897621B" w14:textId="77777777"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529B7C20" w14:textId="77777777" w:rsidR="00D65CB4" w:rsidRDefault="00D65CB4">
    <w:pPr>
      <w:pStyle w:val="FooterCouncil"/>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F6ACE" w14:textId="77777777" w:rsidR="00D65CB4" w:rsidRDefault="00D65CB4">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FEB43" w14:textId="77777777" w:rsidR="00D65CB4" w:rsidRDefault="00D65CB4">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6899888"/>
      <w:docPartObj>
        <w:docPartGallery w:val="Page Numbers (Bottom of Page)"/>
        <w:docPartUnique/>
      </w:docPartObj>
    </w:sdtPr>
    <w:sdtEndPr>
      <w:rPr>
        <w:noProof/>
      </w:rPr>
    </w:sdtEndPr>
    <w:sdtContent>
      <w:p w14:paraId="1650E504" w14:textId="161ED771"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34B5ED7B" w14:textId="77777777" w:rsidR="00D65CB4" w:rsidRDefault="00D65CB4">
    <w:pPr>
      <w:pStyle w:val="FooterCouncil"/>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D2C48" w14:textId="77777777" w:rsidR="00D65CB4" w:rsidRDefault="00D65CB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8A720" w14:textId="77777777" w:rsidR="00D65CB4" w:rsidRDefault="00D65CB4">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CD487" w14:textId="77777777" w:rsidR="00D65CB4" w:rsidRDefault="00D65CB4">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7972104"/>
      <w:docPartObj>
        <w:docPartGallery w:val="Page Numbers (Bottom of Page)"/>
        <w:docPartUnique/>
      </w:docPartObj>
    </w:sdtPr>
    <w:sdtEndPr>
      <w:rPr>
        <w:noProof/>
      </w:rPr>
    </w:sdtEndPr>
    <w:sdtContent>
      <w:p w14:paraId="46B85106" w14:textId="694D91D3"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41E72F7D" w14:textId="77777777" w:rsidR="00D65CB4" w:rsidRDefault="00D65CB4">
    <w:pPr>
      <w:pStyle w:val="FooterCouncil"/>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53D20" w14:textId="77777777" w:rsidR="00D65CB4" w:rsidRDefault="00D65CB4">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D63E8" w14:textId="77777777" w:rsidR="00D65CB4" w:rsidRDefault="00D65CB4">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2897789"/>
      <w:docPartObj>
        <w:docPartGallery w:val="Page Numbers (Bottom of Page)"/>
        <w:docPartUnique/>
      </w:docPartObj>
    </w:sdtPr>
    <w:sdtEndPr>
      <w:rPr>
        <w:noProof/>
      </w:rPr>
    </w:sdtEndPr>
    <w:sdtContent>
      <w:p w14:paraId="490D1F45" w14:textId="6877F358"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11E4E99F" w14:textId="77777777" w:rsidR="00D65CB4" w:rsidRDefault="00D65CB4">
    <w:pPr>
      <w:pStyle w:val="FooterCouncil"/>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C169A" w14:textId="77777777" w:rsidR="00D65CB4" w:rsidRDefault="00D65CB4">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78751" w14:textId="77777777" w:rsidR="00D65CB4" w:rsidRDefault="00D65CB4">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4723796"/>
      <w:docPartObj>
        <w:docPartGallery w:val="Page Numbers (Bottom of Page)"/>
        <w:docPartUnique/>
      </w:docPartObj>
    </w:sdtPr>
    <w:sdtEndPr>
      <w:rPr>
        <w:noProof/>
      </w:rPr>
    </w:sdtEndPr>
    <w:sdtContent>
      <w:p w14:paraId="26F5706B" w14:textId="19F2D881"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2F404C5B" w14:textId="77777777" w:rsidR="00D65CB4" w:rsidRDefault="00D65CB4">
    <w:pPr>
      <w:pStyle w:val="FooterCouncil"/>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AFB83" w14:textId="77777777" w:rsidR="00D65CB4" w:rsidRDefault="00D65CB4">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AF47F" w14:textId="77777777" w:rsidR="00D65CB4" w:rsidRDefault="00D65CB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8991891"/>
      <w:docPartObj>
        <w:docPartGallery w:val="Page Numbers (Bottom of Page)"/>
        <w:docPartUnique/>
      </w:docPartObj>
    </w:sdtPr>
    <w:sdtEndPr>
      <w:rPr>
        <w:noProof/>
      </w:rPr>
    </w:sdtEndPr>
    <w:sdtContent>
      <w:p w14:paraId="7BA13B42" w14:textId="6CBD41F0" w:rsidR="00D65CB4" w:rsidRDefault="00572307">
        <w:pPr>
          <w:pStyle w:val="P68B1DB1-Footer40"/>
          <w:jc w:val="center"/>
        </w:pPr>
        <w:r>
          <w:fldChar w:fldCharType="begin"/>
        </w:r>
        <w:r>
          <w:instrText xml:space="preserve"> PAGE   \* MERGEFORMAT </w:instrText>
        </w:r>
        <w:r>
          <w:fldChar w:fldCharType="separate"/>
        </w:r>
        <w:r w:rsidR="00567EFF">
          <w:rPr>
            <w:noProof/>
          </w:rPr>
          <w:t>1</w:t>
        </w:r>
        <w:r>
          <w:fldChar w:fldCharType="end"/>
        </w:r>
      </w:p>
    </w:sdtContent>
  </w:sdt>
  <w:p w14:paraId="2515E0A8" w14:textId="77777777" w:rsidR="00D65CB4" w:rsidRDefault="00D65CB4">
    <w:pPr>
      <w:pStyle w:val="FooterCouncil"/>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1047168"/>
      <w:docPartObj>
        <w:docPartGallery w:val="Page Numbers (Bottom of Page)"/>
        <w:docPartUnique/>
      </w:docPartObj>
    </w:sdtPr>
    <w:sdtEndPr>
      <w:rPr>
        <w:noProof/>
      </w:rPr>
    </w:sdtEndPr>
    <w:sdtContent>
      <w:p w14:paraId="350C80DC" w14:textId="1933B034"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2845D813" w14:textId="77777777" w:rsidR="00D65CB4" w:rsidRDefault="00D65CB4">
    <w:pPr>
      <w:pStyle w:val="FooterCouncil"/>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B019F" w14:textId="77777777" w:rsidR="00D65CB4" w:rsidRDefault="00D65CB4">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3D4D3" w14:textId="77777777" w:rsidR="00D65CB4" w:rsidRDefault="00D65CB4">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1807117"/>
      <w:docPartObj>
        <w:docPartGallery w:val="Page Numbers (Bottom of Page)"/>
        <w:docPartUnique/>
      </w:docPartObj>
    </w:sdtPr>
    <w:sdtEndPr>
      <w:rPr>
        <w:noProof/>
      </w:rPr>
    </w:sdtEndPr>
    <w:sdtContent>
      <w:p w14:paraId="5439C825" w14:textId="47A22CC8"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0239F392" w14:textId="77777777" w:rsidR="00D65CB4" w:rsidRDefault="00D65CB4">
    <w:pPr>
      <w:pStyle w:val="FooterCouncil"/>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433C0" w14:textId="77777777" w:rsidR="00D65CB4" w:rsidRDefault="00D65CB4">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53655" w14:textId="77777777" w:rsidR="00D65CB4" w:rsidRDefault="00D65CB4">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7261277"/>
      <w:docPartObj>
        <w:docPartGallery w:val="Page Numbers (Bottom of Page)"/>
        <w:docPartUnique/>
      </w:docPartObj>
    </w:sdtPr>
    <w:sdtEndPr>
      <w:rPr>
        <w:noProof/>
      </w:rPr>
    </w:sdtEndPr>
    <w:sdtContent>
      <w:p w14:paraId="3F3766FA" w14:textId="11963EA2"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0D8AD08A" w14:textId="77777777" w:rsidR="00D65CB4" w:rsidRDefault="00D65CB4">
    <w:pPr>
      <w:pStyle w:val="FooterCouncil"/>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C90E8" w14:textId="77777777" w:rsidR="00D65CB4" w:rsidRDefault="00D65CB4">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F65D8" w14:textId="77777777" w:rsidR="00D65CB4" w:rsidRDefault="00D65CB4">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2995705"/>
      <w:docPartObj>
        <w:docPartGallery w:val="Page Numbers (Bottom of Page)"/>
        <w:docPartUnique/>
      </w:docPartObj>
    </w:sdtPr>
    <w:sdtEndPr>
      <w:rPr>
        <w:noProof/>
      </w:rPr>
    </w:sdtEndPr>
    <w:sdtContent>
      <w:p w14:paraId="551B7264" w14:textId="431F0E13"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5384F2B9" w14:textId="77777777" w:rsidR="00D65CB4" w:rsidRDefault="00D65CB4">
    <w:pPr>
      <w:pStyle w:val="FooterCouncil"/>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4AFED" w14:textId="77777777" w:rsidR="00D65CB4" w:rsidRDefault="00D65CB4">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425CC" w14:textId="77777777" w:rsidR="00D65CB4" w:rsidRDefault="00D65CB4">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27C88" w14:textId="77777777" w:rsidR="00D65CB4" w:rsidRDefault="00D65CB4">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8372045"/>
      <w:docPartObj>
        <w:docPartGallery w:val="Page Numbers (Bottom of Page)"/>
        <w:docPartUnique/>
      </w:docPartObj>
    </w:sdtPr>
    <w:sdtEndPr>
      <w:rPr>
        <w:noProof/>
      </w:rPr>
    </w:sdtEndPr>
    <w:sdtContent>
      <w:p w14:paraId="4926D255" w14:textId="786063FB"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3FD327D0" w14:textId="77777777" w:rsidR="00D65CB4" w:rsidRDefault="00D65CB4">
    <w:pPr>
      <w:pStyle w:val="FooterCouncil"/>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CE676" w14:textId="77777777" w:rsidR="00D65CB4" w:rsidRDefault="00D65CB4">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0EC7C" w14:textId="77777777" w:rsidR="00D65CB4" w:rsidRDefault="00D65CB4">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5478539"/>
      <w:docPartObj>
        <w:docPartGallery w:val="Page Numbers (Bottom of Page)"/>
        <w:docPartUnique/>
      </w:docPartObj>
    </w:sdtPr>
    <w:sdtEndPr>
      <w:rPr>
        <w:noProof/>
      </w:rPr>
    </w:sdtEndPr>
    <w:sdtContent>
      <w:p w14:paraId="322EDD2D" w14:textId="7AB540CC"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3FCABAB6" w14:textId="77777777" w:rsidR="00D65CB4" w:rsidRDefault="00D65CB4">
    <w:pPr>
      <w:pStyle w:val="FooterCouncil"/>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B89CC" w14:textId="77777777" w:rsidR="00D65CB4" w:rsidRDefault="00D65CB4">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5A123" w14:textId="77777777" w:rsidR="00D65CB4" w:rsidRDefault="00D65CB4">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637907"/>
      <w:docPartObj>
        <w:docPartGallery w:val="Page Numbers (Bottom of Page)"/>
        <w:docPartUnique/>
      </w:docPartObj>
    </w:sdtPr>
    <w:sdtEndPr>
      <w:rPr>
        <w:noProof/>
      </w:rPr>
    </w:sdtEndPr>
    <w:sdtContent>
      <w:p w14:paraId="3FE5A92C" w14:textId="62E8ED25"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5BCD6797" w14:textId="77777777" w:rsidR="00D65CB4" w:rsidRDefault="00D65CB4">
    <w:pPr>
      <w:pStyle w:val="FooterCouncil"/>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8C31F" w14:textId="77777777" w:rsidR="00D65CB4" w:rsidRDefault="00D65CB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7325F" w14:textId="77777777" w:rsidR="00D65CB4" w:rsidRDefault="00D65CB4">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42FE7" w14:textId="77777777" w:rsidR="00D65CB4" w:rsidRDefault="00D65CB4">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1384415"/>
      <w:docPartObj>
        <w:docPartGallery w:val="Page Numbers (Bottom of Page)"/>
        <w:docPartUnique/>
      </w:docPartObj>
    </w:sdtPr>
    <w:sdtEndPr>
      <w:rPr>
        <w:noProof/>
      </w:rPr>
    </w:sdtEndPr>
    <w:sdtContent>
      <w:p w14:paraId="6D3073C8" w14:textId="1CA5F83A"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65412AE5" w14:textId="77777777" w:rsidR="00D65CB4" w:rsidRDefault="00D65CB4">
    <w:pPr>
      <w:pStyle w:val="FooterCouncil"/>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B37BA" w14:textId="77777777" w:rsidR="00D65CB4" w:rsidRDefault="00D65CB4">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836D1" w14:textId="77777777" w:rsidR="00D65CB4" w:rsidRDefault="00D65CB4">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9373869"/>
      <w:docPartObj>
        <w:docPartGallery w:val="Page Numbers (Bottom of Page)"/>
        <w:docPartUnique/>
      </w:docPartObj>
    </w:sdtPr>
    <w:sdtEndPr>
      <w:rPr>
        <w:noProof/>
      </w:rPr>
    </w:sdtEndPr>
    <w:sdtContent>
      <w:p w14:paraId="70A1FC60" w14:textId="1E3065BC" w:rsidR="00D65CB4" w:rsidRDefault="00572307">
        <w:pPr>
          <w:pStyle w:val="Footer"/>
          <w:jc w:val="center"/>
        </w:pPr>
        <w:r>
          <w:fldChar w:fldCharType="begin"/>
        </w:r>
        <w:r>
          <w:instrText xml:space="preserve"> PAGE   \* MERGEFORMAT </w:instrText>
        </w:r>
        <w:r>
          <w:fldChar w:fldCharType="separate"/>
        </w:r>
        <w:r>
          <w:t>2</w:t>
        </w:r>
        <w:r>
          <w:fldChar w:fldCharType="end"/>
        </w:r>
      </w:p>
    </w:sdtContent>
  </w:sdt>
  <w:p w14:paraId="0C082F4A" w14:textId="77777777" w:rsidR="00D65CB4" w:rsidRDefault="00D65CB4">
    <w:pPr>
      <w:pStyle w:val="FooterCouncil"/>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CD459" w14:textId="77777777" w:rsidR="00D65CB4" w:rsidRDefault="00D65CB4">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63357" w14:textId="77777777" w:rsidR="00D65CB4" w:rsidRDefault="00D65CB4">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6104642"/>
      <w:docPartObj>
        <w:docPartGallery w:val="Page Numbers (Bottom of Page)"/>
        <w:docPartUnique/>
      </w:docPartObj>
    </w:sdtPr>
    <w:sdtEndPr>
      <w:rPr>
        <w:noProof/>
      </w:rPr>
    </w:sdtEndPr>
    <w:sdtContent>
      <w:p w14:paraId="25B9880F" w14:textId="3E5BADB9"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4A41FA09" w14:textId="77777777" w:rsidR="00D65CB4" w:rsidRDefault="00D65CB4">
    <w:pPr>
      <w:pStyle w:val="FooterCouncil"/>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88F8C" w14:textId="77777777" w:rsidR="00D65CB4" w:rsidRDefault="00D65CB4">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9706C" w14:textId="77777777" w:rsidR="00D65CB4" w:rsidRDefault="00D65CB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8200164"/>
      <w:docPartObj>
        <w:docPartGallery w:val="Page Numbers (Bottom of Page)"/>
        <w:docPartUnique/>
      </w:docPartObj>
    </w:sdtPr>
    <w:sdtEndPr>
      <w:rPr>
        <w:noProof/>
      </w:rPr>
    </w:sdtEndPr>
    <w:sdtContent>
      <w:p w14:paraId="5814432B" w14:textId="21CB6993"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7ED515D1" w14:textId="77777777" w:rsidR="00D65CB4" w:rsidRDefault="00D65CB4">
    <w:pPr>
      <w:pStyle w:val="FooterCouncil"/>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8238598"/>
      <w:docPartObj>
        <w:docPartGallery w:val="Page Numbers (Bottom of Page)"/>
        <w:docPartUnique/>
      </w:docPartObj>
    </w:sdtPr>
    <w:sdtEndPr>
      <w:rPr>
        <w:noProof/>
      </w:rPr>
    </w:sdtEndPr>
    <w:sdtContent>
      <w:p w14:paraId="307D1C56" w14:textId="2375B69F"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19525240" w14:textId="77777777" w:rsidR="00D65CB4" w:rsidRDefault="00D65CB4">
    <w:pPr>
      <w:pStyle w:val="FooterCouncil"/>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AFC88" w14:textId="77777777" w:rsidR="00D65CB4" w:rsidRDefault="00D65CB4">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C7CD6" w14:textId="77777777" w:rsidR="00D65CB4" w:rsidRDefault="00D65CB4">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7453763"/>
      <w:docPartObj>
        <w:docPartGallery w:val="Page Numbers (Bottom of Page)"/>
        <w:docPartUnique/>
      </w:docPartObj>
    </w:sdtPr>
    <w:sdtEndPr>
      <w:rPr>
        <w:noProof/>
      </w:rPr>
    </w:sdtEndPr>
    <w:sdtContent>
      <w:p w14:paraId="10DA3C38" w14:textId="1A58499C"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39AF563B" w14:textId="77777777" w:rsidR="00D65CB4" w:rsidRDefault="00D65CB4">
    <w:pPr>
      <w:pStyle w:val="FooterCouncil"/>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E01AC" w14:textId="77777777" w:rsidR="00D65CB4" w:rsidRDefault="00D65CB4">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0A1CB" w14:textId="77777777" w:rsidR="00D65CB4" w:rsidRDefault="00D65CB4">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2667034"/>
      <w:docPartObj>
        <w:docPartGallery w:val="Page Numbers (Bottom of Page)"/>
        <w:docPartUnique/>
      </w:docPartObj>
    </w:sdtPr>
    <w:sdtEndPr>
      <w:rPr>
        <w:noProof/>
      </w:rPr>
    </w:sdtEndPr>
    <w:sdtContent>
      <w:p w14:paraId="0E806E04" w14:textId="350BFD5F"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5901923B" w14:textId="77777777" w:rsidR="00D65CB4" w:rsidRDefault="00D65CB4">
    <w:pPr>
      <w:pStyle w:val="FooterCouncil"/>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937F9" w14:textId="77777777" w:rsidR="00D65CB4" w:rsidRDefault="00D65CB4">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BD492" w14:textId="77777777" w:rsidR="00D65CB4" w:rsidRDefault="00D65CB4">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7739992"/>
      <w:docPartObj>
        <w:docPartGallery w:val="Page Numbers (Bottom of Page)"/>
        <w:docPartUnique/>
      </w:docPartObj>
    </w:sdtPr>
    <w:sdtEndPr>
      <w:rPr>
        <w:noProof/>
      </w:rPr>
    </w:sdtEndPr>
    <w:sdtContent>
      <w:p w14:paraId="28021015" w14:textId="07672D3A"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56847F84" w14:textId="77777777" w:rsidR="00D65CB4" w:rsidRDefault="00D65CB4">
    <w:pPr>
      <w:pStyle w:val="FooterCouncil"/>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A7058" w14:textId="77777777" w:rsidR="00D65CB4" w:rsidRDefault="00D65CB4">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DA92C" w14:textId="77777777" w:rsidR="00D65CB4" w:rsidRDefault="00D65CB4">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7D592" w14:textId="77777777" w:rsidR="00D65CB4" w:rsidRDefault="00D65CB4">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6313677"/>
      <w:docPartObj>
        <w:docPartGallery w:val="Page Numbers (Bottom of Page)"/>
        <w:docPartUnique/>
      </w:docPartObj>
    </w:sdtPr>
    <w:sdtEndPr>
      <w:rPr>
        <w:noProof/>
      </w:rPr>
    </w:sdtEndPr>
    <w:sdtContent>
      <w:p w14:paraId="52721632" w14:textId="6592F3C3"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6DFAC41C" w14:textId="77777777" w:rsidR="00D65CB4" w:rsidRDefault="00D65CB4">
    <w:pPr>
      <w:pStyle w:val="FooterCouncil"/>
    </w:pP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B5971" w14:textId="77777777" w:rsidR="00D65CB4" w:rsidRDefault="00D65CB4">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EA135" w14:textId="77777777" w:rsidR="00D65CB4" w:rsidRDefault="00D65CB4">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0320799"/>
      <w:docPartObj>
        <w:docPartGallery w:val="Page Numbers (Bottom of Page)"/>
        <w:docPartUnique/>
      </w:docPartObj>
    </w:sdtPr>
    <w:sdtEndPr>
      <w:rPr>
        <w:noProof/>
      </w:rPr>
    </w:sdtEndPr>
    <w:sdtContent>
      <w:p w14:paraId="6EE64B86" w14:textId="6B0FEDB9"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7468DF3F" w14:textId="77777777" w:rsidR="00D65CB4" w:rsidRDefault="00D65CB4">
    <w:pPr>
      <w:pStyle w:val="FooterCouncil"/>
    </w:pP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07069" w14:textId="77777777" w:rsidR="00D65CB4" w:rsidRDefault="00D65CB4">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084F9" w14:textId="77777777" w:rsidR="00D65CB4" w:rsidRDefault="00D65CB4">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1243801"/>
      <w:docPartObj>
        <w:docPartGallery w:val="Page Numbers (Bottom of Page)"/>
        <w:docPartUnique/>
      </w:docPartObj>
    </w:sdtPr>
    <w:sdtEndPr>
      <w:rPr>
        <w:noProof/>
      </w:rPr>
    </w:sdtEndPr>
    <w:sdtContent>
      <w:p w14:paraId="326FE904" w14:textId="77777777" w:rsidR="00D65CB4" w:rsidRDefault="00572307">
        <w:pPr>
          <w:pStyle w:val="P68B1DB1-Footer40"/>
          <w:jc w:val="center"/>
        </w:pPr>
        <w:r>
          <w:fldChar w:fldCharType="begin"/>
        </w:r>
        <w:r>
          <w:instrText xml:space="preserve"> PAGE   \* MERGEFORMAT </w:instrText>
        </w:r>
        <w:r>
          <w:fldChar w:fldCharType="separate"/>
        </w:r>
        <w:r>
          <w:t>2</w:t>
        </w:r>
        <w:r>
          <w:fldChar w:fldCharType="end"/>
        </w:r>
      </w:p>
    </w:sdtContent>
  </w:sdt>
  <w:p w14:paraId="0A4B1B38" w14:textId="77777777" w:rsidR="00D65CB4" w:rsidRDefault="00D65CB4">
    <w:pPr>
      <w:pStyle w:val="FooterCouncil"/>
    </w:pP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E55A9" w14:textId="77777777" w:rsidR="00D65CB4" w:rsidRDefault="00D65C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B04469" w14:textId="77777777" w:rsidR="00D65CB4" w:rsidRDefault="00572307">
      <w:r>
        <w:separator/>
      </w:r>
    </w:p>
  </w:footnote>
  <w:footnote w:type="continuationSeparator" w:id="0">
    <w:p w14:paraId="5C351B40" w14:textId="77777777" w:rsidR="00D65CB4" w:rsidRDefault="00572307">
      <w:pPr>
        <w:spacing w:after="0" w:line="240" w:lineRule="auto"/>
      </w:pPr>
      <w:r>
        <w:continuationSeparator/>
      </w:r>
    </w:p>
    <w:p w14:paraId="7C63609B" w14:textId="77777777" w:rsidR="00D65CB4" w:rsidRDefault="00D65CB4"/>
  </w:footnote>
  <w:footnote w:type="continuationNotice" w:id="1">
    <w:p w14:paraId="7D9B5E7A" w14:textId="77777777" w:rsidR="00D65CB4" w:rsidRDefault="00D65CB4">
      <w:pPr>
        <w:spacing w:after="0" w:line="240" w:lineRule="auto"/>
      </w:pPr>
    </w:p>
    <w:p w14:paraId="4C846C0D" w14:textId="77777777" w:rsidR="00D65CB4" w:rsidRDefault="00D65CB4"/>
  </w:footnote>
  <w:footnote w:id="2">
    <w:p w14:paraId="2709697D" w14:textId="3EFF7A3B"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Az (EU) 2019/1242 rendelet 3. cikkének 11. pontja értelmében: belső égésű motorral nem rendelkező vagy 1 g/km-nél kisebb szén-dioxid-kibocsátású belső égésű motorral felszerelt jármű.</w:t>
      </w:r>
    </w:p>
  </w:footnote>
  <w:footnote w:id="3">
    <w:p w14:paraId="62CABCB5"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Az (EU) 2019/1242 rendelet 3. cikkének 12. pontjában szereplő fogalommeghatározás szerint: amelyek CO2-kibocsátása nem éri el a járműalcsoportba tartozó összes jármű szén-dioxid-referenciakibocsátásának felét; a referenciaértékek a tehergépkocsi típusától függően eltérőek.</w:t>
      </w:r>
    </w:p>
  </w:footnote>
  <w:footnote w:id="4">
    <w:p w14:paraId="41AF84FA"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A bioüzemanyagok, a folyékony bio-energiahordozók és a biomasszából előállított üzemanyagok megfelelnek a 29–31. cikkben meghatározott fenntarthatósági és ÜHG-kibocsátásmegtakarítási kritériumoknak, valamint az (EU) 2018/2001 megújulóenergia-irányelv (REDII) 26. cikkében meghatározott, az élelmiszer- és takarmányalapú bioüzemanyagokra vonatkozó szabályoknak, valamint a kapcsolódó végrehajtási és felhatalmazáson alapuló jogi aktusoknak; és a Helyreállítási és Rezilienciaépítési Eszköz keretében támogatott járművek kizárólag a REDII-nek megfelelő bioüzemanyagokat, folyékony bio-energiahordozókat és biomasszából előállított üzemanyagokat használnak; a bioüzemanyagok, a folyékony bio-energiahordozók és a biomasszából előállított üzemanyagok szintje/aránya pedig idővel nő.</w:t>
      </w:r>
    </w:p>
  </w:footnote>
  <w:footnote w:id="5">
    <w:p w14:paraId="61975C04" w14:textId="27785845"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A bioüzemanyagok, a folyékony bio-energiahordozók és a biomasszából előállított üzemanyagok megfelelnek az (EU) 2018/2001 megújulóenergia-irányelv (REDII) 29. cikkében meghatározott fenntarthatósági és ÜHG-kibocsátásmegtakarítási kritériumoknak, valamint az élelmiszer- és takarmányalapú bioüzemanyagokra vonatkozóan az (EU) 2018/2001 irányelv (REDII) 26. cikkében, valamint a kapcsolódó végrehajtási és felhatalmazáson alapuló jogi aktusokban meghatározott szabályoknak; és a Helyreállítási és Rezilienciaépítési Eszköz keretében támogatott járművek kizárólag a REDII-nek megfelelő bioüzemanyagokat, folyékony bio-energiahordozókat és biomasszából előállított üzemanyagokat használnak; a bioüzemanyagok, a folyékony bio-energiahordozók és a biomasszából előállított üzemanyagok szintje/aránya pedig idővel nő.</w:t>
      </w:r>
    </w:p>
  </w:footnote>
  <w:footnote w:id="6">
    <w:p w14:paraId="1DE5B045" w14:textId="6CF8DDEA"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sz w:val="19"/>
        </w:rPr>
        <w:t>Kivéve az a) a jelentős károkozás elkerülését célzó technikai iránymutatás (2021/C58/01) III. mellékletében meghatározott feltételeknek megfelelő, földgázt felhasználó villamosenergia- és/vagy hőtermeléssel kapcsolatos eszközöket és tevékenységeket, valamint a kapcsolódó átviteli és elosztási infrastruktúrát, valamint b) a ii. pont szerinti tevékenységeket és eszközöket, amelyek esetében a fosszilis tüzelőanyagok használata átmeneti és technikailag elkerülhetetlen a fosszilis tüzelőanyagoktól mentes üzemre való időben történő átállás szempontjából.</w:t>
      </w:r>
    </w:p>
  </w:footnote>
  <w:footnote w:id="7">
    <w:p w14:paraId="76B6B55A" w14:textId="776EB3E9"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sz w:val="19"/>
        </w:rPr>
        <w:t xml:space="preserve">Amennyiben a támogatott tevékenység nem eredményez a vonatkozó referenciaértékeknél lényegesen alacsonyabb előrejelzett üvegházhatásúgáz-kibocsátást, ismertetni kell azokat az okokat, amelyek miatt nem érhető el nagyobb kibocsátáscsökkenés. A kibocsátáskereskedelmi rendszer hatálya alá tartozó tevékenységekre vonatkozó ingyenes kiosztásra vonatkozóan az (EU) 2021/447 bizottsági végrehajtási rendeletben meghatározott referenciaértékek. </w:t>
      </w:r>
    </w:p>
  </w:footnote>
  <w:footnote w:id="8">
    <w:p w14:paraId="48521E96" w14:textId="7A608DAF"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Ez a kizárás nem vonatkozik az ezen intézkedés szerinti fellépésekre a kizárólag nem újrafeldolgozható veszélyes hulladékok kezelésére szolgáló létesítményekben, valamint a meglévő üzemekben, ahol az ezen intézkedés szerinti tevékenységek célja az energiahatékonyság növelése, a füstgázok tárolási célú megkötése vagy a hulladékégetésből származó hamuból származó anyagok felhasználása vagy kinyerése, feltéve, hogy az ezen intézkedés szerinti fellépések nem eredményezik az üzemek hulladékfeldolgozási kapacitásának növekedését vagy az üzemek élettartamának meghosszabbítását; amelyre vonatkozóan az üzem szintjén szolgáltattak bizonyítékot</w:t>
      </w:r>
    </w:p>
  </w:footnote>
  <w:footnote w:id="9">
    <w:p w14:paraId="6F4D6DC3" w14:textId="3C47CD1C"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Ez a kizárás nem vonatkozik az ezen intézkedés keretében a meglévő mechanikus-biológiai szennyvíztisztító telepeken végzett tevékenységekre, amennyiben az ezen intézkedés keretében végrehajtott intézkedések célja az erőforrás-hatékonyság növelése vagy az elkülönített hulladék komposzt biohulladékká történő újrafeldolgozása és a biohulladék anaerob lebontása, feltéve, hogy az ezen intézkedés keretében végrehajtott ilyen intézkedések nem eredményezik az üzemek hulladékfeldolgozási kapacitásának növekedését vagy a létesítmények élettartamának meghosszabbítását; ezek esetében az üzem szintjén szolgáltatnak bizonyítékot.</w:t>
      </w:r>
    </w:p>
  </w:footnote>
  <w:footnote w:id="10">
    <w:p w14:paraId="222C11A5" w14:textId="750F32D3"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A konkrét projektekhez kapcsolódó hitelek, részvételi hitelek, projektkötvények, garanciák vagy ezekkel egyenértékű eszközök végső kedvezményezettjei kötelesek minden támogatott projekt esetében megindokolni a kiválasztott beavatkozási területet, a projekt leírásával együtt. A végrehajtó partnernek féléves jelentést kell benyújtania a tagállamnak az egyes projektek/tevékenységek végrehajtásáról. </w:t>
      </w:r>
    </w:p>
  </w:footnote>
  <w:footnote w:id="11">
    <w:p w14:paraId="0AF27CE1"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Kivéve az ezen intézkedés hatálya alá tartozó, a jelentős károkozás elkerülését célzó elvről szóló technikai iránymutatás (2021/C58/01) III. mellékletében meghatározott feltételeknek megfelelő, földgázt felhasználó villamosenergia- és/vagy hőtermelésre, valamint a kapcsolódó átviteli és elosztási infrastruktúrára irányuló projekteket.</w:t>
      </w:r>
    </w:p>
  </w:footnote>
  <w:footnote w:id="12">
    <w:p w14:paraId="50587B3E"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Amennyiben a támogatott tevékenység olyan előrejelzett üvegházhatásúgáz-kibocsátást ér el, amely nem éri el jelentősen a vonatkozó referenciaértékeket, meg kell indokolni, hogy ez miért nem lehetséges. A kibocsátáskereskedelmi rendszer hatálya alá tartozó tevékenységekre vonatkozó ingyenes kiosztásra vonatkozóan az (EU) 2021/447 bizottsági végrehajtási rendeletben meghatározott referenciaértékek.</w:t>
      </w:r>
    </w:p>
  </w:footnote>
  <w:footnote w:id="13">
    <w:p w14:paraId="26F9A219"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Ez a kizárás nem vonatkozik az ezen intézkedés szerinti fellépésekre a kizárólag nem újrafeldolgozható veszélyes hulladékok kezelésére szolgáló létesítményekben, valamint a meglévő üzemekben, ahol az ezen intézkedés szerinti tevékenységek célja az energiahatékonyság növelése, a füstgázok tárolási célú megkötése vagy a hulladékégetésből származó hamuból származó anyagok felhasználása vagy kinyerése, feltéve, hogy az ezen intézkedés szerinti fellépések nem eredményezik az üzemek hulladékfeldolgozási kapacitásának növekedését vagy az üzemek élettartamának meghosszabbítását; ezek esetében az üzem szintjén szolgáltatnak bizonyítékot.</w:t>
      </w:r>
    </w:p>
  </w:footnote>
  <w:footnote w:id="14">
    <w:p w14:paraId="44F31A46"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Ez a kizárás nem vonatkozik az ezen intézkedés keretében a meglévő mechanikus-biológiai hulladékkezelő létesítményekben végrehajtott intézkedésekre, amennyiben az ezen intézkedés keretében végrehajtott fellépések célja az energiahatékonyság növelése vagy az elkülönített hulladék újrafeldolgozási műveletekhez való utólagos átalakítása a biohulladék komposztálása és a biohulladék anaerob lebontása céljából, feltéve, hogy az ezen intézkedés szerinti szerinti ilyen fellépések nem eredményezik az üzemek hulladékfeldolgozási kapacitásának növelését vagy az üzemek élettartamának meghosszabbítását; ezek esetében az üzem szintjén szolgáltatnak bizonyítékot.</w:t>
      </w:r>
    </w:p>
  </w:footnote>
  <w:footnote w:id="15">
    <w:p w14:paraId="63101451"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Kivéve az ezen intézkedés hatálya alá tartozó, a jelentős károkozás elkerülését célzó elvről szóló technikai iránymutatás (2021/C58/01) III. mellékletében meghatározott feltételeknek megfelelő, földgázt felhasználó villamosenergia- és/vagy hőtermelésre, valamint a kapcsolódó átviteli és elosztási infrastruktúrára irányuló projekteket.</w:t>
      </w:r>
    </w:p>
  </w:footnote>
  <w:footnote w:id="16">
    <w:p w14:paraId="6296EAAA"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Amennyiben a támogatott tevékenység olyan előrejelzett üvegházhatásúgáz-kibocsátást ér el, amely nem éri el jelentősen a vonatkozó referenciaértékeket, meg kell indokolni, hogy ez miért nem lehetséges. A kibocsátáskereskedelmi rendszer hatálya alá tartozó tevékenységekre vonatkozó ingyenes kiosztásra vonatkozóan az (EU) 2021/447 bizottsági végrehajtási rendeletben meghatározott referenciaértékek.</w:t>
      </w:r>
    </w:p>
  </w:footnote>
  <w:footnote w:id="17">
    <w:p w14:paraId="63F0BE5B"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Ez a kizárás nem vonatkozik az ezen intézkedés szerinti fellépésekre a kizárólag nem újrafeldolgozható veszélyes hulladékok kezelésére szolgáló létesítményekben, valamint a meglévő üzemekben, ahol az ezen intézkedés szerinti tevékenységek célja az energiahatékonyság növelése, a füstgázok tárolási célú megkötése vagy a hulladékégetésből származó hamuból származó anyagok felhasználása vagy kinyerése, feltéve, hogy az ezen intézkedés szerinti fellépések nem eredményezik az üzemek hulladékfeldolgozási kapacitásának növekedését vagy az üzemek élettartamának meghosszabbítását; ezek esetében az üzem szintjén szolgáltatnak bizonyítékot.</w:t>
      </w:r>
    </w:p>
  </w:footnote>
  <w:footnote w:id="18">
    <w:p w14:paraId="508C08BD"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Ez a kizárás nem vonatkozik az ezen intézkedés keretében a meglévő mechanikus-biológiai hulladékkezelő létesítményekben végrehajtott intézkedésekre, amennyiben az ezen intézkedés keretében végrehajtott fellépések célja az energiahatékonyság növelése vagy az elkülönített hulladék újrafeldolgozási műveletekhez való utólagos átalakítása a biohulladék komposztálása és a biohulladék anaerob lebontása céljából, feltéve, hogy az ezen intézkedés szerinti szerinti ilyen fellépések nem eredményezik az üzemek hulladékfeldolgozási kapacitásának növelését vagy az üzemek élettartamának meghosszabbítását; ezek esetében az üzem szintjén szolgáltatnak bizonyítékot.</w:t>
      </w:r>
    </w:p>
  </w:footnote>
  <w:footnote w:id="19">
    <w:p w14:paraId="2799D0F0"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50 g CO2/km alatt, a tiszta üzemű járművekről szóló 2009/33/EK irányelv „tiszta üzemű járművek” kategóriájával összhangban.</w:t>
      </w:r>
    </w:p>
  </w:footnote>
  <w:footnote w:id="20">
    <w:p w14:paraId="52F142FB"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50 g CO2/km alatt, a tiszta üzemű járművekről szóló 2009/33/EK irányelv „tiszta üzemű járművek” kategóriájával összhangban.</w:t>
      </w:r>
    </w:p>
  </w:footnote>
  <w:footnote w:id="21">
    <w:p w14:paraId="6C2BCD9C" w14:textId="5C1536A5" w:rsidR="00D65CB4" w:rsidRPr="00BC4EE7" w:rsidRDefault="00572307">
      <w:pPr>
        <w:spacing w:after="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w:t>
      </w:r>
      <w:r w:rsidRPr="00BC4EE7">
        <w:rPr>
          <w:rFonts w:ascii="Times New Roman" w:hAnsi="Times New Roman" w:cs="Times New Roman"/>
          <w:sz w:val="20"/>
        </w:rPr>
        <w:t>Kiberbiztonsági Együttműködési Csoport, Az 5G hálózatok kiberbiztonsága A kockázatcsökkentő intézkedések uniós eszköztára, 2020. 01., https://ec.europa.eu/newsroom/dae/document.cfm?doc_id=64468</w:t>
      </w:r>
    </w:p>
  </w:footnote>
  <w:footnote w:id="22">
    <w:p w14:paraId="5CC49010" w14:textId="7EF5DFD7" w:rsidR="00D65CB4" w:rsidRPr="00BC4EE7" w:rsidRDefault="00572307">
      <w:pPr>
        <w:spacing w:after="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sz w:val="20"/>
        </w:rPr>
        <w:t>Az Európai Parlament és a Tanács (EU) 2021/697 rendelete (2021. április 29.) az Európai Védelmi Alap létrehozásáról</w:t>
      </w:r>
    </w:p>
  </w:footnote>
  <w:footnote w:id="23">
    <w:p w14:paraId="59F1DBB5" w14:textId="34DE33E1" w:rsidR="00D65CB4" w:rsidRPr="00BC4EE7" w:rsidRDefault="00572307">
      <w:pPr>
        <w:spacing w:after="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sz w:val="20"/>
        </w:rPr>
        <w:t>(EU) 2021/696 rendelet az uniós űrprogram és az Európai Unió Űrprogramügynökségének létrehozásáról</w:t>
      </w:r>
    </w:p>
  </w:footnote>
  <w:footnote w:id="24">
    <w:p w14:paraId="1CFB3942" w14:textId="3B9B6CF6" w:rsidR="00D65CB4" w:rsidRPr="00BC4EE7" w:rsidRDefault="00572307">
      <w:pPr>
        <w:spacing w:after="0" w:line="240" w:lineRule="auto"/>
        <w:jc w:val="both"/>
        <w:rPr>
          <w:rFonts w:ascii="Times New Roman" w:eastAsia="Times New Roman" w:hAnsi="Times New Roman" w:cs="Times New Roman"/>
          <w:sz w:val="24"/>
        </w:rPr>
      </w:pPr>
      <w:r w:rsidRPr="00BC4EE7">
        <w:rPr>
          <w:rStyle w:val="FootnoteReference"/>
          <w:rFonts w:ascii="Times New Roman" w:hAnsi="Times New Roman" w:cs="Times New Roman"/>
        </w:rPr>
        <w:footnoteRef/>
      </w:r>
      <w:r w:rsidRPr="00BC4EE7">
        <w:rPr>
          <w:rFonts w:ascii="Times New Roman" w:hAnsi="Times New Roman" w:cs="Times New Roman"/>
          <w:sz w:val="20"/>
        </w:rPr>
        <w:t>Kivéve az a) a jelentős károkozás elkerülését célzó technikai iránymutatás (2021/C58/01) III. mellékletében meghatározott feltételeknek megfelelő, földgázt felhasználó villamosenergia- és/vagy hőtermeléssel kapcsolatos eszközöket és tevékenységeket, valamint a kapcsolódó átviteli és elosztási infrastruktúrát, valamint b) a ii. pont szerinti tevékenységeket és eszközöket, amelyek esetében a fosszilis tüzelőanyagok használata átmeneti és technikailag elkerülhetetlen a fosszilis tüzelőanyagoktól mentes üzemre való időben történő átállás szempontjából.</w:t>
      </w:r>
    </w:p>
  </w:footnote>
  <w:footnote w:id="25">
    <w:p w14:paraId="2901D6EB" w14:textId="046F0831" w:rsidR="00D65CB4" w:rsidRPr="00BC4EE7" w:rsidRDefault="00572307">
      <w:pPr>
        <w:spacing w:before="120" w:after="120" w:line="240" w:lineRule="auto"/>
        <w:jc w:val="both"/>
        <w:rPr>
          <w:rFonts w:ascii="Times New Roman" w:eastAsia="Times New Roman" w:hAnsi="Times New Roman" w:cs="Times New Roman"/>
          <w:sz w:val="24"/>
          <w:shd w:val="clear" w:color="auto" w:fill="FFFFFF"/>
        </w:rPr>
      </w:pPr>
      <w:r w:rsidRPr="00BC4EE7">
        <w:rPr>
          <w:rStyle w:val="FootnoteReference"/>
          <w:rFonts w:ascii="Times New Roman" w:hAnsi="Times New Roman" w:cs="Times New Roman"/>
        </w:rPr>
        <w:footnoteRef/>
      </w:r>
      <w:r w:rsidRPr="00BC4EE7">
        <w:rPr>
          <w:rFonts w:ascii="Times New Roman" w:hAnsi="Times New Roman" w:cs="Times New Roman"/>
          <w:sz w:val="20"/>
        </w:rPr>
        <w:t xml:space="preserve">Beleértve az uniós kibocsátáskereskedelmi rendszer (ETS) keretében végzett olyan tevékenységeket és eszközöket, amelyek elérik a vonatkozó referenciaértékeket meg nem haladó, előre jelzett üvegházhatásúgáz-kibocsátást. Amennyiben a támogatott tevékenység nem eredményez a vonatkozó referenciaértékeknél lényegesen alacsonyabb előrejelzett üvegházhatásúgáz-kibocsátást, ismertetni kell azokat az okokat, amelyek miatt nem érhető el nagyobb kibocsátáscsökkenés. A kibocsátáskereskedelmi rendszer hatálya alá tartozó tevékenységekre vonatkozó ingyenes kiosztásra vonatkozóan az (EU) 2021/447 bizottsági végrehajtási rendeletben meghatározott referenciaértékek. </w:t>
      </w:r>
      <w:r w:rsidRPr="00BC4EE7">
        <w:rPr>
          <w:rFonts w:ascii="Times New Roman" w:hAnsi="Times New Roman" w:cs="Times New Roman"/>
          <w:sz w:val="20"/>
          <w:shd w:val="clear" w:color="auto" w:fill="FFFFFF"/>
        </w:rPr>
        <w:t>Az intézkedés végrehajtását 2026. augusztus 31-ig be kell fejezni.</w:t>
      </w:r>
    </w:p>
  </w:footnote>
  <w:footnote w:id="26">
    <w:p w14:paraId="571E7E81" w14:textId="5818DE8D" w:rsidR="00D65CB4" w:rsidRPr="00BC4EE7" w:rsidRDefault="00572307">
      <w:pPr>
        <w:pStyle w:val="FootnoteText"/>
        <w:ind w:left="0" w:firstLine="0"/>
        <w:jc w:val="left"/>
        <w:rPr>
          <w:rFonts w:ascii="Times New Roman" w:hAnsi="Times New Roman" w:cs="Times New Roman"/>
          <w:sz w:val="22"/>
        </w:rPr>
      </w:pPr>
      <w:r w:rsidRPr="00BC4EE7">
        <w:rPr>
          <w:rStyle w:val="FootnoteReference"/>
          <w:rFonts w:ascii="Times New Roman" w:hAnsi="Times New Roman" w:cs="Times New Roman"/>
        </w:rPr>
        <w:footnoteRef/>
      </w:r>
      <w:r w:rsidRPr="00BC4EE7">
        <w:rPr>
          <w:rFonts w:ascii="Times New Roman" w:hAnsi="Times New Roman" w:cs="Times New Roman"/>
        </w:rPr>
        <w:t>Ez a kizárás nem vonatkozik az ezen intézkedés szerinti fellépésekre a kizárólag nem újrafeldolgozható veszélyes hulladékok kezelésére szolgáló létesítményekben, valamint a meglévő üzemekben, ahol az ezen intézkedés szerinti tevékenységek célja az energiahatékonyság növelése, a füstgázok tárolási célú megkötése vagy a hulladékégetésből származó hamuból származó anyagok felhasználása vagy kinyerése, feltéve, hogy az ezen intézkedés szerinti fellépések nem eredményezik az üzemek hulladékfeldolgozási kapacitásának növekedését vagy az üzemek élettartamának meghosszabbítását; amelyre vonatkozóan az üzem szintjén szolgáltattak bizonyítékot</w:t>
      </w:r>
    </w:p>
  </w:footnote>
  <w:footnote w:id="27">
    <w:p w14:paraId="46703EAB"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Ez a kizárás nem vonatkozik az ezen intézkedés keretében a meglévő mechanikus-biológiai szennyvíztisztító telepeken végzett tevékenységekre, amennyiben az ezen intézkedés keretében végrehajtott intézkedések célja az erőforrás-hatékonyság növelése vagy az elkülönített hulladék komposzt biohulladékká történő újrafeldolgozása és a biohulladék anaerob lebontása, feltéve, hogy az ezen intézkedés keretében végrehajtott ilyen intézkedések nem eredményezik az üzemek hulladékfeldolgozási kapacitásának növekedését vagy a létesítmények élettartamának meghosszabbítását; ezek esetében az üzem szintjén szolgáltatnak bizonyítékot.</w:t>
      </w:r>
    </w:p>
  </w:footnote>
  <w:footnote w:id="28">
    <w:p w14:paraId="3D796719" w14:textId="54FCA843" w:rsidR="00D65CB4" w:rsidRPr="00BC4EE7" w:rsidRDefault="00572307">
      <w:pPr>
        <w:spacing w:before="120" w:after="120" w:line="240" w:lineRule="auto"/>
        <w:jc w:val="both"/>
        <w:rPr>
          <w:rFonts w:ascii="Times New Roman" w:eastAsia="Times New Roman" w:hAnsi="Times New Roman" w:cs="Times New Roman"/>
          <w:sz w:val="24"/>
        </w:rPr>
      </w:pPr>
      <w:r w:rsidRPr="00BC4EE7">
        <w:rPr>
          <w:rStyle w:val="FootnoteReference"/>
          <w:rFonts w:ascii="Times New Roman" w:hAnsi="Times New Roman" w:cs="Times New Roman"/>
        </w:rPr>
        <w:footnoteRef/>
      </w:r>
      <w:r w:rsidRPr="00BC4EE7">
        <w:rPr>
          <w:rFonts w:ascii="Times New Roman" w:hAnsi="Times New Roman" w:cs="Times New Roman"/>
          <w:sz w:val="20"/>
        </w:rPr>
        <w:t>A 2013/34/EU irányelvet a fenntarthatósággal kapcsolatos vállalati beszámolásról szóló (EU) 2022/2464 irányelv módosítja.</w:t>
      </w:r>
    </w:p>
  </w:footnote>
  <w:footnote w:id="29">
    <w:p w14:paraId="3C8EE0D6" w14:textId="5D51D679" w:rsidR="00D65CB4" w:rsidRPr="00BC4EE7" w:rsidRDefault="00572307">
      <w:pPr>
        <w:spacing w:before="120" w:after="120" w:line="240" w:lineRule="auto"/>
        <w:jc w:val="both"/>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w:t>
      </w:r>
      <w:r w:rsidRPr="00BC4EE7">
        <w:rPr>
          <w:rFonts w:ascii="Times New Roman" w:hAnsi="Times New Roman" w:cs="Times New Roman"/>
          <w:sz w:val="20"/>
        </w:rPr>
        <w:t>Kivéve az a) az ezen intézkedés hatálya alá tartozó, földgázt felhasználó villamosenergia- és/vagy hőtermeléssel, valamint a kapcsolódó átviteli és elosztási infrastruktúrával kapcsolatos projekteket, amelyek megfelelnek a jelentős károkozás elkerülését célzó technikai iránymutatás (2021/C58/01) III. mellékletében meghatározott feltételeknek, valamint b) a ii. pont szerinti olyan tevékenységek és eszközök, amelyek esetében a fosszilis tüzelőanyagok használata átmeneti és technikailag elkerülhetetlen a fosszilis tüzelőanyagoktól mentes üzemre való időben történő átállás szempontjából.</w:t>
      </w:r>
    </w:p>
  </w:footnote>
  <w:footnote w:id="30">
    <w:p w14:paraId="5A02C797" w14:textId="5532159A" w:rsidR="00D65CB4" w:rsidRPr="00BC4EE7" w:rsidRDefault="00572307">
      <w:pPr>
        <w:pStyle w:val="FootnoteText"/>
        <w:ind w:left="0" w:firstLine="0"/>
        <w:rPr>
          <w:rFonts w:ascii="Times New Roman" w:hAnsi="Times New Roman" w:cs="Times New Roman"/>
          <w:sz w:val="16"/>
        </w:rPr>
      </w:pPr>
      <w:r w:rsidRPr="00BC4EE7">
        <w:rPr>
          <w:rStyle w:val="FootnoteReference"/>
          <w:rFonts w:ascii="Times New Roman" w:hAnsi="Times New Roman" w:cs="Times New Roman"/>
          <w:sz w:val="18"/>
        </w:rPr>
        <w:footnoteRef/>
      </w:r>
      <w:r w:rsidRPr="00BC4EE7">
        <w:rPr>
          <w:rFonts w:ascii="Times New Roman" w:hAnsi="Times New Roman" w:cs="Times New Roman"/>
        </w:rPr>
        <w:t>Amennyiben a támogatott tevékenység olyan előre jelzett üvegházhatásúgáz-kibocsátást ér el, amely nem alacsonyabb a vonatkozó referenciaértékeknél, magyarázatot kell adni arra, hogy ez miért nem lehetséges. A kibocsátáskereskedelmi rendszer hatálya alá tartozó tevékenységekre vonatkozó ingyenes kiosztásra vonatkozóan az (EU) 2021/447 bizottsági végrehajtási rendeletben meghatározott referenciaértékek.</w:t>
      </w:r>
    </w:p>
  </w:footnote>
  <w:footnote w:id="31">
    <w:p w14:paraId="6555F20D" w14:textId="2CFBF999"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Ez a kizárás nem vonatkozik az ezen intézkedés szerinti fellépésekre a kizárólag nem újrafeldolgozható veszélyes hulladékok kezelésére szolgáló létesítményekben, valamint a meglévő üzemekben, ahol az ezen intézkedés szerinti tevékenységek célja az energiahatékonyság növelése, a füstgázok tárolási célú megkötése vagy a hulladékégetésből származó hamuból származó anyagok felhasználása vagy kinyerése, feltéve, hogy az ezen intézkedés szerinti fellépések nem eredményezik az üzemek hulladékfeldolgozási kapacitásának növekedését vagy az üzemek élettartamának meghosszabbítását; ezek esetében az üzem szintjén szolgáltatnak bizonyítékot.</w:t>
      </w:r>
    </w:p>
  </w:footnote>
  <w:footnote w:id="32">
    <w:p w14:paraId="1C473F0A" w14:textId="77777777" w:rsidR="00D65CB4" w:rsidRPr="00BC4EE7" w:rsidRDefault="00572307">
      <w:pPr>
        <w:pStyle w:val="ListParagraph"/>
        <w:ind w:left="0"/>
        <w:jc w:val="both"/>
        <w:rPr>
          <w:rFonts w:ascii="Times New Roman" w:eastAsia="Times New Roman" w:hAnsi="Times New Roman" w:cs="Times New Roman"/>
          <w:sz w:val="20"/>
        </w:rPr>
      </w:pPr>
      <w:r w:rsidRPr="00BC4EE7">
        <w:rPr>
          <w:rStyle w:val="FootnoteReference"/>
          <w:rFonts w:ascii="Times New Roman" w:hAnsi="Times New Roman" w:cs="Times New Roman"/>
        </w:rPr>
        <w:footnoteRef/>
      </w:r>
      <w:r w:rsidRPr="00BC4EE7">
        <w:rPr>
          <w:rFonts w:ascii="Times New Roman" w:hAnsi="Times New Roman" w:cs="Times New Roman"/>
        </w:rPr>
        <w:t xml:space="preserve"> </w:t>
      </w:r>
      <w:r w:rsidRPr="00BC4EE7">
        <w:rPr>
          <w:rFonts w:ascii="Times New Roman" w:hAnsi="Times New Roman" w:cs="Times New Roman"/>
          <w:sz w:val="20"/>
        </w:rPr>
        <w:t xml:space="preserve">Ez a kizárás nem vonatkozik az ezen intézkedés keretében a meglévő mechanikus-biológiai hulladékkezelő létesítményekben végrehajtott intézkedésekre, amennyiben az ezen intézkedés keretében végrehajtott fellépések célja az energiahatékonyság növelése vagy az elkülönített hulladék újrafeldolgozási műveletekhez való utólagos átalakítása a biohulladék komposztálása és a biohulladék anaerob lebontása céljából, feltéve, hogy az ezen intézkedés szerinti szerinti ilyen fellépések nem eredményezik az üzemek hulladékfeldolgozási kapacitásának növelését vagy az üzemek élettartamának meghosszabbítását; ezek esetében az üzem szintjén szolgáltatnak bizonyítékot. </w:t>
      </w:r>
    </w:p>
    <w:p w14:paraId="739E8B04" w14:textId="744A2C36" w:rsidR="00D65CB4" w:rsidRPr="00BC4EE7" w:rsidRDefault="00D65CB4">
      <w:pPr>
        <w:pStyle w:val="FootnoteText"/>
        <w:ind w:left="0" w:firstLine="0"/>
        <w:rPr>
          <w:rFonts w:ascii="Times New Roman" w:hAnsi="Times New Roman" w:cs="Times New Roman"/>
        </w:rPr>
      </w:pPr>
    </w:p>
  </w:footnote>
  <w:footnote w:id="33">
    <w:p w14:paraId="6EC169C1"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ab/>
        <w:t>HL L 169., 2019.6.25., 1. o.</w:t>
      </w:r>
    </w:p>
  </w:footnote>
  <w:footnote w:id="34">
    <w:p w14:paraId="0D03082E" w14:textId="6AEF5DB0" w:rsidR="00D65CB4" w:rsidRPr="00BC4EE7" w:rsidRDefault="00572307">
      <w:pPr>
        <w:pStyle w:val="FootnoteText"/>
        <w:ind w:left="0" w:firstLine="0"/>
        <w:jc w:val="left"/>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COM/2020/66 final.</w:t>
      </w:r>
    </w:p>
  </w:footnote>
  <w:footnote w:id="35">
    <w:p w14:paraId="485D71F3" w14:textId="5F1F93EF" w:rsidR="00D65CB4" w:rsidRPr="00BC4EE7" w:rsidRDefault="00572307">
      <w:pPr>
        <w:pStyle w:val="FootnoteText"/>
        <w:ind w:left="0" w:firstLine="0"/>
        <w:jc w:val="left"/>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Lásd: Javaslat európai parlamenti és tanácsi rendeletre az európai adatkormányzásról, 2020.11.25., COM(2020) 767 final.</w:t>
      </w:r>
    </w:p>
  </w:footnote>
  <w:footnote w:id="36">
    <w:p w14:paraId="466BEC08" w14:textId="0D81A033" w:rsidR="00D65CB4" w:rsidRPr="00BC4EE7" w:rsidRDefault="00572307">
      <w:pPr>
        <w:pStyle w:val="FootnoteText"/>
        <w:ind w:left="0" w:firstLine="0"/>
        <w:jc w:val="left"/>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w:t>
      </w:r>
      <w:hyperlink r:id="rId1" w:history="1">
        <w:r w:rsidRPr="00BC4EE7">
          <w:rPr>
            <w:rStyle w:val="Hyperlink"/>
            <w:rFonts w:ascii="Times New Roman" w:hAnsi="Times New Roman" w:cs="Times New Roman"/>
          </w:rPr>
          <w:t>https://digital-strategy.ec.europa.eu/en/activities/digital-programme</w:t>
        </w:r>
      </w:hyperlink>
      <w:r w:rsidRPr="00BC4EE7">
        <w:rPr>
          <w:rFonts w:ascii="Times New Roman" w:hAnsi="Times New Roman" w:cs="Times New Roman"/>
        </w:rPr>
        <w:t xml:space="preserve"> </w:t>
      </w:r>
    </w:p>
    <w:p w14:paraId="43E95BAE" w14:textId="71DC71D6" w:rsidR="00D65CB4" w:rsidRPr="00BC4EE7" w:rsidRDefault="00D65CB4">
      <w:pPr>
        <w:pStyle w:val="FootnoteText"/>
        <w:ind w:left="0" w:firstLine="0"/>
        <w:jc w:val="left"/>
        <w:rPr>
          <w:rFonts w:ascii="Times New Roman" w:hAnsi="Times New Roman" w:cs="Times New Roman"/>
        </w:rPr>
      </w:pPr>
    </w:p>
  </w:footnote>
  <w:footnote w:id="37">
    <w:p w14:paraId="6A6F0B55" w14:textId="35E56F28"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Kivéve az a) az ezen intézkedés hatálya alá tartozó, földgázt felhasználó villamosenergia- és/vagy hőtermeléssel, valamint a kapcsolódó átviteli és elosztási infrastruktúrával kapcsolatos projekteket, amelyek megfelelnek a jelentős károkozás elkerülését célzó technikai iránymutatás (2021/C58/01) III. mellékletében meghatározott feltételeknek, valamint b) a ii. pont szerinti olyan tevékenységek és eszközök, amelyek esetében a fosszilis tüzelőanyagok használata átmeneti és technikailag elkerülhetetlen a fosszilis tüzelőanyagoktól mentes üzemre való időben történő átállás szempontjából. </w:t>
      </w:r>
    </w:p>
  </w:footnote>
  <w:footnote w:id="38">
    <w:p w14:paraId="4112B603"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Amennyiben a támogatott tevékenység olyan előrejelzett üvegházhatásúgáz-kibocsátást ér el, amely nem éri el jelentősen a vonatkozó referenciaértékeket, meg kell indokolni, hogy ez miért nem lehetséges. A kibocsátáskereskedelmi rendszer hatálya alá tartozó tevékenységekre vonatkozó ingyenes kiosztásra vonatkozóan az (EU) 2021/447 bizottsági végrehajtási rendeletben meghatározott referenciaértékek.</w:t>
      </w:r>
    </w:p>
  </w:footnote>
  <w:footnote w:id="39">
    <w:p w14:paraId="05DD6DC8"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Ez a kizárás nem vonatkozik az ezen intézkedés szerinti fellépésekre a kizárólag nem újrafeldolgozható veszélyes hulladékok kezelésére szolgáló létesítményekben, valamint a meglévő üzemekben, ahol az ezen intézkedés szerinti tevékenységek célja az energiahatékonyság növelése, a füstgázok tárolási célú megkötése vagy a hulladékégetésből származó hamuból származó anyagok felhasználása vagy kinyerése, feltéve, hogy az ezen intézkedés szerinti fellépések nem eredményezik az üzemek hulladékfeldolgozási kapacitásának növekedését vagy az üzemek élettartamának meghosszabbítását; ezek esetében az üzem szintjén szolgáltatnak bizonyítékot.</w:t>
      </w:r>
    </w:p>
  </w:footnote>
  <w:footnote w:id="40">
    <w:p w14:paraId="1AC93939"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Ez a kizárás nem vonatkozik az ezen intézkedés keretében a meglévő mechanikus-biológiai hulladékkezelő létesítményekben végrehajtott intézkedésekre, amennyiben az ezen intézkedés keretében végrehajtott fellépések célja az energiahatékonyság növelése vagy az elkülönített hulladék újrafeldolgozási műveletekhez való utólagos átalakítása a biohulladék komposztálása és a biohulladék anaerob lebontása céljából, feltéve, hogy az ezen intézkedés szerinti szerinti ilyen fellépések nem eredményezik az üzemek hulladékfeldolgozási kapacitásának növelését vagy az üzemek élettartamának meghosszabbítását; ezek esetében az üzem szintjén szolgáltatnak bizonyítékot.</w:t>
      </w:r>
    </w:p>
  </w:footnote>
  <w:footnote w:id="41">
    <w:p w14:paraId="34A4EF96"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HL L 57., 2021.2.18., 17–75. o.</w:t>
      </w:r>
    </w:p>
  </w:footnote>
  <w:footnote w:id="42">
    <w:p w14:paraId="368829F4" w14:textId="39BAE08C"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Kivéve az a) az ezen intézkedés hatálya alá tartozó, földgázt felhasználó villamosenergia- és/vagy hőtermeléssel, valamint a kapcsolódó átviteli és elosztási infrastruktúrával kapcsolatos projekteket, amelyek megfelelnek a jelentős károkozás elkerülését célzó technikai iránymutatás (2021/C58/01) III. mellékletében meghatározott feltételeknek, valamint b) a ii. pont szerinti olyan tevékenységek és eszközök, amelyek esetében a fosszilis tüzelőanyagok használata átmeneti és technikailag elkerülhetetlen a fosszilis tüzelőanyagoktól mentes üzemeltetésre való időben történő átállás szempontjából.</w:t>
      </w:r>
    </w:p>
  </w:footnote>
  <w:footnote w:id="43">
    <w:p w14:paraId="20BE5507"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Amennyiben a támogatott tevékenység olyan előrejelzett üvegházhatásúgáz-kibocsátást ér el, amely nem éri el jelentősen a vonatkozó referenciaértékeket, meg kell indokolni, hogy ez miért nem lehetséges. A kibocsátáskereskedelmi rendszer hatálya alá tartozó tevékenységekre vonatkozó ingyenes kiosztásra vonatkozóan az (EU) 2021/447 bizottsági végrehajtási rendeletben meghatározott referenciaértékek.</w:t>
      </w:r>
    </w:p>
  </w:footnote>
  <w:footnote w:id="44">
    <w:p w14:paraId="40D0A9C9"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Ez a kizárás nem vonatkozik az ezen intézkedés szerinti fellépésekre a kizárólag nem újrafeldolgozható veszélyes hulladékok kezelésére szolgáló létesítményekben, valamint a meglévő üzemekben, ahol az ezen intézkedés szerinti tevékenységek célja az energiahatékonyság növelése, a füstgázok tárolási célú megkötése vagy a hulladékégetésből származó hamuból származó anyagok felhasználása vagy kinyerése, feltéve, hogy az ezen intézkedés szerinti fellépések nem eredményezik az üzemek hulladékfeldolgozási kapacitásának növekedését vagy az üzemek élettartamának meghosszabbítását; ezek esetében az üzem szintjén szolgáltatnak bizonyítékot.</w:t>
      </w:r>
    </w:p>
  </w:footnote>
  <w:footnote w:id="45">
    <w:p w14:paraId="200E5F5C"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Ez a kizárás nem vonatkozik az ezen intézkedés keretében a meglévő mechanikus-biológiai szennyvíztisztító telepeken végzett tevékenységekre, amennyiben az ezen intézkedés keretében végrehajtott intézkedések célja az erőforrás-hatékonyság növelése vagy az elkülönített hulladék komposzt biohulladékká történő újrafeldolgozása és a biohulladék anaerob lebontása, feltéve, hogy az ezen intézkedés keretében végrehajtott ilyen intézkedések nem eredményezik az üzemek hulladékfeldolgozási kapacitásának növekedését vagy a létesítmények élettartamának meghosszabbítását; ezek esetében az üzem szintjén szolgáltatnak bizonyítékot.</w:t>
      </w:r>
    </w:p>
  </w:footnote>
  <w:footnote w:id="46">
    <w:p w14:paraId="77D87518"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Kivéve az a) az ezen intézkedés keretében megvalósuló, a jelentős károkozás elkerülését célzó technikai iránymutatás (2021/C58/01) III. mellékletében meghatározott feltételeknek megfelelő, földgázt felhasználó villamosenergia- és/vagy hőtermeléssel, valamint a kapcsolódó átviteli és elosztási infrastruktúrával kapcsolatos projekteket. Valamint b) a ii. alpont szerinti olyan tevékenységek és eszközök, amelyek esetében a fosszilis tüzelőanyagok használata ideiglenes és technikailag elkerülhetetlen a fosszilis tüzelőanyagoktól mentes üzemeltetésre való időben történő átállás szempontjából.</w:t>
      </w:r>
    </w:p>
  </w:footnote>
  <w:footnote w:id="47">
    <w:p w14:paraId="46112024"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Amennyiben a támogatott tevékenység olyan előrejelzett üvegházhatásúgáz-kibocsátást ér el, amely nem éri el jelentősen a vonatkozó referenciaértékeket, meg kell indokolni, hogy ez miért nem lehetséges. A kibocsátáskereskedelmi rendszer hatálya alá tartozó tevékenységekre vonatkozó ingyenes kiosztásra vonatkozóan az (EU) 2021/447 bizottsági végrehajtási rendeletben meghatározott referenciaértékek.</w:t>
      </w:r>
    </w:p>
  </w:footnote>
  <w:footnote w:id="48">
    <w:p w14:paraId="1A0AD9D3"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Ez a kizárás nem vonatkozik az ezen intézkedés szerinti fellépésekre a kizárólag nem újrafeldolgozható veszélyes hulladékok kezelésére szolgáló létesítményekben, valamint a meglévő üzemekben, ahol az ezen intézkedés szerinti tevékenységek célja az energiahatékonyság növelése, a füstgázok tárolási célú megkötése vagy a hulladékégetésből származó hamuból származó anyagok felhasználása vagy kinyerése, feltéve, hogy az ezen intézkedés szerinti fellépések nem eredményezik az üzemek hulladékfeldolgozási kapacitásának növekedését vagy az üzemek élettartamának meghosszabbítását; ezek esetében az üzem szintjén szolgáltatnak bizonyítékot.</w:t>
      </w:r>
    </w:p>
  </w:footnote>
  <w:footnote w:id="49">
    <w:p w14:paraId="2D5337D7"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Ez a kizárás nem vonatkozik az ezen intézkedés keretében a meglévő mechanikus-biológiai szennyvíztisztító telepeken végzett tevékenységekre, amennyiben az ezen intézkedés keretében végrehajtott intézkedések célja az erőforrás-hatékonyság növelése vagy az elkülönített hulladék komposzt biohulladékká történő újrafeldolgozása és a biohulladék anaerob lebontása, feltéve, hogy az ezen intézkedés keretében végrehajtott ilyen intézkedések nem eredményezik az üzemek hulladékfeldolgozási kapacitásának növekedését vagy a létesítmények élettartamának meghosszabbítását; ezek esetében az üzem szintjén szolgáltatnak bizonyítékot.</w:t>
      </w:r>
    </w:p>
  </w:footnote>
  <w:footnote w:id="50">
    <w:p w14:paraId="651AD504" w14:textId="57C9A2A1" w:rsidR="00D65CB4" w:rsidRPr="00BC4EE7" w:rsidRDefault="00572307">
      <w:pPr>
        <w:pStyle w:val="FootnoteText"/>
        <w:ind w:left="0" w:firstLine="0"/>
        <w:rPr>
          <w:rFonts w:ascii="Times New Roman" w:eastAsia="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Úgy tekinthető, hogy a végső kedvezményezett „jelentősen egy ágazatra vagy üzleti tevékenységre” összpontosít, ha az ágazat vagy tevékenység a végső kedvezményezett üzleti tevékenységének lényeges része, a végső kedvezményezett bruttó bevételéhez, nyereségéhez vagy ügyfélköréhez viszonyítva. A korlátozás alá eső ágazatból vagy tevékenységből származó bruttó bevétel semmi esetre sem haladhatja meg a bruttó bevétel 50%-át.</w:t>
      </w:r>
    </w:p>
  </w:footnote>
  <w:footnote w:id="51">
    <w:p w14:paraId="516AEBAB" w14:textId="5F96F5ED" w:rsidR="00D65CB4" w:rsidRPr="00BC4EE7" w:rsidRDefault="00572307">
      <w:pPr>
        <w:spacing w:after="0" w:line="240" w:lineRule="auto"/>
        <w:jc w:val="both"/>
        <w:rPr>
          <w:rFonts w:ascii="Times New Roman" w:eastAsia="Times New Roman" w:hAnsi="Times New Roman" w:cs="Times New Roman"/>
          <w:sz w:val="20"/>
        </w:rPr>
      </w:pPr>
      <w:r w:rsidRPr="00BC4EE7">
        <w:rPr>
          <w:rStyle w:val="FootnoteReference"/>
          <w:rFonts w:ascii="Times New Roman" w:hAnsi="Times New Roman" w:cs="Times New Roman"/>
          <w:sz w:val="20"/>
        </w:rPr>
        <w:footnoteRef/>
      </w:r>
      <w:r w:rsidRPr="00BC4EE7">
        <w:rPr>
          <w:rFonts w:ascii="Times New Roman" w:hAnsi="Times New Roman" w:cs="Times New Roman"/>
          <w:sz w:val="20"/>
        </w:rPr>
        <w:t xml:space="preserve"> Kivéve az a) a jelentős károkozás elkerülését célzó technikai iránymutatás (2021/C58/01) III. mellékletében meghatározott feltételeknek megfelelő, földgázt felhasználó villamosenergia- és/vagy hőtermeléssel kapcsolatos eszközöket és tevékenységeket, valamint a kapcsolódó átviteli és elosztási infrastruktúrát, valamint b) a ii. pont szerinti tevékenységeket és eszközöket, amelyek esetében a fosszilis tüzelőanyagok használata átmeneti és technikailag elkerülhetetlen a fosszilis tüzelőanyagoktól mentes üzemre való időben történő átállás szempontjából.</w:t>
      </w:r>
    </w:p>
  </w:footnote>
  <w:footnote w:id="52">
    <w:p w14:paraId="0DDFEA92" w14:textId="77777777" w:rsidR="00D65CB4" w:rsidRPr="00BC4EE7" w:rsidRDefault="00572307">
      <w:pPr>
        <w:spacing w:after="0" w:line="240" w:lineRule="auto"/>
        <w:jc w:val="both"/>
        <w:rPr>
          <w:rFonts w:ascii="Times New Roman" w:eastAsia="Times New Roman" w:hAnsi="Times New Roman" w:cs="Times New Roman"/>
          <w:sz w:val="20"/>
        </w:rPr>
      </w:pPr>
      <w:r w:rsidRPr="00BC4EE7">
        <w:rPr>
          <w:rStyle w:val="FootnoteReference"/>
          <w:rFonts w:ascii="Times New Roman" w:hAnsi="Times New Roman" w:cs="Times New Roman"/>
          <w:sz w:val="20"/>
        </w:rPr>
        <w:footnoteRef/>
      </w:r>
      <w:r w:rsidRPr="00BC4EE7">
        <w:rPr>
          <w:rFonts w:ascii="Times New Roman" w:hAnsi="Times New Roman" w:cs="Times New Roman"/>
          <w:sz w:val="20"/>
        </w:rPr>
        <w:t xml:space="preserve"> Beleértve az uniós kibocsátáskereskedelmi rendszer (ETS) keretében végzett olyan tevékenységeket és eszközöket, amelyek elérik a vonatkozó referenciaértékeket meg nem haladó, előre jelzett üvegházhatásúgáz-kibocsátást. Amennyiben a támogatott tevékenység nem eredményez a vonatkozó referenciaértékeknél lényegesen alacsonyabb előrejelzett üvegházhatásúgáz-kibocsátást, ismertetni kell azokat az okokat, amelyek miatt nem érhető el nagyobb kibocsátáscsökkenés. A kibocsátáskereskedelmi rendszer hatálya alá tartozó tevékenységekre vonatkozó ingyenes kiosztásra vonatkozóan az (EU) 2021/447 bizottsági végrehajtási rendeletben meghatározott referenciaértékek.</w:t>
      </w:r>
    </w:p>
  </w:footnote>
  <w:footnote w:id="53">
    <w:p w14:paraId="6236A8A5" w14:textId="77777777" w:rsidR="00D65CB4" w:rsidRPr="00BC4EE7" w:rsidRDefault="00572307">
      <w:pPr>
        <w:spacing w:after="0" w:line="240" w:lineRule="auto"/>
        <w:jc w:val="both"/>
        <w:rPr>
          <w:rFonts w:ascii="Times New Roman" w:eastAsia="Times New Roman" w:hAnsi="Times New Roman" w:cs="Times New Roman"/>
          <w:sz w:val="20"/>
        </w:rPr>
      </w:pPr>
      <w:r w:rsidRPr="00BC4EE7">
        <w:rPr>
          <w:rStyle w:val="FootnoteReference"/>
          <w:rFonts w:ascii="Times New Roman" w:hAnsi="Times New Roman" w:cs="Times New Roman"/>
          <w:sz w:val="20"/>
        </w:rPr>
        <w:footnoteRef/>
      </w:r>
      <w:r w:rsidRPr="00BC4EE7">
        <w:rPr>
          <w:rFonts w:ascii="Times New Roman" w:hAnsi="Times New Roman" w:cs="Times New Roman"/>
          <w:sz w:val="20"/>
        </w:rPr>
        <w:t xml:space="preserve"> A szennyező járművek nem kibocsátásmentes járművek.</w:t>
      </w:r>
    </w:p>
  </w:footnote>
  <w:footnote w:id="54">
    <w:p w14:paraId="65F0B853" w14:textId="77777777" w:rsidR="00D65CB4" w:rsidRPr="00BC4EE7" w:rsidRDefault="00572307">
      <w:pPr>
        <w:pStyle w:val="FootnoteText"/>
        <w:ind w:left="0" w:firstLine="0"/>
        <w:rPr>
          <w:rFonts w:ascii="Times New Roman" w:eastAsia="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Ez a kizárás nem vonatkozik a kizárólag a nem újrahasznosítható veszélyes hulladékok kezelésére szolgáló üzemekben végzett tevékenységekre, valamint a meglévő üzemekre, amennyiben az ezen intézkedés keretében végrehajtott intézkedések célja az energiahatékonyság növelése, a kipufogógázok tárolása vagy felhasználása vagy az égetési hamuból származó anyagok visszanyerése, feltéve, hogy az ezen intézkedés keretében végrehajtott ilyen intézkedések nem eredményezik az üzemek hulladékfeldolgozási kapacitásának növekedését vagy az üzemek élettartamának meghosszabbítását; amelyre vonatkozóan az üzem szintjén szolgáltattak bizonyítékot</w:t>
      </w:r>
    </w:p>
  </w:footnote>
  <w:footnote w:id="55">
    <w:p w14:paraId="29135868" w14:textId="4D0FB1E2" w:rsidR="00D65CB4" w:rsidRPr="00BC4EE7" w:rsidRDefault="00572307">
      <w:pPr>
        <w:pStyle w:val="FootnoteText"/>
        <w:ind w:left="0" w:firstLine="0"/>
        <w:rPr>
          <w:rFonts w:ascii="Times New Roman" w:eastAsia="Times New Roman" w:hAnsi="Times New Roman" w:cs="Times New Roman"/>
        </w:rPr>
      </w:pPr>
      <w:r w:rsidRPr="00BC4EE7">
        <w:rPr>
          <w:rFonts w:ascii="Times New Roman" w:eastAsia="Times New Roman" w:hAnsi="Times New Roman" w:cs="Times New Roman"/>
          <w:sz w:val="14"/>
        </w:rPr>
        <w:footnoteRef/>
      </w:r>
      <w:r w:rsidRPr="00BC4EE7">
        <w:rPr>
          <w:rFonts w:ascii="Times New Roman" w:hAnsi="Times New Roman" w:cs="Times New Roman"/>
        </w:rPr>
        <w:t xml:space="preserve"> Az egyedi projektekhez kapcsolódó végső kedvezményezetteknek az éghajlatváltozáshoz való hozzájárulás kiszámítása céljából minden egyes támogatott projekt esetében meg kell indokolniuk a kiválasztott beavatkozási területet, a projekt leírásával együtt. Az éghajlat-politikai hozzájárulás kiszámítása céljából a nem konkrét projektekre irányuló sajáttőke, kvázi-sajáttőke, vállalati kötvények vagy ezekkel egyenértékű eszközök esetében kritériumokat kell alkalmazni annak előírására, hogy a kedvezményezett előző pénzügyi évben szerzett bevételének vagy az üzleti terv szerinti jövőbeli bevételeknek legalább 90%-a olyan tevékenységből származzon, illetve olyan tevékenységből származzon, amely megfelel az RRF-rendelet VI. mellékletében szereplő alkalmazandó beavatkozási területekből eredő releváns kritériumoknak. A saját tőkéből, kvázisaját tőkéből, vállalati kötvényekből vagy ezekkel egyenértékű eszközökből származó, nem konkrét projektekre irányuló végső kedvezményezetteknek meg kell indokolniuk a kiválasztott beavatkozási terület(ek)et. A végrehajtó partnernek féléves jelentést kell benyújtania a tagállamnak az egyes projektek/tevékenységek végrehajtásáról.  </w:t>
      </w:r>
    </w:p>
    <w:p w14:paraId="359D45F9" w14:textId="66334A9F" w:rsidR="00D65CB4" w:rsidRPr="00BC4EE7" w:rsidRDefault="00D65CB4">
      <w:pPr>
        <w:pStyle w:val="FootnoteText"/>
        <w:ind w:left="0" w:firstLine="0"/>
        <w:rPr>
          <w:rFonts w:ascii="Times New Roman" w:eastAsia="Times New Roman" w:hAnsi="Times New Roman" w:cs="Times New Roman"/>
        </w:rPr>
      </w:pPr>
    </w:p>
  </w:footnote>
  <w:footnote w:id="56">
    <w:p w14:paraId="0B9FB990" w14:textId="3DB725E3"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Kivéve az a) az ezen intézkedés hatálya alá tartozó, földgázt felhasználó villamosenergia- és/vagy hőtermeléssel, valamint a kapcsolódó átviteli és elosztási infrastruktúrával kapcsolatos projekteket, amelyek megfelelnek a jelentős károkozás elkerülését célzó technikai iránymutatás (2021/C58/01) III. mellékletében meghatározott feltételeknek, valamint b) a ii. pont szerinti olyan tevékenységek és eszközök, amelyek esetében a fosszilis tüzelőanyagok használata átmeneti és technikailag elkerülhetetlen a fosszilis tüzelőanyagoktól mentes üzemre való időben történő átállás szempontjából.</w:t>
      </w:r>
    </w:p>
  </w:footnote>
  <w:footnote w:id="57">
    <w:p w14:paraId="099E8303"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Amennyiben a támogatott tevékenység olyan előrejelzett üvegházhatásúgáz-kibocsátást ér el, amely nem éri el jelentősen a vonatkozó referenciaértékeket, meg kell indokolni, hogy ez miért nem lehetséges. A kibocsátáskereskedelmi rendszer hatálya alá tartozó tevékenységekre vonatkozó ingyenes kiosztásra vonatkozóan az (EU) 2021/447 bizottsági végrehajtási rendeletben meghatározott referenciaértékek.</w:t>
      </w:r>
    </w:p>
  </w:footnote>
  <w:footnote w:id="58">
    <w:p w14:paraId="2114B853"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Ez a kizárás nem vonatkozik az ezen intézkedés szerinti fellépésekre a kizárólag nem újrafeldolgozható veszélyes hulladékok kezelésére szolgáló létesítményekben, valamint a meglévő üzemekben, ahol az ezen intézkedés szerinti tevékenységek célja az energiahatékonyság növelése, a füstgázok tárolási célú megkötése vagy a hulladékégetésből származó hamuból származó anyagok felhasználása vagy kinyerése, feltéve, hogy az ezen intézkedés szerinti fellépések nem eredményezik az üzemek hulladékfeldolgozási kapacitásának növekedését vagy az üzemek élettartamának meghosszabbítását; ezek esetében az üzem szintjén szolgáltatnak bizonyítékot.</w:t>
      </w:r>
    </w:p>
  </w:footnote>
  <w:footnote w:id="59">
    <w:p w14:paraId="32EFFE67"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Ez a kizárás nem vonatkozik az ezen intézkedés keretében a meglévő mechanikus-biológiai szennyvíztisztító telepeken végzett tevékenységekre, amennyiben az ezen intézkedés keretében végrehajtott intézkedések célja az erőforrás-hatékonyság növelése vagy az elkülönített hulladék komposzt biohulladékká történő újrafeldolgozása és a biohulladék anaerob lebontása, feltéve, hogy az ezen intézkedés keretében végrehajtott ilyen intézkedések nem eredményezik az üzemek hulladékfeldolgozási kapacitásának növekedését vagy a létesítmények élettartamának meghosszabbítását; ezek esetében az üzem szintjén szolgáltatnak bizonyítékot.</w:t>
      </w:r>
    </w:p>
  </w:footnote>
  <w:footnote w:id="60">
    <w:p w14:paraId="34576CAB" w14:textId="5BDBBC14"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A konkrét projektekhez kapcsolódó hitelek, részvételi hitelek, projektkötvények, garanciák vagy ezekkel egyenértékű eszközök végső kedvezményezettjei kötelesek minden támogatott projekt esetében megindokolni a kiválasztott beavatkozási területet, a projekt leírásával együtt. A végrehajtó partnernek féléves jelentést kell benyújtania a tagállamnak az egyes projektek/tevékenységek végrehajtásáról.</w:t>
      </w:r>
    </w:p>
  </w:footnote>
  <w:footnote w:id="61">
    <w:p w14:paraId="441FC4A4" w14:textId="77777777" w:rsidR="00D65CB4" w:rsidRPr="00BC4EE7" w:rsidRDefault="00572307">
      <w:pPr>
        <w:pStyle w:val="FootnoteText"/>
        <w:ind w:left="0" w:firstLine="0"/>
        <w:rPr>
          <w:rFonts w:ascii="Times New Roman" w:eastAsia="Times New Roman" w:hAnsi="Times New Roman" w:cs="Times New Roman"/>
        </w:rPr>
      </w:pPr>
      <w:r w:rsidRPr="00BC4EE7">
        <w:rPr>
          <w:rStyle w:val="FootnoteReference"/>
          <w:rFonts w:ascii="Times New Roman" w:hAnsi="Times New Roman" w:cs="Times New Roman"/>
        </w:rPr>
        <w:footnoteRef/>
      </w:r>
      <w:r w:rsidRPr="00BC4EE7">
        <w:rPr>
          <w:rStyle w:val="normaltextrun"/>
          <w:rFonts w:ascii="Times New Roman" w:hAnsi="Times New Roman" w:cs="Times New Roman"/>
        </w:rPr>
        <w:t>Kivéve az a) a jelentős károkozás elkerülését célzó technikai iránymutatás (2021/C58/01) III. mellékletében meghatározott feltételeknek megfelelő, földgázt felhasználó villamosenergia- és/vagy hőtermeléssel kapcsolatos eszközöket és tevékenységeket, valamint a kapcsolódó átviteli és elosztási infrastruktúrát, valamint b) a ii. pont szerinti tevékenységeket és eszközöket, amelyek esetében a fosszilis tüzelőanyagok használata átmeneti és technikailag elkerülhetetlen a fosszilis tüzelőanyagoktól mentes üzemre való időben történő átállás szempontjából.</w:t>
      </w:r>
    </w:p>
  </w:footnote>
  <w:footnote w:id="62">
    <w:p w14:paraId="11C7B281"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Amennyiben a támogatott tevékenység nem eredményez a vonatkozó referenciaértékeknél lényegesen alacsonyabb előrejelzett üvegházhatásúgáz-kibocsátást, ismertetni kell azokat az okokat, amelyek miatt nem érhető el nagyobb kibocsátáscsökkenés. A kibocsátáskereskedelmi rendszer hatálya alá tartozó tevékenységekre vonatkozó ingyenes kiosztásra vonatkozóan az (EU) 2021/447 bizottsági végrehajtási rendeletben meghatározott referenciaértékek. </w:t>
      </w:r>
    </w:p>
  </w:footnote>
  <w:footnote w:id="63">
    <w:p w14:paraId="3517BA0F"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Ez a kizárás nem vonatkozik az ezen intézkedés szerinti fellépésekre a kizárólag nem újrafeldolgozható veszélyes hulladékok kezelésére szolgáló létesítményekben, valamint a meglévő üzemekben, ahol az ezen intézkedés szerinti tevékenységek célja az energiahatékonyság növelése, a füstgázok tárolási célú megkötése vagy a hulladékégetésből származó hamuból származó anyagok felhasználása vagy kinyerése, feltéve, hogy az ezen intézkedés szerinti fellépések nem eredményezik az üzemek hulladékfeldolgozási kapacitásának növekedését vagy az üzemek élettartamának meghosszabbítását; ezek esetében az üzem szintjén szolgáltatnak bizonyítékot.</w:t>
      </w:r>
    </w:p>
  </w:footnote>
  <w:footnote w:id="64">
    <w:p w14:paraId="6A4997F4" w14:textId="77777777" w:rsidR="00D65CB4" w:rsidRPr="00BC4EE7" w:rsidRDefault="00572307">
      <w:pPr>
        <w:pStyle w:val="P68B1DB1-FootnoteText41"/>
        <w:ind w:left="0" w:firstLine="0"/>
        <w:rPr>
          <w:rFonts w:cs="Times New Roman"/>
        </w:rPr>
      </w:pPr>
      <w:r w:rsidRPr="00BC4EE7">
        <w:rPr>
          <w:rFonts w:cs="Times New Roman"/>
        </w:rPr>
        <w:footnoteRef/>
      </w:r>
      <w:r w:rsidRPr="00BC4EE7">
        <w:rPr>
          <w:rFonts w:cs="Times New Roman"/>
        </w:rPr>
        <w:t>Ez a kizárás nem vonatkozik az ezen intézkedés keretében a meglévő mechanikus-biológiai szennyvíztisztító telepeken végzett tevékenységekre, amennyiben az ezen intézkedés keretében végrehajtott intézkedések célja az erőforrás-hatékonyság növelése vagy az elkülönített hulladék komposzt biohulladékká történő újrafeldolgozása és a biohulladék anaerob lebontása, feltéve, hogy az ezen intézkedés keretében végrehajtott ilyen intézkedések nem eredményezik az üzemek hulladékfeldolgozási kapacitásának növekedését vagy a létesítmények élettartamának meghosszabbítását; ezek esetében az üzem szintjén szolgáltatnak bizonyítékot.</w:t>
      </w:r>
    </w:p>
  </w:footnote>
  <w:footnote w:id="65">
    <w:p w14:paraId="17035744" w14:textId="3B930513"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A végső kedvezményezetteknek minden támogatott projekt esetében meg kell indokolniuk a kiválasztott beavatkozási területet, a projekt leírásával együtt. A végrehajtó partnernek féléves jelentést kell benyújtania a tagállamnak az egyes projektek/tevékenységek végrehajtásáról.</w:t>
      </w:r>
    </w:p>
  </w:footnote>
  <w:footnote w:id="66">
    <w:p w14:paraId="1388DD03"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Kivéve az ezen intézkedés hatálya alá tartozó, a jelentős károkozás elkerülését célzó elvről szóló technikai iránymutatás (2021/C58/01) III. mellékletében meghatározott feltételeknek megfelelő, földgázt felhasználó villamosenergia- és/vagy hőtermelésre, valamint a kapcsolódó átviteli és elosztási infrastruktúrára irányuló projekteket.</w:t>
      </w:r>
    </w:p>
  </w:footnote>
  <w:footnote w:id="67">
    <w:p w14:paraId="049374AA"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Amennyiben a támogatott tevékenység olyan előrejelzett üvegházhatásúgáz-kibocsátást ér el, amely nem éri el jelentősen a vonatkozó referenciaértékeket, meg kell indokolni, hogy ez miért nem lehetséges. A kibocsátáskereskedelmi rendszer hatálya alá tartozó tevékenységekre vonatkozó ingyenes kiosztásra vonatkozóan az (EU) 2021/447 bizottsági végrehajtási rendeletben meghatározott referenciaértékek.</w:t>
      </w:r>
    </w:p>
  </w:footnote>
  <w:footnote w:id="68">
    <w:p w14:paraId="27EF568E"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Ez a kizárás nem vonatkozik az ezen intézkedés szerinti fellépésekre a kizárólag nem újrafeldolgozható veszélyes hulladékok kezelésére szolgáló létesítményekben, valamint a meglévő üzemekben, ahol az ezen intézkedés szerinti tevékenységek célja az energiahatékonyság növelése, a füstgázok tárolási célú megkötése vagy a hulladékégetésből származó hamuból származó anyagok felhasználása vagy kinyerése, feltéve, hogy az ezen intézkedés szerinti fellépések nem eredményezik az üzemek hulladékfeldolgozási kapacitásának növekedését vagy az üzemek élettartamának meghosszabbítását; ezek esetében az üzem szintjén szolgáltatnak bizonyítékot.</w:t>
      </w:r>
    </w:p>
  </w:footnote>
  <w:footnote w:id="69">
    <w:p w14:paraId="23D8534A"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Ez a kizárás nem vonatkozik az ezen intézkedés keretében a meglévő mechanikus-biológiai hulladékkezelő létesítményekben végrehajtott intézkedésekre, amennyiben az ezen intézkedés keretében végrehajtott fellépések célja az energiahatékonyság növelése vagy az elkülönített hulladék újrafeldolgozási műveletekhez való utólagos átalakítása a biohulladék komposztálása és a biohulladék anaerob lebontása céljából, feltéve, hogy az ezen intézkedés szerinti szerinti ilyen fellépések nem eredményezik az üzemek hulladékfeldolgozási kapacitásának növelését vagy az üzemek élettartamának meghosszabbítását; ezek esetében az üzem szintjén szolgáltatnak bizonyítékot.</w:t>
      </w:r>
    </w:p>
  </w:footnote>
  <w:footnote w:id="70">
    <w:p w14:paraId="3CFFFF39"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Kivéve az ezen intézkedés hatálya alá tartozó, a jelentős károkozás elkerülését célzó elvről szóló technikai iránymutatás (2021/C58/01) III. mellékletében meghatározott feltételeknek megfelelő, földgázt felhasználó villamosenergia- és/vagy hőtermelésre, valamint a kapcsolódó átviteli és elosztási infrastruktúrára irányuló projekteket.</w:t>
      </w:r>
    </w:p>
  </w:footnote>
  <w:footnote w:id="71">
    <w:p w14:paraId="43EEF02B"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Amennyiben a támogatott tevékenység olyan előrejelzett üvegházhatásúgáz-kibocsátást ér el, amely nem éri el jelentősen a vonatkozó referenciaértékeket, meg kell indokolni, hogy ez miért nem lehetséges. A kibocsátáskereskedelmi rendszer hatálya alá tartozó tevékenységekre vonatkozó ingyenes kiosztásra vonatkozóan az (EU) 2021/447 bizottsági végrehajtási rendeletben meghatározott referenciaértékek.</w:t>
      </w:r>
    </w:p>
  </w:footnote>
  <w:footnote w:id="72">
    <w:p w14:paraId="40807FE2"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Ez a kizárás nem vonatkozik az ezen intézkedés szerinti fellépésekre a kizárólag nem újrafeldolgozható veszélyes hulladékok kezelésére szolgáló létesítményekben, valamint a meglévő üzemekben, ahol az ezen intézkedés szerinti tevékenységek célja az energiahatékonyság növelése, a füstgázok tárolási célú megkötése vagy a hulladékégetésből származó hamuból származó anyagok felhasználása vagy kinyerése, feltéve, hogy az ezen intézkedés szerinti fellépések nem eredményezik az üzemek hulladékfeldolgozási kapacitásának növekedését vagy az üzemek élettartamának meghosszabbítását; ezek esetében az üzem szintjén szolgáltatnak bizonyítékot.</w:t>
      </w:r>
    </w:p>
  </w:footnote>
  <w:footnote w:id="73">
    <w:p w14:paraId="1CB6C7E9"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Ez a kizárás nem vonatkozik az ezen intézkedés keretében a meglévő mechanikus-biológiai hulladékkezelő létesítményekben végrehajtott intézkedésekre, amennyiben az ezen intézkedés keretében végrehajtott fellépések célja az energiahatékonyság növelése vagy az elkülönített hulladék újrafeldolgozási műveletekhez való utólagos átalakítása a biohulladék komposztálása és a biohulladék anaerob lebontása céljából, feltéve, hogy az ezen intézkedés szerinti szerinti ilyen fellépések nem eredményezik az üzemek hulladékfeldolgozási kapacitásának növelését vagy az üzemek élettartamának meghosszabbítását; ezek esetében az üzem szintjén szolgáltatnak bizonyítékot.</w:t>
      </w:r>
    </w:p>
  </w:footnote>
  <w:footnote w:id="74">
    <w:p w14:paraId="2B200213"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Kivéve az ezen intézkedés hatálya alá tartozó, a jelentős károkozás elkerülését célzó elvről szóló technikai iránymutatás (2021/C58/01) III. mellékletében meghatározott feltételeknek megfelelő, földgázt felhasználó villamosenergia- és/vagy hőtermelésre, valamint a kapcsolódó átviteli és elosztási infrastruktúrára irányuló projekteket.</w:t>
      </w:r>
    </w:p>
  </w:footnote>
  <w:footnote w:id="75">
    <w:p w14:paraId="05FC50DF"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Amennyiben a támogatott tevékenység olyan előrejelzett üvegházhatásúgáz-kibocsátást ér el, amely nem éri el jelentősen a vonatkozó referenciaértékeket, meg kell indokolni, hogy ez miért nem lehetséges. A kibocsátáskereskedelmi rendszer hatálya alá tartozó tevékenységekre vonatkozó ingyenes kiosztásra vonatkozóan az (EU) 2021/447 bizottsági végrehajtási rendeletben meghatározott referenciaértékek.</w:t>
      </w:r>
    </w:p>
  </w:footnote>
  <w:footnote w:id="76">
    <w:p w14:paraId="3BB736CE"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Ez a kizárás nem vonatkozik az ezen intézkedés szerinti fellépésekre a kizárólag nem újrafeldolgozható veszélyes hulladékok kezelésére szolgáló létesítményekben, valamint a meglévő üzemekben, ahol az ezen intézkedés szerinti tevékenységek célja az energiahatékonyság növelése, a füstgázok tárolási célú megkötése vagy a hulladékégetésből származó hamuból származó anyagok felhasználása vagy kinyerése, feltéve, hogy az ezen intézkedés szerinti fellépések nem eredményezik az üzemek hulladékfeldolgozási kapacitásának növekedését vagy az üzemek élettartamának meghosszabbítását; ezek esetében az üzem szintjén szolgáltatnak bizonyítékot.</w:t>
      </w:r>
    </w:p>
  </w:footnote>
  <w:footnote w:id="77">
    <w:p w14:paraId="7EBE54B9"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Ez a kizárás nem vonatkozik az ezen intézkedés keretében a meglévő mechanikus-biológiai hulladékkezelő létesítményekben végrehajtott intézkedésekre, amennyiben az ezen intézkedés keretében végrehajtott fellépések célja az energiahatékonyság növelése vagy az elkülönített hulladék újrafeldolgozási műveletekhez való utólagos átalakítása a biohulladék komposztálása és a biohulladék anaerob lebontása céljából, feltéve, hogy az ezen intézkedés szerinti szerinti ilyen fellépések nem eredményezik az üzemek hulladékfeldolgozási kapacitásának növelését vagy az üzemek élettartamának meghosszabbítását; ezek esetében az üzem szintjén szolgáltatnak bizonyítékot.</w:t>
      </w:r>
    </w:p>
  </w:footnote>
  <w:footnote w:id="78">
    <w:p w14:paraId="66C53FE1"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Kivéve az ezen intézkedés hatálya alá tartozó, a jelentős károkozás elkerülését célzó elvről szóló technikai iránymutatás (2021/C58/01) III. mellékletében meghatározott feltételeknek megfelelő, földgázt felhasználó villamosenergia- és/vagy hőtermelésre, valamint a kapcsolódó átviteli és elosztási infrastruktúrára irányuló projekteket.</w:t>
      </w:r>
    </w:p>
  </w:footnote>
  <w:footnote w:id="79">
    <w:p w14:paraId="3830928D"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Amennyiben a támogatott tevékenység olyan előrejelzett üvegházhatásúgáz-kibocsátást ér el, amely nem éri el jelentősen a vonatkozó referenciaértékeket, meg kell indokolni, hogy ez miért nem lehetséges. A kibocsátáskereskedelmi rendszer hatálya alá tartozó tevékenységekre vonatkozó ingyenes kiosztásra vonatkozóan az (EU) 2021/447 bizottsági végrehajtási rendeletben meghatározott referenciaértékek.</w:t>
      </w:r>
    </w:p>
  </w:footnote>
  <w:footnote w:id="80">
    <w:p w14:paraId="3A72EFB5"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Ez a kizárás nem vonatkozik az ezen intézkedés szerinti fellépésekre a kizárólag nem újrafeldolgozható veszélyes hulladékok kezelésére szolgáló létesítményekben, valamint a meglévő üzemekben, ahol az ezen intézkedés szerinti tevékenységek célja az energiahatékonyság növelése, a füstgázok tárolási célú megkötése vagy a hulladékégetésből származó hamuból származó anyagok felhasználása vagy kinyerése, feltéve, hogy az ezen intézkedés szerinti fellépések nem eredményezik az üzemek hulladékfeldolgozási kapacitásának növekedését vagy az üzemek élettartamának meghosszabbítását; ezek esetében az üzem szintjén szolgáltatnak bizonyítékot.</w:t>
      </w:r>
    </w:p>
  </w:footnote>
  <w:footnote w:id="81">
    <w:p w14:paraId="6662CD57"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Ez a kizárás nem vonatkozik az ezen intézkedés keretében a meglévő mechanikus-biológiai hulladékkezelő létesítményekben végrehajtott intézkedésekre, amennyiben az ezen intézkedés keretében végrehajtott fellépések célja az energiahatékonyság növelése vagy az elkülönített hulladék újrafeldolgozási műveletekhez való utólagos átalakítása a biohulladék komposztálása és a biohulladék anaerob lebontása céljából, feltéve, hogy az ezen intézkedés szerinti szerinti ilyen fellépések nem eredményezik az üzemek hulladékfeldolgozási kapacitásának növelését vagy az üzemek élettartamának meghosszabbítását; ezek esetében az üzem szintjén szolgáltatnak bizonyítékot.</w:t>
      </w:r>
    </w:p>
  </w:footnote>
  <w:footnote w:id="82">
    <w:p w14:paraId="776C7398"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Kivéve az ezen intézkedés hatálya alá tartozó, a jelentős károkozás elkerülését célzó elvről szóló technikai iránymutatás (2021/C58/01) III. mellékletében meghatározott feltételeknek megfelelő, földgázt felhasználó villamosenergia- és/vagy hőtermelésre, valamint a kapcsolódó átviteli és elosztási infrastruktúrára irányuló projekteket.</w:t>
      </w:r>
    </w:p>
  </w:footnote>
  <w:footnote w:id="83">
    <w:p w14:paraId="169B8B21"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Amennyiben a támogatott tevékenység olyan előrejelzett üvegházhatásúgáz-kibocsátást ér el, amely nem éri el jelentősen a vonatkozó referenciaértékeket, meg kell indokolni, hogy ez miért nem lehetséges. A kibocsátáskereskedelmi rendszer hatálya alá tartozó tevékenységekre vonatkozó ingyenes kiosztásra vonatkozóan az (EU) 2021/447 bizottsági végrehajtási rendeletben meghatározott referenciaértékek.</w:t>
      </w:r>
    </w:p>
  </w:footnote>
  <w:footnote w:id="84">
    <w:p w14:paraId="68351CAB"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Ez a kizárás nem vonatkozik az ezen intézkedés szerinti fellépésekre a kizárólag nem újrafeldolgozható veszélyes hulladékok kezelésére szolgáló létesítményekben, valamint a meglévő üzemekben, ahol az ezen intézkedés szerinti tevékenységek célja az energiahatékonyság növelése, a füstgázok tárolási célú megkötése vagy a hulladékégetésből származó hamuból származó anyagok felhasználása vagy kinyerése, feltéve, hogy az ezen intézkedés szerinti fellépések nem eredményezik az üzemek hulladékfeldolgozási kapacitásának növekedését vagy az üzemek élettartamának meghosszabbítását; ezek esetében az üzem szintjén szolgáltatnak bizonyítékot.</w:t>
      </w:r>
    </w:p>
  </w:footnote>
  <w:footnote w:id="85">
    <w:p w14:paraId="5899C85A"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Ez a kizárás nem vonatkozik az ezen intézkedés keretében a meglévő mechanikus-biológiai hulladékkezelő létesítményekben végrehajtott intézkedésekre, amennyiben az ezen intézkedés keretében végrehajtott fellépések célja az energiahatékonyság növelése vagy az elkülönített hulladék újrafeldolgozási műveletekhez való utólagos átalakítása a biohulladék komposztálása és a biohulladék anaerob lebontása céljából, feltéve, hogy az ezen intézkedés szerinti szerinti ilyen fellépések nem eredményezik az üzemek hulladékfeldolgozási kapacitásának növelését vagy az üzemek élettartamának meghosszabbítását; ezek esetében az üzem szintjén szolgáltatnak bizonyítékot.</w:t>
      </w:r>
    </w:p>
  </w:footnote>
  <w:footnote w:id="86">
    <w:p w14:paraId="1EA804AE"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Kivéve az ezen intézkedés hatálya alá tartozó, a jelentős károkozás elkerülését célzó elvről szóló technikai iránymutatás (2021/C58/01) III. mellékletében meghatározott feltételeknek megfelelő, földgázt felhasználó villamosenergia- és/vagy hőtermelésre, valamint a kapcsolódó átviteli és elosztási infrastruktúrára irányuló projekteket.</w:t>
      </w:r>
    </w:p>
  </w:footnote>
  <w:footnote w:id="87">
    <w:p w14:paraId="2EC854D7"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Amennyiben a támogatott tevékenység olyan előrejelzett üvegházhatásúgáz-kibocsátást ér el, amely nem éri el jelentősen a vonatkozó referenciaértékeket, meg kell indokolni, hogy ez miért nem lehetséges. A kibocsátáskereskedelmi rendszer hatálya alá tartozó tevékenységekre vonatkozó ingyenes kiosztásra vonatkozóan az (EU) 2021/447 bizottsági végrehajtási rendeletben meghatározott referenciaértékek.</w:t>
      </w:r>
    </w:p>
  </w:footnote>
  <w:footnote w:id="88">
    <w:p w14:paraId="566B7679"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Ez a kizárás nem vonatkozik az ezen intézkedés szerinti fellépésekre a kizárólag nem újrafeldolgozható veszélyes hulladékok kezelésére szolgáló létesítményekben, valamint a meglévő üzemekben, ahol az ezen intézkedés szerinti tevékenységek célja az energiahatékonyság növelése, a füstgázok tárolási célú megkötése vagy a hulladékégetésből származó hamuból származó anyagok felhasználása vagy kinyerése, feltéve, hogy az ezen intézkedés szerinti fellépések nem eredményezik az üzemek hulladékfeldolgozási kapacitásának növekedését vagy az üzemek élettartamának meghosszabbítását; ezek esetében az üzem szintjén szolgáltatnak bizonyítékot.</w:t>
      </w:r>
    </w:p>
  </w:footnote>
  <w:footnote w:id="89">
    <w:p w14:paraId="73ACECE6"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Ez a kizárás nem vonatkozik az ezen intézkedés keretében a meglévő mechanikus-biológiai hulladékkezelő létesítményekben végrehajtott intézkedésekre, amennyiben az ezen intézkedés keretében végrehajtott fellépések célja az energiahatékonyság növelése vagy az elkülönített hulladék újrafeldolgozási műveletekhez való utólagos átalakítása a biohulladék komposztálása és a biohulladék anaerob lebontása céljából, feltéve, hogy az ezen intézkedés szerinti szerinti ilyen fellépések nem eredményezik az üzemek hulladékfeldolgozási kapacitásának növelését vagy az üzemek élettartamának meghosszabbítását; ezek esetében az üzem szintjén szolgáltatnak bizonyítékot.</w:t>
      </w:r>
    </w:p>
  </w:footnote>
  <w:footnote w:id="90">
    <w:p w14:paraId="4C0937CD"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Kivéve az ezen intézkedés hatálya alá tartozó, a jelentős károkozás elkerülését célzó elvről szóló technikai iránymutatás (2021/C58/01) III. mellékletében meghatározott feltételeknek megfelelő, földgázt felhasználó villamosenergia- és/vagy hőtermelésre, valamint a kapcsolódó átviteli és elosztási infrastruktúrára irányuló projekteket.</w:t>
      </w:r>
    </w:p>
  </w:footnote>
  <w:footnote w:id="91">
    <w:p w14:paraId="18AEA43E"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Amennyiben a támogatott tevékenység olyan előrejelzett üvegházhatásúgáz-kibocsátást ér el, amely nem éri el jelentősen a vonatkozó referenciaértékeket, meg kell indokolni, hogy ez miért nem lehetséges. A kibocsátáskereskedelmi rendszer hatálya alá tartozó tevékenységekre vonatkozó ingyenes kiosztásra vonatkozóan az (EU) 2021/447 bizottsági végrehajtási rendeletben meghatározott referenciaértékek.</w:t>
      </w:r>
    </w:p>
  </w:footnote>
  <w:footnote w:id="92">
    <w:p w14:paraId="7EDFA028"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Ez a kizárás nem vonatkozik az ezen intézkedés szerinti fellépésekre a kizárólag nem újrafeldolgozható veszélyes hulladékok kezelésére szolgáló létesítményekben, valamint a meglévő üzemekben, ahol az ezen intézkedés szerinti tevékenységek célja az energiahatékonyság növelése, a füstgázok tárolási célú megkötése vagy a hulladékégetésből származó hamuból származó anyagok felhasználása vagy kinyerése, feltéve, hogy az ezen intézkedés szerinti fellépések nem eredményezik az üzemek hulladékfeldolgozási kapacitásának növekedését vagy az üzemek élettartamának meghosszabbítását; ezek esetében az üzem szintjén szolgáltatnak bizonyítékot.</w:t>
      </w:r>
    </w:p>
  </w:footnote>
  <w:footnote w:id="93">
    <w:p w14:paraId="6410233A"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Ez a kizárás nem vonatkozik az ezen intézkedés keretében a meglévő mechanikus-biológiai hulladékkezelő létesítményekben végrehajtott intézkedésekre, amennyiben az ezen intézkedés keretében végrehajtott fellépések célja az energiahatékonyság növelése vagy az elkülönített hulladék újrafeldolgozási műveletekhez való utólagos átalakítása a biohulladék komposztálása és a biohulladék anaerob lebontása céljából, feltéve, hogy az ezen intézkedés szerinti szerinti ilyen fellépések nem eredményezik az üzemek hulladékfeldolgozási kapacitásának növelését vagy az üzemek élettartamának meghosszabbítását; ezek esetében az üzem szintjén szolgáltatnak bizonyítékot.</w:t>
      </w:r>
    </w:p>
  </w:footnote>
  <w:footnote w:id="94">
    <w:p w14:paraId="5A245C48"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Kivéve az ezen intézkedés hatálya alá tartozó, a jelentős károkozás elkerülését célzó elvről szóló technikai iránymutatás (2021/C58/01) III. mellékletében meghatározott feltételeknek megfelelő, földgázt felhasználó villamosenergia- és/vagy hőtermelésre, valamint a kapcsolódó átviteli és elosztási infrastruktúrára irányuló projekteket.</w:t>
      </w:r>
    </w:p>
  </w:footnote>
  <w:footnote w:id="95">
    <w:p w14:paraId="3FF52BCB" w14:textId="77777777" w:rsidR="00D65CB4" w:rsidRPr="00BC4EE7" w:rsidRDefault="00572307">
      <w:pPr>
        <w:pStyle w:val="FootnoteText"/>
        <w:tabs>
          <w:tab w:val="left" w:pos="284"/>
        </w:tabs>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Amennyiben a támogatott tevékenység olyan előrejelzett üvegházhatásúgáz-kibocsátást ér el, amely nem éri el jelentősen a vonatkozó referenciaértékeket, meg kell indokolni, hogy ez miért nem lehetséges. A kibocsátáskereskedelmi rendszer hatálya alá tartozó tevékenységekre vonatkozó ingyenes kiosztásra vonatkozóan az (EU) 2021/447 bizottsági végrehajtási rendeletben meghatározott referenciaértékek.</w:t>
      </w:r>
    </w:p>
  </w:footnote>
  <w:footnote w:id="96">
    <w:p w14:paraId="3B9DEB54" w14:textId="77777777" w:rsidR="00D65CB4" w:rsidRPr="00BC4EE7" w:rsidRDefault="00572307">
      <w:pPr>
        <w:pStyle w:val="FootnoteText"/>
        <w:tabs>
          <w:tab w:val="left" w:pos="284"/>
        </w:tabs>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Ez a kizárás nem vonatkozik az ezen intézkedés szerinti fellépésekre a kizárólag nem újrafeldolgozható veszélyes hulladékok kezelésére szolgáló létesítményekben, valamint a meglévő üzemekben, ahol az ezen intézkedés szerinti tevékenységek célja az energiahatékonyság növelése, a füstgázok tárolási célú megkötése vagy a hulladékégetésből származó hamuból származó anyagok felhasználása vagy kinyerése, feltéve, hogy az ezen intézkedés szerinti fellépések nem eredményezik az üzemek hulladékfeldolgozási kapacitásának növekedését vagy az üzemek élettartamának meghosszabbítását; ezek esetében az üzem szintjén szolgáltatnak bizonyítékot.</w:t>
      </w:r>
    </w:p>
  </w:footnote>
  <w:footnote w:id="97">
    <w:p w14:paraId="3459D487" w14:textId="77777777" w:rsidR="00D65CB4" w:rsidRPr="00BC4EE7" w:rsidRDefault="00572307">
      <w:pPr>
        <w:pStyle w:val="FootnoteText"/>
        <w:tabs>
          <w:tab w:val="left" w:pos="284"/>
        </w:tabs>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Ez a kizárás nem vonatkozik az ezen intézkedés keretében a meglévő mechanikus-biológiai hulladékkezelő létesítményekben végrehajtott intézkedésekre, amennyiben az ezen intézkedés keretében végrehajtott fellépések célja az energiahatékonyság növelése vagy az elkülönített hulladék újrafeldolgozási műveletekhez való utólagos átalakítása a biohulladék komposztálása és a biohulladék anaerob lebontása céljából, feltéve, hogy az ezen intézkedés szerinti szerinti ilyen fellépések nem eredményezik az üzemek hulladékfeldolgozási kapacitásának növelését vagy az üzemek élettartamának meghosszabbítását; ezek esetében az üzem szintjén szolgáltatnak bizonyítékot.</w:t>
      </w:r>
    </w:p>
  </w:footnote>
  <w:footnote w:id="98">
    <w:p w14:paraId="3748429C" w14:textId="0075588F" w:rsidR="00D65CB4" w:rsidRPr="00BC4EE7" w:rsidRDefault="00572307">
      <w:pPr>
        <w:pStyle w:val="FootnoteText"/>
        <w:ind w:left="0" w:firstLine="0"/>
        <w:rPr>
          <w:rFonts w:ascii="Times New Roman" w:eastAsia="Times New Roman" w:hAnsi="Times New Roman" w:cs="Times New Roman"/>
        </w:rPr>
      </w:pPr>
      <w:r w:rsidRPr="00BC4EE7">
        <w:rPr>
          <w:rStyle w:val="FootnoteReference"/>
          <w:rFonts w:ascii="Times New Roman" w:hAnsi="Times New Roman" w:cs="Times New Roman"/>
        </w:rPr>
        <w:footnoteRef/>
      </w:r>
      <w:r w:rsidRPr="00BC4EE7">
        <w:rPr>
          <w:rStyle w:val="normaltextrun"/>
          <w:rFonts w:ascii="Times New Roman" w:hAnsi="Times New Roman" w:cs="Times New Roman"/>
        </w:rPr>
        <w:t>Kivéve az a) a jelentős károkozás elkerülését célzó technikai iránymutatás (2021/C58/01) III. mellékletében meghatározott feltételeknek megfelelő, földgázt felhasználó villamosenergia- és/vagy hőtermeléssel kapcsolatos eszközöket és tevékenységeket, valamint a kapcsolódó átviteli és elosztási infrastruktúrát, valamint b) a ii. pont szerinti tevékenységeket és eszközöket, amelyek esetében a fosszilis tüzelőanyagok használata átmeneti és technikailag elkerülhetetlen a fosszilis tüzelőanyagoktól mentes üzemre való időben történő átállás szempontjából.</w:t>
      </w:r>
    </w:p>
  </w:footnote>
  <w:footnote w:id="99">
    <w:p w14:paraId="52B8012A" w14:textId="36507B4D"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Amennyiben a támogatott tevékenység nem eredményez a vonatkozó referenciaértékeknél lényegesen alacsonyabb előrejelzett üvegházhatásúgáz-kibocsátást, ismertetni kell azokat az okokat, amelyek miatt nem érhető el nagyobb kibocsátáscsökkenés. A kibocsátáskereskedelmi rendszer hatálya alá tartozó tevékenységekre vonatkozó ingyenes kiosztásra vonatkozóan az (EU) 2021/447 bizottsági végrehajtási rendeletben meghatározott referenciaértékek. </w:t>
      </w:r>
    </w:p>
  </w:footnote>
  <w:footnote w:id="100">
    <w:p w14:paraId="7FB2A563" w14:textId="0415409A"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Ez a kizárás nem vonatkozik az ezen intézkedés szerinti fellépésekre a kizárólag nem újrafeldolgozható veszélyes hulladékok kezelésére szolgáló létesítményekben, valamint a meglévő üzemekben, ahol az ezen intézkedés szerinti tevékenységek célja az energiahatékonyság növelése, a füstgázok tárolási célú megkötése vagy a hulladékégetésből származó hamuból származó anyagok felhasználása vagy kinyerése, feltéve, hogy az ezen intézkedés szerinti fellépések nem eredményezik az üzemek hulladékfeldolgozási kapacitásának növekedését vagy az üzemek élettartamának meghosszabbítását; ezek esetében az üzem szintjén szolgáltatnak bizonyítékot.</w:t>
      </w:r>
    </w:p>
  </w:footnote>
  <w:footnote w:id="101">
    <w:p w14:paraId="7CF82E2D" w14:textId="58CDBAD7" w:rsidR="00D65CB4" w:rsidRPr="00BC4EE7" w:rsidRDefault="00572307">
      <w:pPr>
        <w:pStyle w:val="P68B1DB1-FootnoteText41"/>
        <w:ind w:left="0" w:firstLine="0"/>
        <w:rPr>
          <w:rFonts w:cs="Times New Roman"/>
        </w:rPr>
      </w:pPr>
      <w:r w:rsidRPr="00BC4EE7">
        <w:rPr>
          <w:rFonts w:cs="Times New Roman"/>
        </w:rPr>
        <w:footnoteRef/>
      </w:r>
      <w:r w:rsidRPr="00BC4EE7">
        <w:rPr>
          <w:rFonts w:cs="Times New Roman"/>
        </w:rPr>
        <w:t>Ez a kizárás nem vonatkozik az ezen intézkedés keretében a meglévő mechanikus-biológiai szennyvíztisztító telepeken végzett tevékenységekre, amennyiben az ezen intézkedés keretében végrehajtott intézkedések célja az erőforrás-hatékonyság növelése vagy az elkülönített hulladék komposzt biohulladékká történő újrafeldolgozása és a biohulladék anaerob lebontása, feltéve, hogy az ezen intézkedés keretében végrehajtott ilyen intézkedések nem eredményezik az üzemek hulladékfeldolgozási kapacitásának növekedését vagy a létesítmények élettartamának meghosszabbítását; ezek esetében az üzem szintjén szolgáltatnak bizonyítékot.</w:t>
      </w:r>
    </w:p>
  </w:footnote>
  <w:footnote w:id="102">
    <w:p w14:paraId="78117A27"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A 2013/34/EU irányelvet a fenntarthatósággal kapcsolatos vállalati beszámolásról szóló (EU) 2022/2464 irányelv módosítja.</w:t>
      </w:r>
    </w:p>
  </w:footnote>
  <w:footnote w:id="103">
    <w:p w14:paraId="51881876"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Kivéve az a) az ezen intézkedés hatálya alá tartozó, földgázt felhasználó villamosenergia- és/vagy hőtermeléssel, valamint a kapcsolódó átviteli és elosztási infrastruktúrával kapcsolatos projekteket, amelyek megfelelnek a jelentős károkozás elkerülését célzó technikai iránymutatás (2021/C58/01) III. mellékletében meghatározott feltételeknek, valamint b) a ii. pont szerinti olyan tevékenységek és eszközök, amelyek esetében a fosszilis tüzelőanyagok használata átmeneti és technikailag elkerülhetetlen a fosszilis tüzelőanyagoktól mentes üzemre való időben történő átállás szempontjából, a fosszilis tüzelőanyagokat pedig idővel teljes mértékben kivezetik</w:t>
      </w:r>
    </w:p>
  </w:footnote>
  <w:footnote w:id="104">
    <w:p w14:paraId="6D1F4F17"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Amennyiben a támogatott tevékenység olyan előre jelzett üvegházhatásúgáz-kibocsátást ér el, amely nem alacsonyabb a vonatkozó referenciaértékeknél, magyarázatot kell adni arra, hogy ez miért nem lehetséges. A kibocsátáskereskedelmi rendszer hatálya alá tartozó tevékenységekre vonatkozó ingyenes kiosztásra vonatkozóan az (EU) 2021/447 bizottsági végrehajtási rendeletben meghatározott referenciaértékek.</w:t>
      </w:r>
    </w:p>
  </w:footnote>
  <w:footnote w:id="105">
    <w:p w14:paraId="652A1898"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Ez a kizárás nem vonatkozik az ezen intézkedés szerinti fellépésekre a kizárólag nem újrafeldolgozható veszélyes hulladékok kezelésére szolgáló létesítményekben, valamint a meglévő üzemekben, ahol az ezen intézkedés szerinti tevékenységek célja az energiahatékonyság növelése, a füstgázok tárolási célú megkötése vagy a hulladékégetésből származó hamuból származó anyagok felhasználása vagy kinyerése, feltéve, hogy az ezen intézkedés szerinti fellépések nem eredményezik az üzemek hulladékfeldolgozási kapacitásának növekedését vagy az üzemek élettartamának meghosszabbítását; ezek esetében az üzem szintjén szolgáltatnak bizonyítékot.</w:t>
      </w:r>
    </w:p>
  </w:footnote>
  <w:footnote w:id="106">
    <w:p w14:paraId="1AFE6726"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Ez a kizárás nem vonatkozik az ezen intézkedés keretében a meglévő mechanikus-biológiai hulladékkezelő létesítményekben végrehajtott intézkedésekre, amennyiben az ezen intézkedés keretében végrehajtott fellépések célja az energiahatékonyság növelése vagy az elkülönített hulladék újrafeldolgozási műveletekhez való utólagos átalakítása a biohulladék komposztálása és a biohulladék anaerob lebontása céljából, feltéve, hogy az ezen intézkedés szerinti szerinti ilyen fellépések nem eredményezik az üzemek hulladékfeldolgozási kapacitásának növelését vagy az üzemek élettartamának meghosszabbítását; ezek esetében az üzem szintjén szolgáltatnak bizonyítékot.</w:t>
      </w:r>
    </w:p>
  </w:footnote>
  <w:footnote w:id="107">
    <w:p w14:paraId="6ABF1EBF" w14:textId="14447778"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A konkrét projektekhez kapcsolódó hitelek, részvételi hitelek, projektkötvények, garanciák vagy ezekkel egyenértékű eszközök végső kedvezményezettjei kötelesek minden támogatott projekt esetében megindokolni a kiválasztott beavatkozási területet, a projekt leírásával együtt. Az éghajlat-politikai hozzájárulás kiszámítása céljából a nem konkrét projektekre irányuló sajáttőke, kvázi-sajáttőke, vállalati kötvények vagy ezekkel egyenértékű eszközök esetében kritériumokat kell alkalmazni annak előírására, hogy a kedvezményezett előző pénzügyi évben szerzett bevételének vagy az üzleti terv szerinti jövőbeli bevételeknek legalább 90%-a olyan tevékenységből származzon, illetve olyan tevékenységből származzon, amely megfelel az RRF-rendelet VI. mellékletében szereplő alkalmazandó beavatkozási területekből eredő releváns kritériumoknak. A saját tőkéből, kvázisaját tőkéből, vállalati kötvényekből vagy ezekkel egyenértékű eszközökből származó, nem konkrét projektekre irányuló végső kedvezményezetteknek meg kell indokolniuk a kiválasztott beavatkozási terület(ek)et. A végrehajtó partnernek féléves jelentést kell benyújtania a tagállamnak az egyes projektek/tevékenységek végrehajtásáról. </w:t>
      </w:r>
    </w:p>
  </w:footnote>
  <w:footnote w:id="108">
    <w:p w14:paraId="0499B7C3" w14:textId="14EE5E49"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Style w:val="normaltextrun"/>
          <w:rFonts w:ascii="Times New Roman" w:hAnsi="Times New Roman" w:cs="Times New Roman"/>
        </w:rPr>
        <w:t>Kivéve az a) a jelentős károkozás elkerülését célzó technikai iránymutatás (2021/C58/01) III. mellékletében meghatározott feltételeknek megfelelő, földgázt felhasználó villamosenergia- és/vagy hőtermeléssel kapcsolatos eszközöket és tevékenységeket, valamint a kapcsolódó átviteli és elosztási infrastruktúrát, valamint b) a ii. pont szerinti tevékenységeket és eszközöket, amelyek esetében a fosszilis tüzelőanyagok használata átmeneti és technikailag elkerülhetetlen a fosszilis tüzelőanyagoktól mentes üzemre való időben történő átállás szempontjából.</w:t>
      </w:r>
    </w:p>
  </w:footnote>
  <w:footnote w:id="109">
    <w:p w14:paraId="33422E83" w14:textId="279DD539"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Style w:val="normaltextrun"/>
          <w:rFonts w:ascii="Times New Roman" w:hAnsi="Times New Roman" w:cs="Times New Roman"/>
        </w:rPr>
        <w:t xml:space="preserve">Amennyiben a támogatott tevékenység nem eredményez a vonatkozó referenciaértékeknél lényegesen alacsonyabb előrejelzett üvegházhatásúgáz-kibocsátást, ismertetni kell azokat az okokat, amelyek miatt nem érhető el nagyobb kibocsátáscsökkenés. A kibocsátáskereskedelmi rendszer hatálya alá tartozó tevékenységekre vonatkozó ingyenes kiosztásra vonatkozóan az (EU) 2021/447 bizottsági végrehajtási rendeletben meghatározott referenciaértékek. </w:t>
      </w:r>
    </w:p>
  </w:footnote>
  <w:footnote w:id="110">
    <w:p w14:paraId="29199BEA"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Ez a kizárás nem vonatkozik az ezen intézkedés szerinti fellépésekre a kizárólag nem újrafeldolgozható veszélyes hulladékok kezelésére szolgáló létesítményekben, valamint a meglévő üzemekben, ahol az ezen intézkedés szerinti tevékenységek célja az energiahatékonyság növelése, a füstgázok tárolási célú megkötése vagy a hulladékégetésből származó hamuból származó anyagok felhasználása vagy kinyerése, feltéve, hogy az ezen intézkedés szerinti fellépések nem eredményezik az üzemek hulladékfeldolgozási kapacitásának növekedését vagy az üzemek élettartamának meghosszabbítását; ezek esetében az üzem szintjén szolgáltatnak bizonyítékot.</w:t>
      </w:r>
    </w:p>
  </w:footnote>
  <w:footnote w:id="111">
    <w:p w14:paraId="567F38DF" w14:textId="77777777" w:rsidR="00D65CB4" w:rsidRPr="00BC4EE7" w:rsidRDefault="00572307">
      <w:pPr>
        <w:pStyle w:val="P68B1DB1-FootnoteText41"/>
        <w:ind w:left="0" w:firstLine="0"/>
        <w:rPr>
          <w:rFonts w:cs="Times New Roman"/>
        </w:rPr>
      </w:pPr>
      <w:r w:rsidRPr="00BC4EE7">
        <w:rPr>
          <w:rFonts w:cs="Times New Roman"/>
        </w:rPr>
        <w:footnoteRef/>
      </w:r>
      <w:r w:rsidRPr="00BC4EE7">
        <w:rPr>
          <w:rFonts w:cs="Times New Roman"/>
        </w:rPr>
        <w:t>Ez a kizárás nem vonatkozik az ezen intézkedés keretében a meglévő mechanikus-biológiai szennyvíztisztító telepeken végzett tevékenységekre, amennyiben az ezen intézkedés keretében végrehajtott intézkedések célja az erőforrás-hatékonyság növelése vagy az elkülönített hulladék komposzt biohulladékká történő újrafeldolgozása és a biohulladék anaerob lebontása, feltéve, hogy az ezen intézkedés keretében végrehajtott ilyen intézkedések nem eredményezik az üzemek hulladékfeldolgozási kapacitásának növekedését vagy a létesítmények élettartamának meghosszabbítását; ezek esetében az üzem szintjén szolgáltatnak bizonyítékot.</w:t>
      </w:r>
    </w:p>
  </w:footnote>
  <w:footnote w:id="112">
    <w:p w14:paraId="17EBA5CD" w14:textId="63FA9AF8"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A 2013/34/EU irányelvet a fenntarthatósággal kapcsolatos vállalati beszámolásról szóló (EU) 2022/2464 irányelv módosítja.</w:t>
      </w:r>
    </w:p>
  </w:footnote>
  <w:footnote w:id="113">
    <w:p w14:paraId="5F4F1B0D"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Style w:val="normaltextrun"/>
          <w:rFonts w:ascii="Times New Roman" w:hAnsi="Times New Roman" w:cs="Times New Roman"/>
        </w:rPr>
        <w:t>Kivéve az a) a jelentős károkozás elkerülését célzó technikai iránymutatás (2021/C58/01) III. mellékletében meghatározott feltételeknek megfelelő, földgázt felhasználó villamosenergia- és/vagy hőtermeléssel kapcsolatos eszközöket és tevékenységeket, valamint a kapcsolódó átviteli és elosztási infrastruktúrát, valamint b) a ii. pont szerinti tevékenységeket és eszközöket, amelyek esetében a fosszilis tüzelőanyagok használata átmeneti és technikailag elkerülhetetlen a fosszilis tüzelőanyagoktól mentes üzemre való időben történő átállás szempontjából.</w:t>
      </w:r>
    </w:p>
  </w:footnote>
  <w:footnote w:id="114">
    <w:p w14:paraId="2AD5FCBD" w14:textId="6657FC12"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Amennyiben a támogatott tevékenység olyan előre jelzett üvegházhatásúgáz-kibocsátást ér el, amely nem alacsonyabb a vonatkozó referenciaértékeknél, magyarázatot kell adni arra, hogy ez miért nem lehetséges. A kibocsátáskereskedelmi rendszer hatálya alá tartozó tevékenységekre vonatkozó ingyenes kiosztásra vonatkozóan az (EU) 2021/447 bizottsági végrehajtási rendeletben meghatározott referenciaértékek.</w:t>
      </w:r>
    </w:p>
  </w:footnote>
  <w:footnote w:id="115">
    <w:p w14:paraId="2FC76721" w14:textId="762F3F59"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Ez a kizárás nem vonatkozik az ezen intézkedés szerinti fellépésekre a kizárólag nem újrafeldolgozható veszélyes hulladékok kezelésére szolgáló létesítményekben, valamint a meglévő üzemekben, ahol az ezen intézkedés szerinti tevékenységek célja az energiahatékonyság növelése, a füstgázok tárolási célú megkötése vagy a hulladékégetésből származó hamuból származó anyagok felhasználása vagy kinyerése, feltéve, hogy az ezen intézkedés szerinti fellépések nem eredményezik az üzemek hulladékfeldolgozási kapacitásának növekedését vagy az üzemek élettartamának meghosszabbítását; ezek esetében az üzem szintjén szolgáltatnak bizonyítékot.</w:t>
      </w:r>
    </w:p>
  </w:footnote>
  <w:footnote w:id="116">
    <w:p w14:paraId="34A94635" w14:textId="412A13BE"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Ez a kizárás nem vonatkozik az ezen intézkedés keretében a meglévő mechanikus-biológiai hulladékkezelő létesítményekben végrehajtott intézkedésekre, amennyiben az ezen intézkedés keretében végrehajtott fellépések célja az energiahatékonyság növelése vagy az elkülönített hulladék újrafeldolgozási műveletekhez való utólagos átalakítása a biohulladék komposztálása és a biohulladék anaerob lebontása céljából, feltéve, hogy az ezen intézkedés szerinti szerinti ilyen fellépések nem eredményezik az üzemek hulladékfeldolgozási kapacitásának növelését vagy az üzemek élettartamának meghosszabbítását; ezek esetében az üzem szintjén szolgáltatnak bizonyítékot.</w:t>
      </w:r>
    </w:p>
  </w:footnote>
  <w:footnote w:id="117">
    <w:p w14:paraId="33E3A5FA" w14:textId="3FA7E6DF"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A digitális hozzájárulás kiszámítása céljából a nem konkrét projektekre irányuló saját tőke, kvázisajáttőke, vállalati kötvények vagy ezekkel egyenértékű eszközök esetében kritériumokat kell alkalmazni annak előírására, hogy a kedvezményezett előző pénzügyi évben szerzett bevételének vagy az üzleti terv szerinti jövőbeli bevételeknek legalább 90%-a olyan tevékenységből származzon, illetve olyan tevékenységből származzon, amely megfelel az RRF-rendelet VII. mellékletében szereplő alkalmazandó beavatkozási területekből eredő releváns kritériumoknak. </w:t>
      </w:r>
    </w:p>
  </w:footnote>
  <w:footnote w:id="118">
    <w:p w14:paraId="326C811D"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A 2013/34/EU irányelvet a fenntarthatósággal kapcsolatos vállalati beszámolásról szóló (EU) 2022/2464 irányelv módosítja.</w:t>
      </w:r>
    </w:p>
  </w:footnote>
  <w:footnote w:id="119">
    <w:p w14:paraId="07A1FD78" w14:textId="461565C2"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Kivéve az a) az ezen intézkedés hatálya alá tartozó, földgázt felhasználó villamosenergia- és/vagy hőtermeléssel, valamint a kapcsolódó átviteli és elosztási infrastruktúrával kapcsolatos projekteket, amelyek megfelelnek a jelentős károkozás elkerülését célzó technikai iránymutatás (2021/C58/01) III. mellékletében meghatározott feltételeknek, valamint b) a ii. pont szerinti olyan tevékenységek és eszközök, amelyek esetében a fosszilis tüzelőanyagok használata átmeneti és technikailag elkerülhetetlen a fosszilis tüzelőanyagoktól mentes üzemre való időben történő átállás szempontjából, a fosszilis tüzelőanyagokat pedig idővel teljes mértékben kivezetik.</w:t>
      </w:r>
    </w:p>
  </w:footnote>
  <w:footnote w:id="120">
    <w:p w14:paraId="6C85A674"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Amennyiben a támogatott tevékenység olyan előre jelzett üvegházhatásúgáz-kibocsátást ér el, amely nem alacsonyabb a vonatkozó referenciaértékeknél, magyarázatot kell adni arra, hogy ez miért nem lehetséges. A kibocsátáskereskedelmi rendszer hatálya alá tartozó tevékenységekre vonatkozó ingyenes kiosztásra vonatkozóan az (EU) 2021/447 bizottsági végrehajtási rendeletben meghatározott referenciaértékek. </w:t>
      </w:r>
    </w:p>
  </w:footnote>
  <w:footnote w:id="121">
    <w:p w14:paraId="5E4FA361"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Ez a kizárás nem vonatkozik az ezen intézkedés szerinti fellépésekre a kizárólag nem újrafeldolgozható veszélyes hulladékok kezelésére szolgáló létesítményekben, valamint a meglévő üzemekben, ahol az ezen intézkedés szerinti tevékenységek célja az energiahatékonyság növelése, a füstgázok tárolási célú megkötése vagy a hulladékégetésből származó hamuból származó anyagok felhasználása vagy kinyerése, feltéve, hogy az ezen intézkedés szerinti fellépések nem eredményezik az üzemek hulladékfeldolgozási kapacitásának növekedését vagy az üzemek élettartamának meghosszabbítását; ezek esetében az üzem szintjén szolgáltatnak bizonyítékot. </w:t>
      </w:r>
    </w:p>
  </w:footnote>
  <w:footnote w:id="122">
    <w:p w14:paraId="303BA82A"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Ez a kizárás nem vonatkozik az ezen intézkedés keretében a meglévő mechanikus-biológiai hulladékkezelő létesítményekben végrehajtott intézkedésekre, amennyiben az ezen intézkedés keretében végrehajtott fellépések célja az energiahatékonyság növelése vagy az elkülönített hulladék újrafeldolgozási műveletekhez való utólagos átalakítása a biohulladék komposztálása és a biohulladék anaerob lebontása céljából, feltéve, hogy az ezen intézkedés szerinti szerinti ilyen fellépések nem eredményezik az üzemek hulladékfeldolgozási kapacitásának növelését vagy az üzemek élettartamának meghosszabbítását; ezek esetében az üzem szintjén szolgáltatnak bizonyítékot. </w:t>
      </w:r>
    </w:p>
  </w:footnote>
  <w:footnote w:id="123">
    <w:p w14:paraId="5E76761E" w14:textId="4322F5E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A digitális hozzájárulás kiszámítása céljából a nem konkrét projektekre irányuló saját tőke, kvázisajáttőke, vállalati kötvények vagy ezekkel egyenértékű eszközök esetében kritériumokat kell alkalmazni annak előírására, hogy a kedvezményezett előző pénzügyi évben szerzett bevételének vagy az üzleti terv szerinti jövőbeli bevételeknek legalább 90%-a olyan tevékenységből származzon, illetve fog származzon, amely megfelel az RRF-rendelet VII. mellékletében szereplő alkalmazandó beavatkozási területekből eredő releváns kritériumoknak. </w:t>
      </w:r>
    </w:p>
  </w:footnote>
  <w:footnote w:id="124">
    <w:p w14:paraId="5E6C3D45" w14:textId="77777777" w:rsidR="00D65CB4" w:rsidRPr="00BC4EE7" w:rsidRDefault="00572307">
      <w:pPr>
        <w:rPr>
          <w:rFonts w:ascii="Times New Roman" w:hAnsi="Times New Roman" w:cs="Times New Roman"/>
          <w:sz w:val="20"/>
        </w:rPr>
      </w:pPr>
      <w:r w:rsidRPr="00BC4EE7">
        <w:rPr>
          <w:rStyle w:val="FootnoteReference"/>
          <w:rFonts w:ascii="Times New Roman" w:hAnsi="Times New Roman" w:cs="Times New Roman"/>
          <w:sz w:val="20"/>
        </w:rPr>
        <w:footnoteRef/>
      </w:r>
      <w:r w:rsidRPr="00BC4EE7">
        <w:rPr>
          <w:rFonts w:ascii="Times New Roman" w:hAnsi="Times New Roman" w:cs="Times New Roman"/>
          <w:sz w:val="20"/>
        </w:rPr>
        <w:t xml:space="preserve"> Kiberbiztonsági Együttműködési Csoport, Az 5G hálózatok kiberbiztonsága A kockázatcsökkentő intézkedések uniós eszköztára, 2020. 01., https://ec.europa.eu/newsroom/dae/document.cfm?doc_id=64468</w:t>
      </w:r>
    </w:p>
  </w:footnote>
  <w:footnote w:id="125">
    <w:p w14:paraId="79775987" w14:textId="77777777" w:rsidR="00D65CB4" w:rsidRPr="00BC4EE7" w:rsidRDefault="00572307">
      <w:pPr>
        <w:spacing w:after="0"/>
        <w:rPr>
          <w:rFonts w:ascii="Times New Roman" w:hAnsi="Times New Roman" w:cs="Times New Roman"/>
          <w:sz w:val="20"/>
        </w:rPr>
      </w:pPr>
      <w:r w:rsidRPr="00BC4EE7">
        <w:rPr>
          <w:rStyle w:val="FootnoteReference"/>
          <w:rFonts w:ascii="Times New Roman" w:hAnsi="Times New Roman" w:cs="Times New Roman"/>
          <w:sz w:val="20"/>
        </w:rPr>
        <w:footnoteRef/>
      </w:r>
      <w:r w:rsidRPr="00BC4EE7">
        <w:rPr>
          <w:rFonts w:ascii="Times New Roman" w:hAnsi="Times New Roman" w:cs="Times New Roman"/>
          <w:sz w:val="20"/>
        </w:rPr>
        <w:t xml:space="preserve"> Az Európai Parlament és a Tanács (EU) 2021/697 rendelete (2021. április 29.) az Európai Védelmi Alap létrehozásáról</w:t>
      </w:r>
    </w:p>
  </w:footnote>
  <w:footnote w:id="126">
    <w:p w14:paraId="72B28B99" w14:textId="77777777" w:rsidR="00D65CB4" w:rsidRPr="00BC4EE7" w:rsidRDefault="00572307">
      <w:pPr>
        <w:spacing w:after="0"/>
        <w:rPr>
          <w:rFonts w:ascii="Times New Roman" w:hAnsi="Times New Roman" w:cs="Times New Roman"/>
        </w:rPr>
      </w:pPr>
      <w:r w:rsidRPr="00BC4EE7">
        <w:rPr>
          <w:rStyle w:val="FootnoteReference"/>
          <w:rFonts w:ascii="Times New Roman" w:hAnsi="Times New Roman" w:cs="Times New Roman"/>
          <w:sz w:val="20"/>
        </w:rPr>
        <w:footnoteRef/>
      </w:r>
      <w:r w:rsidRPr="00BC4EE7">
        <w:rPr>
          <w:rFonts w:ascii="Times New Roman" w:hAnsi="Times New Roman" w:cs="Times New Roman"/>
          <w:sz w:val="20"/>
        </w:rPr>
        <w:t xml:space="preserve"> (EU) 2021/696 rendelet az uniós űrprogram és az Európai Unió Űrprogramügynökségének létrehozásáról</w:t>
      </w:r>
    </w:p>
  </w:footnote>
  <w:footnote w:id="127">
    <w:p w14:paraId="4067BF7D" w14:textId="2F40705E" w:rsidR="00D65CB4" w:rsidRPr="00BC4EE7" w:rsidRDefault="00572307">
      <w:pPr>
        <w:spacing w:after="0" w:line="240" w:lineRule="auto"/>
        <w:jc w:val="both"/>
        <w:rPr>
          <w:rFonts w:ascii="Times New Roman" w:eastAsia="Times New Roman" w:hAnsi="Times New Roman" w:cs="Times New Roman"/>
          <w:sz w:val="24"/>
        </w:rPr>
      </w:pPr>
      <w:r w:rsidRPr="00BC4EE7">
        <w:rPr>
          <w:rStyle w:val="FootnoteReference"/>
          <w:rFonts w:ascii="Times New Roman" w:hAnsi="Times New Roman" w:cs="Times New Roman"/>
        </w:rPr>
        <w:footnoteRef/>
      </w:r>
      <w:r w:rsidRPr="00BC4EE7">
        <w:rPr>
          <w:rFonts w:ascii="Times New Roman" w:hAnsi="Times New Roman" w:cs="Times New Roman"/>
          <w:sz w:val="20"/>
        </w:rPr>
        <w:t>Kivéve az a) a jelentős károkozás elkerülését célzó technikai iránymutatás (2021/C58/01) III. mellékletében meghatározott feltételeknek megfelelő, földgázt felhasználó villamosenergia- és/vagy hőtermeléssel kapcsolatos eszközöket és tevékenységeket, valamint a kapcsolódó átviteli és elosztási infrastruktúrát, valamint b) a ii. pont szerinti tevékenységeket és eszközöket, amelyek esetében a fosszilis tüzelőanyagok használata átmeneti és technikailag elkerülhetetlen a fosszilis tüzelőanyagoktól mentes üzemre való időben történő átállás szempontjából.</w:t>
      </w:r>
    </w:p>
  </w:footnote>
  <w:footnote w:id="128">
    <w:p w14:paraId="6729EEF5" w14:textId="56238AA2" w:rsidR="00D65CB4" w:rsidRPr="00BC4EE7" w:rsidRDefault="00572307">
      <w:pPr>
        <w:spacing w:after="0" w:line="240" w:lineRule="auto"/>
        <w:jc w:val="both"/>
        <w:rPr>
          <w:rFonts w:ascii="Times New Roman" w:eastAsia="Times New Roman" w:hAnsi="Times New Roman" w:cs="Times New Roman"/>
          <w:sz w:val="24"/>
          <w:shd w:val="clear" w:color="auto" w:fill="FFFFFF"/>
        </w:rPr>
      </w:pPr>
      <w:r w:rsidRPr="00BC4EE7">
        <w:rPr>
          <w:rStyle w:val="FootnoteReference"/>
          <w:rFonts w:ascii="Times New Roman" w:hAnsi="Times New Roman" w:cs="Times New Roman"/>
        </w:rPr>
        <w:footnoteRef/>
      </w:r>
      <w:r w:rsidRPr="00BC4EE7">
        <w:rPr>
          <w:rFonts w:ascii="Times New Roman" w:hAnsi="Times New Roman" w:cs="Times New Roman"/>
          <w:sz w:val="20"/>
        </w:rPr>
        <w:t>Beleértve az uniós kibocsátáskereskedelmi rendszer (ETS) keretében végzett olyan tevékenységeket és eszközöket, amelyek elérik a vonatkozó referenciaértékeket meg nem haladó, előre jelzett üvegházhatásúgáz-kibocsátást. Amennyiben a támogatott tevékenység nem eredményez a vonatkozó referenciaértékeknél lényegesen alacsonyabb előrejelzett üvegházhatásúgáz-kibocsátást, ismertetni kell azokat az okokat, amelyek miatt nem érhető el nagyobb kibocsátáscsökkenés. Az (EU) 2021/447 bizottsági végrehajtási rendeletben meghatározott, a kibocsátáskereskedelmi rendszer hatálya alá tartozó tevékenységekre vonatkozó ingyenes kiosztásra megállapított referenciaértékek.</w:t>
      </w:r>
      <w:r w:rsidRPr="00BC4EE7">
        <w:rPr>
          <w:rFonts w:ascii="Times New Roman" w:hAnsi="Times New Roman" w:cs="Times New Roman"/>
          <w:sz w:val="20"/>
          <w:shd w:val="clear" w:color="auto" w:fill="FFFFFF"/>
        </w:rPr>
        <w:t>Az intézkedés végrehajtását 2026. augusztus 31-ig be kell fejezni.</w:t>
      </w:r>
    </w:p>
  </w:footnote>
  <w:footnote w:id="129">
    <w:p w14:paraId="6F7DB3F9"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Ez a kizárás nem vonatkozik az ezen intézkedés szerinti fellépésekre a kizárólag nem újrafeldolgozható veszélyes hulladékok kezelésére szolgáló létesítményekben, valamint a meglévő üzemekben, ahol az ezen intézkedés szerinti tevékenységek célja az energiahatékonyság növelése, a füstgázok tárolási célú megkötése vagy a hulladékégetésből származó hamuból származó anyagok felhasználása vagy kinyerése, feltéve, hogy az ezen intézkedés szerinti fellépések nem eredményezik az üzemek hulladékfeldolgozási kapacitásának növekedését vagy az üzemek élettartamának meghosszabbítását; ezek esetében az üzem szintjén szolgáltatnak bizonyítékot.</w:t>
      </w:r>
    </w:p>
  </w:footnote>
  <w:footnote w:id="130">
    <w:p w14:paraId="446E45FA"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Ez a kizárás nem vonatkozik az ezen intézkedés keretében a meglévő mechanikus-biológiai hulladékkezelő létesítményekben végrehajtott intézkedésekre, amennyiben az ezen intézkedés keretében végrehajtott fellépések célja az energiahatékonyság növelése vagy az elkülönített hulladék újrafeldolgozási műveletekhez való utólagos átalakítása a biohulladék komposztálása és a biohulladék anaerob lebontása céljából, feltéve, hogy az ezen intézkedés szerinti szerinti ilyen fellépések nem eredményezik az üzemek hulladékfeldolgozási kapacitásának növelését vagy az üzemek élettartamának meghosszabbítását; ezek esetében az üzem szintjén szolgáltatnak bizonyítékot.</w:t>
      </w:r>
    </w:p>
  </w:footnote>
  <w:footnote w:id="131">
    <w:p w14:paraId="144E1564" w14:textId="2C8A4371" w:rsidR="00D65CB4" w:rsidRPr="00BC4EE7" w:rsidRDefault="00572307">
      <w:pPr>
        <w:spacing w:after="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w:t>
      </w:r>
      <w:r w:rsidRPr="00BC4EE7">
        <w:rPr>
          <w:rFonts w:ascii="Times New Roman" w:hAnsi="Times New Roman" w:cs="Times New Roman"/>
          <w:sz w:val="20"/>
        </w:rPr>
        <w:t>Úgy tekinthető, hogy a végső kedvezményezett „jelentősen egy ágazatra vagy üzleti tevékenységre” összpontosít, ha az ágazat vagy tevékenység a végső kedvezményezett üzleti tevékenységének lényeges része, a végső kedvezményezett bruttó bevételéhez, nyereségéhez vagy ügyfélköréhez viszonyítva. A korlátozás alá eső ágazatból vagy tevékenységből származó bruttó bevétel semmi esetre sem haladhatja meg a bruttó bevétel 50%-át.</w:t>
      </w:r>
    </w:p>
  </w:footnote>
  <w:footnote w:id="132">
    <w:p w14:paraId="1CB55135" w14:textId="3F151E1E"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Kivéve az a) a jelentős károkozás elkerülését célzó technikai iránymutatás (2021/C58/01) III. mellékletében meghatározott feltételeknek megfelelő, földgázt felhasználó villamosenergia- és/vagy hőtermeléssel kapcsolatos eszközöket és tevékenységeket, valamint a kapcsolódó átviteli és elosztási infrastruktúrát, valamint b) a ii. pont szerinti tevékenységeket és eszközöket, amelyek esetében a fosszilis tüzelőanyagok használata átmeneti és technikailag elkerülhetetlen a fosszilis tüzelőanyagoktól mentes üzemre való időben történő átállás szempontjából.</w:t>
      </w:r>
    </w:p>
  </w:footnote>
  <w:footnote w:id="133">
    <w:p w14:paraId="5F2ACA3A" w14:textId="428B674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Beleértve az uniós kibocsátáskereskedelmi rendszer (ETS) keretében végzett olyan tevékenységeket és eszközöket, amelyek elérik a vonatkozó referenciaértékeket meg nem haladó, előre jelzett üvegházhatásúgáz-kibocsátást. Amennyiben a támogatott tevékenység nem eredményez a vonatkozó referenciaértékeknél lényegesen alacsonyabb előrejelzett üvegházhatásúgáz-kibocsátást, ismertetni kell azokat az okokat, amelyek miatt nem érhető el nagyobb kibocsátáscsökkenés. A kibocsátáskereskedelmi rendszer hatálya alá tartozó tevékenységekre vonatkozó ingyenes kiosztásra vonatkozóan az (EU) 2021/447 bizottsági végrehajtási rendeletben meghatározott referenciaértékek.</w:t>
      </w:r>
    </w:p>
  </w:footnote>
  <w:footnote w:id="134">
    <w:p w14:paraId="03D47B69" w14:textId="70D3DC79"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A szennyező járművek nem kibocsátásmentes járművek.</w:t>
      </w:r>
    </w:p>
  </w:footnote>
  <w:footnote w:id="135">
    <w:p w14:paraId="03BE60AC" w14:textId="60BC34FB"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Ez a kizárás nem vonatkozik a kizárólag a nem újrahasznosítható veszélyes hulladékok kezelésére szolgáló üzemekben végzett tevékenységekre, valamint a meglévő üzemekre, amennyiben az ezen intézkedés keretében végrehajtott intézkedések célja az energiahatékonyság növelése, a kipufogógázok tárolása vagy felhasználása vagy az égetési hamuból származó anyagok visszanyerése, feltéve, hogy az ezen intézkedés keretében végrehajtott ilyen intézkedések nem eredményezik az üzemek hulladékfeldolgozási kapacitásának növekedését vagy az üzemek élettartamának meghosszabbítását; ezek esetében az üzem szintjén szolgáltatnak bizonyítékot.</w:t>
      </w:r>
    </w:p>
  </w:footnote>
  <w:footnote w:id="136">
    <w:p w14:paraId="62EE6026" w14:textId="482E27BA"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Kivéve az a) a jelentős károkozás elkerülését célzó technikai iránymutatás (2021/C58/01) III. mellékletében meghatározott feltételeknek megfelelő, földgázt felhasználó villamosenergia- és/vagy hőtermeléssel kapcsolatos eszközöket és tevékenységeket, valamint a kapcsolódó átviteli és elosztási infrastruktúrát, valamint b) a ii. pont szerinti tevékenységeket és eszközöket, amelyek esetében a fosszilis tüzelőanyagok használata átmeneti és technikailag elkerülhetetlen a fosszilis tüzelőanyagoktól mentes üzemre való időben történő átállás szempontjából.</w:t>
      </w:r>
    </w:p>
  </w:footnote>
  <w:footnote w:id="137">
    <w:p w14:paraId="651F7B0D" w14:textId="673BB074"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Amennyiben a támogatott tevékenység nem eredményez a vonatkozó referenciaértékeknél lényegesen alacsonyabb előrejelzett üvegházhatásúgáz-kibocsátást, ismertetni kell azokat az okokat, amelyek miatt nem érhető el nagyobb kibocsátáscsökkenés. A kibocsátáskereskedelmi rendszer hatálya alá tartozó tevékenységekre vonatkozó ingyenes kiosztásra vonatkozóan az (EU) 2021/447 bizottsági végrehajtási rendeletben meghatározott referenciaértékek.</w:t>
      </w:r>
    </w:p>
  </w:footnote>
  <w:footnote w:id="138">
    <w:p w14:paraId="6B92AA74" w14:textId="77777777" w:rsidR="00D65CB4" w:rsidRPr="00BC4EE7" w:rsidRDefault="00572307">
      <w:pPr>
        <w:spacing w:before="120" w:after="120" w:line="240" w:lineRule="auto"/>
        <w:jc w:val="both"/>
        <w:rPr>
          <w:rFonts w:ascii="Times New Roman" w:eastAsia="Times New Roman" w:hAnsi="Times New Roman" w:cs="Times New Roman"/>
          <w:sz w:val="20"/>
        </w:rPr>
      </w:pPr>
      <w:r w:rsidRPr="00BC4EE7">
        <w:rPr>
          <w:rStyle w:val="FootnoteReference"/>
          <w:rFonts w:ascii="Times New Roman" w:hAnsi="Times New Roman" w:cs="Times New Roman"/>
          <w:sz w:val="20"/>
        </w:rPr>
        <w:footnoteRef/>
      </w:r>
      <w:r w:rsidRPr="00BC4EE7">
        <w:rPr>
          <w:rFonts w:ascii="Times New Roman" w:hAnsi="Times New Roman" w:cs="Times New Roman"/>
          <w:sz w:val="20"/>
        </w:rPr>
        <w:t xml:space="preserve"> Kivéve az a) a jelentős károkozás elkerülését célzó technikai iránymutatás (2021/C58/01) III. mellékletében meghatározott feltételeknek megfelelő, földgázt felhasználó villamosenergia- és/vagy hőtermeléssel kapcsolatos eszközöket és tevékenységeket, valamint a kapcsolódó átviteli és elosztási infrastruktúrát, valamint b) a ii. pont szerinti tevékenységeket és eszközöket, amelyek esetében a fosszilis tüzelőanyagok használata átmeneti és technikailag elkerülhetetlen a fosszilis tüzelőanyagoktól mentes üzemre való időben történő átállás szempontjából.</w:t>
      </w:r>
    </w:p>
  </w:footnote>
  <w:footnote w:id="139">
    <w:p w14:paraId="74A21594" w14:textId="77777777" w:rsidR="00D65CB4" w:rsidRPr="00BC4EE7" w:rsidRDefault="00572307">
      <w:pPr>
        <w:spacing w:before="120" w:after="120" w:line="240" w:lineRule="auto"/>
        <w:jc w:val="both"/>
        <w:rPr>
          <w:rFonts w:ascii="Times New Roman" w:eastAsia="Times New Roman" w:hAnsi="Times New Roman" w:cs="Times New Roman"/>
          <w:sz w:val="20"/>
          <w:shd w:val="clear" w:color="auto" w:fill="FFFFFF"/>
        </w:rPr>
      </w:pPr>
      <w:r w:rsidRPr="00BC4EE7">
        <w:rPr>
          <w:rStyle w:val="FootnoteReference"/>
          <w:rFonts w:ascii="Times New Roman" w:hAnsi="Times New Roman" w:cs="Times New Roman"/>
          <w:sz w:val="20"/>
        </w:rPr>
        <w:footnoteRef/>
      </w:r>
      <w:r w:rsidRPr="00BC4EE7">
        <w:rPr>
          <w:rFonts w:ascii="Times New Roman" w:hAnsi="Times New Roman" w:cs="Times New Roman"/>
          <w:sz w:val="20"/>
        </w:rPr>
        <w:t xml:space="preserve"> Beleértve az uniós kibocsátáskereskedelmi rendszer (ETS) keretében végzett olyan tevékenységeket és eszközöket, amelyek elérik a vonatkozó referenciaértékeket meg nem haladó, előre jelzett üvegházhatásúgáz-kibocsátást. Amennyiben a támogatott tevékenység nem eredményez a vonatkozó referenciaértékeknél lényegesen alacsonyabb előrejelzett üvegházhatásúgáz-kibocsátást, ismertetni kell azokat az okokat, amelyek miatt nem érhető el nagyobb kibocsátáscsökkenés. Az (EU) 2021/447 bizottsági végrehajtási rendeletben meghatározott, a kibocsátáskereskedelmi rendszer hatálya alá tartozó tevékenységekre vonatkozó ingyenes kiosztásra megállapított referenciaértékek.</w:t>
      </w:r>
      <w:r w:rsidRPr="00BC4EE7">
        <w:rPr>
          <w:rFonts w:ascii="Times New Roman" w:hAnsi="Times New Roman" w:cs="Times New Roman"/>
          <w:sz w:val="20"/>
          <w:shd w:val="clear" w:color="auto" w:fill="FFFFFF"/>
        </w:rPr>
        <w:t>Az intézkedés végrehajtását 2026. augusztus 31-ig be kell fejezni.</w:t>
      </w:r>
    </w:p>
  </w:footnote>
  <w:footnote w:id="140">
    <w:p w14:paraId="06BE09BB" w14:textId="04B2E985"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Ez a kizárás nem vonatkozik az ezen intézkedés szerinti fellépésekre a kizárólag nem újrafeldolgozható veszélyes hulladékok kezelésére szolgáló létesítményekben, valamint a meglévő üzemekben, ahol az ezen intézkedés szerinti tevékenységek célja az energiahatékonyság növelése, a füstgázok tárolási célú megkötése vagy a hulladékégetésből származó hamuból származó anyagok felhasználása vagy kinyerése, feltéve, hogy az ezen intézkedés szerinti fellépések nem eredményezik az üzemek hulladékfeldolgozási kapacitásának növekedését vagy az üzemek élettartamának meghosszabbítását; ezek esetében az üzem szintjén szolgáltatnak bizonyítékot.</w:t>
      </w:r>
    </w:p>
  </w:footnote>
  <w:footnote w:id="141">
    <w:p w14:paraId="43880B13" w14:textId="5EB557F3"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Ez a kizárás nem vonatkozik az ezen intézkedés keretében a meglévő mechanikus-biológiai hulladékkezelő létesítményekben végrehajtott intézkedésekre, amennyiben az ezen intézkedés keretében végrehajtott fellépések célja az energiahatékonyság növelése vagy az elkülönített hulladék újrafeldolgozási műveletekhez való utólagos átalakítása a biohulladék komposztálása és a biohulladék anaerob lebontása céljából, feltéve, hogy az ezen intézkedés szerinti szerinti ilyen fellépések nem eredményezik az üzemek hulladékfeldolgozási kapacitásának növelését vagy az üzemek élettartamának meghosszabbítását; ezek esetében az üzem szintjén szolgáltatnak bizonyítékot.</w:t>
      </w:r>
    </w:p>
  </w:footnote>
  <w:footnote w:id="142">
    <w:p w14:paraId="2F461A80" w14:textId="4F4A10AE" w:rsidR="00D65CB4" w:rsidRPr="00BC4EE7" w:rsidRDefault="00572307">
      <w:pPr>
        <w:spacing w:before="120" w:after="120" w:line="240" w:lineRule="auto"/>
        <w:jc w:val="both"/>
        <w:rPr>
          <w:rFonts w:ascii="Times New Roman" w:eastAsia="Times New Roman" w:hAnsi="Times New Roman" w:cs="Times New Roman"/>
          <w:sz w:val="20"/>
        </w:rPr>
      </w:pPr>
      <w:r w:rsidRPr="00BC4EE7">
        <w:rPr>
          <w:rStyle w:val="FootnoteReference"/>
          <w:rFonts w:ascii="Times New Roman" w:hAnsi="Times New Roman" w:cs="Times New Roman"/>
          <w:sz w:val="20"/>
        </w:rPr>
        <w:footnoteRef/>
      </w:r>
      <w:r w:rsidRPr="00BC4EE7">
        <w:rPr>
          <w:rFonts w:ascii="Times New Roman" w:hAnsi="Times New Roman" w:cs="Times New Roman"/>
          <w:sz w:val="20"/>
        </w:rPr>
        <w:t>A 2013/34/EU irányelvet a fenntarthatósággal kapcsolatos vállalati beszámolásról szóló (EU) 2022/2464 irányelv módosítja.</w:t>
      </w:r>
    </w:p>
  </w:footnote>
  <w:footnote w:id="143">
    <w:p w14:paraId="2F73802F" w14:textId="77777777" w:rsidR="00D65CB4" w:rsidRPr="00BC4EE7" w:rsidRDefault="00572307">
      <w:pPr>
        <w:spacing w:before="120" w:after="120" w:line="240" w:lineRule="auto"/>
        <w:jc w:val="both"/>
        <w:rPr>
          <w:rFonts w:ascii="Times New Roman" w:hAnsi="Times New Roman" w:cs="Times New Roman"/>
          <w:sz w:val="20"/>
        </w:rPr>
      </w:pPr>
      <w:r w:rsidRPr="00BC4EE7">
        <w:rPr>
          <w:rStyle w:val="FootnoteReference"/>
          <w:rFonts w:ascii="Times New Roman" w:hAnsi="Times New Roman" w:cs="Times New Roman"/>
          <w:sz w:val="20"/>
        </w:rPr>
        <w:footnoteRef/>
      </w:r>
      <w:r w:rsidRPr="00BC4EE7">
        <w:rPr>
          <w:rFonts w:ascii="Times New Roman" w:hAnsi="Times New Roman" w:cs="Times New Roman"/>
          <w:sz w:val="20"/>
        </w:rPr>
        <w:t xml:space="preserve"> Kivéve az a) az ezen intézkedés hatálya alá tartozó, földgázt felhasználó villamosenergia- és/vagy hőtermeléssel, valamint a kapcsolódó átviteli és elosztási infrastruktúrával kapcsolatos projekteket, amelyek megfelelnek a jelentős károkozás elkerülését célzó technikai iránymutatás (2021/C58/01) III. mellékletében meghatározott feltételeknek, valamint b) a ii. pont szerinti olyan tevékenységek és eszközök, amelyek esetében a fosszilis tüzelőanyagok használata átmeneti és technikailag elkerülhetetlen a fosszilis tüzelőanyagoktól mentes üzemre való időben történő átállás szempontjából, a fosszilis tüzelőanyagokat pedig idővel teljes mértékben kivezetik</w:t>
      </w:r>
    </w:p>
  </w:footnote>
  <w:footnote w:id="144">
    <w:p w14:paraId="7D096330" w14:textId="01426183"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Amennyiben a támogatott tevékenység olyan előre jelzett üvegházhatásúgáz-kibocsátást ér el, amely nem alacsonyabb a vonatkozó referenciaértékeknél, magyarázatot kell adni arra, hogy ez miért nem lehetséges. A kibocsátáskereskedelmi rendszer hatálya alá tartozó tevékenységekre vonatkozó ingyenes kiosztásra vonatkozóan az (EU) 2021/447 bizottsági végrehajtási rendeletben meghatározott referenciaértékek.</w:t>
      </w:r>
    </w:p>
  </w:footnote>
  <w:footnote w:id="145">
    <w:p w14:paraId="6C2F19A7" w14:textId="461A7633"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Ez a kizárás nem vonatkozik az ezen intézkedés szerinti fellépésekre a kizárólag nem újrafeldolgozható veszélyes hulladékok kezelésére szolgáló létesítményekben, valamint a meglévő üzemekben, ahol az ezen intézkedés szerinti tevékenységek célja az energiahatékonyság növelése, a füstgázok tárolási célú megkötése vagy a hulladékégetésből származó hamuból származó anyagok felhasználása vagy kinyerése, feltéve, hogy az ezen intézkedés szerinti fellépések nem eredményezik az üzemek hulladékfeldolgozási kapacitásának növekedését vagy az üzemek élettartamának meghosszabbítását; ezek esetében az üzem szintjén szolgáltatnak bizonyítékot.</w:t>
      </w:r>
    </w:p>
  </w:footnote>
  <w:footnote w:id="146">
    <w:p w14:paraId="65F80730" w14:textId="77777777" w:rsidR="00D65CB4" w:rsidRPr="00BC4EE7" w:rsidRDefault="00572307">
      <w:pPr>
        <w:pStyle w:val="ListParagraph"/>
        <w:ind w:left="0"/>
        <w:rPr>
          <w:rFonts w:ascii="Times New Roman" w:eastAsia="Times New Roman" w:hAnsi="Times New Roman" w:cs="Times New Roman"/>
          <w:sz w:val="20"/>
        </w:rPr>
      </w:pPr>
      <w:r w:rsidRPr="00BC4EE7">
        <w:rPr>
          <w:rStyle w:val="FootnoteReference"/>
          <w:rFonts w:ascii="Times New Roman" w:hAnsi="Times New Roman" w:cs="Times New Roman"/>
          <w:sz w:val="20"/>
        </w:rPr>
        <w:footnoteRef/>
      </w:r>
      <w:r w:rsidRPr="00BC4EE7">
        <w:rPr>
          <w:rFonts w:ascii="Times New Roman" w:hAnsi="Times New Roman" w:cs="Times New Roman"/>
          <w:sz w:val="20"/>
        </w:rPr>
        <w:t xml:space="preserve"> Ez a kizárás nem vonatkozik az ezen intézkedés keretében a meglévő mechanikus-biológiai hulladékkezelő létesítményekben végrehajtott intézkedésekre, amennyiben az ezen intézkedés keretében végrehajtott fellépések célja az energiahatékonyság növelése vagy az elkülönített hulladék újrafeldolgozási műveletekhez való utólagos átalakítása a biohulladék komposztálása és a biohulladék anaerob lebontása céljából, feltéve, hogy az ezen intézkedés szerinti szerinti ilyen fellépések nem eredményezik az üzemek hulladékfeldolgozási kapacitásának növelését vagy az üzemek élettartamának meghosszabbítását; ezek esetében az üzem szintjén szolgáltatnak bizonyítékot. </w:t>
      </w:r>
    </w:p>
    <w:p w14:paraId="7738AF73" w14:textId="77777777" w:rsidR="00D65CB4" w:rsidRPr="00BC4EE7" w:rsidRDefault="00D65CB4">
      <w:pPr>
        <w:pStyle w:val="FootnoteText"/>
        <w:ind w:left="0" w:firstLine="0"/>
        <w:rPr>
          <w:rFonts w:ascii="Times New Roman" w:hAnsi="Times New Roman" w:cs="Times New Roman"/>
        </w:rPr>
      </w:pPr>
    </w:p>
  </w:footnote>
  <w:footnote w:id="147">
    <w:p w14:paraId="6A8687C4" w14:textId="2E25EA5D"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A konkrét projektekhez kapcsolódó hitelek, részvételi hitelek, projektkötvények, garanciák vagy ezekkel egyenértékű eszközök végső kedvezményezettjei kötelesek minden támogatott projekt esetében megindokolni a kiválasztott beavatkozási területet, a projekt leírásával együtt. Az éghajlat-politikai hozzájárulás kiszámítása céljából a nem konkrét projektekre irányuló sajáttőke, kvázi-sajáttőke, vállalati kötvények vagy ezekkel egyenértékű eszközök esetében kritériumokat kell alkalmazni annak előírására, hogy a kedvezményezett előző pénzügyi évben szerzett bevételének vagy az üzleti terv szerinti jövőbeli bevételeknek legalább 90%-a olyan tevékenységből származzon, illetve olyan tevékenységből származzon, amely megfelel az RRF-rendelet VI. mellékletében szereplő alkalmazandó beavatkozási területekből eredő releváns kritériumoknak. A saját tőkéből, kvázisaját tőkéből, vállalati kötvényekből vagy ezekkel egyenértékű eszközökből származó, nem konkrét projektekre irányuló végső kedvezményezetteknek meg kell indokolniuk a kiválasztott beavatkozási terület(ek)et. A végrehajtó partnernek féléves jelentést kell benyújtania a tagállamnak az egyes projektek/tevékenységek végrehajtásáról.</w:t>
      </w:r>
    </w:p>
  </w:footnote>
  <w:footnote w:id="148">
    <w:p w14:paraId="4A7FBCDF" w14:textId="13D97DB9" w:rsidR="00D65CB4" w:rsidRPr="00BC4EE7" w:rsidRDefault="00572307">
      <w:pPr>
        <w:spacing w:before="160" w:after="0" w:line="240" w:lineRule="auto"/>
        <w:jc w:val="both"/>
        <w:rPr>
          <w:rFonts w:ascii="Times New Roman" w:eastAsia="Times New Roman" w:hAnsi="Times New Roman" w:cs="Times New Roman"/>
          <w:sz w:val="24"/>
        </w:rPr>
      </w:pPr>
      <w:r w:rsidRPr="00BC4EE7">
        <w:rPr>
          <w:rStyle w:val="FootnoteReference"/>
          <w:rFonts w:ascii="Times New Roman" w:hAnsi="Times New Roman" w:cs="Times New Roman"/>
        </w:rPr>
        <w:footnoteRef/>
      </w:r>
      <w:r w:rsidRPr="00BC4EE7">
        <w:rPr>
          <w:rFonts w:ascii="Times New Roman" w:hAnsi="Times New Roman" w:cs="Times New Roman"/>
        </w:rPr>
        <w:t xml:space="preserve"> </w:t>
      </w:r>
      <w:r w:rsidRPr="00BC4EE7">
        <w:rPr>
          <w:rFonts w:ascii="Times New Roman" w:hAnsi="Times New Roman" w:cs="Times New Roman"/>
          <w:sz w:val="20"/>
        </w:rPr>
        <w:t>Kivéve az a) a jelentős károkozás elkerülését célzó technikai iránymutatás (2021/C58/01) III. mellékletében meghatározott feltételeknek megfelelő, földgázt felhasználó villamosenergia- és/vagy hőtermelési projekteket, valamint a kapcsolódó átviteli és elosztási infrastruktúrát, valamint b) a ii. pont szerinti tevékenységeket és eszközöket, amelyek esetében a fosszilis tüzelőanyagok használata átmeneti és technikailag elkerülhetetlen a fosszilis tüzelőanyagoktól mentes üzemeltetésre való időben történő átállás szempontjából.</w:t>
      </w:r>
    </w:p>
  </w:footnote>
  <w:footnote w:id="149">
    <w:p w14:paraId="784A8839" w14:textId="72579574"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Amennyiben a támogatott tevékenység nem eredményez a vonatkozó referenciaértékeknél lényegesen alacsonyabb előrejelzett üvegházhatásúgáz-kibocsátást, ismertetni kell azokat az okokat, amelyek miatt nem érhető el nagyobb kibocsátáscsökkenés. A kibocsátáskereskedelmi rendszer hatálya alá tartozó tevékenységekre vonatkozó ingyenes kiosztásra vonatkozóan az (EU) 2021/447 bizottsági végrehajtási rendeletben meghatározott referenciaértékek.</w:t>
      </w:r>
    </w:p>
  </w:footnote>
  <w:footnote w:id="150">
    <w:p w14:paraId="01BAF0D9" w14:textId="777746A1"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Ez a kizárás nem vonatkozik a kizárólag a nem újrahasznosítható veszélyes hulladékok kezelésére szolgáló üzemekben végzett tevékenységekre, valamint a meglévő üzemekre, ahol az intézkedések célja az energiahatékonyság növelése, a kipufogógázok tárolása vagy felhasználása vagy az égetési hamuból származó anyagok visszanyerése, feltéve, hogy ezek az intézkedések nem eredményezik az üzem hulladékfeldolgozási kapacitásának növekedését vagy az üzemek élettartamának meghosszabbítását; ezek esetében az üzem szintjén szolgáltatnak bizonyítékot.  </w:t>
      </w:r>
    </w:p>
  </w:footnote>
  <w:footnote w:id="151">
    <w:p w14:paraId="53F002F8" w14:textId="09EA7658"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Ez a kizárás nem vonatkozik a meglévő mechanikai-biológiai szennyvíztisztító telepeken végzett tevékenységekre, amennyiben az intézkedések célja az energiahatékonyság növelése vagy az elkülönített hulladék komposzt biohulladékká történő újrafeldolgozására és a biohulladék anaerob lebontására való utólagos átalakítása, feltéve, hogy ezek az intézkedések nem eredményezik az üzemek hulladékfeldolgozási kapacitásának növekedését vagy a létesítmények élettartamának meghosszabbítását; ezek esetében az üzem szintjén szolgáltatnak bizonyítékot.</w:t>
      </w:r>
    </w:p>
  </w:footnote>
  <w:footnote w:id="152">
    <w:p w14:paraId="3F60B53A"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Kivéve az ezen intézkedés hatálya alá tartozó, a jelentős károkozás elkerülését célzó elvről szóló technikai iránymutatás (2021/C58/01) III. mellékletében meghatározott feltételeknek megfelelő, földgázt felhasználó villamosenergia- és/vagy hőtermelésre, valamint a kapcsolódó átviteli és elosztási infrastruktúrára irányuló projekteket.</w:t>
      </w:r>
    </w:p>
  </w:footnote>
  <w:footnote w:id="153">
    <w:p w14:paraId="7C155246"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Amennyiben a támogatott tevékenység olyan előrejelzett üvegházhatásúgáz-kibocsátást ér el, amely nem éri el jelentősen a vonatkozó referenciaértékeket, meg kell indokolni, hogy ez miért nem lehetséges. A kibocsátáskereskedelmi rendszer hatálya alá tartozó tevékenységekre vonatkozó ingyenes kiosztásra vonatkozóan az (EU) 2021/447 bizottsági végrehajtási rendeletben meghatározott referenciaértékek.</w:t>
      </w:r>
    </w:p>
  </w:footnote>
  <w:footnote w:id="154">
    <w:p w14:paraId="59025053"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Ez a kizárás nem vonatkozik az ezen intézkedés szerinti fellépésekre a kizárólag nem újrafeldolgozható veszélyes hulladékok kezelésére szolgáló létesítményekben, valamint a meglévő üzemekben, ahol az ezen intézkedés szerinti tevékenységek célja az energiahatékonyság növelése, a füstgázok tárolási célú megkötése vagy a hulladékégetésből származó hamuból származó anyagok felhasználása vagy kinyerése, feltéve, hogy az ezen intézkedés szerinti fellépések nem eredményezik az üzemek hulladékfeldolgozási kapacitásának növekedését vagy az üzemek élettartamának meghosszabbítását; ezek esetében az üzem szintjén szolgáltatnak bizonyítékot.</w:t>
      </w:r>
    </w:p>
  </w:footnote>
  <w:footnote w:id="155">
    <w:p w14:paraId="48D05499"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Ez a kizárás nem vonatkozik az ezen intézkedés keretében a meglévő mechanikus-biológiai hulladékkezelő létesítményekben végrehajtott intézkedésekre, amennyiben az ezen intézkedés keretében végrehajtott fellépések célja az energiahatékonyság növelése vagy az elkülönített hulladék újrafeldolgozási műveletekhez való utólagos átalakítása a biohulladék komposztálása és a biohulladék anaerob lebontása céljából, feltéve, hogy az ezen intézkedés szerinti szerinti ilyen fellépések nem eredményezik az üzemek hulladékfeldolgozási kapacitásának növelését vagy az üzemek élettartamának meghosszabbítását; ezek esetében az üzem szintjén szolgáltatnak bizonyítékot.</w:t>
      </w:r>
    </w:p>
  </w:footnote>
  <w:footnote w:id="156">
    <w:p w14:paraId="7B4A4041"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Kivéve az ezen intézkedés hatálya alá tartozó, a jelentős károkozás elkerülését célzó elvről szóló technikai iránymutatás (2021/C58/01) III. mellékletében meghatározott feltételeknek megfelelő, földgázt felhasználó villamosenergia- és/vagy hőtermelésre, valamint a kapcsolódó átviteli és elosztási infrastruktúrára irányuló projekteket.</w:t>
      </w:r>
    </w:p>
  </w:footnote>
  <w:footnote w:id="157">
    <w:p w14:paraId="6A8FF32C"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Amennyiben a támogatott tevékenység olyan előrejelzett üvegházhatásúgáz-kibocsátást ér el, amely nem éri el jelentősen a vonatkozó referenciaértékeket, meg kell indokolni, hogy ez miért nem lehetséges. A kibocsátáskereskedelmi rendszer hatálya alá tartozó tevékenységekre vonatkozó ingyenes kiosztásra vonatkozóan az (EU) 2021/447 bizottsági végrehajtási rendeletben meghatározott referenciaértékek.</w:t>
      </w:r>
    </w:p>
  </w:footnote>
  <w:footnote w:id="158">
    <w:p w14:paraId="2F70DF0A"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Ez a kizárás nem vonatkozik az ezen intézkedés szerinti fellépésekre a kizárólag nem újrafeldolgozható veszélyes hulladékok kezelésére szolgáló létesítményekben, valamint a meglévő üzemekben, ahol az ezen intézkedés szerinti tevékenységek célja az energiahatékonyság növelése, a füstgázok tárolási célú megkötése vagy a hulladékégetésből származó hamuból származó anyagok felhasználása vagy kinyerése, feltéve, hogy az ezen intézkedés szerinti fellépések nem eredményezik az üzemek hulladékfeldolgozási kapacitásának növekedését vagy az üzemek élettartamának meghosszabbítását; ezek esetében az üzem szintjén szolgáltatnak bizonyítékot.</w:t>
      </w:r>
    </w:p>
  </w:footnote>
  <w:footnote w:id="159">
    <w:p w14:paraId="1829465F"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Ez a kizárás nem vonatkozik az ezen intézkedés keretében a meglévő mechanikus-biológiai hulladékkezelő létesítményekben végrehajtott intézkedésekre, amennyiben az ezen intézkedés keretében végrehajtott fellépések célja az energiahatékonyság növelése vagy az elkülönített hulladék újrafeldolgozási műveletekhez való utólagos átalakítása a biohulladék komposztálása és a biohulladék anaerob lebontása céljából, feltéve, hogy az ezen intézkedés szerinti szerinti ilyen fellépések nem eredményezik az üzemek hulladékfeldolgozási kapacitásának növelését vagy az üzemek élettartamának meghosszabbítását; ezek esetében az üzem szintjén szolgáltatnak bizonyítékot.</w:t>
      </w:r>
    </w:p>
  </w:footnote>
  <w:footnote w:id="160">
    <w:p w14:paraId="4C7A2D7C" w14:textId="469BCAAD"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A digitális hozzájárulás kiszámítása céljából a nem konkrét projektekre irányuló sajáttőke, kvázi-sajáttőke, vállalati kötvények vagy ezekkel egyenértékű eszközök esetében a befektetési politikának elő kell írnia, hogy a kedvezményezett előző pénzügyi évben szerzett bevételének vagy üzleti terv szerinti jövőbeli bevételeinek legalább 90%-a olyan tevékenységből származzon, amely összhangban van az RRF-rendelet VII. mellékletében szereplő alkalmazandó beavatkozási területekkel.</w:t>
      </w:r>
    </w:p>
  </w:footnote>
  <w:footnote w:id="161">
    <w:p w14:paraId="7E9565A1"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Kivéve az ezen intézkedés hatálya alá tartozó, a jelentős károkozás elkerülését célzó elvről szóló technikai iránymutatás (2021/C58/01) III. mellékletében meghatározott feltételeknek megfelelő, földgázt felhasználó villamosenergia- és/vagy hőtermelésre, valamint a kapcsolódó átviteli és elosztási infrastruktúrára irányuló projekteket.</w:t>
      </w:r>
    </w:p>
  </w:footnote>
  <w:footnote w:id="162">
    <w:p w14:paraId="4468CBEC"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Amennyiben a támogatott tevékenység olyan előrejelzett üvegházhatásúgáz-kibocsátást ér el, amely nem éri el jelentősen a vonatkozó referenciaértékeket, meg kell indokolni, hogy ez miért nem lehetséges. A kibocsátáskereskedelmi rendszer hatálya alá tartozó tevékenységekre vonatkozó ingyenes kiosztásra vonatkozóan az (EU) 2021/447 bizottsági végrehajtási rendeletben meghatározott referenciaértékek.</w:t>
      </w:r>
    </w:p>
  </w:footnote>
  <w:footnote w:id="163">
    <w:p w14:paraId="0363EF16"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Ez a kizárás nem vonatkozik az ezen intézkedés szerinti fellépésekre a kizárólag nem újrafeldolgozható veszélyes hulladékok kezelésére szolgáló létesítményekben, valamint a meglévő üzemekben, ahol az ezen intézkedés szerinti tevékenységek célja az energiahatékonyság növelése, a füstgázok tárolási célú megkötése vagy a hulladékégetésből származó hamuból származó anyagok felhasználása vagy kinyerése, feltéve, hogy az ezen intézkedés szerinti fellépések nem eredményezik az üzemek hulladékfeldolgozási kapacitásának növekedését vagy az üzemek élettartamának meghosszabbítását; ezek esetében az üzem szintjén szolgáltatnak bizonyítékot.</w:t>
      </w:r>
    </w:p>
  </w:footnote>
  <w:footnote w:id="164">
    <w:p w14:paraId="2BD7C402"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Ez a kizárás nem vonatkozik az ezen intézkedés keretében a meglévő mechanikus-biológiai hulladékkezelő létesítményekben végrehajtott intézkedésekre, amennyiben az ezen intézkedés keretében végrehajtott fellépések célja az energiahatékonyság növelése vagy az elkülönített hulladék újrafeldolgozási műveletekhez való utólagos átalakítása a biohulladék komposztálása és a biohulladék anaerob lebontása céljából, feltéve, hogy az ezen intézkedés szerinti szerinti ilyen fellépések nem eredményezik az üzemek hulladékfeldolgozási kapacitásának növelését vagy az üzemek élettartamának meghosszabbítását; ezek esetében az üzem szintjén szolgáltatnak bizonyítékot.</w:t>
      </w:r>
    </w:p>
  </w:footnote>
  <w:footnote w:id="165">
    <w:p w14:paraId="0F87503B"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Kivéve az ezen intézkedés hatálya alá tartozó, a jelentős károkozás elkerülését célzó elvről szóló technikai iránymutatás (2021/C58/01) III. mellékletében meghatározott feltételeknek megfelelő, földgázt felhasználó villamosenergia- és/vagy hőtermelésre, valamint a kapcsolódó átviteli és elosztási infrastruktúrára irányuló projekteket.</w:t>
      </w:r>
    </w:p>
  </w:footnote>
  <w:footnote w:id="166">
    <w:p w14:paraId="551D9032"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Amennyiben a támogatott tevékenység olyan előrejelzett üvegházhatásúgáz-kibocsátást ér el, amely nem éri el jelentősen a vonatkozó referenciaértékeket, meg kell indokolni, hogy ez miért nem lehetséges. A kibocsátáskereskedelmi rendszer hatálya alá tartozó tevékenységekre vonatkozó ingyenes kiosztásra vonatkozóan az (EU) 2021/447 bizottsági végrehajtási rendeletben meghatározott referenciaértékek.</w:t>
      </w:r>
    </w:p>
  </w:footnote>
  <w:footnote w:id="167">
    <w:p w14:paraId="6A31A0CF"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Ez a kizárás nem vonatkozik az ezen intézkedés szerinti fellépésekre a kizárólag nem újrafeldolgozható veszélyes hulladékok kezelésére szolgáló létesítményekben, valamint a meglévő üzemekben, ahol az ezen intézkedés szerinti tevékenységek célja az energiahatékonyság növelése, a füstgázok tárolási célú megkötése vagy a hulladékégetésből származó hamuból származó anyagok felhasználása vagy kinyerése, feltéve, hogy az ezen intézkedés szerinti fellépések nem eredményezik az üzemek hulladékfeldolgozási kapacitásának növekedését vagy az üzemek élettartamának meghosszabbítását; ezek esetében az üzem szintjén szolgáltatnak bizonyítékot.</w:t>
      </w:r>
    </w:p>
  </w:footnote>
  <w:footnote w:id="168">
    <w:p w14:paraId="0CF30C74"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Ez a kizárás nem vonatkozik az ezen intézkedés keretében a meglévő mechanikus-biológiai hulladékkezelő létesítményekben végrehajtott intézkedésekre, amennyiben az ezen intézkedés keretében végrehajtott fellépések célja az energiahatékonyság növelése vagy az elkülönített hulladék újrafeldolgozási műveletekhez való utólagos átalakítása a biohulladék komposztálása és a biohulladék anaerob lebontása céljából, feltéve, hogy az ezen intézkedés szerinti szerinti ilyen fellépések nem eredményezik az üzemek hulladékfeldolgozási kapacitásának növelését vagy az üzemek élettartamának meghosszabbítását; ezek esetében az üzem szintjén szolgáltatnak bizonyítékot.</w:t>
      </w:r>
    </w:p>
  </w:footnote>
  <w:footnote w:id="169">
    <w:p w14:paraId="63317D27"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Amennyiben a támogatott tevékenység olyan előrejelzett üvegházhatásúgáz-kibocsátást ér el, amely nem éri el jelentősen a vonatkozó referenciaértékeket, meg kell indokolni, hogy ez miért nem lehetséges. A kibocsátáskereskedelmi rendszer hatálya alá tartozó tevékenységekre és létesítményekre vonatkozó ingyenes kiosztásra vonatkozóan az (EU) 2021/447 bizottsági végrehajtási rendeletben meghatározott referenciaértékek.</w:t>
      </w:r>
    </w:p>
  </w:footnote>
  <w:footnote w:id="170">
    <w:p w14:paraId="7C9B3827"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Kivéve az ezen intézkedés hatálya alá tartozó, a jelentős károkozás elkerülését célzó elvről szóló technikai iránymutatás (2021/C58/01) III. mellékletében meghatározott feltételeknek megfelelő, földgázt felhasználó villamosenergia- és/vagy hőtermelésre, valamint a kapcsolódó átviteli és elosztási infrastruktúrára irányuló projekteket.</w:t>
      </w:r>
    </w:p>
  </w:footnote>
  <w:footnote w:id="171">
    <w:p w14:paraId="69C61B17"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Kivéve az ezen intézkedés hatálya alá tartozó, a jelentős károkozás elkerülését célzó elvről szóló technikai iránymutatás (2021/C58/01) III. mellékletében meghatározott feltételeknek megfelelő, földgázt felhasználó villamosenergia- és/vagy hőtermelésre, valamint a kapcsolódó átviteli és elosztási infrastruktúrára irányuló projekteket.</w:t>
      </w:r>
    </w:p>
  </w:footnote>
  <w:footnote w:id="172">
    <w:p w14:paraId="700A22FC"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Amennyiben a támogatott tevékenység olyan előrejelzett üvegházhatásúgáz-kibocsátást ér el, amely nem éri el jelentősen a vonatkozó referenciaértékeket, meg kell indokolni, hogy ez miért nem lehetséges. A kibocsátáskereskedelmi rendszer hatálya alá tartozó tevékenységekre vonatkozó ingyenes kiosztásra vonatkozóan az (EU) 2021/447 bizottsági végrehajtási rendeletben meghatározott referenciaértékek.</w:t>
      </w:r>
    </w:p>
  </w:footnote>
  <w:footnote w:id="173">
    <w:p w14:paraId="4FED1163"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Ez a kizárás nem vonatkozik az ezen intézkedés szerinti fellépésekre a kizárólag nem újrafeldolgozható veszélyes hulladékok kezelésére szolgáló létesítményekben, valamint a meglévő üzemekben, ahol az ezen intézkedés szerinti tevékenységek célja az energiahatékonyság növelése, a füstgázok tárolási célú megkötése vagy a hulladékégetésből származó hamuból származó anyagok felhasználása vagy kinyerése, feltéve, hogy az ezen intézkedés szerinti fellépések nem eredményezik az üzemek hulladékfeldolgozási kapacitásának növekedését vagy az üzemek élettartamának meghosszabbítását; ezek esetében az üzem szintjén szolgáltatnak bizonyítékot.</w:t>
      </w:r>
    </w:p>
  </w:footnote>
  <w:footnote w:id="174">
    <w:p w14:paraId="54C0D5E9"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Ez a kizárás nem vonatkozik az ezen intézkedés keretében a meglévő mechanikus-biológiai hulladékkezelő létesítményekben végrehajtott intézkedésekre, amennyiben az ezen intézkedés keretében végrehajtott fellépések célja az energiahatékonyság növelése vagy az elkülönített hulladék újrafeldolgozási műveletekhez való utólagos átalakítása a biohulladék komposztálása és a biohulladék anaerob lebontása céljából, feltéve, hogy az ezen intézkedés szerinti szerinti ilyen fellépések nem eredményezik az üzemek hulladékfeldolgozási kapacitásának növelését vagy az üzemek élettartamának meghosszabbítását; ezek esetében az üzem szintjén szolgáltatnak bizonyítékot.</w:t>
      </w:r>
    </w:p>
  </w:footnote>
  <w:footnote w:id="175">
    <w:p w14:paraId="04DB2869"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Kivéve az ezen intézkedés keretében megvalósuló, a jelentős károkozás elkerülését célzó technikai iránymutatás (2021/C58/01) III. mellékletében meghatározott feltételeknek megfelelő, földgázt használó villamosenergia- és/vagy hőtermelési projekteket, valamint a kapcsolódó átviteli és elosztási infrastruktúrát. </w:t>
      </w:r>
    </w:p>
  </w:footnote>
  <w:footnote w:id="176">
    <w:p w14:paraId="66A9F2AC"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Amennyiben a támogatott tevékenység olyan előrejelzett üvegházhatásúgáz-kibocsátást ér el, amely nem éri el jelentősen a vonatkozó referenciaértékeket, meg kell indokolni, hogy ez miért nem lehetséges. A kibocsátáskereskedelmi rendszer hatálya alá tartozó tevékenységekre vonatkozó ingyenes kiosztásra vonatkozóan az (EU) 2021/447 bizottsági végrehajtási rendeletben meghatározott referenciaértékek.</w:t>
      </w:r>
    </w:p>
  </w:footnote>
  <w:footnote w:id="177">
    <w:p w14:paraId="20CFA8F9"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Ez a kizárás nem vonatkozik az ezen intézkedés szerinti fellépésekre a kizárólag nem újrafeldolgozható veszélyes hulladékok kezelésére szolgáló létesítményekben, valamint a meglévő üzemekben, ahol az ezen intézkedés szerinti tevékenységek célja az energiahatékonyság növelése, a füstgázok tárolási célú megkötése vagy a hulladékégetésből származó hamuból származó anyagok felhasználása vagy kinyerése, feltéve, hogy az ezen intézkedés szerinti fellépések nem eredményezik az üzemek hulladékfeldolgozási kapacitásának növekedését vagy az üzemek élettartamának meghosszabbítását; ezek esetében az üzem szintjén szolgáltatnak bizonyítékot.</w:t>
      </w:r>
    </w:p>
  </w:footnote>
  <w:footnote w:id="178">
    <w:p w14:paraId="59920EEE"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Ez a kizárás nem vonatkozik az ezen intézkedés keretében a meglévő mechanikus-biológiai hulladékkezelő létesítményekben végrehajtott intézkedésekre, amennyiben az ezen intézkedés keretében végrehajtott fellépések célja az energiahatékonyság növelése vagy az elkülönített hulladék újrafeldolgozási műveletekhez való utólagos átalakítása a biohulladék komposztálása és a biohulladék anaerob lebontása céljából, feltéve, hogy az ezen intézkedés szerinti szerinti ilyen fellépések nem eredményezik az üzemek hulladékfeldolgozási kapacitásának növelését vagy az üzemek élettartamának meghosszabbítását; ezek esetében az üzem szintjén szolgáltatnak bizonyítékot.</w:t>
      </w:r>
    </w:p>
  </w:footnote>
  <w:footnote w:id="179">
    <w:p w14:paraId="53539C52"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Kivéve az a) az ezen intézkedés hatálya alá tartozó, földgázt felhasználó villamosenergia- és/vagy hőtermeléssel, valamint a kapcsolódó átviteli és elosztási infrastruktúrával kapcsolatos projekteket, amelyek megfelelnek a jelentős károkozás elkerülését célzó technikai iránymutatás (2021/C58/01) III. mellékletében meghatározott feltételeknek, valamint b) a ii. pont szerinti olyan tevékenységek és eszközök, amelyek esetében a fosszilis tüzelőanyagok használata átmeneti és technikailag elkerülhetetlen a fosszilis tüzelőanyagoktól mentes üzemre való időben történő átállás szempontjából.</w:t>
      </w:r>
    </w:p>
  </w:footnote>
  <w:footnote w:id="180">
    <w:p w14:paraId="49A0EA27"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Amennyiben a támogatott tevékenység olyan előrejelzett üvegházhatásúgáz-kibocsátást ér el, amely nem éri el jelentősen a vonatkozó referenciaértékeket, meg kell indokolni, hogy ez miért nem lehetséges. A kibocsátáskereskedelmi rendszer hatálya alá tartozó tevékenységekre vonatkozó ingyenes kiosztásra vonatkozóan az (EU) 2021/447 bizottsági végrehajtási rendeletben meghatározott referenciaértékek.</w:t>
      </w:r>
    </w:p>
  </w:footnote>
  <w:footnote w:id="181">
    <w:p w14:paraId="3D43B761"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Ez a kizárás nem vonatkozik az ezen intézkedés szerinti fellépésekre a kizárólag nem újrafeldolgozható veszélyes hulladékok kezelésére szolgáló létesítményekben, valamint a meglévő üzemekben, ahol az ezen intézkedés szerinti tevékenységek célja az energiahatékonyság növelése, a füstgázok tárolási célú megkötése vagy a hulladékégetésből származó hamuból származó anyagok felhasználása vagy kinyerése, feltéve, hogy az ezen intézkedés szerinti fellépések nem eredményezik az üzemek hulladékfeldolgozási kapacitásának növekedését vagy az üzemek élettartamának meghosszabbítását; ezek esetében az üzem szintjén szolgáltatnak bizonyítékot.</w:t>
      </w:r>
    </w:p>
  </w:footnote>
  <w:footnote w:id="182">
    <w:p w14:paraId="69DEDC94"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Ez a kizárás nem vonatkozik az ezen intézkedés keretében a meglévő mechanikus-biológiai szennyvíztisztító telepeken végzett tevékenységekre, amennyiben az ezen intézkedés keretében végrehajtott intézkedések célja az energiahatékonyság növelése vagy az elkülönített hulladék komposzt biohulladékká történő újrafeldolgozása és a biohulladék anaerob lebontása, feltéve, hogy az ezen intézkedés keretében végrehajtott ilyen intézkedések nem eredményezik az üzemek hulladékfeldolgozási kapacitásának növekedését\ vagy az üzemek élettartamának meghosszabbítását; ezek esetében az üzem szintjén szolgáltatnak bizonyítékot.</w:t>
      </w:r>
    </w:p>
  </w:footnote>
  <w:footnote w:id="183">
    <w:p w14:paraId="25C0F987" w14:textId="351EDC76"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w:t>
      </w:r>
      <w:r w:rsidRPr="00BC4EE7">
        <w:rPr>
          <w:rStyle w:val="normaltextrun"/>
          <w:rFonts w:ascii="Times New Roman" w:hAnsi="Times New Roman" w:cs="Times New Roman"/>
          <w:shd w:val="clear" w:color="auto" w:fill="FFFFFF"/>
        </w:rPr>
        <w:t>Kivéve az a) az ezen intézkedés hatálya alá tartozó, földgázt felhasználó villamosenergia- és/vagy hőtermeléssel, valamint a kapcsolódó átviteli és elosztási infrastruktúrával kapcsolatos projekteket, amelyek megfelelnek a jelentős károkozás elkerülését célzó technikai iránymutatás (2021/C58/01) III. mellékletében meghatározott feltételeknek, valamint b) a ii. pont szerinti olyan tevékenységek és eszközök, amelyek esetében a fosszilis tüzelőanyagok használata átmeneti és technikailag elkerülhetetlen a fosszilis tüzelőanyagoktól mentes üzemre való időben történő átállás szempontjából.</w:t>
      </w:r>
    </w:p>
  </w:footnote>
  <w:footnote w:id="184">
    <w:p w14:paraId="773168C3"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w:t>
      </w:r>
      <w:r w:rsidRPr="00BC4EE7">
        <w:rPr>
          <w:rStyle w:val="normaltextrun"/>
          <w:rFonts w:ascii="Times New Roman" w:hAnsi="Times New Roman" w:cs="Times New Roman"/>
          <w:shd w:val="clear" w:color="auto" w:fill="FFFFFF"/>
        </w:rPr>
        <w:t>Amennyiben a támogatott tevékenység olyan előre jelzett üvegházhatásúgáz-kibocsátást ér el, amely nem alacsonyabb a vonatkozó referenciaértékeknél, magyarázatot kell adni arra, hogy ez miért nem lehetséges. A kibocsátáskereskedelmi rendszer hatálya alá tartozó tevékenységekre vonatkozó ingyenes kiosztásra vonatkozóan az (EU) 2021/447 bizottsági végrehajtási rendeletben meghatározott referenciaértékek.</w:t>
      </w:r>
    </w:p>
  </w:footnote>
  <w:footnote w:id="185">
    <w:p w14:paraId="02B14DA8" w14:textId="383D93CB" w:rsidR="00D65CB4" w:rsidRPr="00BC4EE7" w:rsidRDefault="00572307">
      <w:pPr>
        <w:pStyle w:val="FootnoteText"/>
        <w:ind w:left="0" w:firstLine="0"/>
        <w:rPr>
          <w:rStyle w:val="normaltextrun"/>
          <w:rFonts w:ascii="Times New Roman" w:hAnsi="Times New Roman" w:cs="Times New Roman"/>
          <w:shd w:val="clear" w:color="auto" w:fill="FFFFFF"/>
        </w:rPr>
      </w:pPr>
      <w:r w:rsidRPr="00BC4EE7">
        <w:rPr>
          <w:rStyle w:val="FootnoteReference"/>
          <w:rFonts w:ascii="Times New Roman" w:hAnsi="Times New Roman" w:cs="Times New Roman"/>
        </w:rPr>
        <w:footnoteRef/>
      </w:r>
      <w:r w:rsidRPr="00BC4EE7">
        <w:rPr>
          <w:rFonts w:ascii="Times New Roman" w:hAnsi="Times New Roman" w:cs="Times New Roman"/>
        </w:rPr>
        <w:t xml:space="preserve"> </w:t>
      </w:r>
      <w:r w:rsidRPr="00BC4EE7">
        <w:rPr>
          <w:rStyle w:val="normaltextrun"/>
          <w:rFonts w:ascii="Times New Roman" w:hAnsi="Times New Roman" w:cs="Times New Roman"/>
          <w:shd w:val="clear" w:color="auto" w:fill="FFFFFF"/>
        </w:rPr>
        <w:t>Ez a kizárás nem vonatkozik az ezen intézkedés keretében kizárólag nem újrafeldolgozható üzemekben végzett</w:t>
      </w:r>
      <w:r w:rsidR="00BC4EE7">
        <w:rPr>
          <w:rStyle w:val="normaltextrun"/>
          <w:rFonts w:ascii="Times New Roman" w:hAnsi="Times New Roman" w:cs="Times New Roman"/>
          <w:shd w:val="clear" w:color="auto" w:fill="FFFFFF"/>
        </w:rPr>
        <w:t xml:space="preserve"> </w:t>
      </w:r>
      <w:r w:rsidRPr="00BC4EE7">
        <w:rPr>
          <w:rStyle w:val="normaltextrun"/>
          <w:rFonts w:ascii="Times New Roman" w:hAnsi="Times New Roman" w:cs="Times New Roman"/>
          <w:shd w:val="clear" w:color="auto" w:fill="FFFFFF"/>
        </w:rPr>
        <w:t>tevékenységekre.veszélyes hulladékok és meglévő üzemek, amennyiben az ezen intézkedés keretében végrehajtott intézkedések célja az energia növelése hatékonyság, a füstgázok tárolása vagy felhasználása céljából történő leválasztása vagy az égetési hamuból való visszanyerése, feltéve, hogy az ezen intézkedés keretében végrehajtott ilyen intézkedések nem eredményezik az üzemek hulladékfeldolgozási kapacitásának növekedését vagy az üzemek élettartamának meghosszabbítását; ezek esetében az üzem szintjén szolgáltatnak bizonyítékot.</w:t>
      </w:r>
    </w:p>
  </w:footnote>
  <w:footnote w:id="186">
    <w:p w14:paraId="3D8CEDF0"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w:t>
      </w:r>
      <w:r w:rsidRPr="00BC4EE7">
        <w:rPr>
          <w:rStyle w:val="normaltextrun"/>
          <w:rFonts w:ascii="Times New Roman" w:hAnsi="Times New Roman" w:cs="Times New Roman"/>
          <w:shd w:val="clear" w:color="auto" w:fill="FFFFFF"/>
        </w:rPr>
        <w:t xml:space="preserve">Ez a kizárás nem vonatkozik az ezen intézkedés szerinti fellépésekre a kizárólag nem újrafeldolgozható veszélyes hulladékok kezelésére szolgáló létesítményekben, valamint a meglévő üzemekben, ahol az ezen intézkedés szerinti tevékenységek célja az energiahatékonyság növelése, a füstgázok tárolási célú megkötése vagy a hulladékégetésből származó hamuból származó anyagok felhasználása vagy kinyerése, feltéve, hogy az ezen intézkedés szerinti fellépések nem eredményezik az üzemek hulladékfeldolgozási kapacitásának növekedését vagy az üzemek élettartamának meghosszabbítását; ezek esetében az üzem szintjén szolgáltatnak bizonyítékot.  </w:t>
      </w:r>
    </w:p>
  </w:footnote>
  <w:footnote w:id="187">
    <w:p w14:paraId="6290D5A5"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w:t>
      </w:r>
      <w:r w:rsidRPr="00BC4EE7">
        <w:rPr>
          <w:rStyle w:val="normaltextrun"/>
          <w:rFonts w:ascii="Times New Roman" w:hAnsi="Times New Roman" w:cs="Times New Roman"/>
          <w:shd w:val="clear" w:color="auto" w:fill="FFFFFF"/>
        </w:rPr>
        <w:t xml:space="preserve">Ez a kizárás nem vonatkozik az ezen intézkedés keretében a meglévő mechanikus-biológiai hulladékkezelő létesítményekben végrehajtott intézkedésekre, amennyiben az ezen intézkedés keretében végrehajtott fellépések célja az energiahatékonyság növelése vagy az elkülönített hulladék újrafeldolgozási műveletekhez való utólagos átalakítása a biohulladék komposztálása és a biohulladék anaerob lebontása céljából, feltéve, hogy az ezen intézkedés szerinti szerinti ilyen fellépések nem eredményezik az üzemek hulladékfeldolgozási kapacitásának növelését vagy az üzemek élettartamának meghosszabbítását; ezek esetében az üzem szintjén szolgáltatnak bizonyítékot.  </w:t>
      </w:r>
    </w:p>
  </w:footnote>
  <w:footnote w:id="188">
    <w:p w14:paraId="49CBF51C"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w:t>
      </w:r>
      <w:r w:rsidRPr="00BC4EE7">
        <w:rPr>
          <w:rStyle w:val="normaltextrun"/>
          <w:rFonts w:ascii="Times New Roman" w:hAnsi="Times New Roman" w:cs="Times New Roman"/>
          <w:shd w:val="clear" w:color="auto" w:fill="FFFFFF"/>
        </w:rPr>
        <w:t>Amennyiben a támogatott tevékenység olyan előre jelzett üvegházhatásúgáz-kibocsátást ér el, amely nem alacsonyabb a vonatkozó referenciaértékeknél, magyarázatot kell adni arra, hogy ez miért nem lehetséges. Az (EU) 2021/447 bizottsági végrehajtási rendeletben meghatározott, a kibocsátáskereskedelmi rendszer hatálya alá tartozó tevékenységekre vonatkozó ingyenes kiosztásra vonatkozóan megállapított referenciaértékek</w:t>
      </w:r>
    </w:p>
  </w:footnote>
  <w:footnote w:id="189">
    <w:p w14:paraId="30870E96"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eastAsia="Times New Roman" w:hAnsi="Times New Roman" w:cs="Times New Roman"/>
        </w:rPr>
        <w:footnoteRef/>
      </w:r>
      <w:r w:rsidRPr="00BC4EE7">
        <w:rPr>
          <w:rFonts w:ascii="Times New Roman" w:hAnsi="Times New Roman" w:cs="Times New Roman"/>
        </w:rPr>
        <w:t xml:space="preserve"> </w:t>
      </w:r>
      <w:r w:rsidRPr="00BC4EE7">
        <w:rPr>
          <w:rStyle w:val="normaltextrun"/>
          <w:rFonts w:ascii="Times New Roman" w:hAnsi="Times New Roman" w:cs="Times New Roman"/>
          <w:shd w:val="clear" w:color="auto" w:fill="FFFFFF"/>
        </w:rPr>
        <w:t xml:space="preserve">Ez a kizárás nem vonatkozik az ezen intézkedés szerinti fellépésekre a kizárólag nem újrafeldolgozható veszélyes hulladékok kezelésére szolgáló létesítményekben, valamint a meglévő üzemekben, ahol az ezen intézkedés szerinti tevékenységek célja az energiahatékonyság növelése, a füstgázok tárolási célú megkötése vagy a hulladékégetésből származó hamuból származó anyagok felhasználása vagy kinyerése, feltéve, hogy az ezen intézkedés szerinti fellépések nem eredményezik az üzemek hulladékfeldolgozási kapacitásának növekedését vagy az üzemek élettartamának meghosszabbítását; ezek esetében az üzem szintjén szolgáltatnak bizonyítékot.  </w:t>
      </w:r>
    </w:p>
  </w:footnote>
  <w:footnote w:id="190">
    <w:p w14:paraId="48475B0C"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w:t>
      </w:r>
      <w:r w:rsidRPr="00BC4EE7">
        <w:rPr>
          <w:rStyle w:val="normaltextrun"/>
          <w:rFonts w:ascii="Times New Roman" w:hAnsi="Times New Roman" w:cs="Times New Roman"/>
          <w:shd w:val="clear" w:color="auto" w:fill="FFFFFF"/>
        </w:rPr>
        <w:t xml:space="preserve">Ez a kizárás nem vonatkozik az ezen intézkedés keretében a meglévő mechanikus-biológiai hulladékkezelő létesítményekben végrehajtott intézkedésekre, amennyiben az ezen intézkedés keretében végrehajtott fellépések célja az energiahatékonyság növelése vagy az elkülönített hulladék újrafeldolgozási műveletekhez való utólagos átalakítása a biohulladék komposztálása és a biohulladék anaerob lebontása céljából, feltéve, hogy az ezen intézkedés szerinti szerinti ilyen fellépések nem eredményezik az üzemek hulladékfeldolgozási kapacitásának növelését vagy az üzemek élettartamának meghosszabbítását; ezek esetében az üzem szintjén szolgáltatnak bizonyítékot.  </w:t>
      </w:r>
    </w:p>
  </w:footnote>
  <w:footnote w:id="191">
    <w:p w14:paraId="2F391CBB" w14:textId="5C47DD13" w:rsidR="00D65CB4" w:rsidRPr="00BC4EE7" w:rsidRDefault="00572307">
      <w:pPr>
        <w:spacing w:before="120" w:after="120" w:line="240" w:lineRule="auto"/>
        <w:jc w:val="both"/>
        <w:rPr>
          <w:rFonts w:ascii="Times New Roman" w:eastAsia="Times New Roman" w:hAnsi="Times New Roman" w:cs="Times New Roman"/>
          <w:sz w:val="24"/>
        </w:rPr>
      </w:pPr>
      <w:r w:rsidRPr="00BC4EE7">
        <w:rPr>
          <w:rStyle w:val="FootnoteReference"/>
          <w:rFonts w:ascii="Times New Roman" w:hAnsi="Times New Roman" w:cs="Times New Roman"/>
        </w:rPr>
        <w:footnoteRef/>
      </w:r>
      <w:r w:rsidRPr="00BC4EE7">
        <w:rPr>
          <w:rFonts w:ascii="Times New Roman" w:hAnsi="Times New Roman" w:cs="Times New Roman"/>
        </w:rPr>
        <w:t xml:space="preserve"> </w:t>
      </w:r>
      <w:r w:rsidRPr="00BC4EE7">
        <w:rPr>
          <w:rFonts w:ascii="Times New Roman" w:hAnsi="Times New Roman" w:cs="Times New Roman"/>
          <w:sz w:val="20"/>
        </w:rPr>
        <w:t>Kivéve az a) a jelentős károkozás elkerülését célzó technikai iránymutatás (2021/C58/01) III. mellékletében meghatározott feltételeknek megfelelő, földgázt felhasználó villamosenergia- és/vagy hőtermeléssel kapcsolatos eszközöket és tevékenységeket, valamint a kapcsolódó átviteli és elosztási infrastruktúrát, valamint b) a ii. pont szerinti tevékenységeket és eszközöket, amelyek esetében a fosszilis tüzelőanyagok használata átmeneti és technikailag elkerülhetetlen a fosszilis tüzelőanyagoktól mentes üzemre való időben történő átállás szempontjából.</w:t>
      </w:r>
    </w:p>
  </w:footnote>
  <w:footnote w:id="192">
    <w:p w14:paraId="3D0FFA9D" w14:textId="2B6E07B8" w:rsidR="00D65CB4" w:rsidRPr="00BC4EE7" w:rsidRDefault="00572307">
      <w:pPr>
        <w:spacing w:before="120" w:after="120" w:line="240" w:lineRule="auto"/>
        <w:jc w:val="both"/>
        <w:rPr>
          <w:rFonts w:ascii="Times New Roman" w:eastAsia="Times New Roman" w:hAnsi="Times New Roman" w:cs="Times New Roman"/>
          <w:sz w:val="24"/>
          <w:shd w:val="clear" w:color="auto" w:fill="FFFFFF"/>
        </w:rPr>
      </w:pPr>
      <w:r w:rsidRPr="00BC4EE7">
        <w:rPr>
          <w:rStyle w:val="FootnoteReference"/>
          <w:rFonts w:ascii="Times New Roman" w:hAnsi="Times New Roman" w:cs="Times New Roman"/>
        </w:rPr>
        <w:footnoteRef/>
      </w:r>
      <w:r w:rsidRPr="00BC4EE7">
        <w:rPr>
          <w:rFonts w:ascii="Times New Roman" w:hAnsi="Times New Roman" w:cs="Times New Roman"/>
        </w:rPr>
        <w:t xml:space="preserve"> </w:t>
      </w:r>
      <w:r w:rsidRPr="00BC4EE7">
        <w:rPr>
          <w:rFonts w:ascii="Times New Roman" w:hAnsi="Times New Roman" w:cs="Times New Roman"/>
          <w:sz w:val="20"/>
        </w:rPr>
        <w:t>Beleértve az uniós kibocsátáskereskedelmi rendszer (ETS) keretében végzett olyan tevékenységeket és eszközöket, amelyek elérik a vonatkozó referenciaértékeket meg nem haladó, előre jelzett üvegházhatásúgáz-kibocsátást. Amennyiben a támogatott tevékenység nem eredményez a vonatkozó referenciaértékeknél lényegesen alacsonyabb előrejelzett üvegházhatásúgáz-kibocsátást, ismertetni kell azokat az okokat, amelyek miatt nem érhető el nagyobb kibocsátáscsökkenés. Az (EU) 2021/447 bizottsági végrehajtási rendeletben meghatározott, a kibocsátáskereskedelmi rendszer hatálya alá tartozó tevékenységekre vonatkozó ingyenes kiosztásra megállapított referenciaértékek.</w:t>
      </w:r>
      <w:r w:rsidRPr="00BC4EE7">
        <w:rPr>
          <w:rFonts w:ascii="Times New Roman" w:hAnsi="Times New Roman" w:cs="Times New Roman"/>
          <w:sz w:val="20"/>
          <w:shd w:val="clear" w:color="auto" w:fill="FFFFFF"/>
        </w:rPr>
        <w:t>Az intézkedés végrehajtását 2026. augusztus 31-ig be kell fejezni.</w:t>
      </w:r>
    </w:p>
  </w:footnote>
  <w:footnote w:id="193">
    <w:p w14:paraId="21DC4060" w14:textId="372AF9DB" w:rsidR="00D65CB4" w:rsidRPr="00BC4EE7" w:rsidRDefault="00572307">
      <w:pPr>
        <w:spacing w:after="0" w:line="240" w:lineRule="auto"/>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w:t>
      </w:r>
      <w:r w:rsidRPr="00BC4EE7">
        <w:rPr>
          <w:rFonts w:ascii="Times New Roman" w:hAnsi="Times New Roman" w:cs="Times New Roman"/>
          <w:sz w:val="20"/>
        </w:rPr>
        <w:t>Úgy tekinthető, hogy a végső kedvezményezett „jelentősen egy ágazatra vagy üzleti tevékenységre” összpontosít, ha az ágazat vagy tevékenység a végső kedvezményezett üzleti tevékenységének lényeges része, a végső kedvezményezett bruttó bevételéhez, nyereségéhez vagy ügyfélköréhez viszonyítva. A korlátozás alá eső ágazatból vagy tevékenységből származó bruttó bevétel semmi esetre sem haladhatja meg a bruttó bevétel 50%-át.</w:t>
      </w:r>
    </w:p>
  </w:footnote>
  <w:footnote w:id="194">
    <w:p w14:paraId="41EB7FD2"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Kivéve az a) a jelentős károkozás elkerülését célzó technikai iránymutatás (2021/C58/01) III. mellékletében meghatározott feltételeknek megfelelő, földgázt felhasználó villamosenergia- és/vagy hőtermeléssel kapcsolatos eszközöket és tevékenységeket, valamint a kapcsolódó átviteli és elosztási infrastruktúrát, valamint b) a ii. pont szerinti tevékenységeket és eszközöket, amelyek esetében a fosszilis tüzelőanyagok használata átmeneti és technikailag elkerülhetetlen a fosszilis tüzelőanyagoktól mentes üzemre való időben történő átállás szempontjából.</w:t>
      </w:r>
    </w:p>
  </w:footnote>
  <w:footnote w:id="195">
    <w:p w14:paraId="02936313"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Beleértve az uniós kibocsátáskereskedelmi rendszer (ETS) keretében végzett olyan tevékenységeket és eszközöket, amelyek elérik a vonatkozó referenciaértékeket meg nem haladó, előre jelzett üvegházhatásúgáz-kibocsátást. Amennyiben a támogatott tevékenység nem eredményez a vonatkozó referenciaértékeknél lényegesen alacsonyabb előrejelzett üvegházhatásúgáz-kibocsátást, ismertetni kell azokat az okokat, amelyek miatt nem érhető el nagyobb kibocsátáscsökkenés. A kibocsátáskereskedelmi rendszer hatálya alá tartozó tevékenységekre vonatkozó ingyenes kiosztásra vonatkozóan az (EU) 2021/447 bizottsági végrehajtási rendeletben meghatározott referenciaértékek.</w:t>
      </w:r>
    </w:p>
  </w:footnote>
  <w:footnote w:id="196">
    <w:p w14:paraId="6B4C83D3"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A szennyező járművek nem kibocsátásmentes járművek.</w:t>
      </w:r>
    </w:p>
  </w:footnote>
  <w:footnote w:id="197">
    <w:p w14:paraId="716A3122"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Ez a kizárás nem vonatkozik a kizárólag a nem újrahasznosítható veszélyes hulladékok kezelésére szolgáló üzemekben végzett tevékenységekre, valamint a meglévő üzemekre, amennyiben az ezen intézkedés keretében végrehajtott intézkedések célja az energiahatékonyság növelése, a kipufogógázok tárolása vagy felhasználása vagy az égetési hamuból származó anyagok visszanyerése, feltéve, hogy az ezen intézkedés keretében végrehajtott ilyen intézkedések nem eredményezik az üzemek hulladékfeldolgozási kapacitásának növekedését vagy az üzemek élettartamának meghosszabbítását; ezek esetében az üzem szintjén szolgáltatnak bizonyítékot.</w:t>
      </w:r>
    </w:p>
  </w:footnote>
  <w:footnote w:id="198">
    <w:p w14:paraId="313F7A79"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Kivéve az ezen intézkedés hatálya alá tartozó, a jelentős károkozás elkerülését célzó elvről szóló technikai iránymutatás (2021/C58/01) III. mellékletében meghatározott feltételeknek megfelelő, földgázt felhasználó villamosenergia- és/vagy hőtermelésre, valamint a kapcsolódó átviteli és elosztási infrastruktúrára irányuló projekteket.</w:t>
      </w:r>
    </w:p>
  </w:footnote>
  <w:footnote w:id="199">
    <w:p w14:paraId="6B4A4879"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Amennyiben a támogatott tevékenység olyan előrejelzett üvegházhatásúgáz-kibocsátást ér el, amely nem éri el jelentősen a vonatkozó referenciaértékeket, meg kell indokolni, hogy ez miért nem lehetséges. A kibocsátáskereskedelmi rendszer hatálya alá tartozó tevékenységekre vonatkozó ingyenes kiosztásra vonatkozóan az (EU) 2021/447 bizottsági végrehajtási rendeletben meghatározott referenciaértékek.</w:t>
      </w:r>
    </w:p>
  </w:footnote>
  <w:footnote w:id="200">
    <w:p w14:paraId="1BCB45F7"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Ez a kizárás nem vonatkozik az ezen intézkedés szerinti fellépésekre a kizárólag nem újrafeldolgozható veszélyes hulladékok kezelésére szolgáló létesítményekben, valamint a meglévő üzemekben, ahol az ezen intézkedés szerinti tevékenységek célja az energiahatékonyság növelése, a füstgázok tárolási célú megkötése vagy a hulladékégetésből származó hamuból származó anyagok felhasználása vagy kinyerése, feltéve, hogy az ezen intézkedés szerinti fellépések nem eredményezik az üzemek hulladékfeldolgozási kapacitásának növekedését vagy az üzemek élettartamának meghosszabbítását; ezek esetében az üzem szintjén szolgáltatnak bizonyítékot.</w:t>
      </w:r>
    </w:p>
  </w:footnote>
  <w:footnote w:id="201">
    <w:p w14:paraId="6047DFE2"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Ez a kizárás nem vonatkozik az ezen intézkedés keretében a meglévő mechanikus-biológiai hulladékkezelő létesítményekben végrehajtott intézkedésekre, amennyiben az ezen intézkedés keretében végrehajtott fellépések célja az energiahatékonyság növelése vagy az elkülönített hulladék újrafeldolgozási műveletekhez való utólagos átalakítása a biohulladék komposztálása és a biohulladék anaerob lebontása céljából, feltéve, hogy az ezen intézkedés szerinti szerinti ilyen fellépések nem eredményezik az üzemek hulladékfeldolgozási kapacitásának növelését vagy az üzemek élettartamának meghosszabbítását; ezek esetében az üzem szintjén szolgáltatnak bizonyítékot.</w:t>
      </w:r>
    </w:p>
  </w:footnote>
  <w:footnote w:id="202">
    <w:p w14:paraId="4064C20F"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Kivéve az ezen intézkedés hatálya alá tartozó, a jelentős károkozás elkerülését célzó elvről szóló technikai iránymutatás (2021/C58/01) III. mellékletében meghatározott feltételeknek megfelelő, földgázt felhasználó villamosenergia- és/vagy hőtermelésre, valamint a kapcsolódó átviteli és elosztási infrastruktúrára irányuló projekteket.</w:t>
      </w:r>
    </w:p>
  </w:footnote>
  <w:footnote w:id="203">
    <w:p w14:paraId="747594EF"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Amennyiben a támogatott tevékenység olyan előrejelzett üvegházhatásúgáz-kibocsátást ér el, amely nem éri el jelentősen a vonatkozó referenciaértékeket, meg kell indokolni, hogy ez miért nem lehetséges. A kibocsátáskereskedelmi rendszer hatálya alá tartozó tevékenységekre vonatkozó ingyenes kiosztásra vonatkozóan az (EU) 2021/447 bizottsági végrehajtási rendeletben meghatározott referenciaértékek.</w:t>
      </w:r>
    </w:p>
  </w:footnote>
  <w:footnote w:id="204">
    <w:p w14:paraId="5DDF8CB5"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Ez a kizárás nem vonatkozik az ezen intézkedés szerinti fellépésekre a kizárólag nem újrafeldolgozható veszélyes hulladékok kezelésére szolgáló létesítményekben, valamint a meglévő üzemekben, ahol az ezen intézkedés szerinti tevékenységek célja az energiahatékonyság növelése, a füstgázok tárolási célú megkötése vagy a hulladékégetésből származó hamuból származó anyagok felhasználása vagy kinyerése, feltéve, hogy az ezen intézkedés szerinti fellépések nem eredményezik az üzemek hulladékfeldolgozási kapacitásának növekedését vagy az üzemek élettartamának meghosszabbítását; ezek esetében az üzem szintjén szolgáltatnak bizonyítékot.</w:t>
      </w:r>
    </w:p>
  </w:footnote>
  <w:footnote w:id="205">
    <w:p w14:paraId="6425ED91"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Ez a kizárás nem vonatkozik az ezen intézkedés keretében a meglévő mechanikus-biológiai hulladékkezelő létesítményekben végrehajtott intézkedésekre, amennyiben az ezen intézkedés keretében végrehajtott fellépések célja az energiahatékonyság növelése vagy az elkülönített hulladék újrafeldolgozási műveletekhez való utólagos átalakítása a biohulladék komposztálása és a biohulladék anaerob lebontása céljából, feltéve, hogy az ezen intézkedés szerinti szerinti ilyen fellépések nem eredményezik az üzemek hulladékfeldolgozási kapacitásának növelését vagy az üzemek élettartamának meghosszabbítását; ezek esetében az üzem szintjén szolgáltatnak bizonyítékot.</w:t>
      </w:r>
    </w:p>
  </w:footnote>
  <w:footnote w:id="206">
    <w:p w14:paraId="1E17D082"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Kivéve az ezen intézkedés hatálya alá tartozó, a jelentős károkozás elkerülését célzó elvről szóló technikai iránymutatás (2021/C58/01) III. mellékletében meghatározott feltételeknek megfelelő, földgázt felhasználó villamosenergia- és/vagy hőtermelésre, valamint a kapcsolódó átviteli és elosztási infrastruktúrára irányuló projekteket.</w:t>
      </w:r>
    </w:p>
  </w:footnote>
  <w:footnote w:id="207">
    <w:p w14:paraId="12A6D63C"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Amennyiben a támogatott tevékenység olyan előrejelzett üvegházhatásúgáz-kibocsátást ér el, amely nem éri el jelentősen a vonatkozó referenciaértékeket, meg kell indokolni, hogy ez miért nem lehetséges. A kibocsátáskereskedelmi rendszer hatálya alá tartozó tevékenységekre vonatkozó ingyenes kiosztásra vonatkozóan az (EU) 2021/447 bizottsági végrehajtási rendeletben meghatározott referenciaértékek.</w:t>
      </w:r>
    </w:p>
  </w:footnote>
  <w:footnote w:id="208">
    <w:p w14:paraId="25756875"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Ez a kizárás nem vonatkozik az ezen intézkedés szerinti fellépésekre a kizárólag nem újrafeldolgozható veszélyes hulladékok kezelésére szolgáló létesítményekben, valamint a meglévő üzemekben, ahol az ezen intézkedés szerinti tevékenységek célja az energiahatékonyság növelése, a füstgázok tárolási célú megkötése vagy a hulladékégetésből származó hamuból származó anyagok felhasználása vagy kinyerése, feltéve, hogy az ezen intézkedés szerinti fellépések nem eredményezik az üzemek hulladékfeldolgozási kapacitásának növekedését vagy az üzemek élettartamának meghosszabbítását; ezek esetében az üzem szintjén szolgáltatnak bizonyítékot.</w:t>
      </w:r>
    </w:p>
  </w:footnote>
  <w:footnote w:id="209">
    <w:p w14:paraId="24350DDF"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Ez a kizárás nem vonatkozik az ezen intézkedés keretében a meglévő mechanikus-biológiai hulladékkezelő létesítményekben végrehajtott intézkedésekre, amennyiben az ezen intézkedés keretében végrehajtott fellépések célja az energiahatékonyság növelése vagy az elkülönített hulladék újrafeldolgozási műveletekhez való utólagos átalakítása a biohulladék komposztálása és a biohulladék anaerob lebontása céljából, feltéve, hogy az ezen intézkedés szerinti szerinti ilyen fellépések nem eredményezik az üzemek hulladékfeldolgozási kapacitásának növelését vagy az üzemek élettartamának meghosszabbítását; ezek esetében az üzem szintjén szolgáltatnak bizonyítékot.</w:t>
      </w:r>
    </w:p>
  </w:footnote>
  <w:footnote w:id="210">
    <w:p w14:paraId="0F440B49" w14:textId="67777EB4"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A digitális hozzájárulás kiszámítása céljából a nem konkrét projektekre irányuló saját tőke, kvázisajáttőke, vállalati kötvények vagy ezekkel egyenértékű eszközök esetében kritériumokat kell alkalmazni annak előírására, hogy a kedvezményezett előző pénzügyi évben szerzett bevételének vagy az üzleti terv szerinti jövőbeli bevételeknek legalább 90%-a olyan tevékenységből származzon, illetve fog származzon, amely megfelel az RRF-rendelet VII. mellékletében szereplő alkalmazandó beavatkozási területekből eredő releváns kritériumoknak.</w:t>
      </w:r>
    </w:p>
  </w:footnote>
  <w:footnote w:id="211">
    <w:p w14:paraId="13C1CB53"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w:t>
      </w:r>
      <w:r w:rsidRPr="00BC4EE7">
        <w:rPr>
          <w:rFonts w:ascii="Times New Roman" w:hAnsi="Times New Roman" w:cs="Times New Roman"/>
        </w:rPr>
        <w:tab/>
        <w:t>HL L 153., 2010.6.18.</w:t>
      </w:r>
    </w:p>
  </w:footnote>
  <w:footnote w:id="212">
    <w:p w14:paraId="0CA1E2C8" w14:textId="0DD789C6"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Az alacsony kibocsátású járművek az 50 g CO2/km-nél kisebb kibocsátású járművek.</w:t>
      </w:r>
    </w:p>
  </w:footnote>
  <w:footnote w:id="213">
    <w:p w14:paraId="5CEC2E10"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A Toledói Paktum ajánlásait 2020. november 10-én tették közzé a Hivatalos Lapban: </w:t>
      </w:r>
      <w:hyperlink r:id="rId2" w:history="1">
        <w:r w:rsidRPr="00BC4EE7">
          <w:rPr>
            <w:rStyle w:val="Hyperlink"/>
            <w:rFonts w:ascii="Times New Roman" w:hAnsi="Times New Roman" w:cs="Times New Roman"/>
            <w:color w:val="auto"/>
          </w:rPr>
          <w:t>https://</w:t>
        </w:r>
      </w:hyperlink>
      <w:r w:rsidRPr="00BC4EE7">
        <w:rPr>
          <w:rFonts w:ascii="Times New Roman" w:hAnsi="Times New Roman" w:cs="Times New Roman"/>
        </w:rPr>
        <w:t xml:space="preserve"> www.congreso.es/public_oficiales/L14/CONG/BOCG/D/BOCG-14-D-175.PDF </w:t>
      </w:r>
    </w:p>
  </w:footnote>
  <w:footnote w:id="214">
    <w:p w14:paraId="43BF0FF9" w14:textId="358847B8" w:rsidR="00D65CB4" w:rsidRPr="00BC4EE7" w:rsidRDefault="00572307">
      <w:pPr>
        <w:pStyle w:val="FootnoteText"/>
        <w:ind w:left="0" w:firstLine="0"/>
        <w:rPr>
          <w:rFonts w:ascii="Times New Roman" w:eastAsia="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Úgy tekinthető, hogy a végső kedvezményezett „jelentősen egy ágazatra vagy üzleti tevékenységre” összpontosít, ha az ágazat vagy tevékenység a végső kedvezményezett üzleti tevékenységének lényeges része, a végső kedvezményezett bruttó bevételéhez, nyereségéhez vagy ügyfélköréhez viszonyítva. A korlátozás alá eső ágazatból vagy tevékenységből származó bruttó bevétel semmi esetre sem haladhatja meg a bruttó bevétel 50%-át.</w:t>
      </w:r>
    </w:p>
  </w:footnote>
  <w:footnote w:id="215">
    <w:p w14:paraId="13D49EF3" w14:textId="72D1D4B8" w:rsidR="00D65CB4" w:rsidRPr="00BC4EE7" w:rsidRDefault="00572307">
      <w:pPr>
        <w:spacing w:after="0" w:line="240" w:lineRule="auto"/>
        <w:jc w:val="both"/>
        <w:rPr>
          <w:rFonts w:ascii="Times New Roman" w:eastAsia="Times New Roman" w:hAnsi="Times New Roman" w:cs="Times New Roman"/>
          <w:sz w:val="20"/>
        </w:rPr>
      </w:pPr>
      <w:r w:rsidRPr="00BC4EE7">
        <w:rPr>
          <w:rStyle w:val="FootnoteReference"/>
          <w:rFonts w:ascii="Times New Roman" w:hAnsi="Times New Roman" w:cs="Times New Roman"/>
          <w:sz w:val="20"/>
        </w:rPr>
        <w:footnoteRef/>
      </w:r>
      <w:r w:rsidRPr="00BC4EE7">
        <w:rPr>
          <w:rFonts w:ascii="Times New Roman" w:hAnsi="Times New Roman" w:cs="Times New Roman"/>
          <w:sz w:val="20"/>
        </w:rPr>
        <w:t xml:space="preserve"> Kivéve az a) a jelentős károkozás elkerülését célzó technikai iránymutatás (2021/C58/01) III. mellékletében meghatározott feltételeknek megfelelő, földgázt felhasználó villamosenergia- és/vagy hőtermeléssel kapcsolatos eszközöket és tevékenységeket, valamint a kapcsolódó átviteli és elosztási infrastruktúrát; valamint b) a ii. alpont szerinti olyan tevékenységek és eszközök, amelyek esetében a fosszilis tüzelőanyagok használata ideiglenes és technikailag elkerülhetetlen a fosszilis tüzelőanyagoktól mentes üzemeltetésre való időben történő átállás szempontjából.</w:t>
      </w:r>
    </w:p>
  </w:footnote>
  <w:footnote w:id="216">
    <w:p w14:paraId="5EE27B6F" w14:textId="77777777" w:rsidR="00D65CB4" w:rsidRPr="00BC4EE7" w:rsidRDefault="00572307">
      <w:pPr>
        <w:spacing w:after="0" w:line="240" w:lineRule="auto"/>
        <w:jc w:val="both"/>
        <w:rPr>
          <w:rFonts w:ascii="Times New Roman" w:eastAsia="Times New Roman" w:hAnsi="Times New Roman" w:cs="Times New Roman"/>
          <w:sz w:val="20"/>
        </w:rPr>
      </w:pPr>
      <w:r w:rsidRPr="00BC4EE7">
        <w:rPr>
          <w:rStyle w:val="FootnoteReference"/>
          <w:rFonts w:ascii="Times New Roman" w:hAnsi="Times New Roman" w:cs="Times New Roman"/>
          <w:sz w:val="20"/>
        </w:rPr>
        <w:footnoteRef/>
      </w:r>
      <w:r w:rsidRPr="00BC4EE7">
        <w:rPr>
          <w:rFonts w:ascii="Times New Roman" w:hAnsi="Times New Roman" w:cs="Times New Roman"/>
          <w:sz w:val="20"/>
        </w:rPr>
        <w:t xml:space="preserve"> Beleértve az uniós kibocsátáskereskedelmi rendszer (ETS) keretében végzett olyan tevékenységeket és eszközöket, amelyek elérik a vonatkozó referenciaértékeket meg nem haladó, előre jelzett üvegházhatásúgáz-kibocsátást. Amennyiben a támogatott tevékenység nem eredményez a vonatkozó referenciaértékeknél lényegesen alacsonyabb előrejelzett üvegházhatásúgáz-kibocsátást, ismertetni kell azokat az okokat, amelyek miatt nem érhető el nagyobb kibocsátáscsökkenés. A kibocsátáskereskedelmi rendszer hatálya alá tartozó tevékenységekre vonatkozó ingyenes kiosztásra vonatkozóan az (EU) 2021/447 bizottsági végrehajtási rendeletben meghatározott referenciaértékek.</w:t>
      </w:r>
    </w:p>
  </w:footnote>
  <w:footnote w:id="217">
    <w:p w14:paraId="31A64324" w14:textId="77777777" w:rsidR="00D65CB4" w:rsidRPr="00BC4EE7" w:rsidRDefault="00572307">
      <w:pPr>
        <w:spacing w:after="0" w:line="240" w:lineRule="auto"/>
        <w:jc w:val="both"/>
        <w:rPr>
          <w:rFonts w:ascii="Times New Roman" w:eastAsia="Times New Roman" w:hAnsi="Times New Roman" w:cs="Times New Roman"/>
          <w:sz w:val="20"/>
        </w:rPr>
      </w:pPr>
      <w:r w:rsidRPr="00BC4EE7">
        <w:rPr>
          <w:rStyle w:val="FootnoteReference"/>
          <w:rFonts w:ascii="Times New Roman" w:hAnsi="Times New Roman" w:cs="Times New Roman"/>
          <w:sz w:val="20"/>
        </w:rPr>
        <w:footnoteRef/>
      </w:r>
      <w:r w:rsidRPr="00BC4EE7">
        <w:rPr>
          <w:rFonts w:ascii="Times New Roman" w:hAnsi="Times New Roman" w:cs="Times New Roman"/>
          <w:sz w:val="20"/>
        </w:rPr>
        <w:t xml:space="preserve"> A szennyező járművek nem kibocsátásmentes járművek.</w:t>
      </w:r>
    </w:p>
  </w:footnote>
  <w:footnote w:id="218">
    <w:p w14:paraId="526A928B" w14:textId="77777777" w:rsidR="00D65CB4" w:rsidRPr="00BC4EE7" w:rsidRDefault="00572307">
      <w:pPr>
        <w:pStyle w:val="FootnoteText"/>
        <w:ind w:left="0" w:firstLine="0"/>
        <w:rPr>
          <w:rFonts w:ascii="Times New Roman" w:eastAsia="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Kizárása nem vonatkozik a kizárólag a nem újrahasznosítható veszélyes hulladékok kezelésére szolgáló üzemekben végzett tevékenységekre, valamint a meglévő üzemekre, amennyiben az ezen intézkedés keretében végrehajtott intézkedések célja az energiahatékonyság növelése, a kipufogógázok tárolása vagy felhasználása vagy az égetési hamuból származó anyagok visszanyerése, feltéve, hogy az ezen intézkedés keretében végrehajtott ilyen intézkedések nem eredményezik az üzemek hulladékfeldolgozási kapacitásának növekedését vagy az üzemek élettartamának meghosszabbítását; amelyre vonatkozóan az üzem szintjén szolgáltattak bizonyítékot</w:t>
      </w:r>
    </w:p>
  </w:footnote>
  <w:footnote w:id="219">
    <w:p w14:paraId="487957F0" w14:textId="7BCFE38F"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Az egyedi projektekhez kapcsolódó végső kedvezményezetteknek az éghajlatváltozáshoz való hozzájárulás kiszámítása céljából minden egyes támogatott projekt esetében meg kell indokolniuk a kiválasztott beavatkozási területet, a projekt leírásával együtt. Az éghajlat-politikai hozzájárulás kiszámítása céljából a nem konkrét projektekre irányuló sajáttőke, kvázi-sajáttőke, vállalati kötvények vagy ezekkel egyenértékű eszközök esetében kritériumokat kell alkalmazni annak előírására, hogy a kedvezményezett előző pénzügyi évben szerzett bevételének vagy az üzleti terv szerinti jövőbeli bevételeknek legalább 90%-a olyan tevékenységből származzon, illetve olyan tevékenységből származzon, amely megfelel az RRF-rendelet VI. mellékletében szereplő alkalmazandó beavatkozási területekből eredő releváns kritériumoknak. A saját tőkéből, kvázisaját tőkéből, vállalati kötvényekből vagy ezekkel egyenértékű eszközökből származó, nem konkrét projektekre irányuló végső kedvezményezetteknek meg kell indokolniuk a kiválasztott beavatkozási terület(ek)et. A végrehajtó partnernek féléves jelentést kell benyújtania a tagállamnak az egyes projektek/tevékenységek végrehajtásáról.</w:t>
      </w:r>
    </w:p>
  </w:footnote>
  <w:footnote w:id="220">
    <w:p w14:paraId="0CEAF157" w14:textId="202361A4"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Kivéve az a) az ezen intézkedés keretében megvalósuló, földgázt felhasználó villamosenergia- és/vagy hőtermelési projekteket, valamint a kapcsolódó átviteli és elosztási infrastruktúrát, amelyek megfelelnek a jelentős károkozás elkerülését célzó technikai iránymutatás (2021/C58/01) III. mellékletében meghatározott feltételeknek; valamint b) a ii. alpont szerinti olyan tevékenységek és eszközök, amelyek esetében a fosszilis tüzelőanyagok használata ideiglenes és technikailag elkerülhetetlen a fosszilis tüzelőanyagoktól mentes üzemeltetésre való időben történő átállás szempontjából.</w:t>
      </w:r>
    </w:p>
  </w:footnote>
  <w:footnote w:id="221">
    <w:p w14:paraId="2C3945BD"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Amennyiben a támogatott tevékenység olyan előrejelzett üvegházhatásúgáz-kibocsátást ér el, amely nem éri el jelentősen a vonatkozó referenciaértékeket, meg kell indokolni, hogy ez miért nem lehetséges. A kibocsátáskereskedelmi rendszer hatálya alá tartozó tevékenységekre vonatkozó ingyenes kiosztásra vonatkozóan az (EU) 2021/447 bizottsági végrehajtási rendeletben meghatározott referenciaértékek.</w:t>
      </w:r>
    </w:p>
  </w:footnote>
  <w:footnote w:id="222">
    <w:p w14:paraId="2C3520CE"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Ez a kizárás nem vonatkozik az ezen intézkedés szerinti fellépésekre a kizárólag nem újrafeldolgozható veszélyes hulladékok kezelésére szolgáló létesítményekben, valamint a meglévő üzemekben, ahol az ezen intézkedés szerinti tevékenységek célja az energiahatékonyság növelése, a füstgázok tárolási célú megkötése vagy a hulladékégetésből származó hamuból származó anyagok felhasználása vagy kinyerése, feltéve, hogy az ezen intézkedés szerinti fellépések nem eredményezik az üzemek hulladékfeldolgozási kapacitásának növekedését vagy az üzemek élettartamának meghosszabbítását; ezek esetében az üzem szintjén szolgáltatnak bizonyítékot.</w:t>
      </w:r>
    </w:p>
  </w:footnote>
  <w:footnote w:id="223">
    <w:p w14:paraId="0D383AB5"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Ez a kizárás nem vonatkozik az ezen intézkedés keretében a meglévő mechanikus-biológiai szennyvíztisztító telepeken végzett tevékenységekre, amennyiben az ezen intézkedés keretében végrehajtott intézkedések célja az erőforrás-hatékonyság növelése vagy az elkülönített hulladék komposzt biohulladékká történő újrafeldolgozása és a biohulladék anaerob lebontása, feltéve, hogy az ezen intézkedés keretében végrehajtott ilyen intézkedések nem eredményezik az üzemek hulladékfeldolgozási kapacitásának növekedését vagy a létesítmények élettartamának meghosszabbítását; ezek esetében az üzem szintjén szolgáltatnak bizonyítékot.</w:t>
      </w:r>
    </w:p>
  </w:footnote>
  <w:footnote w:id="224">
    <w:p w14:paraId="4130EA40" w14:textId="09A9E3DA" w:rsidR="00D65CB4" w:rsidRPr="00BC4EE7" w:rsidRDefault="00572307">
      <w:pPr>
        <w:pStyle w:val="FootnoteText"/>
        <w:ind w:left="0" w:firstLine="0"/>
        <w:rPr>
          <w:rFonts w:ascii="Times New Roman" w:eastAsia="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Úgy tekinthető, hogy a végső kedvezményezett „jelentősen egy ágazatra vagy üzleti tevékenységre” összpontosít, ha az ágazat vagy tevékenység a végső kedvezményezett üzleti tevékenységének lényeges része, a végső kedvezményezett bruttó bevételéhez, nyereségéhez vagy ügyfélköréhez viszonyítva. A korlátozás alá eső ágazatból vagy tevékenységből származó bruttó bevétel semmi esetre sem haladhatja meg a bruttó bevétel 50%-át.</w:t>
      </w:r>
    </w:p>
  </w:footnote>
  <w:footnote w:id="225">
    <w:p w14:paraId="0C977172" w14:textId="0CF1A8ED" w:rsidR="00D65CB4" w:rsidRPr="00BC4EE7" w:rsidRDefault="00572307">
      <w:pPr>
        <w:spacing w:after="0" w:line="240" w:lineRule="auto"/>
        <w:jc w:val="both"/>
        <w:rPr>
          <w:rFonts w:ascii="Times New Roman" w:eastAsia="Times New Roman" w:hAnsi="Times New Roman" w:cs="Times New Roman"/>
          <w:sz w:val="20"/>
        </w:rPr>
      </w:pPr>
      <w:r w:rsidRPr="00BC4EE7">
        <w:rPr>
          <w:rStyle w:val="FootnoteReference"/>
          <w:rFonts w:ascii="Times New Roman" w:hAnsi="Times New Roman" w:cs="Times New Roman"/>
          <w:sz w:val="20"/>
        </w:rPr>
        <w:footnoteRef/>
      </w:r>
      <w:r w:rsidRPr="00BC4EE7">
        <w:rPr>
          <w:rFonts w:ascii="Times New Roman" w:hAnsi="Times New Roman" w:cs="Times New Roman"/>
          <w:sz w:val="20"/>
        </w:rPr>
        <w:t xml:space="preserve"> Kivéve az a) a jelentős károkozás elkerülését célzó technikai iránymutatás (2021/C58/01) III. mellékletében meghatározott feltételeknek megfelelő, földgázt felhasználó villamosenergia- és/vagy hőtermeléssel kapcsolatos eszközöket és tevékenységeket, valamint a kapcsolódó átviteli és elosztási infrastruktúrát; valamint b) a ii. alpont szerinti olyan tevékenységek és eszközök, amelyek esetében a fosszilis tüzelőanyagok használata ideiglenes és technikailag elkerülhetetlen a fosszilis tüzelőanyagoktól mentes üzemeltetésre való időben történő átállás szempontjából.</w:t>
      </w:r>
    </w:p>
  </w:footnote>
  <w:footnote w:id="226">
    <w:p w14:paraId="28E7CDE0" w14:textId="77777777" w:rsidR="00D65CB4" w:rsidRPr="00BC4EE7" w:rsidRDefault="00572307">
      <w:pPr>
        <w:spacing w:after="0" w:line="240" w:lineRule="auto"/>
        <w:jc w:val="both"/>
        <w:rPr>
          <w:rFonts w:ascii="Times New Roman" w:eastAsia="Times New Roman" w:hAnsi="Times New Roman" w:cs="Times New Roman"/>
          <w:sz w:val="20"/>
        </w:rPr>
      </w:pPr>
      <w:r w:rsidRPr="00BC4EE7">
        <w:rPr>
          <w:rStyle w:val="FootnoteReference"/>
          <w:rFonts w:ascii="Times New Roman" w:hAnsi="Times New Roman" w:cs="Times New Roman"/>
          <w:sz w:val="20"/>
        </w:rPr>
        <w:footnoteRef/>
      </w:r>
      <w:r w:rsidRPr="00BC4EE7">
        <w:rPr>
          <w:rFonts w:ascii="Times New Roman" w:hAnsi="Times New Roman" w:cs="Times New Roman"/>
          <w:sz w:val="20"/>
        </w:rPr>
        <w:t xml:space="preserve"> Beleértve az uniós kibocsátáskereskedelmi rendszer (ETS) keretében végzett olyan tevékenységeket és eszközöket, amelyek elérik a vonatkozó referenciaértékeket meg nem haladó, előre jelzett üvegházhatásúgáz-kibocsátást. Amennyiben a támogatott tevékenység nem eredményez a vonatkozó referenciaértékeknél lényegesen alacsonyabb előrejelzett üvegházhatásúgáz-kibocsátást, ismertetni kell azokat az okokat, amelyek miatt nem érhető el nagyobb kibocsátáscsökkenés. A kibocsátáskereskedelmi rendszer hatálya alá tartozó tevékenységekre vonatkozó ingyenes kiosztásra vonatkozóan az (EU) 2021/447 bizottsági végrehajtási rendeletben meghatározott referenciaértékek.</w:t>
      </w:r>
    </w:p>
  </w:footnote>
  <w:footnote w:id="227">
    <w:p w14:paraId="5FD1CB56" w14:textId="77777777" w:rsidR="00D65CB4" w:rsidRPr="00BC4EE7" w:rsidRDefault="00572307">
      <w:pPr>
        <w:spacing w:after="0" w:line="240" w:lineRule="auto"/>
        <w:jc w:val="both"/>
        <w:rPr>
          <w:rFonts w:ascii="Times New Roman" w:eastAsia="Times New Roman" w:hAnsi="Times New Roman" w:cs="Times New Roman"/>
          <w:sz w:val="20"/>
        </w:rPr>
      </w:pPr>
      <w:r w:rsidRPr="00BC4EE7">
        <w:rPr>
          <w:rStyle w:val="FootnoteReference"/>
          <w:rFonts w:ascii="Times New Roman" w:hAnsi="Times New Roman" w:cs="Times New Roman"/>
          <w:sz w:val="20"/>
        </w:rPr>
        <w:footnoteRef/>
      </w:r>
      <w:r w:rsidRPr="00BC4EE7">
        <w:rPr>
          <w:rFonts w:ascii="Times New Roman" w:hAnsi="Times New Roman" w:cs="Times New Roman"/>
          <w:sz w:val="20"/>
        </w:rPr>
        <w:t xml:space="preserve"> A szennyező járművek nem kibocsátásmentes járművek.</w:t>
      </w:r>
    </w:p>
  </w:footnote>
  <w:footnote w:id="228">
    <w:p w14:paraId="0E728E98" w14:textId="77777777" w:rsidR="00D65CB4" w:rsidRPr="00BC4EE7" w:rsidRDefault="00572307">
      <w:pPr>
        <w:pStyle w:val="FootnoteText"/>
        <w:ind w:left="0" w:firstLine="0"/>
        <w:rPr>
          <w:rFonts w:ascii="Times New Roman" w:eastAsia="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Kizárása nem vonatkozik a kizárólag a nem újrahasznosítható veszélyes hulladékok kezelésére szolgáló üzemekben végzett tevékenységekre, valamint a meglévő üzemekre, amennyiben az ezen intézkedés keretében végrehajtott intézkedések célja az energiahatékonyság növelése, a kipufogógázok tárolása vagy felhasználása vagy az égetési hamuból származó anyagok visszanyerése, feltéve, hogy az ezen intézkedés keretében végrehajtott ilyen intézkedések nem eredményezik az üzemek hulladékfeldolgozási kapacitásának növekedését vagy az üzemek élettartamának meghosszabbítását; amelyre vonatkozóan az üzem szintjén szolgáltattak bizonyítékot</w:t>
      </w:r>
    </w:p>
  </w:footnote>
  <w:footnote w:id="229">
    <w:p w14:paraId="0D7294A6" w14:textId="75DB1B02"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w:t>
      </w:r>
      <w:r w:rsidRPr="00BC4EE7">
        <w:rPr>
          <w:rStyle w:val="normaltextrun"/>
          <w:rFonts w:ascii="Times New Roman" w:hAnsi="Times New Roman" w:cs="Times New Roman"/>
          <w:bdr w:val="none" w:sz="0" w:space="0" w:color="auto" w:frame="1"/>
        </w:rPr>
        <w:t xml:space="preserve">Az egyedi projektekhez kapcsolódó végső kedvezményezetteknek az éghajlatváltozáshoz való hozzájárulás kiszámítása céljából minden egyes támogatott projekt esetében meg kell indokolniuk a kiválasztott beavatkozási területet, a projekt leírásával együtt. </w:t>
      </w:r>
      <w:r w:rsidRPr="00BC4EE7">
        <w:rPr>
          <w:rFonts w:ascii="Times New Roman" w:hAnsi="Times New Roman" w:cs="Times New Roman"/>
        </w:rPr>
        <w:t>Az éghajlat-politikai hozzájárulás kiszámítása céljából a nem konkrét projektekre irányuló sajáttőke, kvázi-sajáttőke, vállalati kötvények vagy ezekkel egyenértékű eszközök esetében kritériumokat kell alkalmazni annak előírására, hogy a kedvezményezett előző pénzügyi évben szerzett bevételének vagy az üzleti terv szerinti jövőbeli bevételeknek legalább 90%-a olyan tevékenységből származzon, illetve olyan tevékenységből származzon, amely megfelel az RRF-rendelet VI. mellékletében szereplő alkalmazandó beavatkozási területekből eredő releváns kritériumoknak. A saját tőkéből, kvázisaját tőkéből, vállalati kötvényekből vagy ezekkel egyenértékű eszközökből származó, nem konkrét projektekre irányuló végső kedvezményezetteknek meg kell indokolniuk a kiválasztott beavatkozási terület(ek)et. A végrehajtó partnernek féléves jelentést kell benyújtania a tagállamnak az egyes projektek/tevékenységek végrehajtásáról.</w:t>
      </w:r>
    </w:p>
  </w:footnote>
  <w:footnote w:id="230">
    <w:p w14:paraId="6CE385F1"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Amennyiben a támogatott tevékenység olyan előrejelzett üvegházhatásúgáz-kibocsátást ér el, amely nem éri el jelentősen a vonatkozó referenciaértékeket, meg kell indokolni, hogy ez miért nem lehetséges. A kibocsátáskereskedelmi rendszer hatálya alá tartozó tevékenységekre vonatkozó ingyenes kiosztásra vonatkozóan az (EU) 2021/447 bizottsági végrehajtási rendeletben meghatározott referenciaértékek.</w:t>
      </w:r>
    </w:p>
  </w:footnote>
  <w:footnote w:id="231">
    <w:p w14:paraId="6F965A25" w14:textId="0865A121"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Kivéve az a) az ezen intézkedés keretében megvalósuló, földgázt felhasználó villamosenergia- és/vagy hőtermelési projekteket, valamint a kapcsolódó átviteli és elosztási infrastruktúrát, amelyek megfelelnek a jelentős károkozás elkerülését célzó technikai iránymutatás (2021/C58/01) III. mellékletében meghatározott feltételeknek; valamint b) az i. pontban említett olyan tevékenységek és eszközök, amelyek esetében a fosszilis tüzelőanyagok használata ideiglenes és technikailag elkerülhetetlen a fosszilis tüzelőanyagoktól mentes üzemeltetésre való időben történő átállás szempontjából.  </w:t>
      </w:r>
    </w:p>
  </w:footnote>
  <w:footnote w:id="232">
    <w:p w14:paraId="760D3759" w14:textId="1C73F552"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Az egyedi projektekhez kapcsolódó végső kedvezményezetteknek az éghajlatváltozáshoz való hozzájárulás kiszámítása céljából minden egyes támogatott projekt esetében meg kell indokolniuk a kiválasztott beavatkozási területet, a projekt leírásával együtt. A végrehajtó partnernek féléves jelentést kell benyújtania a tagállamnak az egyes projektek/tevékenységek végrehajtásáról.</w:t>
      </w:r>
    </w:p>
  </w:footnote>
  <w:footnote w:id="233">
    <w:p w14:paraId="6356E7D5" w14:textId="77777777"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Amennyiben a támogatott tevékenység olyan előrejelzett üvegházhatásúgáz-kibocsátást ér el, amely nem éri el jelentősen a vonatkozó referenciaértékeket, meg kell indokolni, hogy ez miért nem lehetséges. A kibocsátáskereskedelmi rendszer hatálya alá tartozó tevékenységekre vonatkozó ingyenes kiosztásra vonatkozóan az (EU) 2021/447 bizottsági végrehajtási rendeletben meghatározott referenciaértékek.</w:t>
      </w:r>
    </w:p>
  </w:footnote>
  <w:footnote w:id="234">
    <w:p w14:paraId="37BEC07E" w14:textId="3DE32C94"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Kivéve az a) az ezen intézkedés keretében megvalósuló, földgázt felhasználó villamosenergia- és/vagy hőtermelési projekteket, valamint a kapcsolódó átviteli és elosztási infrastruktúrát, amelyek megfelelnek a jelentős károkozás elkerülését célzó technikai iránymutatás (2021/C58/01) III. mellékletében meghatározott feltételeknek; valamint b) az i. pontban említett olyan tevékenységek és eszközök, amelyek esetében a fosszilis tüzelőanyagok használata ideiglenes és technikailag elkerülhetetlen a fosszilis tüzelőanyagoktól mentes üzemeltetésre való időben történő átállás szempontjából.  </w:t>
      </w:r>
    </w:p>
  </w:footnote>
  <w:footnote w:id="235">
    <w:p w14:paraId="5FA2FFA8" w14:textId="35A535C4"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A konkrét projektekhez kapcsolódó hitelek, részvételi hitelek, projektkötvények, garanciák vagy ezekkel egyenértékű eszközök végső kedvezményezettjei kötelesek minden támogatott projekt esetében megindokolni a kiválasztott beavatkozási területet, a projekt leírásával együtt. A végrehajtó partnernek féléves jelentést kell benyújtania a tagállamnak az egyes projektek/tevékenységek végrehajtásáról.</w:t>
      </w:r>
    </w:p>
  </w:footnote>
  <w:footnote w:id="236">
    <w:p w14:paraId="6868A12E" w14:textId="77777777" w:rsidR="00D65CB4" w:rsidRPr="00BC4EE7" w:rsidRDefault="00572307">
      <w:pPr>
        <w:pStyle w:val="P68B1DB1-Text142"/>
        <w:ind w:left="0"/>
        <w:rPr>
          <w:rFonts w:cs="Times New Roman"/>
        </w:rPr>
      </w:pPr>
      <w:r w:rsidRPr="00572307">
        <w:rPr>
          <w:rFonts w:cs="Times New Roman"/>
          <w:vertAlign w:val="superscript"/>
        </w:rPr>
        <w:footnoteRef/>
      </w:r>
      <w:r w:rsidRPr="00BC4EE7">
        <w:rPr>
          <w:rFonts w:cs="Times New Roman"/>
        </w:rPr>
        <w:t>Amennyiben a támogatott tevékenység olyan előrejelzett üvegházhatásúgáz-kibocsátást ér el, amely nem éri el jelentősen a vonatkozó referenciaértékeket, meg kell indokolni, hogy ez miért nem lehetséges. A kibocsátáskereskedelmi rendszer hatálya alá tartozó tevékenységekre vonatkozó ingyenes kiosztásra vonatkozóan az (EU) 2021/447 bizottsági végrehajtási rendeletben meghatározott referenciaértékek.</w:t>
      </w:r>
    </w:p>
  </w:footnote>
  <w:footnote w:id="237">
    <w:p w14:paraId="10FC5D32" w14:textId="49DE9569" w:rsidR="00D65CB4" w:rsidRPr="00BC4EE7" w:rsidRDefault="00572307">
      <w:pPr>
        <w:pStyle w:val="P68B1DB1-Text142"/>
        <w:ind w:left="0"/>
        <w:rPr>
          <w:rFonts w:cs="Times New Roman"/>
        </w:rPr>
      </w:pPr>
      <w:r w:rsidRPr="00572307">
        <w:rPr>
          <w:rFonts w:cs="Times New Roman"/>
          <w:vertAlign w:val="superscript"/>
        </w:rPr>
        <w:footnoteRef/>
      </w:r>
      <w:r w:rsidRPr="00BC4EE7">
        <w:rPr>
          <w:rFonts w:cs="Times New Roman"/>
        </w:rPr>
        <w:t>Kivéve az a) az ezen intézkedés keretében megvalósuló, földgázt felhasználó villamosenergia- és/vagy hőtermelési projekteket, valamint a kapcsolódó átviteli és elosztási infrastruktúrát, amelyek megfelelnek a jelentős károkozás elkerülését célzó technikai iránymutatás (2021/C58/01) III. mellékletében meghatározott feltételeknek; valamint b) az i. pontban említett olyan tevékenységek és eszközök, amelyek esetében a fosszilis tüzelőanyagok használata ideiglenes és technikailag elkerülhetetlen a fosszilis tüzelőanyagoktól mentes üzemeltetésre való időben történő átállás szempontjából.</w:t>
      </w:r>
      <w:r w:rsidRPr="00BC4EE7">
        <w:rPr>
          <w:rFonts w:cs="Times New Roman"/>
          <w:shd w:val="clear" w:color="auto" w:fill="E6E6E6"/>
        </w:rPr>
        <w:t xml:space="preserve"> </w:t>
      </w:r>
    </w:p>
  </w:footnote>
  <w:footnote w:id="238">
    <w:p w14:paraId="3C9007D4" w14:textId="02F64EC4"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 xml:space="preserve"> Az egyedi projektekhez kapcsolódó végső kedvezményezetteknek az éghajlatváltozáshoz való hozzájárulás kiszámítása céljából minden egyes támogatott projekt esetében meg kell indokolniuk a kiválasztott beavatkozási területet, a projekt leírásával együtt. A végrehajtó partnernek féléves jelentést kell benyújtania a tagállamnak az egyes projektek/tevékenységek végrehajtásáról.</w:t>
      </w:r>
    </w:p>
  </w:footnote>
  <w:footnote w:id="239">
    <w:p w14:paraId="1233B08D" w14:textId="77777777" w:rsidR="00D65CB4" w:rsidRPr="00BC4EE7" w:rsidRDefault="00572307">
      <w:pPr>
        <w:pStyle w:val="P68B1DB1-Text142"/>
        <w:ind w:left="0"/>
        <w:rPr>
          <w:rFonts w:cs="Times New Roman"/>
        </w:rPr>
      </w:pPr>
      <w:r w:rsidRPr="00572307">
        <w:rPr>
          <w:rFonts w:cs="Times New Roman"/>
          <w:vertAlign w:val="superscript"/>
        </w:rPr>
        <w:footnoteRef/>
      </w:r>
      <w:r w:rsidRPr="00BC4EE7">
        <w:rPr>
          <w:rFonts w:cs="Times New Roman"/>
        </w:rPr>
        <w:t>Amennyiben a támogatott tevékenység olyan előrejelzett üvegházhatásúgáz-kibocsátást ér el, amely nem éri el jelentősen a vonatkozó referenciaértékeket, meg kell indokolni, hogy ez miért nem lehetséges. A kibocsátáskereskedelmi rendszer hatálya alá tartozó tevékenységekre vonatkozó ingyenes kiosztásra vonatkozóan az (EU) 2021/447 bizottsági végrehajtási rendeletben meghatározott referenciaértékek.</w:t>
      </w:r>
    </w:p>
  </w:footnote>
  <w:footnote w:id="240">
    <w:p w14:paraId="6408CE36" w14:textId="4A7E8992" w:rsidR="00D65CB4" w:rsidRPr="00BC4EE7" w:rsidRDefault="00572307">
      <w:pPr>
        <w:pStyle w:val="P68B1DB1-Text142"/>
        <w:ind w:left="0"/>
        <w:rPr>
          <w:rFonts w:cs="Times New Roman"/>
        </w:rPr>
      </w:pPr>
      <w:r w:rsidRPr="00572307">
        <w:rPr>
          <w:rFonts w:cs="Times New Roman"/>
          <w:vertAlign w:val="superscript"/>
        </w:rPr>
        <w:footnoteRef/>
      </w:r>
      <w:r w:rsidRPr="00BC4EE7">
        <w:rPr>
          <w:rFonts w:cs="Times New Roman"/>
        </w:rPr>
        <w:t>Kivéve az a) az ezen intézkedés keretében megvalósuló, földgázt felhasználó villamosenergia- és/vagy hőtermelési projekteket, valamint a kapcsolódó átviteli és elosztási infrastruktúrát, amelyek megfelelnek a jelentős károkozás elkerülését célzó technikai iránymutatás (2021/C58/01) III. mellékletében meghatározott feltételeknek; valamint b) az i. pontban említett olyan tevékenységek és eszközök, amelyek esetében a fosszilis tüzelőanyagok használata ideiglenes és technikailag elkerülhetetlen a fosszilis tüzelőanyagoktól mentes üzemeltetésre való időben történő átállás szempontjából.</w:t>
      </w:r>
      <w:r w:rsidRPr="00BC4EE7">
        <w:rPr>
          <w:rFonts w:cs="Times New Roman"/>
          <w:shd w:val="clear" w:color="auto" w:fill="E6E6E6"/>
        </w:rPr>
        <w:t xml:space="preserve"> </w:t>
      </w:r>
    </w:p>
  </w:footnote>
  <w:footnote w:id="241">
    <w:p w14:paraId="1E257A9A" w14:textId="0DADCBE4" w:rsidR="00D65CB4" w:rsidRPr="00BC4EE7" w:rsidRDefault="00572307">
      <w:pPr>
        <w:pStyle w:val="FootnoteText"/>
        <w:ind w:left="0" w:firstLine="0"/>
        <w:rPr>
          <w:rFonts w:ascii="Times New Roman" w:hAnsi="Times New Roman" w:cs="Times New Roman"/>
        </w:rPr>
      </w:pPr>
      <w:r w:rsidRPr="00BC4EE7">
        <w:rPr>
          <w:rStyle w:val="FootnoteReference"/>
          <w:rFonts w:ascii="Times New Roman" w:hAnsi="Times New Roman" w:cs="Times New Roman"/>
        </w:rPr>
        <w:footnoteRef/>
      </w:r>
      <w:r w:rsidRPr="00BC4EE7">
        <w:rPr>
          <w:rFonts w:ascii="Times New Roman" w:hAnsi="Times New Roman" w:cs="Times New Roman"/>
        </w:rPr>
        <w:t>A konkrét projektekhez kapcsolódó hitelek, részvételi hitelek, projektkötvények, garanciák vagy ezekkel egyenértékű eszközök végső kedvezményezettjei kötelesek minden támogatott projekt esetében megindokolni a kiválasztott beavatkozási területet, a projekt leírásával együtt. A végrehajtó partnernek féléves jelentést kell benyújtania a tagállamnak az egyes projektek/tevékenységek végrehajtásáról.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5E18E" w14:textId="77777777" w:rsidR="00567EFF" w:rsidRPr="00567EFF" w:rsidRDefault="00567EFF" w:rsidP="00567EFF">
    <w:pPr>
      <w:pStyle w:val="HeaderCoverPag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A880C" w14:textId="77777777" w:rsidR="00D65CB4" w:rsidRDefault="00D65CB4">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646EB" w14:textId="77777777" w:rsidR="00D65CB4" w:rsidRDefault="00D65CB4">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B6A3E" w14:textId="77777777" w:rsidR="00D65CB4" w:rsidRDefault="00D65CB4">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BCB4C" w14:textId="77777777" w:rsidR="00D65CB4" w:rsidRDefault="00D65CB4">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20B7F" w14:textId="77777777" w:rsidR="00D65CB4" w:rsidRDefault="00D65CB4">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A9A35" w14:textId="77777777" w:rsidR="00D65CB4" w:rsidRDefault="00D65CB4">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2B8F9" w14:textId="77777777" w:rsidR="00D65CB4" w:rsidRDefault="00D65CB4">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622BD" w14:textId="77777777" w:rsidR="00D65CB4" w:rsidRDefault="00D65CB4">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5953D" w14:textId="77777777" w:rsidR="00D65CB4" w:rsidRDefault="00D65CB4">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5100A" w14:textId="77777777" w:rsidR="00D65CB4" w:rsidRDefault="00D65CB4">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8E6FD" w14:textId="77777777" w:rsidR="00D65CB4" w:rsidRDefault="00D65CB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D53C2" w14:textId="77777777" w:rsidR="00D65CB4" w:rsidRDefault="00D65CB4">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35D76" w14:textId="77777777" w:rsidR="00D65CB4" w:rsidRDefault="00D65CB4">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DD031" w14:textId="77777777" w:rsidR="00D65CB4" w:rsidRDefault="00D65CB4">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E7C52" w14:textId="77777777" w:rsidR="00D65CB4" w:rsidRDefault="00D65CB4">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2A093" w14:textId="77777777" w:rsidR="00D65CB4" w:rsidRDefault="00D65CB4">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FFEBD" w14:textId="77777777" w:rsidR="00D65CB4" w:rsidRDefault="00D65CB4">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155F6" w14:textId="77777777" w:rsidR="00D65CB4" w:rsidRDefault="00D65CB4">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35CA3" w14:textId="77777777" w:rsidR="00D65CB4" w:rsidRDefault="00D65CB4">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B53C1" w14:textId="77777777" w:rsidR="00D65CB4" w:rsidRDefault="00D65CB4">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FE7B0" w14:textId="77777777" w:rsidR="00D65CB4" w:rsidRDefault="00D65CB4">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BC91D" w14:textId="77777777" w:rsidR="00D65CB4" w:rsidRDefault="00D65CB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953D2" w14:textId="77777777" w:rsidR="00D65CB4" w:rsidRDefault="00D65CB4">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3804D" w14:textId="77777777" w:rsidR="00D65CB4" w:rsidRDefault="00D65CB4">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51C32" w14:textId="77777777" w:rsidR="00D65CB4" w:rsidRDefault="00D65CB4">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7C8CE" w14:textId="77777777" w:rsidR="00D65CB4" w:rsidRDefault="00D65CB4">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23390" w14:textId="77777777" w:rsidR="00D65CB4" w:rsidRDefault="00D65CB4">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7B6E1" w14:textId="77777777" w:rsidR="00D65CB4" w:rsidRDefault="00D65CB4">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BB283" w14:textId="77777777" w:rsidR="00D65CB4" w:rsidRDefault="00D65CB4">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040E5" w14:textId="77777777" w:rsidR="00D65CB4" w:rsidRDefault="00D65CB4">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E49EC" w14:textId="77777777" w:rsidR="00D65CB4" w:rsidRDefault="00D65CB4">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5374A" w14:textId="77777777" w:rsidR="00D65CB4" w:rsidRDefault="00D65CB4">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AA353" w14:textId="77777777" w:rsidR="00D65CB4" w:rsidRDefault="00D65CB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90DC7" w14:textId="77777777" w:rsidR="00D65CB4" w:rsidRDefault="00D65CB4">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7A904" w14:textId="77777777" w:rsidR="00D65CB4" w:rsidRDefault="00D65CB4">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7301E" w14:textId="77777777" w:rsidR="00D65CB4" w:rsidRDefault="00D65CB4">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59DAB" w14:textId="77777777" w:rsidR="00D65CB4" w:rsidRDefault="00D65CB4">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5E72D" w14:textId="77777777" w:rsidR="00D65CB4" w:rsidRDefault="00D65CB4">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D877D" w14:textId="77777777" w:rsidR="00D65CB4" w:rsidRDefault="00D65CB4">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20545" w14:textId="77777777" w:rsidR="00D65CB4" w:rsidRDefault="00D65CB4">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9A155" w14:textId="77777777" w:rsidR="00D65CB4" w:rsidRDefault="00D65CB4">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C8C54" w14:textId="77777777" w:rsidR="00D65CB4" w:rsidRDefault="00D65CB4">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7F12C" w14:textId="77777777" w:rsidR="00D65CB4" w:rsidRDefault="00D65CB4">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87D06" w14:textId="77777777" w:rsidR="00D65CB4" w:rsidRDefault="00D65CB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8A922" w14:textId="77777777" w:rsidR="00D65CB4" w:rsidRDefault="00D65CB4">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DE3A8" w14:textId="77777777" w:rsidR="00D65CB4" w:rsidRDefault="00D65CB4">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36783" w14:textId="77777777" w:rsidR="00D65CB4" w:rsidRDefault="00D65CB4">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86864" w14:textId="77777777" w:rsidR="00D65CB4" w:rsidRDefault="00D65CB4">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B994A" w14:textId="77777777" w:rsidR="00D65CB4" w:rsidRDefault="00D65CB4">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A8578" w14:textId="77777777" w:rsidR="00D65CB4" w:rsidRDefault="00D65CB4">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E33DD" w14:textId="77777777" w:rsidR="00D65CB4" w:rsidRDefault="00D65CB4">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6AEA0" w14:textId="77777777" w:rsidR="00D65CB4" w:rsidRDefault="00D65CB4">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BD01A" w14:textId="77777777" w:rsidR="00D65CB4" w:rsidRDefault="00D65CB4">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E73E8" w14:textId="77777777" w:rsidR="00D65CB4" w:rsidRDefault="00D65CB4">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68A82" w14:textId="77777777" w:rsidR="00D65CB4" w:rsidRDefault="00D65CB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731FD" w14:textId="77777777" w:rsidR="00D65CB4" w:rsidRDefault="00D65CB4">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4B85B" w14:textId="77777777" w:rsidR="00D65CB4" w:rsidRDefault="00D65CB4">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35B34" w14:textId="77777777" w:rsidR="00D65CB4" w:rsidRDefault="00D65CB4">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EE965" w14:textId="77777777" w:rsidR="00D65CB4" w:rsidRDefault="00D65CB4">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60C71" w14:textId="77777777" w:rsidR="00D65CB4" w:rsidRDefault="00D65CB4">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39E94" w14:textId="77777777" w:rsidR="00D65CB4" w:rsidRDefault="00D65CB4">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E1C3E" w14:textId="77777777" w:rsidR="00D65CB4" w:rsidRDefault="00D65CB4">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8C6E7" w14:textId="77777777" w:rsidR="00D65CB4" w:rsidRDefault="00D65CB4">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12A91" w14:textId="77777777" w:rsidR="00D65CB4" w:rsidRDefault="00D65CB4">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88D6C" w14:textId="77777777" w:rsidR="00D65CB4" w:rsidRDefault="00D65CB4">
    <w:pPr>
      <w:pStyle w:val="Header"/>
    </w:pP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D8239" w14:textId="77777777" w:rsidR="00D65CB4" w:rsidRDefault="00D65CB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9A520" w14:textId="77777777" w:rsidR="00D65CB4" w:rsidRDefault="00D65CB4">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B3C72" w14:textId="77777777" w:rsidR="00D65CB4" w:rsidRDefault="00D65CB4">
    <w:pPr>
      <w:pStyle w:val="Header"/>
    </w:pP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500DF" w14:textId="77777777" w:rsidR="00D65CB4" w:rsidRDefault="00D65CB4">
    <w:pPr>
      <w:pStyle w:val="Header"/>
    </w:pP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6D604" w14:textId="77777777" w:rsidR="00D65CB4" w:rsidRDefault="00D65CB4">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8D236" w14:textId="77777777" w:rsidR="00D65CB4" w:rsidRDefault="00D65CB4">
    <w:pPr>
      <w:pStyle w:val="Header"/>
    </w:pP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76AEA" w14:textId="77777777" w:rsidR="00D65CB4" w:rsidRDefault="00D65CB4">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9CD92" w14:textId="77777777" w:rsidR="00D65CB4" w:rsidRDefault="00D65CB4">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6C147" w14:textId="77777777" w:rsidR="00D65CB4" w:rsidRDefault="00D65CB4">
    <w:pPr>
      <w:pStyle w:val="Header"/>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69BC8" w14:textId="77777777" w:rsidR="00D65CB4" w:rsidRDefault="00D65CB4">
    <w:pPr>
      <w:pStyle w:val="Header"/>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92103" w14:textId="77777777" w:rsidR="00D65CB4" w:rsidRDefault="00D65CB4">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CE89F" w14:textId="77777777" w:rsidR="00D65CB4" w:rsidRDefault="00D65CB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5776F" w14:textId="77777777" w:rsidR="00D65CB4" w:rsidRDefault="00D65CB4">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076B5" w14:textId="77777777" w:rsidR="00D65CB4" w:rsidRDefault="00D65CB4">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208DC" w14:textId="77777777" w:rsidR="00D65CB4" w:rsidRDefault="00D65CB4">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4A4E7" w14:textId="77777777" w:rsidR="00D65CB4" w:rsidRDefault="00D65CB4">
    <w:pPr>
      <w:pStyle w:val="Header"/>
    </w:pP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CE977" w14:textId="77777777" w:rsidR="00D65CB4" w:rsidRDefault="00D65CB4">
    <w:pPr>
      <w:pStyle w:val="Header"/>
    </w:pP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51D65" w14:textId="77777777" w:rsidR="00D65CB4" w:rsidRDefault="00D65CB4">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AA177" w14:textId="77777777" w:rsidR="00D65CB4" w:rsidRDefault="00D65CB4">
    <w:pPr>
      <w:pStyle w:val="Header"/>
    </w:pP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A780A" w14:textId="77777777" w:rsidR="00D65CB4" w:rsidRDefault="00D65CB4">
    <w:pPr>
      <w:pStyle w:val="Header"/>
    </w:pP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5AE35" w14:textId="77777777" w:rsidR="00D65CB4" w:rsidRDefault="00D65CB4">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23A56" w14:textId="77777777" w:rsidR="00D65CB4" w:rsidRDefault="00D65CB4">
    <w:pPr>
      <w:pStyle w:val="Header"/>
    </w:pP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B3285" w14:textId="77777777" w:rsidR="00D65CB4" w:rsidRDefault="00D65CB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58183" w14:textId="77777777" w:rsidR="00D65CB4" w:rsidRDefault="00D65CB4">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ACE28" w14:textId="77777777" w:rsidR="00D65CB4" w:rsidRDefault="00D65CB4">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0DBBC" w14:textId="77777777" w:rsidR="00D65CB4" w:rsidRDefault="00D65CB4">
    <w:pPr>
      <w:pStyle w:val="Header"/>
    </w:pP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1E169" w14:textId="77777777" w:rsidR="00D65CB4" w:rsidRDefault="00D65CB4">
    <w:pPr>
      <w:pStyle w:val="Header"/>
    </w:pP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ABB26" w14:textId="77777777" w:rsidR="00D65CB4" w:rsidRDefault="00D65CB4">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E0CA7" w14:textId="77777777" w:rsidR="00D65CB4" w:rsidRDefault="00D65CB4">
    <w:pPr>
      <w:pStyle w:val="Header"/>
    </w:pP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3178C" w14:textId="77777777" w:rsidR="00D65CB4" w:rsidRDefault="00D65CB4">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7E7C7" w14:textId="77777777" w:rsidR="00D65CB4" w:rsidRDefault="00D65CB4">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EE8E9" w14:textId="77777777" w:rsidR="00D65CB4" w:rsidRDefault="00D65CB4">
    <w:pPr>
      <w:pStyle w:val="Header"/>
    </w:pPr>
  </w:p>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EC7F4" w14:textId="77777777" w:rsidR="00D65CB4" w:rsidRDefault="00D65CB4">
    <w:pPr>
      <w:pStyle w:val="Header"/>
    </w:pP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C21EC" w14:textId="77777777" w:rsidR="00D65CB4" w:rsidRDefault="00D65CB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C94D6" w14:textId="77777777" w:rsidR="00D65CB4" w:rsidRDefault="00D65CB4">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DDF64" w14:textId="77777777" w:rsidR="00D65CB4" w:rsidRDefault="00D65CB4">
    <w:pPr>
      <w:pStyle w:val="Header"/>
    </w:pPr>
  </w:p>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ACBAD" w14:textId="77777777" w:rsidR="00D65CB4" w:rsidRDefault="00D65CB4">
    <w:pPr>
      <w:pStyle w:val="Header"/>
    </w:pP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14D68" w14:textId="77777777" w:rsidR="00D65CB4" w:rsidRDefault="00D65CB4">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B0D7A" w14:textId="77777777" w:rsidR="00D65CB4" w:rsidRDefault="00D65CB4">
    <w:pPr>
      <w:pStyle w:val="Header"/>
    </w:pPr>
  </w:p>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EFC33" w14:textId="77777777" w:rsidR="00D65CB4" w:rsidRDefault="00D65CB4">
    <w:pPr>
      <w:pStyle w:val="Header"/>
    </w:pPr>
  </w:p>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A487F" w14:textId="77777777" w:rsidR="00D65CB4" w:rsidRDefault="00D65CB4">
    <w:pPr>
      <w:pStyle w:val="Header"/>
    </w:pPr>
  </w:p>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D251E" w14:textId="77777777" w:rsidR="00D65CB4" w:rsidRDefault="00D65CB4">
    <w:pPr>
      <w:pStyle w:val="Header"/>
    </w:pPr>
  </w:p>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24553" w14:textId="77777777" w:rsidR="00D65CB4" w:rsidRDefault="00D65CB4">
    <w:pPr>
      <w:pStyle w:val="Header"/>
    </w:pPr>
  </w:p>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D4DBB" w14:textId="77777777" w:rsidR="00D65CB4" w:rsidRDefault="00D65CB4">
    <w:pPr>
      <w:pStyle w:val="Header"/>
    </w:pPr>
  </w:p>
</w:hdr>
</file>

<file path=word/header1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C786D" w14:textId="77777777" w:rsidR="00D65CB4" w:rsidRDefault="00D65C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512A6" w14:textId="77777777" w:rsidR="00567EFF" w:rsidRPr="00567EFF" w:rsidRDefault="00567EFF" w:rsidP="00567EFF">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360C1" w14:textId="77777777" w:rsidR="00D65CB4" w:rsidRDefault="00D65CB4">
    <w:pPr>
      <w:pStyle w:val="Header"/>
    </w:pPr>
  </w:p>
</w:hdr>
</file>

<file path=word/header2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C6A03" w14:textId="77777777" w:rsidR="00D65CB4" w:rsidRDefault="00D65CB4">
    <w:pPr>
      <w:pStyle w:val="Header"/>
    </w:pPr>
  </w:p>
</w:hdr>
</file>

<file path=word/header2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BC85C" w14:textId="77777777" w:rsidR="00D65CB4" w:rsidRDefault="00D65CB4">
    <w:pPr>
      <w:pStyle w:val="Header"/>
    </w:pPr>
  </w:p>
</w:hdr>
</file>

<file path=word/header2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D97B4" w14:textId="77777777" w:rsidR="00D65CB4" w:rsidRDefault="00D65CB4">
    <w:pPr>
      <w:pStyle w:val="Header"/>
    </w:pPr>
  </w:p>
</w:hdr>
</file>

<file path=word/header2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FEF9A" w14:textId="77777777" w:rsidR="00D65CB4" w:rsidRDefault="00D65CB4">
    <w:pPr>
      <w:pStyle w:val="Header"/>
    </w:pPr>
  </w:p>
</w:hdr>
</file>

<file path=word/header2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8795B" w14:textId="77777777" w:rsidR="00D65CB4" w:rsidRDefault="00D65CB4">
    <w:pPr>
      <w:pStyle w:val="Header"/>
    </w:pPr>
  </w:p>
</w:hdr>
</file>

<file path=word/header2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F44E4" w14:textId="77777777" w:rsidR="00D65CB4" w:rsidRDefault="00D65CB4">
    <w:pPr>
      <w:pStyle w:val="Header"/>
    </w:pPr>
  </w:p>
</w:hdr>
</file>

<file path=word/header2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24BE0" w14:textId="77777777" w:rsidR="00D65CB4" w:rsidRDefault="00D65CB4">
    <w:pPr>
      <w:pStyle w:val="Header"/>
    </w:pPr>
  </w:p>
</w:hdr>
</file>

<file path=word/header2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BB890" w14:textId="77777777" w:rsidR="00D65CB4" w:rsidRDefault="00D65CB4">
    <w:pPr>
      <w:pStyle w:val="Header"/>
    </w:pPr>
  </w:p>
</w:hdr>
</file>

<file path=word/header2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697A7" w14:textId="77777777" w:rsidR="00D65CB4" w:rsidRDefault="00D65CB4">
    <w:pPr>
      <w:pStyle w:val="Header"/>
    </w:pPr>
  </w:p>
</w:hdr>
</file>

<file path=word/header2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682F7" w14:textId="77777777" w:rsidR="00D65CB4" w:rsidRDefault="00D65CB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A71E6" w14:textId="77777777" w:rsidR="00D65CB4" w:rsidRDefault="00D65CB4">
    <w:pPr>
      <w:pStyle w:val="Header"/>
    </w:pPr>
  </w:p>
</w:hdr>
</file>

<file path=word/header2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09A59" w14:textId="77777777" w:rsidR="00D65CB4" w:rsidRDefault="00D65CB4">
    <w:pPr>
      <w:pStyle w:val="Header"/>
    </w:pPr>
  </w:p>
</w:hdr>
</file>

<file path=word/header2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A91C8" w14:textId="77777777" w:rsidR="00D65CB4" w:rsidRDefault="00D65CB4">
    <w:pPr>
      <w:pStyle w:val="Header"/>
    </w:pPr>
  </w:p>
</w:hdr>
</file>

<file path=word/header2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234F4" w14:textId="77777777" w:rsidR="00D65CB4" w:rsidRDefault="00D65CB4">
    <w:pPr>
      <w:pStyle w:val="Header"/>
    </w:pPr>
  </w:p>
</w:hdr>
</file>

<file path=word/header2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29E3E" w14:textId="77777777" w:rsidR="00D65CB4" w:rsidRDefault="00D65CB4">
    <w:pPr>
      <w:pStyle w:val="Header"/>
    </w:pPr>
  </w:p>
</w:hdr>
</file>

<file path=word/header2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2872D" w14:textId="77777777" w:rsidR="00D65CB4" w:rsidRDefault="00D65CB4">
    <w:pPr>
      <w:pStyle w:val="Header"/>
    </w:pPr>
  </w:p>
</w:hdr>
</file>

<file path=word/header2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CDCD3" w14:textId="77777777" w:rsidR="00D65CB4" w:rsidRDefault="00D65CB4">
    <w:pPr>
      <w:pStyle w:val="Header"/>
    </w:pPr>
  </w:p>
</w:hdr>
</file>

<file path=word/header2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830F5" w14:textId="77777777" w:rsidR="00D65CB4" w:rsidRDefault="00D65CB4">
    <w:pPr>
      <w:pStyle w:val="Header"/>
    </w:pPr>
  </w:p>
</w:hdr>
</file>

<file path=word/header2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9ED7F" w14:textId="77777777" w:rsidR="00D65CB4" w:rsidRDefault="00D65CB4">
    <w:pPr>
      <w:pStyle w:val="Header"/>
    </w:pPr>
  </w:p>
</w:hdr>
</file>

<file path=word/header2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F186C" w14:textId="77777777" w:rsidR="00D65CB4" w:rsidRDefault="00D65CB4">
    <w:pPr>
      <w:pStyle w:val="Header"/>
    </w:pPr>
  </w:p>
</w:hdr>
</file>

<file path=word/header2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AB8AF" w14:textId="77777777" w:rsidR="00D65CB4" w:rsidRDefault="00D65CB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0D4CB" w14:textId="77777777" w:rsidR="00D65CB4" w:rsidRDefault="00D65CB4">
    <w:pPr>
      <w:pStyle w:val="Header"/>
    </w:pPr>
  </w:p>
</w:hdr>
</file>

<file path=word/header2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51C90" w14:textId="77777777" w:rsidR="00D65CB4" w:rsidRDefault="00D65CB4">
    <w:pPr>
      <w:pStyle w:val="Header"/>
    </w:pPr>
  </w:p>
</w:hdr>
</file>

<file path=word/header2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849E1" w14:textId="77777777" w:rsidR="00D65CB4" w:rsidRDefault="00D65CB4">
    <w:pPr>
      <w:pStyle w:val="Header"/>
    </w:pPr>
  </w:p>
</w:hdr>
</file>

<file path=word/header2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C3A80" w14:textId="77777777" w:rsidR="00D65CB4" w:rsidRDefault="00D65CB4">
    <w:pPr>
      <w:pStyle w:val="Header"/>
    </w:pPr>
  </w:p>
</w:hdr>
</file>

<file path=word/header2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70F93" w14:textId="77777777" w:rsidR="00D65CB4" w:rsidRDefault="00D65CB4">
    <w:pPr>
      <w:pStyle w:val="Header"/>
    </w:pPr>
  </w:p>
</w:hdr>
</file>

<file path=word/header2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AA77F" w14:textId="77777777" w:rsidR="00D65CB4" w:rsidRDefault="00D65CB4">
    <w:pPr>
      <w:pStyle w:val="Header"/>
    </w:pPr>
  </w:p>
</w:hdr>
</file>

<file path=word/header2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93CCF" w14:textId="77777777" w:rsidR="00D65CB4" w:rsidRDefault="00D65CB4">
    <w:pPr>
      <w:pStyle w:val="Header"/>
    </w:pPr>
  </w:p>
</w:hdr>
</file>

<file path=word/header2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83EBC" w14:textId="77777777" w:rsidR="00D65CB4" w:rsidRDefault="00D65CB4">
    <w:pPr>
      <w:pStyle w:val="Header"/>
    </w:pPr>
  </w:p>
</w:hdr>
</file>

<file path=word/header2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26BD4" w14:textId="77777777" w:rsidR="00D65CB4" w:rsidRDefault="00D65CB4">
    <w:pPr>
      <w:pStyle w:val="Header"/>
    </w:pPr>
  </w:p>
</w:hdr>
</file>

<file path=word/header2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E1265" w14:textId="77777777" w:rsidR="00D65CB4" w:rsidRDefault="00D65CB4">
    <w:pPr>
      <w:pStyle w:val="Header"/>
    </w:pPr>
  </w:p>
</w:hdr>
</file>

<file path=word/header2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EE3A7" w14:textId="77777777" w:rsidR="00D65CB4" w:rsidRDefault="00D65CB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5F54F" w14:textId="77777777" w:rsidR="00D65CB4" w:rsidRDefault="00D65CB4">
    <w:pPr>
      <w:pStyle w:val="Header"/>
    </w:pPr>
  </w:p>
</w:hdr>
</file>

<file path=word/header2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0DFE4" w14:textId="77777777" w:rsidR="00D65CB4" w:rsidRDefault="00D65CB4">
    <w:pPr>
      <w:pStyle w:val="Header"/>
    </w:pPr>
  </w:p>
</w:hdr>
</file>

<file path=word/header2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68BA7" w14:textId="77777777" w:rsidR="00D65CB4" w:rsidRDefault="00D65CB4">
    <w:pPr>
      <w:pStyle w:val="Header"/>
    </w:pPr>
  </w:p>
</w:hdr>
</file>

<file path=word/header2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4542A" w14:textId="77777777" w:rsidR="00D65CB4" w:rsidRDefault="00D65CB4">
    <w:pPr>
      <w:pStyle w:val="Header"/>
    </w:pPr>
  </w:p>
</w:hdr>
</file>

<file path=word/header2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788C9" w14:textId="77777777" w:rsidR="00D65CB4" w:rsidRDefault="00D65CB4">
    <w:pPr>
      <w:pStyle w:val="Header"/>
    </w:pPr>
  </w:p>
</w:hdr>
</file>

<file path=word/header2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A1DD8" w14:textId="77777777" w:rsidR="00D65CB4" w:rsidRDefault="00D65CB4">
    <w:pPr>
      <w:pStyle w:val="Header"/>
    </w:pPr>
  </w:p>
</w:hdr>
</file>

<file path=word/header2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FB44B" w14:textId="77777777" w:rsidR="00D65CB4" w:rsidRDefault="00D65CB4">
    <w:pPr>
      <w:pStyle w:val="Header"/>
    </w:pPr>
  </w:p>
</w:hdr>
</file>

<file path=word/header2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4FA3F" w14:textId="77777777" w:rsidR="00D65CB4" w:rsidRDefault="00D65CB4">
    <w:pPr>
      <w:pStyle w:val="Header"/>
    </w:pPr>
  </w:p>
</w:hdr>
</file>

<file path=word/header2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8D015" w14:textId="77777777" w:rsidR="00D65CB4" w:rsidRDefault="00D65CB4">
    <w:pPr>
      <w:pStyle w:val="Header"/>
    </w:pPr>
  </w:p>
</w:hdr>
</file>

<file path=word/header2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DD1D9" w14:textId="77777777" w:rsidR="00D65CB4" w:rsidRDefault="00D65CB4">
    <w:pPr>
      <w:pStyle w:val="Header"/>
    </w:pPr>
  </w:p>
</w:hdr>
</file>

<file path=word/header2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8C15F" w14:textId="77777777" w:rsidR="00D65CB4" w:rsidRDefault="00D65CB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BAC8F" w14:textId="77777777" w:rsidR="00D65CB4" w:rsidRDefault="00D65CB4">
    <w:pPr>
      <w:pStyle w:val="Header"/>
    </w:pPr>
  </w:p>
</w:hdr>
</file>

<file path=word/header2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D68F0" w14:textId="77777777" w:rsidR="00D65CB4" w:rsidRDefault="00D65CB4">
    <w:pPr>
      <w:pStyle w:val="Header"/>
    </w:pPr>
  </w:p>
</w:hdr>
</file>

<file path=word/header2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82B0B" w14:textId="77777777" w:rsidR="00D65CB4" w:rsidRDefault="00D65CB4">
    <w:pPr>
      <w:pStyle w:val="Header"/>
    </w:pPr>
  </w:p>
</w:hdr>
</file>

<file path=word/header2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1CD80" w14:textId="77777777" w:rsidR="00D65CB4" w:rsidRDefault="00D65CB4">
    <w:pPr>
      <w:pStyle w:val="Header"/>
    </w:pPr>
  </w:p>
</w:hdr>
</file>

<file path=word/header2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BE8C5" w14:textId="77777777" w:rsidR="00D65CB4" w:rsidRDefault="00D65CB4">
    <w:pPr>
      <w:pStyle w:val="Header"/>
    </w:pPr>
  </w:p>
</w:hdr>
</file>

<file path=word/header2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F5194" w14:textId="77777777" w:rsidR="00D65CB4" w:rsidRDefault="00D65CB4">
    <w:pPr>
      <w:pStyle w:val="Header"/>
    </w:pPr>
  </w:p>
</w:hdr>
</file>

<file path=word/header2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D2DCD" w14:textId="77777777" w:rsidR="00D65CB4" w:rsidRDefault="00D65CB4">
    <w:pPr>
      <w:pStyle w:val="Header"/>
    </w:pPr>
  </w:p>
</w:hdr>
</file>

<file path=word/header2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088A3" w14:textId="77777777" w:rsidR="00D65CB4" w:rsidRDefault="00D65CB4">
    <w:pPr>
      <w:pStyle w:val="Header"/>
    </w:pPr>
  </w:p>
</w:hdr>
</file>

<file path=word/header2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C0A7B" w14:textId="77777777" w:rsidR="00D65CB4" w:rsidRDefault="00D65CB4">
    <w:pPr>
      <w:pStyle w:val="Header"/>
    </w:pPr>
  </w:p>
</w:hdr>
</file>

<file path=word/header2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FD3F8" w14:textId="77777777" w:rsidR="00D65CB4" w:rsidRDefault="00D65CB4">
    <w:pPr>
      <w:pStyle w:val="Header"/>
    </w:pPr>
  </w:p>
</w:hdr>
</file>

<file path=word/header2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91C33" w14:textId="77777777" w:rsidR="00D65CB4" w:rsidRDefault="00D65CB4">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FE3F6" w14:textId="77777777" w:rsidR="00D65CB4" w:rsidRDefault="00D65CB4">
    <w:pPr>
      <w:pStyle w:val="Header"/>
    </w:pPr>
  </w:p>
</w:hdr>
</file>

<file path=word/header2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BAA08" w14:textId="77777777" w:rsidR="00D65CB4" w:rsidRDefault="00D65CB4">
    <w:pPr>
      <w:pStyle w:val="Header"/>
    </w:pPr>
  </w:p>
</w:hdr>
</file>

<file path=word/header2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B1274" w14:textId="77777777" w:rsidR="00D65CB4" w:rsidRDefault="00D65CB4">
    <w:pPr>
      <w:pStyle w:val="Header"/>
    </w:pPr>
  </w:p>
</w:hdr>
</file>

<file path=word/header2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427CB" w14:textId="77777777" w:rsidR="00D65CB4" w:rsidRDefault="00D65CB4">
    <w:pPr>
      <w:pStyle w:val="Header"/>
    </w:pPr>
  </w:p>
</w:hdr>
</file>

<file path=word/header2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4F5A4" w14:textId="77777777" w:rsidR="00D65CB4" w:rsidRDefault="00D65CB4">
    <w:pPr>
      <w:pStyle w:val="Header"/>
    </w:pPr>
  </w:p>
</w:hdr>
</file>

<file path=word/header2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A15EC" w14:textId="77777777" w:rsidR="00D65CB4" w:rsidRDefault="00D65CB4">
    <w:pPr>
      <w:pStyle w:val="Header"/>
    </w:pPr>
  </w:p>
</w:hdr>
</file>

<file path=word/header2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75BE8" w14:textId="77777777" w:rsidR="00D65CB4" w:rsidRDefault="00D65CB4">
    <w:pPr>
      <w:pStyle w:val="Header"/>
    </w:pPr>
  </w:p>
</w:hdr>
</file>

<file path=word/header2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E50E5" w14:textId="77777777" w:rsidR="00D65CB4" w:rsidRDefault="00D65CB4">
    <w:pPr>
      <w:pStyle w:val="Header"/>
    </w:pPr>
  </w:p>
</w:hdr>
</file>

<file path=word/header2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564FB" w14:textId="77777777" w:rsidR="00D65CB4" w:rsidRDefault="00D65CB4">
    <w:pPr>
      <w:pStyle w:val="Header"/>
    </w:pPr>
  </w:p>
</w:hdr>
</file>

<file path=word/header2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9BDD7" w14:textId="77777777" w:rsidR="00D65CB4" w:rsidRDefault="00D65CB4">
    <w:pPr>
      <w:pStyle w:val="Header"/>
    </w:pPr>
  </w:p>
</w:hdr>
</file>

<file path=word/header2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E1D1C" w14:textId="77777777" w:rsidR="00D65CB4" w:rsidRDefault="00D65CB4">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34AF6" w14:textId="77777777" w:rsidR="00D65CB4" w:rsidRDefault="00D65CB4">
    <w:pPr>
      <w:pStyle w:val="Header"/>
    </w:pPr>
  </w:p>
</w:hdr>
</file>

<file path=word/header2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10982" w14:textId="77777777" w:rsidR="00D65CB4" w:rsidRDefault="00D65CB4">
    <w:pPr>
      <w:pStyle w:val="Header"/>
    </w:pPr>
  </w:p>
</w:hdr>
</file>

<file path=word/header2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6FB2D" w14:textId="77777777" w:rsidR="00D65CB4" w:rsidRDefault="00D65CB4">
    <w:pPr>
      <w:pStyle w:val="Header"/>
    </w:pPr>
  </w:p>
</w:hdr>
</file>

<file path=word/header2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22648" w14:textId="77777777" w:rsidR="00D65CB4" w:rsidRDefault="00D65CB4">
    <w:pPr>
      <w:pStyle w:val="Header"/>
    </w:pPr>
  </w:p>
</w:hdr>
</file>

<file path=word/header2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06525" w14:textId="77777777" w:rsidR="00D65CB4" w:rsidRDefault="00D65CB4">
    <w:pPr>
      <w:pStyle w:val="Header"/>
    </w:pPr>
  </w:p>
</w:hdr>
</file>

<file path=word/header2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7D287" w14:textId="77777777" w:rsidR="00D65CB4" w:rsidRDefault="00D65CB4">
    <w:pPr>
      <w:pStyle w:val="Header"/>
    </w:pPr>
  </w:p>
</w:hdr>
</file>

<file path=word/header2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E8BFC" w14:textId="77777777" w:rsidR="00D65CB4" w:rsidRDefault="00D65CB4">
    <w:pPr>
      <w:pStyle w:val="Header"/>
    </w:pPr>
  </w:p>
</w:hdr>
</file>

<file path=word/header2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5B9C5" w14:textId="77777777" w:rsidR="00D65CB4" w:rsidRDefault="00D65CB4">
    <w:pPr>
      <w:pStyle w:val="Header"/>
    </w:pPr>
  </w:p>
</w:hdr>
</file>

<file path=word/header2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BAE40" w14:textId="77777777" w:rsidR="00D65CB4" w:rsidRDefault="00D65CB4">
    <w:pPr>
      <w:pStyle w:val="Header"/>
    </w:pPr>
  </w:p>
</w:hdr>
</file>

<file path=word/header2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DEC0E" w14:textId="77777777" w:rsidR="00D65CB4" w:rsidRDefault="00D65CB4">
    <w:pPr>
      <w:pStyle w:val="Header"/>
    </w:pPr>
  </w:p>
</w:hdr>
</file>

<file path=word/header2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1D129" w14:textId="77777777" w:rsidR="00D65CB4" w:rsidRDefault="00D65CB4">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02798" w14:textId="77777777" w:rsidR="00D65CB4" w:rsidRDefault="00D65CB4">
    <w:pPr>
      <w:pStyle w:val="Header"/>
    </w:pPr>
  </w:p>
</w:hdr>
</file>

<file path=word/header2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32EDF" w14:textId="77777777" w:rsidR="00D65CB4" w:rsidRDefault="00D65CB4">
    <w:pPr>
      <w:pStyle w:val="Header"/>
    </w:pPr>
  </w:p>
</w:hdr>
</file>

<file path=word/header2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29514" w14:textId="77777777" w:rsidR="00D65CB4" w:rsidRDefault="00D65CB4">
    <w:pPr>
      <w:pStyle w:val="Header"/>
    </w:pPr>
  </w:p>
</w:hdr>
</file>

<file path=word/header2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2DD0F" w14:textId="77777777" w:rsidR="00D65CB4" w:rsidRDefault="00D65CB4">
    <w:pPr>
      <w:pStyle w:val="Header"/>
    </w:pPr>
  </w:p>
</w:hdr>
</file>

<file path=word/header2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496A3" w14:textId="77777777" w:rsidR="00D65CB4" w:rsidRDefault="00D65CB4">
    <w:pPr>
      <w:pStyle w:val="Header"/>
    </w:pPr>
  </w:p>
</w:hdr>
</file>

<file path=word/header2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17B1B" w14:textId="77777777" w:rsidR="00D65CB4" w:rsidRDefault="00D65CB4">
    <w:pPr>
      <w:pStyle w:val="Header"/>
    </w:pPr>
  </w:p>
</w:hdr>
</file>

<file path=word/header2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88792" w14:textId="77777777" w:rsidR="00D65CB4" w:rsidRDefault="00D65CB4">
    <w:pPr>
      <w:pStyle w:val="Header"/>
    </w:pPr>
  </w:p>
</w:hdr>
</file>

<file path=word/header2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C3C52" w14:textId="77777777" w:rsidR="00D65CB4" w:rsidRDefault="00D65CB4">
    <w:pPr>
      <w:pStyle w:val="Header"/>
    </w:pPr>
  </w:p>
</w:hdr>
</file>

<file path=word/header2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3348D" w14:textId="77777777" w:rsidR="00D65CB4" w:rsidRDefault="00D65CB4">
    <w:pPr>
      <w:pStyle w:val="Header"/>
    </w:pPr>
  </w:p>
</w:hdr>
</file>

<file path=word/header2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A5C85" w14:textId="77777777" w:rsidR="00D65CB4" w:rsidRDefault="00D65CB4">
    <w:pPr>
      <w:pStyle w:val="Header"/>
    </w:pPr>
  </w:p>
</w:hdr>
</file>

<file path=word/header2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1EA1D" w14:textId="77777777" w:rsidR="00D65CB4" w:rsidRDefault="00D65CB4">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A5399" w14:textId="77777777" w:rsidR="00D65CB4" w:rsidRDefault="00D65CB4">
    <w:pPr>
      <w:pStyle w:val="Header"/>
    </w:pPr>
  </w:p>
</w:hdr>
</file>

<file path=word/header2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A64B6" w14:textId="77777777" w:rsidR="00D65CB4" w:rsidRDefault="00D65CB4">
    <w:pPr>
      <w:pStyle w:val="Header"/>
    </w:pPr>
  </w:p>
</w:hdr>
</file>

<file path=word/header2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23E17" w14:textId="77777777" w:rsidR="00D65CB4" w:rsidRDefault="00D65CB4">
    <w:pPr>
      <w:pStyle w:val="Header"/>
    </w:pPr>
  </w:p>
</w:hdr>
</file>

<file path=word/header2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77E02" w14:textId="77777777" w:rsidR="00D65CB4" w:rsidRDefault="00D65CB4">
    <w:pPr>
      <w:pStyle w:val="Header"/>
    </w:pPr>
  </w:p>
</w:hdr>
</file>

<file path=word/header2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A6764" w14:textId="77777777" w:rsidR="00D65CB4" w:rsidRDefault="00D65CB4">
    <w:pPr>
      <w:pStyle w:val="Header"/>
    </w:pPr>
  </w:p>
</w:hdr>
</file>

<file path=word/header2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3F50B" w14:textId="77777777" w:rsidR="00D65CB4" w:rsidRDefault="00D65CB4">
    <w:pPr>
      <w:pStyle w:val="Header"/>
    </w:pPr>
  </w:p>
</w:hdr>
</file>

<file path=word/header2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220E1" w14:textId="77777777" w:rsidR="00D65CB4" w:rsidRDefault="00D65CB4">
    <w:pPr>
      <w:pStyle w:val="Header"/>
    </w:pPr>
  </w:p>
</w:hdr>
</file>

<file path=word/header2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AA47D" w14:textId="77777777" w:rsidR="00D65CB4" w:rsidRDefault="00D65CB4">
    <w:pPr>
      <w:pStyle w:val="Header"/>
    </w:pPr>
  </w:p>
</w:hdr>
</file>

<file path=word/header2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4F3AF" w14:textId="77777777" w:rsidR="00D65CB4" w:rsidRDefault="00D65CB4">
    <w:pPr>
      <w:pStyle w:val="Header"/>
    </w:pPr>
  </w:p>
</w:hdr>
</file>

<file path=word/header2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198B4" w14:textId="77777777" w:rsidR="00D65CB4" w:rsidRDefault="00D65CB4">
    <w:pPr>
      <w:pStyle w:val="Header"/>
    </w:pPr>
  </w:p>
</w:hdr>
</file>

<file path=word/header2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212D3" w14:textId="77777777" w:rsidR="00D65CB4" w:rsidRDefault="00D65CB4">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C1C18" w14:textId="77777777" w:rsidR="00D65CB4" w:rsidRDefault="00D65CB4">
    <w:pPr>
      <w:pStyle w:val="Header"/>
    </w:pPr>
  </w:p>
</w:hdr>
</file>

<file path=word/header2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1757F" w14:textId="77777777" w:rsidR="00D65CB4" w:rsidRDefault="00D65CB4">
    <w:pPr>
      <w:pStyle w:val="Header"/>
    </w:pPr>
  </w:p>
</w:hdr>
</file>

<file path=word/header2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2B07C" w14:textId="77777777" w:rsidR="00D65CB4" w:rsidRDefault="00D65CB4">
    <w:pPr>
      <w:pStyle w:val="Header"/>
    </w:pPr>
  </w:p>
</w:hdr>
</file>

<file path=word/header2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2C51B" w14:textId="77777777" w:rsidR="00D65CB4" w:rsidRDefault="00D65CB4">
    <w:pPr>
      <w:pStyle w:val="Header"/>
    </w:pPr>
  </w:p>
</w:hdr>
</file>

<file path=word/header2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46766" w14:textId="77777777" w:rsidR="00D65CB4" w:rsidRDefault="00D65CB4">
    <w:pPr>
      <w:pStyle w:val="Header"/>
    </w:pPr>
  </w:p>
</w:hdr>
</file>

<file path=word/header2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2F12E" w14:textId="77777777" w:rsidR="00D65CB4" w:rsidRDefault="00D65CB4">
    <w:pPr>
      <w:pStyle w:val="Header"/>
    </w:pPr>
  </w:p>
</w:hdr>
</file>

<file path=word/header2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B71D4" w14:textId="77777777" w:rsidR="00D65CB4" w:rsidRDefault="00D65CB4">
    <w:pPr>
      <w:pStyle w:val="Header"/>
    </w:pPr>
  </w:p>
</w:hdr>
</file>

<file path=word/header2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86CDE" w14:textId="77777777" w:rsidR="00D65CB4" w:rsidRDefault="00D65CB4">
    <w:pPr>
      <w:pStyle w:val="Header"/>
    </w:pPr>
  </w:p>
</w:hdr>
</file>

<file path=word/header2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A0904" w14:textId="77777777" w:rsidR="00D65CB4" w:rsidRDefault="00D65CB4">
    <w:pPr>
      <w:pStyle w:val="Header"/>
    </w:pPr>
  </w:p>
</w:hdr>
</file>

<file path=word/header2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AF15D" w14:textId="77777777" w:rsidR="00D65CB4" w:rsidRDefault="00D65CB4">
    <w:pPr>
      <w:pStyle w:val="Header"/>
    </w:pPr>
  </w:p>
</w:hdr>
</file>

<file path=word/header2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6F948" w14:textId="77777777" w:rsidR="00D65CB4" w:rsidRDefault="00D65C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C1B7A" w14:textId="77777777" w:rsidR="00567EFF" w:rsidRPr="00567EFF" w:rsidRDefault="00567EFF" w:rsidP="00567EFF">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834F4" w14:textId="77777777" w:rsidR="00D65CB4" w:rsidRDefault="00D65CB4">
    <w:pPr>
      <w:pStyle w:val="Header"/>
    </w:pPr>
  </w:p>
</w:hdr>
</file>

<file path=word/header3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F3CD3" w14:textId="77777777" w:rsidR="00D65CB4" w:rsidRDefault="00D65CB4">
    <w:pPr>
      <w:pStyle w:val="Header"/>
    </w:pPr>
  </w:p>
</w:hdr>
</file>

<file path=word/header3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087FA" w14:textId="77777777" w:rsidR="00D65CB4" w:rsidRDefault="00D65CB4">
    <w:pPr>
      <w:pStyle w:val="Header"/>
    </w:pPr>
  </w:p>
</w:hdr>
</file>

<file path=word/header3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2408E" w14:textId="77777777" w:rsidR="00D65CB4" w:rsidRDefault="00D65CB4">
    <w:pPr>
      <w:pStyle w:val="Header"/>
    </w:pPr>
  </w:p>
</w:hdr>
</file>

<file path=word/header3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ED0B3" w14:textId="77777777" w:rsidR="00D65CB4" w:rsidRDefault="00D65CB4">
    <w:pPr>
      <w:pStyle w:val="Header"/>
    </w:pPr>
  </w:p>
</w:hdr>
</file>

<file path=word/header3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5B6BF" w14:textId="77777777" w:rsidR="00D65CB4" w:rsidRDefault="00D65CB4">
    <w:pPr>
      <w:pStyle w:val="Header"/>
    </w:pPr>
  </w:p>
</w:hdr>
</file>

<file path=word/header3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7AAFD" w14:textId="77777777" w:rsidR="00D65CB4" w:rsidRDefault="00D65CB4">
    <w:pPr>
      <w:pStyle w:val="Header"/>
    </w:pPr>
  </w:p>
</w:hdr>
</file>

<file path=word/header3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1D7B9" w14:textId="77777777" w:rsidR="00D65CB4" w:rsidRDefault="00D65CB4">
    <w:pPr>
      <w:pStyle w:val="Header"/>
    </w:pPr>
  </w:p>
</w:hdr>
</file>

<file path=word/header3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B6F9E" w14:textId="77777777" w:rsidR="00D65CB4" w:rsidRDefault="00D65CB4">
    <w:pPr>
      <w:pStyle w:val="Header"/>
    </w:pPr>
  </w:p>
</w:hdr>
</file>

<file path=word/header3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BAF62" w14:textId="77777777" w:rsidR="00D65CB4" w:rsidRDefault="00D65CB4">
    <w:pPr>
      <w:pStyle w:val="Header"/>
    </w:pPr>
  </w:p>
</w:hdr>
</file>

<file path=word/header3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5B842" w14:textId="77777777" w:rsidR="00D65CB4" w:rsidRDefault="00D65CB4">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B0293" w14:textId="77777777" w:rsidR="00D65CB4" w:rsidRDefault="00D65CB4">
    <w:pPr>
      <w:pStyle w:val="Header"/>
    </w:pPr>
  </w:p>
</w:hdr>
</file>

<file path=word/header3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AD6BE" w14:textId="77777777" w:rsidR="00D65CB4" w:rsidRDefault="00D65CB4">
    <w:pPr>
      <w:pStyle w:val="Header"/>
    </w:pPr>
  </w:p>
</w:hdr>
</file>

<file path=word/header3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C44FB" w14:textId="77777777" w:rsidR="00D65CB4" w:rsidRDefault="00D65CB4">
    <w:pPr>
      <w:pStyle w:val="Header"/>
    </w:pPr>
  </w:p>
</w:hdr>
</file>

<file path=word/header3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3B0F3" w14:textId="77777777" w:rsidR="00D65CB4" w:rsidRDefault="00D65CB4">
    <w:pPr>
      <w:pStyle w:val="Header"/>
    </w:pPr>
  </w:p>
</w:hdr>
</file>

<file path=word/header3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67053" w14:textId="77777777" w:rsidR="00D65CB4" w:rsidRDefault="00D65CB4">
    <w:pPr>
      <w:pStyle w:val="Header"/>
    </w:pPr>
  </w:p>
</w:hdr>
</file>

<file path=word/header3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2DBC9" w14:textId="77777777" w:rsidR="00D65CB4" w:rsidRDefault="00D65CB4">
    <w:pPr>
      <w:pStyle w:val="Header"/>
    </w:pPr>
  </w:p>
</w:hdr>
</file>

<file path=word/header3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07AA2" w14:textId="77777777" w:rsidR="00D65CB4" w:rsidRDefault="00D65CB4">
    <w:pPr>
      <w:pStyle w:val="Header"/>
    </w:pPr>
  </w:p>
</w:hdr>
</file>

<file path=word/header3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AAE38" w14:textId="77777777" w:rsidR="00D65CB4" w:rsidRDefault="00D65CB4">
    <w:pPr>
      <w:pStyle w:val="Header"/>
    </w:pPr>
  </w:p>
</w:hdr>
</file>

<file path=word/header3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F7531" w14:textId="77777777" w:rsidR="00D65CB4" w:rsidRDefault="00D65CB4">
    <w:pPr>
      <w:pStyle w:val="Header"/>
    </w:pPr>
  </w:p>
</w:hdr>
</file>

<file path=word/header3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42770" w14:textId="77777777" w:rsidR="00D65CB4" w:rsidRDefault="00D65CB4">
    <w:pPr>
      <w:pStyle w:val="Header"/>
    </w:pPr>
  </w:p>
</w:hdr>
</file>

<file path=word/header3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DDF59" w14:textId="77777777" w:rsidR="00D65CB4" w:rsidRDefault="00D65CB4">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AF2B7" w14:textId="77777777" w:rsidR="00D65CB4" w:rsidRDefault="00D65CB4">
    <w:pPr>
      <w:pStyle w:val="Header"/>
    </w:pPr>
  </w:p>
</w:hdr>
</file>

<file path=word/header3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BA101" w14:textId="77777777" w:rsidR="00D65CB4" w:rsidRDefault="00D65CB4">
    <w:pPr>
      <w:pStyle w:val="Header"/>
    </w:pPr>
  </w:p>
</w:hdr>
</file>

<file path=word/header3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19D19" w14:textId="77777777" w:rsidR="00D65CB4" w:rsidRDefault="00D65CB4">
    <w:pPr>
      <w:pStyle w:val="Header"/>
    </w:pPr>
  </w:p>
</w:hdr>
</file>

<file path=word/header3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8E170" w14:textId="77777777" w:rsidR="00D65CB4" w:rsidRDefault="00D65CB4">
    <w:pPr>
      <w:pStyle w:val="Header"/>
    </w:pPr>
  </w:p>
</w:hdr>
</file>

<file path=word/header3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AD0EA" w14:textId="77777777" w:rsidR="00D65CB4" w:rsidRDefault="00D65CB4">
    <w:pPr>
      <w:pStyle w:val="Header"/>
    </w:pPr>
  </w:p>
</w:hdr>
</file>

<file path=word/header3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4C8CC" w14:textId="77777777" w:rsidR="00D65CB4" w:rsidRDefault="00D65CB4">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1E312" w14:textId="77777777" w:rsidR="00D65CB4" w:rsidRDefault="00D65CB4">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E9F22" w14:textId="77777777" w:rsidR="00D65CB4" w:rsidRDefault="00D65CB4">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5AB8D" w14:textId="77777777" w:rsidR="00D65CB4" w:rsidRDefault="00D65CB4">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2A807" w14:textId="77777777" w:rsidR="00D65CB4" w:rsidRDefault="00D65CB4">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AFD40" w14:textId="77777777" w:rsidR="00D65CB4" w:rsidRDefault="00D65CB4">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A3B16" w14:textId="77777777" w:rsidR="00D65CB4" w:rsidRDefault="00D65CB4">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1D1D4" w14:textId="77777777" w:rsidR="00D65CB4" w:rsidRDefault="00D65C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F3892" w14:textId="77777777" w:rsidR="00D65CB4" w:rsidRDefault="00D65CB4">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2BC45" w14:textId="77777777" w:rsidR="00D65CB4" w:rsidRDefault="00D65CB4">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D2915" w14:textId="77777777" w:rsidR="00D65CB4" w:rsidRDefault="00D65CB4">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49866" w14:textId="77777777" w:rsidR="00D65CB4" w:rsidRDefault="00D65CB4">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240E0" w14:textId="77777777" w:rsidR="00D65CB4" w:rsidRDefault="00D65CB4">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B05DE" w14:textId="77777777" w:rsidR="00D65CB4" w:rsidRDefault="00D65CB4">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6AA81" w14:textId="77777777" w:rsidR="00D65CB4" w:rsidRDefault="00D65CB4">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53FC6" w14:textId="77777777" w:rsidR="00D65CB4" w:rsidRDefault="00D65CB4">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BF58C" w14:textId="77777777" w:rsidR="00D65CB4" w:rsidRDefault="00D65CB4">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C9D5F" w14:textId="77777777" w:rsidR="00D65CB4" w:rsidRDefault="00D65CB4">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BCD01" w14:textId="77777777" w:rsidR="00D65CB4" w:rsidRDefault="00D65CB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FDC49" w14:textId="77777777" w:rsidR="00D65CB4" w:rsidRDefault="00572307">
    <w:pPr>
      <w:pStyle w:val="HeaderCouncilLarge"/>
    </w:pPr>
    <w:r>
      <w:t xml:space="preserve"> </w: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8ACFC" w14:textId="77777777" w:rsidR="00D65CB4" w:rsidRDefault="00D65CB4">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E47F7" w14:textId="77777777" w:rsidR="00D65CB4" w:rsidRDefault="00D65CB4">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135F5" w14:textId="77777777" w:rsidR="00D65CB4" w:rsidRDefault="00D65CB4">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EB829" w14:textId="77777777" w:rsidR="00D65CB4" w:rsidRDefault="00D65CB4">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9B76A" w14:textId="77777777" w:rsidR="00D65CB4" w:rsidRDefault="00D65CB4">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CF6DB" w14:textId="77777777" w:rsidR="00D65CB4" w:rsidRDefault="00D65CB4">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0C947" w14:textId="77777777" w:rsidR="00D65CB4" w:rsidRDefault="00D65CB4">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2F95E" w14:textId="77777777" w:rsidR="00D65CB4" w:rsidRDefault="00D65CB4">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E47C2" w14:textId="77777777" w:rsidR="00D65CB4" w:rsidRDefault="00D65CB4">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32BFB" w14:textId="77777777" w:rsidR="00D65CB4" w:rsidRDefault="00D65CB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6F150" w14:textId="77777777" w:rsidR="00D65CB4" w:rsidRDefault="00D65CB4">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DFA3C" w14:textId="77777777" w:rsidR="00D65CB4" w:rsidRDefault="00D65CB4">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62636" w14:textId="77777777" w:rsidR="00D65CB4" w:rsidRDefault="00D65CB4">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1E4F5" w14:textId="77777777" w:rsidR="00D65CB4" w:rsidRDefault="00D65CB4">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A08E0" w14:textId="77777777" w:rsidR="00D65CB4" w:rsidRDefault="00D65CB4">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389AB" w14:textId="77777777" w:rsidR="00D65CB4" w:rsidRDefault="00D65CB4">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FEC5C" w14:textId="77777777" w:rsidR="00D65CB4" w:rsidRDefault="00D65CB4">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5870B" w14:textId="77777777" w:rsidR="00D65CB4" w:rsidRDefault="00D65CB4">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F7C16" w14:textId="77777777" w:rsidR="00D65CB4" w:rsidRDefault="00D65CB4">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6FF1F" w14:textId="77777777" w:rsidR="00D65CB4" w:rsidRDefault="00D65CB4">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FA051" w14:textId="77777777" w:rsidR="00D65CB4" w:rsidRDefault="00D65CB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E7A80" w14:textId="77777777" w:rsidR="00D65CB4" w:rsidRDefault="00D65CB4">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82F3C" w14:textId="77777777" w:rsidR="00D65CB4" w:rsidRDefault="00D65CB4">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E3489" w14:textId="77777777" w:rsidR="00D65CB4" w:rsidRDefault="00D65CB4">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25D00" w14:textId="77777777" w:rsidR="00D65CB4" w:rsidRDefault="00D65CB4">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7610E" w14:textId="77777777" w:rsidR="00D65CB4" w:rsidRDefault="00D65CB4">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52BA6" w14:textId="77777777" w:rsidR="00D65CB4" w:rsidRDefault="00D65CB4">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2AD45" w14:textId="77777777" w:rsidR="00D65CB4" w:rsidRDefault="00D65CB4">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42F1D" w14:textId="77777777" w:rsidR="00D65CB4" w:rsidRDefault="00D65CB4">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D2828" w14:textId="77777777" w:rsidR="00D65CB4" w:rsidRDefault="00D65CB4">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2752B" w14:textId="77777777" w:rsidR="00D65CB4" w:rsidRDefault="00D65CB4">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2CC9B" w14:textId="77777777" w:rsidR="00D65CB4" w:rsidRDefault="00D65CB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65479" w14:textId="77777777" w:rsidR="00D65CB4" w:rsidRDefault="00D65CB4">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C17E9" w14:textId="77777777" w:rsidR="00D65CB4" w:rsidRDefault="00D65CB4">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4B18D" w14:textId="77777777" w:rsidR="00D65CB4" w:rsidRDefault="00D65CB4">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EA057" w14:textId="77777777" w:rsidR="00D65CB4" w:rsidRDefault="00D65CB4">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DC4AD" w14:textId="77777777" w:rsidR="00D65CB4" w:rsidRDefault="00D65CB4">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65CAC" w14:textId="77777777" w:rsidR="00D65CB4" w:rsidRDefault="00D65CB4">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EAE01" w14:textId="77777777" w:rsidR="00D65CB4" w:rsidRDefault="00D65CB4">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6F7AA" w14:textId="77777777" w:rsidR="00D65CB4" w:rsidRDefault="00D65CB4">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BAADD" w14:textId="77777777" w:rsidR="00D65CB4" w:rsidRDefault="00D65CB4">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644DA" w14:textId="77777777" w:rsidR="00D65CB4" w:rsidRDefault="00D65CB4">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92296" w14:textId="77777777" w:rsidR="00D65CB4" w:rsidRDefault="00D65CB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2F28E" w14:textId="77777777" w:rsidR="00D65CB4" w:rsidRDefault="00D65CB4">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165FA" w14:textId="77777777" w:rsidR="00D65CB4" w:rsidRDefault="00D65CB4">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1A375" w14:textId="77777777" w:rsidR="00D65CB4" w:rsidRDefault="00D65CB4">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D7399" w14:textId="77777777" w:rsidR="00D65CB4" w:rsidRDefault="00D65CB4">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FA7C8" w14:textId="77777777" w:rsidR="00D65CB4" w:rsidRDefault="00D65CB4">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13355" w14:textId="77777777" w:rsidR="00D65CB4" w:rsidRDefault="00D65CB4">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909B0" w14:textId="77777777" w:rsidR="00D65CB4" w:rsidRDefault="00D65CB4">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38875" w14:textId="77777777" w:rsidR="00D65CB4" w:rsidRDefault="00D65CB4">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9AE02" w14:textId="77777777" w:rsidR="00D65CB4" w:rsidRDefault="00D65CB4">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B34E8" w14:textId="77777777" w:rsidR="00D65CB4" w:rsidRDefault="00D65CB4">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1B2DB" w14:textId="77777777" w:rsidR="00D65CB4" w:rsidRDefault="00D65C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71682140"/>
    <w:lvl w:ilvl="0">
      <w:start w:val="1"/>
      <w:numFmt w:val="bullet"/>
      <w:pStyle w:val="ListBullet4"/>
      <w:lvlText w:val=""/>
      <w:lvlJc w:val="left"/>
      <w:pPr>
        <w:tabs>
          <w:tab w:val="num" w:pos="1209"/>
        </w:tabs>
        <w:ind w:left="1209" w:hanging="360"/>
      </w:pPr>
      <w:rPr>
        <w:rFonts w:ascii="Segoe UI" w:hAnsi="Segoe UI" w:hint="default"/>
      </w:rPr>
    </w:lvl>
  </w:abstractNum>
  <w:abstractNum w:abstractNumId="1" w15:restartNumberingAfterBreak="0">
    <w:nsid w:val="FFFFFF82"/>
    <w:multiLevelType w:val="singleLevel"/>
    <w:tmpl w:val="BBC045FC"/>
    <w:lvl w:ilvl="0">
      <w:start w:val="1"/>
      <w:numFmt w:val="bullet"/>
      <w:pStyle w:val="ListBullet3"/>
      <w:lvlText w:val=""/>
      <w:lvlJc w:val="left"/>
      <w:pPr>
        <w:tabs>
          <w:tab w:val="num" w:pos="926"/>
        </w:tabs>
        <w:ind w:left="926" w:hanging="360"/>
      </w:pPr>
      <w:rPr>
        <w:rFonts w:ascii="Segoe UI" w:hAnsi="Segoe UI" w:hint="default"/>
      </w:rPr>
    </w:lvl>
  </w:abstractNum>
  <w:abstractNum w:abstractNumId="2" w15:restartNumberingAfterBreak="0">
    <w:nsid w:val="FFFFFF83"/>
    <w:multiLevelType w:val="singleLevel"/>
    <w:tmpl w:val="B4EC6180"/>
    <w:lvl w:ilvl="0">
      <w:start w:val="1"/>
      <w:numFmt w:val="bullet"/>
      <w:pStyle w:val="ListBullet2"/>
      <w:lvlText w:val=""/>
      <w:lvlJc w:val="left"/>
      <w:pPr>
        <w:tabs>
          <w:tab w:val="num" w:pos="643"/>
        </w:tabs>
        <w:ind w:left="643" w:hanging="360"/>
      </w:pPr>
      <w:rPr>
        <w:rFonts w:ascii="Segoe UI" w:hAnsi="Segoe UI" w:hint="default"/>
      </w:rPr>
    </w:lvl>
  </w:abstractNum>
  <w:abstractNum w:abstractNumId="3" w15:restartNumberingAfterBreak="0">
    <w:nsid w:val="FFFFFF88"/>
    <w:multiLevelType w:val="singleLevel"/>
    <w:tmpl w:val="AD788A4A"/>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D31E9FD2"/>
    <w:lvl w:ilvl="0">
      <w:start w:val="1"/>
      <w:numFmt w:val="bullet"/>
      <w:pStyle w:val="ListBullet"/>
      <w:lvlText w:val=""/>
      <w:lvlJc w:val="left"/>
      <w:pPr>
        <w:tabs>
          <w:tab w:val="num" w:pos="360"/>
        </w:tabs>
        <w:ind w:left="360" w:hanging="360"/>
      </w:pPr>
      <w:rPr>
        <w:rFonts w:ascii="Segoe UI" w:hAnsi="Segoe UI" w:hint="default"/>
      </w:rPr>
    </w:lvl>
  </w:abstractNum>
  <w:abstractNum w:abstractNumId="5" w15:restartNumberingAfterBreak="0">
    <w:nsid w:val="00417A79"/>
    <w:multiLevelType w:val="hybridMultilevel"/>
    <w:tmpl w:val="B1C8EDC6"/>
    <w:lvl w:ilvl="0" w:tplc="0809001B">
      <w:start w:val="1"/>
      <w:numFmt w:val="lowerRoman"/>
      <w:lvlText w:val="%1."/>
      <w:lvlJc w:val="righ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6" w15:restartNumberingAfterBreak="0">
    <w:nsid w:val="004D1FBB"/>
    <w:multiLevelType w:val="hybridMultilevel"/>
    <w:tmpl w:val="FFFFFFFF"/>
    <w:lvl w:ilvl="0" w:tplc="DD56CDB6">
      <w:start w:val="1"/>
      <w:numFmt w:val="bullet"/>
      <w:lvlText w:val="o"/>
      <w:lvlJc w:val="left"/>
      <w:pPr>
        <w:ind w:left="720" w:hanging="360"/>
      </w:pPr>
      <w:rPr>
        <w:rFonts w:ascii="&quot;Courier New&quot;" w:hAnsi="&quot;Courier New&quot;" w:hint="default"/>
      </w:rPr>
    </w:lvl>
    <w:lvl w:ilvl="1" w:tplc="4BC4FF74">
      <w:start w:val="1"/>
      <w:numFmt w:val="bullet"/>
      <w:lvlText w:val="o"/>
      <w:lvlJc w:val="left"/>
      <w:pPr>
        <w:ind w:left="1440" w:hanging="360"/>
      </w:pPr>
      <w:rPr>
        <w:rFonts w:ascii="Courier New" w:hAnsi="Courier New" w:hint="default"/>
      </w:rPr>
    </w:lvl>
    <w:lvl w:ilvl="2" w:tplc="C68EC658">
      <w:start w:val="1"/>
      <w:numFmt w:val="bullet"/>
      <w:lvlText w:val=""/>
      <w:lvlJc w:val="left"/>
      <w:pPr>
        <w:ind w:left="2160" w:hanging="360"/>
      </w:pPr>
      <w:rPr>
        <w:rFonts w:ascii="Wingdings" w:hAnsi="Wingdings" w:hint="default"/>
      </w:rPr>
    </w:lvl>
    <w:lvl w:ilvl="3" w:tplc="AA645220">
      <w:start w:val="1"/>
      <w:numFmt w:val="bullet"/>
      <w:lvlText w:val=""/>
      <w:lvlJc w:val="left"/>
      <w:pPr>
        <w:ind w:left="2880" w:hanging="360"/>
      </w:pPr>
      <w:rPr>
        <w:rFonts w:ascii="Symbol" w:hAnsi="Symbol" w:hint="default"/>
      </w:rPr>
    </w:lvl>
    <w:lvl w:ilvl="4" w:tplc="FA5AF430">
      <w:start w:val="1"/>
      <w:numFmt w:val="bullet"/>
      <w:lvlText w:val="o"/>
      <w:lvlJc w:val="left"/>
      <w:pPr>
        <w:ind w:left="3600" w:hanging="360"/>
      </w:pPr>
      <w:rPr>
        <w:rFonts w:ascii="Courier New" w:hAnsi="Courier New" w:hint="default"/>
      </w:rPr>
    </w:lvl>
    <w:lvl w:ilvl="5" w:tplc="912CBD80">
      <w:start w:val="1"/>
      <w:numFmt w:val="bullet"/>
      <w:lvlText w:val=""/>
      <w:lvlJc w:val="left"/>
      <w:pPr>
        <w:ind w:left="4320" w:hanging="360"/>
      </w:pPr>
      <w:rPr>
        <w:rFonts w:ascii="Wingdings" w:hAnsi="Wingdings" w:hint="default"/>
      </w:rPr>
    </w:lvl>
    <w:lvl w:ilvl="6" w:tplc="57F49B96">
      <w:start w:val="1"/>
      <w:numFmt w:val="bullet"/>
      <w:lvlText w:val=""/>
      <w:lvlJc w:val="left"/>
      <w:pPr>
        <w:ind w:left="5040" w:hanging="360"/>
      </w:pPr>
      <w:rPr>
        <w:rFonts w:ascii="Symbol" w:hAnsi="Symbol" w:hint="default"/>
      </w:rPr>
    </w:lvl>
    <w:lvl w:ilvl="7" w:tplc="56FC67CC">
      <w:start w:val="1"/>
      <w:numFmt w:val="bullet"/>
      <w:lvlText w:val="o"/>
      <w:lvlJc w:val="left"/>
      <w:pPr>
        <w:ind w:left="5760" w:hanging="360"/>
      </w:pPr>
      <w:rPr>
        <w:rFonts w:ascii="Courier New" w:hAnsi="Courier New" w:hint="default"/>
      </w:rPr>
    </w:lvl>
    <w:lvl w:ilvl="8" w:tplc="53845150">
      <w:start w:val="1"/>
      <w:numFmt w:val="bullet"/>
      <w:lvlText w:val=""/>
      <w:lvlJc w:val="left"/>
      <w:pPr>
        <w:ind w:left="6480" w:hanging="360"/>
      </w:pPr>
      <w:rPr>
        <w:rFonts w:ascii="Wingdings" w:hAnsi="Wingdings" w:hint="default"/>
      </w:rPr>
    </w:lvl>
  </w:abstractNum>
  <w:abstractNum w:abstractNumId="7" w15:restartNumberingAfterBreak="0">
    <w:nsid w:val="00516230"/>
    <w:multiLevelType w:val="hybridMultilevel"/>
    <w:tmpl w:val="E83ABE2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00B1369F"/>
    <w:multiLevelType w:val="multilevel"/>
    <w:tmpl w:val="41C47886"/>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0EA3C85"/>
    <w:multiLevelType w:val="hybridMultilevel"/>
    <w:tmpl w:val="19DEA45A"/>
    <w:lvl w:ilvl="0" w:tplc="FFFFFFF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00EB7539"/>
    <w:multiLevelType w:val="multilevel"/>
    <w:tmpl w:val="B3AA2D9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1566728"/>
    <w:multiLevelType w:val="hybridMultilevel"/>
    <w:tmpl w:val="01D6B39C"/>
    <w:lvl w:ilvl="0" w:tplc="2ABE3490">
      <w:start w:val="6"/>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1B075CA"/>
    <w:multiLevelType w:val="hybridMultilevel"/>
    <w:tmpl w:val="FFFFFFFF"/>
    <w:lvl w:ilvl="0" w:tplc="2478814C">
      <w:start w:val="1"/>
      <w:numFmt w:val="bullet"/>
      <w:lvlText w:val=""/>
      <w:lvlJc w:val="left"/>
      <w:pPr>
        <w:ind w:left="720" w:hanging="360"/>
      </w:pPr>
      <w:rPr>
        <w:rFonts w:ascii="Segoe UI" w:hAnsi="Segoe UI" w:hint="default"/>
      </w:rPr>
    </w:lvl>
    <w:lvl w:ilvl="1" w:tplc="D4E03EA6">
      <w:start w:val="1"/>
      <w:numFmt w:val="bullet"/>
      <w:lvlText w:val="o"/>
      <w:lvlJc w:val="left"/>
      <w:pPr>
        <w:ind w:left="1440" w:hanging="360"/>
      </w:pPr>
      <w:rPr>
        <w:rFonts w:ascii="Courier New" w:hAnsi="Courier New" w:hint="default"/>
      </w:rPr>
    </w:lvl>
    <w:lvl w:ilvl="2" w:tplc="B74A024C">
      <w:start w:val="1"/>
      <w:numFmt w:val="bullet"/>
      <w:lvlText w:val=""/>
      <w:lvlJc w:val="left"/>
      <w:pPr>
        <w:ind w:left="2160" w:hanging="360"/>
      </w:pPr>
      <w:rPr>
        <w:rFonts w:ascii="Cambria Math" w:hAnsi="Cambria Math" w:hint="default"/>
      </w:rPr>
    </w:lvl>
    <w:lvl w:ilvl="3" w:tplc="85AA3D16">
      <w:start w:val="1"/>
      <w:numFmt w:val="bullet"/>
      <w:lvlText w:val=""/>
      <w:lvlJc w:val="left"/>
      <w:pPr>
        <w:ind w:left="2880" w:hanging="360"/>
      </w:pPr>
      <w:rPr>
        <w:rFonts w:ascii="Segoe UI" w:hAnsi="Segoe UI" w:hint="default"/>
      </w:rPr>
    </w:lvl>
    <w:lvl w:ilvl="4" w:tplc="D0FCD500">
      <w:start w:val="1"/>
      <w:numFmt w:val="bullet"/>
      <w:lvlText w:val="o"/>
      <w:lvlJc w:val="left"/>
      <w:pPr>
        <w:ind w:left="3600" w:hanging="360"/>
      </w:pPr>
      <w:rPr>
        <w:rFonts w:ascii="Courier New" w:hAnsi="Courier New" w:hint="default"/>
      </w:rPr>
    </w:lvl>
    <w:lvl w:ilvl="5" w:tplc="1AB4C24A">
      <w:start w:val="1"/>
      <w:numFmt w:val="bullet"/>
      <w:lvlText w:val=""/>
      <w:lvlJc w:val="left"/>
      <w:pPr>
        <w:ind w:left="4320" w:hanging="360"/>
      </w:pPr>
      <w:rPr>
        <w:rFonts w:ascii="Cambria Math" w:hAnsi="Cambria Math" w:hint="default"/>
      </w:rPr>
    </w:lvl>
    <w:lvl w:ilvl="6" w:tplc="1C0EB27A">
      <w:start w:val="1"/>
      <w:numFmt w:val="bullet"/>
      <w:lvlText w:val=""/>
      <w:lvlJc w:val="left"/>
      <w:pPr>
        <w:ind w:left="5040" w:hanging="360"/>
      </w:pPr>
      <w:rPr>
        <w:rFonts w:ascii="Segoe UI" w:hAnsi="Segoe UI" w:hint="default"/>
      </w:rPr>
    </w:lvl>
    <w:lvl w:ilvl="7" w:tplc="925E9846">
      <w:start w:val="1"/>
      <w:numFmt w:val="bullet"/>
      <w:lvlText w:val="o"/>
      <w:lvlJc w:val="left"/>
      <w:pPr>
        <w:ind w:left="5760" w:hanging="360"/>
      </w:pPr>
      <w:rPr>
        <w:rFonts w:ascii="Courier New" w:hAnsi="Courier New" w:hint="default"/>
      </w:rPr>
    </w:lvl>
    <w:lvl w:ilvl="8" w:tplc="3A8EC54A">
      <w:start w:val="1"/>
      <w:numFmt w:val="bullet"/>
      <w:lvlText w:val=""/>
      <w:lvlJc w:val="left"/>
      <w:pPr>
        <w:ind w:left="6480" w:hanging="360"/>
      </w:pPr>
      <w:rPr>
        <w:rFonts w:ascii="Cambria Math" w:hAnsi="Cambria Math" w:hint="default"/>
      </w:rPr>
    </w:lvl>
  </w:abstractNum>
  <w:abstractNum w:abstractNumId="13" w15:restartNumberingAfterBreak="0">
    <w:nsid w:val="01CF0F7B"/>
    <w:multiLevelType w:val="hybridMultilevel"/>
    <w:tmpl w:val="8E643414"/>
    <w:lvl w:ilvl="0" w:tplc="FFFFFFFF">
      <w:start w:val="1"/>
      <w:numFmt w:val="bullet"/>
      <w:lvlText w:val=""/>
      <w:lvlJc w:val="left"/>
      <w:pPr>
        <w:ind w:left="720" w:hanging="360"/>
      </w:pPr>
      <w:rPr>
        <w:rFonts w:ascii="Symbol" w:hAnsi="Symbol" w:hint="default"/>
        <w:b/>
        <w:bCs/>
      </w:rPr>
    </w:lvl>
    <w:lvl w:ilvl="1" w:tplc="18090019">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1E15330"/>
    <w:multiLevelType w:val="hybridMultilevel"/>
    <w:tmpl w:val="85F45C06"/>
    <w:lvl w:ilvl="0" w:tplc="08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1F77FC6"/>
    <w:multiLevelType w:val="hybridMultilevel"/>
    <w:tmpl w:val="2B909DD6"/>
    <w:lvl w:ilvl="0" w:tplc="18090001">
      <w:start w:val="1"/>
      <w:numFmt w:val="bullet"/>
      <w:lvlText w:val=""/>
      <w:lvlJc w:val="left"/>
      <w:pPr>
        <w:ind w:left="1069" w:hanging="360"/>
      </w:pPr>
      <w:rPr>
        <w:rFonts w:ascii="Symbol" w:hAnsi="Symbol" w:hint="default"/>
        <w:b w:val="0"/>
        <w:bCs w:val="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6" w15:restartNumberingAfterBreak="0">
    <w:nsid w:val="023E2662"/>
    <w:multiLevelType w:val="hybridMultilevel"/>
    <w:tmpl w:val="8A30D2AE"/>
    <w:lvl w:ilvl="0" w:tplc="08090001">
      <w:start w:val="1"/>
      <w:numFmt w:val="bullet"/>
      <w:lvlText w:val=""/>
      <w:lvlJc w:val="left"/>
      <w:pPr>
        <w:ind w:left="720" w:hanging="360"/>
      </w:pPr>
      <w:rPr>
        <w:rFonts w:ascii="Segoe UI" w:hAnsi="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17" w15:restartNumberingAfterBreak="0">
    <w:nsid w:val="025368DE"/>
    <w:multiLevelType w:val="multilevel"/>
    <w:tmpl w:val="90802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2680501"/>
    <w:multiLevelType w:val="hybridMultilevel"/>
    <w:tmpl w:val="E9EA5A2C"/>
    <w:lvl w:ilvl="0" w:tplc="E2903D62">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2EB10ED"/>
    <w:multiLevelType w:val="multilevel"/>
    <w:tmpl w:val="1F068C1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2FC31BF"/>
    <w:multiLevelType w:val="hybridMultilevel"/>
    <w:tmpl w:val="411EA78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032A12F1"/>
    <w:multiLevelType w:val="hybridMultilevel"/>
    <w:tmpl w:val="6C52FE32"/>
    <w:lvl w:ilvl="0" w:tplc="0816001B">
      <w:start w:val="1"/>
      <w:numFmt w:val="lowerRoman"/>
      <w:lvlText w:val="%1."/>
      <w:lvlJc w:val="right"/>
      <w:pPr>
        <w:ind w:left="785" w:hanging="360"/>
      </w:pPr>
    </w:lvl>
    <w:lvl w:ilvl="1" w:tplc="08160019" w:tentative="1">
      <w:start w:val="1"/>
      <w:numFmt w:val="lowerLetter"/>
      <w:lvlText w:val="%2."/>
      <w:lvlJc w:val="left"/>
      <w:pPr>
        <w:ind w:left="1505" w:hanging="360"/>
      </w:pPr>
    </w:lvl>
    <w:lvl w:ilvl="2" w:tplc="0816001B" w:tentative="1">
      <w:start w:val="1"/>
      <w:numFmt w:val="lowerRoman"/>
      <w:lvlText w:val="%3."/>
      <w:lvlJc w:val="right"/>
      <w:pPr>
        <w:ind w:left="2225" w:hanging="180"/>
      </w:pPr>
    </w:lvl>
    <w:lvl w:ilvl="3" w:tplc="0816000F" w:tentative="1">
      <w:start w:val="1"/>
      <w:numFmt w:val="decimal"/>
      <w:lvlText w:val="%4."/>
      <w:lvlJc w:val="left"/>
      <w:pPr>
        <w:ind w:left="2945" w:hanging="360"/>
      </w:pPr>
    </w:lvl>
    <w:lvl w:ilvl="4" w:tplc="08160019" w:tentative="1">
      <w:start w:val="1"/>
      <w:numFmt w:val="lowerLetter"/>
      <w:lvlText w:val="%5."/>
      <w:lvlJc w:val="left"/>
      <w:pPr>
        <w:ind w:left="3665" w:hanging="360"/>
      </w:pPr>
    </w:lvl>
    <w:lvl w:ilvl="5" w:tplc="0816001B" w:tentative="1">
      <w:start w:val="1"/>
      <w:numFmt w:val="lowerRoman"/>
      <w:lvlText w:val="%6."/>
      <w:lvlJc w:val="right"/>
      <w:pPr>
        <w:ind w:left="4385" w:hanging="180"/>
      </w:pPr>
    </w:lvl>
    <w:lvl w:ilvl="6" w:tplc="0816000F" w:tentative="1">
      <w:start w:val="1"/>
      <w:numFmt w:val="decimal"/>
      <w:lvlText w:val="%7."/>
      <w:lvlJc w:val="left"/>
      <w:pPr>
        <w:ind w:left="5105" w:hanging="360"/>
      </w:pPr>
    </w:lvl>
    <w:lvl w:ilvl="7" w:tplc="08160019" w:tentative="1">
      <w:start w:val="1"/>
      <w:numFmt w:val="lowerLetter"/>
      <w:lvlText w:val="%8."/>
      <w:lvlJc w:val="left"/>
      <w:pPr>
        <w:ind w:left="5825" w:hanging="360"/>
      </w:pPr>
    </w:lvl>
    <w:lvl w:ilvl="8" w:tplc="0816001B" w:tentative="1">
      <w:start w:val="1"/>
      <w:numFmt w:val="lowerRoman"/>
      <w:lvlText w:val="%9."/>
      <w:lvlJc w:val="right"/>
      <w:pPr>
        <w:ind w:left="6545" w:hanging="180"/>
      </w:pPr>
    </w:lvl>
  </w:abstractNum>
  <w:abstractNum w:abstractNumId="22" w15:restartNumberingAfterBreak="0">
    <w:nsid w:val="03406DD5"/>
    <w:multiLevelType w:val="hybridMultilevel"/>
    <w:tmpl w:val="89087F68"/>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 w15:restartNumberingAfterBreak="0">
    <w:nsid w:val="03481329"/>
    <w:multiLevelType w:val="hybridMultilevel"/>
    <w:tmpl w:val="6CAA352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0348229A"/>
    <w:multiLevelType w:val="hybridMultilevel"/>
    <w:tmpl w:val="396C76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34E7B81"/>
    <w:multiLevelType w:val="multilevel"/>
    <w:tmpl w:val="9C8E698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34F594C"/>
    <w:multiLevelType w:val="hybridMultilevel"/>
    <w:tmpl w:val="FFFFFFFF"/>
    <w:lvl w:ilvl="0" w:tplc="62F00CD8">
      <w:start w:val="1"/>
      <w:numFmt w:val="decimal"/>
      <w:lvlText w:val="%1."/>
      <w:lvlJc w:val="left"/>
      <w:pPr>
        <w:ind w:left="720" w:hanging="360"/>
      </w:pPr>
    </w:lvl>
    <w:lvl w:ilvl="1" w:tplc="1B74962E">
      <w:start w:val="1"/>
      <w:numFmt w:val="lowerLetter"/>
      <w:lvlText w:val="%2."/>
      <w:lvlJc w:val="left"/>
      <w:pPr>
        <w:ind w:left="1440" w:hanging="360"/>
      </w:pPr>
    </w:lvl>
    <w:lvl w:ilvl="2" w:tplc="CE06363E">
      <w:start w:val="1"/>
      <w:numFmt w:val="lowerRoman"/>
      <w:lvlText w:val="%3."/>
      <w:lvlJc w:val="right"/>
      <w:pPr>
        <w:ind w:left="2160" w:hanging="180"/>
      </w:pPr>
    </w:lvl>
    <w:lvl w:ilvl="3" w:tplc="7B0E5298">
      <w:start w:val="1"/>
      <w:numFmt w:val="decimal"/>
      <w:lvlText w:val="%4."/>
      <w:lvlJc w:val="left"/>
      <w:pPr>
        <w:ind w:left="2880" w:hanging="360"/>
      </w:pPr>
    </w:lvl>
    <w:lvl w:ilvl="4" w:tplc="1AD26024">
      <w:start w:val="1"/>
      <w:numFmt w:val="lowerLetter"/>
      <w:lvlText w:val="%5."/>
      <w:lvlJc w:val="left"/>
      <w:pPr>
        <w:ind w:left="3600" w:hanging="360"/>
      </w:pPr>
    </w:lvl>
    <w:lvl w:ilvl="5" w:tplc="D0C6C3C6">
      <w:start w:val="1"/>
      <w:numFmt w:val="lowerRoman"/>
      <w:lvlText w:val="%6."/>
      <w:lvlJc w:val="right"/>
      <w:pPr>
        <w:ind w:left="4320" w:hanging="180"/>
      </w:pPr>
    </w:lvl>
    <w:lvl w:ilvl="6" w:tplc="FDA2C45A">
      <w:start w:val="1"/>
      <w:numFmt w:val="decimal"/>
      <w:lvlText w:val="%7."/>
      <w:lvlJc w:val="left"/>
      <w:pPr>
        <w:ind w:left="5040" w:hanging="360"/>
      </w:pPr>
    </w:lvl>
    <w:lvl w:ilvl="7" w:tplc="5226FE5E">
      <w:start w:val="1"/>
      <w:numFmt w:val="lowerLetter"/>
      <w:lvlText w:val="%8."/>
      <w:lvlJc w:val="left"/>
      <w:pPr>
        <w:ind w:left="5760" w:hanging="360"/>
      </w:pPr>
    </w:lvl>
    <w:lvl w:ilvl="8" w:tplc="04A47EC2">
      <w:start w:val="1"/>
      <w:numFmt w:val="lowerRoman"/>
      <w:lvlText w:val="%9."/>
      <w:lvlJc w:val="right"/>
      <w:pPr>
        <w:ind w:left="6480" w:hanging="180"/>
      </w:pPr>
    </w:lvl>
  </w:abstractNum>
  <w:abstractNum w:abstractNumId="27" w15:restartNumberingAfterBreak="0">
    <w:nsid w:val="03743AFF"/>
    <w:multiLevelType w:val="hybridMultilevel"/>
    <w:tmpl w:val="FFFFFFFF"/>
    <w:lvl w:ilvl="0" w:tplc="27CAEB4E">
      <w:start w:val="1"/>
      <w:numFmt w:val="bullet"/>
      <w:lvlText w:val="·"/>
      <w:lvlJc w:val="left"/>
      <w:pPr>
        <w:ind w:left="720" w:hanging="360"/>
      </w:pPr>
      <w:rPr>
        <w:rFonts w:ascii="Symbol" w:hAnsi="Symbol" w:hint="default"/>
      </w:rPr>
    </w:lvl>
    <w:lvl w:ilvl="1" w:tplc="AC386D5C">
      <w:start w:val="1"/>
      <w:numFmt w:val="bullet"/>
      <w:lvlText w:val="o"/>
      <w:lvlJc w:val="left"/>
      <w:pPr>
        <w:ind w:left="1440" w:hanging="360"/>
      </w:pPr>
      <w:rPr>
        <w:rFonts w:ascii="Courier New" w:hAnsi="Courier New" w:hint="default"/>
      </w:rPr>
    </w:lvl>
    <w:lvl w:ilvl="2" w:tplc="CF42BB0E">
      <w:start w:val="1"/>
      <w:numFmt w:val="bullet"/>
      <w:lvlText w:val=""/>
      <w:lvlJc w:val="left"/>
      <w:pPr>
        <w:ind w:left="2160" w:hanging="360"/>
      </w:pPr>
      <w:rPr>
        <w:rFonts w:ascii="Wingdings" w:hAnsi="Wingdings" w:hint="default"/>
      </w:rPr>
    </w:lvl>
    <w:lvl w:ilvl="3" w:tplc="99863D88">
      <w:start w:val="1"/>
      <w:numFmt w:val="bullet"/>
      <w:lvlText w:val=""/>
      <w:lvlJc w:val="left"/>
      <w:pPr>
        <w:ind w:left="2880" w:hanging="360"/>
      </w:pPr>
      <w:rPr>
        <w:rFonts w:ascii="Symbol" w:hAnsi="Symbol" w:hint="default"/>
      </w:rPr>
    </w:lvl>
    <w:lvl w:ilvl="4" w:tplc="0E94865A">
      <w:start w:val="1"/>
      <w:numFmt w:val="bullet"/>
      <w:lvlText w:val="o"/>
      <w:lvlJc w:val="left"/>
      <w:pPr>
        <w:ind w:left="3600" w:hanging="360"/>
      </w:pPr>
      <w:rPr>
        <w:rFonts w:ascii="Courier New" w:hAnsi="Courier New" w:hint="default"/>
      </w:rPr>
    </w:lvl>
    <w:lvl w:ilvl="5" w:tplc="C7440B5A">
      <w:start w:val="1"/>
      <w:numFmt w:val="bullet"/>
      <w:lvlText w:val=""/>
      <w:lvlJc w:val="left"/>
      <w:pPr>
        <w:ind w:left="4320" w:hanging="360"/>
      </w:pPr>
      <w:rPr>
        <w:rFonts w:ascii="Wingdings" w:hAnsi="Wingdings" w:hint="default"/>
      </w:rPr>
    </w:lvl>
    <w:lvl w:ilvl="6" w:tplc="B714F44E">
      <w:start w:val="1"/>
      <w:numFmt w:val="bullet"/>
      <w:lvlText w:val=""/>
      <w:lvlJc w:val="left"/>
      <w:pPr>
        <w:ind w:left="5040" w:hanging="360"/>
      </w:pPr>
      <w:rPr>
        <w:rFonts w:ascii="Symbol" w:hAnsi="Symbol" w:hint="default"/>
      </w:rPr>
    </w:lvl>
    <w:lvl w:ilvl="7" w:tplc="0BD442C0">
      <w:start w:val="1"/>
      <w:numFmt w:val="bullet"/>
      <w:lvlText w:val="o"/>
      <w:lvlJc w:val="left"/>
      <w:pPr>
        <w:ind w:left="5760" w:hanging="360"/>
      </w:pPr>
      <w:rPr>
        <w:rFonts w:ascii="Courier New" w:hAnsi="Courier New" w:hint="default"/>
      </w:rPr>
    </w:lvl>
    <w:lvl w:ilvl="8" w:tplc="4F9C97A6">
      <w:start w:val="1"/>
      <w:numFmt w:val="bullet"/>
      <w:lvlText w:val=""/>
      <w:lvlJc w:val="left"/>
      <w:pPr>
        <w:ind w:left="6480" w:hanging="360"/>
      </w:pPr>
      <w:rPr>
        <w:rFonts w:ascii="Wingdings" w:hAnsi="Wingdings" w:hint="default"/>
      </w:rPr>
    </w:lvl>
  </w:abstractNum>
  <w:abstractNum w:abstractNumId="28" w15:restartNumberingAfterBreak="0">
    <w:nsid w:val="03C9F471"/>
    <w:multiLevelType w:val="hybridMultilevel"/>
    <w:tmpl w:val="AFA28C60"/>
    <w:lvl w:ilvl="0" w:tplc="E61EA238">
      <w:start w:val="1"/>
      <w:numFmt w:val="bullet"/>
      <w:lvlText w:val="-"/>
      <w:lvlJc w:val="left"/>
      <w:pPr>
        <w:ind w:left="720" w:hanging="360"/>
      </w:pPr>
      <w:rPr>
        <w:rFonts w:ascii="Calibri" w:hAnsi="Calibri" w:hint="default"/>
      </w:rPr>
    </w:lvl>
    <w:lvl w:ilvl="1" w:tplc="C9568992">
      <w:start w:val="1"/>
      <w:numFmt w:val="bullet"/>
      <w:lvlText w:val="o"/>
      <w:lvlJc w:val="left"/>
      <w:pPr>
        <w:ind w:left="1440" w:hanging="360"/>
      </w:pPr>
      <w:rPr>
        <w:rFonts w:ascii="Courier New" w:hAnsi="Courier New" w:hint="default"/>
      </w:rPr>
    </w:lvl>
    <w:lvl w:ilvl="2" w:tplc="51F0FE2E">
      <w:start w:val="1"/>
      <w:numFmt w:val="bullet"/>
      <w:lvlText w:val=""/>
      <w:lvlJc w:val="left"/>
      <w:pPr>
        <w:ind w:left="2160" w:hanging="360"/>
      </w:pPr>
      <w:rPr>
        <w:rFonts w:ascii="Wingdings" w:hAnsi="Wingdings" w:hint="default"/>
      </w:rPr>
    </w:lvl>
    <w:lvl w:ilvl="3" w:tplc="D85AAEF2">
      <w:start w:val="1"/>
      <w:numFmt w:val="bullet"/>
      <w:lvlText w:val=""/>
      <w:lvlJc w:val="left"/>
      <w:pPr>
        <w:ind w:left="2880" w:hanging="360"/>
      </w:pPr>
      <w:rPr>
        <w:rFonts w:ascii="Symbol" w:hAnsi="Symbol" w:hint="default"/>
      </w:rPr>
    </w:lvl>
    <w:lvl w:ilvl="4" w:tplc="E4A4FB26">
      <w:start w:val="1"/>
      <w:numFmt w:val="bullet"/>
      <w:lvlText w:val="o"/>
      <w:lvlJc w:val="left"/>
      <w:pPr>
        <w:ind w:left="3600" w:hanging="360"/>
      </w:pPr>
      <w:rPr>
        <w:rFonts w:ascii="Courier New" w:hAnsi="Courier New" w:hint="default"/>
      </w:rPr>
    </w:lvl>
    <w:lvl w:ilvl="5" w:tplc="99C2294A">
      <w:start w:val="1"/>
      <w:numFmt w:val="bullet"/>
      <w:lvlText w:val=""/>
      <w:lvlJc w:val="left"/>
      <w:pPr>
        <w:ind w:left="4320" w:hanging="360"/>
      </w:pPr>
      <w:rPr>
        <w:rFonts w:ascii="Wingdings" w:hAnsi="Wingdings" w:hint="default"/>
      </w:rPr>
    </w:lvl>
    <w:lvl w:ilvl="6" w:tplc="426E0228">
      <w:start w:val="1"/>
      <w:numFmt w:val="bullet"/>
      <w:lvlText w:val=""/>
      <w:lvlJc w:val="left"/>
      <w:pPr>
        <w:ind w:left="5040" w:hanging="360"/>
      </w:pPr>
      <w:rPr>
        <w:rFonts w:ascii="Symbol" w:hAnsi="Symbol" w:hint="default"/>
      </w:rPr>
    </w:lvl>
    <w:lvl w:ilvl="7" w:tplc="1B34EE0C">
      <w:start w:val="1"/>
      <w:numFmt w:val="bullet"/>
      <w:lvlText w:val="o"/>
      <w:lvlJc w:val="left"/>
      <w:pPr>
        <w:ind w:left="5760" w:hanging="360"/>
      </w:pPr>
      <w:rPr>
        <w:rFonts w:ascii="Courier New" w:hAnsi="Courier New" w:hint="default"/>
      </w:rPr>
    </w:lvl>
    <w:lvl w:ilvl="8" w:tplc="C5D28D24">
      <w:start w:val="1"/>
      <w:numFmt w:val="bullet"/>
      <w:lvlText w:val=""/>
      <w:lvlJc w:val="left"/>
      <w:pPr>
        <w:ind w:left="6480" w:hanging="360"/>
      </w:pPr>
      <w:rPr>
        <w:rFonts w:ascii="Wingdings" w:hAnsi="Wingdings" w:hint="default"/>
      </w:rPr>
    </w:lvl>
  </w:abstractNum>
  <w:abstractNum w:abstractNumId="29" w15:restartNumberingAfterBreak="0">
    <w:nsid w:val="03D957F2"/>
    <w:multiLevelType w:val="hybridMultilevel"/>
    <w:tmpl w:val="6CD00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04002F2C"/>
    <w:multiLevelType w:val="hybridMultilevel"/>
    <w:tmpl w:val="B2608760"/>
    <w:lvl w:ilvl="0" w:tplc="1809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04463084"/>
    <w:multiLevelType w:val="multilevel"/>
    <w:tmpl w:val="EC587F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0480447B"/>
    <w:multiLevelType w:val="multilevel"/>
    <w:tmpl w:val="B1AA47E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48A554F"/>
    <w:multiLevelType w:val="multilevel"/>
    <w:tmpl w:val="F7A2B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49E6B04"/>
    <w:multiLevelType w:val="multilevel"/>
    <w:tmpl w:val="FFFFFFFF"/>
    <w:lvl w:ilvl="0">
      <w:start w:val="1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04C41057"/>
    <w:multiLevelType w:val="multilevel"/>
    <w:tmpl w:val="3B12AD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04C64932"/>
    <w:multiLevelType w:val="hybridMultilevel"/>
    <w:tmpl w:val="85F45C06"/>
    <w:lvl w:ilvl="0" w:tplc="08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04CE5C47"/>
    <w:multiLevelType w:val="hybridMultilevel"/>
    <w:tmpl w:val="FFFFFFFF"/>
    <w:lvl w:ilvl="0" w:tplc="5016EA9C">
      <w:start w:val="1"/>
      <w:numFmt w:val="bullet"/>
      <w:lvlText w:val="o"/>
      <w:lvlJc w:val="left"/>
      <w:pPr>
        <w:ind w:left="720" w:hanging="360"/>
      </w:pPr>
      <w:rPr>
        <w:rFonts w:ascii="&quot;Courier New&quot;" w:hAnsi="&quot;Courier New&quot;" w:hint="default"/>
      </w:rPr>
    </w:lvl>
    <w:lvl w:ilvl="1" w:tplc="1560760A">
      <w:start w:val="1"/>
      <w:numFmt w:val="bullet"/>
      <w:lvlText w:val="o"/>
      <w:lvlJc w:val="left"/>
      <w:pPr>
        <w:ind w:left="1440" w:hanging="360"/>
      </w:pPr>
      <w:rPr>
        <w:rFonts w:ascii="Courier New" w:hAnsi="Courier New" w:hint="default"/>
      </w:rPr>
    </w:lvl>
    <w:lvl w:ilvl="2" w:tplc="B92A1B88">
      <w:start w:val="1"/>
      <w:numFmt w:val="bullet"/>
      <w:lvlText w:val=""/>
      <w:lvlJc w:val="left"/>
      <w:pPr>
        <w:ind w:left="2160" w:hanging="360"/>
      </w:pPr>
      <w:rPr>
        <w:rFonts w:ascii="Wingdings" w:hAnsi="Wingdings" w:hint="default"/>
      </w:rPr>
    </w:lvl>
    <w:lvl w:ilvl="3" w:tplc="9D9C119C">
      <w:start w:val="1"/>
      <w:numFmt w:val="bullet"/>
      <w:lvlText w:val=""/>
      <w:lvlJc w:val="left"/>
      <w:pPr>
        <w:ind w:left="2880" w:hanging="360"/>
      </w:pPr>
      <w:rPr>
        <w:rFonts w:ascii="Symbol" w:hAnsi="Symbol" w:hint="default"/>
      </w:rPr>
    </w:lvl>
    <w:lvl w:ilvl="4" w:tplc="0F1C236A">
      <w:start w:val="1"/>
      <w:numFmt w:val="bullet"/>
      <w:lvlText w:val="o"/>
      <w:lvlJc w:val="left"/>
      <w:pPr>
        <w:ind w:left="3600" w:hanging="360"/>
      </w:pPr>
      <w:rPr>
        <w:rFonts w:ascii="Courier New" w:hAnsi="Courier New" w:hint="default"/>
      </w:rPr>
    </w:lvl>
    <w:lvl w:ilvl="5" w:tplc="E9DAF420">
      <w:start w:val="1"/>
      <w:numFmt w:val="bullet"/>
      <w:lvlText w:val=""/>
      <w:lvlJc w:val="left"/>
      <w:pPr>
        <w:ind w:left="4320" w:hanging="360"/>
      </w:pPr>
      <w:rPr>
        <w:rFonts w:ascii="Wingdings" w:hAnsi="Wingdings" w:hint="default"/>
      </w:rPr>
    </w:lvl>
    <w:lvl w:ilvl="6" w:tplc="110C3B7C">
      <w:start w:val="1"/>
      <w:numFmt w:val="bullet"/>
      <w:lvlText w:val=""/>
      <w:lvlJc w:val="left"/>
      <w:pPr>
        <w:ind w:left="5040" w:hanging="360"/>
      </w:pPr>
      <w:rPr>
        <w:rFonts w:ascii="Symbol" w:hAnsi="Symbol" w:hint="default"/>
      </w:rPr>
    </w:lvl>
    <w:lvl w:ilvl="7" w:tplc="7AF8F33C">
      <w:start w:val="1"/>
      <w:numFmt w:val="bullet"/>
      <w:lvlText w:val="o"/>
      <w:lvlJc w:val="left"/>
      <w:pPr>
        <w:ind w:left="5760" w:hanging="360"/>
      </w:pPr>
      <w:rPr>
        <w:rFonts w:ascii="Courier New" w:hAnsi="Courier New" w:hint="default"/>
      </w:rPr>
    </w:lvl>
    <w:lvl w:ilvl="8" w:tplc="D64E0F80">
      <w:start w:val="1"/>
      <w:numFmt w:val="bullet"/>
      <w:lvlText w:val=""/>
      <w:lvlJc w:val="left"/>
      <w:pPr>
        <w:ind w:left="6480" w:hanging="360"/>
      </w:pPr>
      <w:rPr>
        <w:rFonts w:ascii="Wingdings" w:hAnsi="Wingdings" w:hint="default"/>
      </w:rPr>
    </w:lvl>
  </w:abstractNum>
  <w:abstractNum w:abstractNumId="38" w15:restartNumberingAfterBreak="0">
    <w:nsid w:val="050E1257"/>
    <w:multiLevelType w:val="hybridMultilevel"/>
    <w:tmpl w:val="C87E44E6"/>
    <w:lvl w:ilvl="0" w:tplc="08090017">
      <w:start w:val="1"/>
      <w:numFmt w:val="lowerLetter"/>
      <w:lvlText w:val="%1)"/>
      <w:lvlJc w:val="left"/>
      <w:pPr>
        <w:ind w:left="1080" w:hanging="360"/>
      </w:pPr>
    </w:lvl>
    <w:lvl w:ilvl="1" w:tplc="7C460208">
      <w:start w:val="1"/>
      <w:numFmt w:val="decimal"/>
      <w:lvlText w:val="%2)"/>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0535968D"/>
    <w:multiLevelType w:val="multilevel"/>
    <w:tmpl w:val="FFFFFFFF"/>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05826CD4"/>
    <w:multiLevelType w:val="hybridMultilevel"/>
    <w:tmpl w:val="A2A079AE"/>
    <w:lvl w:ilvl="0" w:tplc="224AE4EC">
      <w:start w:val="1"/>
      <w:numFmt w:val="bullet"/>
      <w:lvlText w:val="•"/>
      <w:lvlJc w:val="left"/>
      <w:pPr>
        <w:ind w:left="720" w:hanging="360"/>
      </w:pPr>
      <w:rPr>
        <w:rFonts w:ascii="Symbol" w:eastAsiaTheme="minorHAnsi" w:hAnsi="Symbol" w:cs="Symbol" w:hint="default"/>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Cambria Math" w:hAnsi="Cambria Math" w:hint="default"/>
      </w:rPr>
    </w:lvl>
    <w:lvl w:ilvl="3" w:tplc="08090001" w:tentative="1">
      <w:start w:val="1"/>
      <w:numFmt w:val="bullet"/>
      <w:lvlText w:val=""/>
      <w:lvlJc w:val="left"/>
      <w:pPr>
        <w:ind w:left="2531" w:hanging="360"/>
      </w:pPr>
      <w:rPr>
        <w:rFonts w:ascii="Segoe UI" w:hAnsi="Segoe UI"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Cambria Math" w:hAnsi="Cambria Math" w:hint="default"/>
      </w:rPr>
    </w:lvl>
    <w:lvl w:ilvl="6" w:tplc="08090001" w:tentative="1">
      <w:start w:val="1"/>
      <w:numFmt w:val="bullet"/>
      <w:lvlText w:val=""/>
      <w:lvlJc w:val="left"/>
      <w:pPr>
        <w:ind w:left="4691" w:hanging="360"/>
      </w:pPr>
      <w:rPr>
        <w:rFonts w:ascii="Segoe UI" w:hAnsi="Segoe UI"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Cambria Math" w:hAnsi="Cambria Math" w:hint="default"/>
      </w:rPr>
    </w:lvl>
  </w:abstractNum>
  <w:abstractNum w:abstractNumId="41" w15:restartNumberingAfterBreak="0">
    <w:nsid w:val="05BC1A19"/>
    <w:multiLevelType w:val="hybridMultilevel"/>
    <w:tmpl w:val="AF3AB1D0"/>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2" w15:restartNumberingAfterBreak="0">
    <w:nsid w:val="05FE0FF0"/>
    <w:multiLevelType w:val="multilevel"/>
    <w:tmpl w:val="47B2E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06105125"/>
    <w:multiLevelType w:val="hybridMultilevel"/>
    <w:tmpl w:val="FA764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6319363"/>
    <w:multiLevelType w:val="hybridMultilevel"/>
    <w:tmpl w:val="FFFFFFFF"/>
    <w:lvl w:ilvl="0" w:tplc="9C54F358">
      <w:start w:val="1"/>
      <w:numFmt w:val="decimal"/>
      <w:lvlText w:val="%1)"/>
      <w:lvlJc w:val="left"/>
      <w:pPr>
        <w:ind w:left="720" w:hanging="360"/>
      </w:pPr>
    </w:lvl>
    <w:lvl w:ilvl="1" w:tplc="33663A5E">
      <w:start w:val="1"/>
      <w:numFmt w:val="lowerLetter"/>
      <w:lvlText w:val="%2."/>
      <w:lvlJc w:val="left"/>
      <w:pPr>
        <w:ind w:left="1440" w:hanging="360"/>
      </w:pPr>
    </w:lvl>
    <w:lvl w:ilvl="2" w:tplc="AEC8D5DE">
      <w:start w:val="1"/>
      <w:numFmt w:val="lowerRoman"/>
      <w:lvlText w:val="%3."/>
      <w:lvlJc w:val="right"/>
      <w:pPr>
        <w:ind w:left="2160" w:hanging="180"/>
      </w:pPr>
    </w:lvl>
    <w:lvl w:ilvl="3" w:tplc="591290C2">
      <w:start w:val="1"/>
      <w:numFmt w:val="decimal"/>
      <w:lvlText w:val="%4."/>
      <w:lvlJc w:val="left"/>
      <w:pPr>
        <w:ind w:left="2880" w:hanging="360"/>
      </w:pPr>
    </w:lvl>
    <w:lvl w:ilvl="4" w:tplc="DFB48A9C">
      <w:start w:val="1"/>
      <w:numFmt w:val="lowerLetter"/>
      <w:lvlText w:val="%5."/>
      <w:lvlJc w:val="left"/>
      <w:pPr>
        <w:ind w:left="3600" w:hanging="360"/>
      </w:pPr>
    </w:lvl>
    <w:lvl w:ilvl="5" w:tplc="F5B2562E">
      <w:start w:val="1"/>
      <w:numFmt w:val="lowerRoman"/>
      <w:lvlText w:val="%6."/>
      <w:lvlJc w:val="right"/>
      <w:pPr>
        <w:ind w:left="4320" w:hanging="180"/>
      </w:pPr>
    </w:lvl>
    <w:lvl w:ilvl="6" w:tplc="A3CC79EC">
      <w:start w:val="1"/>
      <w:numFmt w:val="decimal"/>
      <w:lvlText w:val="%7."/>
      <w:lvlJc w:val="left"/>
      <w:pPr>
        <w:ind w:left="5040" w:hanging="360"/>
      </w:pPr>
    </w:lvl>
    <w:lvl w:ilvl="7" w:tplc="C2503260">
      <w:start w:val="1"/>
      <w:numFmt w:val="lowerLetter"/>
      <w:lvlText w:val="%8."/>
      <w:lvlJc w:val="left"/>
      <w:pPr>
        <w:ind w:left="5760" w:hanging="360"/>
      </w:pPr>
    </w:lvl>
    <w:lvl w:ilvl="8" w:tplc="D3BED5D0">
      <w:start w:val="1"/>
      <w:numFmt w:val="lowerRoman"/>
      <w:lvlText w:val="%9."/>
      <w:lvlJc w:val="right"/>
      <w:pPr>
        <w:ind w:left="6480" w:hanging="180"/>
      </w:pPr>
    </w:lvl>
  </w:abstractNum>
  <w:abstractNum w:abstractNumId="45" w15:restartNumberingAfterBreak="0">
    <w:nsid w:val="066F7625"/>
    <w:multiLevelType w:val="hybridMultilevel"/>
    <w:tmpl w:val="55064DD2"/>
    <w:lvl w:ilvl="0" w:tplc="FFFFFFFF">
      <w:start w:val="1"/>
      <w:numFmt w:val="decimal"/>
      <w:lvlText w:val="%1."/>
      <w:lvlJc w:val="left"/>
      <w:pPr>
        <w:ind w:left="720" w:hanging="360"/>
      </w:pPr>
    </w:lvl>
    <w:lvl w:ilvl="1" w:tplc="18090019">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0711284B"/>
    <w:multiLevelType w:val="hybridMultilevel"/>
    <w:tmpl w:val="FFFFFFFF"/>
    <w:lvl w:ilvl="0" w:tplc="7F94DA00">
      <w:start w:val="1"/>
      <w:numFmt w:val="bullet"/>
      <w:lvlText w:val=""/>
      <w:lvlJc w:val="left"/>
      <w:pPr>
        <w:ind w:left="720" w:hanging="360"/>
      </w:pPr>
      <w:rPr>
        <w:rFonts w:ascii="Segoe UI" w:hAnsi="Segoe UI" w:hint="default"/>
      </w:rPr>
    </w:lvl>
    <w:lvl w:ilvl="1" w:tplc="BA6E8C88">
      <w:start w:val="1"/>
      <w:numFmt w:val="bullet"/>
      <w:lvlText w:val="o"/>
      <w:lvlJc w:val="left"/>
      <w:pPr>
        <w:ind w:left="1440" w:hanging="360"/>
      </w:pPr>
      <w:rPr>
        <w:rFonts w:ascii="Courier New" w:hAnsi="Courier New" w:hint="default"/>
      </w:rPr>
    </w:lvl>
    <w:lvl w:ilvl="2" w:tplc="9F32DACC">
      <w:start w:val="1"/>
      <w:numFmt w:val="bullet"/>
      <w:lvlText w:val=""/>
      <w:lvlJc w:val="left"/>
      <w:pPr>
        <w:ind w:left="2160" w:hanging="360"/>
      </w:pPr>
      <w:rPr>
        <w:rFonts w:ascii="Cambria Math" w:hAnsi="Cambria Math" w:hint="default"/>
      </w:rPr>
    </w:lvl>
    <w:lvl w:ilvl="3" w:tplc="58CC1120">
      <w:start w:val="1"/>
      <w:numFmt w:val="bullet"/>
      <w:lvlText w:val=""/>
      <w:lvlJc w:val="left"/>
      <w:pPr>
        <w:ind w:left="2880" w:hanging="360"/>
      </w:pPr>
      <w:rPr>
        <w:rFonts w:ascii="Segoe UI" w:hAnsi="Segoe UI" w:hint="default"/>
      </w:rPr>
    </w:lvl>
    <w:lvl w:ilvl="4" w:tplc="585414AA">
      <w:start w:val="1"/>
      <w:numFmt w:val="bullet"/>
      <w:lvlText w:val="o"/>
      <w:lvlJc w:val="left"/>
      <w:pPr>
        <w:ind w:left="3600" w:hanging="360"/>
      </w:pPr>
      <w:rPr>
        <w:rFonts w:ascii="Courier New" w:hAnsi="Courier New" w:hint="default"/>
      </w:rPr>
    </w:lvl>
    <w:lvl w:ilvl="5" w:tplc="41802D32">
      <w:start w:val="1"/>
      <w:numFmt w:val="bullet"/>
      <w:lvlText w:val=""/>
      <w:lvlJc w:val="left"/>
      <w:pPr>
        <w:ind w:left="4320" w:hanging="360"/>
      </w:pPr>
      <w:rPr>
        <w:rFonts w:ascii="Cambria Math" w:hAnsi="Cambria Math" w:hint="default"/>
      </w:rPr>
    </w:lvl>
    <w:lvl w:ilvl="6" w:tplc="38AA3490">
      <w:start w:val="1"/>
      <w:numFmt w:val="bullet"/>
      <w:lvlText w:val=""/>
      <w:lvlJc w:val="left"/>
      <w:pPr>
        <w:ind w:left="5040" w:hanging="360"/>
      </w:pPr>
      <w:rPr>
        <w:rFonts w:ascii="Segoe UI" w:hAnsi="Segoe UI" w:hint="default"/>
      </w:rPr>
    </w:lvl>
    <w:lvl w:ilvl="7" w:tplc="C7967A46">
      <w:start w:val="1"/>
      <w:numFmt w:val="bullet"/>
      <w:lvlText w:val="o"/>
      <w:lvlJc w:val="left"/>
      <w:pPr>
        <w:ind w:left="5760" w:hanging="360"/>
      </w:pPr>
      <w:rPr>
        <w:rFonts w:ascii="Courier New" w:hAnsi="Courier New" w:hint="default"/>
      </w:rPr>
    </w:lvl>
    <w:lvl w:ilvl="8" w:tplc="50CE440A">
      <w:start w:val="1"/>
      <w:numFmt w:val="bullet"/>
      <w:lvlText w:val=""/>
      <w:lvlJc w:val="left"/>
      <w:pPr>
        <w:ind w:left="6480" w:hanging="360"/>
      </w:pPr>
      <w:rPr>
        <w:rFonts w:ascii="Cambria Math" w:hAnsi="Cambria Math" w:hint="default"/>
      </w:rPr>
    </w:lvl>
  </w:abstractNum>
  <w:abstractNum w:abstractNumId="47" w15:restartNumberingAfterBreak="0">
    <w:nsid w:val="071A117D"/>
    <w:multiLevelType w:val="hybridMultilevel"/>
    <w:tmpl w:val="21DC5784"/>
    <w:lvl w:ilvl="0" w:tplc="18090017">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48" w15:restartNumberingAfterBreak="0">
    <w:nsid w:val="078935CE"/>
    <w:multiLevelType w:val="hybridMultilevel"/>
    <w:tmpl w:val="2C982D38"/>
    <w:lvl w:ilvl="0" w:tplc="1809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6D606202">
      <w:numFmt w:val="bullet"/>
      <w:lvlText w:val="•"/>
      <w:lvlJc w:val="left"/>
      <w:pPr>
        <w:ind w:left="2340" w:hanging="720"/>
      </w:pPr>
      <w:rPr>
        <w:rFonts w:ascii="Times New Roman" w:eastAsia="Symbol" w:hAnsi="Times New Roman" w:cs="Times New Roman"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9" w15:restartNumberingAfterBreak="0">
    <w:nsid w:val="07FB552C"/>
    <w:multiLevelType w:val="hybridMultilevel"/>
    <w:tmpl w:val="653062C2"/>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0" w15:restartNumberingAfterBreak="0">
    <w:nsid w:val="08030763"/>
    <w:multiLevelType w:val="hybridMultilevel"/>
    <w:tmpl w:val="B7E447DA"/>
    <w:lvl w:ilvl="0" w:tplc="FFFFFFFF">
      <w:start w:val="1"/>
      <w:numFmt w:val="lowerRoman"/>
      <w:lvlText w:val="%1."/>
      <w:lvlJc w:val="right"/>
      <w:pPr>
        <w:ind w:left="1440" w:hanging="360"/>
      </w:pPr>
    </w:lvl>
    <w:lvl w:ilvl="1" w:tplc="B7303C30">
      <w:start w:val="2"/>
      <w:numFmt w:val="bullet"/>
      <w:lvlText w:val="-"/>
      <w:lvlJc w:val="left"/>
      <w:pPr>
        <w:ind w:left="2160" w:hanging="360"/>
      </w:pPr>
      <w:rPr>
        <w:rFonts w:ascii="Calibri" w:eastAsiaTheme="minorHAnsi" w:hAnsi="Calibri" w:cs="Calibri"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1" w15:restartNumberingAfterBreak="0">
    <w:nsid w:val="081826EA"/>
    <w:multiLevelType w:val="multilevel"/>
    <w:tmpl w:val="29A03D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08600127"/>
    <w:multiLevelType w:val="hybridMultilevel"/>
    <w:tmpl w:val="85F45C06"/>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3" w15:restartNumberingAfterBreak="0">
    <w:nsid w:val="08915652"/>
    <w:multiLevelType w:val="hybridMultilevel"/>
    <w:tmpl w:val="B1C8EDC6"/>
    <w:lvl w:ilvl="0" w:tplc="0809001B">
      <w:start w:val="1"/>
      <w:numFmt w:val="lowerRoman"/>
      <w:lvlText w:val="%1."/>
      <w:lvlJc w:val="righ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54" w15:restartNumberingAfterBreak="0">
    <w:nsid w:val="08AB27CD"/>
    <w:multiLevelType w:val="hybridMultilevel"/>
    <w:tmpl w:val="6184950E"/>
    <w:lvl w:ilvl="0" w:tplc="080C0019">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5" w15:restartNumberingAfterBreak="0">
    <w:nsid w:val="090A7704"/>
    <w:multiLevelType w:val="hybridMultilevel"/>
    <w:tmpl w:val="FFFFFFFF"/>
    <w:lvl w:ilvl="0" w:tplc="81D8DC54">
      <w:start w:val="4"/>
      <w:numFmt w:val="decimal"/>
      <w:lvlText w:val="%1."/>
      <w:lvlJc w:val="left"/>
      <w:pPr>
        <w:ind w:left="720" w:hanging="360"/>
      </w:pPr>
    </w:lvl>
    <w:lvl w:ilvl="1" w:tplc="3D72931C">
      <w:start w:val="1"/>
      <w:numFmt w:val="lowerLetter"/>
      <w:lvlText w:val="%2."/>
      <w:lvlJc w:val="left"/>
      <w:pPr>
        <w:ind w:left="1440" w:hanging="360"/>
      </w:pPr>
    </w:lvl>
    <w:lvl w:ilvl="2" w:tplc="0346ECB2">
      <w:start w:val="1"/>
      <w:numFmt w:val="lowerRoman"/>
      <w:lvlText w:val="%3."/>
      <w:lvlJc w:val="right"/>
      <w:pPr>
        <w:ind w:left="2160" w:hanging="180"/>
      </w:pPr>
    </w:lvl>
    <w:lvl w:ilvl="3" w:tplc="FE3A9B7A">
      <w:start w:val="1"/>
      <w:numFmt w:val="decimal"/>
      <w:lvlText w:val="%4."/>
      <w:lvlJc w:val="left"/>
      <w:pPr>
        <w:ind w:left="2880" w:hanging="360"/>
      </w:pPr>
    </w:lvl>
    <w:lvl w:ilvl="4" w:tplc="FC9460FA">
      <w:start w:val="1"/>
      <w:numFmt w:val="lowerLetter"/>
      <w:lvlText w:val="%5."/>
      <w:lvlJc w:val="left"/>
      <w:pPr>
        <w:ind w:left="3600" w:hanging="360"/>
      </w:pPr>
    </w:lvl>
    <w:lvl w:ilvl="5" w:tplc="C3701342">
      <w:start w:val="1"/>
      <w:numFmt w:val="lowerRoman"/>
      <w:lvlText w:val="%6."/>
      <w:lvlJc w:val="right"/>
      <w:pPr>
        <w:ind w:left="4320" w:hanging="180"/>
      </w:pPr>
    </w:lvl>
    <w:lvl w:ilvl="6" w:tplc="39721A80">
      <w:start w:val="1"/>
      <w:numFmt w:val="decimal"/>
      <w:lvlText w:val="%7."/>
      <w:lvlJc w:val="left"/>
      <w:pPr>
        <w:ind w:left="5040" w:hanging="360"/>
      </w:pPr>
    </w:lvl>
    <w:lvl w:ilvl="7" w:tplc="E7A2D6BE">
      <w:start w:val="1"/>
      <w:numFmt w:val="lowerLetter"/>
      <w:lvlText w:val="%8."/>
      <w:lvlJc w:val="left"/>
      <w:pPr>
        <w:ind w:left="5760" w:hanging="360"/>
      </w:pPr>
    </w:lvl>
    <w:lvl w:ilvl="8" w:tplc="DC6A6FA6">
      <w:start w:val="1"/>
      <w:numFmt w:val="lowerRoman"/>
      <w:lvlText w:val="%9."/>
      <w:lvlJc w:val="right"/>
      <w:pPr>
        <w:ind w:left="6480" w:hanging="180"/>
      </w:pPr>
    </w:lvl>
  </w:abstractNum>
  <w:abstractNum w:abstractNumId="56" w15:restartNumberingAfterBreak="0">
    <w:nsid w:val="092CF653"/>
    <w:multiLevelType w:val="hybridMultilevel"/>
    <w:tmpl w:val="FFFFFFFF"/>
    <w:lvl w:ilvl="0" w:tplc="6E86AD7E">
      <w:numFmt w:val="none"/>
      <w:lvlText w:val=""/>
      <w:lvlJc w:val="left"/>
      <w:pPr>
        <w:tabs>
          <w:tab w:val="num" w:pos="360"/>
        </w:tabs>
      </w:pPr>
    </w:lvl>
    <w:lvl w:ilvl="1" w:tplc="2A50994A">
      <w:start w:val="1"/>
      <w:numFmt w:val="lowerLetter"/>
      <w:lvlText w:val="%2."/>
      <w:lvlJc w:val="left"/>
      <w:pPr>
        <w:ind w:left="1440" w:hanging="360"/>
      </w:pPr>
    </w:lvl>
    <w:lvl w:ilvl="2" w:tplc="1E061FCE">
      <w:start w:val="1"/>
      <w:numFmt w:val="lowerRoman"/>
      <w:lvlText w:val="%3."/>
      <w:lvlJc w:val="right"/>
      <w:pPr>
        <w:ind w:left="2160" w:hanging="180"/>
      </w:pPr>
    </w:lvl>
    <w:lvl w:ilvl="3" w:tplc="9EDE48C4">
      <w:start w:val="1"/>
      <w:numFmt w:val="decimal"/>
      <w:lvlText w:val="%4."/>
      <w:lvlJc w:val="left"/>
      <w:pPr>
        <w:ind w:left="2880" w:hanging="360"/>
      </w:pPr>
    </w:lvl>
    <w:lvl w:ilvl="4" w:tplc="07105AD8">
      <w:start w:val="1"/>
      <w:numFmt w:val="lowerLetter"/>
      <w:lvlText w:val="%5."/>
      <w:lvlJc w:val="left"/>
      <w:pPr>
        <w:ind w:left="3600" w:hanging="360"/>
      </w:pPr>
    </w:lvl>
    <w:lvl w:ilvl="5" w:tplc="98DE21A6">
      <w:start w:val="1"/>
      <w:numFmt w:val="lowerRoman"/>
      <w:lvlText w:val="%6."/>
      <w:lvlJc w:val="right"/>
      <w:pPr>
        <w:ind w:left="4320" w:hanging="180"/>
      </w:pPr>
    </w:lvl>
    <w:lvl w:ilvl="6" w:tplc="5EDA3080">
      <w:start w:val="1"/>
      <w:numFmt w:val="decimal"/>
      <w:lvlText w:val="%7."/>
      <w:lvlJc w:val="left"/>
      <w:pPr>
        <w:ind w:left="5040" w:hanging="360"/>
      </w:pPr>
    </w:lvl>
    <w:lvl w:ilvl="7" w:tplc="21400CA8">
      <w:start w:val="1"/>
      <w:numFmt w:val="lowerLetter"/>
      <w:lvlText w:val="%8."/>
      <w:lvlJc w:val="left"/>
      <w:pPr>
        <w:ind w:left="5760" w:hanging="360"/>
      </w:pPr>
    </w:lvl>
    <w:lvl w:ilvl="8" w:tplc="DC60D61E">
      <w:start w:val="1"/>
      <w:numFmt w:val="lowerRoman"/>
      <w:lvlText w:val="%9."/>
      <w:lvlJc w:val="right"/>
      <w:pPr>
        <w:ind w:left="6480" w:hanging="180"/>
      </w:pPr>
    </w:lvl>
  </w:abstractNum>
  <w:abstractNum w:abstractNumId="57" w15:restartNumberingAfterBreak="0">
    <w:nsid w:val="094251BF"/>
    <w:multiLevelType w:val="hybridMultilevel"/>
    <w:tmpl w:val="AEC405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 w15:restartNumberingAfterBreak="0">
    <w:nsid w:val="095C39A3"/>
    <w:multiLevelType w:val="hybridMultilevel"/>
    <w:tmpl w:val="FFFFFFFF"/>
    <w:lvl w:ilvl="0" w:tplc="B82885BA">
      <w:start w:val="1"/>
      <w:numFmt w:val="bullet"/>
      <w:lvlText w:val="o"/>
      <w:lvlJc w:val="left"/>
      <w:pPr>
        <w:ind w:left="720" w:hanging="360"/>
      </w:pPr>
      <w:rPr>
        <w:rFonts w:ascii="&quot;Courier New&quot;" w:hAnsi="&quot;Courier New&quot;" w:hint="default"/>
      </w:rPr>
    </w:lvl>
    <w:lvl w:ilvl="1" w:tplc="D49294FA">
      <w:start w:val="1"/>
      <w:numFmt w:val="bullet"/>
      <w:lvlText w:val="o"/>
      <w:lvlJc w:val="left"/>
      <w:pPr>
        <w:ind w:left="1440" w:hanging="360"/>
      </w:pPr>
      <w:rPr>
        <w:rFonts w:ascii="Courier New" w:hAnsi="Courier New" w:hint="default"/>
      </w:rPr>
    </w:lvl>
    <w:lvl w:ilvl="2" w:tplc="ADFAF67C">
      <w:start w:val="1"/>
      <w:numFmt w:val="bullet"/>
      <w:lvlText w:val=""/>
      <w:lvlJc w:val="left"/>
      <w:pPr>
        <w:ind w:left="2160" w:hanging="360"/>
      </w:pPr>
      <w:rPr>
        <w:rFonts w:ascii="Wingdings" w:hAnsi="Wingdings" w:hint="default"/>
      </w:rPr>
    </w:lvl>
    <w:lvl w:ilvl="3" w:tplc="A9D03620">
      <w:start w:val="1"/>
      <w:numFmt w:val="bullet"/>
      <w:lvlText w:val=""/>
      <w:lvlJc w:val="left"/>
      <w:pPr>
        <w:ind w:left="2880" w:hanging="360"/>
      </w:pPr>
      <w:rPr>
        <w:rFonts w:ascii="Symbol" w:hAnsi="Symbol" w:hint="default"/>
      </w:rPr>
    </w:lvl>
    <w:lvl w:ilvl="4" w:tplc="D4927346">
      <w:start w:val="1"/>
      <w:numFmt w:val="bullet"/>
      <w:lvlText w:val="o"/>
      <w:lvlJc w:val="left"/>
      <w:pPr>
        <w:ind w:left="3600" w:hanging="360"/>
      </w:pPr>
      <w:rPr>
        <w:rFonts w:ascii="Courier New" w:hAnsi="Courier New" w:hint="default"/>
      </w:rPr>
    </w:lvl>
    <w:lvl w:ilvl="5" w:tplc="D0ACD724">
      <w:start w:val="1"/>
      <w:numFmt w:val="bullet"/>
      <w:lvlText w:val=""/>
      <w:lvlJc w:val="left"/>
      <w:pPr>
        <w:ind w:left="4320" w:hanging="360"/>
      </w:pPr>
      <w:rPr>
        <w:rFonts w:ascii="Wingdings" w:hAnsi="Wingdings" w:hint="default"/>
      </w:rPr>
    </w:lvl>
    <w:lvl w:ilvl="6" w:tplc="01D82A24">
      <w:start w:val="1"/>
      <w:numFmt w:val="bullet"/>
      <w:lvlText w:val=""/>
      <w:lvlJc w:val="left"/>
      <w:pPr>
        <w:ind w:left="5040" w:hanging="360"/>
      </w:pPr>
      <w:rPr>
        <w:rFonts w:ascii="Symbol" w:hAnsi="Symbol" w:hint="default"/>
      </w:rPr>
    </w:lvl>
    <w:lvl w:ilvl="7" w:tplc="12F834AA">
      <w:start w:val="1"/>
      <w:numFmt w:val="bullet"/>
      <w:lvlText w:val="o"/>
      <w:lvlJc w:val="left"/>
      <w:pPr>
        <w:ind w:left="5760" w:hanging="360"/>
      </w:pPr>
      <w:rPr>
        <w:rFonts w:ascii="Courier New" w:hAnsi="Courier New" w:hint="default"/>
      </w:rPr>
    </w:lvl>
    <w:lvl w:ilvl="8" w:tplc="C42C4738">
      <w:start w:val="1"/>
      <w:numFmt w:val="bullet"/>
      <w:lvlText w:val=""/>
      <w:lvlJc w:val="left"/>
      <w:pPr>
        <w:ind w:left="6480" w:hanging="360"/>
      </w:pPr>
      <w:rPr>
        <w:rFonts w:ascii="Wingdings" w:hAnsi="Wingdings" w:hint="default"/>
      </w:rPr>
    </w:lvl>
  </w:abstractNum>
  <w:abstractNum w:abstractNumId="59" w15:restartNumberingAfterBreak="0">
    <w:nsid w:val="09618A4B"/>
    <w:multiLevelType w:val="hybridMultilevel"/>
    <w:tmpl w:val="FFFFFFFF"/>
    <w:lvl w:ilvl="0" w:tplc="4BFC8CC8">
      <w:start w:val="8"/>
      <w:numFmt w:val="decimal"/>
      <w:lvlText w:val="%1."/>
      <w:lvlJc w:val="left"/>
      <w:pPr>
        <w:ind w:left="720" w:hanging="360"/>
      </w:pPr>
    </w:lvl>
    <w:lvl w:ilvl="1" w:tplc="722EAE72">
      <w:start w:val="1"/>
      <w:numFmt w:val="lowerLetter"/>
      <w:lvlText w:val="%2."/>
      <w:lvlJc w:val="left"/>
      <w:pPr>
        <w:ind w:left="1440" w:hanging="360"/>
      </w:pPr>
    </w:lvl>
    <w:lvl w:ilvl="2" w:tplc="D400947C">
      <w:start w:val="1"/>
      <w:numFmt w:val="lowerRoman"/>
      <w:lvlText w:val="%3."/>
      <w:lvlJc w:val="right"/>
      <w:pPr>
        <w:ind w:left="2160" w:hanging="180"/>
      </w:pPr>
    </w:lvl>
    <w:lvl w:ilvl="3" w:tplc="FA3EABE8">
      <w:start w:val="1"/>
      <w:numFmt w:val="decimal"/>
      <w:lvlText w:val="%4."/>
      <w:lvlJc w:val="left"/>
      <w:pPr>
        <w:ind w:left="2880" w:hanging="360"/>
      </w:pPr>
    </w:lvl>
    <w:lvl w:ilvl="4" w:tplc="7C00B2E2">
      <w:start w:val="1"/>
      <w:numFmt w:val="lowerLetter"/>
      <w:lvlText w:val="%5."/>
      <w:lvlJc w:val="left"/>
      <w:pPr>
        <w:ind w:left="3600" w:hanging="360"/>
      </w:pPr>
    </w:lvl>
    <w:lvl w:ilvl="5" w:tplc="1196E89C">
      <w:start w:val="1"/>
      <w:numFmt w:val="lowerRoman"/>
      <w:lvlText w:val="%6."/>
      <w:lvlJc w:val="right"/>
      <w:pPr>
        <w:ind w:left="4320" w:hanging="180"/>
      </w:pPr>
    </w:lvl>
    <w:lvl w:ilvl="6" w:tplc="6A2A25CA">
      <w:start w:val="1"/>
      <w:numFmt w:val="decimal"/>
      <w:lvlText w:val="%7."/>
      <w:lvlJc w:val="left"/>
      <w:pPr>
        <w:ind w:left="5040" w:hanging="360"/>
      </w:pPr>
    </w:lvl>
    <w:lvl w:ilvl="7" w:tplc="09A69496">
      <w:start w:val="1"/>
      <w:numFmt w:val="lowerLetter"/>
      <w:lvlText w:val="%8."/>
      <w:lvlJc w:val="left"/>
      <w:pPr>
        <w:ind w:left="5760" w:hanging="360"/>
      </w:pPr>
    </w:lvl>
    <w:lvl w:ilvl="8" w:tplc="C5FCE866">
      <w:start w:val="1"/>
      <w:numFmt w:val="lowerRoman"/>
      <w:lvlText w:val="%9."/>
      <w:lvlJc w:val="right"/>
      <w:pPr>
        <w:ind w:left="6480" w:hanging="180"/>
      </w:pPr>
    </w:lvl>
  </w:abstractNum>
  <w:abstractNum w:abstractNumId="60" w15:restartNumberingAfterBreak="0">
    <w:nsid w:val="09F123B6"/>
    <w:multiLevelType w:val="hybridMultilevel"/>
    <w:tmpl w:val="4A8E832E"/>
    <w:lvl w:ilvl="0" w:tplc="D8C0D6EA">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1" w15:restartNumberingAfterBreak="0">
    <w:nsid w:val="09FC4086"/>
    <w:multiLevelType w:val="hybridMultilevel"/>
    <w:tmpl w:val="FFFFFFFF"/>
    <w:lvl w:ilvl="0" w:tplc="99CCAA5A">
      <w:start w:val="11"/>
      <w:numFmt w:val="decimal"/>
      <w:lvlText w:val="%1."/>
      <w:lvlJc w:val="left"/>
      <w:pPr>
        <w:ind w:left="720" w:hanging="360"/>
      </w:pPr>
    </w:lvl>
    <w:lvl w:ilvl="1" w:tplc="E67CABD0">
      <w:start w:val="1"/>
      <w:numFmt w:val="lowerLetter"/>
      <w:lvlText w:val="%2."/>
      <w:lvlJc w:val="left"/>
      <w:pPr>
        <w:ind w:left="1440" w:hanging="360"/>
      </w:pPr>
    </w:lvl>
    <w:lvl w:ilvl="2" w:tplc="DC4A8930">
      <w:start w:val="1"/>
      <w:numFmt w:val="lowerRoman"/>
      <w:lvlText w:val="%3."/>
      <w:lvlJc w:val="right"/>
      <w:pPr>
        <w:ind w:left="2160" w:hanging="180"/>
      </w:pPr>
    </w:lvl>
    <w:lvl w:ilvl="3" w:tplc="7FD0D4F4">
      <w:start w:val="1"/>
      <w:numFmt w:val="decimal"/>
      <w:lvlText w:val="%4."/>
      <w:lvlJc w:val="left"/>
      <w:pPr>
        <w:ind w:left="2880" w:hanging="360"/>
      </w:pPr>
    </w:lvl>
    <w:lvl w:ilvl="4" w:tplc="11867ED0">
      <w:start w:val="1"/>
      <w:numFmt w:val="lowerLetter"/>
      <w:lvlText w:val="%5."/>
      <w:lvlJc w:val="left"/>
      <w:pPr>
        <w:ind w:left="3600" w:hanging="360"/>
      </w:pPr>
    </w:lvl>
    <w:lvl w:ilvl="5" w:tplc="82BA9FB8">
      <w:start w:val="1"/>
      <w:numFmt w:val="lowerRoman"/>
      <w:lvlText w:val="%6."/>
      <w:lvlJc w:val="right"/>
      <w:pPr>
        <w:ind w:left="4320" w:hanging="180"/>
      </w:pPr>
    </w:lvl>
    <w:lvl w:ilvl="6" w:tplc="07828226">
      <w:start w:val="1"/>
      <w:numFmt w:val="decimal"/>
      <w:lvlText w:val="%7."/>
      <w:lvlJc w:val="left"/>
      <w:pPr>
        <w:ind w:left="5040" w:hanging="360"/>
      </w:pPr>
    </w:lvl>
    <w:lvl w:ilvl="7" w:tplc="912842AE">
      <w:start w:val="1"/>
      <w:numFmt w:val="lowerLetter"/>
      <w:lvlText w:val="%8."/>
      <w:lvlJc w:val="left"/>
      <w:pPr>
        <w:ind w:left="5760" w:hanging="360"/>
      </w:pPr>
    </w:lvl>
    <w:lvl w:ilvl="8" w:tplc="7D56D82A">
      <w:start w:val="1"/>
      <w:numFmt w:val="lowerRoman"/>
      <w:lvlText w:val="%9."/>
      <w:lvlJc w:val="right"/>
      <w:pPr>
        <w:ind w:left="6480" w:hanging="180"/>
      </w:pPr>
    </w:lvl>
  </w:abstractNum>
  <w:abstractNum w:abstractNumId="62" w15:restartNumberingAfterBreak="0">
    <w:nsid w:val="0A1F0A60"/>
    <w:multiLevelType w:val="hybridMultilevel"/>
    <w:tmpl w:val="D8C4788E"/>
    <w:lvl w:ilvl="0" w:tplc="18090017">
      <w:start w:val="1"/>
      <w:numFmt w:val="lowerLetter"/>
      <w:lvlText w:val="%1)"/>
      <w:lvlJc w:val="left"/>
      <w:pPr>
        <w:ind w:left="1800" w:hanging="360"/>
      </w:pPr>
      <w:rPr>
        <w:rFonts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63" w15:restartNumberingAfterBreak="0">
    <w:nsid w:val="0A687BAC"/>
    <w:multiLevelType w:val="multilevel"/>
    <w:tmpl w:val="9BF22E1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4" w15:restartNumberingAfterBreak="0">
    <w:nsid w:val="0A6D252C"/>
    <w:multiLevelType w:val="hybridMultilevel"/>
    <w:tmpl w:val="92FAF1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5" w15:restartNumberingAfterBreak="0">
    <w:nsid w:val="0A7E4021"/>
    <w:multiLevelType w:val="hybridMultilevel"/>
    <w:tmpl w:val="EA1CB52C"/>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6" w15:restartNumberingAfterBreak="0">
    <w:nsid w:val="0AB042EB"/>
    <w:multiLevelType w:val="hybridMultilevel"/>
    <w:tmpl w:val="98267608"/>
    <w:lvl w:ilvl="0" w:tplc="FFFFFFFF">
      <w:start w:val="1"/>
      <w:numFmt w:val="lowerLetter"/>
      <w:lvlText w:val="%1."/>
      <w:lvlJc w:val="left"/>
      <w:pPr>
        <w:ind w:left="720" w:hanging="360"/>
      </w:pPr>
    </w:lvl>
    <w:lvl w:ilvl="1" w:tplc="B7303C30">
      <w:start w:val="2"/>
      <w:numFmt w:val="bullet"/>
      <w:lvlText w:val="-"/>
      <w:lvlJc w:val="left"/>
      <w:pPr>
        <w:ind w:left="1440" w:hanging="360"/>
      </w:pPr>
      <w:rPr>
        <w:rFonts w:ascii="Calibri" w:eastAsiaTheme="minorHAnsi"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0AC48331"/>
    <w:multiLevelType w:val="hybridMultilevel"/>
    <w:tmpl w:val="FFFFFFFF"/>
    <w:lvl w:ilvl="0" w:tplc="2FB0F470">
      <w:start w:val="9"/>
      <w:numFmt w:val="decimal"/>
      <w:lvlText w:val="%1."/>
      <w:lvlJc w:val="left"/>
      <w:pPr>
        <w:ind w:left="720" w:hanging="360"/>
      </w:pPr>
    </w:lvl>
    <w:lvl w:ilvl="1" w:tplc="262CDB7C">
      <w:start w:val="1"/>
      <w:numFmt w:val="lowerLetter"/>
      <w:lvlText w:val="%2."/>
      <w:lvlJc w:val="left"/>
      <w:pPr>
        <w:ind w:left="1440" w:hanging="360"/>
      </w:pPr>
    </w:lvl>
    <w:lvl w:ilvl="2" w:tplc="CD189A4A">
      <w:start w:val="1"/>
      <w:numFmt w:val="lowerRoman"/>
      <w:lvlText w:val="%3."/>
      <w:lvlJc w:val="right"/>
      <w:pPr>
        <w:ind w:left="2160" w:hanging="180"/>
      </w:pPr>
    </w:lvl>
    <w:lvl w:ilvl="3" w:tplc="A3CC37DC">
      <w:start w:val="1"/>
      <w:numFmt w:val="decimal"/>
      <w:lvlText w:val="%4."/>
      <w:lvlJc w:val="left"/>
      <w:pPr>
        <w:ind w:left="2880" w:hanging="360"/>
      </w:pPr>
    </w:lvl>
    <w:lvl w:ilvl="4" w:tplc="6040F492">
      <w:start w:val="1"/>
      <w:numFmt w:val="lowerLetter"/>
      <w:lvlText w:val="%5."/>
      <w:lvlJc w:val="left"/>
      <w:pPr>
        <w:ind w:left="3600" w:hanging="360"/>
      </w:pPr>
    </w:lvl>
    <w:lvl w:ilvl="5" w:tplc="20C6B424">
      <w:start w:val="1"/>
      <w:numFmt w:val="lowerRoman"/>
      <w:lvlText w:val="%6."/>
      <w:lvlJc w:val="right"/>
      <w:pPr>
        <w:ind w:left="4320" w:hanging="180"/>
      </w:pPr>
    </w:lvl>
    <w:lvl w:ilvl="6" w:tplc="567C5EAC">
      <w:start w:val="1"/>
      <w:numFmt w:val="decimal"/>
      <w:lvlText w:val="%7."/>
      <w:lvlJc w:val="left"/>
      <w:pPr>
        <w:ind w:left="5040" w:hanging="360"/>
      </w:pPr>
    </w:lvl>
    <w:lvl w:ilvl="7" w:tplc="87900506">
      <w:start w:val="1"/>
      <w:numFmt w:val="lowerLetter"/>
      <w:lvlText w:val="%8."/>
      <w:lvlJc w:val="left"/>
      <w:pPr>
        <w:ind w:left="5760" w:hanging="360"/>
      </w:pPr>
    </w:lvl>
    <w:lvl w:ilvl="8" w:tplc="0E120AE6">
      <w:start w:val="1"/>
      <w:numFmt w:val="lowerRoman"/>
      <w:lvlText w:val="%9."/>
      <w:lvlJc w:val="right"/>
      <w:pPr>
        <w:ind w:left="6480" w:hanging="180"/>
      </w:pPr>
    </w:lvl>
  </w:abstractNum>
  <w:abstractNum w:abstractNumId="68" w15:restartNumberingAfterBreak="0">
    <w:nsid w:val="0ACA247E"/>
    <w:multiLevelType w:val="hybridMultilevel"/>
    <w:tmpl w:val="70ACF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0ACC680F"/>
    <w:multiLevelType w:val="multilevel"/>
    <w:tmpl w:val="9DD0A3E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0AF577BC"/>
    <w:multiLevelType w:val="multilevel"/>
    <w:tmpl w:val="8A66F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0B0B67BF"/>
    <w:multiLevelType w:val="hybridMultilevel"/>
    <w:tmpl w:val="AC1C58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2" w15:restartNumberingAfterBreak="0">
    <w:nsid w:val="0B206FD5"/>
    <w:multiLevelType w:val="hybridMultilevel"/>
    <w:tmpl w:val="37F4E0E2"/>
    <w:lvl w:ilvl="0" w:tplc="F1503CAC">
      <w:start w:val="12"/>
      <w:numFmt w:val="lowerRoman"/>
      <w:lvlText w:val="%1."/>
      <w:lvlJc w:val="right"/>
      <w:pPr>
        <w:ind w:left="144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3" w15:restartNumberingAfterBreak="0">
    <w:nsid w:val="0B4910E7"/>
    <w:multiLevelType w:val="hybridMultilevel"/>
    <w:tmpl w:val="2DB4A476"/>
    <w:lvl w:ilvl="0" w:tplc="FF9A50B0">
      <w:start w:val="7"/>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4" w15:restartNumberingAfterBreak="0">
    <w:nsid w:val="0B533329"/>
    <w:multiLevelType w:val="hybridMultilevel"/>
    <w:tmpl w:val="C3427584"/>
    <w:lvl w:ilvl="0" w:tplc="080C0001">
      <w:start w:val="1"/>
      <w:numFmt w:val="bullet"/>
      <w:lvlText w:val=""/>
      <w:lvlJc w:val="left"/>
      <w:pPr>
        <w:ind w:left="720" w:hanging="360"/>
      </w:pPr>
      <w:rPr>
        <w:rFonts w:ascii="Segoe UI" w:hAnsi="Segoe U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75" w15:restartNumberingAfterBreak="0">
    <w:nsid w:val="0B8939DC"/>
    <w:multiLevelType w:val="multilevel"/>
    <w:tmpl w:val="C660D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0BA727C9"/>
    <w:multiLevelType w:val="hybridMultilevel"/>
    <w:tmpl w:val="FFFFFFFF"/>
    <w:lvl w:ilvl="0" w:tplc="DA00AD48">
      <w:start w:val="1"/>
      <w:numFmt w:val="bullet"/>
      <w:lvlText w:val=""/>
      <w:lvlJc w:val="left"/>
      <w:pPr>
        <w:ind w:left="720" w:hanging="360"/>
      </w:pPr>
      <w:rPr>
        <w:rFonts w:ascii="Symbol" w:hAnsi="Symbol" w:hint="default"/>
      </w:rPr>
    </w:lvl>
    <w:lvl w:ilvl="1" w:tplc="1F601CFA">
      <w:start w:val="1"/>
      <w:numFmt w:val="bullet"/>
      <w:lvlText w:val="-"/>
      <w:lvlJc w:val="left"/>
      <w:pPr>
        <w:ind w:left="1440" w:hanging="360"/>
      </w:pPr>
      <w:rPr>
        <w:rFonts w:ascii="Calibri" w:hAnsi="Calibri" w:hint="default"/>
      </w:rPr>
    </w:lvl>
    <w:lvl w:ilvl="2" w:tplc="F334B0C0">
      <w:start w:val="1"/>
      <w:numFmt w:val="bullet"/>
      <w:lvlText w:val=""/>
      <w:lvlJc w:val="left"/>
      <w:pPr>
        <w:ind w:left="2160" w:hanging="360"/>
      </w:pPr>
      <w:rPr>
        <w:rFonts w:ascii="Wingdings" w:hAnsi="Wingdings" w:hint="default"/>
      </w:rPr>
    </w:lvl>
    <w:lvl w:ilvl="3" w:tplc="26004220">
      <w:start w:val="1"/>
      <w:numFmt w:val="bullet"/>
      <w:lvlText w:val=""/>
      <w:lvlJc w:val="left"/>
      <w:pPr>
        <w:ind w:left="2880" w:hanging="360"/>
      </w:pPr>
      <w:rPr>
        <w:rFonts w:ascii="Symbol" w:hAnsi="Symbol" w:hint="default"/>
      </w:rPr>
    </w:lvl>
    <w:lvl w:ilvl="4" w:tplc="52C01A7E">
      <w:start w:val="1"/>
      <w:numFmt w:val="bullet"/>
      <w:lvlText w:val="o"/>
      <w:lvlJc w:val="left"/>
      <w:pPr>
        <w:ind w:left="3600" w:hanging="360"/>
      </w:pPr>
      <w:rPr>
        <w:rFonts w:ascii="Courier New" w:hAnsi="Courier New" w:hint="default"/>
      </w:rPr>
    </w:lvl>
    <w:lvl w:ilvl="5" w:tplc="DE061B64">
      <w:start w:val="1"/>
      <w:numFmt w:val="bullet"/>
      <w:lvlText w:val=""/>
      <w:lvlJc w:val="left"/>
      <w:pPr>
        <w:ind w:left="4320" w:hanging="360"/>
      </w:pPr>
      <w:rPr>
        <w:rFonts w:ascii="Wingdings" w:hAnsi="Wingdings" w:hint="default"/>
      </w:rPr>
    </w:lvl>
    <w:lvl w:ilvl="6" w:tplc="47726038">
      <w:start w:val="1"/>
      <w:numFmt w:val="bullet"/>
      <w:lvlText w:val=""/>
      <w:lvlJc w:val="left"/>
      <w:pPr>
        <w:ind w:left="5040" w:hanging="360"/>
      </w:pPr>
      <w:rPr>
        <w:rFonts w:ascii="Symbol" w:hAnsi="Symbol" w:hint="default"/>
      </w:rPr>
    </w:lvl>
    <w:lvl w:ilvl="7" w:tplc="CDAA6838">
      <w:start w:val="1"/>
      <w:numFmt w:val="bullet"/>
      <w:lvlText w:val="o"/>
      <w:lvlJc w:val="left"/>
      <w:pPr>
        <w:ind w:left="5760" w:hanging="360"/>
      </w:pPr>
      <w:rPr>
        <w:rFonts w:ascii="Courier New" w:hAnsi="Courier New" w:hint="default"/>
      </w:rPr>
    </w:lvl>
    <w:lvl w:ilvl="8" w:tplc="B98A9C26">
      <w:start w:val="1"/>
      <w:numFmt w:val="bullet"/>
      <w:lvlText w:val=""/>
      <w:lvlJc w:val="left"/>
      <w:pPr>
        <w:ind w:left="6480" w:hanging="360"/>
      </w:pPr>
      <w:rPr>
        <w:rFonts w:ascii="Wingdings" w:hAnsi="Wingdings" w:hint="default"/>
      </w:rPr>
    </w:lvl>
  </w:abstractNum>
  <w:abstractNum w:abstractNumId="77" w15:restartNumberingAfterBreak="0">
    <w:nsid w:val="0BCC2112"/>
    <w:multiLevelType w:val="hybridMultilevel"/>
    <w:tmpl w:val="FFFFFFFF"/>
    <w:lvl w:ilvl="0" w:tplc="F24CEC56">
      <w:start w:val="1"/>
      <w:numFmt w:val="bullet"/>
      <w:lvlText w:val=""/>
      <w:lvlJc w:val="left"/>
      <w:pPr>
        <w:ind w:left="720" w:hanging="360"/>
      </w:pPr>
      <w:rPr>
        <w:rFonts w:ascii="Symbol" w:hAnsi="Symbol" w:hint="default"/>
      </w:rPr>
    </w:lvl>
    <w:lvl w:ilvl="1" w:tplc="45649E9C">
      <w:start w:val="1"/>
      <w:numFmt w:val="bullet"/>
      <w:lvlText w:val="-"/>
      <w:lvlJc w:val="left"/>
      <w:pPr>
        <w:ind w:left="1440" w:hanging="360"/>
      </w:pPr>
      <w:rPr>
        <w:rFonts w:ascii="Calibri" w:hAnsi="Calibri" w:hint="default"/>
      </w:rPr>
    </w:lvl>
    <w:lvl w:ilvl="2" w:tplc="3CFE64FC">
      <w:start w:val="1"/>
      <w:numFmt w:val="bullet"/>
      <w:lvlText w:val=""/>
      <w:lvlJc w:val="left"/>
      <w:pPr>
        <w:ind w:left="2160" w:hanging="360"/>
      </w:pPr>
      <w:rPr>
        <w:rFonts w:ascii="Wingdings" w:hAnsi="Wingdings" w:hint="default"/>
      </w:rPr>
    </w:lvl>
    <w:lvl w:ilvl="3" w:tplc="83307060">
      <w:start w:val="1"/>
      <w:numFmt w:val="bullet"/>
      <w:lvlText w:val=""/>
      <w:lvlJc w:val="left"/>
      <w:pPr>
        <w:ind w:left="2880" w:hanging="360"/>
      </w:pPr>
      <w:rPr>
        <w:rFonts w:ascii="Symbol" w:hAnsi="Symbol" w:hint="default"/>
      </w:rPr>
    </w:lvl>
    <w:lvl w:ilvl="4" w:tplc="A3941560">
      <w:start w:val="1"/>
      <w:numFmt w:val="bullet"/>
      <w:lvlText w:val="o"/>
      <w:lvlJc w:val="left"/>
      <w:pPr>
        <w:ind w:left="3600" w:hanging="360"/>
      </w:pPr>
      <w:rPr>
        <w:rFonts w:ascii="Courier New" w:hAnsi="Courier New" w:hint="default"/>
      </w:rPr>
    </w:lvl>
    <w:lvl w:ilvl="5" w:tplc="691A649E">
      <w:start w:val="1"/>
      <w:numFmt w:val="bullet"/>
      <w:lvlText w:val=""/>
      <w:lvlJc w:val="left"/>
      <w:pPr>
        <w:ind w:left="4320" w:hanging="360"/>
      </w:pPr>
      <w:rPr>
        <w:rFonts w:ascii="Wingdings" w:hAnsi="Wingdings" w:hint="default"/>
      </w:rPr>
    </w:lvl>
    <w:lvl w:ilvl="6" w:tplc="5BC29AD6">
      <w:start w:val="1"/>
      <w:numFmt w:val="bullet"/>
      <w:lvlText w:val=""/>
      <w:lvlJc w:val="left"/>
      <w:pPr>
        <w:ind w:left="5040" w:hanging="360"/>
      </w:pPr>
      <w:rPr>
        <w:rFonts w:ascii="Symbol" w:hAnsi="Symbol" w:hint="default"/>
      </w:rPr>
    </w:lvl>
    <w:lvl w:ilvl="7" w:tplc="A3C076E0">
      <w:start w:val="1"/>
      <w:numFmt w:val="bullet"/>
      <w:lvlText w:val="o"/>
      <w:lvlJc w:val="left"/>
      <w:pPr>
        <w:ind w:left="5760" w:hanging="360"/>
      </w:pPr>
      <w:rPr>
        <w:rFonts w:ascii="Courier New" w:hAnsi="Courier New" w:hint="default"/>
      </w:rPr>
    </w:lvl>
    <w:lvl w:ilvl="8" w:tplc="E7D69C9E">
      <w:start w:val="1"/>
      <w:numFmt w:val="bullet"/>
      <w:lvlText w:val=""/>
      <w:lvlJc w:val="left"/>
      <w:pPr>
        <w:ind w:left="6480" w:hanging="360"/>
      </w:pPr>
      <w:rPr>
        <w:rFonts w:ascii="Wingdings" w:hAnsi="Wingdings" w:hint="default"/>
      </w:rPr>
    </w:lvl>
  </w:abstractNum>
  <w:abstractNum w:abstractNumId="78" w15:restartNumberingAfterBreak="0">
    <w:nsid w:val="0BF72E00"/>
    <w:multiLevelType w:val="hybridMultilevel"/>
    <w:tmpl w:val="DD2CA332"/>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0C385703"/>
    <w:multiLevelType w:val="hybridMultilevel"/>
    <w:tmpl w:val="FFFFFFFF"/>
    <w:lvl w:ilvl="0" w:tplc="FFFFFFFF">
      <w:start w:val="1"/>
      <w:numFmt w:val="decimal"/>
      <w:lvlText w:val="%1."/>
      <w:lvlJc w:val="left"/>
      <w:pPr>
        <w:ind w:left="720" w:hanging="360"/>
      </w:pPr>
      <w:rPr>
        <w:rFonts w:hint="default"/>
      </w:rPr>
    </w:lvl>
    <w:lvl w:ilvl="1" w:tplc="26F87DA6">
      <w:start w:val="1"/>
      <w:numFmt w:val="bullet"/>
      <w:lvlText w:val="o"/>
      <w:lvlJc w:val="left"/>
      <w:pPr>
        <w:ind w:left="1440" w:hanging="360"/>
      </w:pPr>
      <w:rPr>
        <w:rFonts w:ascii="Courier New" w:hAnsi="Courier New" w:hint="default"/>
      </w:rPr>
    </w:lvl>
    <w:lvl w:ilvl="2" w:tplc="EBE4107C">
      <w:start w:val="1"/>
      <w:numFmt w:val="bullet"/>
      <w:lvlText w:val=""/>
      <w:lvlJc w:val="left"/>
      <w:pPr>
        <w:ind w:left="2160" w:hanging="360"/>
      </w:pPr>
      <w:rPr>
        <w:rFonts w:ascii="Wingdings" w:hAnsi="Wingdings" w:hint="default"/>
      </w:rPr>
    </w:lvl>
    <w:lvl w:ilvl="3" w:tplc="C1DEE4CC">
      <w:start w:val="1"/>
      <w:numFmt w:val="bullet"/>
      <w:lvlText w:val=""/>
      <w:lvlJc w:val="left"/>
      <w:pPr>
        <w:ind w:left="2880" w:hanging="360"/>
      </w:pPr>
      <w:rPr>
        <w:rFonts w:ascii="Symbol" w:hAnsi="Symbol" w:hint="default"/>
      </w:rPr>
    </w:lvl>
    <w:lvl w:ilvl="4" w:tplc="0388E032">
      <w:start w:val="1"/>
      <w:numFmt w:val="bullet"/>
      <w:lvlText w:val="o"/>
      <w:lvlJc w:val="left"/>
      <w:pPr>
        <w:ind w:left="3600" w:hanging="360"/>
      </w:pPr>
      <w:rPr>
        <w:rFonts w:ascii="Courier New" w:hAnsi="Courier New" w:hint="default"/>
      </w:rPr>
    </w:lvl>
    <w:lvl w:ilvl="5" w:tplc="8410B7A0">
      <w:start w:val="1"/>
      <w:numFmt w:val="bullet"/>
      <w:lvlText w:val=""/>
      <w:lvlJc w:val="left"/>
      <w:pPr>
        <w:ind w:left="4320" w:hanging="360"/>
      </w:pPr>
      <w:rPr>
        <w:rFonts w:ascii="Wingdings" w:hAnsi="Wingdings" w:hint="default"/>
      </w:rPr>
    </w:lvl>
    <w:lvl w:ilvl="6" w:tplc="06A65D1C">
      <w:start w:val="1"/>
      <w:numFmt w:val="bullet"/>
      <w:lvlText w:val=""/>
      <w:lvlJc w:val="left"/>
      <w:pPr>
        <w:ind w:left="5040" w:hanging="360"/>
      </w:pPr>
      <w:rPr>
        <w:rFonts w:ascii="Symbol" w:hAnsi="Symbol" w:hint="default"/>
      </w:rPr>
    </w:lvl>
    <w:lvl w:ilvl="7" w:tplc="84809D22">
      <w:start w:val="1"/>
      <w:numFmt w:val="bullet"/>
      <w:lvlText w:val="o"/>
      <w:lvlJc w:val="left"/>
      <w:pPr>
        <w:ind w:left="5760" w:hanging="360"/>
      </w:pPr>
      <w:rPr>
        <w:rFonts w:ascii="Courier New" w:hAnsi="Courier New" w:hint="default"/>
      </w:rPr>
    </w:lvl>
    <w:lvl w:ilvl="8" w:tplc="CB204382">
      <w:start w:val="1"/>
      <w:numFmt w:val="bullet"/>
      <w:lvlText w:val=""/>
      <w:lvlJc w:val="left"/>
      <w:pPr>
        <w:ind w:left="6480" w:hanging="360"/>
      </w:pPr>
      <w:rPr>
        <w:rFonts w:ascii="Wingdings" w:hAnsi="Wingdings" w:hint="default"/>
      </w:rPr>
    </w:lvl>
  </w:abstractNum>
  <w:abstractNum w:abstractNumId="80" w15:restartNumberingAfterBreak="0">
    <w:nsid w:val="0C622675"/>
    <w:multiLevelType w:val="hybridMultilevel"/>
    <w:tmpl w:val="FFFFFFFF"/>
    <w:lvl w:ilvl="0" w:tplc="4A3AF234">
      <w:start w:val="1"/>
      <w:numFmt w:val="bullet"/>
      <w:lvlText w:val=""/>
      <w:lvlJc w:val="left"/>
      <w:pPr>
        <w:ind w:left="720" w:hanging="360"/>
      </w:pPr>
      <w:rPr>
        <w:rFonts w:ascii="Symbol" w:hAnsi="Symbol" w:hint="default"/>
      </w:rPr>
    </w:lvl>
    <w:lvl w:ilvl="1" w:tplc="6660098C">
      <w:start w:val="1"/>
      <w:numFmt w:val="bullet"/>
      <w:lvlText w:val="o"/>
      <w:lvlJc w:val="left"/>
      <w:pPr>
        <w:ind w:left="1440" w:hanging="360"/>
      </w:pPr>
      <w:rPr>
        <w:rFonts w:ascii="Courier New" w:hAnsi="Courier New" w:hint="default"/>
      </w:rPr>
    </w:lvl>
    <w:lvl w:ilvl="2" w:tplc="89448F32">
      <w:start w:val="1"/>
      <w:numFmt w:val="bullet"/>
      <w:lvlText w:val=""/>
      <w:lvlJc w:val="left"/>
      <w:pPr>
        <w:ind w:left="2160" w:hanging="360"/>
      </w:pPr>
      <w:rPr>
        <w:rFonts w:ascii="Wingdings" w:hAnsi="Wingdings" w:hint="default"/>
      </w:rPr>
    </w:lvl>
    <w:lvl w:ilvl="3" w:tplc="F92815AA">
      <w:start w:val="1"/>
      <w:numFmt w:val="bullet"/>
      <w:lvlText w:val=""/>
      <w:lvlJc w:val="left"/>
      <w:pPr>
        <w:ind w:left="2880" w:hanging="360"/>
      </w:pPr>
      <w:rPr>
        <w:rFonts w:ascii="Symbol" w:hAnsi="Symbol" w:hint="default"/>
      </w:rPr>
    </w:lvl>
    <w:lvl w:ilvl="4" w:tplc="849E1B70">
      <w:start w:val="1"/>
      <w:numFmt w:val="bullet"/>
      <w:lvlText w:val="o"/>
      <w:lvlJc w:val="left"/>
      <w:pPr>
        <w:ind w:left="3600" w:hanging="360"/>
      </w:pPr>
      <w:rPr>
        <w:rFonts w:ascii="Courier New" w:hAnsi="Courier New" w:hint="default"/>
      </w:rPr>
    </w:lvl>
    <w:lvl w:ilvl="5" w:tplc="E9D407D2">
      <w:start w:val="1"/>
      <w:numFmt w:val="bullet"/>
      <w:lvlText w:val=""/>
      <w:lvlJc w:val="left"/>
      <w:pPr>
        <w:ind w:left="4320" w:hanging="360"/>
      </w:pPr>
      <w:rPr>
        <w:rFonts w:ascii="Wingdings" w:hAnsi="Wingdings" w:hint="default"/>
      </w:rPr>
    </w:lvl>
    <w:lvl w:ilvl="6" w:tplc="5A98CC66">
      <w:start w:val="1"/>
      <w:numFmt w:val="bullet"/>
      <w:lvlText w:val=""/>
      <w:lvlJc w:val="left"/>
      <w:pPr>
        <w:ind w:left="5040" w:hanging="360"/>
      </w:pPr>
      <w:rPr>
        <w:rFonts w:ascii="Symbol" w:hAnsi="Symbol" w:hint="default"/>
      </w:rPr>
    </w:lvl>
    <w:lvl w:ilvl="7" w:tplc="E638B9CA">
      <w:start w:val="1"/>
      <w:numFmt w:val="bullet"/>
      <w:lvlText w:val="o"/>
      <w:lvlJc w:val="left"/>
      <w:pPr>
        <w:ind w:left="5760" w:hanging="360"/>
      </w:pPr>
      <w:rPr>
        <w:rFonts w:ascii="Courier New" w:hAnsi="Courier New" w:hint="default"/>
      </w:rPr>
    </w:lvl>
    <w:lvl w:ilvl="8" w:tplc="0EDC8CBE">
      <w:start w:val="1"/>
      <w:numFmt w:val="bullet"/>
      <w:lvlText w:val=""/>
      <w:lvlJc w:val="left"/>
      <w:pPr>
        <w:ind w:left="6480" w:hanging="360"/>
      </w:pPr>
      <w:rPr>
        <w:rFonts w:ascii="Wingdings" w:hAnsi="Wingdings" w:hint="default"/>
      </w:rPr>
    </w:lvl>
  </w:abstractNum>
  <w:abstractNum w:abstractNumId="81" w15:restartNumberingAfterBreak="0">
    <w:nsid w:val="0C64098B"/>
    <w:multiLevelType w:val="hybridMultilevel"/>
    <w:tmpl w:val="798EB1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0CADF933"/>
    <w:multiLevelType w:val="hybridMultilevel"/>
    <w:tmpl w:val="FFFFFFFF"/>
    <w:lvl w:ilvl="0" w:tplc="43D21D2C">
      <w:start w:val="1"/>
      <w:numFmt w:val="bullet"/>
      <w:lvlText w:val=""/>
      <w:lvlJc w:val="left"/>
      <w:pPr>
        <w:ind w:left="720" w:hanging="360"/>
      </w:pPr>
      <w:rPr>
        <w:rFonts w:ascii="Symbol" w:hAnsi="Symbol" w:hint="default"/>
      </w:rPr>
    </w:lvl>
    <w:lvl w:ilvl="1" w:tplc="8E605A44">
      <w:start w:val="1"/>
      <w:numFmt w:val="bullet"/>
      <w:lvlText w:val="o"/>
      <w:lvlJc w:val="left"/>
      <w:pPr>
        <w:ind w:left="1440" w:hanging="360"/>
      </w:pPr>
      <w:rPr>
        <w:rFonts w:ascii="Courier New" w:hAnsi="Courier New" w:hint="default"/>
      </w:rPr>
    </w:lvl>
    <w:lvl w:ilvl="2" w:tplc="671052A8">
      <w:start w:val="1"/>
      <w:numFmt w:val="bullet"/>
      <w:lvlText w:val=""/>
      <w:lvlJc w:val="left"/>
      <w:pPr>
        <w:ind w:left="2160" w:hanging="360"/>
      </w:pPr>
      <w:rPr>
        <w:rFonts w:ascii="Wingdings" w:hAnsi="Wingdings" w:hint="default"/>
      </w:rPr>
    </w:lvl>
    <w:lvl w:ilvl="3" w:tplc="5C3A8554">
      <w:start w:val="1"/>
      <w:numFmt w:val="bullet"/>
      <w:lvlText w:val=""/>
      <w:lvlJc w:val="left"/>
      <w:pPr>
        <w:ind w:left="2880" w:hanging="360"/>
      </w:pPr>
      <w:rPr>
        <w:rFonts w:ascii="Symbol" w:hAnsi="Symbol" w:hint="default"/>
      </w:rPr>
    </w:lvl>
    <w:lvl w:ilvl="4" w:tplc="6554A2CC">
      <w:start w:val="1"/>
      <w:numFmt w:val="bullet"/>
      <w:lvlText w:val="o"/>
      <w:lvlJc w:val="left"/>
      <w:pPr>
        <w:ind w:left="3600" w:hanging="360"/>
      </w:pPr>
      <w:rPr>
        <w:rFonts w:ascii="Courier New" w:hAnsi="Courier New" w:hint="default"/>
      </w:rPr>
    </w:lvl>
    <w:lvl w:ilvl="5" w:tplc="0AF6D1D4">
      <w:start w:val="1"/>
      <w:numFmt w:val="bullet"/>
      <w:lvlText w:val=""/>
      <w:lvlJc w:val="left"/>
      <w:pPr>
        <w:ind w:left="4320" w:hanging="360"/>
      </w:pPr>
      <w:rPr>
        <w:rFonts w:ascii="Wingdings" w:hAnsi="Wingdings" w:hint="default"/>
      </w:rPr>
    </w:lvl>
    <w:lvl w:ilvl="6" w:tplc="3AF2A014">
      <w:start w:val="1"/>
      <w:numFmt w:val="bullet"/>
      <w:lvlText w:val=""/>
      <w:lvlJc w:val="left"/>
      <w:pPr>
        <w:ind w:left="5040" w:hanging="360"/>
      </w:pPr>
      <w:rPr>
        <w:rFonts w:ascii="Symbol" w:hAnsi="Symbol" w:hint="default"/>
      </w:rPr>
    </w:lvl>
    <w:lvl w:ilvl="7" w:tplc="AE4AC69A">
      <w:start w:val="1"/>
      <w:numFmt w:val="bullet"/>
      <w:lvlText w:val="o"/>
      <w:lvlJc w:val="left"/>
      <w:pPr>
        <w:ind w:left="5760" w:hanging="360"/>
      </w:pPr>
      <w:rPr>
        <w:rFonts w:ascii="Courier New" w:hAnsi="Courier New" w:hint="default"/>
      </w:rPr>
    </w:lvl>
    <w:lvl w:ilvl="8" w:tplc="AFF49730">
      <w:start w:val="1"/>
      <w:numFmt w:val="bullet"/>
      <w:lvlText w:val=""/>
      <w:lvlJc w:val="left"/>
      <w:pPr>
        <w:ind w:left="6480" w:hanging="360"/>
      </w:pPr>
      <w:rPr>
        <w:rFonts w:ascii="Wingdings" w:hAnsi="Wingdings" w:hint="default"/>
      </w:rPr>
    </w:lvl>
  </w:abstractNum>
  <w:abstractNum w:abstractNumId="83" w15:restartNumberingAfterBreak="0">
    <w:nsid w:val="0CDA48BB"/>
    <w:multiLevelType w:val="hybridMultilevel"/>
    <w:tmpl w:val="D68650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4" w15:restartNumberingAfterBreak="0">
    <w:nsid w:val="0D453578"/>
    <w:multiLevelType w:val="hybridMultilevel"/>
    <w:tmpl w:val="E376D2FE"/>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5" w15:restartNumberingAfterBreak="0">
    <w:nsid w:val="0D965EC9"/>
    <w:multiLevelType w:val="hybridMultilevel"/>
    <w:tmpl w:val="193C5F88"/>
    <w:lvl w:ilvl="0" w:tplc="FFFFFFFF">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6" w15:restartNumberingAfterBreak="0">
    <w:nsid w:val="0DE41DAE"/>
    <w:multiLevelType w:val="hybridMultilevel"/>
    <w:tmpl w:val="C97C373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0E3B2876"/>
    <w:multiLevelType w:val="hybridMultilevel"/>
    <w:tmpl w:val="ED267130"/>
    <w:lvl w:ilvl="0" w:tplc="08090001">
      <w:start w:val="1"/>
      <w:numFmt w:val="bullet"/>
      <w:lvlText w:val=""/>
      <w:lvlJc w:val="left"/>
      <w:pPr>
        <w:ind w:left="1429" w:hanging="360"/>
      </w:pPr>
      <w:rPr>
        <w:rFonts w:ascii="Segoe UI" w:hAnsi="Segoe UI"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Cambria Math" w:hAnsi="Cambria Math" w:hint="default"/>
      </w:rPr>
    </w:lvl>
    <w:lvl w:ilvl="3" w:tplc="04090001" w:tentative="1">
      <w:start w:val="1"/>
      <w:numFmt w:val="bullet"/>
      <w:lvlText w:val=""/>
      <w:lvlJc w:val="left"/>
      <w:pPr>
        <w:ind w:left="3589" w:hanging="360"/>
      </w:pPr>
      <w:rPr>
        <w:rFonts w:ascii="Segoe UI" w:hAnsi="Segoe UI"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Cambria Math" w:hAnsi="Cambria Math" w:hint="default"/>
      </w:rPr>
    </w:lvl>
    <w:lvl w:ilvl="6" w:tplc="04090001" w:tentative="1">
      <w:start w:val="1"/>
      <w:numFmt w:val="bullet"/>
      <w:lvlText w:val=""/>
      <w:lvlJc w:val="left"/>
      <w:pPr>
        <w:ind w:left="5749" w:hanging="360"/>
      </w:pPr>
      <w:rPr>
        <w:rFonts w:ascii="Segoe UI" w:hAnsi="Segoe UI"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Cambria Math" w:hAnsi="Cambria Math" w:hint="default"/>
      </w:rPr>
    </w:lvl>
  </w:abstractNum>
  <w:abstractNum w:abstractNumId="88" w15:restartNumberingAfterBreak="0">
    <w:nsid w:val="0E67283E"/>
    <w:multiLevelType w:val="hybridMultilevel"/>
    <w:tmpl w:val="37AAE84C"/>
    <w:lvl w:ilvl="0" w:tplc="F2F660E2">
      <w:numFmt w:val="bullet"/>
      <w:lvlText w:val="•"/>
      <w:lvlJc w:val="left"/>
      <w:pPr>
        <w:ind w:left="360" w:hanging="360"/>
      </w:pPr>
      <w:rPr>
        <w:rFonts w:ascii="Symbol" w:eastAsiaTheme="minorHAnsi" w:hAnsi="Symbol" w:cs="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Cambria Math" w:hAnsi="Cambria Math" w:hint="default"/>
      </w:rPr>
    </w:lvl>
    <w:lvl w:ilvl="3" w:tplc="0C0A0001">
      <w:start w:val="1"/>
      <w:numFmt w:val="bullet"/>
      <w:lvlText w:val=""/>
      <w:lvlJc w:val="left"/>
      <w:pPr>
        <w:ind w:left="2520" w:hanging="360"/>
      </w:pPr>
      <w:rPr>
        <w:rFonts w:ascii="Segoe UI" w:hAnsi="Segoe UI"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Cambria Math" w:hAnsi="Cambria Math" w:hint="default"/>
      </w:rPr>
    </w:lvl>
    <w:lvl w:ilvl="6" w:tplc="0C0A0001">
      <w:start w:val="1"/>
      <w:numFmt w:val="bullet"/>
      <w:lvlText w:val=""/>
      <w:lvlJc w:val="left"/>
      <w:pPr>
        <w:ind w:left="4680" w:hanging="360"/>
      </w:pPr>
      <w:rPr>
        <w:rFonts w:ascii="Segoe UI" w:hAnsi="Segoe UI"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Cambria Math" w:hAnsi="Cambria Math" w:hint="default"/>
      </w:rPr>
    </w:lvl>
  </w:abstractNum>
  <w:abstractNum w:abstractNumId="89" w15:restartNumberingAfterBreak="0">
    <w:nsid w:val="0ED541BB"/>
    <w:multiLevelType w:val="multilevel"/>
    <w:tmpl w:val="E55E00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0EF5261A"/>
    <w:multiLevelType w:val="hybridMultilevel"/>
    <w:tmpl w:val="FFFFFFFF"/>
    <w:lvl w:ilvl="0" w:tplc="6AF22888">
      <w:start w:val="4"/>
      <w:numFmt w:val="decimal"/>
      <w:lvlText w:val="%1."/>
      <w:lvlJc w:val="left"/>
      <w:pPr>
        <w:ind w:left="720" w:hanging="360"/>
      </w:pPr>
    </w:lvl>
    <w:lvl w:ilvl="1" w:tplc="2E9CA70C">
      <w:start w:val="1"/>
      <w:numFmt w:val="lowerLetter"/>
      <w:lvlText w:val="%2."/>
      <w:lvlJc w:val="left"/>
      <w:pPr>
        <w:ind w:left="1440" w:hanging="360"/>
      </w:pPr>
    </w:lvl>
    <w:lvl w:ilvl="2" w:tplc="F8E04C10">
      <w:start w:val="1"/>
      <w:numFmt w:val="lowerRoman"/>
      <w:lvlText w:val="%3."/>
      <w:lvlJc w:val="right"/>
      <w:pPr>
        <w:ind w:left="2160" w:hanging="180"/>
      </w:pPr>
    </w:lvl>
    <w:lvl w:ilvl="3" w:tplc="68CE2BEE">
      <w:start w:val="1"/>
      <w:numFmt w:val="decimal"/>
      <w:lvlText w:val="%4."/>
      <w:lvlJc w:val="left"/>
      <w:pPr>
        <w:ind w:left="2880" w:hanging="360"/>
      </w:pPr>
    </w:lvl>
    <w:lvl w:ilvl="4" w:tplc="AA4EE106">
      <w:start w:val="1"/>
      <w:numFmt w:val="lowerLetter"/>
      <w:lvlText w:val="%5."/>
      <w:lvlJc w:val="left"/>
      <w:pPr>
        <w:ind w:left="3600" w:hanging="360"/>
      </w:pPr>
    </w:lvl>
    <w:lvl w:ilvl="5" w:tplc="3300EA02">
      <w:start w:val="1"/>
      <w:numFmt w:val="lowerRoman"/>
      <w:lvlText w:val="%6."/>
      <w:lvlJc w:val="right"/>
      <w:pPr>
        <w:ind w:left="4320" w:hanging="180"/>
      </w:pPr>
    </w:lvl>
    <w:lvl w:ilvl="6" w:tplc="0CD2333E">
      <w:start w:val="1"/>
      <w:numFmt w:val="decimal"/>
      <w:lvlText w:val="%7."/>
      <w:lvlJc w:val="left"/>
      <w:pPr>
        <w:ind w:left="5040" w:hanging="360"/>
      </w:pPr>
    </w:lvl>
    <w:lvl w:ilvl="7" w:tplc="4E1E6E8A">
      <w:start w:val="1"/>
      <w:numFmt w:val="lowerLetter"/>
      <w:lvlText w:val="%8."/>
      <w:lvlJc w:val="left"/>
      <w:pPr>
        <w:ind w:left="5760" w:hanging="360"/>
      </w:pPr>
    </w:lvl>
    <w:lvl w:ilvl="8" w:tplc="1AE64628">
      <w:start w:val="1"/>
      <w:numFmt w:val="lowerRoman"/>
      <w:lvlText w:val="%9."/>
      <w:lvlJc w:val="right"/>
      <w:pPr>
        <w:ind w:left="6480" w:hanging="180"/>
      </w:pPr>
    </w:lvl>
  </w:abstractNum>
  <w:abstractNum w:abstractNumId="91" w15:restartNumberingAfterBreak="0">
    <w:nsid w:val="0F073155"/>
    <w:multiLevelType w:val="multilevel"/>
    <w:tmpl w:val="8FF08B1E"/>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0F1A7815"/>
    <w:multiLevelType w:val="hybridMultilevel"/>
    <w:tmpl w:val="44280D2C"/>
    <w:lvl w:ilvl="0" w:tplc="ECE83ED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0F4A355E"/>
    <w:multiLevelType w:val="hybridMultilevel"/>
    <w:tmpl w:val="A9269AF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4" w15:restartNumberingAfterBreak="0">
    <w:nsid w:val="0F9EC93B"/>
    <w:multiLevelType w:val="hybridMultilevel"/>
    <w:tmpl w:val="BCF6CC0A"/>
    <w:lvl w:ilvl="0" w:tplc="495A55B8">
      <w:start w:val="3"/>
      <w:numFmt w:val="lowerLetter"/>
      <w:lvlText w:val="%1."/>
      <w:lvlJc w:val="left"/>
      <w:pPr>
        <w:ind w:left="720" w:hanging="360"/>
      </w:pPr>
    </w:lvl>
    <w:lvl w:ilvl="1" w:tplc="F4C4BEFC">
      <w:start w:val="1"/>
      <w:numFmt w:val="lowerLetter"/>
      <w:lvlText w:val="%2."/>
      <w:lvlJc w:val="left"/>
      <w:pPr>
        <w:ind w:left="1440" w:hanging="360"/>
      </w:pPr>
    </w:lvl>
    <w:lvl w:ilvl="2" w:tplc="5F6C3B0A">
      <w:start w:val="1"/>
      <w:numFmt w:val="lowerRoman"/>
      <w:lvlText w:val="%3."/>
      <w:lvlJc w:val="right"/>
      <w:pPr>
        <w:ind w:left="2160" w:hanging="180"/>
      </w:pPr>
    </w:lvl>
    <w:lvl w:ilvl="3" w:tplc="6040D4AC">
      <w:start w:val="1"/>
      <w:numFmt w:val="decimal"/>
      <w:lvlText w:val="%4."/>
      <w:lvlJc w:val="left"/>
      <w:pPr>
        <w:ind w:left="2880" w:hanging="360"/>
      </w:pPr>
    </w:lvl>
    <w:lvl w:ilvl="4" w:tplc="417C95AC">
      <w:start w:val="1"/>
      <w:numFmt w:val="lowerLetter"/>
      <w:lvlText w:val="%5."/>
      <w:lvlJc w:val="left"/>
      <w:pPr>
        <w:ind w:left="3600" w:hanging="360"/>
      </w:pPr>
    </w:lvl>
    <w:lvl w:ilvl="5" w:tplc="7D246146">
      <w:start w:val="1"/>
      <w:numFmt w:val="lowerRoman"/>
      <w:lvlText w:val="%6."/>
      <w:lvlJc w:val="right"/>
      <w:pPr>
        <w:ind w:left="4320" w:hanging="180"/>
      </w:pPr>
    </w:lvl>
    <w:lvl w:ilvl="6" w:tplc="4672E726">
      <w:start w:val="1"/>
      <w:numFmt w:val="decimal"/>
      <w:lvlText w:val="%7."/>
      <w:lvlJc w:val="left"/>
      <w:pPr>
        <w:ind w:left="5040" w:hanging="360"/>
      </w:pPr>
    </w:lvl>
    <w:lvl w:ilvl="7" w:tplc="5E345262">
      <w:start w:val="1"/>
      <w:numFmt w:val="lowerLetter"/>
      <w:lvlText w:val="%8."/>
      <w:lvlJc w:val="left"/>
      <w:pPr>
        <w:ind w:left="5760" w:hanging="360"/>
      </w:pPr>
    </w:lvl>
    <w:lvl w:ilvl="8" w:tplc="F404CBA0">
      <w:start w:val="1"/>
      <w:numFmt w:val="lowerRoman"/>
      <w:lvlText w:val="%9."/>
      <w:lvlJc w:val="right"/>
      <w:pPr>
        <w:ind w:left="6480" w:hanging="180"/>
      </w:pPr>
    </w:lvl>
  </w:abstractNum>
  <w:abstractNum w:abstractNumId="95" w15:restartNumberingAfterBreak="0">
    <w:nsid w:val="0FC4125E"/>
    <w:multiLevelType w:val="hybridMultilevel"/>
    <w:tmpl w:val="954E7970"/>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0FCD64C0"/>
    <w:multiLevelType w:val="hybridMultilevel"/>
    <w:tmpl w:val="115409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1018BE72"/>
    <w:multiLevelType w:val="hybridMultilevel"/>
    <w:tmpl w:val="346205C2"/>
    <w:lvl w:ilvl="0" w:tplc="1EB693CC">
      <w:start w:val="1"/>
      <w:numFmt w:val="bullet"/>
      <w:lvlText w:val="-"/>
      <w:lvlJc w:val="left"/>
      <w:pPr>
        <w:ind w:left="720" w:hanging="360"/>
      </w:pPr>
      <w:rPr>
        <w:rFonts w:ascii="Symbol" w:hAnsi="Symbol" w:hint="default"/>
      </w:rPr>
    </w:lvl>
    <w:lvl w:ilvl="1" w:tplc="A3B4DCB2">
      <w:start w:val="1"/>
      <w:numFmt w:val="bullet"/>
      <w:lvlText w:val="o"/>
      <w:lvlJc w:val="left"/>
      <w:pPr>
        <w:ind w:left="1440" w:hanging="360"/>
      </w:pPr>
      <w:rPr>
        <w:rFonts w:ascii="Courier New" w:hAnsi="Courier New" w:hint="default"/>
      </w:rPr>
    </w:lvl>
    <w:lvl w:ilvl="2" w:tplc="1C72C88A">
      <w:start w:val="1"/>
      <w:numFmt w:val="bullet"/>
      <w:lvlText w:val=""/>
      <w:lvlJc w:val="left"/>
      <w:pPr>
        <w:ind w:left="2160" w:hanging="360"/>
      </w:pPr>
      <w:rPr>
        <w:rFonts w:ascii="Wingdings" w:hAnsi="Wingdings" w:hint="default"/>
      </w:rPr>
    </w:lvl>
    <w:lvl w:ilvl="3" w:tplc="F35C92E4">
      <w:start w:val="1"/>
      <w:numFmt w:val="bullet"/>
      <w:lvlText w:val=""/>
      <w:lvlJc w:val="left"/>
      <w:pPr>
        <w:ind w:left="2880" w:hanging="360"/>
      </w:pPr>
      <w:rPr>
        <w:rFonts w:ascii="Symbol" w:hAnsi="Symbol" w:hint="default"/>
      </w:rPr>
    </w:lvl>
    <w:lvl w:ilvl="4" w:tplc="D4EC0148">
      <w:start w:val="1"/>
      <w:numFmt w:val="bullet"/>
      <w:lvlText w:val="o"/>
      <w:lvlJc w:val="left"/>
      <w:pPr>
        <w:ind w:left="3600" w:hanging="360"/>
      </w:pPr>
      <w:rPr>
        <w:rFonts w:ascii="Courier New" w:hAnsi="Courier New" w:hint="default"/>
      </w:rPr>
    </w:lvl>
    <w:lvl w:ilvl="5" w:tplc="A33E1036">
      <w:start w:val="1"/>
      <w:numFmt w:val="bullet"/>
      <w:lvlText w:val=""/>
      <w:lvlJc w:val="left"/>
      <w:pPr>
        <w:ind w:left="4320" w:hanging="360"/>
      </w:pPr>
      <w:rPr>
        <w:rFonts w:ascii="Wingdings" w:hAnsi="Wingdings" w:hint="default"/>
      </w:rPr>
    </w:lvl>
    <w:lvl w:ilvl="6" w:tplc="2988C5D8">
      <w:start w:val="1"/>
      <w:numFmt w:val="bullet"/>
      <w:lvlText w:val=""/>
      <w:lvlJc w:val="left"/>
      <w:pPr>
        <w:ind w:left="5040" w:hanging="360"/>
      </w:pPr>
      <w:rPr>
        <w:rFonts w:ascii="Symbol" w:hAnsi="Symbol" w:hint="default"/>
      </w:rPr>
    </w:lvl>
    <w:lvl w:ilvl="7" w:tplc="6952EB84">
      <w:start w:val="1"/>
      <w:numFmt w:val="bullet"/>
      <w:lvlText w:val="o"/>
      <w:lvlJc w:val="left"/>
      <w:pPr>
        <w:ind w:left="5760" w:hanging="360"/>
      </w:pPr>
      <w:rPr>
        <w:rFonts w:ascii="Courier New" w:hAnsi="Courier New" w:hint="default"/>
      </w:rPr>
    </w:lvl>
    <w:lvl w:ilvl="8" w:tplc="D5500054">
      <w:start w:val="1"/>
      <w:numFmt w:val="bullet"/>
      <w:lvlText w:val=""/>
      <w:lvlJc w:val="left"/>
      <w:pPr>
        <w:ind w:left="6480" w:hanging="360"/>
      </w:pPr>
      <w:rPr>
        <w:rFonts w:ascii="Wingdings" w:hAnsi="Wingdings" w:hint="default"/>
      </w:rPr>
    </w:lvl>
  </w:abstractNum>
  <w:abstractNum w:abstractNumId="98" w15:restartNumberingAfterBreak="0">
    <w:nsid w:val="105F45AC"/>
    <w:multiLevelType w:val="hybridMultilevel"/>
    <w:tmpl w:val="F8C08386"/>
    <w:lvl w:ilvl="0" w:tplc="312A5F28">
      <w:start w:val="1"/>
      <w:numFmt w:val="bullet"/>
      <w:lvlText w:val="-"/>
      <w:lvlJc w:val="left"/>
      <w:pPr>
        <w:ind w:left="720" w:hanging="360"/>
      </w:pPr>
      <w:rPr>
        <w:rFonts w:ascii="Cambria" w:eastAsiaTheme="minorHAnsi" w:hAnsi="Cambria" w:cs="Cambria" w:hint="default"/>
        <w:color w:val="7030A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Cambria Math" w:hAnsi="Cambria Math" w:hint="default"/>
      </w:rPr>
    </w:lvl>
    <w:lvl w:ilvl="3" w:tplc="FFFFFFFF" w:tentative="1">
      <w:start w:val="1"/>
      <w:numFmt w:val="bullet"/>
      <w:lvlText w:val=""/>
      <w:lvlJc w:val="left"/>
      <w:pPr>
        <w:ind w:left="2880" w:hanging="360"/>
      </w:pPr>
      <w:rPr>
        <w:rFonts w:ascii="Segoe UI" w:hAnsi="Segoe UI"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Cambria Math" w:hAnsi="Cambria Math" w:hint="default"/>
      </w:rPr>
    </w:lvl>
    <w:lvl w:ilvl="6" w:tplc="FFFFFFFF" w:tentative="1">
      <w:start w:val="1"/>
      <w:numFmt w:val="bullet"/>
      <w:lvlText w:val=""/>
      <w:lvlJc w:val="left"/>
      <w:pPr>
        <w:ind w:left="5040" w:hanging="360"/>
      </w:pPr>
      <w:rPr>
        <w:rFonts w:ascii="Segoe UI" w:hAnsi="Segoe UI"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Cambria Math" w:hAnsi="Cambria Math" w:hint="default"/>
      </w:rPr>
    </w:lvl>
  </w:abstractNum>
  <w:abstractNum w:abstractNumId="99" w15:restartNumberingAfterBreak="0">
    <w:nsid w:val="10D4510F"/>
    <w:multiLevelType w:val="hybridMultilevel"/>
    <w:tmpl w:val="620A8790"/>
    <w:lvl w:ilvl="0" w:tplc="FFFFFFFF">
      <w:start w:val="1"/>
      <w:numFmt w:val="decimal"/>
      <w:lvlText w:val="%1."/>
      <w:lvlJc w:val="left"/>
      <w:pPr>
        <w:ind w:left="720" w:hanging="360"/>
      </w:pPr>
    </w:lvl>
    <w:lvl w:ilvl="1" w:tplc="18090019">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10DD1C07"/>
    <w:multiLevelType w:val="hybridMultilevel"/>
    <w:tmpl w:val="C852AC98"/>
    <w:lvl w:ilvl="0" w:tplc="08090001">
      <w:start w:val="1"/>
      <w:numFmt w:val="bullet"/>
      <w:lvlText w:val=""/>
      <w:lvlJc w:val="left"/>
      <w:pPr>
        <w:ind w:left="1429" w:hanging="360"/>
      </w:pPr>
      <w:rPr>
        <w:rFonts w:ascii="Segoe UI" w:hAnsi="Segoe UI"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1" w15:restartNumberingAfterBreak="0">
    <w:nsid w:val="10E60BDD"/>
    <w:multiLevelType w:val="multilevel"/>
    <w:tmpl w:val="92369C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113130FF"/>
    <w:multiLevelType w:val="hybridMultilevel"/>
    <w:tmpl w:val="A9CEE1DE"/>
    <w:lvl w:ilvl="0" w:tplc="5E9868E8">
      <w:numFmt w:val="bullet"/>
      <w:lvlText w:val="•"/>
      <w:lvlJc w:val="left"/>
      <w:pPr>
        <w:ind w:left="1080" w:hanging="72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3" w15:restartNumberingAfterBreak="0">
    <w:nsid w:val="11634740"/>
    <w:multiLevelType w:val="hybridMultilevel"/>
    <w:tmpl w:val="6256D3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4" w15:restartNumberingAfterBreak="0">
    <w:nsid w:val="11743401"/>
    <w:multiLevelType w:val="hybridMultilevel"/>
    <w:tmpl w:val="CDDADF36"/>
    <w:lvl w:ilvl="0" w:tplc="04100017">
      <w:start w:val="1"/>
      <w:numFmt w:val="lowerLetter"/>
      <w:lvlText w:val="%1)"/>
      <w:lvlJc w:val="left"/>
      <w:pPr>
        <w:ind w:left="1444" w:hanging="735"/>
      </w:pPr>
      <w:rPr>
        <w:rFonts w:hint="default"/>
      </w:rPr>
    </w:lvl>
    <w:lvl w:ilvl="1" w:tplc="9820750A">
      <w:numFmt w:val="bullet"/>
      <w:lvlText w:val="•"/>
      <w:lvlJc w:val="left"/>
      <w:pPr>
        <w:ind w:left="1815" w:hanging="735"/>
      </w:pPr>
      <w:rPr>
        <w:rFonts w:ascii="Symbol" w:eastAsiaTheme="minorHAnsi" w:hAnsi="Symbol" w:cs="Symbol"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105" w15:restartNumberingAfterBreak="0">
    <w:nsid w:val="11B5132B"/>
    <w:multiLevelType w:val="hybridMultilevel"/>
    <w:tmpl w:val="40A2F008"/>
    <w:lvl w:ilvl="0" w:tplc="FF80976C">
      <w:start w:val="3"/>
      <w:numFmt w:val="lowerLetter"/>
      <w:lvlText w:val="%1."/>
      <w:lvlJc w:val="left"/>
      <w:pPr>
        <w:ind w:left="720" w:hanging="360"/>
      </w:pPr>
      <w:rPr>
        <w:rFonts w:hint="default"/>
        <w:color w:val="4F81BD" w:themeColor="accent1"/>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6" w15:restartNumberingAfterBreak="0">
    <w:nsid w:val="11D961B3"/>
    <w:multiLevelType w:val="multilevel"/>
    <w:tmpl w:val="BE5C4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121550B3"/>
    <w:multiLevelType w:val="hybridMultilevel"/>
    <w:tmpl w:val="71728E8E"/>
    <w:lvl w:ilvl="0" w:tplc="18090001">
      <w:start w:val="1"/>
      <w:numFmt w:val="bullet"/>
      <w:lvlText w:val=""/>
      <w:lvlJc w:val="left"/>
      <w:pPr>
        <w:ind w:left="720" w:hanging="360"/>
      </w:pPr>
      <w:rPr>
        <w:rFonts w:ascii="Courier New" w:hAnsi="Courier New" w:hint="default"/>
      </w:rPr>
    </w:lvl>
    <w:lvl w:ilvl="1" w:tplc="18090003" w:tentative="1">
      <w:start w:val="1"/>
      <w:numFmt w:val="bullet"/>
      <w:lvlText w:val="o"/>
      <w:lvlJc w:val="left"/>
      <w:pPr>
        <w:ind w:left="1440" w:hanging="360"/>
      </w:pPr>
      <w:rPr>
        <w:rFonts w:ascii="Cambria Math" w:hAnsi="Cambria Math" w:cs="Cambria Math"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Courier New" w:hAnsi="Courier New" w:hint="default"/>
      </w:rPr>
    </w:lvl>
    <w:lvl w:ilvl="4" w:tplc="18090003" w:tentative="1">
      <w:start w:val="1"/>
      <w:numFmt w:val="bullet"/>
      <w:lvlText w:val="o"/>
      <w:lvlJc w:val="left"/>
      <w:pPr>
        <w:ind w:left="3600" w:hanging="360"/>
      </w:pPr>
      <w:rPr>
        <w:rFonts w:ascii="Cambria Math" w:hAnsi="Cambria Math" w:cs="Cambria Math"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Courier New" w:hAnsi="Courier New" w:hint="default"/>
      </w:rPr>
    </w:lvl>
    <w:lvl w:ilvl="7" w:tplc="18090003" w:tentative="1">
      <w:start w:val="1"/>
      <w:numFmt w:val="bullet"/>
      <w:lvlText w:val="o"/>
      <w:lvlJc w:val="left"/>
      <w:pPr>
        <w:ind w:left="5760" w:hanging="360"/>
      </w:pPr>
      <w:rPr>
        <w:rFonts w:ascii="Cambria Math" w:hAnsi="Cambria Math" w:cs="Cambria Math" w:hint="default"/>
      </w:rPr>
    </w:lvl>
    <w:lvl w:ilvl="8" w:tplc="18090005" w:tentative="1">
      <w:start w:val="1"/>
      <w:numFmt w:val="bullet"/>
      <w:lvlText w:val=""/>
      <w:lvlJc w:val="left"/>
      <w:pPr>
        <w:ind w:left="6480" w:hanging="360"/>
      </w:pPr>
      <w:rPr>
        <w:rFonts w:ascii="Wingdings" w:hAnsi="Wingdings" w:hint="default"/>
      </w:rPr>
    </w:lvl>
  </w:abstractNum>
  <w:abstractNum w:abstractNumId="108" w15:restartNumberingAfterBreak="0">
    <w:nsid w:val="12190814"/>
    <w:multiLevelType w:val="hybridMultilevel"/>
    <w:tmpl w:val="5524BAEA"/>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123B1C5D"/>
    <w:multiLevelType w:val="multilevel"/>
    <w:tmpl w:val="C38661B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1245C6DA"/>
    <w:multiLevelType w:val="hybridMultilevel"/>
    <w:tmpl w:val="FFFFFFFF"/>
    <w:lvl w:ilvl="0" w:tplc="A54E0964">
      <w:start w:val="1"/>
      <w:numFmt w:val="bullet"/>
      <w:lvlText w:val=""/>
      <w:lvlJc w:val="left"/>
      <w:pPr>
        <w:ind w:left="720" w:hanging="360"/>
      </w:pPr>
      <w:rPr>
        <w:rFonts w:ascii="Segoe UI" w:hAnsi="Segoe UI" w:hint="default"/>
      </w:rPr>
    </w:lvl>
    <w:lvl w:ilvl="1" w:tplc="9AD0B79A">
      <w:start w:val="1"/>
      <w:numFmt w:val="bullet"/>
      <w:lvlText w:val="o"/>
      <w:lvlJc w:val="left"/>
      <w:pPr>
        <w:ind w:left="1440" w:hanging="360"/>
      </w:pPr>
      <w:rPr>
        <w:rFonts w:ascii="Courier New" w:hAnsi="Courier New" w:hint="default"/>
      </w:rPr>
    </w:lvl>
    <w:lvl w:ilvl="2" w:tplc="34D0659E">
      <w:start w:val="1"/>
      <w:numFmt w:val="bullet"/>
      <w:lvlText w:val=""/>
      <w:lvlJc w:val="left"/>
      <w:pPr>
        <w:ind w:left="2160" w:hanging="360"/>
      </w:pPr>
      <w:rPr>
        <w:rFonts w:ascii="Cambria Math" w:hAnsi="Cambria Math" w:hint="default"/>
      </w:rPr>
    </w:lvl>
    <w:lvl w:ilvl="3" w:tplc="C8AAADAA">
      <w:start w:val="1"/>
      <w:numFmt w:val="bullet"/>
      <w:lvlText w:val=""/>
      <w:lvlJc w:val="left"/>
      <w:pPr>
        <w:ind w:left="2880" w:hanging="360"/>
      </w:pPr>
      <w:rPr>
        <w:rFonts w:ascii="Segoe UI" w:hAnsi="Segoe UI" w:hint="default"/>
      </w:rPr>
    </w:lvl>
    <w:lvl w:ilvl="4" w:tplc="C90EB8D8">
      <w:start w:val="1"/>
      <w:numFmt w:val="bullet"/>
      <w:lvlText w:val="o"/>
      <w:lvlJc w:val="left"/>
      <w:pPr>
        <w:ind w:left="3600" w:hanging="360"/>
      </w:pPr>
      <w:rPr>
        <w:rFonts w:ascii="Courier New" w:hAnsi="Courier New" w:hint="default"/>
      </w:rPr>
    </w:lvl>
    <w:lvl w:ilvl="5" w:tplc="CA28F91E">
      <w:start w:val="1"/>
      <w:numFmt w:val="bullet"/>
      <w:lvlText w:val=""/>
      <w:lvlJc w:val="left"/>
      <w:pPr>
        <w:ind w:left="4320" w:hanging="360"/>
      </w:pPr>
      <w:rPr>
        <w:rFonts w:ascii="Cambria Math" w:hAnsi="Cambria Math" w:hint="default"/>
      </w:rPr>
    </w:lvl>
    <w:lvl w:ilvl="6" w:tplc="B5F6132C">
      <w:start w:val="1"/>
      <w:numFmt w:val="bullet"/>
      <w:lvlText w:val=""/>
      <w:lvlJc w:val="left"/>
      <w:pPr>
        <w:ind w:left="5040" w:hanging="360"/>
      </w:pPr>
      <w:rPr>
        <w:rFonts w:ascii="Segoe UI" w:hAnsi="Segoe UI" w:hint="default"/>
      </w:rPr>
    </w:lvl>
    <w:lvl w:ilvl="7" w:tplc="F7EA639E">
      <w:start w:val="1"/>
      <w:numFmt w:val="bullet"/>
      <w:lvlText w:val="o"/>
      <w:lvlJc w:val="left"/>
      <w:pPr>
        <w:ind w:left="5760" w:hanging="360"/>
      </w:pPr>
      <w:rPr>
        <w:rFonts w:ascii="Courier New" w:hAnsi="Courier New" w:hint="default"/>
      </w:rPr>
    </w:lvl>
    <w:lvl w:ilvl="8" w:tplc="1E0AD124">
      <w:start w:val="1"/>
      <w:numFmt w:val="bullet"/>
      <w:lvlText w:val=""/>
      <w:lvlJc w:val="left"/>
      <w:pPr>
        <w:ind w:left="6480" w:hanging="360"/>
      </w:pPr>
      <w:rPr>
        <w:rFonts w:ascii="Cambria Math" w:hAnsi="Cambria Math" w:hint="default"/>
      </w:rPr>
    </w:lvl>
  </w:abstractNum>
  <w:abstractNum w:abstractNumId="111" w15:restartNumberingAfterBreak="0">
    <w:nsid w:val="128948C5"/>
    <w:multiLevelType w:val="hybridMultilevel"/>
    <w:tmpl w:val="E5E082A8"/>
    <w:lvl w:ilvl="0" w:tplc="FFFFFFFF">
      <w:start w:val="1"/>
      <w:numFmt w:val="lowerLetter"/>
      <w:lvlText w:val="%1)"/>
      <w:lvlJc w:val="left"/>
      <w:pPr>
        <w:ind w:left="360" w:hanging="360"/>
      </w:pPr>
    </w:lvl>
    <w:lvl w:ilvl="1" w:tplc="FFFFFFFF">
      <w:start w:val="1"/>
      <w:numFmt w:val="lowerRoman"/>
      <w:lvlText w:val="%2."/>
      <w:lvlJc w:val="righ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2" w15:restartNumberingAfterBreak="0">
    <w:nsid w:val="12B29CC8"/>
    <w:multiLevelType w:val="hybridMultilevel"/>
    <w:tmpl w:val="FFFFFFFF"/>
    <w:lvl w:ilvl="0" w:tplc="16A2BBB4">
      <w:start w:val="1"/>
      <w:numFmt w:val="bullet"/>
      <w:lvlText w:val="-"/>
      <w:lvlJc w:val="left"/>
      <w:pPr>
        <w:ind w:left="720" w:hanging="360"/>
      </w:pPr>
      <w:rPr>
        <w:rFonts w:ascii="Times New Roman" w:hAnsi="Times New Roman" w:hint="default"/>
      </w:rPr>
    </w:lvl>
    <w:lvl w:ilvl="1" w:tplc="7D4C53B8">
      <w:start w:val="1"/>
      <w:numFmt w:val="bullet"/>
      <w:lvlText w:val="o"/>
      <w:lvlJc w:val="left"/>
      <w:pPr>
        <w:ind w:left="1440" w:hanging="360"/>
      </w:pPr>
      <w:rPr>
        <w:rFonts w:ascii="Courier New" w:hAnsi="Courier New" w:hint="default"/>
      </w:rPr>
    </w:lvl>
    <w:lvl w:ilvl="2" w:tplc="1D0215B4">
      <w:start w:val="1"/>
      <w:numFmt w:val="bullet"/>
      <w:lvlText w:val=""/>
      <w:lvlJc w:val="left"/>
      <w:pPr>
        <w:ind w:left="2160" w:hanging="360"/>
      </w:pPr>
      <w:rPr>
        <w:rFonts w:ascii="Wingdings" w:hAnsi="Wingdings" w:hint="default"/>
      </w:rPr>
    </w:lvl>
    <w:lvl w:ilvl="3" w:tplc="EB50036C">
      <w:start w:val="1"/>
      <w:numFmt w:val="bullet"/>
      <w:lvlText w:val=""/>
      <w:lvlJc w:val="left"/>
      <w:pPr>
        <w:ind w:left="2880" w:hanging="360"/>
      </w:pPr>
      <w:rPr>
        <w:rFonts w:ascii="Symbol" w:hAnsi="Symbol" w:hint="default"/>
      </w:rPr>
    </w:lvl>
    <w:lvl w:ilvl="4" w:tplc="C6FC388A">
      <w:start w:val="1"/>
      <w:numFmt w:val="bullet"/>
      <w:lvlText w:val="o"/>
      <w:lvlJc w:val="left"/>
      <w:pPr>
        <w:ind w:left="3600" w:hanging="360"/>
      </w:pPr>
      <w:rPr>
        <w:rFonts w:ascii="Courier New" w:hAnsi="Courier New" w:hint="default"/>
      </w:rPr>
    </w:lvl>
    <w:lvl w:ilvl="5" w:tplc="81E22EFE">
      <w:start w:val="1"/>
      <w:numFmt w:val="bullet"/>
      <w:lvlText w:val=""/>
      <w:lvlJc w:val="left"/>
      <w:pPr>
        <w:ind w:left="4320" w:hanging="360"/>
      </w:pPr>
      <w:rPr>
        <w:rFonts w:ascii="Wingdings" w:hAnsi="Wingdings" w:hint="default"/>
      </w:rPr>
    </w:lvl>
    <w:lvl w:ilvl="6" w:tplc="17323E42">
      <w:start w:val="1"/>
      <w:numFmt w:val="bullet"/>
      <w:lvlText w:val=""/>
      <w:lvlJc w:val="left"/>
      <w:pPr>
        <w:ind w:left="5040" w:hanging="360"/>
      </w:pPr>
      <w:rPr>
        <w:rFonts w:ascii="Symbol" w:hAnsi="Symbol" w:hint="default"/>
      </w:rPr>
    </w:lvl>
    <w:lvl w:ilvl="7" w:tplc="BA109A92">
      <w:start w:val="1"/>
      <w:numFmt w:val="bullet"/>
      <w:lvlText w:val="o"/>
      <w:lvlJc w:val="left"/>
      <w:pPr>
        <w:ind w:left="5760" w:hanging="360"/>
      </w:pPr>
      <w:rPr>
        <w:rFonts w:ascii="Courier New" w:hAnsi="Courier New" w:hint="default"/>
      </w:rPr>
    </w:lvl>
    <w:lvl w:ilvl="8" w:tplc="733E9AB8">
      <w:start w:val="1"/>
      <w:numFmt w:val="bullet"/>
      <w:lvlText w:val=""/>
      <w:lvlJc w:val="left"/>
      <w:pPr>
        <w:ind w:left="6480" w:hanging="360"/>
      </w:pPr>
      <w:rPr>
        <w:rFonts w:ascii="Wingdings" w:hAnsi="Wingdings" w:hint="default"/>
      </w:rPr>
    </w:lvl>
  </w:abstractNum>
  <w:abstractNum w:abstractNumId="113" w15:restartNumberingAfterBreak="0">
    <w:nsid w:val="12C11C1B"/>
    <w:multiLevelType w:val="multilevel"/>
    <w:tmpl w:val="EE2EF1D6"/>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4" w15:restartNumberingAfterBreak="0">
    <w:nsid w:val="12CD02A7"/>
    <w:multiLevelType w:val="multilevel"/>
    <w:tmpl w:val="E99490FC"/>
    <w:lvl w:ilvl="0">
      <w:start w:val="1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5" w15:restartNumberingAfterBreak="0">
    <w:nsid w:val="13124584"/>
    <w:multiLevelType w:val="hybridMultilevel"/>
    <w:tmpl w:val="FFFFFFFF"/>
    <w:lvl w:ilvl="0" w:tplc="692402EC">
      <w:start w:val="1"/>
      <w:numFmt w:val="bullet"/>
      <w:lvlText w:val=""/>
      <w:lvlJc w:val="left"/>
      <w:pPr>
        <w:ind w:left="720" w:hanging="360"/>
      </w:pPr>
      <w:rPr>
        <w:rFonts w:ascii="Symbol" w:hAnsi="Symbol" w:hint="default"/>
      </w:rPr>
    </w:lvl>
    <w:lvl w:ilvl="1" w:tplc="89CA6D74">
      <w:start w:val="1"/>
      <w:numFmt w:val="bullet"/>
      <w:lvlText w:val="o"/>
      <w:lvlJc w:val="left"/>
      <w:pPr>
        <w:ind w:left="1440" w:hanging="360"/>
      </w:pPr>
      <w:rPr>
        <w:rFonts w:ascii="Courier New" w:hAnsi="Courier New" w:hint="default"/>
      </w:rPr>
    </w:lvl>
    <w:lvl w:ilvl="2" w:tplc="52DA10C0">
      <w:start w:val="1"/>
      <w:numFmt w:val="bullet"/>
      <w:lvlText w:val=""/>
      <w:lvlJc w:val="left"/>
      <w:pPr>
        <w:ind w:left="2160" w:hanging="360"/>
      </w:pPr>
      <w:rPr>
        <w:rFonts w:ascii="Wingdings" w:hAnsi="Wingdings" w:hint="default"/>
      </w:rPr>
    </w:lvl>
    <w:lvl w:ilvl="3" w:tplc="0CF6A8D8">
      <w:start w:val="1"/>
      <w:numFmt w:val="bullet"/>
      <w:lvlText w:val=""/>
      <w:lvlJc w:val="left"/>
      <w:pPr>
        <w:ind w:left="2880" w:hanging="360"/>
      </w:pPr>
      <w:rPr>
        <w:rFonts w:ascii="Symbol" w:hAnsi="Symbol" w:hint="default"/>
      </w:rPr>
    </w:lvl>
    <w:lvl w:ilvl="4" w:tplc="0638FA6E">
      <w:start w:val="1"/>
      <w:numFmt w:val="bullet"/>
      <w:lvlText w:val="o"/>
      <w:lvlJc w:val="left"/>
      <w:pPr>
        <w:ind w:left="3600" w:hanging="360"/>
      </w:pPr>
      <w:rPr>
        <w:rFonts w:ascii="Courier New" w:hAnsi="Courier New" w:hint="default"/>
      </w:rPr>
    </w:lvl>
    <w:lvl w:ilvl="5" w:tplc="D8BA0D6C">
      <w:start w:val="1"/>
      <w:numFmt w:val="bullet"/>
      <w:lvlText w:val=""/>
      <w:lvlJc w:val="left"/>
      <w:pPr>
        <w:ind w:left="4320" w:hanging="360"/>
      </w:pPr>
      <w:rPr>
        <w:rFonts w:ascii="Wingdings" w:hAnsi="Wingdings" w:hint="default"/>
      </w:rPr>
    </w:lvl>
    <w:lvl w:ilvl="6" w:tplc="2F08C9A6">
      <w:start w:val="1"/>
      <w:numFmt w:val="bullet"/>
      <w:lvlText w:val=""/>
      <w:lvlJc w:val="left"/>
      <w:pPr>
        <w:ind w:left="5040" w:hanging="360"/>
      </w:pPr>
      <w:rPr>
        <w:rFonts w:ascii="Symbol" w:hAnsi="Symbol" w:hint="default"/>
      </w:rPr>
    </w:lvl>
    <w:lvl w:ilvl="7" w:tplc="74B83C84">
      <w:start w:val="1"/>
      <w:numFmt w:val="bullet"/>
      <w:lvlText w:val="o"/>
      <w:lvlJc w:val="left"/>
      <w:pPr>
        <w:ind w:left="5760" w:hanging="360"/>
      </w:pPr>
      <w:rPr>
        <w:rFonts w:ascii="Courier New" w:hAnsi="Courier New" w:hint="default"/>
      </w:rPr>
    </w:lvl>
    <w:lvl w:ilvl="8" w:tplc="032AA6FE">
      <w:start w:val="1"/>
      <w:numFmt w:val="bullet"/>
      <w:lvlText w:val=""/>
      <w:lvlJc w:val="left"/>
      <w:pPr>
        <w:ind w:left="6480" w:hanging="360"/>
      </w:pPr>
      <w:rPr>
        <w:rFonts w:ascii="Wingdings" w:hAnsi="Wingdings" w:hint="default"/>
      </w:rPr>
    </w:lvl>
  </w:abstractNum>
  <w:abstractNum w:abstractNumId="116" w15:restartNumberingAfterBreak="0">
    <w:nsid w:val="131CC598"/>
    <w:multiLevelType w:val="hybridMultilevel"/>
    <w:tmpl w:val="FFFFFFFF"/>
    <w:lvl w:ilvl="0" w:tplc="367EF668">
      <w:start w:val="6"/>
      <w:numFmt w:val="decimal"/>
      <w:lvlText w:val="%1."/>
      <w:lvlJc w:val="left"/>
      <w:pPr>
        <w:ind w:left="720" w:hanging="360"/>
      </w:pPr>
    </w:lvl>
    <w:lvl w:ilvl="1" w:tplc="B3429812">
      <w:start w:val="1"/>
      <w:numFmt w:val="lowerLetter"/>
      <w:lvlText w:val="%2."/>
      <w:lvlJc w:val="left"/>
      <w:pPr>
        <w:ind w:left="1440" w:hanging="360"/>
      </w:pPr>
    </w:lvl>
    <w:lvl w:ilvl="2" w:tplc="8CC274D2">
      <w:start w:val="1"/>
      <w:numFmt w:val="lowerRoman"/>
      <w:lvlText w:val="%3."/>
      <w:lvlJc w:val="right"/>
      <w:pPr>
        <w:ind w:left="2160" w:hanging="180"/>
      </w:pPr>
    </w:lvl>
    <w:lvl w:ilvl="3" w:tplc="162CFD30">
      <w:start w:val="1"/>
      <w:numFmt w:val="decimal"/>
      <w:lvlText w:val="%4."/>
      <w:lvlJc w:val="left"/>
      <w:pPr>
        <w:ind w:left="2880" w:hanging="360"/>
      </w:pPr>
    </w:lvl>
    <w:lvl w:ilvl="4" w:tplc="CEF4E0E6">
      <w:start w:val="1"/>
      <w:numFmt w:val="lowerLetter"/>
      <w:lvlText w:val="%5."/>
      <w:lvlJc w:val="left"/>
      <w:pPr>
        <w:ind w:left="3600" w:hanging="360"/>
      </w:pPr>
    </w:lvl>
    <w:lvl w:ilvl="5" w:tplc="7722E234">
      <w:start w:val="1"/>
      <w:numFmt w:val="lowerRoman"/>
      <w:lvlText w:val="%6."/>
      <w:lvlJc w:val="right"/>
      <w:pPr>
        <w:ind w:left="4320" w:hanging="180"/>
      </w:pPr>
    </w:lvl>
    <w:lvl w:ilvl="6" w:tplc="6DC8E9CA">
      <w:start w:val="1"/>
      <w:numFmt w:val="decimal"/>
      <w:lvlText w:val="%7."/>
      <w:lvlJc w:val="left"/>
      <w:pPr>
        <w:ind w:left="5040" w:hanging="360"/>
      </w:pPr>
    </w:lvl>
    <w:lvl w:ilvl="7" w:tplc="74E85A12">
      <w:start w:val="1"/>
      <w:numFmt w:val="lowerLetter"/>
      <w:lvlText w:val="%8."/>
      <w:lvlJc w:val="left"/>
      <w:pPr>
        <w:ind w:left="5760" w:hanging="360"/>
      </w:pPr>
    </w:lvl>
    <w:lvl w:ilvl="8" w:tplc="FD9E5536">
      <w:start w:val="1"/>
      <w:numFmt w:val="lowerRoman"/>
      <w:lvlText w:val="%9."/>
      <w:lvlJc w:val="right"/>
      <w:pPr>
        <w:ind w:left="6480" w:hanging="180"/>
      </w:pPr>
    </w:lvl>
  </w:abstractNum>
  <w:abstractNum w:abstractNumId="117" w15:restartNumberingAfterBreak="0">
    <w:nsid w:val="132A5AEA"/>
    <w:multiLevelType w:val="hybridMultilevel"/>
    <w:tmpl w:val="F6886172"/>
    <w:lvl w:ilvl="0" w:tplc="080C0019">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8" w15:restartNumberingAfterBreak="0">
    <w:nsid w:val="132D68F1"/>
    <w:multiLevelType w:val="hybridMultilevel"/>
    <w:tmpl w:val="72546D48"/>
    <w:lvl w:ilvl="0" w:tplc="0409000F">
      <w:start w:val="1"/>
      <w:numFmt w:val="decimal"/>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119" w15:restartNumberingAfterBreak="0">
    <w:nsid w:val="133059F6"/>
    <w:multiLevelType w:val="multilevel"/>
    <w:tmpl w:val="EF3C8E0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135F6B00"/>
    <w:multiLevelType w:val="hybridMultilevel"/>
    <w:tmpl w:val="FFFFFFFF"/>
    <w:lvl w:ilvl="0" w:tplc="C64E16A0">
      <w:start w:val="1"/>
      <w:numFmt w:val="bullet"/>
      <w:lvlText w:val="-"/>
      <w:lvlJc w:val="left"/>
      <w:pPr>
        <w:ind w:left="720" w:hanging="360"/>
      </w:pPr>
      <w:rPr>
        <w:rFonts w:ascii="Wingdings" w:hAnsi="Wingdings" w:hint="default"/>
      </w:rPr>
    </w:lvl>
    <w:lvl w:ilvl="1" w:tplc="43E2910C">
      <w:start w:val="1"/>
      <w:numFmt w:val="bullet"/>
      <w:lvlText w:val="o"/>
      <w:lvlJc w:val="left"/>
      <w:pPr>
        <w:ind w:left="1440" w:hanging="360"/>
      </w:pPr>
      <w:rPr>
        <w:rFonts w:ascii="Courier New" w:hAnsi="Courier New" w:hint="default"/>
      </w:rPr>
    </w:lvl>
    <w:lvl w:ilvl="2" w:tplc="F69C44A2">
      <w:start w:val="1"/>
      <w:numFmt w:val="bullet"/>
      <w:lvlText w:val=""/>
      <w:lvlJc w:val="left"/>
      <w:pPr>
        <w:ind w:left="2160" w:hanging="360"/>
      </w:pPr>
      <w:rPr>
        <w:rFonts w:ascii="Cambria Math" w:hAnsi="Cambria Math" w:hint="default"/>
      </w:rPr>
    </w:lvl>
    <w:lvl w:ilvl="3" w:tplc="5B4CF836">
      <w:start w:val="1"/>
      <w:numFmt w:val="bullet"/>
      <w:lvlText w:val=""/>
      <w:lvlJc w:val="left"/>
      <w:pPr>
        <w:ind w:left="2880" w:hanging="360"/>
      </w:pPr>
      <w:rPr>
        <w:rFonts w:ascii="Segoe UI" w:hAnsi="Segoe UI" w:hint="default"/>
      </w:rPr>
    </w:lvl>
    <w:lvl w:ilvl="4" w:tplc="F9C2180C">
      <w:start w:val="1"/>
      <w:numFmt w:val="bullet"/>
      <w:lvlText w:val="o"/>
      <w:lvlJc w:val="left"/>
      <w:pPr>
        <w:ind w:left="3600" w:hanging="360"/>
      </w:pPr>
      <w:rPr>
        <w:rFonts w:ascii="Courier New" w:hAnsi="Courier New" w:hint="default"/>
      </w:rPr>
    </w:lvl>
    <w:lvl w:ilvl="5" w:tplc="DC6CA3AC">
      <w:start w:val="1"/>
      <w:numFmt w:val="bullet"/>
      <w:lvlText w:val=""/>
      <w:lvlJc w:val="left"/>
      <w:pPr>
        <w:ind w:left="4320" w:hanging="360"/>
      </w:pPr>
      <w:rPr>
        <w:rFonts w:ascii="Cambria Math" w:hAnsi="Cambria Math" w:hint="default"/>
      </w:rPr>
    </w:lvl>
    <w:lvl w:ilvl="6" w:tplc="AF04AB2A">
      <w:start w:val="1"/>
      <w:numFmt w:val="bullet"/>
      <w:lvlText w:val=""/>
      <w:lvlJc w:val="left"/>
      <w:pPr>
        <w:ind w:left="5040" w:hanging="360"/>
      </w:pPr>
      <w:rPr>
        <w:rFonts w:ascii="Segoe UI" w:hAnsi="Segoe UI" w:hint="default"/>
      </w:rPr>
    </w:lvl>
    <w:lvl w:ilvl="7" w:tplc="11DA4A76">
      <w:start w:val="1"/>
      <w:numFmt w:val="bullet"/>
      <w:lvlText w:val="o"/>
      <w:lvlJc w:val="left"/>
      <w:pPr>
        <w:ind w:left="5760" w:hanging="360"/>
      </w:pPr>
      <w:rPr>
        <w:rFonts w:ascii="Courier New" w:hAnsi="Courier New" w:hint="default"/>
      </w:rPr>
    </w:lvl>
    <w:lvl w:ilvl="8" w:tplc="11CC3B60">
      <w:start w:val="1"/>
      <w:numFmt w:val="bullet"/>
      <w:lvlText w:val=""/>
      <w:lvlJc w:val="left"/>
      <w:pPr>
        <w:ind w:left="6480" w:hanging="360"/>
      </w:pPr>
      <w:rPr>
        <w:rFonts w:ascii="Cambria Math" w:hAnsi="Cambria Math" w:hint="default"/>
      </w:rPr>
    </w:lvl>
  </w:abstractNum>
  <w:abstractNum w:abstractNumId="121" w15:restartNumberingAfterBreak="0">
    <w:nsid w:val="13944325"/>
    <w:multiLevelType w:val="multilevel"/>
    <w:tmpl w:val="50960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13AD68B3"/>
    <w:multiLevelType w:val="hybridMultilevel"/>
    <w:tmpl w:val="FFFFFFFF"/>
    <w:lvl w:ilvl="0" w:tplc="2FD09CFA">
      <w:start w:val="1"/>
      <w:numFmt w:val="bullet"/>
      <w:lvlText w:val=""/>
      <w:lvlJc w:val="left"/>
      <w:pPr>
        <w:ind w:left="720" w:hanging="360"/>
      </w:pPr>
      <w:rPr>
        <w:rFonts w:ascii="Symbol" w:hAnsi="Symbol" w:hint="default"/>
      </w:rPr>
    </w:lvl>
    <w:lvl w:ilvl="1" w:tplc="BF7EDE30">
      <w:start w:val="1"/>
      <w:numFmt w:val="bullet"/>
      <w:lvlText w:val="-"/>
      <w:lvlJc w:val="left"/>
      <w:pPr>
        <w:ind w:left="1440" w:hanging="360"/>
      </w:pPr>
      <w:rPr>
        <w:rFonts w:ascii="Calibri" w:hAnsi="Calibri" w:hint="default"/>
      </w:rPr>
    </w:lvl>
    <w:lvl w:ilvl="2" w:tplc="5D0872FE">
      <w:start w:val="1"/>
      <w:numFmt w:val="bullet"/>
      <w:lvlText w:val=""/>
      <w:lvlJc w:val="left"/>
      <w:pPr>
        <w:ind w:left="2160" w:hanging="360"/>
      </w:pPr>
      <w:rPr>
        <w:rFonts w:ascii="Wingdings" w:hAnsi="Wingdings" w:hint="default"/>
      </w:rPr>
    </w:lvl>
    <w:lvl w:ilvl="3" w:tplc="0884FD24">
      <w:start w:val="1"/>
      <w:numFmt w:val="bullet"/>
      <w:lvlText w:val=""/>
      <w:lvlJc w:val="left"/>
      <w:pPr>
        <w:ind w:left="2880" w:hanging="360"/>
      </w:pPr>
      <w:rPr>
        <w:rFonts w:ascii="Symbol" w:hAnsi="Symbol" w:hint="default"/>
      </w:rPr>
    </w:lvl>
    <w:lvl w:ilvl="4" w:tplc="FA427D1A">
      <w:start w:val="1"/>
      <w:numFmt w:val="bullet"/>
      <w:lvlText w:val="o"/>
      <w:lvlJc w:val="left"/>
      <w:pPr>
        <w:ind w:left="3600" w:hanging="360"/>
      </w:pPr>
      <w:rPr>
        <w:rFonts w:ascii="Courier New" w:hAnsi="Courier New" w:hint="default"/>
      </w:rPr>
    </w:lvl>
    <w:lvl w:ilvl="5" w:tplc="AD60C208">
      <w:start w:val="1"/>
      <w:numFmt w:val="bullet"/>
      <w:lvlText w:val=""/>
      <w:lvlJc w:val="left"/>
      <w:pPr>
        <w:ind w:left="4320" w:hanging="360"/>
      </w:pPr>
      <w:rPr>
        <w:rFonts w:ascii="Wingdings" w:hAnsi="Wingdings" w:hint="default"/>
      </w:rPr>
    </w:lvl>
    <w:lvl w:ilvl="6" w:tplc="43B49CA2">
      <w:start w:val="1"/>
      <w:numFmt w:val="bullet"/>
      <w:lvlText w:val=""/>
      <w:lvlJc w:val="left"/>
      <w:pPr>
        <w:ind w:left="5040" w:hanging="360"/>
      </w:pPr>
      <w:rPr>
        <w:rFonts w:ascii="Symbol" w:hAnsi="Symbol" w:hint="default"/>
      </w:rPr>
    </w:lvl>
    <w:lvl w:ilvl="7" w:tplc="603E9BF2">
      <w:start w:val="1"/>
      <w:numFmt w:val="bullet"/>
      <w:lvlText w:val="o"/>
      <w:lvlJc w:val="left"/>
      <w:pPr>
        <w:ind w:left="5760" w:hanging="360"/>
      </w:pPr>
      <w:rPr>
        <w:rFonts w:ascii="Courier New" w:hAnsi="Courier New" w:hint="default"/>
      </w:rPr>
    </w:lvl>
    <w:lvl w:ilvl="8" w:tplc="352641AE">
      <w:start w:val="1"/>
      <w:numFmt w:val="bullet"/>
      <w:lvlText w:val=""/>
      <w:lvlJc w:val="left"/>
      <w:pPr>
        <w:ind w:left="6480" w:hanging="360"/>
      </w:pPr>
      <w:rPr>
        <w:rFonts w:ascii="Wingdings" w:hAnsi="Wingdings" w:hint="default"/>
      </w:rPr>
    </w:lvl>
  </w:abstractNum>
  <w:abstractNum w:abstractNumId="123" w15:restartNumberingAfterBreak="0">
    <w:nsid w:val="13DF7C00"/>
    <w:multiLevelType w:val="multilevel"/>
    <w:tmpl w:val="FFFFFFFF"/>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13DF7C88"/>
    <w:multiLevelType w:val="multilevel"/>
    <w:tmpl w:val="A036B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13E03BBE"/>
    <w:multiLevelType w:val="multilevel"/>
    <w:tmpl w:val="671AB17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13FB7914"/>
    <w:multiLevelType w:val="hybridMultilevel"/>
    <w:tmpl w:val="FFFFFFFF"/>
    <w:lvl w:ilvl="0" w:tplc="E6644CCE">
      <w:start w:val="1"/>
      <w:numFmt w:val="bullet"/>
      <w:lvlText w:val=""/>
      <w:lvlJc w:val="left"/>
      <w:pPr>
        <w:ind w:left="720" w:hanging="360"/>
      </w:pPr>
      <w:rPr>
        <w:rFonts w:ascii="Segoe UI" w:hAnsi="Segoe UI" w:hint="default"/>
      </w:rPr>
    </w:lvl>
    <w:lvl w:ilvl="1" w:tplc="08609144">
      <w:start w:val="1"/>
      <w:numFmt w:val="bullet"/>
      <w:lvlText w:val="o"/>
      <w:lvlJc w:val="left"/>
      <w:pPr>
        <w:ind w:left="1440" w:hanging="360"/>
      </w:pPr>
      <w:rPr>
        <w:rFonts w:ascii="Courier New" w:hAnsi="Courier New" w:hint="default"/>
      </w:rPr>
    </w:lvl>
    <w:lvl w:ilvl="2" w:tplc="46302E14">
      <w:start w:val="1"/>
      <w:numFmt w:val="bullet"/>
      <w:lvlText w:val=""/>
      <w:lvlJc w:val="left"/>
      <w:pPr>
        <w:ind w:left="2160" w:hanging="360"/>
      </w:pPr>
      <w:rPr>
        <w:rFonts w:ascii="Cambria Math" w:hAnsi="Cambria Math" w:hint="default"/>
      </w:rPr>
    </w:lvl>
    <w:lvl w:ilvl="3" w:tplc="45AEA71E">
      <w:start w:val="1"/>
      <w:numFmt w:val="bullet"/>
      <w:lvlText w:val=""/>
      <w:lvlJc w:val="left"/>
      <w:pPr>
        <w:ind w:left="2880" w:hanging="360"/>
      </w:pPr>
      <w:rPr>
        <w:rFonts w:ascii="Segoe UI" w:hAnsi="Segoe UI" w:hint="default"/>
      </w:rPr>
    </w:lvl>
    <w:lvl w:ilvl="4" w:tplc="DCFA0596">
      <w:start w:val="1"/>
      <w:numFmt w:val="bullet"/>
      <w:lvlText w:val="o"/>
      <w:lvlJc w:val="left"/>
      <w:pPr>
        <w:ind w:left="3600" w:hanging="360"/>
      </w:pPr>
      <w:rPr>
        <w:rFonts w:ascii="Courier New" w:hAnsi="Courier New" w:hint="default"/>
      </w:rPr>
    </w:lvl>
    <w:lvl w:ilvl="5" w:tplc="A1EAF564">
      <w:start w:val="1"/>
      <w:numFmt w:val="bullet"/>
      <w:lvlText w:val=""/>
      <w:lvlJc w:val="left"/>
      <w:pPr>
        <w:ind w:left="4320" w:hanging="360"/>
      </w:pPr>
      <w:rPr>
        <w:rFonts w:ascii="Cambria Math" w:hAnsi="Cambria Math" w:hint="default"/>
      </w:rPr>
    </w:lvl>
    <w:lvl w:ilvl="6" w:tplc="AB3830B2">
      <w:start w:val="1"/>
      <w:numFmt w:val="bullet"/>
      <w:lvlText w:val=""/>
      <w:lvlJc w:val="left"/>
      <w:pPr>
        <w:ind w:left="5040" w:hanging="360"/>
      </w:pPr>
      <w:rPr>
        <w:rFonts w:ascii="Segoe UI" w:hAnsi="Segoe UI" w:hint="default"/>
      </w:rPr>
    </w:lvl>
    <w:lvl w:ilvl="7" w:tplc="A89CF254">
      <w:start w:val="1"/>
      <w:numFmt w:val="bullet"/>
      <w:lvlText w:val="o"/>
      <w:lvlJc w:val="left"/>
      <w:pPr>
        <w:ind w:left="5760" w:hanging="360"/>
      </w:pPr>
      <w:rPr>
        <w:rFonts w:ascii="Courier New" w:hAnsi="Courier New" w:hint="default"/>
      </w:rPr>
    </w:lvl>
    <w:lvl w:ilvl="8" w:tplc="0CAA5174">
      <w:start w:val="1"/>
      <w:numFmt w:val="bullet"/>
      <w:lvlText w:val=""/>
      <w:lvlJc w:val="left"/>
      <w:pPr>
        <w:ind w:left="6480" w:hanging="360"/>
      </w:pPr>
      <w:rPr>
        <w:rFonts w:ascii="Cambria Math" w:hAnsi="Cambria Math" w:hint="default"/>
      </w:rPr>
    </w:lvl>
  </w:abstractNum>
  <w:abstractNum w:abstractNumId="127" w15:restartNumberingAfterBreak="0">
    <w:nsid w:val="143D2CF2"/>
    <w:multiLevelType w:val="hybridMultilevel"/>
    <w:tmpl w:val="E5E082A8"/>
    <w:lvl w:ilvl="0" w:tplc="08090017">
      <w:start w:val="1"/>
      <w:numFmt w:val="lowerLetter"/>
      <w:lvlText w:val="%1)"/>
      <w:lvlJc w:val="left"/>
      <w:pPr>
        <w:ind w:left="360" w:hanging="360"/>
      </w:pPr>
    </w:lvl>
    <w:lvl w:ilvl="1" w:tplc="0410001B">
      <w:start w:val="1"/>
      <w:numFmt w:val="lowerRoman"/>
      <w:lvlText w:val="%2."/>
      <w:lvlJc w:val="righ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8" w15:restartNumberingAfterBreak="0">
    <w:nsid w:val="145231BC"/>
    <w:multiLevelType w:val="multilevel"/>
    <w:tmpl w:val="89C27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145F24DE"/>
    <w:multiLevelType w:val="multilevel"/>
    <w:tmpl w:val="E002623E"/>
    <w:lvl w:ilvl="0">
      <w:start w:val="4"/>
      <w:numFmt w:val="lowerLetter"/>
      <w:lvlText w:val="%1."/>
      <w:lvlJc w:val="left"/>
      <w:pPr>
        <w:tabs>
          <w:tab w:val="num" w:pos="720"/>
        </w:tabs>
        <w:ind w:left="720" w:hanging="360"/>
      </w:pPr>
    </w:lvl>
    <w:lvl w:ilvl="1">
      <w:start w:val="2023"/>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0" w15:restartNumberingAfterBreak="0">
    <w:nsid w:val="147F7C40"/>
    <w:multiLevelType w:val="multilevel"/>
    <w:tmpl w:val="F1ACF5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14E55253"/>
    <w:multiLevelType w:val="hybridMultilevel"/>
    <w:tmpl w:val="161EF6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2" w15:restartNumberingAfterBreak="0">
    <w:nsid w:val="15225C80"/>
    <w:multiLevelType w:val="hybridMultilevel"/>
    <w:tmpl w:val="D996C9CC"/>
    <w:lvl w:ilvl="0" w:tplc="18090001">
      <w:start w:val="1"/>
      <w:numFmt w:val="bullet"/>
      <w:lvlText w:val=""/>
      <w:lvlJc w:val="left"/>
      <w:pPr>
        <w:ind w:left="720" w:hanging="360"/>
      </w:pPr>
      <w:rPr>
        <w:rFonts w:ascii="Segoe UI" w:hAnsi="Segoe U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Cambria Math" w:hAnsi="Cambria Math" w:hint="default"/>
      </w:rPr>
    </w:lvl>
    <w:lvl w:ilvl="3" w:tplc="18090001" w:tentative="1">
      <w:start w:val="1"/>
      <w:numFmt w:val="bullet"/>
      <w:lvlText w:val=""/>
      <w:lvlJc w:val="left"/>
      <w:pPr>
        <w:ind w:left="2880" w:hanging="360"/>
      </w:pPr>
      <w:rPr>
        <w:rFonts w:ascii="Segoe UI" w:hAnsi="Segoe UI"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Cambria Math" w:hAnsi="Cambria Math" w:hint="default"/>
      </w:rPr>
    </w:lvl>
    <w:lvl w:ilvl="6" w:tplc="18090001" w:tentative="1">
      <w:start w:val="1"/>
      <w:numFmt w:val="bullet"/>
      <w:lvlText w:val=""/>
      <w:lvlJc w:val="left"/>
      <w:pPr>
        <w:ind w:left="5040" w:hanging="360"/>
      </w:pPr>
      <w:rPr>
        <w:rFonts w:ascii="Segoe UI" w:hAnsi="Segoe UI"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Cambria Math" w:hAnsi="Cambria Math" w:hint="default"/>
      </w:rPr>
    </w:lvl>
  </w:abstractNum>
  <w:abstractNum w:abstractNumId="133" w15:restartNumberingAfterBreak="0">
    <w:nsid w:val="152BD716"/>
    <w:multiLevelType w:val="multilevel"/>
    <w:tmpl w:val="FFFFFFFF"/>
    <w:lvl w:ilvl="0">
      <w:start w:val="1"/>
      <w:numFmt w:val="decimal"/>
      <w:lvlText w:val="%1."/>
      <w:lvlJc w:val="left"/>
      <w:pPr>
        <w:ind w:left="720" w:hanging="360"/>
      </w:pPr>
    </w:lvl>
    <w:lvl w:ilvl="1">
      <w:start w:val="1"/>
      <w:numFmt w:val="lowerLetter"/>
      <w:lvlText w:val="%1."/>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15:restartNumberingAfterBreak="0">
    <w:nsid w:val="156B6A43"/>
    <w:multiLevelType w:val="hybridMultilevel"/>
    <w:tmpl w:val="C8202400"/>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5" w15:restartNumberingAfterBreak="0">
    <w:nsid w:val="15CA0880"/>
    <w:multiLevelType w:val="hybridMultilevel"/>
    <w:tmpl w:val="6B425758"/>
    <w:lvl w:ilvl="0" w:tplc="FFFFFFFF">
      <w:start w:val="1"/>
      <w:numFmt w:val="lowerLetter"/>
      <w:lvlText w:val="%1)"/>
      <w:lvlJc w:val="left"/>
      <w:pPr>
        <w:ind w:left="1069" w:hanging="360"/>
      </w:pPr>
    </w:lvl>
    <w:lvl w:ilvl="1" w:tplc="18090019" w:tentative="1">
      <w:start w:val="1"/>
      <w:numFmt w:val="lowerLetter"/>
      <w:lvlText w:val="%2."/>
      <w:lvlJc w:val="left"/>
      <w:pPr>
        <w:ind w:left="1789" w:hanging="360"/>
      </w:pPr>
    </w:lvl>
    <w:lvl w:ilvl="2" w:tplc="1809001B" w:tentative="1">
      <w:start w:val="1"/>
      <w:numFmt w:val="lowerRoman"/>
      <w:lvlText w:val="%3."/>
      <w:lvlJc w:val="right"/>
      <w:pPr>
        <w:ind w:left="2509" w:hanging="180"/>
      </w:pPr>
    </w:lvl>
    <w:lvl w:ilvl="3" w:tplc="1809000F" w:tentative="1">
      <w:start w:val="1"/>
      <w:numFmt w:val="decimal"/>
      <w:lvlText w:val="%4."/>
      <w:lvlJc w:val="left"/>
      <w:pPr>
        <w:ind w:left="3229" w:hanging="360"/>
      </w:pPr>
    </w:lvl>
    <w:lvl w:ilvl="4" w:tplc="18090019" w:tentative="1">
      <w:start w:val="1"/>
      <w:numFmt w:val="lowerLetter"/>
      <w:lvlText w:val="%5."/>
      <w:lvlJc w:val="left"/>
      <w:pPr>
        <w:ind w:left="3949" w:hanging="360"/>
      </w:pPr>
    </w:lvl>
    <w:lvl w:ilvl="5" w:tplc="1809001B" w:tentative="1">
      <w:start w:val="1"/>
      <w:numFmt w:val="lowerRoman"/>
      <w:lvlText w:val="%6."/>
      <w:lvlJc w:val="right"/>
      <w:pPr>
        <w:ind w:left="4669" w:hanging="180"/>
      </w:pPr>
    </w:lvl>
    <w:lvl w:ilvl="6" w:tplc="1809000F" w:tentative="1">
      <w:start w:val="1"/>
      <w:numFmt w:val="decimal"/>
      <w:lvlText w:val="%7."/>
      <w:lvlJc w:val="left"/>
      <w:pPr>
        <w:ind w:left="5389" w:hanging="360"/>
      </w:pPr>
    </w:lvl>
    <w:lvl w:ilvl="7" w:tplc="18090019" w:tentative="1">
      <w:start w:val="1"/>
      <w:numFmt w:val="lowerLetter"/>
      <w:lvlText w:val="%8."/>
      <w:lvlJc w:val="left"/>
      <w:pPr>
        <w:ind w:left="6109" w:hanging="360"/>
      </w:pPr>
    </w:lvl>
    <w:lvl w:ilvl="8" w:tplc="1809001B" w:tentative="1">
      <w:start w:val="1"/>
      <w:numFmt w:val="lowerRoman"/>
      <w:lvlText w:val="%9."/>
      <w:lvlJc w:val="right"/>
      <w:pPr>
        <w:ind w:left="6829" w:hanging="180"/>
      </w:pPr>
    </w:lvl>
  </w:abstractNum>
  <w:abstractNum w:abstractNumId="136" w15:restartNumberingAfterBreak="0">
    <w:nsid w:val="15DCBDAA"/>
    <w:multiLevelType w:val="hybridMultilevel"/>
    <w:tmpl w:val="FFFFFFFF"/>
    <w:lvl w:ilvl="0" w:tplc="35EAA3CC">
      <w:start w:val="1"/>
      <w:numFmt w:val="bullet"/>
      <w:lvlText w:val=""/>
      <w:lvlJc w:val="left"/>
      <w:pPr>
        <w:ind w:left="720" w:hanging="360"/>
      </w:pPr>
      <w:rPr>
        <w:rFonts w:ascii="Segoe UI" w:hAnsi="Segoe UI" w:hint="default"/>
      </w:rPr>
    </w:lvl>
    <w:lvl w:ilvl="1" w:tplc="43E27F94">
      <w:start w:val="1"/>
      <w:numFmt w:val="bullet"/>
      <w:lvlText w:val="o"/>
      <w:lvlJc w:val="left"/>
      <w:pPr>
        <w:ind w:left="1440" w:hanging="360"/>
      </w:pPr>
      <w:rPr>
        <w:rFonts w:ascii="Courier New" w:hAnsi="Courier New" w:hint="default"/>
      </w:rPr>
    </w:lvl>
    <w:lvl w:ilvl="2" w:tplc="CC56AAA8">
      <w:start w:val="1"/>
      <w:numFmt w:val="bullet"/>
      <w:lvlText w:val=""/>
      <w:lvlJc w:val="left"/>
      <w:pPr>
        <w:ind w:left="2160" w:hanging="360"/>
      </w:pPr>
      <w:rPr>
        <w:rFonts w:ascii="Cambria Math" w:hAnsi="Cambria Math" w:hint="default"/>
      </w:rPr>
    </w:lvl>
    <w:lvl w:ilvl="3" w:tplc="9254356A">
      <w:start w:val="1"/>
      <w:numFmt w:val="bullet"/>
      <w:lvlText w:val=""/>
      <w:lvlJc w:val="left"/>
      <w:pPr>
        <w:ind w:left="2880" w:hanging="360"/>
      </w:pPr>
      <w:rPr>
        <w:rFonts w:ascii="Segoe UI" w:hAnsi="Segoe UI" w:hint="default"/>
      </w:rPr>
    </w:lvl>
    <w:lvl w:ilvl="4" w:tplc="A5D8D5CA">
      <w:start w:val="1"/>
      <w:numFmt w:val="bullet"/>
      <w:lvlText w:val="o"/>
      <w:lvlJc w:val="left"/>
      <w:pPr>
        <w:ind w:left="3600" w:hanging="360"/>
      </w:pPr>
      <w:rPr>
        <w:rFonts w:ascii="Courier New" w:hAnsi="Courier New" w:hint="default"/>
      </w:rPr>
    </w:lvl>
    <w:lvl w:ilvl="5" w:tplc="2CBA3158">
      <w:start w:val="1"/>
      <w:numFmt w:val="bullet"/>
      <w:lvlText w:val=""/>
      <w:lvlJc w:val="left"/>
      <w:pPr>
        <w:ind w:left="4320" w:hanging="360"/>
      </w:pPr>
      <w:rPr>
        <w:rFonts w:ascii="Cambria Math" w:hAnsi="Cambria Math" w:hint="default"/>
      </w:rPr>
    </w:lvl>
    <w:lvl w:ilvl="6" w:tplc="55CE145A">
      <w:start w:val="1"/>
      <w:numFmt w:val="bullet"/>
      <w:lvlText w:val=""/>
      <w:lvlJc w:val="left"/>
      <w:pPr>
        <w:ind w:left="5040" w:hanging="360"/>
      </w:pPr>
      <w:rPr>
        <w:rFonts w:ascii="Segoe UI" w:hAnsi="Segoe UI" w:hint="default"/>
      </w:rPr>
    </w:lvl>
    <w:lvl w:ilvl="7" w:tplc="1F56A178">
      <w:start w:val="1"/>
      <w:numFmt w:val="bullet"/>
      <w:lvlText w:val="o"/>
      <w:lvlJc w:val="left"/>
      <w:pPr>
        <w:ind w:left="5760" w:hanging="360"/>
      </w:pPr>
      <w:rPr>
        <w:rFonts w:ascii="Courier New" w:hAnsi="Courier New" w:hint="default"/>
      </w:rPr>
    </w:lvl>
    <w:lvl w:ilvl="8" w:tplc="FAE00FD0">
      <w:start w:val="1"/>
      <w:numFmt w:val="bullet"/>
      <w:lvlText w:val=""/>
      <w:lvlJc w:val="left"/>
      <w:pPr>
        <w:ind w:left="6480" w:hanging="360"/>
      </w:pPr>
      <w:rPr>
        <w:rFonts w:ascii="Cambria Math" w:hAnsi="Cambria Math" w:hint="default"/>
      </w:rPr>
    </w:lvl>
  </w:abstractNum>
  <w:abstractNum w:abstractNumId="137" w15:restartNumberingAfterBreak="0">
    <w:nsid w:val="16311B8D"/>
    <w:multiLevelType w:val="multilevel"/>
    <w:tmpl w:val="5088DD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168A62A0"/>
    <w:multiLevelType w:val="hybridMultilevel"/>
    <w:tmpl w:val="F6B41F1E"/>
    <w:lvl w:ilvl="0" w:tplc="2A789E00">
      <w:start w:val="1"/>
      <w:numFmt w:val="lowerRoman"/>
      <w:lvlText w:val="%1."/>
      <w:lvlJc w:val="right"/>
      <w:pPr>
        <w:ind w:left="1080" w:hanging="720"/>
      </w:pPr>
      <w:rPr>
        <w:rFonts w:hint="default"/>
      </w:rPr>
    </w:lvl>
    <w:lvl w:ilvl="1" w:tplc="B7303C30">
      <w:start w:val="2"/>
      <w:numFmt w:val="bullet"/>
      <w:lvlText w:val="-"/>
      <w:lvlJc w:val="left"/>
      <w:pPr>
        <w:ind w:left="1440" w:hanging="360"/>
      </w:pPr>
      <w:rPr>
        <w:rFonts w:ascii="Calibri" w:eastAsiaTheme="minorHAnsi" w:hAnsi="Calibri" w:cs="Calibri"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1697510B"/>
    <w:multiLevelType w:val="hybridMultilevel"/>
    <w:tmpl w:val="FD88D5BA"/>
    <w:lvl w:ilvl="0" w:tplc="08090017">
      <w:start w:val="1"/>
      <w:numFmt w:val="lowerLetter"/>
      <w:lvlText w:val="%1)"/>
      <w:lvlJc w:val="left"/>
      <w:pPr>
        <w:ind w:left="1146" w:hanging="360"/>
      </w:pPr>
      <w:rPr>
        <w:rFont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Cambria Math" w:hAnsi="Cambria Math" w:hint="default"/>
      </w:rPr>
    </w:lvl>
    <w:lvl w:ilvl="3" w:tplc="04090001" w:tentative="1">
      <w:start w:val="1"/>
      <w:numFmt w:val="bullet"/>
      <w:lvlText w:val=""/>
      <w:lvlJc w:val="left"/>
      <w:pPr>
        <w:ind w:left="3306" w:hanging="360"/>
      </w:pPr>
      <w:rPr>
        <w:rFonts w:ascii="Segoe UI" w:hAnsi="Segoe UI"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Cambria Math" w:hAnsi="Cambria Math" w:hint="default"/>
      </w:rPr>
    </w:lvl>
    <w:lvl w:ilvl="6" w:tplc="04090001" w:tentative="1">
      <w:start w:val="1"/>
      <w:numFmt w:val="bullet"/>
      <w:lvlText w:val=""/>
      <w:lvlJc w:val="left"/>
      <w:pPr>
        <w:ind w:left="5466" w:hanging="360"/>
      </w:pPr>
      <w:rPr>
        <w:rFonts w:ascii="Segoe UI" w:hAnsi="Segoe UI"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Cambria Math" w:hAnsi="Cambria Math" w:hint="default"/>
      </w:rPr>
    </w:lvl>
  </w:abstractNum>
  <w:abstractNum w:abstractNumId="140" w15:restartNumberingAfterBreak="0">
    <w:nsid w:val="16B83602"/>
    <w:multiLevelType w:val="hybridMultilevel"/>
    <w:tmpl w:val="FFFFFFFF"/>
    <w:lvl w:ilvl="0" w:tplc="D81AD85A">
      <w:start w:val="12"/>
      <w:numFmt w:val="decimal"/>
      <w:lvlText w:val="%1."/>
      <w:lvlJc w:val="left"/>
      <w:pPr>
        <w:ind w:left="720" w:hanging="360"/>
      </w:pPr>
    </w:lvl>
    <w:lvl w:ilvl="1" w:tplc="AE600D4E">
      <w:start w:val="1"/>
      <w:numFmt w:val="lowerLetter"/>
      <w:lvlText w:val="%2."/>
      <w:lvlJc w:val="left"/>
      <w:pPr>
        <w:ind w:left="1440" w:hanging="360"/>
      </w:pPr>
    </w:lvl>
    <w:lvl w:ilvl="2" w:tplc="C5A0487C">
      <w:start w:val="1"/>
      <w:numFmt w:val="lowerRoman"/>
      <w:lvlText w:val="%3."/>
      <w:lvlJc w:val="right"/>
      <w:pPr>
        <w:ind w:left="2160" w:hanging="180"/>
      </w:pPr>
    </w:lvl>
    <w:lvl w:ilvl="3" w:tplc="1BD04700">
      <w:start w:val="1"/>
      <w:numFmt w:val="decimal"/>
      <w:lvlText w:val="%4."/>
      <w:lvlJc w:val="left"/>
      <w:pPr>
        <w:ind w:left="2880" w:hanging="360"/>
      </w:pPr>
    </w:lvl>
    <w:lvl w:ilvl="4" w:tplc="354026D6">
      <w:start w:val="1"/>
      <w:numFmt w:val="lowerLetter"/>
      <w:lvlText w:val="%5."/>
      <w:lvlJc w:val="left"/>
      <w:pPr>
        <w:ind w:left="3600" w:hanging="360"/>
      </w:pPr>
    </w:lvl>
    <w:lvl w:ilvl="5" w:tplc="22C2B9D2">
      <w:start w:val="1"/>
      <w:numFmt w:val="lowerRoman"/>
      <w:lvlText w:val="%6."/>
      <w:lvlJc w:val="right"/>
      <w:pPr>
        <w:ind w:left="4320" w:hanging="180"/>
      </w:pPr>
    </w:lvl>
    <w:lvl w:ilvl="6" w:tplc="280802DC">
      <w:start w:val="1"/>
      <w:numFmt w:val="decimal"/>
      <w:lvlText w:val="%7."/>
      <w:lvlJc w:val="left"/>
      <w:pPr>
        <w:ind w:left="5040" w:hanging="360"/>
      </w:pPr>
    </w:lvl>
    <w:lvl w:ilvl="7" w:tplc="FA8A068E">
      <w:start w:val="1"/>
      <w:numFmt w:val="lowerLetter"/>
      <w:lvlText w:val="%8."/>
      <w:lvlJc w:val="left"/>
      <w:pPr>
        <w:ind w:left="5760" w:hanging="360"/>
      </w:pPr>
    </w:lvl>
    <w:lvl w:ilvl="8" w:tplc="D7928F34">
      <w:start w:val="1"/>
      <w:numFmt w:val="lowerRoman"/>
      <w:lvlText w:val="%9."/>
      <w:lvlJc w:val="right"/>
      <w:pPr>
        <w:ind w:left="6480" w:hanging="180"/>
      </w:pPr>
    </w:lvl>
  </w:abstractNum>
  <w:abstractNum w:abstractNumId="141" w15:restartNumberingAfterBreak="0">
    <w:nsid w:val="16BD8D73"/>
    <w:multiLevelType w:val="hybridMultilevel"/>
    <w:tmpl w:val="FFFFFFFF"/>
    <w:lvl w:ilvl="0" w:tplc="FB58280E">
      <w:start w:val="1"/>
      <w:numFmt w:val="bullet"/>
      <w:lvlText w:val="·"/>
      <w:lvlJc w:val="left"/>
      <w:pPr>
        <w:ind w:left="720" w:hanging="360"/>
      </w:pPr>
      <w:rPr>
        <w:rFonts w:ascii="Symbol" w:hAnsi="Symbol" w:hint="default"/>
      </w:rPr>
    </w:lvl>
    <w:lvl w:ilvl="1" w:tplc="0096EE6A">
      <w:start w:val="1"/>
      <w:numFmt w:val="bullet"/>
      <w:lvlText w:val="o"/>
      <w:lvlJc w:val="left"/>
      <w:pPr>
        <w:ind w:left="1440" w:hanging="360"/>
      </w:pPr>
      <w:rPr>
        <w:rFonts w:ascii="Courier New" w:hAnsi="Courier New" w:hint="default"/>
      </w:rPr>
    </w:lvl>
    <w:lvl w:ilvl="2" w:tplc="0EF2E08E">
      <w:start w:val="1"/>
      <w:numFmt w:val="bullet"/>
      <w:lvlText w:val=""/>
      <w:lvlJc w:val="left"/>
      <w:pPr>
        <w:ind w:left="2160" w:hanging="360"/>
      </w:pPr>
      <w:rPr>
        <w:rFonts w:ascii="Wingdings" w:hAnsi="Wingdings" w:hint="default"/>
      </w:rPr>
    </w:lvl>
    <w:lvl w:ilvl="3" w:tplc="386626AC">
      <w:start w:val="1"/>
      <w:numFmt w:val="bullet"/>
      <w:lvlText w:val=""/>
      <w:lvlJc w:val="left"/>
      <w:pPr>
        <w:ind w:left="2880" w:hanging="360"/>
      </w:pPr>
      <w:rPr>
        <w:rFonts w:ascii="Symbol" w:hAnsi="Symbol" w:hint="default"/>
      </w:rPr>
    </w:lvl>
    <w:lvl w:ilvl="4" w:tplc="FDC8A05E">
      <w:start w:val="1"/>
      <w:numFmt w:val="bullet"/>
      <w:lvlText w:val="o"/>
      <w:lvlJc w:val="left"/>
      <w:pPr>
        <w:ind w:left="3600" w:hanging="360"/>
      </w:pPr>
      <w:rPr>
        <w:rFonts w:ascii="Courier New" w:hAnsi="Courier New" w:hint="default"/>
      </w:rPr>
    </w:lvl>
    <w:lvl w:ilvl="5" w:tplc="C9A41C04">
      <w:start w:val="1"/>
      <w:numFmt w:val="bullet"/>
      <w:lvlText w:val=""/>
      <w:lvlJc w:val="left"/>
      <w:pPr>
        <w:ind w:left="4320" w:hanging="360"/>
      </w:pPr>
      <w:rPr>
        <w:rFonts w:ascii="Wingdings" w:hAnsi="Wingdings" w:hint="default"/>
      </w:rPr>
    </w:lvl>
    <w:lvl w:ilvl="6" w:tplc="4E08E5BC">
      <w:start w:val="1"/>
      <w:numFmt w:val="bullet"/>
      <w:lvlText w:val=""/>
      <w:lvlJc w:val="left"/>
      <w:pPr>
        <w:ind w:left="5040" w:hanging="360"/>
      </w:pPr>
      <w:rPr>
        <w:rFonts w:ascii="Symbol" w:hAnsi="Symbol" w:hint="default"/>
      </w:rPr>
    </w:lvl>
    <w:lvl w:ilvl="7" w:tplc="D9228FA4">
      <w:start w:val="1"/>
      <w:numFmt w:val="bullet"/>
      <w:lvlText w:val="o"/>
      <w:lvlJc w:val="left"/>
      <w:pPr>
        <w:ind w:left="5760" w:hanging="360"/>
      </w:pPr>
      <w:rPr>
        <w:rFonts w:ascii="Courier New" w:hAnsi="Courier New" w:hint="default"/>
      </w:rPr>
    </w:lvl>
    <w:lvl w:ilvl="8" w:tplc="185E3B4A">
      <w:start w:val="1"/>
      <w:numFmt w:val="bullet"/>
      <w:lvlText w:val=""/>
      <w:lvlJc w:val="left"/>
      <w:pPr>
        <w:ind w:left="6480" w:hanging="360"/>
      </w:pPr>
      <w:rPr>
        <w:rFonts w:ascii="Wingdings" w:hAnsi="Wingdings" w:hint="default"/>
      </w:rPr>
    </w:lvl>
  </w:abstractNum>
  <w:abstractNum w:abstractNumId="142" w15:restartNumberingAfterBreak="0">
    <w:nsid w:val="16E2119D"/>
    <w:multiLevelType w:val="hybridMultilevel"/>
    <w:tmpl w:val="FFFFFFFF"/>
    <w:lvl w:ilvl="0" w:tplc="613CA06A">
      <w:start w:val="1"/>
      <w:numFmt w:val="bullet"/>
      <w:lvlText w:val="o"/>
      <w:lvlJc w:val="left"/>
      <w:pPr>
        <w:ind w:left="720" w:hanging="360"/>
      </w:pPr>
      <w:rPr>
        <w:rFonts w:ascii="&quot;Courier New&quot;" w:hAnsi="&quot;Courier New&quot;" w:hint="default"/>
      </w:rPr>
    </w:lvl>
    <w:lvl w:ilvl="1" w:tplc="AE76813E">
      <w:start w:val="1"/>
      <w:numFmt w:val="bullet"/>
      <w:lvlText w:val="o"/>
      <w:lvlJc w:val="left"/>
      <w:pPr>
        <w:ind w:left="1440" w:hanging="360"/>
      </w:pPr>
      <w:rPr>
        <w:rFonts w:ascii="Courier New" w:hAnsi="Courier New" w:hint="default"/>
      </w:rPr>
    </w:lvl>
    <w:lvl w:ilvl="2" w:tplc="913C3326">
      <w:start w:val="1"/>
      <w:numFmt w:val="bullet"/>
      <w:lvlText w:val=""/>
      <w:lvlJc w:val="left"/>
      <w:pPr>
        <w:ind w:left="2160" w:hanging="360"/>
      </w:pPr>
      <w:rPr>
        <w:rFonts w:ascii="Wingdings" w:hAnsi="Wingdings" w:hint="default"/>
      </w:rPr>
    </w:lvl>
    <w:lvl w:ilvl="3" w:tplc="9BFA3142">
      <w:start w:val="1"/>
      <w:numFmt w:val="bullet"/>
      <w:lvlText w:val=""/>
      <w:lvlJc w:val="left"/>
      <w:pPr>
        <w:ind w:left="2880" w:hanging="360"/>
      </w:pPr>
      <w:rPr>
        <w:rFonts w:ascii="Symbol" w:hAnsi="Symbol" w:hint="default"/>
      </w:rPr>
    </w:lvl>
    <w:lvl w:ilvl="4" w:tplc="18A49514">
      <w:start w:val="1"/>
      <w:numFmt w:val="bullet"/>
      <w:lvlText w:val="o"/>
      <w:lvlJc w:val="left"/>
      <w:pPr>
        <w:ind w:left="3600" w:hanging="360"/>
      </w:pPr>
      <w:rPr>
        <w:rFonts w:ascii="Courier New" w:hAnsi="Courier New" w:hint="default"/>
      </w:rPr>
    </w:lvl>
    <w:lvl w:ilvl="5" w:tplc="8D009E16">
      <w:start w:val="1"/>
      <w:numFmt w:val="bullet"/>
      <w:lvlText w:val=""/>
      <w:lvlJc w:val="left"/>
      <w:pPr>
        <w:ind w:left="4320" w:hanging="360"/>
      </w:pPr>
      <w:rPr>
        <w:rFonts w:ascii="Wingdings" w:hAnsi="Wingdings" w:hint="default"/>
      </w:rPr>
    </w:lvl>
    <w:lvl w:ilvl="6" w:tplc="1B8AFBB4">
      <w:start w:val="1"/>
      <w:numFmt w:val="bullet"/>
      <w:lvlText w:val=""/>
      <w:lvlJc w:val="left"/>
      <w:pPr>
        <w:ind w:left="5040" w:hanging="360"/>
      </w:pPr>
      <w:rPr>
        <w:rFonts w:ascii="Symbol" w:hAnsi="Symbol" w:hint="default"/>
      </w:rPr>
    </w:lvl>
    <w:lvl w:ilvl="7" w:tplc="AF4EB9AC">
      <w:start w:val="1"/>
      <w:numFmt w:val="bullet"/>
      <w:lvlText w:val="o"/>
      <w:lvlJc w:val="left"/>
      <w:pPr>
        <w:ind w:left="5760" w:hanging="360"/>
      </w:pPr>
      <w:rPr>
        <w:rFonts w:ascii="Courier New" w:hAnsi="Courier New" w:hint="default"/>
      </w:rPr>
    </w:lvl>
    <w:lvl w:ilvl="8" w:tplc="7C32FDB4">
      <w:start w:val="1"/>
      <w:numFmt w:val="bullet"/>
      <w:lvlText w:val=""/>
      <w:lvlJc w:val="left"/>
      <w:pPr>
        <w:ind w:left="6480" w:hanging="360"/>
      </w:pPr>
      <w:rPr>
        <w:rFonts w:ascii="Wingdings" w:hAnsi="Wingdings" w:hint="default"/>
      </w:rPr>
    </w:lvl>
  </w:abstractNum>
  <w:abstractNum w:abstractNumId="143" w15:restartNumberingAfterBreak="0">
    <w:nsid w:val="16F339BD"/>
    <w:multiLevelType w:val="hybridMultilevel"/>
    <w:tmpl w:val="FFFFFFFF"/>
    <w:lvl w:ilvl="0" w:tplc="19BEF37A">
      <w:start w:val="1"/>
      <w:numFmt w:val="bullet"/>
      <w:lvlText w:val=""/>
      <w:lvlJc w:val="left"/>
      <w:pPr>
        <w:ind w:left="720" w:hanging="360"/>
      </w:pPr>
      <w:rPr>
        <w:rFonts w:ascii="Symbol" w:hAnsi="Symbol" w:hint="default"/>
      </w:rPr>
    </w:lvl>
    <w:lvl w:ilvl="1" w:tplc="120493A4">
      <w:start w:val="1"/>
      <w:numFmt w:val="bullet"/>
      <w:lvlText w:val="-"/>
      <w:lvlJc w:val="left"/>
      <w:pPr>
        <w:ind w:left="1440" w:hanging="360"/>
      </w:pPr>
      <w:rPr>
        <w:rFonts w:ascii="Calibri" w:hAnsi="Calibri" w:hint="default"/>
      </w:rPr>
    </w:lvl>
    <w:lvl w:ilvl="2" w:tplc="7598CDE6">
      <w:start w:val="1"/>
      <w:numFmt w:val="bullet"/>
      <w:lvlText w:val=""/>
      <w:lvlJc w:val="left"/>
      <w:pPr>
        <w:ind w:left="2160" w:hanging="360"/>
      </w:pPr>
      <w:rPr>
        <w:rFonts w:ascii="Wingdings" w:hAnsi="Wingdings" w:hint="default"/>
      </w:rPr>
    </w:lvl>
    <w:lvl w:ilvl="3" w:tplc="822C59DA">
      <w:start w:val="1"/>
      <w:numFmt w:val="bullet"/>
      <w:lvlText w:val=""/>
      <w:lvlJc w:val="left"/>
      <w:pPr>
        <w:ind w:left="2880" w:hanging="360"/>
      </w:pPr>
      <w:rPr>
        <w:rFonts w:ascii="Symbol" w:hAnsi="Symbol" w:hint="default"/>
      </w:rPr>
    </w:lvl>
    <w:lvl w:ilvl="4" w:tplc="6382D4BA">
      <w:start w:val="1"/>
      <w:numFmt w:val="bullet"/>
      <w:lvlText w:val="o"/>
      <w:lvlJc w:val="left"/>
      <w:pPr>
        <w:ind w:left="3600" w:hanging="360"/>
      </w:pPr>
      <w:rPr>
        <w:rFonts w:ascii="Courier New" w:hAnsi="Courier New" w:hint="default"/>
      </w:rPr>
    </w:lvl>
    <w:lvl w:ilvl="5" w:tplc="7236F44C">
      <w:start w:val="1"/>
      <w:numFmt w:val="bullet"/>
      <w:lvlText w:val=""/>
      <w:lvlJc w:val="left"/>
      <w:pPr>
        <w:ind w:left="4320" w:hanging="360"/>
      </w:pPr>
      <w:rPr>
        <w:rFonts w:ascii="Wingdings" w:hAnsi="Wingdings" w:hint="default"/>
      </w:rPr>
    </w:lvl>
    <w:lvl w:ilvl="6" w:tplc="977AA446">
      <w:start w:val="1"/>
      <w:numFmt w:val="bullet"/>
      <w:lvlText w:val=""/>
      <w:lvlJc w:val="left"/>
      <w:pPr>
        <w:ind w:left="5040" w:hanging="360"/>
      </w:pPr>
      <w:rPr>
        <w:rFonts w:ascii="Symbol" w:hAnsi="Symbol" w:hint="default"/>
      </w:rPr>
    </w:lvl>
    <w:lvl w:ilvl="7" w:tplc="C3A2CB9E">
      <w:start w:val="1"/>
      <w:numFmt w:val="bullet"/>
      <w:lvlText w:val="o"/>
      <w:lvlJc w:val="left"/>
      <w:pPr>
        <w:ind w:left="5760" w:hanging="360"/>
      </w:pPr>
      <w:rPr>
        <w:rFonts w:ascii="Courier New" w:hAnsi="Courier New" w:hint="default"/>
      </w:rPr>
    </w:lvl>
    <w:lvl w:ilvl="8" w:tplc="1E089CC4">
      <w:start w:val="1"/>
      <w:numFmt w:val="bullet"/>
      <w:lvlText w:val=""/>
      <w:lvlJc w:val="left"/>
      <w:pPr>
        <w:ind w:left="6480" w:hanging="360"/>
      </w:pPr>
      <w:rPr>
        <w:rFonts w:ascii="Wingdings" w:hAnsi="Wingdings" w:hint="default"/>
      </w:rPr>
    </w:lvl>
  </w:abstractNum>
  <w:abstractNum w:abstractNumId="144" w15:restartNumberingAfterBreak="0">
    <w:nsid w:val="16FE42D5"/>
    <w:multiLevelType w:val="hybridMultilevel"/>
    <w:tmpl w:val="1809001D"/>
    <w:lvl w:ilvl="0" w:tplc="823C9A8C">
      <w:start w:val="1"/>
      <w:numFmt w:val="bullet"/>
      <w:lvlText w:val=""/>
      <w:lvlJc w:val="left"/>
      <w:pPr>
        <w:ind w:left="360" w:hanging="360"/>
      </w:pPr>
    </w:lvl>
    <w:lvl w:ilvl="1" w:tplc="92B015E4">
      <w:start w:val="1"/>
      <w:numFmt w:val="lowerLetter"/>
      <w:lvlText w:val="%2)"/>
      <w:lvlJc w:val="left"/>
      <w:pPr>
        <w:ind w:left="720" w:hanging="360"/>
      </w:pPr>
    </w:lvl>
    <w:lvl w:ilvl="2" w:tplc="3214B6D8">
      <w:start w:val="1"/>
      <w:numFmt w:val="lowerRoman"/>
      <w:lvlText w:val="%3)"/>
      <w:lvlJc w:val="left"/>
      <w:pPr>
        <w:ind w:left="1080" w:hanging="360"/>
      </w:pPr>
    </w:lvl>
    <w:lvl w:ilvl="3" w:tplc="0F768270">
      <w:start w:val="1"/>
      <w:numFmt w:val="decimal"/>
      <w:lvlText w:val="(%4)"/>
      <w:lvlJc w:val="left"/>
      <w:pPr>
        <w:ind w:left="1440" w:hanging="360"/>
      </w:pPr>
    </w:lvl>
    <w:lvl w:ilvl="4" w:tplc="94B42FB0">
      <w:start w:val="1"/>
      <w:numFmt w:val="lowerLetter"/>
      <w:lvlText w:val="(%5)"/>
      <w:lvlJc w:val="left"/>
      <w:pPr>
        <w:ind w:left="1800" w:hanging="360"/>
      </w:pPr>
    </w:lvl>
    <w:lvl w:ilvl="5" w:tplc="BFF6B416">
      <w:start w:val="1"/>
      <w:numFmt w:val="lowerRoman"/>
      <w:lvlText w:val="(%6)"/>
      <w:lvlJc w:val="left"/>
      <w:pPr>
        <w:ind w:left="2160" w:hanging="360"/>
      </w:pPr>
    </w:lvl>
    <w:lvl w:ilvl="6" w:tplc="4866DEE0">
      <w:start w:val="1"/>
      <w:numFmt w:val="decimal"/>
      <w:lvlText w:val="%7."/>
      <w:lvlJc w:val="left"/>
      <w:pPr>
        <w:ind w:left="2520" w:hanging="360"/>
      </w:pPr>
    </w:lvl>
    <w:lvl w:ilvl="7" w:tplc="BCE6487C">
      <w:start w:val="1"/>
      <w:numFmt w:val="lowerLetter"/>
      <w:lvlText w:val="%8."/>
      <w:lvlJc w:val="left"/>
      <w:pPr>
        <w:ind w:left="2880" w:hanging="360"/>
      </w:pPr>
    </w:lvl>
    <w:lvl w:ilvl="8" w:tplc="3F9CCE28">
      <w:start w:val="1"/>
      <w:numFmt w:val="lowerRoman"/>
      <w:lvlText w:val="%9."/>
      <w:lvlJc w:val="left"/>
      <w:pPr>
        <w:ind w:left="3240" w:hanging="360"/>
      </w:pPr>
    </w:lvl>
  </w:abstractNum>
  <w:abstractNum w:abstractNumId="145" w15:restartNumberingAfterBreak="0">
    <w:nsid w:val="17070BCB"/>
    <w:multiLevelType w:val="multilevel"/>
    <w:tmpl w:val="528088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171A697E"/>
    <w:multiLevelType w:val="hybridMultilevel"/>
    <w:tmpl w:val="C7B8929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7" w15:restartNumberingAfterBreak="0">
    <w:nsid w:val="172AE620"/>
    <w:multiLevelType w:val="hybridMultilevel"/>
    <w:tmpl w:val="FFFFFFFF"/>
    <w:lvl w:ilvl="0" w:tplc="85DCC0C0">
      <w:start w:val="1"/>
      <w:numFmt w:val="bullet"/>
      <w:lvlText w:val="·"/>
      <w:lvlJc w:val="left"/>
      <w:pPr>
        <w:ind w:left="720" w:hanging="360"/>
      </w:pPr>
      <w:rPr>
        <w:rFonts w:ascii="Symbol" w:hAnsi="Symbol" w:hint="default"/>
      </w:rPr>
    </w:lvl>
    <w:lvl w:ilvl="1" w:tplc="31FE3C28">
      <w:start w:val="1"/>
      <w:numFmt w:val="bullet"/>
      <w:lvlText w:val="o"/>
      <w:lvlJc w:val="left"/>
      <w:pPr>
        <w:ind w:left="1440" w:hanging="360"/>
      </w:pPr>
      <w:rPr>
        <w:rFonts w:ascii="Courier New" w:hAnsi="Courier New" w:hint="default"/>
      </w:rPr>
    </w:lvl>
    <w:lvl w:ilvl="2" w:tplc="35E4E2B0">
      <w:start w:val="1"/>
      <w:numFmt w:val="bullet"/>
      <w:lvlText w:val=""/>
      <w:lvlJc w:val="left"/>
      <w:pPr>
        <w:ind w:left="2160" w:hanging="360"/>
      </w:pPr>
      <w:rPr>
        <w:rFonts w:ascii="Wingdings" w:hAnsi="Wingdings" w:hint="default"/>
      </w:rPr>
    </w:lvl>
    <w:lvl w:ilvl="3" w:tplc="1376F07C">
      <w:start w:val="1"/>
      <w:numFmt w:val="bullet"/>
      <w:lvlText w:val=""/>
      <w:lvlJc w:val="left"/>
      <w:pPr>
        <w:ind w:left="2880" w:hanging="360"/>
      </w:pPr>
      <w:rPr>
        <w:rFonts w:ascii="Symbol" w:hAnsi="Symbol" w:hint="default"/>
      </w:rPr>
    </w:lvl>
    <w:lvl w:ilvl="4" w:tplc="8356E9A6">
      <w:start w:val="1"/>
      <w:numFmt w:val="bullet"/>
      <w:lvlText w:val="o"/>
      <w:lvlJc w:val="left"/>
      <w:pPr>
        <w:ind w:left="3600" w:hanging="360"/>
      </w:pPr>
      <w:rPr>
        <w:rFonts w:ascii="Courier New" w:hAnsi="Courier New" w:hint="default"/>
      </w:rPr>
    </w:lvl>
    <w:lvl w:ilvl="5" w:tplc="4D14875E">
      <w:start w:val="1"/>
      <w:numFmt w:val="bullet"/>
      <w:lvlText w:val=""/>
      <w:lvlJc w:val="left"/>
      <w:pPr>
        <w:ind w:left="4320" w:hanging="360"/>
      </w:pPr>
      <w:rPr>
        <w:rFonts w:ascii="Wingdings" w:hAnsi="Wingdings" w:hint="default"/>
      </w:rPr>
    </w:lvl>
    <w:lvl w:ilvl="6" w:tplc="BD18DA40">
      <w:start w:val="1"/>
      <w:numFmt w:val="bullet"/>
      <w:lvlText w:val=""/>
      <w:lvlJc w:val="left"/>
      <w:pPr>
        <w:ind w:left="5040" w:hanging="360"/>
      </w:pPr>
      <w:rPr>
        <w:rFonts w:ascii="Symbol" w:hAnsi="Symbol" w:hint="default"/>
      </w:rPr>
    </w:lvl>
    <w:lvl w:ilvl="7" w:tplc="6E7CEB2C">
      <w:start w:val="1"/>
      <w:numFmt w:val="bullet"/>
      <w:lvlText w:val="o"/>
      <w:lvlJc w:val="left"/>
      <w:pPr>
        <w:ind w:left="5760" w:hanging="360"/>
      </w:pPr>
      <w:rPr>
        <w:rFonts w:ascii="Courier New" w:hAnsi="Courier New" w:hint="default"/>
      </w:rPr>
    </w:lvl>
    <w:lvl w:ilvl="8" w:tplc="8DAC9A2C">
      <w:start w:val="1"/>
      <w:numFmt w:val="bullet"/>
      <w:lvlText w:val=""/>
      <w:lvlJc w:val="left"/>
      <w:pPr>
        <w:ind w:left="6480" w:hanging="360"/>
      </w:pPr>
      <w:rPr>
        <w:rFonts w:ascii="Wingdings" w:hAnsi="Wingdings" w:hint="default"/>
      </w:rPr>
    </w:lvl>
  </w:abstractNum>
  <w:abstractNum w:abstractNumId="148" w15:restartNumberingAfterBreak="0">
    <w:nsid w:val="174C0401"/>
    <w:multiLevelType w:val="hybridMultilevel"/>
    <w:tmpl w:val="02F4A94C"/>
    <w:lvl w:ilvl="0" w:tplc="A5D6A21A">
      <w:start w:val="7"/>
      <w:numFmt w:val="lowerRoman"/>
      <w:lvlText w:val="%1."/>
      <w:lvlJc w:val="right"/>
      <w:pPr>
        <w:ind w:left="720" w:hanging="360"/>
      </w:pPr>
      <w:rPr>
        <w:rFonts w:hint="default"/>
        <w:color w:val="4F81BD"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15:restartNumberingAfterBreak="0">
    <w:nsid w:val="175320BD"/>
    <w:multiLevelType w:val="hybridMultilevel"/>
    <w:tmpl w:val="827677EE"/>
    <w:lvl w:ilvl="0" w:tplc="FFFFFFFF">
      <w:start w:val="1"/>
      <w:numFmt w:val="lowerLetter"/>
      <w:lvlText w:val="%1)"/>
      <w:lvlJc w:val="left"/>
      <w:pPr>
        <w:ind w:left="720" w:hanging="360"/>
      </w:pPr>
    </w:lvl>
    <w:lvl w:ilvl="1" w:tplc="2822E80E">
      <w:start w:val="1"/>
      <w:numFmt w:val="lowerLetter"/>
      <w:lvlText w:val="%2."/>
      <w:lvlJc w:val="left"/>
      <w:pPr>
        <w:ind w:left="1440" w:hanging="360"/>
      </w:pPr>
    </w:lvl>
    <w:lvl w:ilvl="2" w:tplc="F84E68BC">
      <w:start w:val="1"/>
      <w:numFmt w:val="lowerRoman"/>
      <w:lvlText w:val="%3."/>
      <w:lvlJc w:val="right"/>
      <w:pPr>
        <w:ind w:left="2160" w:hanging="180"/>
      </w:pPr>
    </w:lvl>
    <w:lvl w:ilvl="3" w:tplc="80A24C0A">
      <w:start w:val="1"/>
      <w:numFmt w:val="decimal"/>
      <w:lvlText w:val="%4."/>
      <w:lvlJc w:val="left"/>
      <w:pPr>
        <w:ind w:left="2880" w:hanging="360"/>
      </w:pPr>
    </w:lvl>
    <w:lvl w:ilvl="4" w:tplc="A216A36A">
      <w:start w:val="1"/>
      <w:numFmt w:val="lowerLetter"/>
      <w:lvlText w:val="%5."/>
      <w:lvlJc w:val="left"/>
      <w:pPr>
        <w:ind w:left="3600" w:hanging="360"/>
      </w:pPr>
    </w:lvl>
    <w:lvl w:ilvl="5" w:tplc="81367842">
      <w:start w:val="1"/>
      <w:numFmt w:val="lowerRoman"/>
      <w:lvlText w:val="%6."/>
      <w:lvlJc w:val="right"/>
      <w:pPr>
        <w:ind w:left="4320" w:hanging="180"/>
      </w:pPr>
    </w:lvl>
    <w:lvl w:ilvl="6" w:tplc="ED78C922">
      <w:start w:val="1"/>
      <w:numFmt w:val="decimal"/>
      <w:lvlText w:val="%7."/>
      <w:lvlJc w:val="left"/>
      <w:pPr>
        <w:ind w:left="5040" w:hanging="360"/>
      </w:pPr>
    </w:lvl>
    <w:lvl w:ilvl="7" w:tplc="D9DC85F2">
      <w:start w:val="1"/>
      <w:numFmt w:val="lowerLetter"/>
      <w:lvlText w:val="%8."/>
      <w:lvlJc w:val="left"/>
      <w:pPr>
        <w:ind w:left="5760" w:hanging="360"/>
      </w:pPr>
    </w:lvl>
    <w:lvl w:ilvl="8" w:tplc="22CC4B32">
      <w:start w:val="1"/>
      <w:numFmt w:val="lowerRoman"/>
      <w:lvlText w:val="%9."/>
      <w:lvlJc w:val="right"/>
      <w:pPr>
        <w:ind w:left="6480" w:hanging="180"/>
      </w:pPr>
    </w:lvl>
  </w:abstractNum>
  <w:abstractNum w:abstractNumId="150" w15:restartNumberingAfterBreak="0">
    <w:nsid w:val="175C52A5"/>
    <w:multiLevelType w:val="multilevel"/>
    <w:tmpl w:val="7F880D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1" w15:restartNumberingAfterBreak="0">
    <w:nsid w:val="175F447F"/>
    <w:multiLevelType w:val="multilevel"/>
    <w:tmpl w:val="1E6C589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177F18D1"/>
    <w:multiLevelType w:val="hybridMultilevel"/>
    <w:tmpl w:val="3506A872"/>
    <w:lvl w:ilvl="0" w:tplc="080C0019">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3" w15:restartNumberingAfterBreak="0">
    <w:nsid w:val="17AE1517"/>
    <w:multiLevelType w:val="hybridMultilevel"/>
    <w:tmpl w:val="88EC5F1A"/>
    <w:lvl w:ilvl="0" w:tplc="58C26BEA">
      <w:numFmt w:val="bullet"/>
      <w:lvlText w:val="-"/>
      <w:lvlJc w:val="left"/>
      <w:pPr>
        <w:ind w:left="720" w:hanging="360"/>
      </w:pPr>
      <w:rPr>
        <w:rFonts w:ascii="Times New Roman" w:eastAsia="Times New Roman" w:hAnsi="Times New Roman" w:cs="Times New Roman" w:hint="default"/>
        <w:b/>
        <w:color w:val="4471C4"/>
        <w:u w:val="single"/>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4" w15:restartNumberingAfterBreak="0">
    <w:nsid w:val="17E31F37"/>
    <w:multiLevelType w:val="multilevel"/>
    <w:tmpl w:val="750E313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55" w15:restartNumberingAfterBreak="0">
    <w:nsid w:val="17F7E91D"/>
    <w:multiLevelType w:val="hybridMultilevel"/>
    <w:tmpl w:val="FFFFFFFF"/>
    <w:lvl w:ilvl="0" w:tplc="06CE4D6E">
      <w:start w:val="1"/>
      <w:numFmt w:val="decimal"/>
      <w:lvlText w:val="%1."/>
      <w:lvlJc w:val="left"/>
      <w:pPr>
        <w:ind w:left="720" w:hanging="360"/>
      </w:pPr>
    </w:lvl>
    <w:lvl w:ilvl="1" w:tplc="F88A5140">
      <w:start w:val="1"/>
      <w:numFmt w:val="lowerLetter"/>
      <w:lvlText w:val="%2."/>
      <w:lvlJc w:val="left"/>
      <w:pPr>
        <w:ind w:left="1440" w:hanging="360"/>
      </w:pPr>
    </w:lvl>
    <w:lvl w:ilvl="2" w:tplc="7DD83C00">
      <w:start w:val="1"/>
      <w:numFmt w:val="lowerRoman"/>
      <w:lvlText w:val="%3."/>
      <w:lvlJc w:val="right"/>
      <w:pPr>
        <w:ind w:left="2160" w:hanging="180"/>
      </w:pPr>
    </w:lvl>
    <w:lvl w:ilvl="3" w:tplc="42262488">
      <w:start w:val="1"/>
      <w:numFmt w:val="decimal"/>
      <w:lvlText w:val="%4."/>
      <w:lvlJc w:val="left"/>
      <w:pPr>
        <w:ind w:left="2880" w:hanging="360"/>
      </w:pPr>
    </w:lvl>
    <w:lvl w:ilvl="4" w:tplc="DDB61756">
      <w:start w:val="1"/>
      <w:numFmt w:val="lowerLetter"/>
      <w:lvlText w:val="%5."/>
      <w:lvlJc w:val="left"/>
      <w:pPr>
        <w:ind w:left="3600" w:hanging="360"/>
      </w:pPr>
    </w:lvl>
    <w:lvl w:ilvl="5" w:tplc="9C3418C6">
      <w:start w:val="1"/>
      <w:numFmt w:val="lowerRoman"/>
      <w:lvlText w:val="%6."/>
      <w:lvlJc w:val="right"/>
      <w:pPr>
        <w:ind w:left="4320" w:hanging="180"/>
      </w:pPr>
    </w:lvl>
    <w:lvl w:ilvl="6" w:tplc="CCAA5372">
      <w:start w:val="1"/>
      <w:numFmt w:val="decimal"/>
      <w:lvlText w:val="%7."/>
      <w:lvlJc w:val="left"/>
      <w:pPr>
        <w:ind w:left="5040" w:hanging="360"/>
      </w:pPr>
    </w:lvl>
    <w:lvl w:ilvl="7" w:tplc="A364A22A">
      <w:start w:val="1"/>
      <w:numFmt w:val="lowerLetter"/>
      <w:lvlText w:val="%8."/>
      <w:lvlJc w:val="left"/>
      <w:pPr>
        <w:ind w:left="5760" w:hanging="360"/>
      </w:pPr>
    </w:lvl>
    <w:lvl w:ilvl="8" w:tplc="CF2EBD62">
      <w:start w:val="1"/>
      <w:numFmt w:val="lowerRoman"/>
      <w:lvlText w:val="%9."/>
      <w:lvlJc w:val="right"/>
      <w:pPr>
        <w:ind w:left="6480" w:hanging="180"/>
      </w:pPr>
    </w:lvl>
  </w:abstractNum>
  <w:abstractNum w:abstractNumId="156" w15:restartNumberingAfterBreak="0">
    <w:nsid w:val="180E159D"/>
    <w:multiLevelType w:val="multilevel"/>
    <w:tmpl w:val="CD2CC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18220F9B"/>
    <w:multiLevelType w:val="hybridMultilevel"/>
    <w:tmpl w:val="BCACA684"/>
    <w:lvl w:ilvl="0" w:tplc="1809000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189538D0"/>
    <w:multiLevelType w:val="multilevel"/>
    <w:tmpl w:val="9184F3D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59" w15:restartNumberingAfterBreak="0">
    <w:nsid w:val="18F52294"/>
    <w:multiLevelType w:val="hybridMultilevel"/>
    <w:tmpl w:val="EDD0EC6E"/>
    <w:lvl w:ilvl="0" w:tplc="6DE8B5BE">
      <w:start w:val="25"/>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0" w15:restartNumberingAfterBreak="0">
    <w:nsid w:val="190C54CA"/>
    <w:multiLevelType w:val="hybridMultilevel"/>
    <w:tmpl w:val="FFFFFFFF"/>
    <w:lvl w:ilvl="0" w:tplc="0FACBD9A">
      <w:start w:val="1"/>
      <w:numFmt w:val="lowerLetter"/>
      <w:lvlText w:val="%1."/>
      <w:lvlJc w:val="left"/>
      <w:pPr>
        <w:ind w:left="720" w:hanging="360"/>
      </w:pPr>
    </w:lvl>
    <w:lvl w:ilvl="1" w:tplc="6CF8024C">
      <w:start w:val="1"/>
      <w:numFmt w:val="lowerRoman"/>
      <w:lvlText w:val="%2."/>
      <w:lvlJc w:val="right"/>
      <w:pPr>
        <w:ind w:left="1440" w:hanging="360"/>
      </w:pPr>
    </w:lvl>
    <w:lvl w:ilvl="2" w:tplc="6B58957E">
      <w:start w:val="1"/>
      <w:numFmt w:val="lowerRoman"/>
      <w:lvlText w:val="%3."/>
      <w:lvlJc w:val="right"/>
      <w:pPr>
        <w:ind w:left="2160" w:hanging="180"/>
      </w:pPr>
    </w:lvl>
    <w:lvl w:ilvl="3" w:tplc="9C0E3714">
      <w:start w:val="1"/>
      <w:numFmt w:val="decimal"/>
      <w:lvlText w:val="%4."/>
      <w:lvlJc w:val="left"/>
      <w:pPr>
        <w:ind w:left="2880" w:hanging="360"/>
      </w:pPr>
    </w:lvl>
    <w:lvl w:ilvl="4" w:tplc="7D76AFA8">
      <w:start w:val="1"/>
      <w:numFmt w:val="lowerLetter"/>
      <w:lvlText w:val="%5."/>
      <w:lvlJc w:val="left"/>
      <w:pPr>
        <w:ind w:left="3600" w:hanging="360"/>
      </w:pPr>
    </w:lvl>
    <w:lvl w:ilvl="5" w:tplc="595CAD86">
      <w:start w:val="1"/>
      <w:numFmt w:val="lowerRoman"/>
      <w:lvlText w:val="%6."/>
      <w:lvlJc w:val="right"/>
      <w:pPr>
        <w:ind w:left="4320" w:hanging="180"/>
      </w:pPr>
    </w:lvl>
    <w:lvl w:ilvl="6" w:tplc="96688CAC">
      <w:start w:val="1"/>
      <w:numFmt w:val="decimal"/>
      <w:lvlText w:val="%7."/>
      <w:lvlJc w:val="left"/>
      <w:pPr>
        <w:ind w:left="5040" w:hanging="360"/>
      </w:pPr>
    </w:lvl>
    <w:lvl w:ilvl="7" w:tplc="1680A0D2">
      <w:start w:val="1"/>
      <w:numFmt w:val="lowerLetter"/>
      <w:lvlText w:val="%8."/>
      <w:lvlJc w:val="left"/>
      <w:pPr>
        <w:ind w:left="5760" w:hanging="360"/>
      </w:pPr>
    </w:lvl>
    <w:lvl w:ilvl="8" w:tplc="174AF652">
      <w:start w:val="1"/>
      <w:numFmt w:val="lowerRoman"/>
      <w:lvlText w:val="%9."/>
      <w:lvlJc w:val="right"/>
      <w:pPr>
        <w:ind w:left="6480" w:hanging="180"/>
      </w:pPr>
    </w:lvl>
  </w:abstractNum>
  <w:abstractNum w:abstractNumId="161" w15:restartNumberingAfterBreak="0">
    <w:nsid w:val="1911A4DB"/>
    <w:multiLevelType w:val="hybridMultilevel"/>
    <w:tmpl w:val="FFFFFFFF"/>
    <w:lvl w:ilvl="0" w:tplc="455EA81A">
      <w:start w:val="1"/>
      <w:numFmt w:val="bullet"/>
      <w:lvlText w:val=""/>
      <w:lvlJc w:val="left"/>
      <w:pPr>
        <w:ind w:left="720" w:hanging="360"/>
      </w:pPr>
      <w:rPr>
        <w:rFonts w:ascii="Symbol" w:hAnsi="Symbol" w:hint="default"/>
      </w:rPr>
    </w:lvl>
    <w:lvl w:ilvl="1" w:tplc="65FCEC66">
      <w:start w:val="1"/>
      <w:numFmt w:val="bullet"/>
      <w:lvlText w:val="o"/>
      <w:lvlJc w:val="left"/>
      <w:pPr>
        <w:ind w:left="1440" w:hanging="360"/>
      </w:pPr>
      <w:rPr>
        <w:rFonts w:ascii="Courier New" w:hAnsi="Courier New" w:hint="default"/>
      </w:rPr>
    </w:lvl>
    <w:lvl w:ilvl="2" w:tplc="A6220DF8">
      <w:start w:val="1"/>
      <w:numFmt w:val="bullet"/>
      <w:lvlText w:val="§"/>
      <w:lvlJc w:val="left"/>
      <w:pPr>
        <w:ind w:left="2160" w:hanging="360"/>
      </w:pPr>
      <w:rPr>
        <w:rFonts w:ascii="Wingdings" w:hAnsi="Wingdings" w:hint="default"/>
      </w:rPr>
    </w:lvl>
    <w:lvl w:ilvl="3" w:tplc="5CBCEBAA">
      <w:start w:val="1"/>
      <w:numFmt w:val="bullet"/>
      <w:lvlText w:val=""/>
      <w:lvlJc w:val="left"/>
      <w:pPr>
        <w:ind w:left="2880" w:hanging="360"/>
      </w:pPr>
      <w:rPr>
        <w:rFonts w:ascii="Symbol" w:hAnsi="Symbol" w:hint="default"/>
      </w:rPr>
    </w:lvl>
    <w:lvl w:ilvl="4" w:tplc="766A6638">
      <w:start w:val="1"/>
      <w:numFmt w:val="bullet"/>
      <w:lvlText w:val="o"/>
      <w:lvlJc w:val="left"/>
      <w:pPr>
        <w:ind w:left="3600" w:hanging="360"/>
      </w:pPr>
      <w:rPr>
        <w:rFonts w:ascii="Courier New" w:hAnsi="Courier New" w:hint="default"/>
      </w:rPr>
    </w:lvl>
    <w:lvl w:ilvl="5" w:tplc="C7D6D318">
      <w:start w:val="1"/>
      <w:numFmt w:val="bullet"/>
      <w:lvlText w:val=""/>
      <w:lvlJc w:val="left"/>
      <w:pPr>
        <w:ind w:left="4320" w:hanging="360"/>
      </w:pPr>
      <w:rPr>
        <w:rFonts w:ascii="Wingdings" w:hAnsi="Wingdings" w:hint="default"/>
      </w:rPr>
    </w:lvl>
    <w:lvl w:ilvl="6" w:tplc="D5326C18">
      <w:start w:val="1"/>
      <w:numFmt w:val="bullet"/>
      <w:lvlText w:val=""/>
      <w:lvlJc w:val="left"/>
      <w:pPr>
        <w:ind w:left="5040" w:hanging="360"/>
      </w:pPr>
      <w:rPr>
        <w:rFonts w:ascii="Symbol" w:hAnsi="Symbol" w:hint="default"/>
      </w:rPr>
    </w:lvl>
    <w:lvl w:ilvl="7" w:tplc="379A8996">
      <w:start w:val="1"/>
      <w:numFmt w:val="bullet"/>
      <w:lvlText w:val="o"/>
      <w:lvlJc w:val="left"/>
      <w:pPr>
        <w:ind w:left="5760" w:hanging="360"/>
      </w:pPr>
      <w:rPr>
        <w:rFonts w:ascii="Courier New" w:hAnsi="Courier New" w:hint="default"/>
      </w:rPr>
    </w:lvl>
    <w:lvl w:ilvl="8" w:tplc="D89EA68C">
      <w:start w:val="1"/>
      <w:numFmt w:val="bullet"/>
      <w:lvlText w:val=""/>
      <w:lvlJc w:val="left"/>
      <w:pPr>
        <w:ind w:left="6480" w:hanging="360"/>
      </w:pPr>
      <w:rPr>
        <w:rFonts w:ascii="Wingdings" w:hAnsi="Wingdings" w:hint="default"/>
      </w:rPr>
    </w:lvl>
  </w:abstractNum>
  <w:abstractNum w:abstractNumId="162" w15:restartNumberingAfterBreak="0">
    <w:nsid w:val="192607B3"/>
    <w:multiLevelType w:val="hybridMultilevel"/>
    <w:tmpl w:val="812E4DBA"/>
    <w:lvl w:ilvl="0" w:tplc="0B90F794">
      <w:numFmt w:val="bullet"/>
      <w:lvlText w:val="•"/>
      <w:lvlJc w:val="left"/>
      <w:pPr>
        <w:ind w:left="720" w:hanging="360"/>
      </w:pPr>
      <w:rPr>
        <w:rFonts w:ascii="Symbol" w:eastAsiaTheme="minorHAnsi"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Cambria Math" w:hAnsi="Cambria Math" w:hint="default"/>
      </w:rPr>
    </w:lvl>
    <w:lvl w:ilvl="3" w:tplc="0C0A0001" w:tentative="1">
      <w:start w:val="1"/>
      <w:numFmt w:val="bullet"/>
      <w:lvlText w:val=""/>
      <w:lvlJc w:val="left"/>
      <w:pPr>
        <w:ind w:left="2880" w:hanging="360"/>
      </w:pPr>
      <w:rPr>
        <w:rFonts w:ascii="Segoe UI" w:hAnsi="Segoe UI"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Cambria Math" w:hAnsi="Cambria Math" w:hint="default"/>
      </w:rPr>
    </w:lvl>
    <w:lvl w:ilvl="6" w:tplc="0C0A0001" w:tentative="1">
      <w:start w:val="1"/>
      <w:numFmt w:val="bullet"/>
      <w:lvlText w:val=""/>
      <w:lvlJc w:val="left"/>
      <w:pPr>
        <w:ind w:left="5040" w:hanging="360"/>
      </w:pPr>
      <w:rPr>
        <w:rFonts w:ascii="Segoe UI" w:hAnsi="Segoe UI"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Cambria Math" w:hAnsi="Cambria Math" w:hint="default"/>
      </w:rPr>
    </w:lvl>
  </w:abstractNum>
  <w:abstractNum w:abstractNumId="163" w15:restartNumberingAfterBreak="0">
    <w:nsid w:val="194D4AEC"/>
    <w:multiLevelType w:val="hybridMultilevel"/>
    <w:tmpl w:val="774C0776"/>
    <w:lvl w:ilvl="0" w:tplc="080C0001">
      <w:start w:val="1"/>
      <w:numFmt w:val="bullet"/>
      <w:lvlText w:val=""/>
      <w:lvlJc w:val="left"/>
      <w:pPr>
        <w:ind w:left="1146" w:hanging="360"/>
      </w:pPr>
      <w:rPr>
        <w:rFonts w:ascii="Symbol" w:hAnsi="Symbol" w:hint="default"/>
      </w:rPr>
    </w:lvl>
    <w:lvl w:ilvl="1" w:tplc="080C0003" w:tentative="1">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164" w15:restartNumberingAfterBreak="0">
    <w:nsid w:val="19E93DA4"/>
    <w:multiLevelType w:val="multilevel"/>
    <w:tmpl w:val="1E0887E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1A4B63A7"/>
    <w:multiLevelType w:val="hybridMultilevel"/>
    <w:tmpl w:val="B824E7E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66" w15:restartNumberingAfterBreak="0">
    <w:nsid w:val="1A5DFAFD"/>
    <w:multiLevelType w:val="hybridMultilevel"/>
    <w:tmpl w:val="FFFFFFFF"/>
    <w:lvl w:ilvl="0" w:tplc="E2903D62">
      <w:start w:val="1"/>
      <w:numFmt w:val="decimal"/>
      <w:lvlText w:val="%1."/>
      <w:lvlJc w:val="left"/>
      <w:pPr>
        <w:ind w:left="1080" w:hanging="360"/>
      </w:pPr>
    </w:lvl>
    <w:lvl w:ilvl="1" w:tplc="515E0DF4">
      <w:start w:val="1"/>
      <w:numFmt w:val="lowerLetter"/>
      <w:lvlText w:val="%2."/>
      <w:lvlJc w:val="left"/>
      <w:pPr>
        <w:ind w:left="1800" w:hanging="360"/>
      </w:pPr>
    </w:lvl>
    <w:lvl w:ilvl="2" w:tplc="95F09ACA">
      <w:start w:val="1"/>
      <w:numFmt w:val="lowerRoman"/>
      <w:lvlText w:val="%3."/>
      <w:lvlJc w:val="right"/>
      <w:pPr>
        <w:ind w:left="2520" w:hanging="180"/>
      </w:pPr>
    </w:lvl>
    <w:lvl w:ilvl="3" w:tplc="E764A776">
      <w:start w:val="1"/>
      <w:numFmt w:val="decimal"/>
      <w:lvlText w:val="%4."/>
      <w:lvlJc w:val="left"/>
      <w:pPr>
        <w:ind w:left="3240" w:hanging="360"/>
      </w:pPr>
    </w:lvl>
    <w:lvl w:ilvl="4" w:tplc="E292A3D2">
      <w:start w:val="1"/>
      <w:numFmt w:val="lowerLetter"/>
      <w:lvlText w:val="%5."/>
      <w:lvlJc w:val="left"/>
      <w:pPr>
        <w:ind w:left="3960" w:hanging="360"/>
      </w:pPr>
    </w:lvl>
    <w:lvl w:ilvl="5" w:tplc="5EF2F5D4">
      <w:start w:val="1"/>
      <w:numFmt w:val="lowerRoman"/>
      <w:lvlText w:val="%6."/>
      <w:lvlJc w:val="right"/>
      <w:pPr>
        <w:ind w:left="4680" w:hanging="180"/>
      </w:pPr>
    </w:lvl>
    <w:lvl w:ilvl="6" w:tplc="8F82D18E">
      <w:start w:val="1"/>
      <w:numFmt w:val="decimal"/>
      <w:lvlText w:val="%7."/>
      <w:lvlJc w:val="left"/>
      <w:pPr>
        <w:ind w:left="5400" w:hanging="360"/>
      </w:pPr>
    </w:lvl>
    <w:lvl w:ilvl="7" w:tplc="EE7C9662">
      <w:start w:val="1"/>
      <w:numFmt w:val="lowerLetter"/>
      <w:lvlText w:val="%8."/>
      <w:lvlJc w:val="left"/>
      <w:pPr>
        <w:ind w:left="6120" w:hanging="360"/>
      </w:pPr>
    </w:lvl>
    <w:lvl w:ilvl="8" w:tplc="B2AC04C6">
      <w:start w:val="1"/>
      <w:numFmt w:val="lowerRoman"/>
      <w:lvlText w:val="%9."/>
      <w:lvlJc w:val="right"/>
      <w:pPr>
        <w:ind w:left="6840" w:hanging="180"/>
      </w:pPr>
    </w:lvl>
  </w:abstractNum>
  <w:abstractNum w:abstractNumId="167" w15:restartNumberingAfterBreak="0">
    <w:nsid w:val="1A7FFF7F"/>
    <w:multiLevelType w:val="hybridMultilevel"/>
    <w:tmpl w:val="FFFFFFFF"/>
    <w:lvl w:ilvl="0" w:tplc="DBE47A76">
      <w:start w:val="1"/>
      <w:numFmt w:val="bullet"/>
      <w:lvlText w:val="o"/>
      <w:lvlJc w:val="left"/>
      <w:pPr>
        <w:ind w:left="720" w:hanging="360"/>
      </w:pPr>
      <w:rPr>
        <w:rFonts w:ascii="&quot;Courier New&quot;" w:hAnsi="&quot;Courier New&quot;" w:hint="default"/>
      </w:rPr>
    </w:lvl>
    <w:lvl w:ilvl="1" w:tplc="95B02ABC">
      <w:start w:val="1"/>
      <w:numFmt w:val="bullet"/>
      <w:lvlText w:val="o"/>
      <w:lvlJc w:val="left"/>
      <w:pPr>
        <w:ind w:left="1440" w:hanging="360"/>
      </w:pPr>
      <w:rPr>
        <w:rFonts w:ascii="Courier New" w:hAnsi="Courier New" w:hint="default"/>
      </w:rPr>
    </w:lvl>
    <w:lvl w:ilvl="2" w:tplc="CE0C4E50">
      <w:start w:val="1"/>
      <w:numFmt w:val="bullet"/>
      <w:lvlText w:val=""/>
      <w:lvlJc w:val="left"/>
      <w:pPr>
        <w:ind w:left="2160" w:hanging="360"/>
      </w:pPr>
      <w:rPr>
        <w:rFonts w:ascii="Wingdings" w:hAnsi="Wingdings" w:hint="default"/>
      </w:rPr>
    </w:lvl>
    <w:lvl w:ilvl="3" w:tplc="D08E6D00">
      <w:start w:val="1"/>
      <w:numFmt w:val="bullet"/>
      <w:lvlText w:val=""/>
      <w:lvlJc w:val="left"/>
      <w:pPr>
        <w:ind w:left="2880" w:hanging="360"/>
      </w:pPr>
      <w:rPr>
        <w:rFonts w:ascii="Symbol" w:hAnsi="Symbol" w:hint="default"/>
      </w:rPr>
    </w:lvl>
    <w:lvl w:ilvl="4" w:tplc="34A29F2A">
      <w:start w:val="1"/>
      <w:numFmt w:val="bullet"/>
      <w:lvlText w:val="o"/>
      <w:lvlJc w:val="left"/>
      <w:pPr>
        <w:ind w:left="3600" w:hanging="360"/>
      </w:pPr>
      <w:rPr>
        <w:rFonts w:ascii="Courier New" w:hAnsi="Courier New" w:hint="default"/>
      </w:rPr>
    </w:lvl>
    <w:lvl w:ilvl="5" w:tplc="8B90AC04">
      <w:start w:val="1"/>
      <w:numFmt w:val="bullet"/>
      <w:lvlText w:val=""/>
      <w:lvlJc w:val="left"/>
      <w:pPr>
        <w:ind w:left="4320" w:hanging="360"/>
      </w:pPr>
      <w:rPr>
        <w:rFonts w:ascii="Wingdings" w:hAnsi="Wingdings" w:hint="default"/>
      </w:rPr>
    </w:lvl>
    <w:lvl w:ilvl="6" w:tplc="A5924F2E">
      <w:start w:val="1"/>
      <w:numFmt w:val="bullet"/>
      <w:lvlText w:val=""/>
      <w:lvlJc w:val="left"/>
      <w:pPr>
        <w:ind w:left="5040" w:hanging="360"/>
      </w:pPr>
      <w:rPr>
        <w:rFonts w:ascii="Symbol" w:hAnsi="Symbol" w:hint="default"/>
      </w:rPr>
    </w:lvl>
    <w:lvl w:ilvl="7" w:tplc="E868805E">
      <w:start w:val="1"/>
      <w:numFmt w:val="bullet"/>
      <w:lvlText w:val="o"/>
      <w:lvlJc w:val="left"/>
      <w:pPr>
        <w:ind w:left="5760" w:hanging="360"/>
      </w:pPr>
      <w:rPr>
        <w:rFonts w:ascii="Courier New" w:hAnsi="Courier New" w:hint="default"/>
      </w:rPr>
    </w:lvl>
    <w:lvl w:ilvl="8" w:tplc="1018C856">
      <w:start w:val="1"/>
      <w:numFmt w:val="bullet"/>
      <w:lvlText w:val=""/>
      <w:lvlJc w:val="left"/>
      <w:pPr>
        <w:ind w:left="6480" w:hanging="360"/>
      </w:pPr>
      <w:rPr>
        <w:rFonts w:ascii="Wingdings" w:hAnsi="Wingdings" w:hint="default"/>
      </w:rPr>
    </w:lvl>
  </w:abstractNum>
  <w:abstractNum w:abstractNumId="168" w15:restartNumberingAfterBreak="0">
    <w:nsid w:val="1AB540A8"/>
    <w:multiLevelType w:val="hybridMultilevel"/>
    <w:tmpl w:val="D06E840E"/>
    <w:lvl w:ilvl="0" w:tplc="7B281CE4">
      <w:start w:val="1"/>
      <w:numFmt w:val="lowerRoman"/>
      <w:lvlText w:val="%1."/>
      <w:lvlJc w:val="right"/>
      <w:pPr>
        <w:ind w:left="1440" w:hanging="360"/>
      </w:pPr>
      <w:rPr>
        <w:b w:val="0"/>
        <w:bCs/>
        <w:color w:val="auto"/>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69"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70" w15:restartNumberingAfterBreak="0">
    <w:nsid w:val="1B60664A"/>
    <w:multiLevelType w:val="hybridMultilevel"/>
    <w:tmpl w:val="FFFFFFFF"/>
    <w:lvl w:ilvl="0" w:tplc="B8EE1040">
      <w:start w:val="1"/>
      <w:numFmt w:val="bullet"/>
      <w:lvlText w:val="o"/>
      <w:lvlJc w:val="left"/>
      <w:pPr>
        <w:ind w:left="720" w:hanging="360"/>
      </w:pPr>
      <w:rPr>
        <w:rFonts w:ascii="&quot;Courier New&quot;" w:hAnsi="&quot;Courier New&quot;" w:hint="default"/>
      </w:rPr>
    </w:lvl>
    <w:lvl w:ilvl="1" w:tplc="EB4C651A">
      <w:start w:val="1"/>
      <w:numFmt w:val="bullet"/>
      <w:lvlText w:val="o"/>
      <w:lvlJc w:val="left"/>
      <w:pPr>
        <w:ind w:left="1440" w:hanging="360"/>
      </w:pPr>
      <w:rPr>
        <w:rFonts w:ascii="Courier New" w:hAnsi="Courier New" w:hint="default"/>
      </w:rPr>
    </w:lvl>
    <w:lvl w:ilvl="2" w:tplc="263E9C30">
      <w:start w:val="1"/>
      <w:numFmt w:val="bullet"/>
      <w:lvlText w:val=""/>
      <w:lvlJc w:val="left"/>
      <w:pPr>
        <w:ind w:left="2160" w:hanging="360"/>
      </w:pPr>
      <w:rPr>
        <w:rFonts w:ascii="Wingdings" w:hAnsi="Wingdings" w:hint="default"/>
      </w:rPr>
    </w:lvl>
    <w:lvl w:ilvl="3" w:tplc="4A7492DE">
      <w:start w:val="1"/>
      <w:numFmt w:val="bullet"/>
      <w:lvlText w:val=""/>
      <w:lvlJc w:val="left"/>
      <w:pPr>
        <w:ind w:left="2880" w:hanging="360"/>
      </w:pPr>
      <w:rPr>
        <w:rFonts w:ascii="Symbol" w:hAnsi="Symbol" w:hint="default"/>
      </w:rPr>
    </w:lvl>
    <w:lvl w:ilvl="4" w:tplc="C12E9ADC">
      <w:start w:val="1"/>
      <w:numFmt w:val="bullet"/>
      <w:lvlText w:val="o"/>
      <w:lvlJc w:val="left"/>
      <w:pPr>
        <w:ind w:left="3600" w:hanging="360"/>
      </w:pPr>
      <w:rPr>
        <w:rFonts w:ascii="Courier New" w:hAnsi="Courier New" w:hint="default"/>
      </w:rPr>
    </w:lvl>
    <w:lvl w:ilvl="5" w:tplc="849608DC">
      <w:start w:val="1"/>
      <w:numFmt w:val="bullet"/>
      <w:lvlText w:val=""/>
      <w:lvlJc w:val="left"/>
      <w:pPr>
        <w:ind w:left="4320" w:hanging="360"/>
      </w:pPr>
      <w:rPr>
        <w:rFonts w:ascii="Wingdings" w:hAnsi="Wingdings" w:hint="default"/>
      </w:rPr>
    </w:lvl>
    <w:lvl w:ilvl="6" w:tplc="43B622B6">
      <w:start w:val="1"/>
      <w:numFmt w:val="bullet"/>
      <w:lvlText w:val=""/>
      <w:lvlJc w:val="left"/>
      <w:pPr>
        <w:ind w:left="5040" w:hanging="360"/>
      </w:pPr>
      <w:rPr>
        <w:rFonts w:ascii="Symbol" w:hAnsi="Symbol" w:hint="default"/>
      </w:rPr>
    </w:lvl>
    <w:lvl w:ilvl="7" w:tplc="E5DCEF84">
      <w:start w:val="1"/>
      <w:numFmt w:val="bullet"/>
      <w:lvlText w:val="o"/>
      <w:lvlJc w:val="left"/>
      <w:pPr>
        <w:ind w:left="5760" w:hanging="360"/>
      </w:pPr>
      <w:rPr>
        <w:rFonts w:ascii="Courier New" w:hAnsi="Courier New" w:hint="default"/>
      </w:rPr>
    </w:lvl>
    <w:lvl w:ilvl="8" w:tplc="51269408">
      <w:start w:val="1"/>
      <w:numFmt w:val="bullet"/>
      <w:lvlText w:val=""/>
      <w:lvlJc w:val="left"/>
      <w:pPr>
        <w:ind w:left="6480" w:hanging="360"/>
      </w:pPr>
      <w:rPr>
        <w:rFonts w:ascii="Wingdings" w:hAnsi="Wingdings" w:hint="default"/>
      </w:rPr>
    </w:lvl>
  </w:abstractNum>
  <w:abstractNum w:abstractNumId="171" w15:restartNumberingAfterBreak="0">
    <w:nsid w:val="1BAD28DC"/>
    <w:multiLevelType w:val="hybridMultilevel"/>
    <w:tmpl w:val="FFFFFFFF"/>
    <w:lvl w:ilvl="0" w:tplc="B89CB830">
      <w:start w:val="1"/>
      <w:numFmt w:val="bullet"/>
      <w:lvlText w:val=""/>
      <w:lvlJc w:val="left"/>
      <w:pPr>
        <w:ind w:left="720" w:hanging="360"/>
      </w:pPr>
      <w:rPr>
        <w:rFonts w:ascii="Segoe UI" w:hAnsi="Segoe UI" w:hint="default"/>
      </w:rPr>
    </w:lvl>
    <w:lvl w:ilvl="1" w:tplc="7D742AD4">
      <w:start w:val="1"/>
      <w:numFmt w:val="bullet"/>
      <w:lvlText w:val="o"/>
      <w:lvlJc w:val="left"/>
      <w:pPr>
        <w:ind w:left="1440" w:hanging="360"/>
      </w:pPr>
      <w:rPr>
        <w:rFonts w:ascii="Courier New" w:hAnsi="Courier New" w:hint="default"/>
      </w:rPr>
    </w:lvl>
    <w:lvl w:ilvl="2" w:tplc="5352EB2E">
      <w:start w:val="1"/>
      <w:numFmt w:val="bullet"/>
      <w:lvlText w:val=""/>
      <w:lvlJc w:val="left"/>
      <w:pPr>
        <w:ind w:left="2160" w:hanging="360"/>
      </w:pPr>
      <w:rPr>
        <w:rFonts w:ascii="Cambria Math" w:hAnsi="Cambria Math" w:hint="default"/>
      </w:rPr>
    </w:lvl>
    <w:lvl w:ilvl="3" w:tplc="FA24F754">
      <w:start w:val="1"/>
      <w:numFmt w:val="bullet"/>
      <w:lvlText w:val=""/>
      <w:lvlJc w:val="left"/>
      <w:pPr>
        <w:ind w:left="2880" w:hanging="360"/>
      </w:pPr>
      <w:rPr>
        <w:rFonts w:ascii="Segoe UI" w:hAnsi="Segoe UI" w:hint="default"/>
      </w:rPr>
    </w:lvl>
    <w:lvl w:ilvl="4" w:tplc="1BCCE446">
      <w:start w:val="1"/>
      <w:numFmt w:val="bullet"/>
      <w:lvlText w:val="o"/>
      <w:lvlJc w:val="left"/>
      <w:pPr>
        <w:ind w:left="3600" w:hanging="360"/>
      </w:pPr>
      <w:rPr>
        <w:rFonts w:ascii="Courier New" w:hAnsi="Courier New" w:hint="default"/>
      </w:rPr>
    </w:lvl>
    <w:lvl w:ilvl="5" w:tplc="CE9836C6">
      <w:start w:val="1"/>
      <w:numFmt w:val="bullet"/>
      <w:lvlText w:val=""/>
      <w:lvlJc w:val="left"/>
      <w:pPr>
        <w:ind w:left="4320" w:hanging="360"/>
      </w:pPr>
      <w:rPr>
        <w:rFonts w:ascii="Cambria Math" w:hAnsi="Cambria Math" w:hint="default"/>
      </w:rPr>
    </w:lvl>
    <w:lvl w:ilvl="6" w:tplc="C110173C">
      <w:start w:val="1"/>
      <w:numFmt w:val="bullet"/>
      <w:lvlText w:val=""/>
      <w:lvlJc w:val="left"/>
      <w:pPr>
        <w:ind w:left="5040" w:hanging="360"/>
      </w:pPr>
      <w:rPr>
        <w:rFonts w:ascii="Segoe UI" w:hAnsi="Segoe UI" w:hint="default"/>
      </w:rPr>
    </w:lvl>
    <w:lvl w:ilvl="7" w:tplc="D6507C64">
      <w:start w:val="1"/>
      <w:numFmt w:val="bullet"/>
      <w:lvlText w:val="o"/>
      <w:lvlJc w:val="left"/>
      <w:pPr>
        <w:ind w:left="5760" w:hanging="360"/>
      </w:pPr>
      <w:rPr>
        <w:rFonts w:ascii="Courier New" w:hAnsi="Courier New" w:hint="default"/>
      </w:rPr>
    </w:lvl>
    <w:lvl w:ilvl="8" w:tplc="674A1674">
      <w:start w:val="1"/>
      <w:numFmt w:val="bullet"/>
      <w:lvlText w:val=""/>
      <w:lvlJc w:val="left"/>
      <w:pPr>
        <w:ind w:left="6480" w:hanging="360"/>
      </w:pPr>
      <w:rPr>
        <w:rFonts w:ascii="Cambria Math" w:hAnsi="Cambria Math" w:hint="default"/>
      </w:rPr>
    </w:lvl>
  </w:abstractNum>
  <w:abstractNum w:abstractNumId="172" w15:restartNumberingAfterBreak="0">
    <w:nsid w:val="1BB40FF4"/>
    <w:multiLevelType w:val="multilevel"/>
    <w:tmpl w:val="60785D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1BBC89D2"/>
    <w:multiLevelType w:val="hybridMultilevel"/>
    <w:tmpl w:val="FFFFFFFF"/>
    <w:lvl w:ilvl="0" w:tplc="58A075AA">
      <w:start w:val="6"/>
      <w:numFmt w:val="decimal"/>
      <w:lvlText w:val="%1."/>
      <w:lvlJc w:val="left"/>
      <w:pPr>
        <w:ind w:left="720" w:hanging="360"/>
      </w:pPr>
    </w:lvl>
    <w:lvl w:ilvl="1" w:tplc="7BA28180">
      <w:start w:val="1"/>
      <w:numFmt w:val="lowerLetter"/>
      <w:lvlText w:val="%2."/>
      <w:lvlJc w:val="left"/>
      <w:pPr>
        <w:ind w:left="1440" w:hanging="360"/>
      </w:pPr>
    </w:lvl>
    <w:lvl w:ilvl="2" w:tplc="93163FDC">
      <w:start w:val="1"/>
      <w:numFmt w:val="lowerRoman"/>
      <w:lvlText w:val="%3."/>
      <w:lvlJc w:val="right"/>
      <w:pPr>
        <w:ind w:left="2160" w:hanging="180"/>
      </w:pPr>
    </w:lvl>
    <w:lvl w:ilvl="3" w:tplc="699E2C3E">
      <w:start w:val="1"/>
      <w:numFmt w:val="decimal"/>
      <w:lvlText w:val="%4."/>
      <w:lvlJc w:val="left"/>
      <w:pPr>
        <w:ind w:left="2880" w:hanging="360"/>
      </w:pPr>
    </w:lvl>
    <w:lvl w:ilvl="4" w:tplc="9B12844E">
      <w:start w:val="1"/>
      <w:numFmt w:val="lowerLetter"/>
      <w:lvlText w:val="%5."/>
      <w:lvlJc w:val="left"/>
      <w:pPr>
        <w:ind w:left="3600" w:hanging="360"/>
      </w:pPr>
    </w:lvl>
    <w:lvl w:ilvl="5" w:tplc="188AB13C">
      <w:start w:val="1"/>
      <w:numFmt w:val="lowerRoman"/>
      <w:lvlText w:val="%6."/>
      <w:lvlJc w:val="right"/>
      <w:pPr>
        <w:ind w:left="4320" w:hanging="180"/>
      </w:pPr>
    </w:lvl>
    <w:lvl w:ilvl="6" w:tplc="D3A4D292">
      <w:start w:val="1"/>
      <w:numFmt w:val="decimal"/>
      <w:lvlText w:val="%7."/>
      <w:lvlJc w:val="left"/>
      <w:pPr>
        <w:ind w:left="5040" w:hanging="360"/>
      </w:pPr>
    </w:lvl>
    <w:lvl w:ilvl="7" w:tplc="AF56F00A">
      <w:start w:val="1"/>
      <w:numFmt w:val="lowerLetter"/>
      <w:lvlText w:val="%8."/>
      <w:lvlJc w:val="left"/>
      <w:pPr>
        <w:ind w:left="5760" w:hanging="360"/>
      </w:pPr>
    </w:lvl>
    <w:lvl w:ilvl="8" w:tplc="30C09FB2">
      <w:start w:val="1"/>
      <w:numFmt w:val="lowerRoman"/>
      <w:lvlText w:val="%9."/>
      <w:lvlJc w:val="right"/>
      <w:pPr>
        <w:ind w:left="6480" w:hanging="180"/>
      </w:pPr>
    </w:lvl>
  </w:abstractNum>
  <w:abstractNum w:abstractNumId="174" w15:restartNumberingAfterBreak="0">
    <w:nsid w:val="1C912417"/>
    <w:multiLevelType w:val="multilevel"/>
    <w:tmpl w:val="6FEE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1C9663C3"/>
    <w:multiLevelType w:val="hybridMultilevel"/>
    <w:tmpl w:val="C2AA9766"/>
    <w:lvl w:ilvl="0" w:tplc="18090017">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6" w15:restartNumberingAfterBreak="0">
    <w:nsid w:val="1CCB4B20"/>
    <w:multiLevelType w:val="hybridMultilevel"/>
    <w:tmpl w:val="BB32ED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7" w15:restartNumberingAfterBreak="0">
    <w:nsid w:val="1CCBE4A3"/>
    <w:multiLevelType w:val="hybridMultilevel"/>
    <w:tmpl w:val="FFFFFFFF"/>
    <w:lvl w:ilvl="0" w:tplc="169A5CEE">
      <w:start w:val="4"/>
      <w:numFmt w:val="decimal"/>
      <w:lvlText w:val="%1."/>
      <w:lvlJc w:val="left"/>
      <w:pPr>
        <w:ind w:left="720" w:hanging="360"/>
      </w:pPr>
    </w:lvl>
    <w:lvl w:ilvl="1" w:tplc="7C904576">
      <w:start w:val="1"/>
      <w:numFmt w:val="lowerLetter"/>
      <w:lvlText w:val="%2."/>
      <w:lvlJc w:val="left"/>
      <w:pPr>
        <w:ind w:left="1440" w:hanging="360"/>
      </w:pPr>
    </w:lvl>
    <w:lvl w:ilvl="2" w:tplc="2D8EEED8">
      <w:start w:val="1"/>
      <w:numFmt w:val="lowerRoman"/>
      <w:lvlText w:val="%3."/>
      <w:lvlJc w:val="right"/>
      <w:pPr>
        <w:ind w:left="2160" w:hanging="180"/>
      </w:pPr>
    </w:lvl>
    <w:lvl w:ilvl="3" w:tplc="7CB2500A">
      <w:start w:val="1"/>
      <w:numFmt w:val="decimal"/>
      <w:lvlText w:val="%4."/>
      <w:lvlJc w:val="left"/>
      <w:pPr>
        <w:ind w:left="2880" w:hanging="360"/>
      </w:pPr>
    </w:lvl>
    <w:lvl w:ilvl="4" w:tplc="FC3E8126">
      <w:start w:val="1"/>
      <w:numFmt w:val="lowerLetter"/>
      <w:lvlText w:val="%5."/>
      <w:lvlJc w:val="left"/>
      <w:pPr>
        <w:ind w:left="3600" w:hanging="360"/>
      </w:pPr>
    </w:lvl>
    <w:lvl w:ilvl="5" w:tplc="05E8D93E">
      <w:start w:val="1"/>
      <w:numFmt w:val="lowerRoman"/>
      <w:lvlText w:val="%6."/>
      <w:lvlJc w:val="right"/>
      <w:pPr>
        <w:ind w:left="4320" w:hanging="180"/>
      </w:pPr>
    </w:lvl>
    <w:lvl w:ilvl="6" w:tplc="DD6862F4">
      <w:start w:val="1"/>
      <w:numFmt w:val="decimal"/>
      <w:lvlText w:val="%7."/>
      <w:lvlJc w:val="left"/>
      <w:pPr>
        <w:ind w:left="5040" w:hanging="360"/>
      </w:pPr>
    </w:lvl>
    <w:lvl w:ilvl="7" w:tplc="92707230">
      <w:start w:val="1"/>
      <w:numFmt w:val="lowerLetter"/>
      <w:lvlText w:val="%8."/>
      <w:lvlJc w:val="left"/>
      <w:pPr>
        <w:ind w:left="5760" w:hanging="360"/>
      </w:pPr>
    </w:lvl>
    <w:lvl w:ilvl="8" w:tplc="3FAC0E32">
      <w:start w:val="1"/>
      <w:numFmt w:val="lowerRoman"/>
      <w:lvlText w:val="%9."/>
      <w:lvlJc w:val="right"/>
      <w:pPr>
        <w:ind w:left="6480" w:hanging="180"/>
      </w:pPr>
    </w:lvl>
  </w:abstractNum>
  <w:abstractNum w:abstractNumId="178" w15:restartNumberingAfterBreak="0">
    <w:nsid w:val="1D033DC7"/>
    <w:multiLevelType w:val="multilevel"/>
    <w:tmpl w:val="904AF75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1D0F04A0"/>
    <w:multiLevelType w:val="hybridMultilevel"/>
    <w:tmpl w:val="89BC98DE"/>
    <w:lvl w:ilvl="0" w:tplc="0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0" w15:restartNumberingAfterBreak="0">
    <w:nsid w:val="1D3B0F62"/>
    <w:multiLevelType w:val="hybridMultilevel"/>
    <w:tmpl w:val="3CE0C580"/>
    <w:lvl w:ilvl="0" w:tplc="1F6E05A8">
      <w:start w:val="25"/>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1" w15:restartNumberingAfterBreak="0">
    <w:nsid w:val="1D5EF0CD"/>
    <w:multiLevelType w:val="hybridMultilevel"/>
    <w:tmpl w:val="FFFFFFFF"/>
    <w:lvl w:ilvl="0" w:tplc="5AA26166">
      <w:start w:val="9"/>
      <w:numFmt w:val="decimal"/>
      <w:lvlText w:val="%1."/>
      <w:lvlJc w:val="left"/>
      <w:pPr>
        <w:ind w:left="720" w:hanging="360"/>
      </w:pPr>
    </w:lvl>
    <w:lvl w:ilvl="1" w:tplc="0F7413DC">
      <w:start w:val="1"/>
      <w:numFmt w:val="lowerLetter"/>
      <w:lvlText w:val="%2."/>
      <w:lvlJc w:val="left"/>
      <w:pPr>
        <w:ind w:left="1440" w:hanging="360"/>
      </w:pPr>
    </w:lvl>
    <w:lvl w:ilvl="2" w:tplc="1D3A98DC">
      <w:start w:val="1"/>
      <w:numFmt w:val="lowerRoman"/>
      <w:lvlText w:val="%3."/>
      <w:lvlJc w:val="right"/>
      <w:pPr>
        <w:ind w:left="2160" w:hanging="180"/>
      </w:pPr>
    </w:lvl>
    <w:lvl w:ilvl="3" w:tplc="D19CC3C0">
      <w:start w:val="1"/>
      <w:numFmt w:val="decimal"/>
      <w:lvlText w:val="%4."/>
      <w:lvlJc w:val="left"/>
      <w:pPr>
        <w:ind w:left="2880" w:hanging="360"/>
      </w:pPr>
    </w:lvl>
    <w:lvl w:ilvl="4" w:tplc="3224F878">
      <w:start w:val="1"/>
      <w:numFmt w:val="lowerLetter"/>
      <w:lvlText w:val="%5."/>
      <w:lvlJc w:val="left"/>
      <w:pPr>
        <w:ind w:left="3600" w:hanging="360"/>
      </w:pPr>
    </w:lvl>
    <w:lvl w:ilvl="5" w:tplc="95F676AA">
      <w:start w:val="1"/>
      <w:numFmt w:val="lowerRoman"/>
      <w:lvlText w:val="%6."/>
      <w:lvlJc w:val="right"/>
      <w:pPr>
        <w:ind w:left="4320" w:hanging="180"/>
      </w:pPr>
    </w:lvl>
    <w:lvl w:ilvl="6" w:tplc="EA82F9EC">
      <w:start w:val="1"/>
      <w:numFmt w:val="decimal"/>
      <w:lvlText w:val="%7."/>
      <w:lvlJc w:val="left"/>
      <w:pPr>
        <w:ind w:left="5040" w:hanging="360"/>
      </w:pPr>
    </w:lvl>
    <w:lvl w:ilvl="7" w:tplc="948E84EA">
      <w:start w:val="1"/>
      <w:numFmt w:val="lowerLetter"/>
      <w:lvlText w:val="%8."/>
      <w:lvlJc w:val="left"/>
      <w:pPr>
        <w:ind w:left="5760" w:hanging="360"/>
      </w:pPr>
    </w:lvl>
    <w:lvl w:ilvl="8" w:tplc="A68CF282">
      <w:start w:val="1"/>
      <w:numFmt w:val="lowerRoman"/>
      <w:lvlText w:val="%9."/>
      <w:lvlJc w:val="right"/>
      <w:pPr>
        <w:ind w:left="6480" w:hanging="180"/>
      </w:pPr>
    </w:lvl>
  </w:abstractNum>
  <w:abstractNum w:abstractNumId="182" w15:restartNumberingAfterBreak="0">
    <w:nsid w:val="1DC17AA4"/>
    <w:multiLevelType w:val="hybridMultilevel"/>
    <w:tmpl w:val="FFFFFFFF"/>
    <w:lvl w:ilvl="0" w:tplc="1DF0C1C8">
      <w:start w:val="1"/>
      <w:numFmt w:val="bullet"/>
      <w:lvlText w:val=""/>
      <w:lvlJc w:val="left"/>
      <w:pPr>
        <w:ind w:left="720" w:hanging="360"/>
      </w:pPr>
      <w:rPr>
        <w:rFonts w:ascii="Symbol" w:hAnsi="Symbol" w:hint="default"/>
      </w:rPr>
    </w:lvl>
    <w:lvl w:ilvl="1" w:tplc="CFBE2B5C">
      <w:start w:val="1"/>
      <w:numFmt w:val="bullet"/>
      <w:lvlText w:val="o"/>
      <w:lvlJc w:val="left"/>
      <w:pPr>
        <w:ind w:left="1440" w:hanging="360"/>
      </w:pPr>
      <w:rPr>
        <w:rFonts w:ascii="Courier New" w:hAnsi="Courier New" w:hint="default"/>
      </w:rPr>
    </w:lvl>
    <w:lvl w:ilvl="2" w:tplc="E1AE82BE">
      <w:start w:val="1"/>
      <w:numFmt w:val="bullet"/>
      <w:lvlText w:val=""/>
      <w:lvlJc w:val="left"/>
      <w:pPr>
        <w:ind w:left="2160" w:hanging="360"/>
      </w:pPr>
      <w:rPr>
        <w:rFonts w:ascii="Wingdings" w:hAnsi="Wingdings" w:hint="default"/>
      </w:rPr>
    </w:lvl>
    <w:lvl w:ilvl="3" w:tplc="25302BBE">
      <w:start w:val="1"/>
      <w:numFmt w:val="bullet"/>
      <w:lvlText w:val=""/>
      <w:lvlJc w:val="left"/>
      <w:pPr>
        <w:ind w:left="2880" w:hanging="360"/>
      </w:pPr>
      <w:rPr>
        <w:rFonts w:ascii="Symbol" w:hAnsi="Symbol" w:hint="default"/>
      </w:rPr>
    </w:lvl>
    <w:lvl w:ilvl="4" w:tplc="777C3C68">
      <w:start w:val="1"/>
      <w:numFmt w:val="bullet"/>
      <w:lvlText w:val="o"/>
      <w:lvlJc w:val="left"/>
      <w:pPr>
        <w:ind w:left="3600" w:hanging="360"/>
      </w:pPr>
      <w:rPr>
        <w:rFonts w:ascii="Courier New" w:hAnsi="Courier New" w:hint="default"/>
      </w:rPr>
    </w:lvl>
    <w:lvl w:ilvl="5" w:tplc="E286D97A">
      <w:start w:val="1"/>
      <w:numFmt w:val="bullet"/>
      <w:lvlText w:val=""/>
      <w:lvlJc w:val="left"/>
      <w:pPr>
        <w:ind w:left="4320" w:hanging="360"/>
      </w:pPr>
      <w:rPr>
        <w:rFonts w:ascii="Wingdings" w:hAnsi="Wingdings" w:hint="default"/>
      </w:rPr>
    </w:lvl>
    <w:lvl w:ilvl="6" w:tplc="CC821F8E">
      <w:start w:val="1"/>
      <w:numFmt w:val="bullet"/>
      <w:lvlText w:val=""/>
      <w:lvlJc w:val="left"/>
      <w:pPr>
        <w:ind w:left="5040" w:hanging="360"/>
      </w:pPr>
      <w:rPr>
        <w:rFonts w:ascii="Symbol" w:hAnsi="Symbol" w:hint="default"/>
      </w:rPr>
    </w:lvl>
    <w:lvl w:ilvl="7" w:tplc="1228F2C0">
      <w:start w:val="1"/>
      <w:numFmt w:val="bullet"/>
      <w:lvlText w:val="o"/>
      <w:lvlJc w:val="left"/>
      <w:pPr>
        <w:ind w:left="5760" w:hanging="360"/>
      </w:pPr>
      <w:rPr>
        <w:rFonts w:ascii="Courier New" w:hAnsi="Courier New" w:hint="default"/>
      </w:rPr>
    </w:lvl>
    <w:lvl w:ilvl="8" w:tplc="503205EC">
      <w:start w:val="1"/>
      <w:numFmt w:val="bullet"/>
      <w:lvlText w:val=""/>
      <w:lvlJc w:val="left"/>
      <w:pPr>
        <w:ind w:left="6480" w:hanging="360"/>
      </w:pPr>
      <w:rPr>
        <w:rFonts w:ascii="Wingdings" w:hAnsi="Wingdings" w:hint="default"/>
      </w:rPr>
    </w:lvl>
  </w:abstractNum>
  <w:abstractNum w:abstractNumId="183" w15:restartNumberingAfterBreak="0">
    <w:nsid w:val="1DC87C10"/>
    <w:multiLevelType w:val="hybridMultilevel"/>
    <w:tmpl w:val="F7121D94"/>
    <w:lvl w:ilvl="0" w:tplc="3552DF72">
      <w:start w:val="1"/>
      <w:numFmt w:val="lowerLetter"/>
      <w:lvlText w:val="%1."/>
      <w:lvlJc w:val="left"/>
      <w:pPr>
        <w:ind w:left="720" w:hanging="360"/>
      </w:pPr>
    </w:lvl>
    <w:lvl w:ilvl="1" w:tplc="B1DA723A">
      <w:start w:val="1"/>
      <w:numFmt w:val="lowerLetter"/>
      <w:lvlText w:val="%2."/>
      <w:lvlJc w:val="left"/>
      <w:pPr>
        <w:ind w:left="1440" w:hanging="360"/>
      </w:pPr>
    </w:lvl>
    <w:lvl w:ilvl="2" w:tplc="A212FD38">
      <w:start w:val="1"/>
      <w:numFmt w:val="lowerRoman"/>
      <w:lvlText w:val="%3."/>
      <w:lvlJc w:val="right"/>
      <w:pPr>
        <w:ind w:left="2160" w:hanging="180"/>
      </w:pPr>
    </w:lvl>
    <w:lvl w:ilvl="3" w:tplc="08D2B136">
      <w:start w:val="1"/>
      <w:numFmt w:val="decimal"/>
      <w:lvlText w:val="%4."/>
      <w:lvlJc w:val="left"/>
      <w:pPr>
        <w:ind w:left="2880" w:hanging="360"/>
      </w:pPr>
    </w:lvl>
    <w:lvl w:ilvl="4" w:tplc="CFD6CD62">
      <w:start w:val="1"/>
      <w:numFmt w:val="lowerLetter"/>
      <w:lvlText w:val="%5."/>
      <w:lvlJc w:val="left"/>
      <w:pPr>
        <w:ind w:left="3600" w:hanging="360"/>
      </w:pPr>
    </w:lvl>
    <w:lvl w:ilvl="5" w:tplc="C56AEF8C">
      <w:start w:val="1"/>
      <w:numFmt w:val="lowerRoman"/>
      <w:lvlText w:val="%6."/>
      <w:lvlJc w:val="right"/>
      <w:pPr>
        <w:ind w:left="4320" w:hanging="180"/>
      </w:pPr>
    </w:lvl>
    <w:lvl w:ilvl="6" w:tplc="8A86B7A0">
      <w:start w:val="1"/>
      <w:numFmt w:val="decimal"/>
      <w:lvlText w:val="%7."/>
      <w:lvlJc w:val="left"/>
      <w:pPr>
        <w:ind w:left="5040" w:hanging="360"/>
      </w:pPr>
    </w:lvl>
    <w:lvl w:ilvl="7" w:tplc="1F2C5B74">
      <w:start w:val="1"/>
      <w:numFmt w:val="lowerLetter"/>
      <w:lvlText w:val="%8."/>
      <w:lvlJc w:val="left"/>
      <w:pPr>
        <w:ind w:left="5760" w:hanging="360"/>
      </w:pPr>
    </w:lvl>
    <w:lvl w:ilvl="8" w:tplc="F932B108">
      <w:start w:val="1"/>
      <w:numFmt w:val="lowerRoman"/>
      <w:lvlText w:val="%9."/>
      <w:lvlJc w:val="right"/>
      <w:pPr>
        <w:ind w:left="6480" w:hanging="180"/>
      </w:pPr>
    </w:lvl>
  </w:abstractNum>
  <w:abstractNum w:abstractNumId="184" w15:restartNumberingAfterBreak="0">
    <w:nsid w:val="1E832D1B"/>
    <w:multiLevelType w:val="hybridMultilevel"/>
    <w:tmpl w:val="254E87B4"/>
    <w:lvl w:ilvl="0" w:tplc="18090001">
      <w:start w:val="1"/>
      <w:numFmt w:val="bullet"/>
      <w:lvlText w:val=""/>
      <w:lvlJc w:val="left"/>
      <w:pPr>
        <w:ind w:left="1080" w:hanging="360"/>
      </w:pPr>
      <w:rPr>
        <w:rFonts w:ascii="Symbol" w:hAnsi="Symbol" w:hint="default"/>
        <w:sz w:val="24"/>
        <w:szCs w:val="24"/>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5" w15:restartNumberingAfterBreak="0">
    <w:nsid w:val="1E9A5DD5"/>
    <w:multiLevelType w:val="hybridMultilevel"/>
    <w:tmpl w:val="8A429BBE"/>
    <w:lvl w:ilvl="0" w:tplc="3850D732">
      <w:start w:val="1"/>
      <w:numFmt w:val="bullet"/>
      <w:lvlText w:val=""/>
      <w:lvlJc w:val="left"/>
      <w:pPr>
        <w:ind w:left="720" w:hanging="360"/>
      </w:pPr>
      <w:rPr>
        <w:rFonts w:ascii="Symbol" w:hAnsi="Symbol" w:hint="default"/>
      </w:rPr>
    </w:lvl>
    <w:lvl w:ilvl="1" w:tplc="5A7264BC">
      <w:start w:val="1"/>
      <w:numFmt w:val="bullet"/>
      <w:lvlText w:val="o"/>
      <w:lvlJc w:val="left"/>
      <w:pPr>
        <w:ind w:left="1440" w:hanging="360"/>
      </w:pPr>
      <w:rPr>
        <w:rFonts w:ascii="Courier New" w:hAnsi="Courier New" w:hint="default"/>
      </w:rPr>
    </w:lvl>
    <w:lvl w:ilvl="2" w:tplc="E14CE09C">
      <w:start w:val="1"/>
      <w:numFmt w:val="bullet"/>
      <w:lvlText w:val=""/>
      <w:lvlJc w:val="left"/>
      <w:pPr>
        <w:ind w:left="2160" w:hanging="360"/>
      </w:pPr>
      <w:rPr>
        <w:rFonts w:ascii="Wingdings" w:hAnsi="Wingdings" w:hint="default"/>
      </w:rPr>
    </w:lvl>
    <w:lvl w:ilvl="3" w:tplc="78D6246C">
      <w:start w:val="1"/>
      <w:numFmt w:val="bullet"/>
      <w:lvlText w:val=""/>
      <w:lvlJc w:val="left"/>
      <w:pPr>
        <w:ind w:left="2880" w:hanging="360"/>
      </w:pPr>
      <w:rPr>
        <w:rFonts w:ascii="Symbol" w:hAnsi="Symbol" w:hint="default"/>
      </w:rPr>
    </w:lvl>
    <w:lvl w:ilvl="4" w:tplc="C23E426C">
      <w:start w:val="1"/>
      <w:numFmt w:val="bullet"/>
      <w:lvlText w:val="o"/>
      <w:lvlJc w:val="left"/>
      <w:pPr>
        <w:ind w:left="3600" w:hanging="360"/>
      </w:pPr>
      <w:rPr>
        <w:rFonts w:ascii="Courier New" w:hAnsi="Courier New" w:hint="default"/>
      </w:rPr>
    </w:lvl>
    <w:lvl w:ilvl="5" w:tplc="7CD4317E">
      <w:start w:val="1"/>
      <w:numFmt w:val="bullet"/>
      <w:lvlText w:val=""/>
      <w:lvlJc w:val="left"/>
      <w:pPr>
        <w:ind w:left="4320" w:hanging="360"/>
      </w:pPr>
      <w:rPr>
        <w:rFonts w:ascii="Wingdings" w:hAnsi="Wingdings" w:hint="default"/>
      </w:rPr>
    </w:lvl>
    <w:lvl w:ilvl="6" w:tplc="3D44E254">
      <w:start w:val="1"/>
      <w:numFmt w:val="bullet"/>
      <w:lvlText w:val=""/>
      <w:lvlJc w:val="left"/>
      <w:pPr>
        <w:ind w:left="5040" w:hanging="360"/>
      </w:pPr>
      <w:rPr>
        <w:rFonts w:ascii="Symbol" w:hAnsi="Symbol" w:hint="default"/>
      </w:rPr>
    </w:lvl>
    <w:lvl w:ilvl="7" w:tplc="6A98C89C">
      <w:start w:val="1"/>
      <w:numFmt w:val="bullet"/>
      <w:lvlText w:val="o"/>
      <w:lvlJc w:val="left"/>
      <w:pPr>
        <w:ind w:left="5760" w:hanging="360"/>
      </w:pPr>
      <w:rPr>
        <w:rFonts w:ascii="Courier New" w:hAnsi="Courier New" w:hint="default"/>
      </w:rPr>
    </w:lvl>
    <w:lvl w:ilvl="8" w:tplc="A6662AB8">
      <w:start w:val="1"/>
      <w:numFmt w:val="bullet"/>
      <w:lvlText w:val=""/>
      <w:lvlJc w:val="left"/>
      <w:pPr>
        <w:ind w:left="6480" w:hanging="360"/>
      </w:pPr>
      <w:rPr>
        <w:rFonts w:ascii="Wingdings" w:hAnsi="Wingdings" w:hint="default"/>
      </w:rPr>
    </w:lvl>
  </w:abstractNum>
  <w:abstractNum w:abstractNumId="186" w15:restartNumberingAfterBreak="0">
    <w:nsid w:val="1E9E592C"/>
    <w:multiLevelType w:val="hybridMultilevel"/>
    <w:tmpl w:val="6FB885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7" w15:restartNumberingAfterBreak="0">
    <w:nsid w:val="1EAA26B3"/>
    <w:multiLevelType w:val="hybridMultilevel"/>
    <w:tmpl w:val="AFC2569C"/>
    <w:lvl w:ilvl="0" w:tplc="0C0A0011">
      <w:start w:val="1"/>
      <w:numFmt w:val="decimal"/>
      <w:lvlText w:val="%1)"/>
      <w:lvlJc w:val="lef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Cambria Math" w:hAnsi="Cambria Math"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Cambria Math" w:hAnsi="Cambria Math"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Cambria Math" w:hAnsi="Cambria Math" w:hint="default"/>
      </w:rPr>
    </w:lvl>
  </w:abstractNum>
  <w:abstractNum w:abstractNumId="188" w15:restartNumberingAfterBreak="0">
    <w:nsid w:val="1EAC68F1"/>
    <w:multiLevelType w:val="hybridMultilevel"/>
    <w:tmpl w:val="41E8D650"/>
    <w:lvl w:ilvl="0" w:tplc="080C0019">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9" w15:restartNumberingAfterBreak="0">
    <w:nsid w:val="1EF2EC73"/>
    <w:multiLevelType w:val="hybridMultilevel"/>
    <w:tmpl w:val="E3A267EC"/>
    <w:lvl w:ilvl="0" w:tplc="4C82A8B8">
      <w:start w:val="1"/>
      <w:numFmt w:val="bullet"/>
      <w:lvlText w:val="-"/>
      <w:lvlJc w:val="left"/>
      <w:pPr>
        <w:ind w:left="720" w:hanging="360"/>
      </w:pPr>
      <w:rPr>
        <w:rFonts w:ascii="Symbol" w:hAnsi="Symbol" w:hint="default"/>
      </w:rPr>
    </w:lvl>
    <w:lvl w:ilvl="1" w:tplc="2DE2B662">
      <w:start w:val="1"/>
      <w:numFmt w:val="bullet"/>
      <w:lvlText w:val="o"/>
      <w:lvlJc w:val="left"/>
      <w:pPr>
        <w:ind w:left="1440" w:hanging="360"/>
      </w:pPr>
      <w:rPr>
        <w:rFonts w:ascii="Courier New" w:hAnsi="Courier New" w:hint="default"/>
      </w:rPr>
    </w:lvl>
    <w:lvl w:ilvl="2" w:tplc="3F42369C">
      <w:start w:val="1"/>
      <w:numFmt w:val="bullet"/>
      <w:lvlText w:val=""/>
      <w:lvlJc w:val="left"/>
      <w:pPr>
        <w:ind w:left="2160" w:hanging="360"/>
      </w:pPr>
      <w:rPr>
        <w:rFonts w:ascii="Wingdings" w:hAnsi="Wingdings" w:hint="default"/>
      </w:rPr>
    </w:lvl>
    <w:lvl w:ilvl="3" w:tplc="85CEC0E0">
      <w:start w:val="1"/>
      <w:numFmt w:val="bullet"/>
      <w:lvlText w:val=""/>
      <w:lvlJc w:val="left"/>
      <w:pPr>
        <w:ind w:left="2880" w:hanging="360"/>
      </w:pPr>
      <w:rPr>
        <w:rFonts w:ascii="Symbol" w:hAnsi="Symbol" w:hint="default"/>
      </w:rPr>
    </w:lvl>
    <w:lvl w:ilvl="4" w:tplc="EAB824B0">
      <w:start w:val="1"/>
      <w:numFmt w:val="bullet"/>
      <w:lvlText w:val="o"/>
      <w:lvlJc w:val="left"/>
      <w:pPr>
        <w:ind w:left="3600" w:hanging="360"/>
      </w:pPr>
      <w:rPr>
        <w:rFonts w:ascii="Courier New" w:hAnsi="Courier New" w:hint="default"/>
      </w:rPr>
    </w:lvl>
    <w:lvl w:ilvl="5" w:tplc="E5860CEE">
      <w:start w:val="1"/>
      <w:numFmt w:val="bullet"/>
      <w:lvlText w:val=""/>
      <w:lvlJc w:val="left"/>
      <w:pPr>
        <w:ind w:left="4320" w:hanging="360"/>
      </w:pPr>
      <w:rPr>
        <w:rFonts w:ascii="Wingdings" w:hAnsi="Wingdings" w:hint="default"/>
      </w:rPr>
    </w:lvl>
    <w:lvl w:ilvl="6" w:tplc="6C1269E4">
      <w:start w:val="1"/>
      <w:numFmt w:val="bullet"/>
      <w:lvlText w:val=""/>
      <w:lvlJc w:val="left"/>
      <w:pPr>
        <w:ind w:left="5040" w:hanging="360"/>
      </w:pPr>
      <w:rPr>
        <w:rFonts w:ascii="Symbol" w:hAnsi="Symbol" w:hint="default"/>
      </w:rPr>
    </w:lvl>
    <w:lvl w:ilvl="7" w:tplc="C1928E2E">
      <w:start w:val="1"/>
      <w:numFmt w:val="bullet"/>
      <w:lvlText w:val="o"/>
      <w:lvlJc w:val="left"/>
      <w:pPr>
        <w:ind w:left="5760" w:hanging="360"/>
      </w:pPr>
      <w:rPr>
        <w:rFonts w:ascii="Courier New" w:hAnsi="Courier New" w:hint="default"/>
      </w:rPr>
    </w:lvl>
    <w:lvl w:ilvl="8" w:tplc="DE00459A">
      <w:start w:val="1"/>
      <w:numFmt w:val="bullet"/>
      <w:lvlText w:val=""/>
      <w:lvlJc w:val="left"/>
      <w:pPr>
        <w:ind w:left="6480" w:hanging="360"/>
      </w:pPr>
      <w:rPr>
        <w:rFonts w:ascii="Wingdings" w:hAnsi="Wingdings" w:hint="default"/>
      </w:rPr>
    </w:lvl>
  </w:abstractNum>
  <w:abstractNum w:abstractNumId="190" w15:restartNumberingAfterBreak="0">
    <w:nsid w:val="1EF42DD0"/>
    <w:multiLevelType w:val="hybridMultilevel"/>
    <w:tmpl w:val="A06264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1" w15:restartNumberingAfterBreak="0">
    <w:nsid w:val="1EF63531"/>
    <w:multiLevelType w:val="hybridMultilevel"/>
    <w:tmpl w:val="FFFFFFFF"/>
    <w:lvl w:ilvl="0" w:tplc="E76A602C">
      <w:start w:val="1"/>
      <w:numFmt w:val="bullet"/>
      <w:lvlText w:val=""/>
      <w:lvlJc w:val="left"/>
      <w:pPr>
        <w:ind w:left="720" w:hanging="360"/>
      </w:pPr>
      <w:rPr>
        <w:rFonts w:ascii="Segoe UI" w:hAnsi="Segoe UI" w:hint="default"/>
      </w:rPr>
    </w:lvl>
    <w:lvl w:ilvl="1" w:tplc="D78CBC28">
      <w:start w:val="1"/>
      <w:numFmt w:val="bullet"/>
      <w:lvlText w:val="o"/>
      <w:lvlJc w:val="left"/>
      <w:pPr>
        <w:ind w:left="1440" w:hanging="360"/>
      </w:pPr>
      <w:rPr>
        <w:rFonts w:ascii="Courier New" w:hAnsi="Courier New" w:hint="default"/>
      </w:rPr>
    </w:lvl>
    <w:lvl w:ilvl="2" w:tplc="057CD43A">
      <w:start w:val="1"/>
      <w:numFmt w:val="bullet"/>
      <w:lvlText w:val=""/>
      <w:lvlJc w:val="left"/>
      <w:pPr>
        <w:ind w:left="2160" w:hanging="360"/>
      </w:pPr>
      <w:rPr>
        <w:rFonts w:ascii="Cambria Math" w:hAnsi="Cambria Math" w:hint="default"/>
      </w:rPr>
    </w:lvl>
    <w:lvl w:ilvl="3" w:tplc="75549562">
      <w:start w:val="1"/>
      <w:numFmt w:val="bullet"/>
      <w:lvlText w:val=""/>
      <w:lvlJc w:val="left"/>
      <w:pPr>
        <w:ind w:left="2880" w:hanging="360"/>
      </w:pPr>
      <w:rPr>
        <w:rFonts w:ascii="Segoe UI" w:hAnsi="Segoe UI" w:hint="default"/>
      </w:rPr>
    </w:lvl>
    <w:lvl w:ilvl="4" w:tplc="6D46B136">
      <w:start w:val="1"/>
      <w:numFmt w:val="bullet"/>
      <w:lvlText w:val="o"/>
      <w:lvlJc w:val="left"/>
      <w:pPr>
        <w:ind w:left="3600" w:hanging="360"/>
      </w:pPr>
      <w:rPr>
        <w:rFonts w:ascii="Courier New" w:hAnsi="Courier New" w:hint="default"/>
      </w:rPr>
    </w:lvl>
    <w:lvl w:ilvl="5" w:tplc="04A0AA44">
      <w:start w:val="1"/>
      <w:numFmt w:val="bullet"/>
      <w:lvlText w:val=""/>
      <w:lvlJc w:val="left"/>
      <w:pPr>
        <w:ind w:left="4320" w:hanging="360"/>
      </w:pPr>
      <w:rPr>
        <w:rFonts w:ascii="Cambria Math" w:hAnsi="Cambria Math" w:hint="default"/>
      </w:rPr>
    </w:lvl>
    <w:lvl w:ilvl="6" w:tplc="896C637C">
      <w:start w:val="1"/>
      <w:numFmt w:val="bullet"/>
      <w:lvlText w:val=""/>
      <w:lvlJc w:val="left"/>
      <w:pPr>
        <w:ind w:left="5040" w:hanging="360"/>
      </w:pPr>
      <w:rPr>
        <w:rFonts w:ascii="Segoe UI" w:hAnsi="Segoe UI" w:hint="default"/>
      </w:rPr>
    </w:lvl>
    <w:lvl w:ilvl="7" w:tplc="1AFCAB9A">
      <w:start w:val="1"/>
      <w:numFmt w:val="bullet"/>
      <w:lvlText w:val="o"/>
      <w:lvlJc w:val="left"/>
      <w:pPr>
        <w:ind w:left="5760" w:hanging="360"/>
      </w:pPr>
      <w:rPr>
        <w:rFonts w:ascii="Courier New" w:hAnsi="Courier New" w:hint="default"/>
      </w:rPr>
    </w:lvl>
    <w:lvl w:ilvl="8" w:tplc="ACAA6306">
      <w:start w:val="1"/>
      <w:numFmt w:val="bullet"/>
      <w:lvlText w:val=""/>
      <w:lvlJc w:val="left"/>
      <w:pPr>
        <w:ind w:left="6480" w:hanging="360"/>
      </w:pPr>
      <w:rPr>
        <w:rFonts w:ascii="Cambria Math" w:hAnsi="Cambria Math" w:hint="default"/>
      </w:rPr>
    </w:lvl>
  </w:abstractNum>
  <w:abstractNum w:abstractNumId="192" w15:restartNumberingAfterBreak="0">
    <w:nsid w:val="1F2917EA"/>
    <w:multiLevelType w:val="multilevel"/>
    <w:tmpl w:val="3F062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1F4A0A56"/>
    <w:multiLevelType w:val="hybridMultilevel"/>
    <w:tmpl w:val="793EDDF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4" w15:restartNumberingAfterBreak="0">
    <w:nsid w:val="1F867D0D"/>
    <w:multiLevelType w:val="hybridMultilevel"/>
    <w:tmpl w:val="AF5A99A4"/>
    <w:lvl w:ilvl="0" w:tplc="892E0A2C">
      <w:start w:val="1"/>
      <w:numFmt w:val="low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5" w15:restartNumberingAfterBreak="0">
    <w:nsid w:val="1F8FDFE6"/>
    <w:multiLevelType w:val="hybridMultilevel"/>
    <w:tmpl w:val="FFFFFFFF"/>
    <w:lvl w:ilvl="0" w:tplc="B3B6FF2A">
      <w:start w:val="1"/>
      <w:numFmt w:val="bullet"/>
      <w:lvlText w:val=""/>
      <w:lvlJc w:val="left"/>
      <w:pPr>
        <w:ind w:left="720" w:hanging="360"/>
      </w:pPr>
      <w:rPr>
        <w:rFonts w:ascii="Symbol" w:hAnsi="Symbol" w:hint="default"/>
      </w:rPr>
    </w:lvl>
    <w:lvl w:ilvl="1" w:tplc="972E2E84">
      <w:start w:val="1"/>
      <w:numFmt w:val="bullet"/>
      <w:lvlText w:val="-"/>
      <w:lvlJc w:val="left"/>
      <w:pPr>
        <w:ind w:left="1440" w:hanging="360"/>
      </w:pPr>
      <w:rPr>
        <w:rFonts w:ascii="Calibri" w:hAnsi="Calibri" w:hint="default"/>
      </w:rPr>
    </w:lvl>
    <w:lvl w:ilvl="2" w:tplc="0B1464CA">
      <w:start w:val="1"/>
      <w:numFmt w:val="bullet"/>
      <w:lvlText w:val=""/>
      <w:lvlJc w:val="left"/>
      <w:pPr>
        <w:ind w:left="2160" w:hanging="360"/>
      </w:pPr>
      <w:rPr>
        <w:rFonts w:ascii="Wingdings" w:hAnsi="Wingdings" w:hint="default"/>
      </w:rPr>
    </w:lvl>
    <w:lvl w:ilvl="3" w:tplc="F8A6C55C">
      <w:start w:val="1"/>
      <w:numFmt w:val="bullet"/>
      <w:lvlText w:val=""/>
      <w:lvlJc w:val="left"/>
      <w:pPr>
        <w:ind w:left="2880" w:hanging="360"/>
      </w:pPr>
      <w:rPr>
        <w:rFonts w:ascii="Symbol" w:hAnsi="Symbol" w:hint="default"/>
      </w:rPr>
    </w:lvl>
    <w:lvl w:ilvl="4" w:tplc="092C5D50">
      <w:start w:val="1"/>
      <w:numFmt w:val="bullet"/>
      <w:lvlText w:val="o"/>
      <w:lvlJc w:val="left"/>
      <w:pPr>
        <w:ind w:left="3600" w:hanging="360"/>
      </w:pPr>
      <w:rPr>
        <w:rFonts w:ascii="Courier New" w:hAnsi="Courier New" w:hint="default"/>
      </w:rPr>
    </w:lvl>
    <w:lvl w:ilvl="5" w:tplc="2DD488FA">
      <w:start w:val="1"/>
      <w:numFmt w:val="bullet"/>
      <w:lvlText w:val=""/>
      <w:lvlJc w:val="left"/>
      <w:pPr>
        <w:ind w:left="4320" w:hanging="360"/>
      </w:pPr>
      <w:rPr>
        <w:rFonts w:ascii="Wingdings" w:hAnsi="Wingdings" w:hint="default"/>
      </w:rPr>
    </w:lvl>
    <w:lvl w:ilvl="6" w:tplc="76760C90">
      <w:start w:val="1"/>
      <w:numFmt w:val="bullet"/>
      <w:lvlText w:val=""/>
      <w:lvlJc w:val="left"/>
      <w:pPr>
        <w:ind w:left="5040" w:hanging="360"/>
      </w:pPr>
      <w:rPr>
        <w:rFonts w:ascii="Symbol" w:hAnsi="Symbol" w:hint="default"/>
      </w:rPr>
    </w:lvl>
    <w:lvl w:ilvl="7" w:tplc="58B80C26">
      <w:start w:val="1"/>
      <w:numFmt w:val="bullet"/>
      <w:lvlText w:val="o"/>
      <w:lvlJc w:val="left"/>
      <w:pPr>
        <w:ind w:left="5760" w:hanging="360"/>
      </w:pPr>
      <w:rPr>
        <w:rFonts w:ascii="Courier New" w:hAnsi="Courier New" w:hint="default"/>
      </w:rPr>
    </w:lvl>
    <w:lvl w:ilvl="8" w:tplc="7C764058">
      <w:start w:val="1"/>
      <w:numFmt w:val="bullet"/>
      <w:lvlText w:val=""/>
      <w:lvlJc w:val="left"/>
      <w:pPr>
        <w:ind w:left="6480" w:hanging="360"/>
      </w:pPr>
      <w:rPr>
        <w:rFonts w:ascii="Wingdings" w:hAnsi="Wingdings" w:hint="default"/>
      </w:rPr>
    </w:lvl>
  </w:abstractNum>
  <w:abstractNum w:abstractNumId="196" w15:restartNumberingAfterBreak="0">
    <w:nsid w:val="1FA373CD"/>
    <w:multiLevelType w:val="hybridMultilevel"/>
    <w:tmpl w:val="A2E0DA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7" w15:restartNumberingAfterBreak="0">
    <w:nsid w:val="1FA52BE5"/>
    <w:multiLevelType w:val="multilevel"/>
    <w:tmpl w:val="76588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1FAC5028"/>
    <w:multiLevelType w:val="multilevel"/>
    <w:tmpl w:val="9E22EC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9" w15:restartNumberingAfterBreak="0">
    <w:nsid w:val="1FC57EB4"/>
    <w:multiLevelType w:val="hybridMultilevel"/>
    <w:tmpl w:val="82DCD278"/>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0" w15:restartNumberingAfterBreak="0">
    <w:nsid w:val="1FD32F02"/>
    <w:multiLevelType w:val="hybridMultilevel"/>
    <w:tmpl w:val="1BA6F6AC"/>
    <w:lvl w:ilvl="0" w:tplc="1809001B">
      <w:start w:val="1"/>
      <w:numFmt w:val="lowerRoman"/>
      <w:lvlText w:val="%1."/>
      <w:lvlJc w:val="right"/>
      <w:pPr>
        <w:ind w:left="1440" w:hanging="360"/>
      </w:pPr>
      <w:rPr>
        <w:rFonts w:hint="default"/>
      </w:rPr>
    </w:lvl>
    <w:lvl w:ilvl="1" w:tplc="2D9C0DB8">
      <w:start w:val="1"/>
      <w:numFmt w:val="bullet"/>
      <w:lvlText w:val="o"/>
      <w:lvlJc w:val="left"/>
      <w:pPr>
        <w:ind w:left="2160" w:hanging="360"/>
      </w:pPr>
      <w:rPr>
        <w:rFonts w:ascii="Courier New" w:hAnsi="Courier New" w:hint="default"/>
      </w:rPr>
    </w:lvl>
    <w:lvl w:ilvl="2" w:tplc="932C93D8">
      <w:start w:val="1"/>
      <w:numFmt w:val="bullet"/>
      <w:lvlText w:val=""/>
      <w:lvlJc w:val="left"/>
      <w:pPr>
        <w:ind w:left="2880" w:hanging="360"/>
      </w:pPr>
      <w:rPr>
        <w:rFonts w:ascii="Wingdings" w:hAnsi="Wingdings" w:hint="default"/>
      </w:rPr>
    </w:lvl>
    <w:lvl w:ilvl="3" w:tplc="4B16F8DA">
      <w:start w:val="1"/>
      <w:numFmt w:val="bullet"/>
      <w:lvlText w:val=""/>
      <w:lvlJc w:val="left"/>
      <w:pPr>
        <w:ind w:left="3600" w:hanging="360"/>
      </w:pPr>
      <w:rPr>
        <w:rFonts w:ascii="Symbol" w:hAnsi="Symbol" w:hint="default"/>
      </w:rPr>
    </w:lvl>
    <w:lvl w:ilvl="4" w:tplc="5D448ABE">
      <w:start w:val="1"/>
      <w:numFmt w:val="bullet"/>
      <w:lvlText w:val="o"/>
      <w:lvlJc w:val="left"/>
      <w:pPr>
        <w:ind w:left="4320" w:hanging="360"/>
      </w:pPr>
      <w:rPr>
        <w:rFonts w:ascii="Courier New" w:hAnsi="Courier New" w:hint="default"/>
      </w:rPr>
    </w:lvl>
    <w:lvl w:ilvl="5" w:tplc="FF9CD1CA">
      <w:start w:val="1"/>
      <w:numFmt w:val="bullet"/>
      <w:lvlText w:val=""/>
      <w:lvlJc w:val="left"/>
      <w:pPr>
        <w:ind w:left="5040" w:hanging="360"/>
      </w:pPr>
      <w:rPr>
        <w:rFonts w:ascii="Wingdings" w:hAnsi="Wingdings" w:hint="default"/>
      </w:rPr>
    </w:lvl>
    <w:lvl w:ilvl="6" w:tplc="C0668976">
      <w:start w:val="1"/>
      <w:numFmt w:val="bullet"/>
      <w:lvlText w:val=""/>
      <w:lvlJc w:val="left"/>
      <w:pPr>
        <w:ind w:left="5760" w:hanging="360"/>
      </w:pPr>
      <w:rPr>
        <w:rFonts w:ascii="Symbol" w:hAnsi="Symbol" w:hint="default"/>
      </w:rPr>
    </w:lvl>
    <w:lvl w:ilvl="7" w:tplc="D562BF1E">
      <w:start w:val="1"/>
      <w:numFmt w:val="bullet"/>
      <w:lvlText w:val="o"/>
      <w:lvlJc w:val="left"/>
      <w:pPr>
        <w:ind w:left="6480" w:hanging="360"/>
      </w:pPr>
      <w:rPr>
        <w:rFonts w:ascii="Courier New" w:hAnsi="Courier New" w:hint="default"/>
      </w:rPr>
    </w:lvl>
    <w:lvl w:ilvl="8" w:tplc="8EC21BFE">
      <w:start w:val="1"/>
      <w:numFmt w:val="bullet"/>
      <w:lvlText w:val=""/>
      <w:lvlJc w:val="left"/>
      <w:pPr>
        <w:ind w:left="7200" w:hanging="360"/>
      </w:pPr>
      <w:rPr>
        <w:rFonts w:ascii="Wingdings" w:hAnsi="Wingdings" w:hint="default"/>
      </w:rPr>
    </w:lvl>
  </w:abstractNum>
  <w:abstractNum w:abstractNumId="201" w15:restartNumberingAfterBreak="0">
    <w:nsid w:val="1FE2A96D"/>
    <w:multiLevelType w:val="hybridMultilevel"/>
    <w:tmpl w:val="FFFFFFFF"/>
    <w:lvl w:ilvl="0" w:tplc="4C105798">
      <w:start w:val="1"/>
      <w:numFmt w:val="bullet"/>
      <w:lvlText w:val="·"/>
      <w:lvlJc w:val="left"/>
      <w:pPr>
        <w:ind w:left="720" w:hanging="360"/>
      </w:pPr>
      <w:rPr>
        <w:rFonts w:ascii="Symbol" w:hAnsi="Symbol" w:hint="default"/>
      </w:rPr>
    </w:lvl>
    <w:lvl w:ilvl="1" w:tplc="BBD2FF70">
      <w:start w:val="1"/>
      <w:numFmt w:val="bullet"/>
      <w:lvlText w:val="o"/>
      <w:lvlJc w:val="left"/>
      <w:pPr>
        <w:ind w:left="1440" w:hanging="360"/>
      </w:pPr>
      <w:rPr>
        <w:rFonts w:ascii="Courier New" w:hAnsi="Courier New" w:hint="default"/>
      </w:rPr>
    </w:lvl>
    <w:lvl w:ilvl="2" w:tplc="3A068084">
      <w:start w:val="1"/>
      <w:numFmt w:val="bullet"/>
      <w:pStyle w:val="LegalNumPar3"/>
      <w:lvlText w:val=""/>
      <w:lvlJc w:val="left"/>
      <w:pPr>
        <w:ind w:left="2160" w:hanging="360"/>
      </w:pPr>
      <w:rPr>
        <w:rFonts w:ascii="Wingdings" w:hAnsi="Wingdings" w:hint="default"/>
      </w:rPr>
    </w:lvl>
    <w:lvl w:ilvl="3" w:tplc="DF5C69DE">
      <w:start w:val="1"/>
      <w:numFmt w:val="bullet"/>
      <w:lvlText w:val=""/>
      <w:lvlJc w:val="left"/>
      <w:pPr>
        <w:ind w:left="2880" w:hanging="360"/>
      </w:pPr>
      <w:rPr>
        <w:rFonts w:ascii="Symbol" w:hAnsi="Symbol" w:hint="default"/>
      </w:rPr>
    </w:lvl>
    <w:lvl w:ilvl="4" w:tplc="0A7ECCBC">
      <w:start w:val="1"/>
      <w:numFmt w:val="bullet"/>
      <w:lvlText w:val="o"/>
      <w:lvlJc w:val="left"/>
      <w:pPr>
        <w:ind w:left="3600" w:hanging="360"/>
      </w:pPr>
      <w:rPr>
        <w:rFonts w:ascii="Courier New" w:hAnsi="Courier New" w:hint="default"/>
      </w:rPr>
    </w:lvl>
    <w:lvl w:ilvl="5" w:tplc="C48E069A">
      <w:start w:val="1"/>
      <w:numFmt w:val="bullet"/>
      <w:lvlText w:val=""/>
      <w:lvlJc w:val="left"/>
      <w:pPr>
        <w:ind w:left="4320" w:hanging="360"/>
      </w:pPr>
      <w:rPr>
        <w:rFonts w:ascii="Wingdings" w:hAnsi="Wingdings" w:hint="default"/>
      </w:rPr>
    </w:lvl>
    <w:lvl w:ilvl="6" w:tplc="C5E21020">
      <w:start w:val="1"/>
      <w:numFmt w:val="bullet"/>
      <w:lvlText w:val=""/>
      <w:lvlJc w:val="left"/>
      <w:pPr>
        <w:ind w:left="5040" w:hanging="360"/>
      </w:pPr>
      <w:rPr>
        <w:rFonts w:ascii="Symbol" w:hAnsi="Symbol" w:hint="default"/>
      </w:rPr>
    </w:lvl>
    <w:lvl w:ilvl="7" w:tplc="0100CFE2">
      <w:start w:val="1"/>
      <w:numFmt w:val="bullet"/>
      <w:lvlText w:val="o"/>
      <w:lvlJc w:val="left"/>
      <w:pPr>
        <w:ind w:left="5760" w:hanging="360"/>
      </w:pPr>
      <w:rPr>
        <w:rFonts w:ascii="Courier New" w:hAnsi="Courier New" w:hint="default"/>
      </w:rPr>
    </w:lvl>
    <w:lvl w:ilvl="8" w:tplc="9D56902C">
      <w:start w:val="1"/>
      <w:numFmt w:val="bullet"/>
      <w:lvlText w:val=""/>
      <w:lvlJc w:val="left"/>
      <w:pPr>
        <w:ind w:left="6480" w:hanging="360"/>
      </w:pPr>
      <w:rPr>
        <w:rFonts w:ascii="Wingdings" w:hAnsi="Wingdings" w:hint="default"/>
      </w:rPr>
    </w:lvl>
  </w:abstractNum>
  <w:abstractNum w:abstractNumId="202" w15:restartNumberingAfterBreak="0">
    <w:nsid w:val="1FF6510E"/>
    <w:multiLevelType w:val="hybridMultilevel"/>
    <w:tmpl w:val="91641C6A"/>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3" w15:restartNumberingAfterBreak="0">
    <w:nsid w:val="1FFE2FD8"/>
    <w:multiLevelType w:val="hybridMultilevel"/>
    <w:tmpl w:val="FFFFFFFF"/>
    <w:lvl w:ilvl="0" w:tplc="8C8A30C2">
      <w:start w:val="1"/>
      <w:numFmt w:val="bullet"/>
      <w:lvlText w:val=""/>
      <w:lvlJc w:val="left"/>
      <w:pPr>
        <w:ind w:left="720" w:hanging="360"/>
      </w:pPr>
      <w:rPr>
        <w:rFonts w:ascii="Courier New" w:hAnsi="Courier New" w:hint="default"/>
      </w:rPr>
    </w:lvl>
    <w:lvl w:ilvl="1" w:tplc="E6B68BD2">
      <w:start w:val="1"/>
      <w:numFmt w:val="bullet"/>
      <w:lvlText w:val="o"/>
      <w:lvlJc w:val="left"/>
      <w:pPr>
        <w:ind w:left="1440" w:hanging="360"/>
      </w:pPr>
      <w:rPr>
        <w:rFonts w:ascii="Cambria Math" w:hAnsi="Cambria Math" w:hint="default"/>
      </w:rPr>
    </w:lvl>
    <w:lvl w:ilvl="2" w:tplc="9C3E761A">
      <w:start w:val="1"/>
      <w:numFmt w:val="bullet"/>
      <w:lvlText w:val=""/>
      <w:lvlJc w:val="left"/>
      <w:pPr>
        <w:ind w:left="2160" w:hanging="360"/>
      </w:pPr>
      <w:rPr>
        <w:rFonts w:ascii="Wingdings" w:hAnsi="Wingdings" w:hint="default"/>
      </w:rPr>
    </w:lvl>
    <w:lvl w:ilvl="3" w:tplc="5E3A3288">
      <w:start w:val="1"/>
      <w:numFmt w:val="bullet"/>
      <w:lvlText w:val=""/>
      <w:lvlJc w:val="left"/>
      <w:pPr>
        <w:ind w:left="2880" w:hanging="360"/>
      </w:pPr>
      <w:rPr>
        <w:rFonts w:ascii="Courier New" w:hAnsi="Courier New" w:hint="default"/>
      </w:rPr>
    </w:lvl>
    <w:lvl w:ilvl="4" w:tplc="177C66E8">
      <w:start w:val="1"/>
      <w:numFmt w:val="bullet"/>
      <w:lvlText w:val="o"/>
      <w:lvlJc w:val="left"/>
      <w:pPr>
        <w:ind w:left="3600" w:hanging="360"/>
      </w:pPr>
      <w:rPr>
        <w:rFonts w:ascii="Cambria Math" w:hAnsi="Cambria Math" w:hint="default"/>
      </w:rPr>
    </w:lvl>
    <w:lvl w:ilvl="5" w:tplc="34B2EA7E">
      <w:start w:val="1"/>
      <w:numFmt w:val="bullet"/>
      <w:lvlText w:val=""/>
      <w:lvlJc w:val="left"/>
      <w:pPr>
        <w:ind w:left="4320" w:hanging="360"/>
      </w:pPr>
      <w:rPr>
        <w:rFonts w:ascii="Wingdings" w:hAnsi="Wingdings" w:hint="default"/>
      </w:rPr>
    </w:lvl>
    <w:lvl w:ilvl="6" w:tplc="9D567332">
      <w:start w:val="1"/>
      <w:numFmt w:val="bullet"/>
      <w:lvlText w:val=""/>
      <w:lvlJc w:val="left"/>
      <w:pPr>
        <w:ind w:left="5040" w:hanging="360"/>
      </w:pPr>
      <w:rPr>
        <w:rFonts w:ascii="Courier New" w:hAnsi="Courier New" w:hint="default"/>
      </w:rPr>
    </w:lvl>
    <w:lvl w:ilvl="7" w:tplc="C5C25534">
      <w:start w:val="1"/>
      <w:numFmt w:val="bullet"/>
      <w:lvlText w:val="o"/>
      <w:lvlJc w:val="left"/>
      <w:pPr>
        <w:ind w:left="5760" w:hanging="360"/>
      </w:pPr>
      <w:rPr>
        <w:rFonts w:ascii="Cambria Math" w:hAnsi="Cambria Math" w:hint="default"/>
      </w:rPr>
    </w:lvl>
    <w:lvl w:ilvl="8" w:tplc="35BA6FEE">
      <w:start w:val="1"/>
      <w:numFmt w:val="bullet"/>
      <w:lvlText w:val=""/>
      <w:lvlJc w:val="left"/>
      <w:pPr>
        <w:ind w:left="6480" w:hanging="360"/>
      </w:pPr>
      <w:rPr>
        <w:rFonts w:ascii="Wingdings" w:hAnsi="Wingdings" w:hint="default"/>
      </w:rPr>
    </w:lvl>
  </w:abstractNum>
  <w:abstractNum w:abstractNumId="204" w15:restartNumberingAfterBreak="0">
    <w:nsid w:val="2037C66A"/>
    <w:multiLevelType w:val="hybridMultilevel"/>
    <w:tmpl w:val="FFFFFFFF"/>
    <w:lvl w:ilvl="0" w:tplc="6A34D0E2">
      <w:start w:val="1"/>
      <w:numFmt w:val="bullet"/>
      <w:lvlText w:val="·"/>
      <w:lvlJc w:val="left"/>
      <w:pPr>
        <w:ind w:left="720" w:hanging="360"/>
      </w:pPr>
      <w:rPr>
        <w:rFonts w:ascii="Symbol" w:hAnsi="Symbol" w:hint="default"/>
      </w:rPr>
    </w:lvl>
    <w:lvl w:ilvl="1" w:tplc="0A06E67A">
      <w:start w:val="1"/>
      <w:numFmt w:val="bullet"/>
      <w:lvlText w:val="o"/>
      <w:lvlJc w:val="left"/>
      <w:pPr>
        <w:ind w:left="1440" w:hanging="360"/>
      </w:pPr>
      <w:rPr>
        <w:rFonts w:ascii="Courier New" w:hAnsi="Courier New" w:hint="default"/>
      </w:rPr>
    </w:lvl>
    <w:lvl w:ilvl="2" w:tplc="710A20FA">
      <w:start w:val="1"/>
      <w:numFmt w:val="bullet"/>
      <w:lvlText w:val=""/>
      <w:lvlJc w:val="left"/>
      <w:pPr>
        <w:ind w:left="2160" w:hanging="360"/>
      </w:pPr>
      <w:rPr>
        <w:rFonts w:ascii="Wingdings" w:hAnsi="Wingdings" w:hint="default"/>
      </w:rPr>
    </w:lvl>
    <w:lvl w:ilvl="3" w:tplc="7EBEA020">
      <w:start w:val="1"/>
      <w:numFmt w:val="bullet"/>
      <w:lvlText w:val=""/>
      <w:lvlJc w:val="left"/>
      <w:pPr>
        <w:ind w:left="2880" w:hanging="360"/>
      </w:pPr>
      <w:rPr>
        <w:rFonts w:ascii="Symbol" w:hAnsi="Symbol" w:hint="default"/>
      </w:rPr>
    </w:lvl>
    <w:lvl w:ilvl="4" w:tplc="892A8BFE">
      <w:start w:val="1"/>
      <w:numFmt w:val="bullet"/>
      <w:lvlText w:val="o"/>
      <w:lvlJc w:val="left"/>
      <w:pPr>
        <w:ind w:left="3600" w:hanging="360"/>
      </w:pPr>
      <w:rPr>
        <w:rFonts w:ascii="Courier New" w:hAnsi="Courier New" w:hint="default"/>
      </w:rPr>
    </w:lvl>
    <w:lvl w:ilvl="5" w:tplc="1196F89A">
      <w:start w:val="1"/>
      <w:numFmt w:val="bullet"/>
      <w:lvlText w:val=""/>
      <w:lvlJc w:val="left"/>
      <w:pPr>
        <w:ind w:left="4320" w:hanging="360"/>
      </w:pPr>
      <w:rPr>
        <w:rFonts w:ascii="Wingdings" w:hAnsi="Wingdings" w:hint="default"/>
      </w:rPr>
    </w:lvl>
    <w:lvl w:ilvl="6" w:tplc="EBD046C0">
      <w:start w:val="1"/>
      <w:numFmt w:val="bullet"/>
      <w:lvlText w:val=""/>
      <w:lvlJc w:val="left"/>
      <w:pPr>
        <w:ind w:left="5040" w:hanging="360"/>
      </w:pPr>
      <w:rPr>
        <w:rFonts w:ascii="Symbol" w:hAnsi="Symbol" w:hint="default"/>
      </w:rPr>
    </w:lvl>
    <w:lvl w:ilvl="7" w:tplc="B82613D8">
      <w:start w:val="1"/>
      <w:numFmt w:val="bullet"/>
      <w:lvlText w:val="o"/>
      <w:lvlJc w:val="left"/>
      <w:pPr>
        <w:ind w:left="5760" w:hanging="360"/>
      </w:pPr>
      <w:rPr>
        <w:rFonts w:ascii="Courier New" w:hAnsi="Courier New" w:hint="default"/>
      </w:rPr>
    </w:lvl>
    <w:lvl w:ilvl="8" w:tplc="B8E80D06">
      <w:start w:val="1"/>
      <w:numFmt w:val="bullet"/>
      <w:lvlText w:val=""/>
      <w:lvlJc w:val="left"/>
      <w:pPr>
        <w:ind w:left="6480" w:hanging="360"/>
      </w:pPr>
      <w:rPr>
        <w:rFonts w:ascii="Wingdings" w:hAnsi="Wingdings" w:hint="default"/>
      </w:rPr>
    </w:lvl>
  </w:abstractNum>
  <w:abstractNum w:abstractNumId="205" w15:restartNumberingAfterBreak="0">
    <w:nsid w:val="205E6EFE"/>
    <w:multiLevelType w:val="multilevel"/>
    <w:tmpl w:val="AE6E367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20661B2B"/>
    <w:multiLevelType w:val="hybridMultilevel"/>
    <w:tmpl w:val="B1C8EDC6"/>
    <w:lvl w:ilvl="0" w:tplc="0809001B">
      <w:start w:val="1"/>
      <w:numFmt w:val="lowerRoman"/>
      <w:lvlText w:val="%1."/>
      <w:lvlJc w:val="righ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207" w15:restartNumberingAfterBreak="0">
    <w:nsid w:val="20AA53D0"/>
    <w:multiLevelType w:val="hybridMultilevel"/>
    <w:tmpl w:val="23DC3BA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8" w15:restartNumberingAfterBreak="0">
    <w:nsid w:val="20CA250E"/>
    <w:multiLevelType w:val="hybridMultilevel"/>
    <w:tmpl w:val="89BC98DE"/>
    <w:lvl w:ilvl="0" w:tplc="0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9" w15:restartNumberingAfterBreak="0">
    <w:nsid w:val="21031EDB"/>
    <w:multiLevelType w:val="hybridMultilevel"/>
    <w:tmpl w:val="E95CF80A"/>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0" w15:restartNumberingAfterBreak="0">
    <w:nsid w:val="212F5199"/>
    <w:multiLevelType w:val="hybridMultilevel"/>
    <w:tmpl w:val="E5E082A8"/>
    <w:lvl w:ilvl="0" w:tplc="FFFFFFFF">
      <w:start w:val="1"/>
      <w:numFmt w:val="lowerLetter"/>
      <w:lvlText w:val="%1)"/>
      <w:lvlJc w:val="left"/>
      <w:pPr>
        <w:ind w:left="360" w:hanging="360"/>
      </w:pPr>
    </w:lvl>
    <w:lvl w:ilvl="1" w:tplc="FFFFFFFF">
      <w:start w:val="1"/>
      <w:numFmt w:val="lowerRoman"/>
      <w:lvlText w:val="%2."/>
      <w:lvlJc w:val="righ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1" w15:restartNumberingAfterBreak="0">
    <w:nsid w:val="2168403C"/>
    <w:multiLevelType w:val="hybridMultilevel"/>
    <w:tmpl w:val="E99CBD80"/>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12" w15:restartNumberingAfterBreak="0">
    <w:nsid w:val="21967B8E"/>
    <w:multiLevelType w:val="multilevel"/>
    <w:tmpl w:val="FFFFFFFF"/>
    <w:lvl w:ilvl="0">
      <w:start w:val="1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3" w15:restartNumberingAfterBreak="0">
    <w:nsid w:val="21DC26E2"/>
    <w:multiLevelType w:val="multilevel"/>
    <w:tmpl w:val="C00E4B1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21E32FB7"/>
    <w:multiLevelType w:val="multilevel"/>
    <w:tmpl w:val="95542B6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21E75F17"/>
    <w:multiLevelType w:val="hybridMultilevel"/>
    <w:tmpl w:val="BBF2DAE8"/>
    <w:lvl w:ilvl="0" w:tplc="1809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6" w15:restartNumberingAfterBreak="0">
    <w:nsid w:val="221C1B56"/>
    <w:multiLevelType w:val="hybridMultilevel"/>
    <w:tmpl w:val="FFFFFFFF"/>
    <w:lvl w:ilvl="0" w:tplc="3A86AD1A">
      <w:start w:val="6"/>
      <w:numFmt w:val="decimal"/>
      <w:lvlText w:val="%1."/>
      <w:lvlJc w:val="left"/>
      <w:pPr>
        <w:ind w:left="720" w:hanging="360"/>
      </w:pPr>
    </w:lvl>
    <w:lvl w:ilvl="1" w:tplc="669CEEBA">
      <w:start w:val="1"/>
      <w:numFmt w:val="lowerLetter"/>
      <w:lvlText w:val="%2."/>
      <w:lvlJc w:val="left"/>
      <w:pPr>
        <w:ind w:left="1440" w:hanging="360"/>
      </w:pPr>
    </w:lvl>
    <w:lvl w:ilvl="2" w:tplc="F86AA534">
      <w:start w:val="1"/>
      <w:numFmt w:val="lowerRoman"/>
      <w:lvlText w:val="%3."/>
      <w:lvlJc w:val="right"/>
      <w:pPr>
        <w:ind w:left="2160" w:hanging="180"/>
      </w:pPr>
    </w:lvl>
    <w:lvl w:ilvl="3" w:tplc="6D9C95AA">
      <w:start w:val="1"/>
      <w:numFmt w:val="decimal"/>
      <w:lvlText w:val="%4."/>
      <w:lvlJc w:val="left"/>
      <w:pPr>
        <w:ind w:left="2880" w:hanging="360"/>
      </w:pPr>
    </w:lvl>
    <w:lvl w:ilvl="4" w:tplc="027CA6F2">
      <w:start w:val="1"/>
      <w:numFmt w:val="lowerLetter"/>
      <w:lvlText w:val="%5."/>
      <w:lvlJc w:val="left"/>
      <w:pPr>
        <w:ind w:left="3600" w:hanging="360"/>
      </w:pPr>
    </w:lvl>
    <w:lvl w:ilvl="5" w:tplc="07B63906">
      <w:start w:val="1"/>
      <w:numFmt w:val="lowerRoman"/>
      <w:lvlText w:val="%6."/>
      <w:lvlJc w:val="right"/>
      <w:pPr>
        <w:ind w:left="4320" w:hanging="180"/>
      </w:pPr>
    </w:lvl>
    <w:lvl w:ilvl="6" w:tplc="0A9EC6EC">
      <w:start w:val="1"/>
      <w:numFmt w:val="decimal"/>
      <w:lvlText w:val="%7."/>
      <w:lvlJc w:val="left"/>
      <w:pPr>
        <w:ind w:left="5040" w:hanging="360"/>
      </w:pPr>
    </w:lvl>
    <w:lvl w:ilvl="7" w:tplc="F008F128">
      <w:start w:val="1"/>
      <w:numFmt w:val="lowerLetter"/>
      <w:lvlText w:val="%8."/>
      <w:lvlJc w:val="left"/>
      <w:pPr>
        <w:ind w:left="5760" w:hanging="360"/>
      </w:pPr>
    </w:lvl>
    <w:lvl w:ilvl="8" w:tplc="3BAEEEF6">
      <w:start w:val="1"/>
      <w:numFmt w:val="lowerRoman"/>
      <w:lvlText w:val="%9."/>
      <w:lvlJc w:val="right"/>
      <w:pPr>
        <w:ind w:left="6480" w:hanging="180"/>
      </w:pPr>
    </w:lvl>
  </w:abstractNum>
  <w:abstractNum w:abstractNumId="217" w15:restartNumberingAfterBreak="0">
    <w:nsid w:val="224B3FAA"/>
    <w:multiLevelType w:val="multilevel"/>
    <w:tmpl w:val="5FAEF19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225BAEB2"/>
    <w:multiLevelType w:val="hybridMultilevel"/>
    <w:tmpl w:val="AB7EB6C8"/>
    <w:lvl w:ilvl="0" w:tplc="9EB06766">
      <w:start w:val="1"/>
      <w:numFmt w:val="bullet"/>
      <w:lvlText w:val="-"/>
      <w:lvlJc w:val="left"/>
      <w:pPr>
        <w:ind w:left="720" w:hanging="360"/>
      </w:pPr>
      <w:rPr>
        <w:rFonts w:ascii="Symbol" w:hAnsi="Symbol" w:hint="default"/>
      </w:rPr>
    </w:lvl>
    <w:lvl w:ilvl="1" w:tplc="0B842BD4">
      <w:start w:val="1"/>
      <w:numFmt w:val="bullet"/>
      <w:lvlText w:val="o"/>
      <w:lvlJc w:val="left"/>
      <w:pPr>
        <w:ind w:left="1440" w:hanging="360"/>
      </w:pPr>
      <w:rPr>
        <w:rFonts w:ascii="Courier New" w:hAnsi="Courier New" w:hint="default"/>
      </w:rPr>
    </w:lvl>
    <w:lvl w:ilvl="2" w:tplc="EB7A46CC">
      <w:start w:val="1"/>
      <w:numFmt w:val="bullet"/>
      <w:lvlText w:val=""/>
      <w:lvlJc w:val="left"/>
      <w:pPr>
        <w:ind w:left="2160" w:hanging="360"/>
      </w:pPr>
      <w:rPr>
        <w:rFonts w:ascii="Wingdings" w:hAnsi="Wingdings" w:hint="default"/>
      </w:rPr>
    </w:lvl>
    <w:lvl w:ilvl="3" w:tplc="812CD752">
      <w:start w:val="1"/>
      <w:numFmt w:val="bullet"/>
      <w:lvlText w:val=""/>
      <w:lvlJc w:val="left"/>
      <w:pPr>
        <w:ind w:left="2880" w:hanging="360"/>
      </w:pPr>
      <w:rPr>
        <w:rFonts w:ascii="Symbol" w:hAnsi="Symbol" w:hint="default"/>
      </w:rPr>
    </w:lvl>
    <w:lvl w:ilvl="4" w:tplc="1CBE133A">
      <w:start w:val="1"/>
      <w:numFmt w:val="bullet"/>
      <w:lvlText w:val="o"/>
      <w:lvlJc w:val="left"/>
      <w:pPr>
        <w:ind w:left="3600" w:hanging="360"/>
      </w:pPr>
      <w:rPr>
        <w:rFonts w:ascii="Courier New" w:hAnsi="Courier New" w:hint="default"/>
      </w:rPr>
    </w:lvl>
    <w:lvl w:ilvl="5" w:tplc="E7B6AD7A">
      <w:start w:val="1"/>
      <w:numFmt w:val="bullet"/>
      <w:lvlText w:val=""/>
      <w:lvlJc w:val="left"/>
      <w:pPr>
        <w:ind w:left="4320" w:hanging="360"/>
      </w:pPr>
      <w:rPr>
        <w:rFonts w:ascii="Wingdings" w:hAnsi="Wingdings" w:hint="default"/>
      </w:rPr>
    </w:lvl>
    <w:lvl w:ilvl="6" w:tplc="D45C4A9E">
      <w:start w:val="1"/>
      <w:numFmt w:val="bullet"/>
      <w:lvlText w:val=""/>
      <w:lvlJc w:val="left"/>
      <w:pPr>
        <w:ind w:left="5040" w:hanging="360"/>
      </w:pPr>
      <w:rPr>
        <w:rFonts w:ascii="Symbol" w:hAnsi="Symbol" w:hint="default"/>
      </w:rPr>
    </w:lvl>
    <w:lvl w:ilvl="7" w:tplc="E3E8E42C">
      <w:start w:val="1"/>
      <w:numFmt w:val="bullet"/>
      <w:lvlText w:val="o"/>
      <w:lvlJc w:val="left"/>
      <w:pPr>
        <w:ind w:left="5760" w:hanging="360"/>
      </w:pPr>
      <w:rPr>
        <w:rFonts w:ascii="Courier New" w:hAnsi="Courier New" w:hint="default"/>
      </w:rPr>
    </w:lvl>
    <w:lvl w:ilvl="8" w:tplc="2506B31C">
      <w:start w:val="1"/>
      <w:numFmt w:val="bullet"/>
      <w:lvlText w:val=""/>
      <w:lvlJc w:val="left"/>
      <w:pPr>
        <w:ind w:left="6480" w:hanging="360"/>
      </w:pPr>
      <w:rPr>
        <w:rFonts w:ascii="Wingdings" w:hAnsi="Wingdings" w:hint="default"/>
      </w:rPr>
    </w:lvl>
  </w:abstractNum>
  <w:abstractNum w:abstractNumId="219" w15:restartNumberingAfterBreak="0">
    <w:nsid w:val="22E44180"/>
    <w:multiLevelType w:val="multilevel"/>
    <w:tmpl w:val="4B16EF00"/>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6236"/>
        </w:tabs>
        <w:ind w:left="6236"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0" w15:restartNumberingAfterBreak="0">
    <w:nsid w:val="23471337"/>
    <w:multiLevelType w:val="hybridMultilevel"/>
    <w:tmpl w:val="AF68C1C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21" w15:restartNumberingAfterBreak="0">
    <w:nsid w:val="2349D677"/>
    <w:multiLevelType w:val="hybridMultilevel"/>
    <w:tmpl w:val="FFFFFFFF"/>
    <w:lvl w:ilvl="0" w:tplc="31B2F49E">
      <w:start w:val="1"/>
      <w:numFmt w:val="bullet"/>
      <w:lvlText w:val="·"/>
      <w:lvlJc w:val="left"/>
      <w:pPr>
        <w:ind w:left="720" w:hanging="360"/>
      </w:pPr>
      <w:rPr>
        <w:rFonts w:ascii="Symbol" w:hAnsi="Symbol" w:hint="default"/>
      </w:rPr>
    </w:lvl>
    <w:lvl w:ilvl="1" w:tplc="03B45972">
      <w:start w:val="1"/>
      <w:numFmt w:val="bullet"/>
      <w:lvlText w:val="o"/>
      <w:lvlJc w:val="left"/>
      <w:pPr>
        <w:ind w:left="1440" w:hanging="360"/>
      </w:pPr>
      <w:rPr>
        <w:rFonts w:ascii="Courier New" w:hAnsi="Courier New" w:hint="default"/>
      </w:rPr>
    </w:lvl>
    <w:lvl w:ilvl="2" w:tplc="F21259EE">
      <w:start w:val="1"/>
      <w:numFmt w:val="bullet"/>
      <w:lvlText w:val=""/>
      <w:lvlJc w:val="left"/>
      <w:pPr>
        <w:ind w:left="2160" w:hanging="360"/>
      </w:pPr>
      <w:rPr>
        <w:rFonts w:ascii="Wingdings" w:hAnsi="Wingdings" w:hint="default"/>
      </w:rPr>
    </w:lvl>
    <w:lvl w:ilvl="3" w:tplc="783E4C9A">
      <w:start w:val="1"/>
      <w:numFmt w:val="bullet"/>
      <w:lvlText w:val=""/>
      <w:lvlJc w:val="left"/>
      <w:pPr>
        <w:ind w:left="2880" w:hanging="360"/>
      </w:pPr>
      <w:rPr>
        <w:rFonts w:ascii="Symbol" w:hAnsi="Symbol" w:hint="default"/>
      </w:rPr>
    </w:lvl>
    <w:lvl w:ilvl="4" w:tplc="120CC240">
      <w:start w:val="1"/>
      <w:numFmt w:val="bullet"/>
      <w:lvlText w:val="o"/>
      <w:lvlJc w:val="left"/>
      <w:pPr>
        <w:ind w:left="3600" w:hanging="360"/>
      </w:pPr>
      <w:rPr>
        <w:rFonts w:ascii="Courier New" w:hAnsi="Courier New" w:hint="default"/>
      </w:rPr>
    </w:lvl>
    <w:lvl w:ilvl="5" w:tplc="8858F81C">
      <w:start w:val="1"/>
      <w:numFmt w:val="bullet"/>
      <w:lvlText w:val=""/>
      <w:lvlJc w:val="left"/>
      <w:pPr>
        <w:ind w:left="4320" w:hanging="360"/>
      </w:pPr>
      <w:rPr>
        <w:rFonts w:ascii="Wingdings" w:hAnsi="Wingdings" w:hint="default"/>
      </w:rPr>
    </w:lvl>
    <w:lvl w:ilvl="6" w:tplc="D5944A32">
      <w:start w:val="1"/>
      <w:numFmt w:val="bullet"/>
      <w:lvlText w:val=""/>
      <w:lvlJc w:val="left"/>
      <w:pPr>
        <w:ind w:left="5040" w:hanging="360"/>
      </w:pPr>
      <w:rPr>
        <w:rFonts w:ascii="Symbol" w:hAnsi="Symbol" w:hint="default"/>
      </w:rPr>
    </w:lvl>
    <w:lvl w:ilvl="7" w:tplc="F3EC6E24">
      <w:start w:val="1"/>
      <w:numFmt w:val="bullet"/>
      <w:lvlText w:val="o"/>
      <w:lvlJc w:val="left"/>
      <w:pPr>
        <w:ind w:left="5760" w:hanging="360"/>
      </w:pPr>
      <w:rPr>
        <w:rFonts w:ascii="Courier New" w:hAnsi="Courier New" w:hint="default"/>
      </w:rPr>
    </w:lvl>
    <w:lvl w:ilvl="8" w:tplc="CFE04244">
      <w:start w:val="1"/>
      <w:numFmt w:val="bullet"/>
      <w:lvlText w:val=""/>
      <w:lvlJc w:val="left"/>
      <w:pPr>
        <w:ind w:left="6480" w:hanging="360"/>
      </w:pPr>
      <w:rPr>
        <w:rFonts w:ascii="Wingdings" w:hAnsi="Wingdings" w:hint="default"/>
      </w:rPr>
    </w:lvl>
  </w:abstractNum>
  <w:abstractNum w:abstractNumId="222" w15:restartNumberingAfterBreak="0">
    <w:nsid w:val="2398492B"/>
    <w:multiLevelType w:val="multilevel"/>
    <w:tmpl w:val="690698C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239F3794"/>
    <w:multiLevelType w:val="hybridMultilevel"/>
    <w:tmpl w:val="BD4215E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4" w15:restartNumberingAfterBreak="0">
    <w:nsid w:val="23D67882"/>
    <w:multiLevelType w:val="multilevel"/>
    <w:tmpl w:val="C4E86C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23ED68BB"/>
    <w:multiLevelType w:val="hybridMultilevel"/>
    <w:tmpl w:val="46C2EA6C"/>
    <w:lvl w:ilvl="0" w:tplc="F29E19DE">
      <w:start w:val="1"/>
      <w:numFmt w:val="bullet"/>
      <w:lvlText w:val=""/>
      <w:lvlJc w:val="left"/>
      <w:pPr>
        <w:ind w:left="720" w:hanging="360"/>
      </w:pPr>
      <w:rPr>
        <w:rFonts w:ascii="Segoe UI" w:hAnsi="Segoe U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Cambria Math" w:hAnsi="Cambria Math" w:hint="default"/>
      </w:rPr>
    </w:lvl>
    <w:lvl w:ilvl="3" w:tplc="08090001">
      <w:start w:val="1"/>
      <w:numFmt w:val="bullet"/>
      <w:lvlText w:val=""/>
      <w:lvlJc w:val="left"/>
      <w:pPr>
        <w:ind w:left="2880" w:hanging="360"/>
      </w:pPr>
      <w:rPr>
        <w:rFonts w:ascii="Segoe UI" w:hAnsi="Segoe UI"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Cambria Math" w:hAnsi="Cambria Math" w:hint="default"/>
      </w:rPr>
    </w:lvl>
    <w:lvl w:ilvl="6" w:tplc="08090001">
      <w:start w:val="1"/>
      <w:numFmt w:val="bullet"/>
      <w:lvlText w:val=""/>
      <w:lvlJc w:val="left"/>
      <w:pPr>
        <w:ind w:left="5040" w:hanging="360"/>
      </w:pPr>
      <w:rPr>
        <w:rFonts w:ascii="Segoe UI" w:hAnsi="Segoe UI"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Cambria Math" w:hAnsi="Cambria Math" w:hint="default"/>
      </w:rPr>
    </w:lvl>
  </w:abstractNum>
  <w:abstractNum w:abstractNumId="226" w15:restartNumberingAfterBreak="0">
    <w:nsid w:val="24371AD6"/>
    <w:multiLevelType w:val="multilevel"/>
    <w:tmpl w:val="66CABC7C"/>
    <w:lvl w:ilvl="0">
      <w:start w:val="8"/>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27" w15:restartNumberingAfterBreak="0">
    <w:nsid w:val="24690017"/>
    <w:multiLevelType w:val="hybridMultilevel"/>
    <w:tmpl w:val="FD7C0AE4"/>
    <w:lvl w:ilvl="0" w:tplc="18090003">
      <w:start w:val="1"/>
      <w:numFmt w:val="bullet"/>
      <w:lvlText w:val="o"/>
      <w:lvlJc w:val="left"/>
      <w:pPr>
        <w:ind w:left="720" w:hanging="360"/>
      </w:pPr>
      <w:rPr>
        <w:rFonts w:ascii="Courier New" w:hAnsi="Courier New" w:cs="Courier New"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8" w15:restartNumberingAfterBreak="0">
    <w:nsid w:val="2494C848"/>
    <w:multiLevelType w:val="hybridMultilevel"/>
    <w:tmpl w:val="FFFFFFFF"/>
    <w:lvl w:ilvl="0" w:tplc="5F328E78">
      <w:start w:val="1"/>
      <w:numFmt w:val="decimal"/>
      <w:lvlText w:val="%1)"/>
      <w:lvlJc w:val="left"/>
      <w:pPr>
        <w:ind w:left="720" w:hanging="360"/>
      </w:pPr>
    </w:lvl>
    <w:lvl w:ilvl="1" w:tplc="13564B42">
      <w:start w:val="1"/>
      <w:numFmt w:val="lowerLetter"/>
      <w:lvlText w:val="%2."/>
      <w:lvlJc w:val="left"/>
      <w:pPr>
        <w:ind w:left="1440" w:hanging="360"/>
      </w:pPr>
    </w:lvl>
    <w:lvl w:ilvl="2" w:tplc="8668E534">
      <w:start w:val="1"/>
      <w:numFmt w:val="lowerRoman"/>
      <w:lvlText w:val="%3."/>
      <w:lvlJc w:val="right"/>
      <w:pPr>
        <w:ind w:left="2160" w:hanging="180"/>
      </w:pPr>
    </w:lvl>
    <w:lvl w:ilvl="3" w:tplc="A30C9548">
      <w:start w:val="1"/>
      <w:numFmt w:val="decimal"/>
      <w:lvlText w:val="%4."/>
      <w:lvlJc w:val="left"/>
      <w:pPr>
        <w:ind w:left="2880" w:hanging="360"/>
      </w:pPr>
    </w:lvl>
    <w:lvl w:ilvl="4" w:tplc="67C8F23C">
      <w:start w:val="1"/>
      <w:numFmt w:val="lowerLetter"/>
      <w:lvlText w:val="%5."/>
      <w:lvlJc w:val="left"/>
      <w:pPr>
        <w:ind w:left="3600" w:hanging="360"/>
      </w:pPr>
    </w:lvl>
    <w:lvl w:ilvl="5" w:tplc="8C32C8A0">
      <w:start w:val="1"/>
      <w:numFmt w:val="lowerRoman"/>
      <w:lvlText w:val="%6."/>
      <w:lvlJc w:val="right"/>
      <w:pPr>
        <w:ind w:left="4320" w:hanging="180"/>
      </w:pPr>
    </w:lvl>
    <w:lvl w:ilvl="6" w:tplc="1ADE28DA">
      <w:start w:val="1"/>
      <w:numFmt w:val="decimal"/>
      <w:lvlText w:val="%7."/>
      <w:lvlJc w:val="left"/>
      <w:pPr>
        <w:ind w:left="5040" w:hanging="360"/>
      </w:pPr>
    </w:lvl>
    <w:lvl w:ilvl="7" w:tplc="C130E88C">
      <w:start w:val="1"/>
      <w:numFmt w:val="lowerLetter"/>
      <w:lvlText w:val="%8."/>
      <w:lvlJc w:val="left"/>
      <w:pPr>
        <w:ind w:left="5760" w:hanging="360"/>
      </w:pPr>
    </w:lvl>
    <w:lvl w:ilvl="8" w:tplc="DBFAA8CE">
      <w:start w:val="1"/>
      <w:numFmt w:val="lowerRoman"/>
      <w:lvlText w:val="%9."/>
      <w:lvlJc w:val="right"/>
      <w:pPr>
        <w:ind w:left="6480" w:hanging="180"/>
      </w:pPr>
    </w:lvl>
  </w:abstractNum>
  <w:abstractNum w:abstractNumId="229" w15:restartNumberingAfterBreak="0">
    <w:nsid w:val="25404E49"/>
    <w:multiLevelType w:val="hybridMultilevel"/>
    <w:tmpl w:val="19064A7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0" w15:restartNumberingAfterBreak="0">
    <w:nsid w:val="25D2335B"/>
    <w:multiLevelType w:val="multilevel"/>
    <w:tmpl w:val="CD1063E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262C11A4"/>
    <w:multiLevelType w:val="multilevel"/>
    <w:tmpl w:val="E9DA17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263B6DE3"/>
    <w:multiLevelType w:val="hybridMultilevel"/>
    <w:tmpl w:val="25B4C256"/>
    <w:lvl w:ilvl="0" w:tplc="1809000F">
      <w:start w:val="1"/>
      <w:numFmt w:val="decimal"/>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233" w15:restartNumberingAfterBreak="0">
    <w:nsid w:val="26474AC4"/>
    <w:multiLevelType w:val="hybridMultilevel"/>
    <w:tmpl w:val="449A5922"/>
    <w:lvl w:ilvl="0" w:tplc="FDA2DF24">
      <w:start w:val="1"/>
      <w:numFmt w:val="bullet"/>
      <w:lvlText w:val=""/>
      <w:lvlJc w:val="left"/>
      <w:pPr>
        <w:ind w:left="720" w:hanging="360"/>
      </w:pPr>
      <w:rPr>
        <w:rFonts w:ascii="Symbol" w:hAnsi="Symbol" w:hint="default"/>
      </w:rPr>
    </w:lvl>
    <w:lvl w:ilvl="1" w:tplc="FBFA27CC">
      <w:start w:val="1"/>
      <w:numFmt w:val="bullet"/>
      <w:lvlText w:val="o"/>
      <w:lvlJc w:val="left"/>
      <w:pPr>
        <w:ind w:left="1440" w:hanging="360"/>
      </w:pPr>
      <w:rPr>
        <w:rFonts w:ascii="Courier New" w:hAnsi="Courier New" w:hint="default"/>
      </w:rPr>
    </w:lvl>
    <w:lvl w:ilvl="2" w:tplc="21BEBB74">
      <w:start w:val="1"/>
      <w:numFmt w:val="bullet"/>
      <w:lvlText w:val=""/>
      <w:lvlJc w:val="left"/>
      <w:pPr>
        <w:ind w:left="2160" w:hanging="360"/>
      </w:pPr>
      <w:rPr>
        <w:rFonts w:ascii="Wingdings" w:hAnsi="Wingdings" w:hint="default"/>
      </w:rPr>
    </w:lvl>
    <w:lvl w:ilvl="3" w:tplc="E65AC2DC">
      <w:start w:val="1"/>
      <w:numFmt w:val="bullet"/>
      <w:lvlText w:val=""/>
      <w:lvlJc w:val="left"/>
      <w:pPr>
        <w:ind w:left="2880" w:hanging="360"/>
      </w:pPr>
      <w:rPr>
        <w:rFonts w:ascii="Symbol" w:hAnsi="Symbol" w:hint="default"/>
      </w:rPr>
    </w:lvl>
    <w:lvl w:ilvl="4" w:tplc="01C8B9AE">
      <w:start w:val="1"/>
      <w:numFmt w:val="bullet"/>
      <w:lvlText w:val="o"/>
      <w:lvlJc w:val="left"/>
      <w:pPr>
        <w:ind w:left="3600" w:hanging="360"/>
      </w:pPr>
      <w:rPr>
        <w:rFonts w:ascii="Courier New" w:hAnsi="Courier New" w:hint="default"/>
      </w:rPr>
    </w:lvl>
    <w:lvl w:ilvl="5" w:tplc="D4322414">
      <w:start w:val="1"/>
      <w:numFmt w:val="bullet"/>
      <w:lvlText w:val=""/>
      <w:lvlJc w:val="left"/>
      <w:pPr>
        <w:ind w:left="4320" w:hanging="360"/>
      </w:pPr>
      <w:rPr>
        <w:rFonts w:ascii="Wingdings" w:hAnsi="Wingdings" w:hint="default"/>
      </w:rPr>
    </w:lvl>
    <w:lvl w:ilvl="6" w:tplc="789C5A18">
      <w:start w:val="1"/>
      <w:numFmt w:val="bullet"/>
      <w:lvlText w:val=""/>
      <w:lvlJc w:val="left"/>
      <w:pPr>
        <w:ind w:left="5040" w:hanging="360"/>
      </w:pPr>
      <w:rPr>
        <w:rFonts w:ascii="Symbol" w:hAnsi="Symbol" w:hint="default"/>
      </w:rPr>
    </w:lvl>
    <w:lvl w:ilvl="7" w:tplc="C75EDAE4">
      <w:start w:val="1"/>
      <w:numFmt w:val="bullet"/>
      <w:lvlText w:val="o"/>
      <w:lvlJc w:val="left"/>
      <w:pPr>
        <w:ind w:left="5760" w:hanging="360"/>
      </w:pPr>
      <w:rPr>
        <w:rFonts w:ascii="Courier New" w:hAnsi="Courier New" w:hint="default"/>
      </w:rPr>
    </w:lvl>
    <w:lvl w:ilvl="8" w:tplc="045A5832">
      <w:start w:val="1"/>
      <w:numFmt w:val="bullet"/>
      <w:lvlText w:val=""/>
      <w:lvlJc w:val="left"/>
      <w:pPr>
        <w:ind w:left="6480" w:hanging="360"/>
      </w:pPr>
      <w:rPr>
        <w:rFonts w:ascii="Wingdings" w:hAnsi="Wingdings" w:hint="default"/>
      </w:rPr>
    </w:lvl>
  </w:abstractNum>
  <w:abstractNum w:abstractNumId="234" w15:restartNumberingAfterBreak="0">
    <w:nsid w:val="26512302"/>
    <w:multiLevelType w:val="hybridMultilevel"/>
    <w:tmpl w:val="A430446C"/>
    <w:lvl w:ilvl="0" w:tplc="FFFFFFFF">
      <w:start w:val="1"/>
      <w:numFmt w:val="lowerLetter"/>
      <w:lvlText w:val="%1."/>
      <w:lvlJc w:val="left"/>
      <w:pPr>
        <w:ind w:left="720" w:hanging="360"/>
      </w:pPr>
    </w:lvl>
    <w:lvl w:ilvl="1" w:tplc="1809001B">
      <w:start w:val="1"/>
      <w:numFmt w:val="lowerRoman"/>
      <w:lvlText w:val="%2."/>
      <w:lvlJc w:val="righ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5" w15:restartNumberingAfterBreak="0">
    <w:nsid w:val="267E785F"/>
    <w:multiLevelType w:val="hybridMultilevel"/>
    <w:tmpl w:val="701E8B08"/>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267E7C63"/>
    <w:multiLevelType w:val="hybridMultilevel"/>
    <w:tmpl w:val="89B6A706"/>
    <w:lvl w:ilvl="0" w:tplc="18090001">
      <w:start w:val="1"/>
      <w:numFmt w:val="bullet"/>
      <w:lvlText w:val=""/>
      <w:lvlJc w:val="left"/>
      <w:pPr>
        <w:ind w:left="360" w:hanging="360"/>
      </w:pPr>
      <w:rPr>
        <w:rFonts w:ascii="Segoe UI" w:hAnsi="Segoe UI" w:hint="default"/>
      </w:rPr>
    </w:lvl>
    <w:lvl w:ilvl="1" w:tplc="18090003" w:tentative="1">
      <w:start w:val="1"/>
      <w:numFmt w:val="bullet"/>
      <w:lvlText w:val="o"/>
      <w:lvlJc w:val="left"/>
      <w:pPr>
        <w:ind w:left="1080" w:hanging="360"/>
      </w:pPr>
      <w:rPr>
        <w:rFonts w:ascii="@MS Mincho" w:hAnsi="@MS Mincho" w:cs="@MS Mincho" w:hint="default"/>
      </w:rPr>
    </w:lvl>
    <w:lvl w:ilvl="2" w:tplc="18090005" w:tentative="1">
      <w:start w:val="1"/>
      <w:numFmt w:val="bullet"/>
      <w:lvlText w:val=""/>
      <w:lvlJc w:val="left"/>
      <w:pPr>
        <w:ind w:left="1800" w:hanging="360"/>
      </w:pPr>
      <w:rPr>
        <w:rFonts w:ascii="Symbol" w:hAnsi="Symbol"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MS Mincho" w:hAnsi="@MS Mincho" w:cs="@MS Mincho" w:hint="default"/>
      </w:rPr>
    </w:lvl>
    <w:lvl w:ilvl="5" w:tplc="18090005" w:tentative="1">
      <w:start w:val="1"/>
      <w:numFmt w:val="bullet"/>
      <w:lvlText w:val=""/>
      <w:lvlJc w:val="left"/>
      <w:pPr>
        <w:ind w:left="3960" w:hanging="360"/>
      </w:pPr>
      <w:rPr>
        <w:rFonts w:ascii="Symbol" w:hAnsi="Symbol"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MS Mincho" w:hAnsi="@MS Mincho" w:cs="@MS Mincho" w:hint="default"/>
      </w:rPr>
    </w:lvl>
    <w:lvl w:ilvl="8" w:tplc="18090005" w:tentative="1">
      <w:start w:val="1"/>
      <w:numFmt w:val="bullet"/>
      <w:lvlText w:val=""/>
      <w:lvlJc w:val="left"/>
      <w:pPr>
        <w:ind w:left="6120" w:hanging="360"/>
      </w:pPr>
      <w:rPr>
        <w:rFonts w:ascii="Symbol" w:hAnsi="Symbol" w:hint="default"/>
      </w:rPr>
    </w:lvl>
  </w:abstractNum>
  <w:abstractNum w:abstractNumId="237" w15:restartNumberingAfterBreak="0">
    <w:nsid w:val="26AC4092"/>
    <w:multiLevelType w:val="hybridMultilevel"/>
    <w:tmpl w:val="B1FCB97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38" w15:restartNumberingAfterBreak="0">
    <w:nsid w:val="26BD585B"/>
    <w:multiLevelType w:val="multilevel"/>
    <w:tmpl w:val="A17CA3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26CB29BA"/>
    <w:multiLevelType w:val="hybridMultilevel"/>
    <w:tmpl w:val="0896B9DA"/>
    <w:lvl w:ilvl="0" w:tplc="6C30E62A">
      <w:start w:val="1"/>
      <w:numFmt w:val="bullet"/>
      <w:lvlText w:val="-"/>
      <w:lvlJc w:val="left"/>
      <w:pPr>
        <w:ind w:left="720" w:hanging="360"/>
      </w:pPr>
      <w:rPr>
        <w:rFonts w:ascii="Calibri" w:hAnsi="Calibri" w:hint="default"/>
      </w:rPr>
    </w:lvl>
    <w:lvl w:ilvl="1" w:tplc="A0D82BA2">
      <w:start w:val="1"/>
      <w:numFmt w:val="bullet"/>
      <w:lvlText w:val="o"/>
      <w:lvlJc w:val="left"/>
      <w:pPr>
        <w:ind w:left="1440" w:hanging="360"/>
      </w:pPr>
      <w:rPr>
        <w:rFonts w:ascii="Courier New" w:hAnsi="Courier New" w:hint="default"/>
      </w:rPr>
    </w:lvl>
    <w:lvl w:ilvl="2" w:tplc="4816CCB8">
      <w:start w:val="1"/>
      <w:numFmt w:val="bullet"/>
      <w:lvlText w:val=""/>
      <w:lvlJc w:val="left"/>
      <w:pPr>
        <w:ind w:left="2160" w:hanging="360"/>
      </w:pPr>
      <w:rPr>
        <w:rFonts w:ascii="Wingdings" w:hAnsi="Wingdings" w:hint="default"/>
      </w:rPr>
    </w:lvl>
    <w:lvl w:ilvl="3" w:tplc="498CDB6E">
      <w:start w:val="1"/>
      <w:numFmt w:val="bullet"/>
      <w:lvlText w:val=""/>
      <w:lvlJc w:val="left"/>
      <w:pPr>
        <w:ind w:left="2880" w:hanging="360"/>
      </w:pPr>
      <w:rPr>
        <w:rFonts w:ascii="Symbol" w:hAnsi="Symbol" w:hint="default"/>
      </w:rPr>
    </w:lvl>
    <w:lvl w:ilvl="4" w:tplc="B4607B30">
      <w:start w:val="1"/>
      <w:numFmt w:val="bullet"/>
      <w:lvlText w:val="o"/>
      <w:lvlJc w:val="left"/>
      <w:pPr>
        <w:ind w:left="3600" w:hanging="360"/>
      </w:pPr>
      <w:rPr>
        <w:rFonts w:ascii="Courier New" w:hAnsi="Courier New" w:hint="default"/>
      </w:rPr>
    </w:lvl>
    <w:lvl w:ilvl="5" w:tplc="733C4D3C">
      <w:start w:val="1"/>
      <w:numFmt w:val="bullet"/>
      <w:lvlText w:val=""/>
      <w:lvlJc w:val="left"/>
      <w:pPr>
        <w:ind w:left="4320" w:hanging="360"/>
      </w:pPr>
      <w:rPr>
        <w:rFonts w:ascii="Wingdings" w:hAnsi="Wingdings" w:hint="default"/>
      </w:rPr>
    </w:lvl>
    <w:lvl w:ilvl="6" w:tplc="4F84C98E">
      <w:start w:val="1"/>
      <w:numFmt w:val="bullet"/>
      <w:lvlText w:val=""/>
      <w:lvlJc w:val="left"/>
      <w:pPr>
        <w:ind w:left="5040" w:hanging="360"/>
      </w:pPr>
      <w:rPr>
        <w:rFonts w:ascii="Symbol" w:hAnsi="Symbol" w:hint="default"/>
      </w:rPr>
    </w:lvl>
    <w:lvl w:ilvl="7" w:tplc="F9B2DB46">
      <w:start w:val="1"/>
      <w:numFmt w:val="bullet"/>
      <w:lvlText w:val="o"/>
      <w:lvlJc w:val="left"/>
      <w:pPr>
        <w:ind w:left="5760" w:hanging="360"/>
      </w:pPr>
      <w:rPr>
        <w:rFonts w:ascii="Courier New" w:hAnsi="Courier New" w:hint="default"/>
      </w:rPr>
    </w:lvl>
    <w:lvl w:ilvl="8" w:tplc="C464C74A">
      <w:start w:val="1"/>
      <w:numFmt w:val="bullet"/>
      <w:lvlText w:val=""/>
      <w:lvlJc w:val="left"/>
      <w:pPr>
        <w:ind w:left="6480" w:hanging="360"/>
      </w:pPr>
      <w:rPr>
        <w:rFonts w:ascii="Wingdings" w:hAnsi="Wingdings" w:hint="default"/>
      </w:rPr>
    </w:lvl>
  </w:abstractNum>
  <w:abstractNum w:abstractNumId="240" w15:restartNumberingAfterBreak="0">
    <w:nsid w:val="26E01D97"/>
    <w:multiLevelType w:val="hybridMultilevel"/>
    <w:tmpl w:val="EA822BFE"/>
    <w:lvl w:ilvl="0" w:tplc="38662FF4">
      <w:numFmt w:val="bullet"/>
      <w:lvlText w:val="-"/>
      <w:lvlJc w:val="left"/>
      <w:pPr>
        <w:ind w:left="720" w:hanging="360"/>
      </w:pPr>
      <w:rPr>
        <w:rFonts w:ascii="Calibri" w:eastAsia="Times New Roman" w:hAnsi="Calibri" w:cs="Calibri" w:hint="default"/>
        <w:b/>
        <w:color w:val="000000"/>
        <w:u w:val="single"/>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1" w15:restartNumberingAfterBreak="0">
    <w:nsid w:val="27329CF0"/>
    <w:multiLevelType w:val="hybridMultilevel"/>
    <w:tmpl w:val="FFFFFFFF"/>
    <w:lvl w:ilvl="0" w:tplc="3D926846">
      <w:start w:val="11"/>
      <w:numFmt w:val="decimal"/>
      <w:lvlText w:val="%1."/>
      <w:lvlJc w:val="left"/>
      <w:pPr>
        <w:ind w:left="720" w:hanging="360"/>
      </w:pPr>
    </w:lvl>
    <w:lvl w:ilvl="1" w:tplc="B34C0416">
      <w:start w:val="1"/>
      <w:numFmt w:val="lowerLetter"/>
      <w:lvlText w:val="%2."/>
      <w:lvlJc w:val="left"/>
      <w:pPr>
        <w:ind w:left="1440" w:hanging="360"/>
      </w:pPr>
    </w:lvl>
    <w:lvl w:ilvl="2" w:tplc="2D8A7CEA">
      <w:start w:val="1"/>
      <w:numFmt w:val="lowerRoman"/>
      <w:lvlText w:val="%3."/>
      <w:lvlJc w:val="right"/>
      <w:pPr>
        <w:ind w:left="2160" w:hanging="180"/>
      </w:pPr>
    </w:lvl>
    <w:lvl w:ilvl="3" w:tplc="A3021550">
      <w:start w:val="1"/>
      <w:numFmt w:val="decimal"/>
      <w:lvlText w:val="%4."/>
      <w:lvlJc w:val="left"/>
      <w:pPr>
        <w:ind w:left="2880" w:hanging="360"/>
      </w:pPr>
    </w:lvl>
    <w:lvl w:ilvl="4" w:tplc="F4D2B036">
      <w:start w:val="1"/>
      <w:numFmt w:val="lowerLetter"/>
      <w:lvlText w:val="%5."/>
      <w:lvlJc w:val="left"/>
      <w:pPr>
        <w:ind w:left="3600" w:hanging="360"/>
      </w:pPr>
    </w:lvl>
    <w:lvl w:ilvl="5" w:tplc="9B1060B6">
      <w:start w:val="1"/>
      <w:numFmt w:val="lowerRoman"/>
      <w:lvlText w:val="%6."/>
      <w:lvlJc w:val="right"/>
      <w:pPr>
        <w:ind w:left="4320" w:hanging="180"/>
      </w:pPr>
    </w:lvl>
    <w:lvl w:ilvl="6" w:tplc="975AF560">
      <w:start w:val="1"/>
      <w:numFmt w:val="decimal"/>
      <w:lvlText w:val="%7."/>
      <w:lvlJc w:val="left"/>
      <w:pPr>
        <w:ind w:left="5040" w:hanging="360"/>
      </w:pPr>
    </w:lvl>
    <w:lvl w:ilvl="7" w:tplc="E4B6A196">
      <w:start w:val="1"/>
      <w:numFmt w:val="lowerLetter"/>
      <w:lvlText w:val="%8."/>
      <w:lvlJc w:val="left"/>
      <w:pPr>
        <w:ind w:left="5760" w:hanging="360"/>
      </w:pPr>
    </w:lvl>
    <w:lvl w:ilvl="8" w:tplc="99E0A448">
      <w:start w:val="1"/>
      <w:numFmt w:val="lowerRoman"/>
      <w:lvlText w:val="%9."/>
      <w:lvlJc w:val="right"/>
      <w:pPr>
        <w:ind w:left="6480" w:hanging="180"/>
      </w:pPr>
    </w:lvl>
  </w:abstractNum>
  <w:abstractNum w:abstractNumId="242" w15:restartNumberingAfterBreak="0">
    <w:nsid w:val="27680DC2"/>
    <w:multiLevelType w:val="hybridMultilevel"/>
    <w:tmpl w:val="B36EFB98"/>
    <w:lvl w:ilvl="0" w:tplc="080C001B">
      <w:start w:val="1"/>
      <w:numFmt w:val="lowerRoman"/>
      <w:lvlText w:val="%1."/>
      <w:lvlJc w:val="right"/>
      <w:pPr>
        <w:ind w:left="2138" w:hanging="360"/>
      </w:pPr>
    </w:lvl>
    <w:lvl w:ilvl="1" w:tplc="080C0019" w:tentative="1">
      <w:start w:val="1"/>
      <w:numFmt w:val="lowerLetter"/>
      <w:lvlText w:val="%2."/>
      <w:lvlJc w:val="left"/>
      <w:pPr>
        <w:ind w:left="2858" w:hanging="360"/>
      </w:pPr>
    </w:lvl>
    <w:lvl w:ilvl="2" w:tplc="080C001B" w:tentative="1">
      <w:start w:val="1"/>
      <w:numFmt w:val="lowerRoman"/>
      <w:lvlText w:val="%3."/>
      <w:lvlJc w:val="right"/>
      <w:pPr>
        <w:ind w:left="3578" w:hanging="180"/>
      </w:pPr>
    </w:lvl>
    <w:lvl w:ilvl="3" w:tplc="080C000F" w:tentative="1">
      <w:start w:val="1"/>
      <w:numFmt w:val="decimal"/>
      <w:lvlText w:val="%4."/>
      <w:lvlJc w:val="left"/>
      <w:pPr>
        <w:ind w:left="4298" w:hanging="360"/>
      </w:pPr>
    </w:lvl>
    <w:lvl w:ilvl="4" w:tplc="080C0019" w:tentative="1">
      <w:start w:val="1"/>
      <w:numFmt w:val="lowerLetter"/>
      <w:lvlText w:val="%5."/>
      <w:lvlJc w:val="left"/>
      <w:pPr>
        <w:ind w:left="5018" w:hanging="360"/>
      </w:pPr>
    </w:lvl>
    <w:lvl w:ilvl="5" w:tplc="080C001B" w:tentative="1">
      <w:start w:val="1"/>
      <w:numFmt w:val="lowerRoman"/>
      <w:lvlText w:val="%6."/>
      <w:lvlJc w:val="right"/>
      <w:pPr>
        <w:ind w:left="5738" w:hanging="180"/>
      </w:pPr>
    </w:lvl>
    <w:lvl w:ilvl="6" w:tplc="080C000F" w:tentative="1">
      <w:start w:val="1"/>
      <w:numFmt w:val="decimal"/>
      <w:lvlText w:val="%7."/>
      <w:lvlJc w:val="left"/>
      <w:pPr>
        <w:ind w:left="6458" w:hanging="360"/>
      </w:pPr>
    </w:lvl>
    <w:lvl w:ilvl="7" w:tplc="080C0019" w:tentative="1">
      <w:start w:val="1"/>
      <w:numFmt w:val="lowerLetter"/>
      <w:lvlText w:val="%8."/>
      <w:lvlJc w:val="left"/>
      <w:pPr>
        <w:ind w:left="7178" w:hanging="360"/>
      </w:pPr>
    </w:lvl>
    <w:lvl w:ilvl="8" w:tplc="080C001B" w:tentative="1">
      <w:start w:val="1"/>
      <w:numFmt w:val="lowerRoman"/>
      <w:lvlText w:val="%9."/>
      <w:lvlJc w:val="right"/>
      <w:pPr>
        <w:ind w:left="7898" w:hanging="180"/>
      </w:pPr>
    </w:lvl>
  </w:abstractNum>
  <w:abstractNum w:abstractNumId="243" w15:restartNumberingAfterBreak="0">
    <w:nsid w:val="27964909"/>
    <w:multiLevelType w:val="hybridMultilevel"/>
    <w:tmpl w:val="FFFFFFFF"/>
    <w:lvl w:ilvl="0" w:tplc="2D72F43A">
      <w:start w:val="5"/>
      <w:numFmt w:val="decimal"/>
      <w:lvlText w:val="%1."/>
      <w:lvlJc w:val="left"/>
      <w:pPr>
        <w:ind w:left="720" w:hanging="360"/>
      </w:pPr>
    </w:lvl>
    <w:lvl w:ilvl="1" w:tplc="D9866E08">
      <w:start w:val="1"/>
      <w:numFmt w:val="lowerLetter"/>
      <w:lvlText w:val="%2."/>
      <w:lvlJc w:val="left"/>
      <w:pPr>
        <w:ind w:left="1440" w:hanging="360"/>
      </w:pPr>
    </w:lvl>
    <w:lvl w:ilvl="2" w:tplc="A9803292">
      <w:start w:val="1"/>
      <w:numFmt w:val="lowerRoman"/>
      <w:lvlText w:val="%3."/>
      <w:lvlJc w:val="right"/>
      <w:pPr>
        <w:ind w:left="2160" w:hanging="180"/>
      </w:pPr>
    </w:lvl>
    <w:lvl w:ilvl="3" w:tplc="5EC4E932">
      <w:start w:val="1"/>
      <w:numFmt w:val="decimal"/>
      <w:lvlText w:val="%4."/>
      <w:lvlJc w:val="left"/>
      <w:pPr>
        <w:ind w:left="2880" w:hanging="360"/>
      </w:pPr>
    </w:lvl>
    <w:lvl w:ilvl="4" w:tplc="E7A8D74E">
      <w:start w:val="1"/>
      <w:numFmt w:val="lowerLetter"/>
      <w:lvlText w:val="%5."/>
      <w:lvlJc w:val="left"/>
      <w:pPr>
        <w:ind w:left="3600" w:hanging="360"/>
      </w:pPr>
    </w:lvl>
    <w:lvl w:ilvl="5" w:tplc="77522904">
      <w:start w:val="1"/>
      <w:numFmt w:val="lowerRoman"/>
      <w:lvlText w:val="%6."/>
      <w:lvlJc w:val="right"/>
      <w:pPr>
        <w:ind w:left="4320" w:hanging="180"/>
      </w:pPr>
    </w:lvl>
    <w:lvl w:ilvl="6" w:tplc="E200C024">
      <w:start w:val="1"/>
      <w:numFmt w:val="decimal"/>
      <w:lvlText w:val="%7."/>
      <w:lvlJc w:val="left"/>
      <w:pPr>
        <w:ind w:left="5040" w:hanging="360"/>
      </w:pPr>
    </w:lvl>
    <w:lvl w:ilvl="7" w:tplc="AFC4986A">
      <w:start w:val="1"/>
      <w:numFmt w:val="lowerLetter"/>
      <w:lvlText w:val="%8."/>
      <w:lvlJc w:val="left"/>
      <w:pPr>
        <w:ind w:left="5760" w:hanging="360"/>
      </w:pPr>
    </w:lvl>
    <w:lvl w:ilvl="8" w:tplc="C2E0ABB0">
      <w:start w:val="1"/>
      <w:numFmt w:val="lowerRoman"/>
      <w:lvlText w:val="%9."/>
      <w:lvlJc w:val="right"/>
      <w:pPr>
        <w:ind w:left="6480" w:hanging="180"/>
      </w:pPr>
    </w:lvl>
  </w:abstractNum>
  <w:abstractNum w:abstractNumId="244" w15:restartNumberingAfterBreak="0">
    <w:nsid w:val="27A17326"/>
    <w:multiLevelType w:val="multilevel"/>
    <w:tmpl w:val="974855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5" w15:restartNumberingAfterBreak="0">
    <w:nsid w:val="282C67BF"/>
    <w:multiLevelType w:val="hybridMultilevel"/>
    <w:tmpl w:val="35EC0AA2"/>
    <w:lvl w:ilvl="0" w:tplc="FFFFFFFF">
      <w:start w:val="1"/>
      <w:numFmt w:val="lowerLetter"/>
      <w:lvlText w:val="%1."/>
      <w:lvlJc w:val="left"/>
      <w:pPr>
        <w:ind w:left="720" w:hanging="360"/>
      </w:pPr>
    </w:lvl>
    <w:lvl w:ilvl="1" w:tplc="E61EA238">
      <w:start w:val="1"/>
      <w:numFmt w:val="bullet"/>
      <w:lvlText w:val="-"/>
      <w:lvlJc w:val="left"/>
      <w:pPr>
        <w:ind w:left="1440" w:hanging="360"/>
      </w:pPr>
      <w:rPr>
        <w:rFonts w:ascii="Calibri" w:hAnsi="Calibri"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6" w15:restartNumberingAfterBreak="0">
    <w:nsid w:val="2872466F"/>
    <w:multiLevelType w:val="hybridMultilevel"/>
    <w:tmpl w:val="EC1C7060"/>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247" w15:restartNumberingAfterBreak="0">
    <w:nsid w:val="28A57E8C"/>
    <w:multiLevelType w:val="hybridMultilevel"/>
    <w:tmpl w:val="14788740"/>
    <w:lvl w:ilvl="0" w:tplc="080C0019">
      <w:start w:val="1"/>
      <w:numFmt w:val="lowerLetter"/>
      <w:lvlText w:val="%1."/>
      <w:lvlJc w:val="left"/>
      <w:pPr>
        <w:ind w:left="2160" w:hanging="360"/>
      </w:pPr>
    </w:lvl>
    <w:lvl w:ilvl="1" w:tplc="080C0019" w:tentative="1">
      <w:start w:val="1"/>
      <w:numFmt w:val="lowerLetter"/>
      <w:lvlText w:val="%2."/>
      <w:lvlJc w:val="left"/>
      <w:pPr>
        <w:ind w:left="2880" w:hanging="360"/>
      </w:pPr>
    </w:lvl>
    <w:lvl w:ilvl="2" w:tplc="080C001B" w:tentative="1">
      <w:start w:val="1"/>
      <w:numFmt w:val="lowerRoman"/>
      <w:lvlText w:val="%3."/>
      <w:lvlJc w:val="right"/>
      <w:pPr>
        <w:ind w:left="3600" w:hanging="180"/>
      </w:pPr>
    </w:lvl>
    <w:lvl w:ilvl="3" w:tplc="080C000F" w:tentative="1">
      <w:start w:val="1"/>
      <w:numFmt w:val="decimal"/>
      <w:lvlText w:val="%4."/>
      <w:lvlJc w:val="left"/>
      <w:pPr>
        <w:ind w:left="4320" w:hanging="360"/>
      </w:pPr>
    </w:lvl>
    <w:lvl w:ilvl="4" w:tplc="080C0019" w:tentative="1">
      <w:start w:val="1"/>
      <w:numFmt w:val="lowerLetter"/>
      <w:lvlText w:val="%5."/>
      <w:lvlJc w:val="left"/>
      <w:pPr>
        <w:ind w:left="5040" w:hanging="360"/>
      </w:pPr>
    </w:lvl>
    <w:lvl w:ilvl="5" w:tplc="080C001B" w:tentative="1">
      <w:start w:val="1"/>
      <w:numFmt w:val="lowerRoman"/>
      <w:lvlText w:val="%6."/>
      <w:lvlJc w:val="right"/>
      <w:pPr>
        <w:ind w:left="5760" w:hanging="180"/>
      </w:pPr>
    </w:lvl>
    <w:lvl w:ilvl="6" w:tplc="080C000F" w:tentative="1">
      <w:start w:val="1"/>
      <w:numFmt w:val="decimal"/>
      <w:lvlText w:val="%7."/>
      <w:lvlJc w:val="left"/>
      <w:pPr>
        <w:ind w:left="6480" w:hanging="360"/>
      </w:pPr>
    </w:lvl>
    <w:lvl w:ilvl="7" w:tplc="080C0019" w:tentative="1">
      <w:start w:val="1"/>
      <w:numFmt w:val="lowerLetter"/>
      <w:lvlText w:val="%8."/>
      <w:lvlJc w:val="left"/>
      <w:pPr>
        <w:ind w:left="7200" w:hanging="360"/>
      </w:pPr>
    </w:lvl>
    <w:lvl w:ilvl="8" w:tplc="080C001B" w:tentative="1">
      <w:start w:val="1"/>
      <w:numFmt w:val="lowerRoman"/>
      <w:lvlText w:val="%9."/>
      <w:lvlJc w:val="right"/>
      <w:pPr>
        <w:ind w:left="7920" w:hanging="180"/>
      </w:pPr>
    </w:lvl>
  </w:abstractNum>
  <w:abstractNum w:abstractNumId="248" w15:restartNumberingAfterBreak="0">
    <w:nsid w:val="28AC70DE"/>
    <w:multiLevelType w:val="hybridMultilevel"/>
    <w:tmpl w:val="FFFFFFFF"/>
    <w:lvl w:ilvl="0" w:tplc="F292825E">
      <w:start w:val="1"/>
      <w:numFmt w:val="bullet"/>
      <w:lvlText w:val=""/>
      <w:lvlJc w:val="left"/>
      <w:pPr>
        <w:ind w:left="720" w:hanging="360"/>
      </w:pPr>
      <w:rPr>
        <w:rFonts w:ascii="Symbol" w:hAnsi="Symbol" w:hint="default"/>
      </w:rPr>
    </w:lvl>
    <w:lvl w:ilvl="1" w:tplc="EA6E0448">
      <w:start w:val="1"/>
      <w:numFmt w:val="bullet"/>
      <w:lvlText w:val="o"/>
      <w:lvlJc w:val="left"/>
      <w:pPr>
        <w:ind w:left="1440" w:hanging="360"/>
      </w:pPr>
      <w:rPr>
        <w:rFonts w:ascii="Courier New" w:hAnsi="Courier New" w:hint="default"/>
      </w:rPr>
    </w:lvl>
    <w:lvl w:ilvl="2" w:tplc="B706CE40">
      <w:start w:val="1"/>
      <w:numFmt w:val="bullet"/>
      <w:lvlText w:val=""/>
      <w:lvlJc w:val="left"/>
      <w:pPr>
        <w:ind w:left="2160" w:hanging="360"/>
      </w:pPr>
      <w:rPr>
        <w:rFonts w:ascii="Wingdings" w:hAnsi="Wingdings" w:hint="default"/>
      </w:rPr>
    </w:lvl>
    <w:lvl w:ilvl="3" w:tplc="F19EE0CE">
      <w:start w:val="1"/>
      <w:numFmt w:val="bullet"/>
      <w:lvlText w:val=""/>
      <w:lvlJc w:val="left"/>
      <w:pPr>
        <w:ind w:left="2880" w:hanging="360"/>
      </w:pPr>
      <w:rPr>
        <w:rFonts w:ascii="Symbol" w:hAnsi="Symbol" w:hint="default"/>
      </w:rPr>
    </w:lvl>
    <w:lvl w:ilvl="4" w:tplc="E36E97E6">
      <w:start w:val="1"/>
      <w:numFmt w:val="bullet"/>
      <w:lvlText w:val="o"/>
      <w:lvlJc w:val="left"/>
      <w:pPr>
        <w:ind w:left="3600" w:hanging="360"/>
      </w:pPr>
      <w:rPr>
        <w:rFonts w:ascii="Courier New" w:hAnsi="Courier New" w:hint="default"/>
      </w:rPr>
    </w:lvl>
    <w:lvl w:ilvl="5" w:tplc="F19A281E">
      <w:start w:val="1"/>
      <w:numFmt w:val="bullet"/>
      <w:lvlText w:val=""/>
      <w:lvlJc w:val="left"/>
      <w:pPr>
        <w:ind w:left="4320" w:hanging="360"/>
      </w:pPr>
      <w:rPr>
        <w:rFonts w:ascii="Wingdings" w:hAnsi="Wingdings" w:hint="default"/>
      </w:rPr>
    </w:lvl>
    <w:lvl w:ilvl="6" w:tplc="62E67FD8">
      <w:start w:val="1"/>
      <w:numFmt w:val="bullet"/>
      <w:lvlText w:val=""/>
      <w:lvlJc w:val="left"/>
      <w:pPr>
        <w:ind w:left="5040" w:hanging="360"/>
      </w:pPr>
      <w:rPr>
        <w:rFonts w:ascii="Symbol" w:hAnsi="Symbol" w:hint="default"/>
      </w:rPr>
    </w:lvl>
    <w:lvl w:ilvl="7" w:tplc="07C8E5E0">
      <w:start w:val="1"/>
      <w:numFmt w:val="bullet"/>
      <w:lvlText w:val="o"/>
      <w:lvlJc w:val="left"/>
      <w:pPr>
        <w:ind w:left="5760" w:hanging="360"/>
      </w:pPr>
      <w:rPr>
        <w:rFonts w:ascii="Courier New" w:hAnsi="Courier New" w:hint="default"/>
      </w:rPr>
    </w:lvl>
    <w:lvl w:ilvl="8" w:tplc="4B0ED5E2">
      <w:start w:val="1"/>
      <w:numFmt w:val="bullet"/>
      <w:lvlText w:val=""/>
      <w:lvlJc w:val="left"/>
      <w:pPr>
        <w:ind w:left="6480" w:hanging="360"/>
      </w:pPr>
      <w:rPr>
        <w:rFonts w:ascii="Wingdings" w:hAnsi="Wingdings" w:hint="default"/>
      </w:rPr>
    </w:lvl>
  </w:abstractNum>
  <w:abstractNum w:abstractNumId="249" w15:restartNumberingAfterBreak="0">
    <w:nsid w:val="28AD3912"/>
    <w:multiLevelType w:val="hybridMultilevel"/>
    <w:tmpl w:val="CE284AF6"/>
    <w:lvl w:ilvl="0" w:tplc="165ACFAE">
      <w:start w:val="1"/>
      <w:numFmt w:val="decimal"/>
      <w:lvlText w:val="%1)"/>
      <w:lvlJc w:val="left"/>
      <w:pPr>
        <w:ind w:left="360" w:hanging="360"/>
      </w:pPr>
      <w:rPr>
        <w:rFonts w:ascii="Times New Roman" w:eastAsiaTheme="minorHAnsi" w:hAnsi="Times New Roman" w:cs="Times New Roman"/>
        <w:color w:val="auto"/>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Cambria Math" w:hAnsi="Cambria Math"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Cambria Math" w:hAnsi="Cambria Math"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Cambria Math" w:hAnsi="Cambria Math" w:hint="default"/>
      </w:rPr>
    </w:lvl>
  </w:abstractNum>
  <w:abstractNum w:abstractNumId="250" w15:restartNumberingAfterBreak="0">
    <w:nsid w:val="28FB5300"/>
    <w:multiLevelType w:val="hybridMultilevel"/>
    <w:tmpl w:val="915CF76A"/>
    <w:lvl w:ilvl="0" w:tplc="1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Cambria Math" w:hAnsi="Cambria Math" w:hint="default"/>
      </w:rPr>
    </w:lvl>
    <w:lvl w:ilvl="3" w:tplc="04090001" w:tentative="1">
      <w:start w:val="1"/>
      <w:numFmt w:val="bullet"/>
      <w:lvlText w:val=""/>
      <w:lvlJc w:val="left"/>
      <w:pPr>
        <w:ind w:left="2880" w:hanging="360"/>
      </w:pPr>
      <w:rPr>
        <w:rFonts w:ascii="Segoe UI" w:hAnsi="Segoe U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Cambria Math" w:hAnsi="Cambria Math" w:hint="default"/>
      </w:rPr>
    </w:lvl>
    <w:lvl w:ilvl="6" w:tplc="04090001" w:tentative="1">
      <w:start w:val="1"/>
      <w:numFmt w:val="bullet"/>
      <w:lvlText w:val=""/>
      <w:lvlJc w:val="left"/>
      <w:pPr>
        <w:ind w:left="5040" w:hanging="360"/>
      </w:pPr>
      <w:rPr>
        <w:rFonts w:ascii="Segoe UI" w:hAnsi="Segoe UI"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Cambria Math" w:hAnsi="Cambria Math" w:hint="default"/>
      </w:rPr>
    </w:lvl>
  </w:abstractNum>
  <w:abstractNum w:abstractNumId="251" w15:restartNumberingAfterBreak="0">
    <w:nsid w:val="297003E1"/>
    <w:multiLevelType w:val="multilevel"/>
    <w:tmpl w:val="FFFFFFFF"/>
    <w:lvl w:ilvl="0">
      <w:start w:val="9"/>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2" w15:restartNumberingAfterBreak="0">
    <w:nsid w:val="29AA1EDE"/>
    <w:multiLevelType w:val="hybridMultilevel"/>
    <w:tmpl w:val="B1C8EDC6"/>
    <w:lvl w:ilvl="0" w:tplc="0809001B">
      <w:start w:val="1"/>
      <w:numFmt w:val="lowerRoman"/>
      <w:lvlText w:val="%1."/>
      <w:lvlJc w:val="right"/>
      <w:pPr>
        <w:ind w:left="720" w:hanging="360"/>
      </w:pPr>
      <w:rPr>
        <w:rFont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253" w15:restartNumberingAfterBreak="0">
    <w:nsid w:val="29B66F43"/>
    <w:multiLevelType w:val="hybridMultilevel"/>
    <w:tmpl w:val="42D085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4" w15:restartNumberingAfterBreak="0">
    <w:nsid w:val="29E9906E"/>
    <w:multiLevelType w:val="hybridMultilevel"/>
    <w:tmpl w:val="FFFFFFFF"/>
    <w:lvl w:ilvl="0" w:tplc="D024A652">
      <w:start w:val="1"/>
      <w:numFmt w:val="bullet"/>
      <w:lvlText w:val=""/>
      <w:lvlJc w:val="left"/>
      <w:pPr>
        <w:ind w:left="720" w:hanging="360"/>
      </w:pPr>
      <w:rPr>
        <w:rFonts w:ascii="Segoe UI" w:hAnsi="Segoe UI" w:hint="default"/>
      </w:rPr>
    </w:lvl>
    <w:lvl w:ilvl="1" w:tplc="023631BC">
      <w:start w:val="1"/>
      <w:numFmt w:val="bullet"/>
      <w:lvlText w:val="o"/>
      <w:lvlJc w:val="left"/>
      <w:pPr>
        <w:ind w:left="1440" w:hanging="360"/>
      </w:pPr>
      <w:rPr>
        <w:rFonts w:ascii="Courier New" w:hAnsi="Courier New" w:hint="default"/>
      </w:rPr>
    </w:lvl>
    <w:lvl w:ilvl="2" w:tplc="59BE6496">
      <w:start w:val="1"/>
      <w:numFmt w:val="bullet"/>
      <w:lvlText w:val=""/>
      <w:lvlJc w:val="left"/>
      <w:pPr>
        <w:ind w:left="2160" w:hanging="360"/>
      </w:pPr>
      <w:rPr>
        <w:rFonts w:ascii="Cambria Math" w:hAnsi="Cambria Math" w:hint="default"/>
      </w:rPr>
    </w:lvl>
    <w:lvl w:ilvl="3" w:tplc="620CD2D6">
      <w:start w:val="1"/>
      <w:numFmt w:val="bullet"/>
      <w:lvlText w:val=""/>
      <w:lvlJc w:val="left"/>
      <w:pPr>
        <w:ind w:left="2880" w:hanging="360"/>
      </w:pPr>
      <w:rPr>
        <w:rFonts w:ascii="Segoe UI" w:hAnsi="Segoe UI" w:hint="default"/>
      </w:rPr>
    </w:lvl>
    <w:lvl w:ilvl="4" w:tplc="02B40CB6">
      <w:start w:val="1"/>
      <w:numFmt w:val="bullet"/>
      <w:lvlText w:val="o"/>
      <w:lvlJc w:val="left"/>
      <w:pPr>
        <w:ind w:left="3600" w:hanging="360"/>
      </w:pPr>
      <w:rPr>
        <w:rFonts w:ascii="Courier New" w:hAnsi="Courier New" w:hint="default"/>
      </w:rPr>
    </w:lvl>
    <w:lvl w:ilvl="5" w:tplc="14068EBC">
      <w:start w:val="1"/>
      <w:numFmt w:val="bullet"/>
      <w:lvlText w:val=""/>
      <w:lvlJc w:val="left"/>
      <w:pPr>
        <w:ind w:left="4320" w:hanging="360"/>
      </w:pPr>
      <w:rPr>
        <w:rFonts w:ascii="Cambria Math" w:hAnsi="Cambria Math" w:hint="default"/>
      </w:rPr>
    </w:lvl>
    <w:lvl w:ilvl="6" w:tplc="61649512">
      <w:start w:val="1"/>
      <w:numFmt w:val="bullet"/>
      <w:lvlText w:val=""/>
      <w:lvlJc w:val="left"/>
      <w:pPr>
        <w:ind w:left="5040" w:hanging="360"/>
      </w:pPr>
      <w:rPr>
        <w:rFonts w:ascii="Segoe UI" w:hAnsi="Segoe UI" w:hint="default"/>
      </w:rPr>
    </w:lvl>
    <w:lvl w:ilvl="7" w:tplc="3B3A7500">
      <w:start w:val="1"/>
      <w:numFmt w:val="bullet"/>
      <w:lvlText w:val="o"/>
      <w:lvlJc w:val="left"/>
      <w:pPr>
        <w:ind w:left="5760" w:hanging="360"/>
      </w:pPr>
      <w:rPr>
        <w:rFonts w:ascii="Courier New" w:hAnsi="Courier New" w:hint="default"/>
      </w:rPr>
    </w:lvl>
    <w:lvl w:ilvl="8" w:tplc="22A80364">
      <w:start w:val="1"/>
      <w:numFmt w:val="bullet"/>
      <w:lvlText w:val=""/>
      <w:lvlJc w:val="left"/>
      <w:pPr>
        <w:ind w:left="6480" w:hanging="360"/>
      </w:pPr>
      <w:rPr>
        <w:rFonts w:ascii="Cambria Math" w:hAnsi="Cambria Math" w:hint="default"/>
      </w:rPr>
    </w:lvl>
  </w:abstractNum>
  <w:abstractNum w:abstractNumId="255" w15:restartNumberingAfterBreak="0">
    <w:nsid w:val="2A9A0C23"/>
    <w:multiLevelType w:val="hybridMultilevel"/>
    <w:tmpl w:val="87DA39CC"/>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6" w15:restartNumberingAfterBreak="0">
    <w:nsid w:val="2AC454D0"/>
    <w:multiLevelType w:val="hybridMultilevel"/>
    <w:tmpl w:val="D1F2D384"/>
    <w:lvl w:ilvl="0" w:tplc="08090019">
      <w:start w:val="1"/>
      <w:numFmt w:val="lowerLetter"/>
      <w:lvlText w:val="%1."/>
      <w:lvlJc w:val="left"/>
      <w:pPr>
        <w:ind w:left="1429" w:hanging="360"/>
      </w:pPr>
    </w:lvl>
    <w:lvl w:ilvl="1" w:tplc="0809001B">
      <w:start w:val="1"/>
      <w:numFmt w:val="lowerRoman"/>
      <w:lvlText w:val="%2."/>
      <w:lvlJc w:val="righ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57" w15:restartNumberingAfterBreak="0">
    <w:nsid w:val="2ADA1D71"/>
    <w:multiLevelType w:val="hybridMultilevel"/>
    <w:tmpl w:val="815041A8"/>
    <w:lvl w:ilvl="0" w:tplc="21F04AAA">
      <w:start w:val="1"/>
      <w:numFmt w:val="decimal"/>
      <w:lvlText w:val="%1."/>
      <w:lvlJc w:val="left"/>
      <w:pPr>
        <w:ind w:left="720" w:hanging="360"/>
      </w:pPr>
    </w:lvl>
    <w:lvl w:ilvl="1" w:tplc="D532679E">
      <w:start w:val="1"/>
      <w:numFmt w:val="lowerLetter"/>
      <w:lvlText w:val="%2."/>
      <w:lvlJc w:val="left"/>
      <w:pPr>
        <w:ind w:left="1440" w:hanging="360"/>
      </w:pPr>
    </w:lvl>
    <w:lvl w:ilvl="2" w:tplc="77489986">
      <w:start w:val="1"/>
      <w:numFmt w:val="lowerRoman"/>
      <w:lvlText w:val="%3."/>
      <w:lvlJc w:val="right"/>
      <w:pPr>
        <w:ind w:left="2160" w:hanging="180"/>
      </w:pPr>
    </w:lvl>
    <w:lvl w:ilvl="3" w:tplc="135047BE">
      <w:start w:val="1"/>
      <w:numFmt w:val="decimal"/>
      <w:lvlText w:val="%4."/>
      <w:lvlJc w:val="left"/>
      <w:pPr>
        <w:ind w:left="2880" w:hanging="360"/>
      </w:pPr>
    </w:lvl>
    <w:lvl w:ilvl="4" w:tplc="A41E92C2">
      <w:start w:val="1"/>
      <w:numFmt w:val="lowerLetter"/>
      <w:lvlText w:val="%5."/>
      <w:lvlJc w:val="left"/>
      <w:pPr>
        <w:ind w:left="3600" w:hanging="360"/>
      </w:pPr>
    </w:lvl>
    <w:lvl w:ilvl="5" w:tplc="A740CBAE">
      <w:start w:val="1"/>
      <w:numFmt w:val="lowerRoman"/>
      <w:lvlText w:val="%6."/>
      <w:lvlJc w:val="right"/>
      <w:pPr>
        <w:ind w:left="4320" w:hanging="180"/>
      </w:pPr>
    </w:lvl>
    <w:lvl w:ilvl="6" w:tplc="7D628940">
      <w:start w:val="1"/>
      <w:numFmt w:val="decimal"/>
      <w:lvlText w:val="%7."/>
      <w:lvlJc w:val="left"/>
      <w:pPr>
        <w:ind w:left="5040" w:hanging="360"/>
      </w:pPr>
    </w:lvl>
    <w:lvl w:ilvl="7" w:tplc="E91C5DFE">
      <w:start w:val="1"/>
      <w:numFmt w:val="lowerLetter"/>
      <w:lvlText w:val="%8."/>
      <w:lvlJc w:val="left"/>
      <w:pPr>
        <w:ind w:left="5760" w:hanging="360"/>
      </w:pPr>
    </w:lvl>
    <w:lvl w:ilvl="8" w:tplc="6ECE6982">
      <w:start w:val="1"/>
      <w:numFmt w:val="lowerRoman"/>
      <w:lvlText w:val="%9."/>
      <w:lvlJc w:val="right"/>
      <w:pPr>
        <w:ind w:left="6480" w:hanging="180"/>
      </w:pPr>
    </w:lvl>
  </w:abstractNum>
  <w:abstractNum w:abstractNumId="258" w15:restartNumberingAfterBreak="0">
    <w:nsid w:val="2B021AF9"/>
    <w:multiLevelType w:val="hybridMultilevel"/>
    <w:tmpl w:val="E93E7FEC"/>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9" w15:restartNumberingAfterBreak="0">
    <w:nsid w:val="2B0E774A"/>
    <w:multiLevelType w:val="hybridMultilevel"/>
    <w:tmpl w:val="2A78B3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0" w15:restartNumberingAfterBreak="0">
    <w:nsid w:val="2B343659"/>
    <w:multiLevelType w:val="multilevel"/>
    <w:tmpl w:val="4B30F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1" w15:restartNumberingAfterBreak="0">
    <w:nsid w:val="2B3C5D07"/>
    <w:multiLevelType w:val="hybridMultilevel"/>
    <w:tmpl w:val="96BE8BFE"/>
    <w:lvl w:ilvl="0" w:tplc="18090001">
      <w:start w:val="1"/>
      <w:numFmt w:val="bullet"/>
      <w:lvlText w:val=""/>
      <w:lvlJc w:val="left"/>
      <w:pPr>
        <w:ind w:left="1069" w:hanging="360"/>
      </w:pPr>
      <w:rPr>
        <w:rFonts w:ascii="Symbol" w:hAnsi="Symbol"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62" w15:restartNumberingAfterBreak="0">
    <w:nsid w:val="2B4D6ED1"/>
    <w:multiLevelType w:val="multilevel"/>
    <w:tmpl w:val="1F30E9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2B9E0268"/>
    <w:multiLevelType w:val="hybridMultilevel"/>
    <w:tmpl w:val="007AB2AA"/>
    <w:lvl w:ilvl="0" w:tplc="0C0A001B">
      <w:start w:val="1"/>
      <w:numFmt w:val="lowerRoman"/>
      <w:lvlText w:val="%1."/>
      <w:lvlJc w:val="righ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4" w15:restartNumberingAfterBreak="0">
    <w:nsid w:val="2BA628AA"/>
    <w:multiLevelType w:val="hybridMultilevel"/>
    <w:tmpl w:val="78026892"/>
    <w:lvl w:ilvl="0" w:tplc="6C30E62A">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5" w15:restartNumberingAfterBreak="0">
    <w:nsid w:val="2BC3320C"/>
    <w:multiLevelType w:val="hybridMultilevel"/>
    <w:tmpl w:val="FFFFFFFF"/>
    <w:lvl w:ilvl="0" w:tplc="DDEA078C">
      <w:start w:val="1"/>
      <w:numFmt w:val="bullet"/>
      <w:lvlText w:val=""/>
      <w:lvlJc w:val="left"/>
      <w:pPr>
        <w:ind w:left="720" w:hanging="360"/>
      </w:pPr>
      <w:rPr>
        <w:rFonts w:ascii="Symbol" w:hAnsi="Symbol" w:hint="default"/>
      </w:rPr>
    </w:lvl>
    <w:lvl w:ilvl="1" w:tplc="0A18BACC">
      <w:start w:val="1"/>
      <w:numFmt w:val="bullet"/>
      <w:lvlText w:val="o"/>
      <w:lvlJc w:val="left"/>
      <w:pPr>
        <w:ind w:left="1440" w:hanging="360"/>
      </w:pPr>
      <w:rPr>
        <w:rFonts w:ascii="Courier New" w:hAnsi="Courier New" w:hint="default"/>
      </w:rPr>
    </w:lvl>
    <w:lvl w:ilvl="2" w:tplc="BB9866DE">
      <w:start w:val="1"/>
      <w:numFmt w:val="bullet"/>
      <w:lvlText w:val=""/>
      <w:lvlJc w:val="left"/>
      <w:pPr>
        <w:ind w:left="2160" w:hanging="360"/>
      </w:pPr>
      <w:rPr>
        <w:rFonts w:ascii="Wingdings" w:hAnsi="Wingdings" w:hint="default"/>
      </w:rPr>
    </w:lvl>
    <w:lvl w:ilvl="3" w:tplc="DB2CB6EE">
      <w:start w:val="1"/>
      <w:numFmt w:val="bullet"/>
      <w:lvlText w:val=""/>
      <w:lvlJc w:val="left"/>
      <w:pPr>
        <w:ind w:left="2880" w:hanging="360"/>
      </w:pPr>
      <w:rPr>
        <w:rFonts w:ascii="Symbol" w:hAnsi="Symbol" w:hint="default"/>
      </w:rPr>
    </w:lvl>
    <w:lvl w:ilvl="4" w:tplc="3F18CBF2">
      <w:start w:val="1"/>
      <w:numFmt w:val="bullet"/>
      <w:lvlText w:val="o"/>
      <w:lvlJc w:val="left"/>
      <w:pPr>
        <w:ind w:left="3600" w:hanging="360"/>
      </w:pPr>
      <w:rPr>
        <w:rFonts w:ascii="Courier New" w:hAnsi="Courier New" w:hint="default"/>
      </w:rPr>
    </w:lvl>
    <w:lvl w:ilvl="5" w:tplc="9D08D2A2">
      <w:start w:val="1"/>
      <w:numFmt w:val="bullet"/>
      <w:lvlText w:val=""/>
      <w:lvlJc w:val="left"/>
      <w:pPr>
        <w:ind w:left="4320" w:hanging="360"/>
      </w:pPr>
      <w:rPr>
        <w:rFonts w:ascii="Wingdings" w:hAnsi="Wingdings" w:hint="default"/>
      </w:rPr>
    </w:lvl>
    <w:lvl w:ilvl="6" w:tplc="13748B46">
      <w:start w:val="1"/>
      <w:numFmt w:val="bullet"/>
      <w:lvlText w:val=""/>
      <w:lvlJc w:val="left"/>
      <w:pPr>
        <w:ind w:left="5040" w:hanging="360"/>
      </w:pPr>
      <w:rPr>
        <w:rFonts w:ascii="Symbol" w:hAnsi="Symbol" w:hint="default"/>
      </w:rPr>
    </w:lvl>
    <w:lvl w:ilvl="7" w:tplc="7744FAB2">
      <w:start w:val="1"/>
      <w:numFmt w:val="bullet"/>
      <w:lvlText w:val="o"/>
      <w:lvlJc w:val="left"/>
      <w:pPr>
        <w:ind w:left="5760" w:hanging="360"/>
      </w:pPr>
      <w:rPr>
        <w:rFonts w:ascii="Courier New" w:hAnsi="Courier New" w:hint="default"/>
      </w:rPr>
    </w:lvl>
    <w:lvl w:ilvl="8" w:tplc="2C2A9E20">
      <w:start w:val="1"/>
      <w:numFmt w:val="bullet"/>
      <w:lvlText w:val=""/>
      <w:lvlJc w:val="left"/>
      <w:pPr>
        <w:ind w:left="6480" w:hanging="360"/>
      </w:pPr>
      <w:rPr>
        <w:rFonts w:ascii="Wingdings" w:hAnsi="Wingdings" w:hint="default"/>
      </w:rPr>
    </w:lvl>
  </w:abstractNum>
  <w:abstractNum w:abstractNumId="266" w15:restartNumberingAfterBreak="0">
    <w:nsid w:val="2BD5FA74"/>
    <w:multiLevelType w:val="hybridMultilevel"/>
    <w:tmpl w:val="FFFFFFFF"/>
    <w:lvl w:ilvl="0" w:tplc="6B5AB244">
      <w:start w:val="1"/>
      <w:numFmt w:val="bullet"/>
      <w:lvlText w:val=""/>
      <w:lvlJc w:val="left"/>
      <w:pPr>
        <w:ind w:left="720" w:hanging="360"/>
      </w:pPr>
      <w:rPr>
        <w:rFonts w:ascii="Symbol" w:hAnsi="Symbol" w:hint="default"/>
      </w:rPr>
    </w:lvl>
    <w:lvl w:ilvl="1" w:tplc="813A351E">
      <w:start w:val="1"/>
      <w:numFmt w:val="bullet"/>
      <w:lvlText w:val="o"/>
      <w:lvlJc w:val="left"/>
      <w:pPr>
        <w:ind w:left="1440" w:hanging="360"/>
      </w:pPr>
      <w:rPr>
        <w:rFonts w:ascii="Courier New" w:hAnsi="Courier New" w:hint="default"/>
      </w:rPr>
    </w:lvl>
    <w:lvl w:ilvl="2" w:tplc="2F7E7612">
      <w:start w:val="1"/>
      <w:numFmt w:val="bullet"/>
      <w:lvlText w:val=""/>
      <w:lvlJc w:val="left"/>
      <w:pPr>
        <w:ind w:left="2160" w:hanging="360"/>
      </w:pPr>
      <w:rPr>
        <w:rFonts w:ascii="Wingdings" w:hAnsi="Wingdings" w:hint="default"/>
      </w:rPr>
    </w:lvl>
    <w:lvl w:ilvl="3" w:tplc="05AE497A">
      <w:start w:val="1"/>
      <w:numFmt w:val="bullet"/>
      <w:lvlText w:val=""/>
      <w:lvlJc w:val="left"/>
      <w:pPr>
        <w:ind w:left="2880" w:hanging="360"/>
      </w:pPr>
      <w:rPr>
        <w:rFonts w:ascii="Symbol" w:hAnsi="Symbol" w:hint="default"/>
      </w:rPr>
    </w:lvl>
    <w:lvl w:ilvl="4" w:tplc="3CA01868">
      <w:start w:val="1"/>
      <w:numFmt w:val="bullet"/>
      <w:lvlText w:val="o"/>
      <w:lvlJc w:val="left"/>
      <w:pPr>
        <w:ind w:left="3600" w:hanging="360"/>
      </w:pPr>
      <w:rPr>
        <w:rFonts w:ascii="Courier New" w:hAnsi="Courier New" w:hint="default"/>
      </w:rPr>
    </w:lvl>
    <w:lvl w:ilvl="5" w:tplc="9D48394E">
      <w:start w:val="1"/>
      <w:numFmt w:val="bullet"/>
      <w:lvlText w:val=""/>
      <w:lvlJc w:val="left"/>
      <w:pPr>
        <w:ind w:left="4320" w:hanging="360"/>
      </w:pPr>
      <w:rPr>
        <w:rFonts w:ascii="Wingdings" w:hAnsi="Wingdings" w:hint="default"/>
      </w:rPr>
    </w:lvl>
    <w:lvl w:ilvl="6" w:tplc="F732EFF2">
      <w:start w:val="1"/>
      <w:numFmt w:val="bullet"/>
      <w:lvlText w:val=""/>
      <w:lvlJc w:val="left"/>
      <w:pPr>
        <w:ind w:left="5040" w:hanging="360"/>
      </w:pPr>
      <w:rPr>
        <w:rFonts w:ascii="Symbol" w:hAnsi="Symbol" w:hint="default"/>
      </w:rPr>
    </w:lvl>
    <w:lvl w:ilvl="7" w:tplc="C23E3C62">
      <w:start w:val="1"/>
      <w:numFmt w:val="bullet"/>
      <w:lvlText w:val="o"/>
      <w:lvlJc w:val="left"/>
      <w:pPr>
        <w:ind w:left="5760" w:hanging="360"/>
      </w:pPr>
      <w:rPr>
        <w:rFonts w:ascii="Courier New" w:hAnsi="Courier New" w:hint="default"/>
      </w:rPr>
    </w:lvl>
    <w:lvl w:ilvl="8" w:tplc="F0EC22D0">
      <w:start w:val="1"/>
      <w:numFmt w:val="bullet"/>
      <w:lvlText w:val=""/>
      <w:lvlJc w:val="left"/>
      <w:pPr>
        <w:ind w:left="6480" w:hanging="360"/>
      </w:pPr>
      <w:rPr>
        <w:rFonts w:ascii="Wingdings" w:hAnsi="Wingdings" w:hint="default"/>
      </w:rPr>
    </w:lvl>
  </w:abstractNum>
  <w:abstractNum w:abstractNumId="267" w15:restartNumberingAfterBreak="0">
    <w:nsid w:val="2C4C08BD"/>
    <w:multiLevelType w:val="hybridMultilevel"/>
    <w:tmpl w:val="7480B484"/>
    <w:lvl w:ilvl="0" w:tplc="04090001">
      <w:start w:val="1"/>
      <w:numFmt w:val="bullet"/>
      <w:lvlText w:val=""/>
      <w:lvlJc w:val="left"/>
      <w:pPr>
        <w:ind w:left="1146"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8" w15:restartNumberingAfterBreak="0">
    <w:nsid w:val="2C823E9D"/>
    <w:multiLevelType w:val="hybridMultilevel"/>
    <w:tmpl w:val="86587B6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9" w15:restartNumberingAfterBreak="0">
    <w:nsid w:val="2CA45D9E"/>
    <w:multiLevelType w:val="multilevel"/>
    <w:tmpl w:val="9AA4F56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egoe UI" w:hAnsi="Segoe UI" w:hint="default"/>
      </w:rPr>
    </w:lvl>
  </w:abstractNum>
  <w:abstractNum w:abstractNumId="271"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272" w15:restartNumberingAfterBreak="0">
    <w:nsid w:val="2D110E14"/>
    <w:multiLevelType w:val="multilevel"/>
    <w:tmpl w:val="82C2B9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15:restartNumberingAfterBreak="0">
    <w:nsid w:val="2D14067A"/>
    <w:multiLevelType w:val="hybridMultilevel"/>
    <w:tmpl w:val="325A2B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4" w15:restartNumberingAfterBreak="0">
    <w:nsid w:val="2D7B7DD8"/>
    <w:multiLevelType w:val="hybridMultilevel"/>
    <w:tmpl w:val="B1C8EDC6"/>
    <w:lvl w:ilvl="0" w:tplc="0809001B">
      <w:start w:val="1"/>
      <w:numFmt w:val="lowerRoman"/>
      <w:lvlText w:val="%1."/>
      <w:lvlJc w:val="righ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275" w15:restartNumberingAfterBreak="0">
    <w:nsid w:val="2D972AD3"/>
    <w:multiLevelType w:val="hybridMultilevel"/>
    <w:tmpl w:val="5CC6895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6" w15:restartNumberingAfterBreak="0">
    <w:nsid w:val="2E360B7E"/>
    <w:multiLevelType w:val="hybridMultilevel"/>
    <w:tmpl w:val="2356F738"/>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15:restartNumberingAfterBreak="0">
    <w:nsid w:val="2E385B4E"/>
    <w:multiLevelType w:val="multilevel"/>
    <w:tmpl w:val="091A8B3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15:restartNumberingAfterBreak="0">
    <w:nsid w:val="2E7F064A"/>
    <w:multiLevelType w:val="hybridMultilevel"/>
    <w:tmpl w:val="0C5A429A"/>
    <w:lvl w:ilvl="0" w:tplc="319233EA">
      <w:start w:val="3"/>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9" w15:restartNumberingAfterBreak="0">
    <w:nsid w:val="2EA12BC2"/>
    <w:multiLevelType w:val="multilevel"/>
    <w:tmpl w:val="FFFFFFFF"/>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0" w15:restartNumberingAfterBreak="0">
    <w:nsid w:val="2EB252F5"/>
    <w:multiLevelType w:val="hybridMultilevel"/>
    <w:tmpl w:val="FFFFFFFF"/>
    <w:lvl w:ilvl="0" w:tplc="907EAF6A">
      <w:start w:val="1"/>
      <w:numFmt w:val="bullet"/>
      <w:lvlText w:val=""/>
      <w:lvlJc w:val="left"/>
      <w:pPr>
        <w:ind w:left="360" w:hanging="360"/>
      </w:pPr>
      <w:rPr>
        <w:rFonts w:ascii="Segoe UI" w:hAnsi="Segoe UI" w:hint="default"/>
      </w:rPr>
    </w:lvl>
    <w:lvl w:ilvl="1" w:tplc="101C44C6">
      <w:start w:val="1"/>
      <w:numFmt w:val="bullet"/>
      <w:lvlText w:val="o"/>
      <w:lvlJc w:val="left"/>
      <w:pPr>
        <w:ind w:left="1080" w:hanging="360"/>
      </w:pPr>
      <w:rPr>
        <w:rFonts w:ascii="Courier New" w:hAnsi="Courier New" w:hint="default"/>
      </w:rPr>
    </w:lvl>
    <w:lvl w:ilvl="2" w:tplc="BC9A14D4">
      <w:start w:val="1"/>
      <w:numFmt w:val="bullet"/>
      <w:lvlText w:val=""/>
      <w:lvlJc w:val="left"/>
      <w:pPr>
        <w:ind w:left="1800" w:hanging="360"/>
      </w:pPr>
      <w:rPr>
        <w:rFonts w:ascii="Cambria Math" w:hAnsi="Cambria Math" w:hint="default"/>
      </w:rPr>
    </w:lvl>
    <w:lvl w:ilvl="3" w:tplc="70BEC26C">
      <w:start w:val="1"/>
      <w:numFmt w:val="bullet"/>
      <w:lvlText w:val=""/>
      <w:lvlJc w:val="left"/>
      <w:pPr>
        <w:ind w:left="2520" w:hanging="360"/>
      </w:pPr>
      <w:rPr>
        <w:rFonts w:ascii="Segoe UI" w:hAnsi="Segoe UI" w:hint="default"/>
      </w:rPr>
    </w:lvl>
    <w:lvl w:ilvl="4" w:tplc="6430196C">
      <w:start w:val="1"/>
      <w:numFmt w:val="bullet"/>
      <w:lvlText w:val="o"/>
      <w:lvlJc w:val="left"/>
      <w:pPr>
        <w:ind w:left="3240" w:hanging="360"/>
      </w:pPr>
      <w:rPr>
        <w:rFonts w:ascii="Courier New" w:hAnsi="Courier New" w:hint="default"/>
      </w:rPr>
    </w:lvl>
    <w:lvl w:ilvl="5" w:tplc="A67C6C4E">
      <w:start w:val="1"/>
      <w:numFmt w:val="bullet"/>
      <w:lvlText w:val=""/>
      <w:lvlJc w:val="left"/>
      <w:pPr>
        <w:ind w:left="3960" w:hanging="360"/>
      </w:pPr>
      <w:rPr>
        <w:rFonts w:ascii="Cambria Math" w:hAnsi="Cambria Math" w:hint="default"/>
      </w:rPr>
    </w:lvl>
    <w:lvl w:ilvl="6" w:tplc="4A26018E">
      <w:start w:val="1"/>
      <w:numFmt w:val="bullet"/>
      <w:lvlText w:val=""/>
      <w:lvlJc w:val="left"/>
      <w:pPr>
        <w:ind w:left="4680" w:hanging="360"/>
      </w:pPr>
      <w:rPr>
        <w:rFonts w:ascii="Segoe UI" w:hAnsi="Segoe UI" w:hint="default"/>
      </w:rPr>
    </w:lvl>
    <w:lvl w:ilvl="7" w:tplc="EE000560">
      <w:start w:val="1"/>
      <w:numFmt w:val="bullet"/>
      <w:lvlText w:val="o"/>
      <w:lvlJc w:val="left"/>
      <w:pPr>
        <w:ind w:left="5400" w:hanging="360"/>
      </w:pPr>
      <w:rPr>
        <w:rFonts w:ascii="Courier New" w:hAnsi="Courier New" w:hint="default"/>
      </w:rPr>
    </w:lvl>
    <w:lvl w:ilvl="8" w:tplc="A8D0CD18">
      <w:start w:val="1"/>
      <w:numFmt w:val="bullet"/>
      <w:lvlText w:val=""/>
      <w:lvlJc w:val="left"/>
      <w:pPr>
        <w:ind w:left="6120" w:hanging="360"/>
      </w:pPr>
      <w:rPr>
        <w:rFonts w:ascii="Cambria Math" w:hAnsi="Cambria Math" w:hint="default"/>
      </w:rPr>
    </w:lvl>
  </w:abstractNum>
  <w:abstractNum w:abstractNumId="281" w15:restartNumberingAfterBreak="0">
    <w:nsid w:val="2F772BFB"/>
    <w:multiLevelType w:val="hybridMultilevel"/>
    <w:tmpl w:val="444A1582"/>
    <w:lvl w:ilvl="0" w:tplc="18090017">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2" w15:restartNumberingAfterBreak="0">
    <w:nsid w:val="2FFCFBEF"/>
    <w:multiLevelType w:val="hybridMultilevel"/>
    <w:tmpl w:val="FFFFFFFF"/>
    <w:lvl w:ilvl="0" w:tplc="D77C4466">
      <w:start w:val="3"/>
      <w:numFmt w:val="decimal"/>
      <w:lvlText w:val="%1."/>
      <w:lvlJc w:val="left"/>
      <w:pPr>
        <w:ind w:left="720" w:hanging="360"/>
      </w:pPr>
    </w:lvl>
    <w:lvl w:ilvl="1" w:tplc="724C664E">
      <w:start w:val="1"/>
      <w:numFmt w:val="lowerLetter"/>
      <w:lvlText w:val="%2."/>
      <w:lvlJc w:val="left"/>
      <w:pPr>
        <w:ind w:left="1440" w:hanging="360"/>
      </w:pPr>
    </w:lvl>
    <w:lvl w:ilvl="2" w:tplc="398AC8FC">
      <w:start w:val="1"/>
      <w:numFmt w:val="lowerRoman"/>
      <w:lvlText w:val="%3."/>
      <w:lvlJc w:val="right"/>
      <w:pPr>
        <w:ind w:left="2160" w:hanging="180"/>
      </w:pPr>
    </w:lvl>
    <w:lvl w:ilvl="3" w:tplc="E3A004D6">
      <w:start w:val="1"/>
      <w:numFmt w:val="decimal"/>
      <w:lvlText w:val="%4."/>
      <w:lvlJc w:val="left"/>
      <w:pPr>
        <w:ind w:left="2880" w:hanging="360"/>
      </w:pPr>
    </w:lvl>
    <w:lvl w:ilvl="4" w:tplc="06C4D0E4">
      <w:start w:val="1"/>
      <w:numFmt w:val="lowerLetter"/>
      <w:lvlText w:val="%5."/>
      <w:lvlJc w:val="left"/>
      <w:pPr>
        <w:ind w:left="3600" w:hanging="360"/>
      </w:pPr>
    </w:lvl>
    <w:lvl w:ilvl="5" w:tplc="3E92EF9E">
      <w:start w:val="1"/>
      <w:numFmt w:val="lowerRoman"/>
      <w:lvlText w:val="%6."/>
      <w:lvlJc w:val="right"/>
      <w:pPr>
        <w:ind w:left="4320" w:hanging="180"/>
      </w:pPr>
    </w:lvl>
    <w:lvl w:ilvl="6" w:tplc="4300E2FE">
      <w:start w:val="1"/>
      <w:numFmt w:val="decimal"/>
      <w:lvlText w:val="%7."/>
      <w:lvlJc w:val="left"/>
      <w:pPr>
        <w:ind w:left="5040" w:hanging="360"/>
      </w:pPr>
    </w:lvl>
    <w:lvl w:ilvl="7" w:tplc="AD96C5B0">
      <w:start w:val="1"/>
      <w:numFmt w:val="lowerLetter"/>
      <w:lvlText w:val="%8."/>
      <w:lvlJc w:val="left"/>
      <w:pPr>
        <w:ind w:left="5760" w:hanging="360"/>
      </w:pPr>
    </w:lvl>
    <w:lvl w:ilvl="8" w:tplc="9082452A">
      <w:start w:val="1"/>
      <w:numFmt w:val="lowerRoman"/>
      <w:lvlText w:val="%9."/>
      <w:lvlJc w:val="right"/>
      <w:pPr>
        <w:ind w:left="6480" w:hanging="180"/>
      </w:pPr>
    </w:lvl>
  </w:abstractNum>
  <w:abstractNum w:abstractNumId="283" w15:restartNumberingAfterBreak="0">
    <w:nsid w:val="30015E7C"/>
    <w:multiLevelType w:val="hybridMultilevel"/>
    <w:tmpl w:val="FF2E4128"/>
    <w:lvl w:ilvl="0" w:tplc="B65EBF50">
      <w:start w:val="1"/>
      <w:numFmt w:val="lowerRoman"/>
      <w:lvlText w:val="%1."/>
      <w:lvlJc w:val="righ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284" w15:restartNumberingAfterBreak="0">
    <w:nsid w:val="3048683C"/>
    <w:multiLevelType w:val="multilevel"/>
    <w:tmpl w:val="CAB28D5A"/>
    <w:lvl w:ilvl="0">
      <w:start w:val="1"/>
      <w:numFmt w:val="decimal"/>
      <w:lvlText w:val="%1."/>
      <w:lvlJc w:val="left"/>
      <w:pPr>
        <w:ind w:left="476" w:hanging="476"/>
      </w:pPr>
      <w:rPr>
        <w:rFonts w:hint="default"/>
        <w:b w:val="0"/>
        <w:bCs w:val="0"/>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5" w15:restartNumberingAfterBreak="0">
    <w:nsid w:val="304E5DDC"/>
    <w:multiLevelType w:val="hybridMultilevel"/>
    <w:tmpl w:val="101696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6" w15:restartNumberingAfterBreak="0">
    <w:nsid w:val="304FA210"/>
    <w:multiLevelType w:val="hybridMultilevel"/>
    <w:tmpl w:val="FFFFFFFF"/>
    <w:lvl w:ilvl="0" w:tplc="C70A81A6">
      <w:start w:val="1"/>
      <w:numFmt w:val="bullet"/>
      <w:lvlText w:val=""/>
      <w:lvlJc w:val="left"/>
      <w:pPr>
        <w:ind w:left="720" w:hanging="360"/>
      </w:pPr>
      <w:rPr>
        <w:rFonts w:ascii="Symbol" w:hAnsi="Symbol" w:hint="default"/>
      </w:rPr>
    </w:lvl>
    <w:lvl w:ilvl="1" w:tplc="482E9D7E">
      <w:start w:val="1"/>
      <w:numFmt w:val="bullet"/>
      <w:lvlText w:val="o"/>
      <w:lvlJc w:val="left"/>
      <w:pPr>
        <w:ind w:left="1440" w:hanging="360"/>
      </w:pPr>
      <w:rPr>
        <w:rFonts w:ascii="Courier New" w:hAnsi="Courier New" w:hint="default"/>
      </w:rPr>
    </w:lvl>
    <w:lvl w:ilvl="2" w:tplc="71402B10">
      <w:start w:val="1"/>
      <w:numFmt w:val="bullet"/>
      <w:lvlText w:val="§"/>
      <w:lvlJc w:val="left"/>
      <w:pPr>
        <w:ind w:left="2160" w:hanging="360"/>
      </w:pPr>
      <w:rPr>
        <w:rFonts w:ascii="Wingdings" w:hAnsi="Wingdings" w:hint="default"/>
      </w:rPr>
    </w:lvl>
    <w:lvl w:ilvl="3" w:tplc="75048432">
      <w:start w:val="1"/>
      <w:numFmt w:val="bullet"/>
      <w:lvlText w:val=""/>
      <w:lvlJc w:val="left"/>
      <w:pPr>
        <w:ind w:left="2880" w:hanging="360"/>
      </w:pPr>
      <w:rPr>
        <w:rFonts w:ascii="Symbol" w:hAnsi="Symbol" w:hint="default"/>
      </w:rPr>
    </w:lvl>
    <w:lvl w:ilvl="4" w:tplc="F2FA0850">
      <w:start w:val="1"/>
      <w:numFmt w:val="bullet"/>
      <w:lvlText w:val="o"/>
      <w:lvlJc w:val="left"/>
      <w:pPr>
        <w:ind w:left="3600" w:hanging="360"/>
      </w:pPr>
      <w:rPr>
        <w:rFonts w:ascii="Courier New" w:hAnsi="Courier New" w:hint="default"/>
      </w:rPr>
    </w:lvl>
    <w:lvl w:ilvl="5" w:tplc="5DD0825A">
      <w:start w:val="1"/>
      <w:numFmt w:val="bullet"/>
      <w:lvlText w:val=""/>
      <w:lvlJc w:val="left"/>
      <w:pPr>
        <w:ind w:left="4320" w:hanging="360"/>
      </w:pPr>
      <w:rPr>
        <w:rFonts w:ascii="Wingdings" w:hAnsi="Wingdings" w:hint="default"/>
      </w:rPr>
    </w:lvl>
    <w:lvl w:ilvl="6" w:tplc="46E06694">
      <w:start w:val="1"/>
      <w:numFmt w:val="bullet"/>
      <w:lvlText w:val=""/>
      <w:lvlJc w:val="left"/>
      <w:pPr>
        <w:ind w:left="5040" w:hanging="360"/>
      </w:pPr>
      <w:rPr>
        <w:rFonts w:ascii="Symbol" w:hAnsi="Symbol" w:hint="default"/>
      </w:rPr>
    </w:lvl>
    <w:lvl w:ilvl="7" w:tplc="9AB22FF6">
      <w:start w:val="1"/>
      <w:numFmt w:val="bullet"/>
      <w:lvlText w:val="o"/>
      <w:lvlJc w:val="left"/>
      <w:pPr>
        <w:ind w:left="5760" w:hanging="360"/>
      </w:pPr>
      <w:rPr>
        <w:rFonts w:ascii="Courier New" w:hAnsi="Courier New" w:hint="default"/>
      </w:rPr>
    </w:lvl>
    <w:lvl w:ilvl="8" w:tplc="73EE16F4">
      <w:start w:val="1"/>
      <w:numFmt w:val="bullet"/>
      <w:lvlText w:val=""/>
      <w:lvlJc w:val="left"/>
      <w:pPr>
        <w:ind w:left="6480" w:hanging="360"/>
      </w:pPr>
      <w:rPr>
        <w:rFonts w:ascii="Wingdings" w:hAnsi="Wingdings" w:hint="default"/>
      </w:rPr>
    </w:lvl>
  </w:abstractNum>
  <w:abstractNum w:abstractNumId="287" w15:restartNumberingAfterBreak="0">
    <w:nsid w:val="307C33EB"/>
    <w:multiLevelType w:val="multilevel"/>
    <w:tmpl w:val="E6E6AE1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15:restartNumberingAfterBreak="0">
    <w:nsid w:val="308B074D"/>
    <w:multiLevelType w:val="hybridMultilevel"/>
    <w:tmpl w:val="7DF0D0F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44E692C8">
      <w:start w:val="1"/>
      <w:numFmt w:val="low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9" w15:restartNumberingAfterBreak="0">
    <w:nsid w:val="309CA0E6"/>
    <w:multiLevelType w:val="hybridMultilevel"/>
    <w:tmpl w:val="23BAF4A0"/>
    <w:lvl w:ilvl="0" w:tplc="60B80966">
      <w:start w:val="1"/>
      <w:numFmt w:val="upperLetter"/>
      <w:lvlText w:val="%1)"/>
      <w:lvlJc w:val="left"/>
      <w:pPr>
        <w:ind w:left="720" w:hanging="360"/>
      </w:pPr>
    </w:lvl>
    <w:lvl w:ilvl="1" w:tplc="DBB2F3CC">
      <w:start w:val="1"/>
      <w:numFmt w:val="lowerLetter"/>
      <w:lvlText w:val="%2."/>
      <w:lvlJc w:val="left"/>
      <w:pPr>
        <w:ind w:left="1440" w:hanging="360"/>
      </w:pPr>
    </w:lvl>
    <w:lvl w:ilvl="2" w:tplc="8CEEFB62">
      <w:start w:val="1"/>
      <w:numFmt w:val="lowerRoman"/>
      <w:lvlText w:val="%3."/>
      <w:lvlJc w:val="right"/>
      <w:pPr>
        <w:ind w:left="2160" w:hanging="180"/>
      </w:pPr>
    </w:lvl>
    <w:lvl w:ilvl="3" w:tplc="867E0526">
      <w:start w:val="1"/>
      <w:numFmt w:val="decimal"/>
      <w:lvlText w:val="%4."/>
      <w:lvlJc w:val="left"/>
      <w:pPr>
        <w:ind w:left="2880" w:hanging="360"/>
      </w:pPr>
    </w:lvl>
    <w:lvl w:ilvl="4" w:tplc="C7BACF64">
      <w:start w:val="1"/>
      <w:numFmt w:val="lowerLetter"/>
      <w:lvlText w:val="%5."/>
      <w:lvlJc w:val="left"/>
      <w:pPr>
        <w:ind w:left="3600" w:hanging="360"/>
      </w:pPr>
    </w:lvl>
    <w:lvl w:ilvl="5" w:tplc="DB1C43F8">
      <w:start w:val="1"/>
      <w:numFmt w:val="lowerRoman"/>
      <w:lvlText w:val="%6."/>
      <w:lvlJc w:val="right"/>
      <w:pPr>
        <w:ind w:left="4320" w:hanging="180"/>
      </w:pPr>
    </w:lvl>
    <w:lvl w:ilvl="6" w:tplc="14CA0F08">
      <w:start w:val="1"/>
      <w:numFmt w:val="decimal"/>
      <w:lvlText w:val="%7."/>
      <w:lvlJc w:val="left"/>
      <w:pPr>
        <w:ind w:left="5040" w:hanging="360"/>
      </w:pPr>
    </w:lvl>
    <w:lvl w:ilvl="7" w:tplc="2102D450">
      <w:start w:val="1"/>
      <w:numFmt w:val="lowerLetter"/>
      <w:lvlText w:val="%8."/>
      <w:lvlJc w:val="left"/>
      <w:pPr>
        <w:ind w:left="5760" w:hanging="360"/>
      </w:pPr>
    </w:lvl>
    <w:lvl w:ilvl="8" w:tplc="81B4515C">
      <w:start w:val="1"/>
      <w:numFmt w:val="lowerRoman"/>
      <w:lvlText w:val="%9."/>
      <w:lvlJc w:val="right"/>
      <w:pPr>
        <w:ind w:left="6480" w:hanging="180"/>
      </w:pPr>
    </w:lvl>
  </w:abstractNum>
  <w:abstractNum w:abstractNumId="290" w15:restartNumberingAfterBreak="0">
    <w:nsid w:val="30BD0203"/>
    <w:multiLevelType w:val="multilevel"/>
    <w:tmpl w:val="CAB28D5A"/>
    <w:lvl w:ilvl="0">
      <w:start w:val="1"/>
      <w:numFmt w:val="decimal"/>
      <w:lvlText w:val="%1."/>
      <w:lvlJc w:val="left"/>
      <w:pPr>
        <w:ind w:left="476" w:hanging="476"/>
      </w:pPr>
      <w:rPr>
        <w:rFonts w:hint="default"/>
        <w:b w:val="0"/>
        <w:bCs w:val="0"/>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1" w15:restartNumberingAfterBreak="0">
    <w:nsid w:val="30CA7D8F"/>
    <w:multiLevelType w:val="hybridMultilevel"/>
    <w:tmpl w:val="34A6287E"/>
    <w:lvl w:ilvl="0" w:tplc="B65EBF50">
      <w:start w:val="1"/>
      <w:numFmt w:val="lowerRoman"/>
      <w:lvlText w:val="%1."/>
      <w:lvlJc w:val="righ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92" w15:restartNumberingAfterBreak="0">
    <w:nsid w:val="30EA3C3E"/>
    <w:multiLevelType w:val="hybridMultilevel"/>
    <w:tmpl w:val="AA728CC0"/>
    <w:lvl w:ilvl="0" w:tplc="18090017">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93" w15:restartNumberingAfterBreak="0">
    <w:nsid w:val="30FC79B2"/>
    <w:multiLevelType w:val="hybridMultilevel"/>
    <w:tmpl w:val="9670F2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4" w15:restartNumberingAfterBreak="0">
    <w:nsid w:val="3118171D"/>
    <w:multiLevelType w:val="hybridMultilevel"/>
    <w:tmpl w:val="D6C8395E"/>
    <w:lvl w:ilvl="0" w:tplc="B65EBF50">
      <w:start w:val="1"/>
      <w:numFmt w:val="lowerRoman"/>
      <w:lvlText w:val="%1."/>
      <w:lvlJc w:val="righ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295" w15:restartNumberingAfterBreak="0">
    <w:nsid w:val="311F3EC1"/>
    <w:multiLevelType w:val="hybridMultilevel"/>
    <w:tmpl w:val="49FA7486"/>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96" w15:restartNumberingAfterBreak="0">
    <w:nsid w:val="314D1D10"/>
    <w:multiLevelType w:val="multilevel"/>
    <w:tmpl w:val="6EF6632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7" w15:restartNumberingAfterBreak="0">
    <w:nsid w:val="31B40937"/>
    <w:multiLevelType w:val="hybridMultilevel"/>
    <w:tmpl w:val="C5A0FD04"/>
    <w:lvl w:ilvl="0" w:tplc="B3B4833A">
      <w:numFmt w:val="bullet"/>
      <w:lvlText w:val="•"/>
      <w:lvlJc w:val="left"/>
      <w:pPr>
        <w:ind w:left="720" w:hanging="360"/>
      </w:pPr>
      <w:rPr>
        <w:rFonts w:asciiTheme="minorHAnsi" w:eastAsiaTheme="minorHAnsi" w:hAnsiTheme="minorHAns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8" w15:restartNumberingAfterBreak="0">
    <w:nsid w:val="31BB13B6"/>
    <w:multiLevelType w:val="hybridMultilevel"/>
    <w:tmpl w:val="48067D60"/>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Cambria Math" w:hAnsi="Cambria Math" w:hint="default"/>
      </w:rPr>
    </w:lvl>
    <w:lvl w:ilvl="3" w:tplc="FFFFFFFF" w:tentative="1">
      <w:start w:val="1"/>
      <w:numFmt w:val="bullet"/>
      <w:lvlText w:val=""/>
      <w:lvlJc w:val="left"/>
      <w:pPr>
        <w:ind w:left="2880" w:hanging="360"/>
      </w:pPr>
      <w:rPr>
        <w:rFonts w:ascii="Segoe UI" w:hAnsi="Segoe UI"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Cambria Math" w:hAnsi="Cambria Math" w:hint="default"/>
      </w:rPr>
    </w:lvl>
    <w:lvl w:ilvl="6" w:tplc="FFFFFFFF" w:tentative="1">
      <w:start w:val="1"/>
      <w:numFmt w:val="bullet"/>
      <w:lvlText w:val=""/>
      <w:lvlJc w:val="left"/>
      <w:pPr>
        <w:ind w:left="5040" w:hanging="360"/>
      </w:pPr>
      <w:rPr>
        <w:rFonts w:ascii="Segoe UI" w:hAnsi="Segoe UI"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Cambria Math" w:hAnsi="Cambria Math" w:hint="default"/>
      </w:rPr>
    </w:lvl>
  </w:abstractNum>
  <w:abstractNum w:abstractNumId="299" w15:restartNumberingAfterBreak="0">
    <w:nsid w:val="31BED350"/>
    <w:multiLevelType w:val="hybridMultilevel"/>
    <w:tmpl w:val="FFFFFFFF"/>
    <w:lvl w:ilvl="0" w:tplc="812CF33C">
      <w:start w:val="1"/>
      <w:numFmt w:val="bullet"/>
      <w:lvlText w:val="·"/>
      <w:lvlJc w:val="left"/>
      <w:pPr>
        <w:ind w:left="720" w:hanging="360"/>
      </w:pPr>
      <w:rPr>
        <w:rFonts w:ascii="Symbol" w:hAnsi="Symbol" w:hint="default"/>
      </w:rPr>
    </w:lvl>
    <w:lvl w:ilvl="1" w:tplc="0338D63A">
      <w:start w:val="1"/>
      <w:numFmt w:val="bullet"/>
      <w:lvlText w:val="o"/>
      <w:lvlJc w:val="left"/>
      <w:pPr>
        <w:ind w:left="1440" w:hanging="360"/>
      </w:pPr>
      <w:rPr>
        <w:rFonts w:ascii="Courier New" w:hAnsi="Courier New" w:hint="default"/>
      </w:rPr>
    </w:lvl>
    <w:lvl w:ilvl="2" w:tplc="F350098C">
      <w:start w:val="1"/>
      <w:numFmt w:val="bullet"/>
      <w:lvlText w:val=""/>
      <w:lvlJc w:val="left"/>
      <w:pPr>
        <w:ind w:left="2160" w:hanging="360"/>
      </w:pPr>
      <w:rPr>
        <w:rFonts w:ascii="Wingdings" w:hAnsi="Wingdings" w:hint="default"/>
      </w:rPr>
    </w:lvl>
    <w:lvl w:ilvl="3" w:tplc="A8007B1E">
      <w:start w:val="1"/>
      <w:numFmt w:val="bullet"/>
      <w:lvlText w:val=""/>
      <w:lvlJc w:val="left"/>
      <w:pPr>
        <w:ind w:left="2880" w:hanging="360"/>
      </w:pPr>
      <w:rPr>
        <w:rFonts w:ascii="Symbol" w:hAnsi="Symbol" w:hint="default"/>
      </w:rPr>
    </w:lvl>
    <w:lvl w:ilvl="4" w:tplc="C324C494">
      <w:start w:val="1"/>
      <w:numFmt w:val="bullet"/>
      <w:lvlText w:val="o"/>
      <w:lvlJc w:val="left"/>
      <w:pPr>
        <w:ind w:left="3600" w:hanging="360"/>
      </w:pPr>
      <w:rPr>
        <w:rFonts w:ascii="Courier New" w:hAnsi="Courier New" w:hint="default"/>
      </w:rPr>
    </w:lvl>
    <w:lvl w:ilvl="5" w:tplc="FE860BFA">
      <w:start w:val="1"/>
      <w:numFmt w:val="bullet"/>
      <w:lvlText w:val=""/>
      <w:lvlJc w:val="left"/>
      <w:pPr>
        <w:ind w:left="4320" w:hanging="360"/>
      </w:pPr>
      <w:rPr>
        <w:rFonts w:ascii="Wingdings" w:hAnsi="Wingdings" w:hint="default"/>
      </w:rPr>
    </w:lvl>
    <w:lvl w:ilvl="6" w:tplc="E674826A">
      <w:start w:val="1"/>
      <w:numFmt w:val="bullet"/>
      <w:lvlText w:val=""/>
      <w:lvlJc w:val="left"/>
      <w:pPr>
        <w:ind w:left="5040" w:hanging="360"/>
      </w:pPr>
      <w:rPr>
        <w:rFonts w:ascii="Symbol" w:hAnsi="Symbol" w:hint="default"/>
      </w:rPr>
    </w:lvl>
    <w:lvl w:ilvl="7" w:tplc="BCA826D0">
      <w:start w:val="1"/>
      <w:numFmt w:val="bullet"/>
      <w:lvlText w:val="o"/>
      <w:lvlJc w:val="left"/>
      <w:pPr>
        <w:ind w:left="5760" w:hanging="360"/>
      </w:pPr>
      <w:rPr>
        <w:rFonts w:ascii="Courier New" w:hAnsi="Courier New" w:hint="default"/>
      </w:rPr>
    </w:lvl>
    <w:lvl w:ilvl="8" w:tplc="69FA1742">
      <w:start w:val="1"/>
      <w:numFmt w:val="bullet"/>
      <w:lvlText w:val=""/>
      <w:lvlJc w:val="left"/>
      <w:pPr>
        <w:ind w:left="6480" w:hanging="360"/>
      </w:pPr>
      <w:rPr>
        <w:rFonts w:ascii="Wingdings" w:hAnsi="Wingdings" w:hint="default"/>
      </w:rPr>
    </w:lvl>
  </w:abstractNum>
  <w:abstractNum w:abstractNumId="300" w15:restartNumberingAfterBreak="0">
    <w:nsid w:val="31DA452E"/>
    <w:multiLevelType w:val="hybridMultilevel"/>
    <w:tmpl w:val="6F3E401E"/>
    <w:lvl w:ilvl="0" w:tplc="51D84CFA">
      <w:start w:val="1"/>
      <w:numFmt w:val="lowerLetter"/>
      <w:lvlText w:val="%1."/>
      <w:lvlJc w:val="left"/>
      <w:pPr>
        <w:ind w:left="1080" w:hanging="720"/>
      </w:pPr>
      <w:rPr>
        <w:rFonts w:hint="default"/>
      </w:rPr>
    </w:lvl>
    <w:lvl w:ilvl="1" w:tplc="1809001B">
      <w:start w:val="1"/>
      <w:numFmt w:val="lowerRoman"/>
      <w:lvlText w:val="%2."/>
      <w:lvlJc w:val="righ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01" w15:restartNumberingAfterBreak="0">
    <w:nsid w:val="3200F11E"/>
    <w:multiLevelType w:val="multilevel"/>
    <w:tmpl w:val="FFFFFFFF"/>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2" w15:restartNumberingAfterBreak="0">
    <w:nsid w:val="32285587"/>
    <w:multiLevelType w:val="hybridMultilevel"/>
    <w:tmpl w:val="BBFC402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3" w15:restartNumberingAfterBreak="0">
    <w:nsid w:val="322A42BD"/>
    <w:multiLevelType w:val="hybridMultilevel"/>
    <w:tmpl w:val="23D63790"/>
    <w:lvl w:ilvl="0" w:tplc="08090001">
      <w:start w:val="1"/>
      <w:numFmt w:val="bullet"/>
      <w:lvlText w:val=""/>
      <w:lvlJc w:val="left"/>
      <w:pPr>
        <w:ind w:left="1429" w:hanging="360"/>
      </w:pPr>
      <w:rPr>
        <w:rFonts w:ascii="Segoe UI" w:hAnsi="Segoe UI"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4" w15:restartNumberingAfterBreak="0">
    <w:nsid w:val="3253FB27"/>
    <w:multiLevelType w:val="hybridMultilevel"/>
    <w:tmpl w:val="FFFFFFFF"/>
    <w:lvl w:ilvl="0" w:tplc="20526A0E">
      <w:start w:val="1"/>
      <w:numFmt w:val="upperRoman"/>
      <w:lvlText w:val="%1)"/>
      <w:lvlJc w:val="left"/>
      <w:pPr>
        <w:ind w:left="720" w:hanging="360"/>
      </w:pPr>
    </w:lvl>
    <w:lvl w:ilvl="1" w:tplc="10DC3BEE">
      <w:start w:val="1"/>
      <w:numFmt w:val="lowerLetter"/>
      <w:lvlText w:val="%2."/>
      <w:lvlJc w:val="left"/>
      <w:pPr>
        <w:ind w:left="1440" w:hanging="360"/>
      </w:pPr>
    </w:lvl>
    <w:lvl w:ilvl="2" w:tplc="74A44CF2">
      <w:start w:val="1"/>
      <w:numFmt w:val="lowerRoman"/>
      <w:lvlText w:val="%3."/>
      <w:lvlJc w:val="right"/>
      <w:pPr>
        <w:ind w:left="2160" w:hanging="180"/>
      </w:pPr>
    </w:lvl>
    <w:lvl w:ilvl="3" w:tplc="512A145C">
      <w:start w:val="1"/>
      <w:numFmt w:val="decimal"/>
      <w:lvlText w:val="%4."/>
      <w:lvlJc w:val="left"/>
      <w:pPr>
        <w:ind w:left="2880" w:hanging="360"/>
      </w:pPr>
    </w:lvl>
    <w:lvl w:ilvl="4" w:tplc="8674757E">
      <w:start w:val="1"/>
      <w:numFmt w:val="lowerLetter"/>
      <w:lvlText w:val="%5."/>
      <w:lvlJc w:val="left"/>
      <w:pPr>
        <w:ind w:left="3600" w:hanging="360"/>
      </w:pPr>
    </w:lvl>
    <w:lvl w:ilvl="5" w:tplc="FE5EDFBA">
      <w:start w:val="1"/>
      <w:numFmt w:val="lowerRoman"/>
      <w:lvlText w:val="%6."/>
      <w:lvlJc w:val="right"/>
      <w:pPr>
        <w:ind w:left="4320" w:hanging="180"/>
      </w:pPr>
    </w:lvl>
    <w:lvl w:ilvl="6" w:tplc="92A0A77A">
      <w:start w:val="1"/>
      <w:numFmt w:val="decimal"/>
      <w:lvlText w:val="%7."/>
      <w:lvlJc w:val="left"/>
      <w:pPr>
        <w:ind w:left="5040" w:hanging="360"/>
      </w:pPr>
    </w:lvl>
    <w:lvl w:ilvl="7" w:tplc="7F3C85FE">
      <w:start w:val="1"/>
      <w:numFmt w:val="lowerLetter"/>
      <w:lvlText w:val="%8."/>
      <w:lvlJc w:val="left"/>
      <w:pPr>
        <w:ind w:left="5760" w:hanging="360"/>
      </w:pPr>
    </w:lvl>
    <w:lvl w:ilvl="8" w:tplc="EB70CAE0">
      <w:start w:val="1"/>
      <w:numFmt w:val="lowerRoman"/>
      <w:lvlText w:val="%9."/>
      <w:lvlJc w:val="right"/>
      <w:pPr>
        <w:ind w:left="6480" w:hanging="180"/>
      </w:pPr>
    </w:lvl>
  </w:abstractNum>
  <w:abstractNum w:abstractNumId="305" w15:restartNumberingAfterBreak="0">
    <w:nsid w:val="32CA2E3B"/>
    <w:multiLevelType w:val="hybridMultilevel"/>
    <w:tmpl w:val="8D20868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6" w15:restartNumberingAfterBreak="0">
    <w:nsid w:val="32DCA173"/>
    <w:multiLevelType w:val="hybridMultilevel"/>
    <w:tmpl w:val="FFFFFFFF"/>
    <w:lvl w:ilvl="0" w:tplc="7AF2FBA6">
      <w:start w:val="1"/>
      <w:numFmt w:val="lowerLetter"/>
      <w:lvlText w:val="%1."/>
      <w:lvlJc w:val="left"/>
      <w:pPr>
        <w:ind w:left="720" w:hanging="360"/>
      </w:pPr>
    </w:lvl>
    <w:lvl w:ilvl="1" w:tplc="A28EC116">
      <w:start w:val="1"/>
      <w:numFmt w:val="lowerLetter"/>
      <w:lvlText w:val="%2."/>
      <w:lvlJc w:val="left"/>
      <w:pPr>
        <w:ind w:left="1440" w:hanging="360"/>
      </w:pPr>
    </w:lvl>
    <w:lvl w:ilvl="2" w:tplc="F1888C7E">
      <w:start w:val="1"/>
      <w:numFmt w:val="lowerRoman"/>
      <w:lvlText w:val="%3."/>
      <w:lvlJc w:val="right"/>
      <w:pPr>
        <w:ind w:left="2160" w:hanging="180"/>
      </w:pPr>
    </w:lvl>
    <w:lvl w:ilvl="3" w:tplc="4FA04712">
      <w:start w:val="1"/>
      <w:numFmt w:val="decimal"/>
      <w:lvlText w:val="%4."/>
      <w:lvlJc w:val="left"/>
      <w:pPr>
        <w:ind w:left="2880" w:hanging="360"/>
      </w:pPr>
    </w:lvl>
    <w:lvl w:ilvl="4" w:tplc="DC2055D2">
      <w:start w:val="1"/>
      <w:numFmt w:val="lowerLetter"/>
      <w:lvlText w:val="%5."/>
      <w:lvlJc w:val="left"/>
      <w:pPr>
        <w:ind w:left="3600" w:hanging="360"/>
      </w:pPr>
    </w:lvl>
    <w:lvl w:ilvl="5" w:tplc="E8A463B2">
      <w:start w:val="1"/>
      <w:numFmt w:val="lowerRoman"/>
      <w:lvlText w:val="%6."/>
      <w:lvlJc w:val="right"/>
      <w:pPr>
        <w:ind w:left="4320" w:hanging="180"/>
      </w:pPr>
    </w:lvl>
    <w:lvl w:ilvl="6" w:tplc="FFEA5414">
      <w:start w:val="1"/>
      <w:numFmt w:val="decimal"/>
      <w:lvlText w:val="%7."/>
      <w:lvlJc w:val="left"/>
      <w:pPr>
        <w:ind w:left="5040" w:hanging="360"/>
      </w:pPr>
    </w:lvl>
    <w:lvl w:ilvl="7" w:tplc="14F44666">
      <w:start w:val="1"/>
      <w:numFmt w:val="lowerLetter"/>
      <w:lvlText w:val="%8."/>
      <w:lvlJc w:val="left"/>
      <w:pPr>
        <w:ind w:left="5760" w:hanging="360"/>
      </w:pPr>
    </w:lvl>
    <w:lvl w:ilvl="8" w:tplc="3454D21A">
      <w:start w:val="1"/>
      <w:numFmt w:val="lowerRoman"/>
      <w:lvlText w:val="%9."/>
      <w:lvlJc w:val="right"/>
      <w:pPr>
        <w:ind w:left="6480" w:hanging="180"/>
      </w:pPr>
    </w:lvl>
  </w:abstractNum>
  <w:abstractNum w:abstractNumId="307" w15:restartNumberingAfterBreak="0">
    <w:nsid w:val="333CC5C6"/>
    <w:multiLevelType w:val="hybridMultilevel"/>
    <w:tmpl w:val="FFFFFFFF"/>
    <w:lvl w:ilvl="0" w:tplc="FFFFFFFF">
      <w:start w:val="1"/>
      <w:numFmt w:val="decimal"/>
      <w:lvlText w:val="%1."/>
      <w:lvlJc w:val="left"/>
      <w:pPr>
        <w:ind w:left="720" w:hanging="360"/>
      </w:pPr>
    </w:lvl>
    <w:lvl w:ilvl="1" w:tplc="4F26DE7E">
      <w:start w:val="1"/>
      <w:numFmt w:val="lowerLetter"/>
      <w:lvlText w:val="%2."/>
      <w:lvlJc w:val="left"/>
      <w:pPr>
        <w:ind w:left="1440" w:hanging="360"/>
      </w:pPr>
    </w:lvl>
    <w:lvl w:ilvl="2" w:tplc="162CFF2E">
      <w:start w:val="1"/>
      <w:numFmt w:val="lowerRoman"/>
      <w:lvlText w:val="%3."/>
      <w:lvlJc w:val="right"/>
      <w:pPr>
        <w:ind w:left="2160" w:hanging="180"/>
      </w:pPr>
    </w:lvl>
    <w:lvl w:ilvl="3" w:tplc="0BA869FC">
      <w:start w:val="1"/>
      <w:numFmt w:val="decimal"/>
      <w:lvlText w:val="%4."/>
      <w:lvlJc w:val="left"/>
      <w:pPr>
        <w:ind w:left="2880" w:hanging="360"/>
      </w:pPr>
    </w:lvl>
    <w:lvl w:ilvl="4" w:tplc="4488A29A">
      <w:start w:val="1"/>
      <w:numFmt w:val="lowerLetter"/>
      <w:lvlText w:val="%5."/>
      <w:lvlJc w:val="left"/>
      <w:pPr>
        <w:ind w:left="3600" w:hanging="360"/>
      </w:pPr>
    </w:lvl>
    <w:lvl w:ilvl="5" w:tplc="6B2E62AC">
      <w:start w:val="1"/>
      <w:numFmt w:val="lowerRoman"/>
      <w:lvlText w:val="%6."/>
      <w:lvlJc w:val="right"/>
      <w:pPr>
        <w:ind w:left="4320" w:hanging="180"/>
      </w:pPr>
    </w:lvl>
    <w:lvl w:ilvl="6" w:tplc="B8760CE0">
      <w:start w:val="1"/>
      <w:numFmt w:val="decimal"/>
      <w:lvlText w:val="%7."/>
      <w:lvlJc w:val="left"/>
      <w:pPr>
        <w:ind w:left="5040" w:hanging="360"/>
      </w:pPr>
    </w:lvl>
    <w:lvl w:ilvl="7" w:tplc="7214CE82">
      <w:start w:val="1"/>
      <w:numFmt w:val="lowerLetter"/>
      <w:lvlText w:val="%8."/>
      <w:lvlJc w:val="left"/>
      <w:pPr>
        <w:ind w:left="5760" w:hanging="360"/>
      </w:pPr>
    </w:lvl>
    <w:lvl w:ilvl="8" w:tplc="E280C41C">
      <w:start w:val="1"/>
      <w:numFmt w:val="lowerRoman"/>
      <w:lvlText w:val="%9."/>
      <w:lvlJc w:val="right"/>
      <w:pPr>
        <w:ind w:left="6480" w:hanging="180"/>
      </w:pPr>
    </w:lvl>
  </w:abstractNum>
  <w:abstractNum w:abstractNumId="308" w15:restartNumberingAfterBreak="0">
    <w:nsid w:val="3354496A"/>
    <w:multiLevelType w:val="hybridMultilevel"/>
    <w:tmpl w:val="FFFFFFFF"/>
    <w:lvl w:ilvl="0" w:tplc="36801E02">
      <w:start w:val="1"/>
      <w:numFmt w:val="bullet"/>
      <w:lvlText w:val=""/>
      <w:lvlJc w:val="left"/>
      <w:pPr>
        <w:ind w:left="720" w:hanging="360"/>
      </w:pPr>
      <w:rPr>
        <w:rFonts w:ascii="Symbol" w:hAnsi="Symbol" w:hint="default"/>
      </w:rPr>
    </w:lvl>
    <w:lvl w:ilvl="1" w:tplc="8E1C7002">
      <w:start w:val="1"/>
      <w:numFmt w:val="bullet"/>
      <w:lvlText w:val="o"/>
      <w:lvlJc w:val="left"/>
      <w:pPr>
        <w:ind w:left="1440" w:hanging="360"/>
      </w:pPr>
      <w:rPr>
        <w:rFonts w:ascii="Courier New" w:hAnsi="Courier New" w:hint="default"/>
      </w:rPr>
    </w:lvl>
    <w:lvl w:ilvl="2" w:tplc="6ACEC22E">
      <w:start w:val="1"/>
      <w:numFmt w:val="bullet"/>
      <w:lvlText w:val="§"/>
      <w:lvlJc w:val="left"/>
      <w:pPr>
        <w:ind w:left="2160" w:hanging="360"/>
      </w:pPr>
      <w:rPr>
        <w:rFonts w:ascii="Wingdings" w:hAnsi="Wingdings" w:hint="default"/>
      </w:rPr>
    </w:lvl>
    <w:lvl w:ilvl="3" w:tplc="1BBAF388">
      <w:start w:val="1"/>
      <w:numFmt w:val="bullet"/>
      <w:lvlText w:val=""/>
      <w:lvlJc w:val="left"/>
      <w:pPr>
        <w:ind w:left="2880" w:hanging="360"/>
      </w:pPr>
      <w:rPr>
        <w:rFonts w:ascii="Symbol" w:hAnsi="Symbol" w:hint="default"/>
      </w:rPr>
    </w:lvl>
    <w:lvl w:ilvl="4" w:tplc="603075C2">
      <w:start w:val="1"/>
      <w:numFmt w:val="bullet"/>
      <w:lvlText w:val="o"/>
      <w:lvlJc w:val="left"/>
      <w:pPr>
        <w:ind w:left="3600" w:hanging="360"/>
      </w:pPr>
      <w:rPr>
        <w:rFonts w:ascii="Courier New" w:hAnsi="Courier New" w:hint="default"/>
      </w:rPr>
    </w:lvl>
    <w:lvl w:ilvl="5" w:tplc="21F28180">
      <w:start w:val="1"/>
      <w:numFmt w:val="bullet"/>
      <w:lvlText w:val=""/>
      <w:lvlJc w:val="left"/>
      <w:pPr>
        <w:ind w:left="4320" w:hanging="360"/>
      </w:pPr>
      <w:rPr>
        <w:rFonts w:ascii="Wingdings" w:hAnsi="Wingdings" w:hint="default"/>
      </w:rPr>
    </w:lvl>
    <w:lvl w:ilvl="6" w:tplc="7C961C80">
      <w:start w:val="1"/>
      <w:numFmt w:val="bullet"/>
      <w:lvlText w:val=""/>
      <w:lvlJc w:val="left"/>
      <w:pPr>
        <w:ind w:left="5040" w:hanging="360"/>
      </w:pPr>
      <w:rPr>
        <w:rFonts w:ascii="Symbol" w:hAnsi="Symbol" w:hint="default"/>
      </w:rPr>
    </w:lvl>
    <w:lvl w:ilvl="7" w:tplc="E25A3C70">
      <w:start w:val="1"/>
      <w:numFmt w:val="bullet"/>
      <w:lvlText w:val="o"/>
      <w:lvlJc w:val="left"/>
      <w:pPr>
        <w:ind w:left="5760" w:hanging="360"/>
      </w:pPr>
      <w:rPr>
        <w:rFonts w:ascii="Courier New" w:hAnsi="Courier New" w:hint="default"/>
      </w:rPr>
    </w:lvl>
    <w:lvl w:ilvl="8" w:tplc="10B6648C">
      <w:start w:val="1"/>
      <w:numFmt w:val="bullet"/>
      <w:lvlText w:val=""/>
      <w:lvlJc w:val="left"/>
      <w:pPr>
        <w:ind w:left="6480" w:hanging="360"/>
      </w:pPr>
      <w:rPr>
        <w:rFonts w:ascii="Wingdings" w:hAnsi="Wingdings" w:hint="default"/>
      </w:rPr>
    </w:lvl>
  </w:abstractNum>
  <w:abstractNum w:abstractNumId="309" w15:restartNumberingAfterBreak="0">
    <w:nsid w:val="3393A513"/>
    <w:multiLevelType w:val="multilevel"/>
    <w:tmpl w:val="FFFFFFFF"/>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0" w15:restartNumberingAfterBreak="0">
    <w:nsid w:val="33E63B41"/>
    <w:multiLevelType w:val="hybridMultilevel"/>
    <w:tmpl w:val="D05616CC"/>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34532AF3"/>
    <w:multiLevelType w:val="hybridMultilevel"/>
    <w:tmpl w:val="74C62D90"/>
    <w:lvl w:ilvl="0" w:tplc="3A342B12">
      <w:start w:val="1"/>
      <w:numFmt w:val="decimal"/>
      <w:lvlText w:val="%1)"/>
      <w:lvlJc w:val="left"/>
      <w:pPr>
        <w:ind w:left="720" w:hanging="360"/>
      </w:pPr>
    </w:lvl>
    <w:lvl w:ilvl="1" w:tplc="BEB49D8E">
      <w:start w:val="1"/>
      <w:numFmt w:val="lowerLetter"/>
      <w:lvlText w:val="%2."/>
      <w:lvlJc w:val="left"/>
      <w:pPr>
        <w:ind w:left="1440" w:hanging="360"/>
      </w:pPr>
    </w:lvl>
    <w:lvl w:ilvl="2" w:tplc="000AF8E2">
      <w:start w:val="1"/>
      <w:numFmt w:val="lowerRoman"/>
      <w:lvlText w:val="%3."/>
      <w:lvlJc w:val="right"/>
      <w:pPr>
        <w:ind w:left="2160" w:hanging="180"/>
      </w:pPr>
    </w:lvl>
    <w:lvl w:ilvl="3" w:tplc="7FFA0D30">
      <w:start w:val="1"/>
      <w:numFmt w:val="decimal"/>
      <w:lvlText w:val="%4."/>
      <w:lvlJc w:val="left"/>
      <w:pPr>
        <w:ind w:left="2880" w:hanging="360"/>
      </w:pPr>
    </w:lvl>
    <w:lvl w:ilvl="4" w:tplc="25A0DA3A">
      <w:start w:val="1"/>
      <w:numFmt w:val="lowerLetter"/>
      <w:lvlText w:val="%5."/>
      <w:lvlJc w:val="left"/>
      <w:pPr>
        <w:ind w:left="3600" w:hanging="360"/>
      </w:pPr>
    </w:lvl>
    <w:lvl w:ilvl="5" w:tplc="A5C279E6">
      <w:start w:val="1"/>
      <w:numFmt w:val="lowerRoman"/>
      <w:lvlText w:val="%6."/>
      <w:lvlJc w:val="right"/>
      <w:pPr>
        <w:ind w:left="4320" w:hanging="180"/>
      </w:pPr>
    </w:lvl>
    <w:lvl w:ilvl="6" w:tplc="DC96F7E4">
      <w:start w:val="1"/>
      <w:numFmt w:val="decimal"/>
      <w:lvlText w:val="%7."/>
      <w:lvlJc w:val="left"/>
      <w:pPr>
        <w:ind w:left="5040" w:hanging="360"/>
      </w:pPr>
    </w:lvl>
    <w:lvl w:ilvl="7" w:tplc="AFE444BE">
      <w:start w:val="1"/>
      <w:numFmt w:val="lowerLetter"/>
      <w:lvlText w:val="%8."/>
      <w:lvlJc w:val="left"/>
      <w:pPr>
        <w:ind w:left="5760" w:hanging="360"/>
      </w:pPr>
    </w:lvl>
    <w:lvl w:ilvl="8" w:tplc="8356F8A8">
      <w:start w:val="1"/>
      <w:numFmt w:val="lowerRoman"/>
      <w:lvlText w:val="%9."/>
      <w:lvlJc w:val="right"/>
      <w:pPr>
        <w:ind w:left="6480" w:hanging="180"/>
      </w:pPr>
    </w:lvl>
  </w:abstractNum>
  <w:abstractNum w:abstractNumId="312" w15:restartNumberingAfterBreak="0">
    <w:nsid w:val="345B50B2"/>
    <w:multiLevelType w:val="multilevel"/>
    <w:tmpl w:val="2B189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3" w15:restartNumberingAfterBreak="0">
    <w:nsid w:val="34B25819"/>
    <w:multiLevelType w:val="hybridMultilevel"/>
    <w:tmpl w:val="0ED07DF8"/>
    <w:lvl w:ilvl="0" w:tplc="64966EAA">
      <w:start w:val="7"/>
      <w:numFmt w:val="lowerRoman"/>
      <w:lvlText w:val="%1."/>
      <w:lvlJc w:val="right"/>
      <w:pPr>
        <w:ind w:left="144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4" w15:restartNumberingAfterBreak="0">
    <w:nsid w:val="34B83759"/>
    <w:multiLevelType w:val="hybridMultilevel"/>
    <w:tmpl w:val="582E430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5" w15:restartNumberingAfterBreak="0">
    <w:nsid w:val="34CC36E5"/>
    <w:multiLevelType w:val="hybridMultilevel"/>
    <w:tmpl w:val="C70CC2DC"/>
    <w:lvl w:ilvl="0" w:tplc="FFFFFFFF">
      <w:start w:val="1"/>
      <w:numFmt w:val="lowerRoman"/>
      <w:lvlText w:val="%1."/>
      <w:lvlJc w:val="righ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16" w15:restartNumberingAfterBreak="0">
    <w:nsid w:val="35205951"/>
    <w:multiLevelType w:val="hybridMultilevel"/>
    <w:tmpl w:val="96969A3A"/>
    <w:lvl w:ilvl="0" w:tplc="C3365FDA">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7" w15:restartNumberingAfterBreak="0">
    <w:nsid w:val="352B0090"/>
    <w:multiLevelType w:val="hybridMultilevel"/>
    <w:tmpl w:val="6A280A2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8" w15:restartNumberingAfterBreak="0">
    <w:nsid w:val="35345A99"/>
    <w:multiLevelType w:val="hybridMultilevel"/>
    <w:tmpl w:val="CCAC888C"/>
    <w:lvl w:ilvl="0" w:tplc="08090001">
      <w:start w:val="1"/>
      <w:numFmt w:val="bullet"/>
      <w:lvlText w:val=""/>
      <w:lvlJc w:val="left"/>
      <w:pPr>
        <w:ind w:left="720" w:hanging="360"/>
      </w:pPr>
      <w:rPr>
        <w:rFonts w:ascii="Segoe UI" w:hAnsi="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319" w15:restartNumberingAfterBreak="0">
    <w:nsid w:val="3553699C"/>
    <w:multiLevelType w:val="hybridMultilevel"/>
    <w:tmpl w:val="B24C8EE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0" w15:restartNumberingAfterBreak="0">
    <w:nsid w:val="355491DA"/>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1" w15:restartNumberingAfterBreak="0">
    <w:nsid w:val="35B64F34"/>
    <w:multiLevelType w:val="hybridMultilevel"/>
    <w:tmpl w:val="B9AC7494"/>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322" w15:restartNumberingAfterBreak="0">
    <w:nsid w:val="35C809AF"/>
    <w:multiLevelType w:val="multilevel"/>
    <w:tmpl w:val="59CC5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3" w15:restartNumberingAfterBreak="0">
    <w:nsid w:val="35CD5B1A"/>
    <w:multiLevelType w:val="multilevel"/>
    <w:tmpl w:val="FFFFFFFF"/>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4" w15:restartNumberingAfterBreak="0">
    <w:nsid w:val="3646F29F"/>
    <w:multiLevelType w:val="hybridMultilevel"/>
    <w:tmpl w:val="52748D8C"/>
    <w:lvl w:ilvl="0" w:tplc="A3380B94">
      <w:start w:val="1"/>
      <w:numFmt w:val="bullet"/>
      <w:lvlText w:val=""/>
      <w:lvlJc w:val="left"/>
      <w:pPr>
        <w:ind w:left="720" w:hanging="360"/>
      </w:pPr>
      <w:rPr>
        <w:rFonts w:ascii="Symbol" w:hAnsi="Symbol" w:hint="default"/>
      </w:rPr>
    </w:lvl>
    <w:lvl w:ilvl="1" w:tplc="74EC271C">
      <w:start w:val="1"/>
      <w:numFmt w:val="bullet"/>
      <w:lvlText w:val="o"/>
      <w:lvlJc w:val="left"/>
      <w:pPr>
        <w:ind w:left="1440" w:hanging="360"/>
      </w:pPr>
      <w:rPr>
        <w:rFonts w:ascii="Courier New" w:hAnsi="Courier New" w:hint="default"/>
      </w:rPr>
    </w:lvl>
    <w:lvl w:ilvl="2" w:tplc="D34A3C98">
      <w:start w:val="1"/>
      <w:numFmt w:val="bullet"/>
      <w:lvlText w:val=""/>
      <w:lvlJc w:val="left"/>
      <w:pPr>
        <w:ind w:left="2160" w:hanging="360"/>
      </w:pPr>
      <w:rPr>
        <w:rFonts w:ascii="Wingdings" w:hAnsi="Wingdings" w:hint="default"/>
      </w:rPr>
    </w:lvl>
    <w:lvl w:ilvl="3" w:tplc="E9D40826">
      <w:start w:val="1"/>
      <w:numFmt w:val="bullet"/>
      <w:lvlText w:val=""/>
      <w:lvlJc w:val="left"/>
      <w:pPr>
        <w:ind w:left="2880" w:hanging="360"/>
      </w:pPr>
      <w:rPr>
        <w:rFonts w:ascii="Symbol" w:hAnsi="Symbol" w:hint="default"/>
      </w:rPr>
    </w:lvl>
    <w:lvl w:ilvl="4" w:tplc="EF0E7D06">
      <w:start w:val="1"/>
      <w:numFmt w:val="bullet"/>
      <w:lvlText w:val="o"/>
      <w:lvlJc w:val="left"/>
      <w:pPr>
        <w:ind w:left="3600" w:hanging="360"/>
      </w:pPr>
      <w:rPr>
        <w:rFonts w:ascii="Courier New" w:hAnsi="Courier New" w:hint="default"/>
      </w:rPr>
    </w:lvl>
    <w:lvl w:ilvl="5" w:tplc="ADA4D712">
      <w:start w:val="1"/>
      <w:numFmt w:val="bullet"/>
      <w:lvlText w:val=""/>
      <w:lvlJc w:val="left"/>
      <w:pPr>
        <w:ind w:left="4320" w:hanging="360"/>
      </w:pPr>
      <w:rPr>
        <w:rFonts w:ascii="Wingdings" w:hAnsi="Wingdings" w:hint="default"/>
      </w:rPr>
    </w:lvl>
    <w:lvl w:ilvl="6" w:tplc="4BF0BFAA">
      <w:start w:val="1"/>
      <w:numFmt w:val="bullet"/>
      <w:lvlText w:val=""/>
      <w:lvlJc w:val="left"/>
      <w:pPr>
        <w:ind w:left="5040" w:hanging="360"/>
      </w:pPr>
      <w:rPr>
        <w:rFonts w:ascii="Symbol" w:hAnsi="Symbol" w:hint="default"/>
      </w:rPr>
    </w:lvl>
    <w:lvl w:ilvl="7" w:tplc="694E5F88">
      <w:start w:val="1"/>
      <w:numFmt w:val="bullet"/>
      <w:lvlText w:val="o"/>
      <w:lvlJc w:val="left"/>
      <w:pPr>
        <w:ind w:left="5760" w:hanging="360"/>
      </w:pPr>
      <w:rPr>
        <w:rFonts w:ascii="Courier New" w:hAnsi="Courier New" w:hint="default"/>
      </w:rPr>
    </w:lvl>
    <w:lvl w:ilvl="8" w:tplc="3DA202B6">
      <w:start w:val="1"/>
      <w:numFmt w:val="bullet"/>
      <w:lvlText w:val=""/>
      <w:lvlJc w:val="left"/>
      <w:pPr>
        <w:ind w:left="6480" w:hanging="360"/>
      </w:pPr>
      <w:rPr>
        <w:rFonts w:ascii="Wingdings" w:hAnsi="Wingdings" w:hint="default"/>
      </w:rPr>
    </w:lvl>
  </w:abstractNum>
  <w:abstractNum w:abstractNumId="325" w15:restartNumberingAfterBreak="0">
    <w:nsid w:val="36C86235"/>
    <w:multiLevelType w:val="hybridMultilevel"/>
    <w:tmpl w:val="FFFFFFFF"/>
    <w:lvl w:ilvl="0" w:tplc="7CEE343C">
      <w:start w:val="1"/>
      <w:numFmt w:val="decimal"/>
      <w:lvlText w:val="%1."/>
      <w:lvlJc w:val="left"/>
      <w:pPr>
        <w:ind w:left="720" w:hanging="360"/>
      </w:pPr>
    </w:lvl>
    <w:lvl w:ilvl="1" w:tplc="36F49550">
      <w:start w:val="1"/>
      <w:numFmt w:val="lowerLetter"/>
      <w:lvlText w:val="%2."/>
      <w:lvlJc w:val="left"/>
      <w:pPr>
        <w:ind w:left="1440" w:hanging="360"/>
      </w:pPr>
    </w:lvl>
    <w:lvl w:ilvl="2" w:tplc="B8F2CB70">
      <w:start w:val="1"/>
      <w:numFmt w:val="lowerRoman"/>
      <w:lvlText w:val="%3."/>
      <w:lvlJc w:val="right"/>
      <w:pPr>
        <w:ind w:left="2160" w:hanging="180"/>
      </w:pPr>
    </w:lvl>
    <w:lvl w:ilvl="3" w:tplc="04207E44">
      <w:start w:val="1"/>
      <w:numFmt w:val="decimal"/>
      <w:lvlText w:val="%4."/>
      <w:lvlJc w:val="left"/>
      <w:pPr>
        <w:ind w:left="2880" w:hanging="360"/>
      </w:pPr>
    </w:lvl>
    <w:lvl w:ilvl="4" w:tplc="98F691CE">
      <w:start w:val="1"/>
      <w:numFmt w:val="lowerLetter"/>
      <w:lvlText w:val="%5."/>
      <w:lvlJc w:val="left"/>
      <w:pPr>
        <w:ind w:left="3600" w:hanging="360"/>
      </w:pPr>
    </w:lvl>
    <w:lvl w:ilvl="5" w:tplc="26EA54D2">
      <w:start w:val="1"/>
      <w:numFmt w:val="lowerRoman"/>
      <w:lvlText w:val="%6."/>
      <w:lvlJc w:val="right"/>
      <w:pPr>
        <w:ind w:left="4320" w:hanging="180"/>
      </w:pPr>
    </w:lvl>
    <w:lvl w:ilvl="6" w:tplc="5428F120">
      <w:start w:val="1"/>
      <w:numFmt w:val="decimal"/>
      <w:lvlText w:val="%7."/>
      <w:lvlJc w:val="left"/>
      <w:pPr>
        <w:ind w:left="5040" w:hanging="360"/>
      </w:pPr>
    </w:lvl>
    <w:lvl w:ilvl="7" w:tplc="E25C7460">
      <w:start w:val="1"/>
      <w:numFmt w:val="lowerLetter"/>
      <w:lvlText w:val="%8."/>
      <w:lvlJc w:val="left"/>
      <w:pPr>
        <w:ind w:left="5760" w:hanging="360"/>
      </w:pPr>
    </w:lvl>
    <w:lvl w:ilvl="8" w:tplc="0CB86F56">
      <w:start w:val="1"/>
      <w:numFmt w:val="lowerRoman"/>
      <w:lvlText w:val="%9."/>
      <w:lvlJc w:val="right"/>
      <w:pPr>
        <w:ind w:left="6480" w:hanging="180"/>
      </w:pPr>
    </w:lvl>
  </w:abstractNum>
  <w:abstractNum w:abstractNumId="326" w15:restartNumberingAfterBreak="0">
    <w:nsid w:val="37253B71"/>
    <w:multiLevelType w:val="hybridMultilevel"/>
    <w:tmpl w:val="8E2815C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37557CCC"/>
    <w:multiLevelType w:val="hybridMultilevel"/>
    <w:tmpl w:val="F43AF28E"/>
    <w:lvl w:ilvl="0" w:tplc="0C0A0001">
      <w:start w:val="1"/>
      <w:numFmt w:val="bullet"/>
      <w:lvlText w:val=""/>
      <w:lvlJc w:val="left"/>
      <w:pPr>
        <w:ind w:left="720" w:hanging="360"/>
      </w:pPr>
      <w:rPr>
        <w:rFonts w:ascii="Segoe UI" w:hAnsi="Segoe U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Cambria Math" w:hAnsi="Cambria Math" w:hint="default"/>
      </w:rPr>
    </w:lvl>
    <w:lvl w:ilvl="3" w:tplc="0C0A0001" w:tentative="1">
      <w:start w:val="1"/>
      <w:numFmt w:val="bullet"/>
      <w:lvlText w:val=""/>
      <w:lvlJc w:val="left"/>
      <w:pPr>
        <w:ind w:left="2880" w:hanging="360"/>
      </w:pPr>
      <w:rPr>
        <w:rFonts w:ascii="Segoe UI" w:hAnsi="Segoe UI"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Cambria Math" w:hAnsi="Cambria Math" w:hint="default"/>
      </w:rPr>
    </w:lvl>
    <w:lvl w:ilvl="6" w:tplc="0C0A0001" w:tentative="1">
      <w:start w:val="1"/>
      <w:numFmt w:val="bullet"/>
      <w:lvlText w:val=""/>
      <w:lvlJc w:val="left"/>
      <w:pPr>
        <w:ind w:left="5040" w:hanging="360"/>
      </w:pPr>
      <w:rPr>
        <w:rFonts w:ascii="Segoe UI" w:hAnsi="Segoe UI"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Cambria Math" w:hAnsi="Cambria Math" w:hint="default"/>
      </w:rPr>
    </w:lvl>
  </w:abstractNum>
  <w:abstractNum w:abstractNumId="328" w15:restartNumberingAfterBreak="0">
    <w:nsid w:val="3758C3CB"/>
    <w:multiLevelType w:val="hybridMultilevel"/>
    <w:tmpl w:val="4DFC13A4"/>
    <w:lvl w:ilvl="0" w:tplc="BA84E760">
      <w:start w:val="1"/>
      <w:numFmt w:val="bullet"/>
      <w:lvlText w:val=""/>
      <w:lvlJc w:val="left"/>
      <w:pPr>
        <w:ind w:left="1080" w:hanging="360"/>
      </w:pPr>
      <w:rPr>
        <w:rFonts w:ascii="Symbol" w:hAnsi="Symbol" w:hint="default"/>
      </w:rPr>
    </w:lvl>
    <w:lvl w:ilvl="1" w:tplc="ED1A8E8E">
      <w:start w:val="1"/>
      <w:numFmt w:val="bullet"/>
      <w:lvlText w:val="o"/>
      <w:lvlJc w:val="left"/>
      <w:pPr>
        <w:ind w:left="1800" w:hanging="360"/>
      </w:pPr>
      <w:rPr>
        <w:rFonts w:ascii="Courier New" w:hAnsi="Courier New" w:hint="default"/>
      </w:rPr>
    </w:lvl>
    <w:lvl w:ilvl="2" w:tplc="67B85CAA">
      <w:start w:val="1"/>
      <w:numFmt w:val="bullet"/>
      <w:lvlText w:val=""/>
      <w:lvlJc w:val="left"/>
      <w:pPr>
        <w:ind w:left="2520" w:hanging="360"/>
      </w:pPr>
      <w:rPr>
        <w:rFonts w:ascii="Wingdings" w:hAnsi="Wingdings" w:hint="default"/>
      </w:rPr>
    </w:lvl>
    <w:lvl w:ilvl="3" w:tplc="39DE89E6">
      <w:start w:val="1"/>
      <w:numFmt w:val="bullet"/>
      <w:lvlText w:val=""/>
      <w:lvlJc w:val="left"/>
      <w:pPr>
        <w:ind w:left="3240" w:hanging="360"/>
      </w:pPr>
      <w:rPr>
        <w:rFonts w:ascii="Symbol" w:hAnsi="Symbol" w:hint="default"/>
      </w:rPr>
    </w:lvl>
    <w:lvl w:ilvl="4" w:tplc="D560473C">
      <w:start w:val="1"/>
      <w:numFmt w:val="bullet"/>
      <w:lvlText w:val="o"/>
      <w:lvlJc w:val="left"/>
      <w:pPr>
        <w:ind w:left="3960" w:hanging="360"/>
      </w:pPr>
      <w:rPr>
        <w:rFonts w:ascii="Courier New" w:hAnsi="Courier New" w:hint="default"/>
      </w:rPr>
    </w:lvl>
    <w:lvl w:ilvl="5" w:tplc="5ACE0484">
      <w:start w:val="1"/>
      <w:numFmt w:val="bullet"/>
      <w:lvlText w:val=""/>
      <w:lvlJc w:val="left"/>
      <w:pPr>
        <w:ind w:left="4680" w:hanging="360"/>
      </w:pPr>
      <w:rPr>
        <w:rFonts w:ascii="Wingdings" w:hAnsi="Wingdings" w:hint="default"/>
      </w:rPr>
    </w:lvl>
    <w:lvl w:ilvl="6" w:tplc="8E560066">
      <w:start w:val="1"/>
      <w:numFmt w:val="bullet"/>
      <w:lvlText w:val=""/>
      <w:lvlJc w:val="left"/>
      <w:pPr>
        <w:ind w:left="5400" w:hanging="360"/>
      </w:pPr>
      <w:rPr>
        <w:rFonts w:ascii="Symbol" w:hAnsi="Symbol" w:hint="default"/>
      </w:rPr>
    </w:lvl>
    <w:lvl w:ilvl="7" w:tplc="8D743554">
      <w:start w:val="1"/>
      <w:numFmt w:val="bullet"/>
      <w:lvlText w:val="o"/>
      <w:lvlJc w:val="left"/>
      <w:pPr>
        <w:ind w:left="6120" w:hanging="360"/>
      </w:pPr>
      <w:rPr>
        <w:rFonts w:ascii="Courier New" w:hAnsi="Courier New" w:hint="default"/>
      </w:rPr>
    </w:lvl>
    <w:lvl w:ilvl="8" w:tplc="40A0AD42">
      <w:start w:val="1"/>
      <w:numFmt w:val="bullet"/>
      <w:lvlText w:val=""/>
      <w:lvlJc w:val="left"/>
      <w:pPr>
        <w:ind w:left="6840" w:hanging="360"/>
      </w:pPr>
      <w:rPr>
        <w:rFonts w:ascii="Wingdings" w:hAnsi="Wingdings" w:hint="default"/>
      </w:rPr>
    </w:lvl>
  </w:abstractNum>
  <w:abstractNum w:abstractNumId="329" w15:restartNumberingAfterBreak="0">
    <w:nsid w:val="379E54E2"/>
    <w:multiLevelType w:val="hybridMultilevel"/>
    <w:tmpl w:val="4498E6FC"/>
    <w:lvl w:ilvl="0" w:tplc="FFFFFFFF">
      <w:start w:val="1"/>
      <w:numFmt w:val="bullet"/>
      <w:lvlText w:val="-"/>
      <w:lvlJc w:val="left"/>
      <w:pPr>
        <w:ind w:left="1080" w:hanging="360"/>
      </w:pPr>
      <w:rPr>
        <w:rFonts w:ascii="Cambria" w:hAnsi="Cambria" w:hint="default"/>
        <w:color w:val="7030A0"/>
      </w:rPr>
    </w:lvl>
    <w:lvl w:ilvl="1" w:tplc="0C0A0003" w:tentative="1">
      <w:start w:val="1"/>
      <w:numFmt w:val="bullet"/>
      <w:lvlText w:val="o"/>
      <w:lvlJc w:val="left"/>
      <w:pPr>
        <w:ind w:left="1800" w:hanging="360"/>
      </w:pPr>
      <w:rPr>
        <w:rFonts w:ascii="Cambria Math" w:hAnsi="Cambria Math" w:cs="Cambria Math"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Courier New" w:hAnsi="Courier New" w:hint="default"/>
      </w:rPr>
    </w:lvl>
    <w:lvl w:ilvl="4" w:tplc="0C0A0003" w:tentative="1">
      <w:start w:val="1"/>
      <w:numFmt w:val="bullet"/>
      <w:lvlText w:val="o"/>
      <w:lvlJc w:val="left"/>
      <w:pPr>
        <w:ind w:left="3960" w:hanging="360"/>
      </w:pPr>
      <w:rPr>
        <w:rFonts w:ascii="Cambria Math" w:hAnsi="Cambria Math" w:cs="Cambria Math"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Courier New" w:hAnsi="Courier New" w:hint="default"/>
      </w:rPr>
    </w:lvl>
    <w:lvl w:ilvl="7" w:tplc="0C0A0003" w:tentative="1">
      <w:start w:val="1"/>
      <w:numFmt w:val="bullet"/>
      <w:lvlText w:val="o"/>
      <w:lvlJc w:val="left"/>
      <w:pPr>
        <w:ind w:left="6120" w:hanging="360"/>
      </w:pPr>
      <w:rPr>
        <w:rFonts w:ascii="Cambria Math" w:hAnsi="Cambria Math" w:cs="Cambria Math" w:hint="default"/>
      </w:rPr>
    </w:lvl>
    <w:lvl w:ilvl="8" w:tplc="0C0A0005" w:tentative="1">
      <w:start w:val="1"/>
      <w:numFmt w:val="bullet"/>
      <w:lvlText w:val=""/>
      <w:lvlJc w:val="left"/>
      <w:pPr>
        <w:ind w:left="6840" w:hanging="360"/>
      </w:pPr>
      <w:rPr>
        <w:rFonts w:ascii="Wingdings" w:hAnsi="Wingdings" w:hint="default"/>
      </w:rPr>
    </w:lvl>
  </w:abstractNum>
  <w:abstractNum w:abstractNumId="330" w15:restartNumberingAfterBreak="0">
    <w:nsid w:val="37A0B7A1"/>
    <w:multiLevelType w:val="hybridMultilevel"/>
    <w:tmpl w:val="FFFFFFFF"/>
    <w:lvl w:ilvl="0" w:tplc="278EC38A">
      <w:start w:val="1"/>
      <w:numFmt w:val="bullet"/>
      <w:lvlText w:val=""/>
      <w:lvlJc w:val="left"/>
      <w:pPr>
        <w:ind w:left="720" w:hanging="360"/>
      </w:pPr>
      <w:rPr>
        <w:rFonts w:ascii="Symbol" w:hAnsi="Symbol" w:hint="default"/>
      </w:rPr>
    </w:lvl>
    <w:lvl w:ilvl="1" w:tplc="029A480E">
      <w:start w:val="1"/>
      <w:numFmt w:val="bullet"/>
      <w:lvlText w:val="-"/>
      <w:lvlJc w:val="left"/>
      <w:pPr>
        <w:ind w:left="1440" w:hanging="360"/>
      </w:pPr>
      <w:rPr>
        <w:rFonts w:ascii="Calibri" w:hAnsi="Calibri" w:hint="default"/>
      </w:rPr>
    </w:lvl>
    <w:lvl w:ilvl="2" w:tplc="933E3984">
      <w:start w:val="1"/>
      <w:numFmt w:val="bullet"/>
      <w:lvlText w:val=""/>
      <w:lvlJc w:val="left"/>
      <w:pPr>
        <w:ind w:left="2160" w:hanging="360"/>
      </w:pPr>
      <w:rPr>
        <w:rFonts w:ascii="Wingdings" w:hAnsi="Wingdings" w:hint="default"/>
      </w:rPr>
    </w:lvl>
    <w:lvl w:ilvl="3" w:tplc="EDD814BC">
      <w:start w:val="1"/>
      <w:numFmt w:val="bullet"/>
      <w:lvlText w:val=""/>
      <w:lvlJc w:val="left"/>
      <w:pPr>
        <w:ind w:left="2880" w:hanging="360"/>
      </w:pPr>
      <w:rPr>
        <w:rFonts w:ascii="Symbol" w:hAnsi="Symbol" w:hint="default"/>
      </w:rPr>
    </w:lvl>
    <w:lvl w:ilvl="4" w:tplc="D0C49014">
      <w:start w:val="1"/>
      <w:numFmt w:val="bullet"/>
      <w:lvlText w:val="o"/>
      <w:lvlJc w:val="left"/>
      <w:pPr>
        <w:ind w:left="3600" w:hanging="360"/>
      </w:pPr>
      <w:rPr>
        <w:rFonts w:ascii="Courier New" w:hAnsi="Courier New" w:hint="default"/>
      </w:rPr>
    </w:lvl>
    <w:lvl w:ilvl="5" w:tplc="DCB0D614">
      <w:start w:val="1"/>
      <w:numFmt w:val="bullet"/>
      <w:lvlText w:val=""/>
      <w:lvlJc w:val="left"/>
      <w:pPr>
        <w:ind w:left="4320" w:hanging="360"/>
      </w:pPr>
      <w:rPr>
        <w:rFonts w:ascii="Wingdings" w:hAnsi="Wingdings" w:hint="default"/>
      </w:rPr>
    </w:lvl>
    <w:lvl w:ilvl="6" w:tplc="41D2806C">
      <w:start w:val="1"/>
      <w:numFmt w:val="bullet"/>
      <w:lvlText w:val=""/>
      <w:lvlJc w:val="left"/>
      <w:pPr>
        <w:ind w:left="5040" w:hanging="360"/>
      </w:pPr>
      <w:rPr>
        <w:rFonts w:ascii="Symbol" w:hAnsi="Symbol" w:hint="default"/>
      </w:rPr>
    </w:lvl>
    <w:lvl w:ilvl="7" w:tplc="5680F026">
      <w:start w:val="1"/>
      <w:numFmt w:val="bullet"/>
      <w:lvlText w:val="o"/>
      <w:lvlJc w:val="left"/>
      <w:pPr>
        <w:ind w:left="5760" w:hanging="360"/>
      </w:pPr>
      <w:rPr>
        <w:rFonts w:ascii="Courier New" w:hAnsi="Courier New" w:hint="default"/>
      </w:rPr>
    </w:lvl>
    <w:lvl w:ilvl="8" w:tplc="873C6F26">
      <w:start w:val="1"/>
      <w:numFmt w:val="bullet"/>
      <w:lvlText w:val=""/>
      <w:lvlJc w:val="left"/>
      <w:pPr>
        <w:ind w:left="6480" w:hanging="360"/>
      </w:pPr>
      <w:rPr>
        <w:rFonts w:ascii="Wingdings" w:hAnsi="Wingdings" w:hint="default"/>
      </w:rPr>
    </w:lvl>
  </w:abstractNum>
  <w:abstractNum w:abstractNumId="331" w15:restartNumberingAfterBreak="0">
    <w:nsid w:val="37CA0639"/>
    <w:multiLevelType w:val="hybridMultilevel"/>
    <w:tmpl w:val="E5463E5A"/>
    <w:lvl w:ilvl="0" w:tplc="18090001">
      <w:start w:val="1"/>
      <w:numFmt w:val="bullet"/>
      <w:lvlText w:val=""/>
      <w:lvlJc w:val="left"/>
      <w:pPr>
        <w:ind w:left="19" w:hanging="360"/>
      </w:pPr>
      <w:rPr>
        <w:rFonts w:ascii="Courier New" w:hAnsi="Courier New" w:hint="default"/>
      </w:rPr>
    </w:lvl>
    <w:lvl w:ilvl="1" w:tplc="18090003" w:tentative="1">
      <w:start w:val="1"/>
      <w:numFmt w:val="bullet"/>
      <w:lvlText w:val="o"/>
      <w:lvlJc w:val="left"/>
      <w:pPr>
        <w:ind w:left="739" w:hanging="360"/>
      </w:pPr>
      <w:rPr>
        <w:rFonts w:ascii="Cambria Math" w:hAnsi="Cambria Math" w:cs="Cambria Math" w:hint="default"/>
      </w:rPr>
    </w:lvl>
    <w:lvl w:ilvl="2" w:tplc="18090005" w:tentative="1">
      <w:start w:val="1"/>
      <w:numFmt w:val="bullet"/>
      <w:lvlText w:val=""/>
      <w:lvlJc w:val="left"/>
      <w:pPr>
        <w:ind w:left="1459" w:hanging="360"/>
      </w:pPr>
      <w:rPr>
        <w:rFonts w:ascii="Wingdings" w:hAnsi="Wingdings" w:hint="default"/>
      </w:rPr>
    </w:lvl>
    <w:lvl w:ilvl="3" w:tplc="18090001" w:tentative="1">
      <w:start w:val="1"/>
      <w:numFmt w:val="bullet"/>
      <w:lvlText w:val=""/>
      <w:lvlJc w:val="left"/>
      <w:pPr>
        <w:ind w:left="2179" w:hanging="360"/>
      </w:pPr>
      <w:rPr>
        <w:rFonts w:ascii="Courier New" w:hAnsi="Courier New" w:hint="default"/>
      </w:rPr>
    </w:lvl>
    <w:lvl w:ilvl="4" w:tplc="18090003" w:tentative="1">
      <w:start w:val="1"/>
      <w:numFmt w:val="bullet"/>
      <w:lvlText w:val="o"/>
      <w:lvlJc w:val="left"/>
      <w:pPr>
        <w:ind w:left="2899" w:hanging="360"/>
      </w:pPr>
      <w:rPr>
        <w:rFonts w:ascii="Cambria Math" w:hAnsi="Cambria Math" w:cs="Cambria Math" w:hint="default"/>
      </w:rPr>
    </w:lvl>
    <w:lvl w:ilvl="5" w:tplc="18090005" w:tentative="1">
      <w:start w:val="1"/>
      <w:numFmt w:val="bullet"/>
      <w:lvlText w:val=""/>
      <w:lvlJc w:val="left"/>
      <w:pPr>
        <w:ind w:left="3619" w:hanging="360"/>
      </w:pPr>
      <w:rPr>
        <w:rFonts w:ascii="Wingdings" w:hAnsi="Wingdings" w:hint="default"/>
      </w:rPr>
    </w:lvl>
    <w:lvl w:ilvl="6" w:tplc="18090001" w:tentative="1">
      <w:start w:val="1"/>
      <w:numFmt w:val="bullet"/>
      <w:lvlText w:val=""/>
      <w:lvlJc w:val="left"/>
      <w:pPr>
        <w:ind w:left="4339" w:hanging="360"/>
      </w:pPr>
      <w:rPr>
        <w:rFonts w:ascii="Courier New" w:hAnsi="Courier New" w:hint="default"/>
      </w:rPr>
    </w:lvl>
    <w:lvl w:ilvl="7" w:tplc="18090003" w:tentative="1">
      <w:start w:val="1"/>
      <w:numFmt w:val="bullet"/>
      <w:lvlText w:val="o"/>
      <w:lvlJc w:val="left"/>
      <w:pPr>
        <w:ind w:left="5059" w:hanging="360"/>
      </w:pPr>
      <w:rPr>
        <w:rFonts w:ascii="Cambria Math" w:hAnsi="Cambria Math" w:cs="Cambria Math" w:hint="default"/>
      </w:rPr>
    </w:lvl>
    <w:lvl w:ilvl="8" w:tplc="18090005" w:tentative="1">
      <w:start w:val="1"/>
      <w:numFmt w:val="bullet"/>
      <w:lvlText w:val=""/>
      <w:lvlJc w:val="left"/>
      <w:pPr>
        <w:ind w:left="5779" w:hanging="360"/>
      </w:pPr>
      <w:rPr>
        <w:rFonts w:ascii="Wingdings" w:hAnsi="Wingdings" w:hint="default"/>
      </w:rPr>
    </w:lvl>
  </w:abstractNum>
  <w:abstractNum w:abstractNumId="332" w15:restartNumberingAfterBreak="0">
    <w:nsid w:val="37D9C68C"/>
    <w:multiLevelType w:val="hybridMultilevel"/>
    <w:tmpl w:val="105AAA2C"/>
    <w:lvl w:ilvl="0" w:tplc="FFFFFFFF">
      <w:start w:val="1"/>
      <w:numFmt w:val="bullet"/>
      <w:lvlText w:val=""/>
      <w:lvlJc w:val="left"/>
      <w:pPr>
        <w:ind w:left="720" w:hanging="360"/>
      </w:pPr>
      <w:rPr>
        <w:rFonts w:ascii="Symbol" w:hAnsi="Symbol" w:hint="default"/>
      </w:rPr>
    </w:lvl>
    <w:lvl w:ilvl="1" w:tplc="B1E2B5DA">
      <w:start w:val="1"/>
      <w:numFmt w:val="bullet"/>
      <w:lvlText w:val="o"/>
      <w:lvlJc w:val="left"/>
      <w:pPr>
        <w:ind w:left="1440" w:hanging="360"/>
      </w:pPr>
      <w:rPr>
        <w:rFonts w:ascii="Courier New" w:hAnsi="Courier New" w:hint="default"/>
      </w:rPr>
    </w:lvl>
    <w:lvl w:ilvl="2" w:tplc="192868AE">
      <w:start w:val="1"/>
      <w:numFmt w:val="bullet"/>
      <w:lvlText w:val=""/>
      <w:lvlJc w:val="left"/>
      <w:pPr>
        <w:ind w:left="2160" w:hanging="360"/>
      </w:pPr>
      <w:rPr>
        <w:rFonts w:ascii="Wingdings" w:hAnsi="Wingdings" w:hint="default"/>
      </w:rPr>
    </w:lvl>
    <w:lvl w:ilvl="3" w:tplc="7A8A5DC4">
      <w:start w:val="1"/>
      <w:numFmt w:val="bullet"/>
      <w:lvlText w:val=""/>
      <w:lvlJc w:val="left"/>
      <w:pPr>
        <w:ind w:left="2880" w:hanging="360"/>
      </w:pPr>
      <w:rPr>
        <w:rFonts w:ascii="Symbol" w:hAnsi="Symbol" w:hint="default"/>
      </w:rPr>
    </w:lvl>
    <w:lvl w:ilvl="4" w:tplc="9B1CF73A">
      <w:start w:val="1"/>
      <w:numFmt w:val="bullet"/>
      <w:lvlText w:val="o"/>
      <w:lvlJc w:val="left"/>
      <w:pPr>
        <w:ind w:left="3600" w:hanging="360"/>
      </w:pPr>
      <w:rPr>
        <w:rFonts w:ascii="Courier New" w:hAnsi="Courier New" w:hint="default"/>
      </w:rPr>
    </w:lvl>
    <w:lvl w:ilvl="5" w:tplc="EF148F64">
      <w:start w:val="1"/>
      <w:numFmt w:val="bullet"/>
      <w:lvlText w:val=""/>
      <w:lvlJc w:val="left"/>
      <w:pPr>
        <w:ind w:left="4320" w:hanging="360"/>
      </w:pPr>
      <w:rPr>
        <w:rFonts w:ascii="Wingdings" w:hAnsi="Wingdings" w:hint="default"/>
      </w:rPr>
    </w:lvl>
    <w:lvl w:ilvl="6" w:tplc="68C4BAFE">
      <w:start w:val="1"/>
      <w:numFmt w:val="bullet"/>
      <w:lvlText w:val=""/>
      <w:lvlJc w:val="left"/>
      <w:pPr>
        <w:ind w:left="5040" w:hanging="360"/>
      </w:pPr>
      <w:rPr>
        <w:rFonts w:ascii="Symbol" w:hAnsi="Symbol" w:hint="default"/>
      </w:rPr>
    </w:lvl>
    <w:lvl w:ilvl="7" w:tplc="30B88E74">
      <w:start w:val="1"/>
      <w:numFmt w:val="bullet"/>
      <w:lvlText w:val="o"/>
      <w:lvlJc w:val="left"/>
      <w:pPr>
        <w:ind w:left="5760" w:hanging="360"/>
      </w:pPr>
      <w:rPr>
        <w:rFonts w:ascii="Courier New" w:hAnsi="Courier New" w:hint="default"/>
      </w:rPr>
    </w:lvl>
    <w:lvl w:ilvl="8" w:tplc="7212C15A">
      <w:start w:val="1"/>
      <w:numFmt w:val="bullet"/>
      <w:lvlText w:val=""/>
      <w:lvlJc w:val="left"/>
      <w:pPr>
        <w:ind w:left="6480" w:hanging="360"/>
      </w:pPr>
      <w:rPr>
        <w:rFonts w:ascii="Wingdings" w:hAnsi="Wingdings" w:hint="default"/>
      </w:rPr>
    </w:lvl>
  </w:abstractNum>
  <w:abstractNum w:abstractNumId="333" w15:restartNumberingAfterBreak="0">
    <w:nsid w:val="37F0B873"/>
    <w:multiLevelType w:val="hybridMultilevel"/>
    <w:tmpl w:val="FFFFFFFF"/>
    <w:lvl w:ilvl="0" w:tplc="406024B6">
      <w:start w:val="1"/>
      <w:numFmt w:val="bullet"/>
      <w:lvlText w:val="o"/>
      <w:lvlJc w:val="left"/>
      <w:pPr>
        <w:ind w:left="720" w:hanging="360"/>
      </w:pPr>
      <w:rPr>
        <w:rFonts w:ascii="&quot;Courier New&quot;" w:hAnsi="&quot;Courier New&quot;" w:hint="default"/>
      </w:rPr>
    </w:lvl>
    <w:lvl w:ilvl="1" w:tplc="BFC0AB2E">
      <w:start w:val="1"/>
      <w:numFmt w:val="bullet"/>
      <w:lvlText w:val="o"/>
      <w:lvlJc w:val="left"/>
      <w:pPr>
        <w:ind w:left="1440" w:hanging="360"/>
      </w:pPr>
      <w:rPr>
        <w:rFonts w:ascii="Courier New" w:hAnsi="Courier New" w:hint="default"/>
      </w:rPr>
    </w:lvl>
    <w:lvl w:ilvl="2" w:tplc="785AA948">
      <w:start w:val="1"/>
      <w:numFmt w:val="bullet"/>
      <w:lvlText w:val=""/>
      <w:lvlJc w:val="left"/>
      <w:pPr>
        <w:ind w:left="2160" w:hanging="360"/>
      </w:pPr>
      <w:rPr>
        <w:rFonts w:ascii="Wingdings" w:hAnsi="Wingdings" w:hint="default"/>
      </w:rPr>
    </w:lvl>
    <w:lvl w:ilvl="3" w:tplc="D9D8E0B0">
      <w:start w:val="1"/>
      <w:numFmt w:val="bullet"/>
      <w:lvlText w:val=""/>
      <w:lvlJc w:val="left"/>
      <w:pPr>
        <w:ind w:left="2880" w:hanging="360"/>
      </w:pPr>
      <w:rPr>
        <w:rFonts w:ascii="Symbol" w:hAnsi="Symbol" w:hint="default"/>
      </w:rPr>
    </w:lvl>
    <w:lvl w:ilvl="4" w:tplc="583EAAC0">
      <w:start w:val="1"/>
      <w:numFmt w:val="bullet"/>
      <w:lvlText w:val="o"/>
      <w:lvlJc w:val="left"/>
      <w:pPr>
        <w:ind w:left="3600" w:hanging="360"/>
      </w:pPr>
      <w:rPr>
        <w:rFonts w:ascii="Courier New" w:hAnsi="Courier New" w:hint="default"/>
      </w:rPr>
    </w:lvl>
    <w:lvl w:ilvl="5" w:tplc="F56AA998">
      <w:start w:val="1"/>
      <w:numFmt w:val="bullet"/>
      <w:lvlText w:val=""/>
      <w:lvlJc w:val="left"/>
      <w:pPr>
        <w:ind w:left="4320" w:hanging="360"/>
      </w:pPr>
      <w:rPr>
        <w:rFonts w:ascii="Wingdings" w:hAnsi="Wingdings" w:hint="default"/>
      </w:rPr>
    </w:lvl>
    <w:lvl w:ilvl="6" w:tplc="BFEA29C2">
      <w:start w:val="1"/>
      <w:numFmt w:val="bullet"/>
      <w:lvlText w:val=""/>
      <w:lvlJc w:val="left"/>
      <w:pPr>
        <w:ind w:left="5040" w:hanging="360"/>
      </w:pPr>
      <w:rPr>
        <w:rFonts w:ascii="Symbol" w:hAnsi="Symbol" w:hint="default"/>
      </w:rPr>
    </w:lvl>
    <w:lvl w:ilvl="7" w:tplc="7F765CFE">
      <w:start w:val="1"/>
      <w:numFmt w:val="bullet"/>
      <w:lvlText w:val="o"/>
      <w:lvlJc w:val="left"/>
      <w:pPr>
        <w:ind w:left="5760" w:hanging="360"/>
      </w:pPr>
      <w:rPr>
        <w:rFonts w:ascii="Courier New" w:hAnsi="Courier New" w:hint="default"/>
      </w:rPr>
    </w:lvl>
    <w:lvl w:ilvl="8" w:tplc="0268CD42">
      <w:start w:val="1"/>
      <w:numFmt w:val="bullet"/>
      <w:lvlText w:val=""/>
      <w:lvlJc w:val="left"/>
      <w:pPr>
        <w:ind w:left="6480" w:hanging="360"/>
      </w:pPr>
      <w:rPr>
        <w:rFonts w:ascii="Wingdings" w:hAnsi="Wingdings" w:hint="default"/>
      </w:rPr>
    </w:lvl>
  </w:abstractNum>
  <w:abstractNum w:abstractNumId="334" w15:restartNumberingAfterBreak="0">
    <w:nsid w:val="382356CE"/>
    <w:multiLevelType w:val="hybridMultilevel"/>
    <w:tmpl w:val="87DA39CC"/>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35" w15:restartNumberingAfterBreak="0">
    <w:nsid w:val="382521B6"/>
    <w:multiLevelType w:val="multilevel"/>
    <w:tmpl w:val="10E2F84E"/>
    <w:lvl w:ilvl="0">
      <w:start w:val="1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36" w15:restartNumberingAfterBreak="0">
    <w:nsid w:val="382D639E"/>
    <w:multiLevelType w:val="hybridMultilevel"/>
    <w:tmpl w:val="F30240C8"/>
    <w:lvl w:ilvl="0" w:tplc="08090017">
      <w:start w:val="1"/>
      <w:numFmt w:val="lowerLetter"/>
      <w:lvlText w:val="%1)"/>
      <w:lvlJc w:val="left"/>
      <w:pPr>
        <w:ind w:left="720" w:hanging="360"/>
      </w:pPr>
    </w:lvl>
    <w:lvl w:ilvl="1" w:tplc="18090001">
      <w:start w:val="1"/>
      <w:numFmt w:val="bullet"/>
      <w:lvlText w:val=""/>
      <w:lvlJc w:val="left"/>
      <w:pPr>
        <w:ind w:left="72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384B3251"/>
    <w:multiLevelType w:val="hybridMultilevel"/>
    <w:tmpl w:val="FFFFFFFF"/>
    <w:lvl w:ilvl="0" w:tplc="77044720">
      <w:start w:val="7"/>
      <w:numFmt w:val="decimal"/>
      <w:lvlText w:val="%1."/>
      <w:lvlJc w:val="left"/>
      <w:pPr>
        <w:ind w:left="720" w:hanging="360"/>
      </w:pPr>
    </w:lvl>
    <w:lvl w:ilvl="1" w:tplc="0F3E2B3A">
      <w:start w:val="1"/>
      <w:numFmt w:val="lowerLetter"/>
      <w:lvlText w:val="%2."/>
      <w:lvlJc w:val="left"/>
      <w:pPr>
        <w:ind w:left="1440" w:hanging="360"/>
      </w:pPr>
    </w:lvl>
    <w:lvl w:ilvl="2" w:tplc="DB8AFC12">
      <w:start w:val="1"/>
      <w:numFmt w:val="lowerRoman"/>
      <w:lvlText w:val="%3."/>
      <w:lvlJc w:val="right"/>
      <w:pPr>
        <w:ind w:left="2160" w:hanging="180"/>
      </w:pPr>
    </w:lvl>
    <w:lvl w:ilvl="3" w:tplc="D15EA9F4">
      <w:start w:val="1"/>
      <w:numFmt w:val="decimal"/>
      <w:lvlText w:val="%4."/>
      <w:lvlJc w:val="left"/>
      <w:pPr>
        <w:ind w:left="2880" w:hanging="360"/>
      </w:pPr>
    </w:lvl>
    <w:lvl w:ilvl="4" w:tplc="9DFEC8E8">
      <w:start w:val="1"/>
      <w:numFmt w:val="lowerLetter"/>
      <w:lvlText w:val="%5."/>
      <w:lvlJc w:val="left"/>
      <w:pPr>
        <w:ind w:left="3600" w:hanging="360"/>
      </w:pPr>
    </w:lvl>
    <w:lvl w:ilvl="5" w:tplc="05FE2D8A">
      <w:start w:val="1"/>
      <w:numFmt w:val="lowerRoman"/>
      <w:lvlText w:val="%6."/>
      <w:lvlJc w:val="right"/>
      <w:pPr>
        <w:ind w:left="4320" w:hanging="180"/>
      </w:pPr>
    </w:lvl>
    <w:lvl w:ilvl="6" w:tplc="7A86DCDC">
      <w:start w:val="1"/>
      <w:numFmt w:val="decimal"/>
      <w:lvlText w:val="%7."/>
      <w:lvlJc w:val="left"/>
      <w:pPr>
        <w:ind w:left="5040" w:hanging="360"/>
      </w:pPr>
    </w:lvl>
    <w:lvl w:ilvl="7" w:tplc="9CAA9070">
      <w:start w:val="1"/>
      <w:numFmt w:val="lowerLetter"/>
      <w:lvlText w:val="%8."/>
      <w:lvlJc w:val="left"/>
      <w:pPr>
        <w:ind w:left="5760" w:hanging="360"/>
      </w:pPr>
    </w:lvl>
    <w:lvl w:ilvl="8" w:tplc="A22611A0">
      <w:start w:val="1"/>
      <w:numFmt w:val="lowerRoman"/>
      <w:lvlText w:val="%9."/>
      <w:lvlJc w:val="right"/>
      <w:pPr>
        <w:ind w:left="6480" w:hanging="180"/>
      </w:pPr>
    </w:lvl>
  </w:abstractNum>
  <w:abstractNum w:abstractNumId="338" w15:restartNumberingAfterBreak="0">
    <w:nsid w:val="38596246"/>
    <w:multiLevelType w:val="hybridMultilevel"/>
    <w:tmpl w:val="D0C6C9E4"/>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39" w15:restartNumberingAfterBreak="0">
    <w:nsid w:val="388D8155"/>
    <w:multiLevelType w:val="multilevel"/>
    <w:tmpl w:val="FFFFFFFF"/>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0" w15:restartNumberingAfterBreak="0">
    <w:nsid w:val="38AE9E28"/>
    <w:multiLevelType w:val="hybridMultilevel"/>
    <w:tmpl w:val="FFFFFFFF"/>
    <w:lvl w:ilvl="0" w:tplc="6DE69E20">
      <w:start w:val="1"/>
      <w:numFmt w:val="bullet"/>
      <w:lvlText w:val="o"/>
      <w:lvlJc w:val="left"/>
      <w:pPr>
        <w:ind w:left="720" w:hanging="360"/>
      </w:pPr>
      <w:rPr>
        <w:rFonts w:ascii="&quot;Courier New&quot;" w:hAnsi="&quot;Courier New&quot;" w:hint="default"/>
      </w:rPr>
    </w:lvl>
    <w:lvl w:ilvl="1" w:tplc="D8302986">
      <w:start w:val="1"/>
      <w:numFmt w:val="bullet"/>
      <w:lvlText w:val="o"/>
      <w:lvlJc w:val="left"/>
      <w:pPr>
        <w:ind w:left="1440" w:hanging="360"/>
      </w:pPr>
      <w:rPr>
        <w:rFonts w:ascii="Courier New" w:hAnsi="Courier New" w:hint="default"/>
      </w:rPr>
    </w:lvl>
    <w:lvl w:ilvl="2" w:tplc="55D4FF1E">
      <w:start w:val="1"/>
      <w:numFmt w:val="bullet"/>
      <w:lvlText w:val=""/>
      <w:lvlJc w:val="left"/>
      <w:pPr>
        <w:ind w:left="2160" w:hanging="360"/>
      </w:pPr>
      <w:rPr>
        <w:rFonts w:ascii="Wingdings" w:hAnsi="Wingdings" w:hint="default"/>
      </w:rPr>
    </w:lvl>
    <w:lvl w:ilvl="3" w:tplc="B63837BC">
      <w:start w:val="1"/>
      <w:numFmt w:val="bullet"/>
      <w:lvlText w:val=""/>
      <w:lvlJc w:val="left"/>
      <w:pPr>
        <w:ind w:left="2880" w:hanging="360"/>
      </w:pPr>
      <w:rPr>
        <w:rFonts w:ascii="Symbol" w:hAnsi="Symbol" w:hint="default"/>
      </w:rPr>
    </w:lvl>
    <w:lvl w:ilvl="4" w:tplc="A9D039E6">
      <w:start w:val="1"/>
      <w:numFmt w:val="bullet"/>
      <w:lvlText w:val="o"/>
      <w:lvlJc w:val="left"/>
      <w:pPr>
        <w:ind w:left="3600" w:hanging="360"/>
      </w:pPr>
      <w:rPr>
        <w:rFonts w:ascii="Courier New" w:hAnsi="Courier New" w:hint="default"/>
      </w:rPr>
    </w:lvl>
    <w:lvl w:ilvl="5" w:tplc="AA680628">
      <w:start w:val="1"/>
      <w:numFmt w:val="bullet"/>
      <w:lvlText w:val=""/>
      <w:lvlJc w:val="left"/>
      <w:pPr>
        <w:ind w:left="4320" w:hanging="360"/>
      </w:pPr>
      <w:rPr>
        <w:rFonts w:ascii="Wingdings" w:hAnsi="Wingdings" w:hint="default"/>
      </w:rPr>
    </w:lvl>
    <w:lvl w:ilvl="6" w:tplc="AEAC7BCC">
      <w:start w:val="1"/>
      <w:numFmt w:val="bullet"/>
      <w:lvlText w:val=""/>
      <w:lvlJc w:val="left"/>
      <w:pPr>
        <w:ind w:left="5040" w:hanging="360"/>
      </w:pPr>
      <w:rPr>
        <w:rFonts w:ascii="Symbol" w:hAnsi="Symbol" w:hint="default"/>
      </w:rPr>
    </w:lvl>
    <w:lvl w:ilvl="7" w:tplc="D5723520">
      <w:start w:val="1"/>
      <w:numFmt w:val="bullet"/>
      <w:lvlText w:val="o"/>
      <w:lvlJc w:val="left"/>
      <w:pPr>
        <w:ind w:left="5760" w:hanging="360"/>
      </w:pPr>
      <w:rPr>
        <w:rFonts w:ascii="Courier New" w:hAnsi="Courier New" w:hint="default"/>
      </w:rPr>
    </w:lvl>
    <w:lvl w:ilvl="8" w:tplc="5C5EEAA4">
      <w:start w:val="1"/>
      <w:numFmt w:val="bullet"/>
      <w:lvlText w:val=""/>
      <w:lvlJc w:val="left"/>
      <w:pPr>
        <w:ind w:left="6480" w:hanging="360"/>
      </w:pPr>
      <w:rPr>
        <w:rFonts w:ascii="Wingdings" w:hAnsi="Wingdings" w:hint="default"/>
      </w:rPr>
    </w:lvl>
  </w:abstractNum>
  <w:abstractNum w:abstractNumId="341" w15:restartNumberingAfterBreak="0">
    <w:nsid w:val="38CD5C44"/>
    <w:multiLevelType w:val="multilevel"/>
    <w:tmpl w:val="E8C2D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2" w15:restartNumberingAfterBreak="0">
    <w:nsid w:val="38F269BC"/>
    <w:multiLevelType w:val="hybridMultilevel"/>
    <w:tmpl w:val="BCACA684"/>
    <w:lvl w:ilvl="0" w:tplc="FFFFFFFF">
      <w:start w:val="1"/>
      <w:numFmt w:val="decimal"/>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3" w15:restartNumberingAfterBreak="0">
    <w:nsid w:val="393F677D"/>
    <w:multiLevelType w:val="multilevel"/>
    <w:tmpl w:val="C1B85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4" w15:restartNumberingAfterBreak="0">
    <w:nsid w:val="39A82B28"/>
    <w:multiLevelType w:val="hybridMultilevel"/>
    <w:tmpl w:val="8CF89BE6"/>
    <w:lvl w:ilvl="0" w:tplc="08090017">
      <w:start w:val="1"/>
      <w:numFmt w:val="lowerLetter"/>
      <w:lvlText w:val="%1)"/>
      <w:lvlJc w:val="left"/>
      <w:pPr>
        <w:ind w:left="2704" w:hanging="360"/>
      </w:pPr>
    </w:lvl>
    <w:lvl w:ilvl="1" w:tplc="04090019" w:tentative="1">
      <w:start w:val="1"/>
      <w:numFmt w:val="lowerLetter"/>
      <w:lvlText w:val="%2."/>
      <w:lvlJc w:val="left"/>
      <w:pPr>
        <w:ind w:left="3424" w:hanging="360"/>
      </w:pPr>
    </w:lvl>
    <w:lvl w:ilvl="2" w:tplc="0409001B" w:tentative="1">
      <w:start w:val="1"/>
      <w:numFmt w:val="lowerRoman"/>
      <w:lvlText w:val="%3."/>
      <w:lvlJc w:val="right"/>
      <w:pPr>
        <w:ind w:left="4144" w:hanging="180"/>
      </w:pPr>
    </w:lvl>
    <w:lvl w:ilvl="3" w:tplc="0409000F" w:tentative="1">
      <w:start w:val="1"/>
      <w:numFmt w:val="decimal"/>
      <w:lvlText w:val="%4."/>
      <w:lvlJc w:val="left"/>
      <w:pPr>
        <w:ind w:left="4864" w:hanging="360"/>
      </w:pPr>
    </w:lvl>
    <w:lvl w:ilvl="4" w:tplc="04090019" w:tentative="1">
      <w:start w:val="1"/>
      <w:numFmt w:val="lowerLetter"/>
      <w:lvlText w:val="%5."/>
      <w:lvlJc w:val="left"/>
      <w:pPr>
        <w:ind w:left="5584" w:hanging="360"/>
      </w:pPr>
    </w:lvl>
    <w:lvl w:ilvl="5" w:tplc="0409001B" w:tentative="1">
      <w:start w:val="1"/>
      <w:numFmt w:val="lowerRoman"/>
      <w:lvlText w:val="%6."/>
      <w:lvlJc w:val="right"/>
      <w:pPr>
        <w:ind w:left="6304" w:hanging="180"/>
      </w:pPr>
    </w:lvl>
    <w:lvl w:ilvl="6" w:tplc="0409000F" w:tentative="1">
      <w:start w:val="1"/>
      <w:numFmt w:val="decimal"/>
      <w:lvlText w:val="%7."/>
      <w:lvlJc w:val="left"/>
      <w:pPr>
        <w:ind w:left="7024" w:hanging="360"/>
      </w:pPr>
    </w:lvl>
    <w:lvl w:ilvl="7" w:tplc="04090019" w:tentative="1">
      <w:start w:val="1"/>
      <w:numFmt w:val="lowerLetter"/>
      <w:lvlText w:val="%8."/>
      <w:lvlJc w:val="left"/>
      <w:pPr>
        <w:ind w:left="7744" w:hanging="360"/>
      </w:pPr>
    </w:lvl>
    <w:lvl w:ilvl="8" w:tplc="0409001B" w:tentative="1">
      <w:start w:val="1"/>
      <w:numFmt w:val="lowerRoman"/>
      <w:lvlText w:val="%9."/>
      <w:lvlJc w:val="right"/>
      <w:pPr>
        <w:ind w:left="8464" w:hanging="180"/>
      </w:pPr>
    </w:lvl>
  </w:abstractNum>
  <w:abstractNum w:abstractNumId="345" w15:restartNumberingAfterBreak="0">
    <w:nsid w:val="39B21F2D"/>
    <w:multiLevelType w:val="hybridMultilevel"/>
    <w:tmpl w:val="84460B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6" w15:restartNumberingAfterBreak="0">
    <w:nsid w:val="39D13959"/>
    <w:multiLevelType w:val="hybridMultilevel"/>
    <w:tmpl w:val="8832742C"/>
    <w:lvl w:ilvl="0" w:tplc="18090017">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47" w15:restartNumberingAfterBreak="0">
    <w:nsid w:val="3A050833"/>
    <w:multiLevelType w:val="hybridMultilevel"/>
    <w:tmpl w:val="838AEB1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8" w15:restartNumberingAfterBreak="0">
    <w:nsid w:val="3A255E93"/>
    <w:multiLevelType w:val="hybridMultilevel"/>
    <w:tmpl w:val="AA40CE4A"/>
    <w:lvl w:ilvl="0" w:tplc="1809000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9" w15:restartNumberingAfterBreak="0">
    <w:nsid w:val="3A3979AC"/>
    <w:multiLevelType w:val="hybridMultilevel"/>
    <w:tmpl w:val="FFFFFFFF"/>
    <w:lvl w:ilvl="0" w:tplc="01D0EA4A">
      <w:start w:val="5"/>
      <w:numFmt w:val="decimal"/>
      <w:lvlText w:val="%1."/>
      <w:lvlJc w:val="left"/>
      <w:pPr>
        <w:ind w:left="720" w:hanging="360"/>
      </w:pPr>
    </w:lvl>
    <w:lvl w:ilvl="1" w:tplc="B7801D44">
      <w:start w:val="1"/>
      <w:numFmt w:val="lowerLetter"/>
      <w:lvlText w:val="%2."/>
      <w:lvlJc w:val="left"/>
      <w:pPr>
        <w:ind w:left="1440" w:hanging="360"/>
      </w:pPr>
    </w:lvl>
    <w:lvl w:ilvl="2" w:tplc="3EDA91C4">
      <w:start w:val="1"/>
      <w:numFmt w:val="lowerRoman"/>
      <w:lvlText w:val="%3."/>
      <w:lvlJc w:val="right"/>
      <w:pPr>
        <w:ind w:left="2160" w:hanging="180"/>
      </w:pPr>
    </w:lvl>
    <w:lvl w:ilvl="3" w:tplc="7514ECD6">
      <w:start w:val="1"/>
      <w:numFmt w:val="decimal"/>
      <w:lvlText w:val="%4."/>
      <w:lvlJc w:val="left"/>
      <w:pPr>
        <w:ind w:left="2880" w:hanging="360"/>
      </w:pPr>
    </w:lvl>
    <w:lvl w:ilvl="4" w:tplc="785E25A0">
      <w:start w:val="1"/>
      <w:numFmt w:val="lowerLetter"/>
      <w:lvlText w:val="%5."/>
      <w:lvlJc w:val="left"/>
      <w:pPr>
        <w:ind w:left="3600" w:hanging="360"/>
      </w:pPr>
    </w:lvl>
    <w:lvl w:ilvl="5" w:tplc="F196BE30">
      <w:start w:val="1"/>
      <w:numFmt w:val="lowerRoman"/>
      <w:lvlText w:val="%6."/>
      <w:lvlJc w:val="right"/>
      <w:pPr>
        <w:ind w:left="4320" w:hanging="180"/>
      </w:pPr>
    </w:lvl>
    <w:lvl w:ilvl="6" w:tplc="A7A03540">
      <w:start w:val="1"/>
      <w:numFmt w:val="decimal"/>
      <w:lvlText w:val="%7."/>
      <w:lvlJc w:val="left"/>
      <w:pPr>
        <w:ind w:left="5040" w:hanging="360"/>
      </w:pPr>
    </w:lvl>
    <w:lvl w:ilvl="7" w:tplc="5FDCFE84">
      <w:start w:val="1"/>
      <w:numFmt w:val="lowerLetter"/>
      <w:lvlText w:val="%8."/>
      <w:lvlJc w:val="left"/>
      <w:pPr>
        <w:ind w:left="5760" w:hanging="360"/>
      </w:pPr>
    </w:lvl>
    <w:lvl w:ilvl="8" w:tplc="BBC2A2C8">
      <w:start w:val="1"/>
      <w:numFmt w:val="lowerRoman"/>
      <w:lvlText w:val="%9."/>
      <w:lvlJc w:val="right"/>
      <w:pPr>
        <w:ind w:left="6480" w:hanging="180"/>
      </w:pPr>
    </w:lvl>
  </w:abstractNum>
  <w:abstractNum w:abstractNumId="350" w15:restartNumberingAfterBreak="0">
    <w:nsid w:val="3A471EE4"/>
    <w:multiLevelType w:val="hybridMultilevel"/>
    <w:tmpl w:val="FFFFFFFF"/>
    <w:lvl w:ilvl="0" w:tplc="9BB4BCA0">
      <w:start w:val="1"/>
      <w:numFmt w:val="bullet"/>
      <w:lvlText w:val="o"/>
      <w:lvlJc w:val="left"/>
      <w:pPr>
        <w:ind w:left="720" w:hanging="360"/>
      </w:pPr>
      <w:rPr>
        <w:rFonts w:ascii="&quot;Courier New&quot;" w:hAnsi="&quot;Courier New&quot;" w:hint="default"/>
      </w:rPr>
    </w:lvl>
    <w:lvl w:ilvl="1" w:tplc="E8B60D9C">
      <w:start w:val="1"/>
      <w:numFmt w:val="bullet"/>
      <w:lvlText w:val="o"/>
      <w:lvlJc w:val="left"/>
      <w:pPr>
        <w:ind w:left="1440" w:hanging="360"/>
      </w:pPr>
      <w:rPr>
        <w:rFonts w:ascii="Courier New" w:hAnsi="Courier New" w:hint="default"/>
      </w:rPr>
    </w:lvl>
    <w:lvl w:ilvl="2" w:tplc="7944ACB0">
      <w:start w:val="1"/>
      <w:numFmt w:val="bullet"/>
      <w:lvlText w:val=""/>
      <w:lvlJc w:val="left"/>
      <w:pPr>
        <w:ind w:left="2160" w:hanging="360"/>
      </w:pPr>
      <w:rPr>
        <w:rFonts w:ascii="Wingdings" w:hAnsi="Wingdings" w:hint="default"/>
      </w:rPr>
    </w:lvl>
    <w:lvl w:ilvl="3" w:tplc="8794B12A">
      <w:start w:val="1"/>
      <w:numFmt w:val="bullet"/>
      <w:lvlText w:val=""/>
      <w:lvlJc w:val="left"/>
      <w:pPr>
        <w:ind w:left="2880" w:hanging="360"/>
      </w:pPr>
      <w:rPr>
        <w:rFonts w:ascii="Symbol" w:hAnsi="Symbol" w:hint="default"/>
      </w:rPr>
    </w:lvl>
    <w:lvl w:ilvl="4" w:tplc="0994C470">
      <w:start w:val="1"/>
      <w:numFmt w:val="bullet"/>
      <w:lvlText w:val="o"/>
      <w:lvlJc w:val="left"/>
      <w:pPr>
        <w:ind w:left="3600" w:hanging="360"/>
      </w:pPr>
      <w:rPr>
        <w:rFonts w:ascii="Courier New" w:hAnsi="Courier New" w:hint="default"/>
      </w:rPr>
    </w:lvl>
    <w:lvl w:ilvl="5" w:tplc="7B862510">
      <w:start w:val="1"/>
      <w:numFmt w:val="bullet"/>
      <w:lvlText w:val=""/>
      <w:lvlJc w:val="left"/>
      <w:pPr>
        <w:ind w:left="4320" w:hanging="360"/>
      </w:pPr>
      <w:rPr>
        <w:rFonts w:ascii="Wingdings" w:hAnsi="Wingdings" w:hint="default"/>
      </w:rPr>
    </w:lvl>
    <w:lvl w:ilvl="6" w:tplc="2984FC64">
      <w:start w:val="1"/>
      <w:numFmt w:val="bullet"/>
      <w:lvlText w:val=""/>
      <w:lvlJc w:val="left"/>
      <w:pPr>
        <w:ind w:left="5040" w:hanging="360"/>
      </w:pPr>
      <w:rPr>
        <w:rFonts w:ascii="Symbol" w:hAnsi="Symbol" w:hint="default"/>
      </w:rPr>
    </w:lvl>
    <w:lvl w:ilvl="7" w:tplc="3EDA8984">
      <w:start w:val="1"/>
      <w:numFmt w:val="bullet"/>
      <w:lvlText w:val="o"/>
      <w:lvlJc w:val="left"/>
      <w:pPr>
        <w:ind w:left="5760" w:hanging="360"/>
      </w:pPr>
      <w:rPr>
        <w:rFonts w:ascii="Courier New" w:hAnsi="Courier New" w:hint="default"/>
      </w:rPr>
    </w:lvl>
    <w:lvl w:ilvl="8" w:tplc="1DC2F516">
      <w:start w:val="1"/>
      <w:numFmt w:val="bullet"/>
      <w:lvlText w:val=""/>
      <w:lvlJc w:val="left"/>
      <w:pPr>
        <w:ind w:left="6480" w:hanging="360"/>
      </w:pPr>
      <w:rPr>
        <w:rFonts w:ascii="Wingdings" w:hAnsi="Wingdings" w:hint="default"/>
      </w:rPr>
    </w:lvl>
  </w:abstractNum>
  <w:abstractNum w:abstractNumId="351" w15:restartNumberingAfterBreak="0">
    <w:nsid w:val="3A575E44"/>
    <w:multiLevelType w:val="hybridMultilevel"/>
    <w:tmpl w:val="E3B643F2"/>
    <w:lvl w:ilvl="0" w:tplc="0A940E34">
      <w:start w:val="1"/>
      <w:numFmt w:val="decimal"/>
      <w:lvlText w:val="%1."/>
      <w:lvlJc w:val="left"/>
      <w:pPr>
        <w:ind w:left="720" w:hanging="360"/>
      </w:pPr>
      <w:rPr>
        <w:rFonts w:hint="default"/>
        <w:b w:val="0"/>
        <w:bCs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2" w15:restartNumberingAfterBreak="0">
    <w:nsid w:val="3A7C5413"/>
    <w:multiLevelType w:val="hybridMultilevel"/>
    <w:tmpl w:val="E9A63D52"/>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53" w15:restartNumberingAfterBreak="0">
    <w:nsid w:val="3A871943"/>
    <w:multiLevelType w:val="hybridMultilevel"/>
    <w:tmpl w:val="1E8EB4CC"/>
    <w:lvl w:ilvl="0" w:tplc="772AEDB4">
      <w:start w:val="1"/>
      <w:numFmt w:val="bullet"/>
      <w:lvlText w:val=""/>
      <w:lvlJc w:val="left"/>
      <w:pPr>
        <w:ind w:left="720" w:hanging="360"/>
      </w:pPr>
      <w:rPr>
        <w:rFonts w:ascii="Symbol" w:hAnsi="Symbol" w:hint="default"/>
      </w:rPr>
    </w:lvl>
    <w:lvl w:ilvl="1" w:tplc="DC72B5F2">
      <w:start w:val="1"/>
      <w:numFmt w:val="bullet"/>
      <w:lvlText w:val="o"/>
      <w:lvlJc w:val="left"/>
      <w:pPr>
        <w:ind w:left="1440" w:hanging="360"/>
      </w:pPr>
      <w:rPr>
        <w:rFonts w:ascii="Courier New" w:hAnsi="Courier New" w:hint="default"/>
      </w:rPr>
    </w:lvl>
    <w:lvl w:ilvl="2" w:tplc="9A7ACB34">
      <w:start w:val="1"/>
      <w:numFmt w:val="bullet"/>
      <w:lvlText w:val=""/>
      <w:lvlJc w:val="left"/>
      <w:pPr>
        <w:ind w:left="2160" w:hanging="360"/>
      </w:pPr>
      <w:rPr>
        <w:rFonts w:ascii="Wingdings" w:hAnsi="Wingdings" w:hint="default"/>
      </w:rPr>
    </w:lvl>
    <w:lvl w:ilvl="3" w:tplc="3D565D64">
      <w:start w:val="1"/>
      <w:numFmt w:val="bullet"/>
      <w:lvlText w:val=""/>
      <w:lvlJc w:val="left"/>
      <w:pPr>
        <w:ind w:left="2880" w:hanging="360"/>
      </w:pPr>
      <w:rPr>
        <w:rFonts w:ascii="Symbol" w:hAnsi="Symbol" w:hint="default"/>
      </w:rPr>
    </w:lvl>
    <w:lvl w:ilvl="4" w:tplc="3F5C3424">
      <w:start w:val="1"/>
      <w:numFmt w:val="bullet"/>
      <w:lvlText w:val="o"/>
      <w:lvlJc w:val="left"/>
      <w:pPr>
        <w:ind w:left="3600" w:hanging="360"/>
      </w:pPr>
      <w:rPr>
        <w:rFonts w:ascii="Courier New" w:hAnsi="Courier New" w:hint="default"/>
      </w:rPr>
    </w:lvl>
    <w:lvl w:ilvl="5" w:tplc="B8866D8E">
      <w:start w:val="1"/>
      <w:numFmt w:val="bullet"/>
      <w:lvlText w:val=""/>
      <w:lvlJc w:val="left"/>
      <w:pPr>
        <w:ind w:left="4320" w:hanging="360"/>
      </w:pPr>
      <w:rPr>
        <w:rFonts w:ascii="Wingdings" w:hAnsi="Wingdings" w:hint="default"/>
      </w:rPr>
    </w:lvl>
    <w:lvl w:ilvl="6" w:tplc="802EC9E0">
      <w:start w:val="1"/>
      <w:numFmt w:val="bullet"/>
      <w:lvlText w:val=""/>
      <w:lvlJc w:val="left"/>
      <w:pPr>
        <w:ind w:left="5040" w:hanging="360"/>
      </w:pPr>
      <w:rPr>
        <w:rFonts w:ascii="Symbol" w:hAnsi="Symbol" w:hint="default"/>
      </w:rPr>
    </w:lvl>
    <w:lvl w:ilvl="7" w:tplc="3AE6DB1E">
      <w:start w:val="1"/>
      <w:numFmt w:val="bullet"/>
      <w:lvlText w:val="o"/>
      <w:lvlJc w:val="left"/>
      <w:pPr>
        <w:ind w:left="5760" w:hanging="360"/>
      </w:pPr>
      <w:rPr>
        <w:rFonts w:ascii="Courier New" w:hAnsi="Courier New" w:hint="default"/>
      </w:rPr>
    </w:lvl>
    <w:lvl w:ilvl="8" w:tplc="B928DB12">
      <w:start w:val="1"/>
      <w:numFmt w:val="bullet"/>
      <w:lvlText w:val=""/>
      <w:lvlJc w:val="left"/>
      <w:pPr>
        <w:ind w:left="6480" w:hanging="360"/>
      </w:pPr>
      <w:rPr>
        <w:rFonts w:ascii="Wingdings" w:hAnsi="Wingdings" w:hint="default"/>
      </w:rPr>
    </w:lvl>
  </w:abstractNum>
  <w:abstractNum w:abstractNumId="354" w15:restartNumberingAfterBreak="0">
    <w:nsid w:val="3AB60FF4"/>
    <w:multiLevelType w:val="hybridMultilevel"/>
    <w:tmpl w:val="81EE0750"/>
    <w:lvl w:ilvl="0" w:tplc="04090001">
      <w:start w:val="1"/>
      <w:numFmt w:val="bullet"/>
      <w:lvlText w:val=""/>
      <w:lvlJc w:val="left"/>
      <w:pPr>
        <w:ind w:left="720" w:hanging="360"/>
      </w:pPr>
      <w:rPr>
        <w:rFonts w:ascii="Segoe UI" w:hAnsi="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Cambria Math" w:hAnsi="Cambria Math" w:hint="default"/>
      </w:rPr>
    </w:lvl>
    <w:lvl w:ilvl="3" w:tplc="04090001" w:tentative="1">
      <w:start w:val="1"/>
      <w:numFmt w:val="bullet"/>
      <w:lvlText w:val=""/>
      <w:lvlJc w:val="left"/>
      <w:pPr>
        <w:ind w:left="2880" w:hanging="360"/>
      </w:pPr>
      <w:rPr>
        <w:rFonts w:ascii="Segoe UI" w:hAnsi="Segoe U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Cambria Math" w:hAnsi="Cambria Math" w:hint="default"/>
      </w:rPr>
    </w:lvl>
    <w:lvl w:ilvl="6" w:tplc="04090001" w:tentative="1">
      <w:start w:val="1"/>
      <w:numFmt w:val="bullet"/>
      <w:lvlText w:val=""/>
      <w:lvlJc w:val="left"/>
      <w:pPr>
        <w:ind w:left="5040" w:hanging="360"/>
      </w:pPr>
      <w:rPr>
        <w:rFonts w:ascii="Segoe UI" w:hAnsi="Segoe UI"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Cambria Math" w:hAnsi="Cambria Math" w:hint="default"/>
      </w:rPr>
    </w:lvl>
  </w:abstractNum>
  <w:abstractNum w:abstractNumId="355" w15:restartNumberingAfterBreak="0">
    <w:nsid w:val="3ACD0EAB"/>
    <w:multiLevelType w:val="hybridMultilevel"/>
    <w:tmpl w:val="7FBE42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6" w15:restartNumberingAfterBreak="0">
    <w:nsid w:val="3AE17AE4"/>
    <w:multiLevelType w:val="hybridMultilevel"/>
    <w:tmpl w:val="6772E446"/>
    <w:lvl w:ilvl="0" w:tplc="FF7C00E4">
      <w:numFmt w:val="bullet"/>
      <w:lvlText w:val=""/>
      <w:lvlJc w:val="left"/>
      <w:pPr>
        <w:ind w:left="720" w:hanging="360"/>
      </w:pPr>
      <w:rPr>
        <w:rFonts w:ascii="Wingdings" w:eastAsiaTheme="minorHAnsi" w:hAnsi="Wingdings"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7" w15:restartNumberingAfterBreak="0">
    <w:nsid w:val="3B3B0D0E"/>
    <w:multiLevelType w:val="hybridMultilevel"/>
    <w:tmpl w:val="0B4EEFA4"/>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58" w15:restartNumberingAfterBreak="0">
    <w:nsid w:val="3B57295C"/>
    <w:multiLevelType w:val="hybridMultilevel"/>
    <w:tmpl w:val="B53C2B7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9" w15:restartNumberingAfterBreak="0">
    <w:nsid w:val="3B753FFD"/>
    <w:multiLevelType w:val="multilevel"/>
    <w:tmpl w:val="1A06D2E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0" w15:restartNumberingAfterBreak="0">
    <w:nsid w:val="3C111795"/>
    <w:multiLevelType w:val="hybridMultilevel"/>
    <w:tmpl w:val="EA404980"/>
    <w:lvl w:ilvl="0" w:tplc="75EAFCA8">
      <w:start w:val="1"/>
      <w:numFmt w:val="lowerLetter"/>
      <w:lvlText w:val="%1."/>
      <w:lvlJc w:val="left"/>
      <w:pPr>
        <w:ind w:left="1440" w:hanging="360"/>
      </w:pPr>
      <w:rPr>
        <w:rFonts w:ascii="Times New Roman" w:eastAsiaTheme="minorHAns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1" w15:restartNumberingAfterBreak="0">
    <w:nsid w:val="3C16594F"/>
    <w:multiLevelType w:val="hybridMultilevel"/>
    <w:tmpl w:val="FFFFFFFF"/>
    <w:lvl w:ilvl="0" w:tplc="EC1EE548">
      <w:start w:val="2"/>
      <w:numFmt w:val="decimal"/>
      <w:lvlText w:val="%1."/>
      <w:lvlJc w:val="left"/>
      <w:pPr>
        <w:ind w:left="720" w:hanging="360"/>
      </w:pPr>
    </w:lvl>
    <w:lvl w:ilvl="1" w:tplc="96EA1A6A">
      <w:start w:val="1"/>
      <w:numFmt w:val="lowerLetter"/>
      <w:lvlText w:val="%2."/>
      <w:lvlJc w:val="left"/>
      <w:pPr>
        <w:ind w:left="1440" w:hanging="360"/>
      </w:pPr>
    </w:lvl>
    <w:lvl w:ilvl="2" w:tplc="DAA0BBFA">
      <w:start w:val="1"/>
      <w:numFmt w:val="lowerRoman"/>
      <w:lvlText w:val="%3."/>
      <w:lvlJc w:val="right"/>
      <w:pPr>
        <w:ind w:left="2160" w:hanging="180"/>
      </w:pPr>
    </w:lvl>
    <w:lvl w:ilvl="3" w:tplc="EE5E4A5C">
      <w:start w:val="1"/>
      <w:numFmt w:val="decimal"/>
      <w:lvlText w:val="%4."/>
      <w:lvlJc w:val="left"/>
      <w:pPr>
        <w:ind w:left="2880" w:hanging="360"/>
      </w:pPr>
    </w:lvl>
    <w:lvl w:ilvl="4" w:tplc="2474BAF4">
      <w:start w:val="1"/>
      <w:numFmt w:val="lowerLetter"/>
      <w:lvlText w:val="%5."/>
      <w:lvlJc w:val="left"/>
      <w:pPr>
        <w:ind w:left="3600" w:hanging="360"/>
      </w:pPr>
    </w:lvl>
    <w:lvl w:ilvl="5" w:tplc="B3429FD8">
      <w:start w:val="1"/>
      <w:numFmt w:val="lowerRoman"/>
      <w:lvlText w:val="%6."/>
      <w:lvlJc w:val="right"/>
      <w:pPr>
        <w:ind w:left="4320" w:hanging="180"/>
      </w:pPr>
    </w:lvl>
    <w:lvl w:ilvl="6" w:tplc="87DA57D4">
      <w:start w:val="1"/>
      <w:numFmt w:val="decimal"/>
      <w:lvlText w:val="%7."/>
      <w:lvlJc w:val="left"/>
      <w:pPr>
        <w:ind w:left="5040" w:hanging="360"/>
      </w:pPr>
    </w:lvl>
    <w:lvl w:ilvl="7" w:tplc="BFC0E164">
      <w:start w:val="1"/>
      <w:numFmt w:val="lowerLetter"/>
      <w:lvlText w:val="%8."/>
      <w:lvlJc w:val="left"/>
      <w:pPr>
        <w:ind w:left="5760" w:hanging="360"/>
      </w:pPr>
    </w:lvl>
    <w:lvl w:ilvl="8" w:tplc="69F664A2">
      <w:start w:val="1"/>
      <w:numFmt w:val="lowerRoman"/>
      <w:lvlText w:val="%9."/>
      <w:lvlJc w:val="right"/>
      <w:pPr>
        <w:ind w:left="6480" w:hanging="180"/>
      </w:pPr>
    </w:lvl>
  </w:abstractNum>
  <w:abstractNum w:abstractNumId="362" w15:restartNumberingAfterBreak="0">
    <w:nsid w:val="3C52555E"/>
    <w:multiLevelType w:val="hybridMultilevel"/>
    <w:tmpl w:val="2D989A44"/>
    <w:lvl w:ilvl="0" w:tplc="5E9868E8">
      <w:numFmt w:val="bullet"/>
      <w:lvlText w:val="•"/>
      <w:lvlJc w:val="left"/>
      <w:pPr>
        <w:ind w:left="1080" w:hanging="72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3" w15:restartNumberingAfterBreak="0">
    <w:nsid w:val="3C525F88"/>
    <w:multiLevelType w:val="hybridMultilevel"/>
    <w:tmpl w:val="719CF70E"/>
    <w:lvl w:ilvl="0" w:tplc="75C0B32A">
      <w:start w:val="1"/>
      <w:numFmt w:val="bullet"/>
      <w:lvlText w:val=""/>
      <w:lvlJc w:val="left"/>
      <w:pPr>
        <w:ind w:left="720" w:hanging="360"/>
      </w:pPr>
      <w:rPr>
        <w:rFonts w:ascii="Symbol" w:hAnsi="Symbol"/>
      </w:rPr>
    </w:lvl>
    <w:lvl w:ilvl="1" w:tplc="0600AA72">
      <w:start w:val="1"/>
      <w:numFmt w:val="bullet"/>
      <w:lvlText w:val=""/>
      <w:lvlJc w:val="left"/>
      <w:pPr>
        <w:ind w:left="720" w:hanging="360"/>
      </w:pPr>
      <w:rPr>
        <w:rFonts w:ascii="Symbol" w:hAnsi="Symbol"/>
      </w:rPr>
    </w:lvl>
    <w:lvl w:ilvl="2" w:tplc="7CA68260">
      <w:start w:val="1"/>
      <w:numFmt w:val="bullet"/>
      <w:lvlText w:val=""/>
      <w:lvlJc w:val="left"/>
      <w:pPr>
        <w:ind w:left="720" w:hanging="360"/>
      </w:pPr>
      <w:rPr>
        <w:rFonts w:ascii="Symbol" w:hAnsi="Symbol"/>
      </w:rPr>
    </w:lvl>
    <w:lvl w:ilvl="3" w:tplc="16E811F2">
      <w:start w:val="1"/>
      <w:numFmt w:val="bullet"/>
      <w:lvlText w:val=""/>
      <w:lvlJc w:val="left"/>
      <w:pPr>
        <w:ind w:left="720" w:hanging="360"/>
      </w:pPr>
      <w:rPr>
        <w:rFonts w:ascii="Symbol" w:hAnsi="Symbol"/>
      </w:rPr>
    </w:lvl>
    <w:lvl w:ilvl="4" w:tplc="F460B32E">
      <w:start w:val="1"/>
      <w:numFmt w:val="bullet"/>
      <w:lvlText w:val=""/>
      <w:lvlJc w:val="left"/>
      <w:pPr>
        <w:ind w:left="720" w:hanging="360"/>
      </w:pPr>
      <w:rPr>
        <w:rFonts w:ascii="Symbol" w:hAnsi="Symbol"/>
      </w:rPr>
    </w:lvl>
    <w:lvl w:ilvl="5" w:tplc="8D125C64">
      <w:start w:val="1"/>
      <w:numFmt w:val="bullet"/>
      <w:lvlText w:val=""/>
      <w:lvlJc w:val="left"/>
      <w:pPr>
        <w:ind w:left="720" w:hanging="360"/>
      </w:pPr>
      <w:rPr>
        <w:rFonts w:ascii="Symbol" w:hAnsi="Symbol"/>
      </w:rPr>
    </w:lvl>
    <w:lvl w:ilvl="6" w:tplc="F2EC0BF0">
      <w:start w:val="1"/>
      <w:numFmt w:val="bullet"/>
      <w:lvlText w:val=""/>
      <w:lvlJc w:val="left"/>
      <w:pPr>
        <w:ind w:left="720" w:hanging="360"/>
      </w:pPr>
      <w:rPr>
        <w:rFonts w:ascii="Symbol" w:hAnsi="Symbol"/>
      </w:rPr>
    </w:lvl>
    <w:lvl w:ilvl="7" w:tplc="54B4FC5A">
      <w:start w:val="1"/>
      <w:numFmt w:val="bullet"/>
      <w:lvlText w:val=""/>
      <w:lvlJc w:val="left"/>
      <w:pPr>
        <w:ind w:left="720" w:hanging="360"/>
      </w:pPr>
      <w:rPr>
        <w:rFonts w:ascii="Symbol" w:hAnsi="Symbol"/>
      </w:rPr>
    </w:lvl>
    <w:lvl w:ilvl="8" w:tplc="D08E4D1A">
      <w:start w:val="1"/>
      <w:numFmt w:val="bullet"/>
      <w:lvlText w:val=""/>
      <w:lvlJc w:val="left"/>
      <w:pPr>
        <w:ind w:left="720" w:hanging="360"/>
      </w:pPr>
      <w:rPr>
        <w:rFonts w:ascii="Symbol" w:hAnsi="Symbol"/>
      </w:rPr>
    </w:lvl>
  </w:abstractNum>
  <w:abstractNum w:abstractNumId="364" w15:restartNumberingAfterBreak="0">
    <w:nsid w:val="3CC1C70E"/>
    <w:multiLevelType w:val="hybridMultilevel"/>
    <w:tmpl w:val="0FB0158E"/>
    <w:lvl w:ilvl="0" w:tplc="48902276">
      <w:start w:val="1"/>
      <w:numFmt w:val="bullet"/>
      <w:lvlText w:val="-"/>
      <w:lvlJc w:val="left"/>
      <w:pPr>
        <w:ind w:left="720" w:hanging="360"/>
      </w:pPr>
      <w:rPr>
        <w:rFonts w:ascii="Symbol" w:hAnsi="Symbol" w:hint="default"/>
      </w:rPr>
    </w:lvl>
    <w:lvl w:ilvl="1" w:tplc="7E088152">
      <w:start w:val="1"/>
      <w:numFmt w:val="bullet"/>
      <w:lvlText w:val="o"/>
      <w:lvlJc w:val="left"/>
      <w:pPr>
        <w:ind w:left="1440" w:hanging="360"/>
      </w:pPr>
      <w:rPr>
        <w:rFonts w:ascii="Courier New" w:hAnsi="Courier New" w:hint="default"/>
      </w:rPr>
    </w:lvl>
    <w:lvl w:ilvl="2" w:tplc="A214801E">
      <w:start w:val="1"/>
      <w:numFmt w:val="bullet"/>
      <w:lvlText w:val=""/>
      <w:lvlJc w:val="left"/>
      <w:pPr>
        <w:ind w:left="2160" w:hanging="360"/>
      </w:pPr>
      <w:rPr>
        <w:rFonts w:ascii="Wingdings" w:hAnsi="Wingdings" w:hint="default"/>
      </w:rPr>
    </w:lvl>
    <w:lvl w:ilvl="3" w:tplc="715EA164">
      <w:start w:val="1"/>
      <w:numFmt w:val="bullet"/>
      <w:lvlText w:val=""/>
      <w:lvlJc w:val="left"/>
      <w:pPr>
        <w:ind w:left="2880" w:hanging="360"/>
      </w:pPr>
      <w:rPr>
        <w:rFonts w:ascii="Symbol" w:hAnsi="Symbol" w:hint="default"/>
      </w:rPr>
    </w:lvl>
    <w:lvl w:ilvl="4" w:tplc="03C055FE">
      <w:start w:val="1"/>
      <w:numFmt w:val="bullet"/>
      <w:lvlText w:val="o"/>
      <w:lvlJc w:val="left"/>
      <w:pPr>
        <w:ind w:left="3600" w:hanging="360"/>
      </w:pPr>
      <w:rPr>
        <w:rFonts w:ascii="Courier New" w:hAnsi="Courier New" w:hint="default"/>
      </w:rPr>
    </w:lvl>
    <w:lvl w:ilvl="5" w:tplc="78B09410">
      <w:start w:val="1"/>
      <w:numFmt w:val="bullet"/>
      <w:lvlText w:val=""/>
      <w:lvlJc w:val="left"/>
      <w:pPr>
        <w:ind w:left="4320" w:hanging="360"/>
      </w:pPr>
      <w:rPr>
        <w:rFonts w:ascii="Wingdings" w:hAnsi="Wingdings" w:hint="default"/>
      </w:rPr>
    </w:lvl>
    <w:lvl w:ilvl="6" w:tplc="8FBC999C">
      <w:start w:val="1"/>
      <w:numFmt w:val="bullet"/>
      <w:lvlText w:val=""/>
      <w:lvlJc w:val="left"/>
      <w:pPr>
        <w:ind w:left="5040" w:hanging="360"/>
      </w:pPr>
      <w:rPr>
        <w:rFonts w:ascii="Symbol" w:hAnsi="Symbol" w:hint="default"/>
      </w:rPr>
    </w:lvl>
    <w:lvl w:ilvl="7" w:tplc="9FB0B642">
      <w:start w:val="1"/>
      <w:numFmt w:val="bullet"/>
      <w:lvlText w:val="o"/>
      <w:lvlJc w:val="left"/>
      <w:pPr>
        <w:ind w:left="5760" w:hanging="360"/>
      </w:pPr>
      <w:rPr>
        <w:rFonts w:ascii="Courier New" w:hAnsi="Courier New" w:hint="default"/>
      </w:rPr>
    </w:lvl>
    <w:lvl w:ilvl="8" w:tplc="7EE81258">
      <w:start w:val="1"/>
      <w:numFmt w:val="bullet"/>
      <w:lvlText w:val=""/>
      <w:lvlJc w:val="left"/>
      <w:pPr>
        <w:ind w:left="6480" w:hanging="360"/>
      </w:pPr>
      <w:rPr>
        <w:rFonts w:ascii="Wingdings" w:hAnsi="Wingdings" w:hint="default"/>
      </w:rPr>
    </w:lvl>
  </w:abstractNum>
  <w:abstractNum w:abstractNumId="365" w15:restartNumberingAfterBreak="0">
    <w:nsid w:val="3D3C77D2"/>
    <w:multiLevelType w:val="hybridMultilevel"/>
    <w:tmpl w:val="F8D25CF6"/>
    <w:lvl w:ilvl="0" w:tplc="08090019">
      <w:start w:val="1"/>
      <w:numFmt w:val="lowerLetter"/>
      <w:lvlText w:val="%1."/>
      <w:lvlJc w:val="left"/>
      <w:pPr>
        <w:ind w:left="1429" w:hanging="360"/>
      </w:pPr>
    </w:lvl>
    <w:lvl w:ilvl="1" w:tplc="08090019">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66" w15:restartNumberingAfterBreak="0">
    <w:nsid w:val="3D616403"/>
    <w:multiLevelType w:val="hybridMultilevel"/>
    <w:tmpl w:val="394A4B1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7" w15:restartNumberingAfterBreak="0">
    <w:nsid w:val="3D786D4A"/>
    <w:multiLevelType w:val="hybridMultilevel"/>
    <w:tmpl w:val="00A8AC6A"/>
    <w:lvl w:ilvl="0" w:tplc="0C0A0001">
      <w:start w:val="1"/>
      <w:numFmt w:val="bullet"/>
      <w:lvlText w:val=""/>
      <w:lvlJc w:val="left"/>
      <w:pPr>
        <w:ind w:left="644" w:hanging="360"/>
      </w:pPr>
      <w:rPr>
        <w:rFonts w:ascii="Courier New" w:hAnsi="Courier New" w:hint="default"/>
      </w:rPr>
    </w:lvl>
    <w:lvl w:ilvl="1" w:tplc="0C0A0003" w:tentative="1">
      <w:start w:val="1"/>
      <w:numFmt w:val="bullet"/>
      <w:lvlText w:val="o"/>
      <w:lvlJc w:val="left"/>
      <w:pPr>
        <w:ind w:left="1364" w:hanging="360"/>
      </w:pPr>
      <w:rPr>
        <w:rFonts w:ascii="Cambria Math" w:hAnsi="Cambria Math" w:cs="Cambria Math"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Courier New" w:hAnsi="Courier New" w:hint="default"/>
      </w:rPr>
    </w:lvl>
    <w:lvl w:ilvl="4" w:tplc="0C0A0003" w:tentative="1">
      <w:start w:val="1"/>
      <w:numFmt w:val="bullet"/>
      <w:lvlText w:val="o"/>
      <w:lvlJc w:val="left"/>
      <w:pPr>
        <w:ind w:left="3524" w:hanging="360"/>
      </w:pPr>
      <w:rPr>
        <w:rFonts w:ascii="Cambria Math" w:hAnsi="Cambria Math" w:cs="Cambria Math"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Courier New" w:hAnsi="Courier New" w:hint="default"/>
      </w:rPr>
    </w:lvl>
    <w:lvl w:ilvl="7" w:tplc="0C0A0003" w:tentative="1">
      <w:start w:val="1"/>
      <w:numFmt w:val="bullet"/>
      <w:lvlText w:val="o"/>
      <w:lvlJc w:val="left"/>
      <w:pPr>
        <w:ind w:left="5684" w:hanging="360"/>
      </w:pPr>
      <w:rPr>
        <w:rFonts w:ascii="Cambria Math" w:hAnsi="Cambria Math" w:cs="Cambria Math" w:hint="default"/>
      </w:rPr>
    </w:lvl>
    <w:lvl w:ilvl="8" w:tplc="0C0A0005" w:tentative="1">
      <w:start w:val="1"/>
      <w:numFmt w:val="bullet"/>
      <w:lvlText w:val=""/>
      <w:lvlJc w:val="left"/>
      <w:pPr>
        <w:ind w:left="6404" w:hanging="360"/>
      </w:pPr>
      <w:rPr>
        <w:rFonts w:ascii="Wingdings" w:hAnsi="Wingdings" w:hint="default"/>
      </w:rPr>
    </w:lvl>
  </w:abstractNum>
  <w:abstractNum w:abstractNumId="368" w15:restartNumberingAfterBreak="0">
    <w:nsid w:val="3DD6741B"/>
    <w:multiLevelType w:val="hybridMultilevel"/>
    <w:tmpl w:val="E5E082A8"/>
    <w:lvl w:ilvl="0" w:tplc="FFFFFFFF">
      <w:start w:val="1"/>
      <w:numFmt w:val="lowerLetter"/>
      <w:lvlText w:val="%1)"/>
      <w:lvlJc w:val="left"/>
      <w:pPr>
        <w:ind w:left="360" w:hanging="360"/>
      </w:pPr>
    </w:lvl>
    <w:lvl w:ilvl="1" w:tplc="FFFFFFFF">
      <w:start w:val="1"/>
      <w:numFmt w:val="lowerRoman"/>
      <w:lvlText w:val="%2."/>
      <w:lvlJc w:val="righ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9" w15:restartNumberingAfterBreak="0">
    <w:nsid w:val="3DE11682"/>
    <w:multiLevelType w:val="hybridMultilevel"/>
    <w:tmpl w:val="0CF090B0"/>
    <w:lvl w:ilvl="0" w:tplc="FFFFFFFF">
      <w:start w:val="1"/>
      <w:numFmt w:val="lowerRoman"/>
      <w:lvlText w:val="%1."/>
      <w:lvlJc w:val="right"/>
      <w:pPr>
        <w:ind w:left="1440" w:hanging="360"/>
      </w:pPr>
    </w:lvl>
    <w:lvl w:ilvl="1" w:tplc="B7303C30">
      <w:start w:val="2"/>
      <w:numFmt w:val="bullet"/>
      <w:lvlText w:val="-"/>
      <w:lvlJc w:val="left"/>
      <w:pPr>
        <w:ind w:left="2160" w:hanging="360"/>
      </w:pPr>
      <w:rPr>
        <w:rFonts w:ascii="Calibri" w:eastAsiaTheme="minorHAnsi" w:hAnsi="Calibri" w:cs="Calibri"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70" w15:restartNumberingAfterBreak="0">
    <w:nsid w:val="3E267AD6"/>
    <w:multiLevelType w:val="hybridMultilevel"/>
    <w:tmpl w:val="923A1DD2"/>
    <w:lvl w:ilvl="0" w:tplc="0809000F">
      <w:start w:val="1"/>
      <w:numFmt w:val="decimal"/>
      <w:lvlText w:val="%1."/>
      <w:lvlJc w:val="left"/>
      <w:pPr>
        <w:ind w:left="1429" w:hanging="360"/>
      </w:pPr>
    </w:lvl>
    <w:lvl w:ilvl="1" w:tplc="08090019">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71" w15:restartNumberingAfterBreak="0">
    <w:nsid w:val="3E6159E3"/>
    <w:multiLevelType w:val="multilevel"/>
    <w:tmpl w:val="23DAC17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2" w15:restartNumberingAfterBreak="0">
    <w:nsid w:val="3E7CB0DB"/>
    <w:multiLevelType w:val="hybridMultilevel"/>
    <w:tmpl w:val="7FD69194"/>
    <w:lvl w:ilvl="0" w:tplc="63DE98F2">
      <w:start w:val="1"/>
      <w:numFmt w:val="bullet"/>
      <w:lvlText w:val="-"/>
      <w:lvlJc w:val="left"/>
      <w:pPr>
        <w:ind w:left="720" w:hanging="360"/>
      </w:pPr>
      <w:rPr>
        <w:rFonts w:ascii="&quot;Times New Roman&quot;,serif" w:hAnsi="&quot;Times New Roman&quot;,serif" w:hint="default"/>
      </w:rPr>
    </w:lvl>
    <w:lvl w:ilvl="1" w:tplc="E27C4182">
      <w:start w:val="1"/>
      <w:numFmt w:val="bullet"/>
      <w:lvlText w:val="o"/>
      <w:lvlJc w:val="left"/>
      <w:pPr>
        <w:ind w:left="1440" w:hanging="360"/>
      </w:pPr>
      <w:rPr>
        <w:rFonts w:ascii="Courier New" w:hAnsi="Courier New" w:hint="default"/>
      </w:rPr>
    </w:lvl>
    <w:lvl w:ilvl="2" w:tplc="A1941C3A">
      <w:start w:val="1"/>
      <w:numFmt w:val="bullet"/>
      <w:lvlText w:val=""/>
      <w:lvlJc w:val="left"/>
      <w:pPr>
        <w:ind w:left="2160" w:hanging="360"/>
      </w:pPr>
      <w:rPr>
        <w:rFonts w:ascii="Wingdings" w:hAnsi="Wingdings" w:hint="default"/>
      </w:rPr>
    </w:lvl>
    <w:lvl w:ilvl="3" w:tplc="2BD4D914">
      <w:start w:val="1"/>
      <w:numFmt w:val="bullet"/>
      <w:lvlText w:val=""/>
      <w:lvlJc w:val="left"/>
      <w:pPr>
        <w:ind w:left="2880" w:hanging="360"/>
      </w:pPr>
      <w:rPr>
        <w:rFonts w:ascii="Symbol" w:hAnsi="Symbol" w:hint="default"/>
      </w:rPr>
    </w:lvl>
    <w:lvl w:ilvl="4" w:tplc="53A67A3E">
      <w:start w:val="1"/>
      <w:numFmt w:val="bullet"/>
      <w:lvlText w:val="o"/>
      <w:lvlJc w:val="left"/>
      <w:pPr>
        <w:ind w:left="3600" w:hanging="360"/>
      </w:pPr>
      <w:rPr>
        <w:rFonts w:ascii="Courier New" w:hAnsi="Courier New" w:hint="default"/>
      </w:rPr>
    </w:lvl>
    <w:lvl w:ilvl="5" w:tplc="2B802CE0">
      <w:start w:val="1"/>
      <w:numFmt w:val="bullet"/>
      <w:lvlText w:val=""/>
      <w:lvlJc w:val="left"/>
      <w:pPr>
        <w:ind w:left="4320" w:hanging="360"/>
      </w:pPr>
      <w:rPr>
        <w:rFonts w:ascii="Wingdings" w:hAnsi="Wingdings" w:hint="default"/>
      </w:rPr>
    </w:lvl>
    <w:lvl w:ilvl="6" w:tplc="F4502A18">
      <w:start w:val="1"/>
      <w:numFmt w:val="bullet"/>
      <w:lvlText w:val=""/>
      <w:lvlJc w:val="left"/>
      <w:pPr>
        <w:ind w:left="5040" w:hanging="360"/>
      </w:pPr>
      <w:rPr>
        <w:rFonts w:ascii="Symbol" w:hAnsi="Symbol" w:hint="default"/>
      </w:rPr>
    </w:lvl>
    <w:lvl w:ilvl="7" w:tplc="1E4A6288">
      <w:start w:val="1"/>
      <w:numFmt w:val="bullet"/>
      <w:lvlText w:val="o"/>
      <w:lvlJc w:val="left"/>
      <w:pPr>
        <w:ind w:left="5760" w:hanging="360"/>
      </w:pPr>
      <w:rPr>
        <w:rFonts w:ascii="Courier New" w:hAnsi="Courier New" w:hint="default"/>
      </w:rPr>
    </w:lvl>
    <w:lvl w:ilvl="8" w:tplc="8BD27DD6">
      <w:start w:val="1"/>
      <w:numFmt w:val="bullet"/>
      <w:lvlText w:val=""/>
      <w:lvlJc w:val="left"/>
      <w:pPr>
        <w:ind w:left="6480" w:hanging="360"/>
      </w:pPr>
      <w:rPr>
        <w:rFonts w:ascii="Wingdings" w:hAnsi="Wingdings" w:hint="default"/>
      </w:rPr>
    </w:lvl>
  </w:abstractNum>
  <w:abstractNum w:abstractNumId="373" w15:restartNumberingAfterBreak="0">
    <w:nsid w:val="3EA27F64"/>
    <w:multiLevelType w:val="hybridMultilevel"/>
    <w:tmpl w:val="FBCC6D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4" w15:restartNumberingAfterBreak="0">
    <w:nsid w:val="3ECD71E5"/>
    <w:multiLevelType w:val="hybridMultilevel"/>
    <w:tmpl w:val="13BEE066"/>
    <w:lvl w:ilvl="0" w:tplc="FFFFFFFF">
      <w:start w:val="1"/>
      <w:numFmt w:val="lowerLetter"/>
      <w:lvlText w:val="%1."/>
      <w:lvlJc w:val="left"/>
      <w:pPr>
        <w:ind w:left="1429" w:hanging="360"/>
      </w:pPr>
    </w:lvl>
    <w:lvl w:ilvl="1" w:tplc="0C0A0019">
      <w:start w:val="1"/>
      <w:numFmt w:val="lowerLetter"/>
      <w:lvlText w:val="%2."/>
      <w:lvlJc w:val="left"/>
      <w:pPr>
        <w:ind w:left="2149" w:hanging="360"/>
      </w:pPr>
    </w:lvl>
    <w:lvl w:ilvl="2" w:tplc="6D606202">
      <w:numFmt w:val="bullet"/>
      <w:lvlText w:val="•"/>
      <w:lvlJc w:val="left"/>
      <w:pPr>
        <w:ind w:left="3409" w:hanging="720"/>
      </w:pPr>
      <w:rPr>
        <w:rFonts w:ascii="Times New Roman" w:eastAsia="Symbol" w:hAnsi="Times New Roman" w:cs="Times New Roman" w:hint="default"/>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375" w15:restartNumberingAfterBreak="0">
    <w:nsid w:val="3EDD6DF1"/>
    <w:multiLevelType w:val="hybridMultilevel"/>
    <w:tmpl w:val="E97CB79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6" w15:restartNumberingAfterBreak="0">
    <w:nsid w:val="3F0557EB"/>
    <w:multiLevelType w:val="multilevel"/>
    <w:tmpl w:val="1AE8A69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7" w15:restartNumberingAfterBreak="0">
    <w:nsid w:val="3F1E171E"/>
    <w:multiLevelType w:val="hybridMultilevel"/>
    <w:tmpl w:val="37C606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8" w15:restartNumberingAfterBreak="0">
    <w:nsid w:val="3F4C10D6"/>
    <w:multiLevelType w:val="hybridMultilevel"/>
    <w:tmpl w:val="175EF330"/>
    <w:lvl w:ilvl="0" w:tplc="0C0A0017">
      <w:start w:val="1"/>
      <w:numFmt w:val="lowerLetter"/>
      <w:lvlText w:val="%1)"/>
      <w:lvlJc w:val="left"/>
      <w:pPr>
        <w:ind w:left="720" w:hanging="360"/>
      </w:pPr>
      <w:rPr>
        <w:rFonts w:hint="default"/>
      </w:rPr>
    </w:lvl>
    <w:lvl w:ilvl="1" w:tplc="C0B0BEF8">
      <w:start w:val="1"/>
      <w:numFmt w:val="lowerRoman"/>
      <w:lvlText w:val="%2."/>
      <w:lvlJc w:val="left"/>
      <w:pPr>
        <w:ind w:left="1440" w:hanging="360"/>
      </w:pPr>
      <w:rPr>
        <w:rFonts w:hint="default"/>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9" w15:restartNumberingAfterBreak="0">
    <w:nsid w:val="3F5CB97E"/>
    <w:multiLevelType w:val="hybridMultilevel"/>
    <w:tmpl w:val="FFFFFFFF"/>
    <w:lvl w:ilvl="0" w:tplc="231C6618">
      <w:start w:val="1"/>
      <w:numFmt w:val="bullet"/>
      <w:lvlText w:val="-"/>
      <w:lvlJc w:val="left"/>
      <w:pPr>
        <w:ind w:left="720" w:hanging="360"/>
      </w:pPr>
      <w:rPr>
        <w:rFonts w:ascii="Wingdings" w:hAnsi="Wingdings" w:hint="default"/>
      </w:rPr>
    </w:lvl>
    <w:lvl w:ilvl="1" w:tplc="3DAECB66">
      <w:start w:val="1"/>
      <w:numFmt w:val="bullet"/>
      <w:lvlText w:val="o"/>
      <w:lvlJc w:val="left"/>
      <w:pPr>
        <w:ind w:left="1440" w:hanging="360"/>
      </w:pPr>
      <w:rPr>
        <w:rFonts w:ascii="Courier New" w:hAnsi="Courier New" w:hint="default"/>
      </w:rPr>
    </w:lvl>
    <w:lvl w:ilvl="2" w:tplc="C20282DC">
      <w:start w:val="1"/>
      <w:numFmt w:val="bullet"/>
      <w:lvlText w:val=""/>
      <w:lvlJc w:val="left"/>
      <w:pPr>
        <w:ind w:left="2160" w:hanging="360"/>
      </w:pPr>
      <w:rPr>
        <w:rFonts w:ascii="Cambria Math" w:hAnsi="Cambria Math" w:hint="default"/>
      </w:rPr>
    </w:lvl>
    <w:lvl w:ilvl="3" w:tplc="9F9E1E4C">
      <w:start w:val="1"/>
      <w:numFmt w:val="bullet"/>
      <w:lvlText w:val=""/>
      <w:lvlJc w:val="left"/>
      <w:pPr>
        <w:ind w:left="2880" w:hanging="360"/>
      </w:pPr>
      <w:rPr>
        <w:rFonts w:ascii="Segoe UI" w:hAnsi="Segoe UI" w:hint="default"/>
      </w:rPr>
    </w:lvl>
    <w:lvl w:ilvl="4" w:tplc="91C23C20">
      <w:start w:val="1"/>
      <w:numFmt w:val="bullet"/>
      <w:lvlText w:val="o"/>
      <w:lvlJc w:val="left"/>
      <w:pPr>
        <w:ind w:left="3600" w:hanging="360"/>
      </w:pPr>
      <w:rPr>
        <w:rFonts w:ascii="Courier New" w:hAnsi="Courier New" w:hint="default"/>
      </w:rPr>
    </w:lvl>
    <w:lvl w:ilvl="5" w:tplc="2BD4CAB2">
      <w:start w:val="1"/>
      <w:numFmt w:val="bullet"/>
      <w:lvlText w:val=""/>
      <w:lvlJc w:val="left"/>
      <w:pPr>
        <w:ind w:left="4320" w:hanging="360"/>
      </w:pPr>
      <w:rPr>
        <w:rFonts w:ascii="Cambria Math" w:hAnsi="Cambria Math" w:hint="default"/>
      </w:rPr>
    </w:lvl>
    <w:lvl w:ilvl="6" w:tplc="8A4C29C8">
      <w:start w:val="1"/>
      <w:numFmt w:val="bullet"/>
      <w:lvlText w:val=""/>
      <w:lvlJc w:val="left"/>
      <w:pPr>
        <w:ind w:left="5040" w:hanging="360"/>
      </w:pPr>
      <w:rPr>
        <w:rFonts w:ascii="Segoe UI" w:hAnsi="Segoe UI" w:hint="default"/>
      </w:rPr>
    </w:lvl>
    <w:lvl w:ilvl="7" w:tplc="3C4C8E34">
      <w:start w:val="1"/>
      <w:numFmt w:val="bullet"/>
      <w:lvlText w:val="o"/>
      <w:lvlJc w:val="left"/>
      <w:pPr>
        <w:ind w:left="5760" w:hanging="360"/>
      </w:pPr>
      <w:rPr>
        <w:rFonts w:ascii="Courier New" w:hAnsi="Courier New" w:hint="default"/>
      </w:rPr>
    </w:lvl>
    <w:lvl w:ilvl="8" w:tplc="E4A4F676">
      <w:start w:val="1"/>
      <w:numFmt w:val="bullet"/>
      <w:lvlText w:val=""/>
      <w:lvlJc w:val="left"/>
      <w:pPr>
        <w:ind w:left="6480" w:hanging="360"/>
      </w:pPr>
      <w:rPr>
        <w:rFonts w:ascii="Cambria Math" w:hAnsi="Cambria Math" w:hint="default"/>
      </w:rPr>
    </w:lvl>
  </w:abstractNum>
  <w:abstractNum w:abstractNumId="380" w15:restartNumberingAfterBreak="0">
    <w:nsid w:val="3F73DD3B"/>
    <w:multiLevelType w:val="hybridMultilevel"/>
    <w:tmpl w:val="394A4B14"/>
    <w:lvl w:ilvl="0" w:tplc="BA888930">
      <w:start w:val="1"/>
      <w:numFmt w:val="lowerLetter"/>
      <w:lvlText w:val="%1)"/>
      <w:lvlJc w:val="left"/>
      <w:pPr>
        <w:ind w:left="720" w:hanging="360"/>
      </w:pPr>
    </w:lvl>
    <w:lvl w:ilvl="1" w:tplc="7CD200C2">
      <w:start w:val="1"/>
      <w:numFmt w:val="lowerLetter"/>
      <w:lvlText w:val="%2."/>
      <w:lvlJc w:val="left"/>
      <w:pPr>
        <w:ind w:left="1440" w:hanging="360"/>
      </w:pPr>
    </w:lvl>
    <w:lvl w:ilvl="2" w:tplc="5814482A">
      <w:start w:val="1"/>
      <w:numFmt w:val="lowerRoman"/>
      <w:lvlText w:val="%3."/>
      <w:lvlJc w:val="right"/>
      <w:pPr>
        <w:ind w:left="2160" w:hanging="180"/>
      </w:pPr>
    </w:lvl>
    <w:lvl w:ilvl="3" w:tplc="ED440DEC">
      <w:start w:val="1"/>
      <w:numFmt w:val="decimal"/>
      <w:lvlText w:val="%4."/>
      <w:lvlJc w:val="left"/>
      <w:pPr>
        <w:ind w:left="2880" w:hanging="360"/>
      </w:pPr>
    </w:lvl>
    <w:lvl w:ilvl="4" w:tplc="51CA1262">
      <w:start w:val="1"/>
      <w:numFmt w:val="lowerLetter"/>
      <w:lvlText w:val="%5."/>
      <w:lvlJc w:val="left"/>
      <w:pPr>
        <w:ind w:left="3600" w:hanging="360"/>
      </w:pPr>
    </w:lvl>
    <w:lvl w:ilvl="5" w:tplc="B3EACFCA">
      <w:start w:val="1"/>
      <w:numFmt w:val="lowerRoman"/>
      <w:lvlText w:val="%6."/>
      <w:lvlJc w:val="right"/>
      <w:pPr>
        <w:ind w:left="4320" w:hanging="180"/>
      </w:pPr>
    </w:lvl>
    <w:lvl w:ilvl="6" w:tplc="10B8BDE6">
      <w:start w:val="1"/>
      <w:numFmt w:val="decimal"/>
      <w:lvlText w:val="%7."/>
      <w:lvlJc w:val="left"/>
      <w:pPr>
        <w:ind w:left="5040" w:hanging="360"/>
      </w:pPr>
    </w:lvl>
    <w:lvl w:ilvl="7" w:tplc="AC4C7D8A">
      <w:start w:val="1"/>
      <w:numFmt w:val="lowerLetter"/>
      <w:lvlText w:val="%8."/>
      <w:lvlJc w:val="left"/>
      <w:pPr>
        <w:ind w:left="5760" w:hanging="360"/>
      </w:pPr>
    </w:lvl>
    <w:lvl w:ilvl="8" w:tplc="805CE7D8">
      <w:start w:val="1"/>
      <w:numFmt w:val="lowerRoman"/>
      <w:lvlText w:val="%9."/>
      <w:lvlJc w:val="right"/>
      <w:pPr>
        <w:ind w:left="6480" w:hanging="180"/>
      </w:pPr>
    </w:lvl>
  </w:abstractNum>
  <w:abstractNum w:abstractNumId="381" w15:restartNumberingAfterBreak="0">
    <w:nsid w:val="40280D20"/>
    <w:multiLevelType w:val="hybridMultilevel"/>
    <w:tmpl w:val="8AE4D1F8"/>
    <w:lvl w:ilvl="0" w:tplc="08090001">
      <w:start w:val="1"/>
      <w:numFmt w:val="bullet"/>
      <w:lvlText w:val=""/>
      <w:lvlJc w:val="left"/>
      <w:pPr>
        <w:ind w:left="360" w:hanging="360"/>
      </w:pPr>
      <w:rPr>
        <w:rFonts w:ascii="Segoe UI" w:hAnsi="Segoe U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Cambria Math" w:hAnsi="Cambria Math" w:hint="default"/>
      </w:rPr>
    </w:lvl>
    <w:lvl w:ilvl="3" w:tplc="08090001" w:tentative="1">
      <w:start w:val="1"/>
      <w:numFmt w:val="bullet"/>
      <w:lvlText w:val=""/>
      <w:lvlJc w:val="left"/>
      <w:pPr>
        <w:ind w:left="2520" w:hanging="360"/>
      </w:pPr>
      <w:rPr>
        <w:rFonts w:ascii="Segoe UI" w:hAnsi="Segoe UI"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Cambria Math" w:hAnsi="Cambria Math" w:hint="default"/>
      </w:rPr>
    </w:lvl>
    <w:lvl w:ilvl="6" w:tplc="08090001" w:tentative="1">
      <w:start w:val="1"/>
      <w:numFmt w:val="bullet"/>
      <w:lvlText w:val=""/>
      <w:lvlJc w:val="left"/>
      <w:pPr>
        <w:ind w:left="4680" w:hanging="360"/>
      </w:pPr>
      <w:rPr>
        <w:rFonts w:ascii="Segoe UI" w:hAnsi="Segoe UI"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Cambria Math" w:hAnsi="Cambria Math" w:hint="default"/>
      </w:rPr>
    </w:lvl>
  </w:abstractNum>
  <w:abstractNum w:abstractNumId="382" w15:restartNumberingAfterBreak="0">
    <w:nsid w:val="404C74A0"/>
    <w:multiLevelType w:val="multilevel"/>
    <w:tmpl w:val="FFFFFFFF"/>
    <w:lvl w:ilvl="0">
      <w:start w:val="9"/>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3" w15:restartNumberingAfterBreak="0">
    <w:nsid w:val="40802ABA"/>
    <w:multiLevelType w:val="multilevel"/>
    <w:tmpl w:val="C5B2DE6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4" w15:restartNumberingAfterBreak="0">
    <w:nsid w:val="409B4355"/>
    <w:multiLevelType w:val="multilevel"/>
    <w:tmpl w:val="BD248F6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5" w15:restartNumberingAfterBreak="0">
    <w:nsid w:val="40C63169"/>
    <w:multiLevelType w:val="hybridMultilevel"/>
    <w:tmpl w:val="E1A28D56"/>
    <w:lvl w:ilvl="0" w:tplc="561CD8F8">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091" w:hanging="360"/>
      </w:pPr>
      <w:rPr>
        <w:rFonts w:ascii="Courier New" w:hAnsi="Courier New" w:cs="Courier New" w:hint="default"/>
      </w:rPr>
    </w:lvl>
    <w:lvl w:ilvl="2" w:tplc="FFFFFFFF" w:tentative="1">
      <w:start w:val="1"/>
      <w:numFmt w:val="bullet"/>
      <w:lvlText w:val=""/>
      <w:lvlJc w:val="left"/>
      <w:pPr>
        <w:ind w:left="1811" w:hanging="360"/>
      </w:pPr>
      <w:rPr>
        <w:rFonts w:ascii="Cambria Math" w:hAnsi="Cambria Math" w:hint="default"/>
      </w:rPr>
    </w:lvl>
    <w:lvl w:ilvl="3" w:tplc="FFFFFFFF" w:tentative="1">
      <w:start w:val="1"/>
      <w:numFmt w:val="bullet"/>
      <w:lvlText w:val=""/>
      <w:lvlJc w:val="left"/>
      <w:pPr>
        <w:ind w:left="2531" w:hanging="360"/>
      </w:pPr>
      <w:rPr>
        <w:rFonts w:ascii="Segoe UI" w:hAnsi="Segoe UI" w:hint="default"/>
      </w:rPr>
    </w:lvl>
    <w:lvl w:ilvl="4" w:tplc="FFFFFFFF" w:tentative="1">
      <w:start w:val="1"/>
      <w:numFmt w:val="bullet"/>
      <w:lvlText w:val="o"/>
      <w:lvlJc w:val="left"/>
      <w:pPr>
        <w:ind w:left="3251" w:hanging="360"/>
      </w:pPr>
      <w:rPr>
        <w:rFonts w:ascii="Courier New" w:hAnsi="Courier New" w:cs="Courier New" w:hint="default"/>
      </w:rPr>
    </w:lvl>
    <w:lvl w:ilvl="5" w:tplc="FFFFFFFF" w:tentative="1">
      <w:start w:val="1"/>
      <w:numFmt w:val="bullet"/>
      <w:lvlText w:val=""/>
      <w:lvlJc w:val="left"/>
      <w:pPr>
        <w:ind w:left="3971" w:hanging="360"/>
      </w:pPr>
      <w:rPr>
        <w:rFonts w:ascii="Cambria Math" w:hAnsi="Cambria Math" w:hint="default"/>
      </w:rPr>
    </w:lvl>
    <w:lvl w:ilvl="6" w:tplc="FFFFFFFF" w:tentative="1">
      <w:start w:val="1"/>
      <w:numFmt w:val="bullet"/>
      <w:lvlText w:val=""/>
      <w:lvlJc w:val="left"/>
      <w:pPr>
        <w:ind w:left="4691" w:hanging="360"/>
      </w:pPr>
      <w:rPr>
        <w:rFonts w:ascii="Segoe UI" w:hAnsi="Segoe UI" w:hint="default"/>
      </w:rPr>
    </w:lvl>
    <w:lvl w:ilvl="7" w:tplc="FFFFFFFF" w:tentative="1">
      <w:start w:val="1"/>
      <w:numFmt w:val="bullet"/>
      <w:lvlText w:val="o"/>
      <w:lvlJc w:val="left"/>
      <w:pPr>
        <w:ind w:left="5411" w:hanging="360"/>
      </w:pPr>
      <w:rPr>
        <w:rFonts w:ascii="Courier New" w:hAnsi="Courier New" w:cs="Courier New" w:hint="default"/>
      </w:rPr>
    </w:lvl>
    <w:lvl w:ilvl="8" w:tplc="FFFFFFFF" w:tentative="1">
      <w:start w:val="1"/>
      <w:numFmt w:val="bullet"/>
      <w:lvlText w:val=""/>
      <w:lvlJc w:val="left"/>
      <w:pPr>
        <w:ind w:left="6131" w:hanging="360"/>
      </w:pPr>
      <w:rPr>
        <w:rFonts w:ascii="Cambria Math" w:hAnsi="Cambria Math" w:hint="default"/>
      </w:rPr>
    </w:lvl>
  </w:abstractNum>
  <w:abstractNum w:abstractNumId="386" w15:restartNumberingAfterBreak="0">
    <w:nsid w:val="41064672"/>
    <w:multiLevelType w:val="hybridMultilevel"/>
    <w:tmpl w:val="2BEE9B2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7" w15:restartNumberingAfterBreak="0">
    <w:nsid w:val="417C777B"/>
    <w:multiLevelType w:val="hybridMultilevel"/>
    <w:tmpl w:val="FFFFFFFF"/>
    <w:lvl w:ilvl="0" w:tplc="C596C72A">
      <w:start w:val="3"/>
      <w:numFmt w:val="decimal"/>
      <w:lvlText w:val="%1."/>
      <w:lvlJc w:val="left"/>
      <w:pPr>
        <w:ind w:left="720" w:hanging="360"/>
      </w:pPr>
    </w:lvl>
    <w:lvl w:ilvl="1" w:tplc="3B48A12C">
      <w:start w:val="1"/>
      <w:numFmt w:val="lowerLetter"/>
      <w:lvlText w:val="%2."/>
      <w:lvlJc w:val="left"/>
      <w:pPr>
        <w:ind w:left="1440" w:hanging="360"/>
      </w:pPr>
    </w:lvl>
    <w:lvl w:ilvl="2" w:tplc="891A5072">
      <w:start w:val="1"/>
      <w:numFmt w:val="lowerRoman"/>
      <w:lvlText w:val="%3."/>
      <w:lvlJc w:val="right"/>
      <w:pPr>
        <w:ind w:left="2160" w:hanging="180"/>
      </w:pPr>
    </w:lvl>
    <w:lvl w:ilvl="3" w:tplc="A028A254">
      <w:start w:val="1"/>
      <w:numFmt w:val="decimal"/>
      <w:lvlText w:val="%4."/>
      <w:lvlJc w:val="left"/>
      <w:pPr>
        <w:ind w:left="2880" w:hanging="360"/>
      </w:pPr>
    </w:lvl>
    <w:lvl w:ilvl="4" w:tplc="E1B20A0C">
      <w:start w:val="1"/>
      <w:numFmt w:val="lowerLetter"/>
      <w:lvlText w:val="%5."/>
      <w:lvlJc w:val="left"/>
      <w:pPr>
        <w:ind w:left="3600" w:hanging="360"/>
      </w:pPr>
    </w:lvl>
    <w:lvl w:ilvl="5" w:tplc="CA76A276">
      <w:start w:val="1"/>
      <w:numFmt w:val="lowerRoman"/>
      <w:lvlText w:val="%6."/>
      <w:lvlJc w:val="right"/>
      <w:pPr>
        <w:ind w:left="4320" w:hanging="180"/>
      </w:pPr>
    </w:lvl>
    <w:lvl w:ilvl="6" w:tplc="23BA0D1E">
      <w:start w:val="1"/>
      <w:numFmt w:val="decimal"/>
      <w:lvlText w:val="%7."/>
      <w:lvlJc w:val="left"/>
      <w:pPr>
        <w:ind w:left="5040" w:hanging="360"/>
      </w:pPr>
    </w:lvl>
    <w:lvl w:ilvl="7" w:tplc="A7A60AB8">
      <w:start w:val="1"/>
      <w:numFmt w:val="lowerLetter"/>
      <w:lvlText w:val="%8."/>
      <w:lvlJc w:val="left"/>
      <w:pPr>
        <w:ind w:left="5760" w:hanging="360"/>
      </w:pPr>
    </w:lvl>
    <w:lvl w:ilvl="8" w:tplc="855822C6">
      <w:start w:val="1"/>
      <w:numFmt w:val="lowerRoman"/>
      <w:lvlText w:val="%9."/>
      <w:lvlJc w:val="right"/>
      <w:pPr>
        <w:ind w:left="6480" w:hanging="180"/>
      </w:pPr>
    </w:lvl>
  </w:abstractNum>
  <w:abstractNum w:abstractNumId="388" w15:restartNumberingAfterBreak="0">
    <w:nsid w:val="41CE3108"/>
    <w:multiLevelType w:val="hybridMultilevel"/>
    <w:tmpl w:val="147C164C"/>
    <w:lvl w:ilvl="0" w:tplc="0C0A0001">
      <w:start w:val="1"/>
      <w:numFmt w:val="bullet"/>
      <w:lvlText w:val=""/>
      <w:lvlJc w:val="left"/>
      <w:pPr>
        <w:ind w:left="1004" w:hanging="360"/>
      </w:pPr>
      <w:rPr>
        <w:rFonts w:ascii="Courier New" w:hAnsi="Courier New" w:hint="default"/>
      </w:rPr>
    </w:lvl>
    <w:lvl w:ilvl="1" w:tplc="0C0A0003" w:tentative="1">
      <w:start w:val="1"/>
      <w:numFmt w:val="bullet"/>
      <w:lvlText w:val="o"/>
      <w:lvlJc w:val="left"/>
      <w:pPr>
        <w:ind w:left="1724" w:hanging="360"/>
      </w:pPr>
      <w:rPr>
        <w:rFonts w:ascii="Cambria Math" w:hAnsi="Cambria Math" w:cs="Cambria Math"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Courier New" w:hAnsi="Courier New" w:hint="default"/>
      </w:rPr>
    </w:lvl>
    <w:lvl w:ilvl="4" w:tplc="0C0A0003" w:tentative="1">
      <w:start w:val="1"/>
      <w:numFmt w:val="bullet"/>
      <w:lvlText w:val="o"/>
      <w:lvlJc w:val="left"/>
      <w:pPr>
        <w:ind w:left="3884" w:hanging="360"/>
      </w:pPr>
      <w:rPr>
        <w:rFonts w:ascii="Cambria Math" w:hAnsi="Cambria Math" w:cs="Cambria Math"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Courier New" w:hAnsi="Courier New" w:hint="default"/>
      </w:rPr>
    </w:lvl>
    <w:lvl w:ilvl="7" w:tplc="0C0A0003" w:tentative="1">
      <w:start w:val="1"/>
      <w:numFmt w:val="bullet"/>
      <w:lvlText w:val="o"/>
      <w:lvlJc w:val="left"/>
      <w:pPr>
        <w:ind w:left="6044" w:hanging="360"/>
      </w:pPr>
      <w:rPr>
        <w:rFonts w:ascii="Cambria Math" w:hAnsi="Cambria Math" w:cs="Cambria Math" w:hint="default"/>
      </w:rPr>
    </w:lvl>
    <w:lvl w:ilvl="8" w:tplc="0C0A0005" w:tentative="1">
      <w:start w:val="1"/>
      <w:numFmt w:val="bullet"/>
      <w:lvlText w:val=""/>
      <w:lvlJc w:val="left"/>
      <w:pPr>
        <w:ind w:left="6764" w:hanging="360"/>
      </w:pPr>
      <w:rPr>
        <w:rFonts w:ascii="Wingdings" w:hAnsi="Wingdings" w:hint="default"/>
      </w:rPr>
    </w:lvl>
  </w:abstractNum>
  <w:abstractNum w:abstractNumId="389" w15:restartNumberingAfterBreak="0">
    <w:nsid w:val="41F92C60"/>
    <w:multiLevelType w:val="hybridMultilevel"/>
    <w:tmpl w:val="4C888C0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90" w15:restartNumberingAfterBreak="0">
    <w:nsid w:val="42156377"/>
    <w:multiLevelType w:val="multilevel"/>
    <w:tmpl w:val="4A04CBE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1" w15:restartNumberingAfterBreak="0">
    <w:nsid w:val="4230647F"/>
    <w:multiLevelType w:val="hybridMultilevel"/>
    <w:tmpl w:val="E708B93A"/>
    <w:lvl w:ilvl="0" w:tplc="EC9CDDDE">
      <w:start w:val="6"/>
      <w:numFmt w:val="lowerRoman"/>
      <w:lvlText w:val="%1."/>
      <w:lvlJc w:val="right"/>
      <w:pPr>
        <w:ind w:left="2138" w:hanging="360"/>
      </w:pPr>
      <w:rPr>
        <w:rFonts w:hint="default"/>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392" w15:restartNumberingAfterBreak="0">
    <w:nsid w:val="425C18B6"/>
    <w:multiLevelType w:val="multilevel"/>
    <w:tmpl w:val="18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3"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394" w15:restartNumberingAfterBreak="0">
    <w:nsid w:val="42C25F88"/>
    <w:multiLevelType w:val="hybridMultilevel"/>
    <w:tmpl w:val="720E005E"/>
    <w:lvl w:ilvl="0" w:tplc="561CD8F8">
      <w:start w:val="1"/>
      <w:numFmt w:val="bullet"/>
      <w:lvlText w:val="-"/>
      <w:lvlJc w:val="left"/>
      <w:pPr>
        <w:ind w:left="720" w:hanging="360"/>
      </w:pPr>
      <w:rPr>
        <w:rFonts w:ascii="Calibri" w:hAnsi="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5" w15:restartNumberingAfterBreak="0">
    <w:nsid w:val="42E05589"/>
    <w:multiLevelType w:val="multilevel"/>
    <w:tmpl w:val="68C6D42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6"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397" w15:restartNumberingAfterBreak="0">
    <w:nsid w:val="43485A25"/>
    <w:multiLevelType w:val="hybridMultilevel"/>
    <w:tmpl w:val="BD0AC68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8" w15:restartNumberingAfterBreak="0">
    <w:nsid w:val="439D2A30"/>
    <w:multiLevelType w:val="hybridMultilevel"/>
    <w:tmpl w:val="C69E0D52"/>
    <w:lvl w:ilvl="0" w:tplc="080C0001">
      <w:start w:val="1"/>
      <w:numFmt w:val="bullet"/>
      <w:lvlText w:val=""/>
      <w:lvlJc w:val="left"/>
      <w:pPr>
        <w:ind w:left="907" w:hanging="360"/>
      </w:pPr>
      <w:rPr>
        <w:rFonts w:ascii="Symbol" w:hAnsi="Symbol" w:hint="default"/>
      </w:rPr>
    </w:lvl>
    <w:lvl w:ilvl="1" w:tplc="FFFFFFFF">
      <w:start w:val="1"/>
      <w:numFmt w:val="lowerLetter"/>
      <w:lvlText w:val="%2."/>
      <w:lvlJc w:val="left"/>
      <w:pPr>
        <w:ind w:left="1627" w:hanging="360"/>
      </w:pPr>
    </w:lvl>
    <w:lvl w:ilvl="2" w:tplc="FFFFFFFF" w:tentative="1">
      <w:start w:val="1"/>
      <w:numFmt w:val="lowerRoman"/>
      <w:lvlText w:val="%3."/>
      <w:lvlJc w:val="right"/>
      <w:pPr>
        <w:ind w:left="2347" w:hanging="180"/>
      </w:pPr>
    </w:lvl>
    <w:lvl w:ilvl="3" w:tplc="FFFFFFFF" w:tentative="1">
      <w:start w:val="1"/>
      <w:numFmt w:val="decimal"/>
      <w:lvlText w:val="%4."/>
      <w:lvlJc w:val="left"/>
      <w:pPr>
        <w:ind w:left="3067" w:hanging="360"/>
      </w:pPr>
    </w:lvl>
    <w:lvl w:ilvl="4" w:tplc="FFFFFFFF" w:tentative="1">
      <w:start w:val="1"/>
      <w:numFmt w:val="lowerLetter"/>
      <w:lvlText w:val="%5."/>
      <w:lvlJc w:val="left"/>
      <w:pPr>
        <w:ind w:left="3787" w:hanging="360"/>
      </w:pPr>
    </w:lvl>
    <w:lvl w:ilvl="5" w:tplc="FFFFFFFF" w:tentative="1">
      <w:start w:val="1"/>
      <w:numFmt w:val="lowerRoman"/>
      <w:lvlText w:val="%6."/>
      <w:lvlJc w:val="right"/>
      <w:pPr>
        <w:ind w:left="4507" w:hanging="180"/>
      </w:pPr>
    </w:lvl>
    <w:lvl w:ilvl="6" w:tplc="FFFFFFFF" w:tentative="1">
      <w:start w:val="1"/>
      <w:numFmt w:val="decimal"/>
      <w:lvlText w:val="%7."/>
      <w:lvlJc w:val="left"/>
      <w:pPr>
        <w:ind w:left="5227" w:hanging="360"/>
      </w:pPr>
    </w:lvl>
    <w:lvl w:ilvl="7" w:tplc="FFFFFFFF" w:tentative="1">
      <w:start w:val="1"/>
      <w:numFmt w:val="lowerLetter"/>
      <w:lvlText w:val="%8."/>
      <w:lvlJc w:val="left"/>
      <w:pPr>
        <w:ind w:left="5947" w:hanging="360"/>
      </w:pPr>
    </w:lvl>
    <w:lvl w:ilvl="8" w:tplc="FFFFFFFF" w:tentative="1">
      <w:start w:val="1"/>
      <w:numFmt w:val="lowerRoman"/>
      <w:lvlText w:val="%9."/>
      <w:lvlJc w:val="right"/>
      <w:pPr>
        <w:ind w:left="6667" w:hanging="180"/>
      </w:pPr>
    </w:lvl>
  </w:abstractNum>
  <w:abstractNum w:abstractNumId="399" w15:restartNumberingAfterBreak="0">
    <w:nsid w:val="43ABD986"/>
    <w:multiLevelType w:val="multilevel"/>
    <w:tmpl w:val="FFFFFFFF"/>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0" w15:restartNumberingAfterBreak="0">
    <w:nsid w:val="43B94045"/>
    <w:multiLevelType w:val="hybridMultilevel"/>
    <w:tmpl w:val="840E809C"/>
    <w:lvl w:ilvl="0" w:tplc="C80AB808">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1" w15:restartNumberingAfterBreak="0">
    <w:nsid w:val="43BC3B8D"/>
    <w:multiLevelType w:val="hybridMultilevel"/>
    <w:tmpl w:val="FFFFFFFF"/>
    <w:lvl w:ilvl="0" w:tplc="0010CF46">
      <w:start w:val="1"/>
      <w:numFmt w:val="bullet"/>
      <w:lvlText w:val=""/>
      <w:lvlJc w:val="left"/>
      <w:pPr>
        <w:ind w:left="720" w:hanging="360"/>
      </w:pPr>
      <w:rPr>
        <w:rFonts w:ascii="Symbol" w:hAnsi="Symbol" w:hint="default"/>
      </w:rPr>
    </w:lvl>
    <w:lvl w:ilvl="1" w:tplc="3ABED63C">
      <w:start w:val="1"/>
      <w:numFmt w:val="bullet"/>
      <w:lvlText w:val="-"/>
      <w:lvlJc w:val="left"/>
      <w:pPr>
        <w:ind w:left="1440" w:hanging="360"/>
      </w:pPr>
      <w:rPr>
        <w:rFonts w:ascii="Calibri" w:hAnsi="Calibri" w:hint="default"/>
      </w:rPr>
    </w:lvl>
    <w:lvl w:ilvl="2" w:tplc="69C87C28">
      <w:start w:val="1"/>
      <w:numFmt w:val="bullet"/>
      <w:lvlText w:val=""/>
      <w:lvlJc w:val="left"/>
      <w:pPr>
        <w:ind w:left="2160" w:hanging="360"/>
      </w:pPr>
      <w:rPr>
        <w:rFonts w:ascii="Wingdings" w:hAnsi="Wingdings" w:hint="default"/>
      </w:rPr>
    </w:lvl>
    <w:lvl w:ilvl="3" w:tplc="9B3858EE">
      <w:start w:val="1"/>
      <w:numFmt w:val="bullet"/>
      <w:lvlText w:val=""/>
      <w:lvlJc w:val="left"/>
      <w:pPr>
        <w:ind w:left="2880" w:hanging="360"/>
      </w:pPr>
      <w:rPr>
        <w:rFonts w:ascii="Symbol" w:hAnsi="Symbol" w:hint="default"/>
      </w:rPr>
    </w:lvl>
    <w:lvl w:ilvl="4" w:tplc="1706C458">
      <w:start w:val="1"/>
      <w:numFmt w:val="bullet"/>
      <w:lvlText w:val="o"/>
      <w:lvlJc w:val="left"/>
      <w:pPr>
        <w:ind w:left="3600" w:hanging="360"/>
      </w:pPr>
      <w:rPr>
        <w:rFonts w:ascii="Courier New" w:hAnsi="Courier New" w:hint="default"/>
      </w:rPr>
    </w:lvl>
    <w:lvl w:ilvl="5" w:tplc="E0C6A61A">
      <w:start w:val="1"/>
      <w:numFmt w:val="bullet"/>
      <w:lvlText w:val=""/>
      <w:lvlJc w:val="left"/>
      <w:pPr>
        <w:ind w:left="4320" w:hanging="360"/>
      </w:pPr>
      <w:rPr>
        <w:rFonts w:ascii="Wingdings" w:hAnsi="Wingdings" w:hint="default"/>
      </w:rPr>
    </w:lvl>
    <w:lvl w:ilvl="6" w:tplc="C7D4B6BE">
      <w:start w:val="1"/>
      <w:numFmt w:val="bullet"/>
      <w:lvlText w:val=""/>
      <w:lvlJc w:val="left"/>
      <w:pPr>
        <w:ind w:left="5040" w:hanging="360"/>
      </w:pPr>
      <w:rPr>
        <w:rFonts w:ascii="Symbol" w:hAnsi="Symbol" w:hint="default"/>
      </w:rPr>
    </w:lvl>
    <w:lvl w:ilvl="7" w:tplc="419087A2">
      <w:start w:val="1"/>
      <w:numFmt w:val="bullet"/>
      <w:lvlText w:val="o"/>
      <w:lvlJc w:val="left"/>
      <w:pPr>
        <w:ind w:left="5760" w:hanging="360"/>
      </w:pPr>
      <w:rPr>
        <w:rFonts w:ascii="Courier New" w:hAnsi="Courier New" w:hint="default"/>
      </w:rPr>
    </w:lvl>
    <w:lvl w:ilvl="8" w:tplc="E076CA9C">
      <w:start w:val="1"/>
      <w:numFmt w:val="bullet"/>
      <w:lvlText w:val=""/>
      <w:lvlJc w:val="left"/>
      <w:pPr>
        <w:ind w:left="6480" w:hanging="360"/>
      </w:pPr>
      <w:rPr>
        <w:rFonts w:ascii="Wingdings" w:hAnsi="Wingdings" w:hint="default"/>
      </w:rPr>
    </w:lvl>
  </w:abstractNum>
  <w:abstractNum w:abstractNumId="402" w15:restartNumberingAfterBreak="0">
    <w:nsid w:val="43D7ACDD"/>
    <w:multiLevelType w:val="multilevel"/>
    <w:tmpl w:val="FFFFFFFF"/>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3" w15:restartNumberingAfterBreak="0">
    <w:nsid w:val="43F42D98"/>
    <w:multiLevelType w:val="hybridMultilevel"/>
    <w:tmpl w:val="89BC98DE"/>
    <w:lvl w:ilvl="0" w:tplc="0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4" w15:restartNumberingAfterBreak="0">
    <w:nsid w:val="44180FBC"/>
    <w:multiLevelType w:val="multilevel"/>
    <w:tmpl w:val="895633E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5" w15:restartNumberingAfterBreak="0">
    <w:nsid w:val="442C7C07"/>
    <w:multiLevelType w:val="hybridMultilevel"/>
    <w:tmpl w:val="CBDC5E20"/>
    <w:lvl w:ilvl="0" w:tplc="04090001">
      <w:start w:val="1"/>
      <w:numFmt w:val="bullet"/>
      <w:lvlText w:val=""/>
      <w:lvlJc w:val="left"/>
      <w:pPr>
        <w:ind w:left="720" w:hanging="360"/>
      </w:pPr>
      <w:rPr>
        <w:rFonts w:ascii="Segoe UI" w:hAnsi="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Cambria Math" w:hAnsi="Cambria Math" w:hint="default"/>
      </w:rPr>
    </w:lvl>
    <w:lvl w:ilvl="3" w:tplc="04090001" w:tentative="1">
      <w:start w:val="1"/>
      <w:numFmt w:val="bullet"/>
      <w:lvlText w:val=""/>
      <w:lvlJc w:val="left"/>
      <w:pPr>
        <w:ind w:left="2880" w:hanging="360"/>
      </w:pPr>
      <w:rPr>
        <w:rFonts w:ascii="Segoe UI" w:hAnsi="Segoe U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Cambria Math" w:hAnsi="Cambria Math" w:hint="default"/>
      </w:rPr>
    </w:lvl>
    <w:lvl w:ilvl="6" w:tplc="04090001" w:tentative="1">
      <w:start w:val="1"/>
      <w:numFmt w:val="bullet"/>
      <w:lvlText w:val=""/>
      <w:lvlJc w:val="left"/>
      <w:pPr>
        <w:ind w:left="5040" w:hanging="360"/>
      </w:pPr>
      <w:rPr>
        <w:rFonts w:ascii="Segoe UI" w:hAnsi="Segoe UI"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Cambria Math" w:hAnsi="Cambria Math" w:hint="default"/>
      </w:rPr>
    </w:lvl>
  </w:abstractNum>
  <w:abstractNum w:abstractNumId="406" w15:restartNumberingAfterBreak="0">
    <w:nsid w:val="445409E8"/>
    <w:multiLevelType w:val="hybridMultilevel"/>
    <w:tmpl w:val="798432B0"/>
    <w:lvl w:ilvl="0" w:tplc="312A5F28">
      <w:start w:val="1"/>
      <w:numFmt w:val="bullet"/>
      <w:lvlText w:val="-"/>
      <w:lvlJc w:val="left"/>
      <w:pPr>
        <w:ind w:left="2138" w:hanging="360"/>
      </w:pPr>
      <w:rPr>
        <w:rFonts w:ascii="Calibri" w:eastAsiaTheme="minorHAnsi" w:hAnsi="Calibri" w:cs="Calibri" w:hint="default"/>
        <w:color w:val="7030A0"/>
      </w:rPr>
    </w:lvl>
    <w:lvl w:ilvl="1" w:tplc="080C0003" w:tentative="1">
      <w:start w:val="1"/>
      <w:numFmt w:val="bullet"/>
      <w:lvlText w:val="o"/>
      <w:lvlJc w:val="left"/>
      <w:pPr>
        <w:ind w:left="2858" w:hanging="360"/>
      </w:pPr>
      <w:rPr>
        <w:rFonts w:ascii="Courier New" w:hAnsi="Courier New" w:cs="Courier New" w:hint="default"/>
      </w:rPr>
    </w:lvl>
    <w:lvl w:ilvl="2" w:tplc="080C0005" w:tentative="1">
      <w:start w:val="1"/>
      <w:numFmt w:val="bullet"/>
      <w:lvlText w:val=""/>
      <w:lvlJc w:val="left"/>
      <w:pPr>
        <w:ind w:left="3578" w:hanging="360"/>
      </w:pPr>
      <w:rPr>
        <w:rFonts w:ascii="Wingdings" w:hAnsi="Wingdings" w:hint="default"/>
      </w:rPr>
    </w:lvl>
    <w:lvl w:ilvl="3" w:tplc="080C0001" w:tentative="1">
      <w:start w:val="1"/>
      <w:numFmt w:val="bullet"/>
      <w:lvlText w:val=""/>
      <w:lvlJc w:val="left"/>
      <w:pPr>
        <w:ind w:left="4298" w:hanging="360"/>
      </w:pPr>
      <w:rPr>
        <w:rFonts w:ascii="Symbol" w:hAnsi="Symbol" w:hint="default"/>
      </w:rPr>
    </w:lvl>
    <w:lvl w:ilvl="4" w:tplc="080C0003" w:tentative="1">
      <w:start w:val="1"/>
      <w:numFmt w:val="bullet"/>
      <w:lvlText w:val="o"/>
      <w:lvlJc w:val="left"/>
      <w:pPr>
        <w:ind w:left="5018" w:hanging="360"/>
      </w:pPr>
      <w:rPr>
        <w:rFonts w:ascii="Courier New" w:hAnsi="Courier New" w:cs="Courier New" w:hint="default"/>
      </w:rPr>
    </w:lvl>
    <w:lvl w:ilvl="5" w:tplc="080C0005" w:tentative="1">
      <w:start w:val="1"/>
      <w:numFmt w:val="bullet"/>
      <w:lvlText w:val=""/>
      <w:lvlJc w:val="left"/>
      <w:pPr>
        <w:ind w:left="5738" w:hanging="360"/>
      </w:pPr>
      <w:rPr>
        <w:rFonts w:ascii="Wingdings" w:hAnsi="Wingdings" w:hint="default"/>
      </w:rPr>
    </w:lvl>
    <w:lvl w:ilvl="6" w:tplc="080C0001" w:tentative="1">
      <w:start w:val="1"/>
      <w:numFmt w:val="bullet"/>
      <w:lvlText w:val=""/>
      <w:lvlJc w:val="left"/>
      <w:pPr>
        <w:ind w:left="6458" w:hanging="360"/>
      </w:pPr>
      <w:rPr>
        <w:rFonts w:ascii="Symbol" w:hAnsi="Symbol" w:hint="default"/>
      </w:rPr>
    </w:lvl>
    <w:lvl w:ilvl="7" w:tplc="080C0003" w:tentative="1">
      <w:start w:val="1"/>
      <w:numFmt w:val="bullet"/>
      <w:lvlText w:val="o"/>
      <w:lvlJc w:val="left"/>
      <w:pPr>
        <w:ind w:left="7178" w:hanging="360"/>
      </w:pPr>
      <w:rPr>
        <w:rFonts w:ascii="Courier New" w:hAnsi="Courier New" w:cs="Courier New" w:hint="default"/>
      </w:rPr>
    </w:lvl>
    <w:lvl w:ilvl="8" w:tplc="080C0005" w:tentative="1">
      <w:start w:val="1"/>
      <w:numFmt w:val="bullet"/>
      <w:lvlText w:val=""/>
      <w:lvlJc w:val="left"/>
      <w:pPr>
        <w:ind w:left="7898" w:hanging="360"/>
      </w:pPr>
      <w:rPr>
        <w:rFonts w:ascii="Wingdings" w:hAnsi="Wingdings" w:hint="default"/>
      </w:rPr>
    </w:lvl>
  </w:abstractNum>
  <w:abstractNum w:abstractNumId="407" w15:restartNumberingAfterBreak="0">
    <w:nsid w:val="445E1128"/>
    <w:multiLevelType w:val="hybridMultilevel"/>
    <w:tmpl w:val="CFB864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8" w15:restartNumberingAfterBreak="0">
    <w:nsid w:val="446227E7"/>
    <w:multiLevelType w:val="hybridMultilevel"/>
    <w:tmpl w:val="082024BA"/>
    <w:lvl w:ilvl="0" w:tplc="93F24E22">
      <w:numFmt w:val="bullet"/>
      <w:lvlText w:val="•"/>
      <w:lvlJc w:val="left"/>
      <w:pPr>
        <w:ind w:left="1080" w:hanging="360"/>
      </w:pPr>
      <w:rPr>
        <w:rFonts w:ascii="Times New Roman" w:eastAsiaTheme="minorEastAsia" w:hAnsi="Times New Roman" w:cs="Times New Roman"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09" w15:restartNumberingAfterBreak="0">
    <w:nsid w:val="446F0980"/>
    <w:multiLevelType w:val="hybridMultilevel"/>
    <w:tmpl w:val="E91EE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0" w15:restartNumberingAfterBreak="0">
    <w:nsid w:val="44746AF7"/>
    <w:multiLevelType w:val="hybridMultilevel"/>
    <w:tmpl w:val="8BA6069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1" w15:restartNumberingAfterBreak="0">
    <w:nsid w:val="447A3124"/>
    <w:multiLevelType w:val="hybridMultilevel"/>
    <w:tmpl w:val="8BF0012C"/>
    <w:lvl w:ilvl="0" w:tplc="04090001">
      <w:start w:val="1"/>
      <w:numFmt w:val="bullet"/>
      <w:lvlText w:val=""/>
      <w:lvlJc w:val="left"/>
      <w:pPr>
        <w:ind w:left="720" w:hanging="360"/>
      </w:pPr>
      <w:rPr>
        <w:rFonts w:ascii="Segoe UI" w:hAnsi="Segoe U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2" w15:restartNumberingAfterBreak="0">
    <w:nsid w:val="44D271F3"/>
    <w:multiLevelType w:val="multilevel"/>
    <w:tmpl w:val="9790F1D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3" w15:restartNumberingAfterBreak="0">
    <w:nsid w:val="44F10CD8"/>
    <w:multiLevelType w:val="hybridMultilevel"/>
    <w:tmpl w:val="85F45C06"/>
    <w:lvl w:ilvl="0" w:tplc="08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4" w15:restartNumberingAfterBreak="0">
    <w:nsid w:val="45157FFE"/>
    <w:multiLevelType w:val="hybridMultilevel"/>
    <w:tmpl w:val="F27297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5" w15:restartNumberingAfterBreak="0">
    <w:nsid w:val="453A952F"/>
    <w:multiLevelType w:val="hybridMultilevel"/>
    <w:tmpl w:val="FFFFFFFF"/>
    <w:lvl w:ilvl="0" w:tplc="CB563A50">
      <w:start w:val="1"/>
      <w:numFmt w:val="bullet"/>
      <w:lvlText w:val="o"/>
      <w:lvlJc w:val="left"/>
      <w:pPr>
        <w:ind w:left="720" w:hanging="360"/>
      </w:pPr>
      <w:rPr>
        <w:rFonts w:ascii="&quot;Courier New&quot;" w:hAnsi="&quot;Courier New&quot;" w:hint="default"/>
      </w:rPr>
    </w:lvl>
    <w:lvl w:ilvl="1" w:tplc="99107D2E">
      <w:start w:val="1"/>
      <w:numFmt w:val="bullet"/>
      <w:lvlText w:val="o"/>
      <w:lvlJc w:val="left"/>
      <w:pPr>
        <w:ind w:left="1440" w:hanging="360"/>
      </w:pPr>
      <w:rPr>
        <w:rFonts w:ascii="Courier New" w:hAnsi="Courier New" w:hint="default"/>
      </w:rPr>
    </w:lvl>
    <w:lvl w:ilvl="2" w:tplc="E8300AB8">
      <w:start w:val="1"/>
      <w:numFmt w:val="bullet"/>
      <w:lvlText w:val=""/>
      <w:lvlJc w:val="left"/>
      <w:pPr>
        <w:ind w:left="2160" w:hanging="360"/>
      </w:pPr>
      <w:rPr>
        <w:rFonts w:ascii="Wingdings" w:hAnsi="Wingdings" w:hint="default"/>
      </w:rPr>
    </w:lvl>
    <w:lvl w:ilvl="3" w:tplc="98E2AB34">
      <w:start w:val="1"/>
      <w:numFmt w:val="bullet"/>
      <w:lvlText w:val=""/>
      <w:lvlJc w:val="left"/>
      <w:pPr>
        <w:ind w:left="2880" w:hanging="360"/>
      </w:pPr>
      <w:rPr>
        <w:rFonts w:ascii="Symbol" w:hAnsi="Symbol" w:hint="default"/>
      </w:rPr>
    </w:lvl>
    <w:lvl w:ilvl="4" w:tplc="62FCD6FA">
      <w:start w:val="1"/>
      <w:numFmt w:val="bullet"/>
      <w:lvlText w:val="o"/>
      <w:lvlJc w:val="left"/>
      <w:pPr>
        <w:ind w:left="3600" w:hanging="360"/>
      </w:pPr>
      <w:rPr>
        <w:rFonts w:ascii="Courier New" w:hAnsi="Courier New" w:hint="default"/>
      </w:rPr>
    </w:lvl>
    <w:lvl w:ilvl="5" w:tplc="EC703CF2">
      <w:start w:val="1"/>
      <w:numFmt w:val="bullet"/>
      <w:lvlText w:val=""/>
      <w:lvlJc w:val="left"/>
      <w:pPr>
        <w:ind w:left="4320" w:hanging="360"/>
      </w:pPr>
      <w:rPr>
        <w:rFonts w:ascii="Wingdings" w:hAnsi="Wingdings" w:hint="default"/>
      </w:rPr>
    </w:lvl>
    <w:lvl w:ilvl="6" w:tplc="89E48626">
      <w:start w:val="1"/>
      <w:numFmt w:val="bullet"/>
      <w:lvlText w:val=""/>
      <w:lvlJc w:val="left"/>
      <w:pPr>
        <w:ind w:left="5040" w:hanging="360"/>
      </w:pPr>
      <w:rPr>
        <w:rFonts w:ascii="Symbol" w:hAnsi="Symbol" w:hint="default"/>
      </w:rPr>
    </w:lvl>
    <w:lvl w:ilvl="7" w:tplc="CF84975A">
      <w:start w:val="1"/>
      <w:numFmt w:val="bullet"/>
      <w:lvlText w:val="o"/>
      <w:lvlJc w:val="left"/>
      <w:pPr>
        <w:ind w:left="5760" w:hanging="360"/>
      </w:pPr>
      <w:rPr>
        <w:rFonts w:ascii="Courier New" w:hAnsi="Courier New" w:hint="default"/>
      </w:rPr>
    </w:lvl>
    <w:lvl w:ilvl="8" w:tplc="F3384326">
      <w:start w:val="1"/>
      <w:numFmt w:val="bullet"/>
      <w:lvlText w:val=""/>
      <w:lvlJc w:val="left"/>
      <w:pPr>
        <w:ind w:left="6480" w:hanging="360"/>
      </w:pPr>
      <w:rPr>
        <w:rFonts w:ascii="Wingdings" w:hAnsi="Wingdings" w:hint="default"/>
      </w:rPr>
    </w:lvl>
  </w:abstractNum>
  <w:abstractNum w:abstractNumId="416" w15:restartNumberingAfterBreak="0">
    <w:nsid w:val="454654C8"/>
    <w:multiLevelType w:val="hybridMultilevel"/>
    <w:tmpl w:val="8F7E77B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7"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egoe UI" w:hAnsi="Segoe UI" w:hint="default"/>
      </w:rPr>
    </w:lvl>
  </w:abstractNum>
  <w:abstractNum w:abstractNumId="418" w15:restartNumberingAfterBreak="0">
    <w:nsid w:val="45615454"/>
    <w:multiLevelType w:val="hybridMultilevel"/>
    <w:tmpl w:val="D714C75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9" w15:restartNumberingAfterBreak="0">
    <w:nsid w:val="457E3020"/>
    <w:multiLevelType w:val="hybridMultilevel"/>
    <w:tmpl w:val="DA6AA1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0" w15:restartNumberingAfterBreak="0">
    <w:nsid w:val="459DE1EA"/>
    <w:multiLevelType w:val="hybridMultilevel"/>
    <w:tmpl w:val="FFFFFFFF"/>
    <w:lvl w:ilvl="0" w:tplc="FAC89114">
      <w:start w:val="1"/>
      <w:numFmt w:val="bullet"/>
      <w:lvlText w:val=""/>
      <w:lvlJc w:val="left"/>
      <w:pPr>
        <w:ind w:left="720" w:hanging="360"/>
      </w:pPr>
      <w:rPr>
        <w:rFonts w:ascii="Segoe UI" w:hAnsi="Segoe UI" w:hint="default"/>
      </w:rPr>
    </w:lvl>
    <w:lvl w:ilvl="1" w:tplc="23BEAF7C">
      <w:start w:val="1"/>
      <w:numFmt w:val="bullet"/>
      <w:lvlText w:val="o"/>
      <w:lvlJc w:val="left"/>
      <w:pPr>
        <w:ind w:left="1440" w:hanging="360"/>
      </w:pPr>
      <w:rPr>
        <w:rFonts w:ascii="Courier New" w:hAnsi="Courier New" w:hint="default"/>
      </w:rPr>
    </w:lvl>
    <w:lvl w:ilvl="2" w:tplc="9E1C0434">
      <w:start w:val="1"/>
      <w:numFmt w:val="bullet"/>
      <w:lvlText w:val=""/>
      <w:lvlJc w:val="left"/>
      <w:pPr>
        <w:ind w:left="2160" w:hanging="360"/>
      </w:pPr>
      <w:rPr>
        <w:rFonts w:ascii="Cambria Math" w:hAnsi="Cambria Math" w:hint="default"/>
      </w:rPr>
    </w:lvl>
    <w:lvl w:ilvl="3" w:tplc="95AC53D2">
      <w:start w:val="1"/>
      <w:numFmt w:val="bullet"/>
      <w:lvlText w:val=""/>
      <w:lvlJc w:val="left"/>
      <w:pPr>
        <w:ind w:left="2880" w:hanging="360"/>
      </w:pPr>
      <w:rPr>
        <w:rFonts w:ascii="Segoe UI" w:hAnsi="Segoe UI" w:hint="default"/>
      </w:rPr>
    </w:lvl>
    <w:lvl w:ilvl="4" w:tplc="2646D9A6">
      <w:start w:val="1"/>
      <w:numFmt w:val="bullet"/>
      <w:lvlText w:val="o"/>
      <w:lvlJc w:val="left"/>
      <w:pPr>
        <w:ind w:left="3600" w:hanging="360"/>
      </w:pPr>
      <w:rPr>
        <w:rFonts w:ascii="Courier New" w:hAnsi="Courier New" w:hint="default"/>
      </w:rPr>
    </w:lvl>
    <w:lvl w:ilvl="5" w:tplc="4D4CD87C">
      <w:start w:val="1"/>
      <w:numFmt w:val="bullet"/>
      <w:lvlText w:val=""/>
      <w:lvlJc w:val="left"/>
      <w:pPr>
        <w:ind w:left="4320" w:hanging="360"/>
      </w:pPr>
      <w:rPr>
        <w:rFonts w:ascii="Cambria Math" w:hAnsi="Cambria Math" w:hint="default"/>
      </w:rPr>
    </w:lvl>
    <w:lvl w:ilvl="6" w:tplc="8BD6F5E8">
      <w:start w:val="1"/>
      <w:numFmt w:val="bullet"/>
      <w:lvlText w:val=""/>
      <w:lvlJc w:val="left"/>
      <w:pPr>
        <w:ind w:left="5040" w:hanging="360"/>
      </w:pPr>
      <w:rPr>
        <w:rFonts w:ascii="Segoe UI" w:hAnsi="Segoe UI" w:hint="default"/>
      </w:rPr>
    </w:lvl>
    <w:lvl w:ilvl="7" w:tplc="49940C00">
      <w:start w:val="1"/>
      <w:numFmt w:val="bullet"/>
      <w:lvlText w:val="o"/>
      <w:lvlJc w:val="left"/>
      <w:pPr>
        <w:ind w:left="5760" w:hanging="360"/>
      </w:pPr>
      <w:rPr>
        <w:rFonts w:ascii="Courier New" w:hAnsi="Courier New" w:hint="default"/>
      </w:rPr>
    </w:lvl>
    <w:lvl w:ilvl="8" w:tplc="DBD06F86">
      <w:start w:val="1"/>
      <w:numFmt w:val="bullet"/>
      <w:lvlText w:val=""/>
      <w:lvlJc w:val="left"/>
      <w:pPr>
        <w:ind w:left="6480" w:hanging="360"/>
      </w:pPr>
      <w:rPr>
        <w:rFonts w:ascii="Cambria Math" w:hAnsi="Cambria Math" w:hint="default"/>
      </w:rPr>
    </w:lvl>
  </w:abstractNum>
  <w:abstractNum w:abstractNumId="421" w15:restartNumberingAfterBreak="0">
    <w:nsid w:val="45BC00BD"/>
    <w:multiLevelType w:val="hybridMultilevel"/>
    <w:tmpl w:val="2DC2D882"/>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2" w15:restartNumberingAfterBreak="0">
    <w:nsid w:val="45FB70EA"/>
    <w:multiLevelType w:val="hybridMultilevel"/>
    <w:tmpl w:val="A53C969E"/>
    <w:lvl w:ilvl="0" w:tplc="18090019">
      <w:start w:val="1"/>
      <w:numFmt w:val="lowerLetter"/>
      <w:lvlText w:val="%1."/>
      <w:lvlJc w:val="left"/>
      <w:pPr>
        <w:ind w:left="720" w:hanging="360"/>
      </w:pPr>
      <w:rPr>
        <w:rFonts w:hint="default"/>
      </w:rPr>
    </w:lvl>
    <w:lvl w:ilvl="1" w:tplc="1809001B">
      <w:start w:val="1"/>
      <w:numFmt w:val="lowerRoman"/>
      <w:lvlText w:val="%2."/>
      <w:lvlJc w:val="right"/>
      <w:pPr>
        <w:ind w:left="1440" w:hanging="360"/>
      </w:pPr>
    </w:lvl>
    <w:lvl w:ilvl="2" w:tplc="1809000F">
      <w:start w:val="1"/>
      <w:numFmt w:val="decimal"/>
      <w:lvlText w:val="%3."/>
      <w:lvlJc w:val="left"/>
      <w:pPr>
        <w:ind w:left="2340" w:hanging="36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3" w15:restartNumberingAfterBreak="0">
    <w:nsid w:val="462B24AF"/>
    <w:multiLevelType w:val="multilevel"/>
    <w:tmpl w:val="F412E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4" w15:restartNumberingAfterBreak="0">
    <w:nsid w:val="468F2093"/>
    <w:multiLevelType w:val="multilevel"/>
    <w:tmpl w:val="C99AB46E"/>
    <w:name w:val="NumPar2"/>
    <w:lvl w:ilvl="0">
      <w:start w:val="1"/>
      <w:numFmt w:val="decimal"/>
      <w:lvlRestart w:val="0"/>
      <w:lvlText w:val="%1."/>
      <w:lvlJc w:val="left"/>
      <w:pPr>
        <w:tabs>
          <w:tab w:val="num" w:pos="850"/>
        </w:tabs>
        <w:ind w:left="85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5" w15:restartNumberingAfterBreak="0">
    <w:nsid w:val="46CED197"/>
    <w:multiLevelType w:val="hybridMultilevel"/>
    <w:tmpl w:val="FFFFFFFF"/>
    <w:lvl w:ilvl="0" w:tplc="4AB8E898">
      <w:start w:val="1"/>
      <w:numFmt w:val="bullet"/>
      <w:lvlText w:val="o"/>
      <w:lvlJc w:val="left"/>
      <w:pPr>
        <w:ind w:left="720" w:hanging="360"/>
      </w:pPr>
      <w:rPr>
        <w:rFonts w:ascii="&quot;Courier New&quot;" w:hAnsi="&quot;Courier New&quot;" w:hint="default"/>
      </w:rPr>
    </w:lvl>
    <w:lvl w:ilvl="1" w:tplc="A718E9C4">
      <w:start w:val="1"/>
      <w:numFmt w:val="bullet"/>
      <w:lvlText w:val="o"/>
      <w:lvlJc w:val="left"/>
      <w:pPr>
        <w:ind w:left="1440" w:hanging="360"/>
      </w:pPr>
      <w:rPr>
        <w:rFonts w:ascii="Courier New" w:hAnsi="Courier New" w:hint="default"/>
      </w:rPr>
    </w:lvl>
    <w:lvl w:ilvl="2" w:tplc="9B3A8E0E">
      <w:start w:val="1"/>
      <w:numFmt w:val="bullet"/>
      <w:lvlText w:val=""/>
      <w:lvlJc w:val="left"/>
      <w:pPr>
        <w:ind w:left="2160" w:hanging="360"/>
      </w:pPr>
      <w:rPr>
        <w:rFonts w:ascii="Wingdings" w:hAnsi="Wingdings" w:hint="default"/>
      </w:rPr>
    </w:lvl>
    <w:lvl w:ilvl="3" w:tplc="36C6D10E">
      <w:start w:val="1"/>
      <w:numFmt w:val="bullet"/>
      <w:lvlText w:val=""/>
      <w:lvlJc w:val="left"/>
      <w:pPr>
        <w:ind w:left="2880" w:hanging="360"/>
      </w:pPr>
      <w:rPr>
        <w:rFonts w:ascii="Symbol" w:hAnsi="Symbol" w:hint="default"/>
      </w:rPr>
    </w:lvl>
    <w:lvl w:ilvl="4" w:tplc="7D186640">
      <w:start w:val="1"/>
      <w:numFmt w:val="bullet"/>
      <w:lvlText w:val="o"/>
      <w:lvlJc w:val="left"/>
      <w:pPr>
        <w:ind w:left="3600" w:hanging="360"/>
      </w:pPr>
      <w:rPr>
        <w:rFonts w:ascii="Courier New" w:hAnsi="Courier New" w:hint="default"/>
      </w:rPr>
    </w:lvl>
    <w:lvl w:ilvl="5" w:tplc="44C6EE56">
      <w:start w:val="1"/>
      <w:numFmt w:val="bullet"/>
      <w:lvlText w:val=""/>
      <w:lvlJc w:val="left"/>
      <w:pPr>
        <w:ind w:left="4320" w:hanging="360"/>
      </w:pPr>
      <w:rPr>
        <w:rFonts w:ascii="Wingdings" w:hAnsi="Wingdings" w:hint="default"/>
      </w:rPr>
    </w:lvl>
    <w:lvl w:ilvl="6" w:tplc="E9248694">
      <w:start w:val="1"/>
      <w:numFmt w:val="bullet"/>
      <w:lvlText w:val=""/>
      <w:lvlJc w:val="left"/>
      <w:pPr>
        <w:ind w:left="5040" w:hanging="360"/>
      </w:pPr>
      <w:rPr>
        <w:rFonts w:ascii="Symbol" w:hAnsi="Symbol" w:hint="default"/>
      </w:rPr>
    </w:lvl>
    <w:lvl w:ilvl="7" w:tplc="76AAF964">
      <w:start w:val="1"/>
      <w:numFmt w:val="bullet"/>
      <w:lvlText w:val="o"/>
      <w:lvlJc w:val="left"/>
      <w:pPr>
        <w:ind w:left="5760" w:hanging="360"/>
      </w:pPr>
      <w:rPr>
        <w:rFonts w:ascii="Courier New" w:hAnsi="Courier New" w:hint="default"/>
      </w:rPr>
    </w:lvl>
    <w:lvl w:ilvl="8" w:tplc="395CF626">
      <w:start w:val="1"/>
      <w:numFmt w:val="bullet"/>
      <w:lvlText w:val=""/>
      <w:lvlJc w:val="left"/>
      <w:pPr>
        <w:ind w:left="6480" w:hanging="360"/>
      </w:pPr>
      <w:rPr>
        <w:rFonts w:ascii="Wingdings" w:hAnsi="Wingdings" w:hint="default"/>
      </w:rPr>
    </w:lvl>
  </w:abstractNum>
  <w:abstractNum w:abstractNumId="426" w15:restartNumberingAfterBreak="0">
    <w:nsid w:val="46EC1C26"/>
    <w:multiLevelType w:val="hybridMultilevel"/>
    <w:tmpl w:val="9B160284"/>
    <w:lvl w:ilvl="0" w:tplc="0C0A0001">
      <w:start w:val="1"/>
      <w:numFmt w:val="bullet"/>
      <w:lvlText w:val=""/>
      <w:lvlJc w:val="left"/>
      <w:pPr>
        <w:ind w:left="360" w:hanging="360"/>
      </w:pPr>
      <w:rPr>
        <w:rFonts w:ascii="Courier New" w:hAnsi="Courier New" w:hint="default"/>
        <w:color w:val="7030A0"/>
      </w:rPr>
    </w:lvl>
    <w:lvl w:ilvl="1" w:tplc="FFFFFFFF" w:tentative="1">
      <w:start w:val="1"/>
      <w:numFmt w:val="bullet"/>
      <w:lvlText w:val="o"/>
      <w:lvlJc w:val="left"/>
      <w:pPr>
        <w:ind w:left="1080" w:hanging="360"/>
      </w:pPr>
      <w:rPr>
        <w:rFonts w:ascii="Cambria Math" w:hAnsi="Cambria Math" w:cs="Cambria Math"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Cambria Math" w:hAnsi="Cambria Math" w:cs="Cambria Math"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Cambria Math" w:hAnsi="Cambria Math" w:cs="Cambria Math" w:hint="default"/>
      </w:rPr>
    </w:lvl>
    <w:lvl w:ilvl="8" w:tplc="FFFFFFFF" w:tentative="1">
      <w:start w:val="1"/>
      <w:numFmt w:val="bullet"/>
      <w:lvlText w:val=""/>
      <w:lvlJc w:val="left"/>
      <w:pPr>
        <w:ind w:left="6120" w:hanging="360"/>
      </w:pPr>
      <w:rPr>
        <w:rFonts w:ascii="Wingdings" w:hAnsi="Wingdings" w:hint="default"/>
      </w:rPr>
    </w:lvl>
  </w:abstractNum>
  <w:abstractNum w:abstractNumId="427" w15:restartNumberingAfterBreak="0">
    <w:nsid w:val="471D56DD"/>
    <w:multiLevelType w:val="hybridMultilevel"/>
    <w:tmpl w:val="26D88BDE"/>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8" w15:restartNumberingAfterBreak="0">
    <w:nsid w:val="474EE9FC"/>
    <w:multiLevelType w:val="multilevel"/>
    <w:tmpl w:val="FFFFFFFF"/>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9" w15:restartNumberingAfterBreak="0">
    <w:nsid w:val="478F718B"/>
    <w:multiLevelType w:val="hybridMultilevel"/>
    <w:tmpl w:val="0C14B1DC"/>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430" w15:restartNumberingAfterBreak="0">
    <w:nsid w:val="47ABBE4E"/>
    <w:multiLevelType w:val="multilevel"/>
    <w:tmpl w:val="FFFFFFFF"/>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1" w15:restartNumberingAfterBreak="0">
    <w:nsid w:val="47BB1A89"/>
    <w:multiLevelType w:val="hybridMultilevel"/>
    <w:tmpl w:val="41C23C94"/>
    <w:lvl w:ilvl="0" w:tplc="FFFFFFF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432" w15:restartNumberingAfterBreak="0">
    <w:nsid w:val="47BCC550"/>
    <w:multiLevelType w:val="hybridMultilevel"/>
    <w:tmpl w:val="FFFFFFFF"/>
    <w:lvl w:ilvl="0" w:tplc="2CCABC2A">
      <w:start w:val="1"/>
      <w:numFmt w:val="bullet"/>
      <w:lvlText w:val=""/>
      <w:lvlJc w:val="left"/>
      <w:pPr>
        <w:ind w:left="720" w:hanging="360"/>
      </w:pPr>
    </w:lvl>
    <w:lvl w:ilvl="1" w:tplc="144C074E">
      <w:start w:val="1"/>
      <w:numFmt w:val="lowerLetter"/>
      <w:lvlText w:val="%2."/>
      <w:lvlJc w:val="left"/>
      <w:pPr>
        <w:ind w:left="1440" w:hanging="360"/>
      </w:pPr>
    </w:lvl>
    <w:lvl w:ilvl="2" w:tplc="BF466FBC">
      <w:start w:val="1"/>
      <w:numFmt w:val="lowerRoman"/>
      <w:lvlText w:val="%3."/>
      <w:lvlJc w:val="right"/>
      <w:pPr>
        <w:ind w:left="2160" w:hanging="180"/>
      </w:pPr>
    </w:lvl>
    <w:lvl w:ilvl="3" w:tplc="E67A738C">
      <w:start w:val="1"/>
      <w:numFmt w:val="decimal"/>
      <w:lvlText w:val="%4."/>
      <w:lvlJc w:val="left"/>
      <w:pPr>
        <w:ind w:left="2880" w:hanging="360"/>
      </w:pPr>
    </w:lvl>
    <w:lvl w:ilvl="4" w:tplc="1BAAB264">
      <w:start w:val="1"/>
      <w:numFmt w:val="lowerLetter"/>
      <w:lvlText w:val="%5."/>
      <w:lvlJc w:val="left"/>
      <w:pPr>
        <w:ind w:left="3600" w:hanging="360"/>
      </w:pPr>
    </w:lvl>
    <w:lvl w:ilvl="5" w:tplc="3508FCD2">
      <w:start w:val="1"/>
      <w:numFmt w:val="lowerRoman"/>
      <w:lvlText w:val="%6."/>
      <w:lvlJc w:val="right"/>
      <w:pPr>
        <w:ind w:left="4320" w:hanging="180"/>
      </w:pPr>
    </w:lvl>
    <w:lvl w:ilvl="6" w:tplc="AC76CA2C">
      <w:start w:val="1"/>
      <w:numFmt w:val="decimal"/>
      <w:lvlText w:val="%7."/>
      <w:lvlJc w:val="left"/>
      <w:pPr>
        <w:ind w:left="5040" w:hanging="360"/>
      </w:pPr>
    </w:lvl>
    <w:lvl w:ilvl="7" w:tplc="7BF2817E">
      <w:start w:val="1"/>
      <w:numFmt w:val="lowerLetter"/>
      <w:lvlText w:val="%8."/>
      <w:lvlJc w:val="left"/>
      <w:pPr>
        <w:ind w:left="5760" w:hanging="360"/>
      </w:pPr>
    </w:lvl>
    <w:lvl w:ilvl="8" w:tplc="5B229082">
      <w:start w:val="1"/>
      <w:numFmt w:val="lowerRoman"/>
      <w:lvlText w:val="%9."/>
      <w:lvlJc w:val="right"/>
      <w:pPr>
        <w:ind w:left="6480" w:hanging="180"/>
      </w:pPr>
    </w:lvl>
  </w:abstractNum>
  <w:abstractNum w:abstractNumId="433" w15:restartNumberingAfterBreak="0">
    <w:nsid w:val="48397EFD"/>
    <w:multiLevelType w:val="multilevel"/>
    <w:tmpl w:val="14625D6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4" w15:restartNumberingAfterBreak="0">
    <w:nsid w:val="483B528B"/>
    <w:multiLevelType w:val="hybridMultilevel"/>
    <w:tmpl w:val="FFFFFFFF"/>
    <w:lvl w:ilvl="0" w:tplc="7F821BE2">
      <w:start w:val="10"/>
      <w:numFmt w:val="decimal"/>
      <w:lvlText w:val="%1."/>
      <w:lvlJc w:val="left"/>
      <w:pPr>
        <w:ind w:left="720" w:hanging="360"/>
      </w:pPr>
    </w:lvl>
    <w:lvl w:ilvl="1" w:tplc="2B82A458">
      <w:start w:val="1"/>
      <w:numFmt w:val="lowerLetter"/>
      <w:lvlText w:val="%2."/>
      <w:lvlJc w:val="left"/>
      <w:pPr>
        <w:ind w:left="1440" w:hanging="360"/>
      </w:pPr>
    </w:lvl>
    <w:lvl w:ilvl="2" w:tplc="347624B2">
      <w:start w:val="1"/>
      <w:numFmt w:val="lowerRoman"/>
      <w:lvlText w:val="%3."/>
      <w:lvlJc w:val="right"/>
      <w:pPr>
        <w:ind w:left="2160" w:hanging="180"/>
      </w:pPr>
    </w:lvl>
    <w:lvl w:ilvl="3" w:tplc="10803E08">
      <w:start w:val="1"/>
      <w:numFmt w:val="decimal"/>
      <w:lvlText w:val="%4."/>
      <w:lvlJc w:val="left"/>
      <w:pPr>
        <w:ind w:left="2880" w:hanging="360"/>
      </w:pPr>
    </w:lvl>
    <w:lvl w:ilvl="4" w:tplc="1CD0DEAC">
      <w:start w:val="1"/>
      <w:numFmt w:val="lowerLetter"/>
      <w:lvlText w:val="%5."/>
      <w:lvlJc w:val="left"/>
      <w:pPr>
        <w:ind w:left="3600" w:hanging="360"/>
      </w:pPr>
    </w:lvl>
    <w:lvl w:ilvl="5" w:tplc="218C4D84">
      <w:start w:val="1"/>
      <w:numFmt w:val="lowerRoman"/>
      <w:lvlText w:val="%6."/>
      <w:lvlJc w:val="right"/>
      <w:pPr>
        <w:ind w:left="4320" w:hanging="180"/>
      </w:pPr>
    </w:lvl>
    <w:lvl w:ilvl="6" w:tplc="3A763472">
      <w:start w:val="1"/>
      <w:numFmt w:val="decimal"/>
      <w:lvlText w:val="%7."/>
      <w:lvlJc w:val="left"/>
      <w:pPr>
        <w:ind w:left="5040" w:hanging="360"/>
      </w:pPr>
    </w:lvl>
    <w:lvl w:ilvl="7" w:tplc="79B8FE1C">
      <w:start w:val="1"/>
      <w:numFmt w:val="lowerLetter"/>
      <w:lvlText w:val="%8."/>
      <w:lvlJc w:val="left"/>
      <w:pPr>
        <w:ind w:left="5760" w:hanging="360"/>
      </w:pPr>
    </w:lvl>
    <w:lvl w:ilvl="8" w:tplc="FE1E7EBA">
      <w:start w:val="1"/>
      <w:numFmt w:val="lowerRoman"/>
      <w:lvlText w:val="%9."/>
      <w:lvlJc w:val="right"/>
      <w:pPr>
        <w:ind w:left="6480" w:hanging="180"/>
      </w:pPr>
    </w:lvl>
  </w:abstractNum>
  <w:abstractNum w:abstractNumId="435" w15:restartNumberingAfterBreak="0">
    <w:nsid w:val="485B142E"/>
    <w:multiLevelType w:val="hybridMultilevel"/>
    <w:tmpl w:val="E45670F2"/>
    <w:lvl w:ilvl="0" w:tplc="18090019">
      <w:start w:val="1"/>
      <w:numFmt w:val="lowerLetter"/>
      <w:lvlText w:val="%1."/>
      <w:lvlJc w:val="left"/>
      <w:pPr>
        <w:ind w:left="720" w:hanging="360"/>
      </w:pPr>
    </w:lvl>
    <w:lvl w:ilvl="1" w:tplc="1809001B">
      <w:start w:val="1"/>
      <w:numFmt w:val="lowerRoman"/>
      <w:lvlText w:val="%2."/>
      <w:lvlJc w:val="righ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6" w15:restartNumberingAfterBreak="0">
    <w:nsid w:val="487B4A95"/>
    <w:multiLevelType w:val="hybridMultilevel"/>
    <w:tmpl w:val="D7FA092A"/>
    <w:lvl w:ilvl="0" w:tplc="EF6EEC0C">
      <w:start w:val="1"/>
      <w:numFmt w:val="lowerLetter"/>
      <w:lvlText w:val="%1)"/>
      <w:lvlJc w:val="left"/>
      <w:pPr>
        <w:ind w:left="108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7" w15:restartNumberingAfterBreak="0">
    <w:nsid w:val="4890172E"/>
    <w:multiLevelType w:val="hybridMultilevel"/>
    <w:tmpl w:val="FFFFFFFF"/>
    <w:lvl w:ilvl="0" w:tplc="3BB4CCB0">
      <w:start w:val="1"/>
      <w:numFmt w:val="bullet"/>
      <w:lvlText w:val="-"/>
      <w:lvlJc w:val="left"/>
      <w:pPr>
        <w:ind w:left="720" w:hanging="360"/>
      </w:pPr>
      <w:rPr>
        <w:rFonts w:ascii="Wingdings" w:hAnsi="Wingdings" w:hint="default"/>
      </w:rPr>
    </w:lvl>
    <w:lvl w:ilvl="1" w:tplc="F67EFD16">
      <w:start w:val="1"/>
      <w:numFmt w:val="bullet"/>
      <w:lvlText w:val="o"/>
      <w:lvlJc w:val="left"/>
      <w:pPr>
        <w:ind w:left="1440" w:hanging="360"/>
      </w:pPr>
      <w:rPr>
        <w:rFonts w:ascii="Courier New" w:hAnsi="Courier New" w:hint="default"/>
      </w:rPr>
    </w:lvl>
    <w:lvl w:ilvl="2" w:tplc="E0189C88">
      <w:start w:val="1"/>
      <w:numFmt w:val="bullet"/>
      <w:lvlText w:val=""/>
      <w:lvlJc w:val="left"/>
      <w:pPr>
        <w:ind w:left="2160" w:hanging="360"/>
      </w:pPr>
      <w:rPr>
        <w:rFonts w:ascii="Cambria Math" w:hAnsi="Cambria Math" w:hint="default"/>
      </w:rPr>
    </w:lvl>
    <w:lvl w:ilvl="3" w:tplc="AE14D020">
      <w:start w:val="1"/>
      <w:numFmt w:val="bullet"/>
      <w:lvlText w:val=""/>
      <w:lvlJc w:val="left"/>
      <w:pPr>
        <w:ind w:left="2880" w:hanging="360"/>
      </w:pPr>
      <w:rPr>
        <w:rFonts w:ascii="Segoe UI" w:hAnsi="Segoe UI" w:hint="default"/>
      </w:rPr>
    </w:lvl>
    <w:lvl w:ilvl="4" w:tplc="1B5C0688">
      <w:start w:val="1"/>
      <w:numFmt w:val="bullet"/>
      <w:lvlText w:val="o"/>
      <w:lvlJc w:val="left"/>
      <w:pPr>
        <w:ind w:left="3600" w:hanging="360"/>
      </w:pPr>
      <w:rPr>
        <w:rFonts w:ascii="Courier New" w:hAnsi="Courier New" w:hint="default"/>
      </w:rPr>
    </w:lvl>
    <w:lvl w:ilvl="5" w:tplc="11B811CC">
      <w:start w:val="1"/>
      <w:numFmt w:val="bullet"/>
      <w:lvlText w:val=""/>
      <w:lvlJc w:val="left"/>
      <w:pPr>
        <w:ind w:left="4320" w:hanging="360"/>
      </w:pPr>
      <w:rPr>
        <w:rFonts w:ascii="Cambria Math" w:hAnsi="Cambria Math" w:hint="default"/>
      </w:rPr>
    </w:lvl>
    <w:lvl w:ilvl="6" w:tplc="00E0D25C">
      <w:start w:val="1"/>
      <w:numFmt w:val="bullet"/>
      <w:lvlText w:val=""/>
      <w:lvlJc w:val="left"/>
      <w:pPr>
        <w:ind w:left="5040" w:hanging="360"/>
      </w:pPr>
      <w:rPr>
        <w:rFonts w:ascii="Segoe UI" w:hAnsi="Segoe UI" w:hint="default"/>
      </w:rPr>
    </w:lvl>
    <w:lvl w:ilvl="7" w:tplc="CDAAA7F6">
      <w:start w:val="1"/>
      <w:numFmt w:val="bullet"/>
      <w:lvlText w:val="o"/>
      <w:lvlJc w:val="left"/>
      <w:pPr>
        <w:ind w:left="5760" w:hanging="360"/>
      </w:pPr>
      <w:rPr>
        <w:rFonts w:ascii="Courier New" w:hAnsi="Courier New" w:hint="default"/>
      </w:rPr>
    </w:lvl>
    <w:lvl w:ilvl="8" w:tplc="2E0CCC68">
      <w:start w:val="1"/>
      <w:numFmt w:val="bullet"/>
      <w:lvlText w:val=""/>
      <w:lvlJc w:val="left"/>
      <w:pPr>
        <w:ind w:left="6480" w:hanging="360"/>
      </w:pPr>
      <w:rPr>
        <w:rFonts w:ascii="Cambria Math" w:hAnsi="Cambria Math" w:hint="default"/>
      </w:rPr>
    </w:lvl>
  </w:abstractNum>
  <w:abstractNum w:abstractNumId="438" w15:restartNumberingAfterBreak="0">
    <w:nsid w:val="48C90469"/>
    <w:multiLevelType w:val="hybridMultilevel"/>
    <w:tmpl w:val="A83C9AC2"/>
    <w:lvl w:ilvl="0" w:tplc="04090001">
      <w:start w:val="1"/>
      <w:numFmt w:val="bullet"/>
      <w:lvlText w:val=""/>
      <w:lvlJc w:val="left"/>
      <w:pPr>
        <w:ind w:left="1146" w:hanging="360"/>
      </w:pPr>
      <w:rPr>
        <w:rFonts w:ascii="Segoe UI" w:hAnsi="Segoe UI"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Cambria Math" w:hAnsi="Cambria Math" w:hint="default"/>
      </w:rPr>
    </w:lvl>
    <w:lvl w:ilvl="3" w:tplc="04090001" w:tentative="1">
      <w:start w:val="1"/>
      <w:numFmt w:val="bullet"/>
      <w:lvlText w:val=""/>
      <w:lvlJc w:val="left"/>
      <w:pPr>
        <w:ind w:left="3306" w:hanging="360"/>
      </w:pPr>
      <w:rPr>
        <w:rFonts w:ascii="Segoe UI" w:hAnsi="Segoe UI"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Cambria Math" w:hAnsi="Cambria Math" w:hint="default"/>
      </w:rPr>
    </w:lvl>
    <w:lvl w:ilvl="6" w:tplc="04090001" w:tentative="1">
      <w:start w:val="1"/>
      <w:numFmt w:val="bullet"/>
      <w:lvlText w:val=""/>
      <w:lvlJc w:val="left"/>
      <w:pPr>
        <w:ind w:left="5466" w:hanging="360"/>
      </w:pPr>
      <w:rPr>
        <w:rFonts w:ascii="Segoe UI" w:hAnsi="Segoe UI"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Cambria Math" w:hAnsi="Cambria Math" w:hint="default"/>
      </w:rPr>
    </w:lvl>
  </w:abstractNum>
  <w:abstractNum w:abstractNumId="439" w15:restartNumberingAfterBreak="0">
    <w:nsid w:val="48EB12EE"/>
    <w:multiLevelType w:val="multilevel"/>
    <w:tmpl w:val="EE165CF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0" w15:restartNumberingAfterBreak="0">
    <w:nsid w:val="48FC77B1"/>
    <w:multiLevelType w:val="hybridMultilevel"/>
    <w:tmpl w:val="FFFFFFFF"/>
    <w:lvl w:ilvl="0" w:tplc="75B658A6">
      <w:start w:val="3"/>
      <w:numFmt w:val="decimal"/>
      <w:lvlText w:val="%1."/>
      <w:lvlJc w:val="left"/>
      <w:pPr>
        <w:ind w:left="720" w:hanging="360"/>
      </w:pPr>
    </w:lvl>
    <w:lvl w:ilvl="1" w:tplc="7584D310">
      <w:start w:val="1"/>
      <w:numFmt w:val="lowerLetter"/>
      <w:lvlText w:val="%2."/>
      <w:lvlJc w:val="left"/>
      <w:pPr>
        <w:ind w:left="1440" w:hanging="360"/>
      </w:pPr>
    </w:lvl>
    <w:lvl w:ilvl="2" w:tplc="A5A09F02">
      <w:start w:val="1"/>
      <w:numFmt w:val="lowerRoman"/>
      <w:lvlText w:val="%3."/>
      <w:lvlJc w:val="right"/>
      <w:pPr>
        <w:ind w:left="2160" w:hanging="180"/>
      </w:pPr>
    </w:lvl>
    <w:lvl w:ilvl="3" w:tplc="85B048FA">
      <w:start w:val="1"/>
      <w:numFmt w:val="decimal"/>
      <w:lvlText w:val="%4."/>
      <w:lvlJc w:val="left"/>
      <w:pPr>
        <w:ind w:left="2880" w:hanging="360"/>
      </w:pPr>
    </w:lvl>
    <w:lvl w:ilvl="4" w:tplc="17F8DA0E">
      <w:start w:val="1"/>
      <w:numFmt w:val="lowerLetter"/>
      <w:lvlText w:val="%5."/>
      <w:lvlJc w:val="left"/>
      <w:pPr>
        <w:ind w:left="3600" w:hanging="360"/>
      </w:pPr>
    </w:lvl>
    <w:lvl w:ilvl="5" w:tplc="C8481808">
      <w:start w:val="1"/>
      <w:numFmt w:val="lowerRoman"/>
      <w:lvlText w:val="%6."/>
      <w:lvlJc w:val="right"/>
      <w:pPr>
        <w:ind w:left="4320" w:hanging="180"/>
      </w:pPr>
    </w:lvl>
    <w:lvl w:ilvl="6" w:tplc="5DB69FEA">
      <w:start w:val="1"/>
      <w:numFmt w:val="decimal"/>
      <w:lvlText w:val="%7."/>
      <w:lvlJc w:val="left"/>
      <w:pPr>
        <w:ind w:left="5040" w:hanging="360"/>
      </w:pPr>
    </w:lvl>
    <w:lvl w:ilvl="7" w:tplc="54103C44">
      <w:start w:val="1"/>
      <w:numFmt w:val="lowerLetter"/>
      <w:lvlText w:val="%8."/>
      <w:lvlJc w:val="left"/>
      <w:pPr>
        <w:ind w:left="5760" w:hanging="360"/>
      </w:pPr>
    </w:lvl>
    <w:lvl w:ilvl="8" w:tplc="725A59E2">
      <w:start w:val="1"/>
      <w:numFmt w:val="lowerRoman"/>
      <w:lvlText w:val="%9."/>
      <w:lvlJc w:val="right"/>
      <w:pPr>
        <w:ind w:left="6480" w:hanging="180"/>
      </w:pPr>
    </w:lvl>
  </w:abstractNum>
  <w:abstractNum w:abstractNumId="441" w15:restartNumberingAfterBreak="0">
    <w:nsid w:val="4915D071"/>
    <w:multiLevelType w:val="hybridMultilevel"/>
    <w:tmpl w:val="FFFFFFFF"/>
    <w:lvl w:ilvl="0" w:tplc="2EE0A928">
      <w:start w:val="11"/>
      <w:numFmt w:val="decimal"/>
      <w:lvlText w:val="%1."/>
      <w:lvlJc w:val="left"/>
      <w:pPr>
        <w:ind w:left="720" w:hanging="360"/>
      </w:pPr>
    </w:lvl>
    <w:lvl w:ilvl="1" w:tplc="EAB2449E">
      <w:start w:val="1"/>
      <w:numFmt w:val="lowerLetter"/>
      <w:lvlText w:val="%2."/>
      <w:lvlJc w:val="left"/>
      <w:pPr>
        <w:ind w:left="1440" w:hanging="360"/>
      </w:pPr>
    </w:lvl>
    <w:lvl w:ilvl="2" w:tplc="C9AEC134">
      <w:start w:val="1"/>
      <w:numFmt w:val="lowerRoman"/>
      <w:lvlText w:val="%3."/>
      <w:lvlJc w:val="right"/>
      <w:pPr>
        <w:ind w:left="2160" w:hanging="180"/>
      </w:pPr>
    </w:lvl>
    <w:lvl w:ilvl="3" w:tplc="A132A81C">
      <w:start w:val="1"/>
      <w:numFmt w:val="decimal"/>
      <w:lvlText w:val="%4."/>
      <w:lvlJc w:val="left"/>
      <w:pPr>
        <w:ind w:left="2880" w:hanging="360"/>
      </w:pPr>
    </w:lvl>
    <w:lvl w:ilvl="4" w:tplc="C2AA79EC">
      <w:start w:val="1"/>
      <w:numFmt w:val="lowerLetter"/>
      <w:lvlText w:val="%5."/>
      <w:lvlJc w:val="left"/>
      <w:pPr>
        <w:ind w:left="3600" w:hanging="360"/>
      </w:pPr>
    </w:lvl>
    <w:lvl w:ilvl="5" w:tplc="BFB2A5F0">
      <w:start w:val="1"/>
      <w:numFmt w:val="lowerRoman"/>
      <w:lvlText w:val="%6."/>
      <w:lvlJc w:val="right"/>
      <w:pPr>
        <w:ind w:left="4320" w:hanging="180"/>
      </w:pPr>
    </w:lvl>
    <w:lvl w:ilvl="6" w:tplc="9226222C">
      <w:start w:val="1"/>
      <w:numFmt w:val="decimal"/>
      <w:lvlText w:val="%7."/>
      <w:lvlJc w:val="left"/>
      <w:pPr>
        <w:ind w:left="5040" w:hanging="360"/>
      </w:pPr>
    </w:lvl>
    <w:lvl w:ilvl="7" w:tplc="62E41EAC">
      <w:start w:val="1"/>
      <w:numFmt w:val="lowerLetter"/>
      <w:lvlText w:val="%8."/>
      <w:lvlJc w:val="left"/>
      <w:pPr>
        <w:ind w:left="5760" w:hanging="360"/>
      </w:pPr>
    </w:lvl>
    <w:lvl w:ilvl="8" w:tplc="1B82CF3E">
      <w:start w:val="1"/>
      <w:numFmt w:val="lowerRoman"/>
      <w:lvlText w:val="%9."/>
      <w:lvlJc w:val="right"/>
      <w:pPr>
        <w:ind w:left="6480" w:hanging="180"/>
      </w:pPr>
    </w:lvl>
  </w:abstractNum>
  <w:abstractNum w:abstractNumId="442" w15:restartNumberingAfterBreak="0">
    <w:nsid w:val="492A0F6F"/>
    <w:multiLevelType w:val="hybridMultilevel"/>
    <w:tmpl w:val="FFFFFFFF"/>
    <w:lvl w:ilvl="0" w:tplc="B6BAA23E">
      <w:start w:val="8"/>
      <w:numFmt w:val="decimal"/>
      <w:lvlText w:val="%1."/>
      <w:lvlJc w:val="left"/>
      <w:pPr>
        <w:ind w:left="720" w:hanging="360"/>
      </w:pPr>
    </w:lvl>
    <w:lvl w:ilvl="1" w:tplc="CD5E39DA">
      <w:start w:val="1"/>
      <w:numFmt w:val="lowerLetter"/>
      <w:lvlText w:val="%2."/>
      <w:lvlJc w:val="left"/>
      <w:pPr>
        <w:ind w:left="1440" w:hanging="360"/>
      </w:pPr>
    </w:lvl>
    <w:lvl w:ilvl="2" w:tplc="B6A219F0">
      <w:start w:val="1"/>
      <w:numFmt w:val="lowerRoman"/>
      <w:lvlText w:val="%3."/>
      <w:lvlJc w:val="right"/>
      <w:pPr>
        <w:ind w:left="2160" w:hanging="180"/>
      </w:pPr>
    </w:lvl>
    <w:lvl w:ilvl="3" w:tplc="7ACC67FA">
      <w:start w:val="1"/>
      <w:numFmt w:val="decimal"/>
      <w:lvlText w:val="%4."/>
      <w:lvlJc w:val="left"/>
      <w:pPr>
        <w:ind w:left="2880" w:hanging="360"/>
      </w:pPr>
    </w:lvl>
    <w:lvl w:ilvl="4" w:tplc="80945330">
      <w:start w:val="1"/>
      <w:numFmt w:val="lowerLetter"/>
      <w:lvlText w:val="%5."/>
      <w:lvlJc w:val="left"/>
      <w:pPr>
        <w:ind w:left="3600" w:hanging="360"/>
      </w:pPr>
    </w:lvl>
    <w:lvl w:ilvl="5" w:tplc="DF1CE57A">
      <w:start w:val="1"/>
      <w:numFmt w:val="lowerRoman"/>
      <w:lvlText w:val="%6."/>
      <w:lvlJc w:val="right"/>
      <w:pPr>
        <w:ind w:left="4320" w:hanging="180"/>
      </w:pPr>
    </w:lvl>
    <w:lvl w:ilvl="6" w:tplc="3970EC86">
      <w:start w:val="1"/>
      <w:numFmt w:val="decimal"/>
      <w:lvlText w:val="%7."/>
      <w:lvlJc w:val="left"/>
      <w:pPr>
        <w:ind w:left="5040" w:hanging="360"/>
      </w:pPr>
    </w:lvl>
    <w:lvl w:ilvl="7" w:tplc="85A20DBA">
      <w:start w:val="1"/>
      <w:numFmt w:val="lowerLetter"/>
      <w:lvlText w:val="%8."/>
      <w:lvlJc w:val="left"/>
      <w:pPr>
        <w:ind w:left="5760" w:hanging="360"/>
      </w:pPr>
    </w:lvl>
    <w:lvl w:ilvl="8" w:tplc="D3D4FDF2">
      <w:start w:val="1"/>
      <w:numFmt w:val="lowerRoman"/>
      <w:lvlText w:val="%9."/>
      <w:lvlJc w:val="right"/>
      <w:pPr>
        <w:ind w:left="6480" w:hanging="180"/>
      </w:pPr>
    </w:lvl>
  </w:abstractNum>
  <w:abstractNum w:abstractNumId="443" w15:restartNumberingAfterBreak="0">
    <w:nsid w:val="495C0E24"/>
    <w:multiLevelType w:val="hybridMultilevel"/>
    <w:tmpl w:val="D68A0C9A"/>
    <w:lvl w:ilvl="0" w:tplc="04090011">
      <w:start w:val="1"/>
      <w:numFmt w:val="decimal"/>
      <w:lvlText w:val="%1)"/>
      <w:lvlJc w:val="lef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Cambria Math" w:hAnsi="Cambria Math"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Cambria Math" w:hAnsi="Cambria Math"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Cambria Math" w:hAnsi="Cambria Math" w:hint="default"/>
      </w:rPr>
    </w:lvl>
  </w:abstractNum>
  <w:abstractNum w:abstractNumId="444" w15:restartNumberingAfterBreak="0">
    <w:nsid w:val="49E21ADC"/>
    <w:multiLevelType w:val="multilevel"/>
    <w:tmpl w:val="59A20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5" w15:restartNumberingAfterBreak="0">
    <w:nsid w:val="49E2FE03"/>
    <w:multiLevelType w:val="multilevel"/>
    <w:tmpl w:val="FFFFFFFF"/>
    <w:lvl w:ilvl="0">
      <w:start w:val="1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6" w15:restartNumberingAfterBreak="0">
    <w:nsid w:val="49E34E33"/>
    <w:multiLevelType w:val="multilevel"/>
    <w:tmpl w:val="1AA44D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7" w15:restartNumberingAfterBreak="0">
    <w:nsid w:val="4A100B21"/>
    <w:multiLevelType w:val="hybridMultilevel"/>
    <w:tmpl w:val="E640C21C"/>
    <w:lvl w:ilvl="0" w:tplc="1809000F">
      <w:start w:val="1"/>
      <w:numFmt w:val="decimal"/>
      <w:lvlText w:val="%1."/>
      <w:lvlJc w:val="left"/>
      <w:pPr>
        <w:ind w:left="720" w:hanging="360"/>
      </w:pPr>
    </w:lvl>
    <w:lvl w:ilvl="1" w:tplc="295AC798">
      <w:start w:val="1"/>
      <w:numFmt w:val="decimal"/>
      <w:lvlText w:val="%2."/>
      <w:lvlJc w:val="left"/>
      <w:pPr>
        <w:ind w:left="1440" w:hanging="360"/>
      </w:pPr>
      <w:rPr>
        <w:rFonts w:ascii="Times New Roman" w:eastAsiaTheme="minorHAnsi" w:hAnsi="Times New Roman" w:cs="Times New Roman"/>
        <w:lang w:val="en-IE"/>
      </w:r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8" w15:restartNumberingAfterBreak="0">
    <w:nsid w:val="4A142CC1"/>
    <w:multiLevelType w:val="multilevel"/>
    <w:tmpl w:val="5D54D40A"/>
    <w:lvl w:ilvl="0">
      <w:start w:val="1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49" w15:restartNumberingAfterBreak="0">
    <w:nsid w:val="4A1C5412"/>
    <w:multiLevelType w:val="hybridMultilevel"/>
    <w:tmpl w:val="FFFFFFFF"/>
    <w:lvl w:ilvl="0" w:tplc="03AACEC4">
      <w:start w:val="9"/>
      <w:numFmt w:val="decimal"/>
      <w:lvlText w:val="%1."/>
      <w:lvlJc w:val="left"/>
      <w:pPr>
        <w:ind w:left="720" w:hanging="360"/>
      </w:pPr>
    </w:lvl>
    <w:lvl w:ilvl="1" w:tplc="AFDC1670">
      <w:start w:val="1"/>
      <w:numFmt w:val="lowerLetter"/>
      <w:lvlText w:val="%2."/>
      <w:lvlJc w:val="left"/>
      <w:pPr>
        <w:ind w:left="1440" w:hanging="360"/>
      </w:pPr>
    </w:lvl>
    <w:lvl w:ilvl="2" w:tplc="26C82212">
      <w:start w:val="1"/>
      <w:numFmt w:val="lowerRoman"/>
      <w:lvlText w:val="%3."/>
      <w:lvlJc w:val="right"/>
      <w:pPr>
        <w:ind w:left="2160" w:hanging="180"/>
      </w:pPr>
    </w:lvl>
    <w:lvl w:ilvl="3" w:tplc="7FE85760">
      <w:start w:val="1"/>
      <w:numFmt w:val="decimal"/>
      <w:lvlText w:val="%4."/>
      <w:lvlJc w:val="left"/>
      <w:pPr>
        <w:ind w:left="2880" w:hanging="360"/>
      </w:pPr>
    </w:lvl>
    <w:lvl w:ilvl="4" w:tplc="84C057FE">
      <w:start w:val="1"/>
      <w:numFmt w:val="lowerLetter"/>
      <w:lvlText w:val="%5."/>
      <w:lvlJc w:val="left"/>
      <w:pPr>
        <w:ind w:left="3600" w:hanging="360"/>
      </w:pPr>
    </w:lvl>
    <w:lvl w:ilvl="5" w:tplc="2A9ACB2E">
      <w:start w:val="1"/>
      <w:numFmt w:val="lowerRoman"/>
      <w:lvlText w:val="%6."/>
      <w:lvlJc w:val="right"/>
      <w:pPr>
        <w:ind w:left="4320" w:hanging="180"/>
      </w:pPr>
    </w:lvl>
    <w:lvl w:ilvl="6" w:tplc="21D07984">
      <w:start w:val="1"/>
      <w:numFmt w:val="decimal"/>
      <w:lvlText w:val="%7."/>
      <w:lvlJc w:val="left"/>
      <w:pPr>
        <w:ind w:left="5040" w:hanging="360"/>
      </w:pPr>
    </w:lvl>
    <w:lvl w:ilvl="7" w:tplc="1856F046">
      <w:start w:val="1"/>
      <w:numFmt w:val="lowerLetter"/>
      <w:lvlText w:val="%8."/>
      <w:lvlJc w:val="left"/>
      <w:pPr>
        <w:ind w:left="5760" w:hanging="360"/>
      </w:pPr>
    </w:lvl>
    <w:lvl w:ilvl="8" w:tplc="541AC522">
      <w:start w:val="1"/>
      <w:numFmt w:val="lowerRoman"/>
      <w:lvlText w:val="%9."/>
      <w:lvlJc w:val="right"/>
      <w:pPr>
        <w:ind w:left="6480" w:hanging="180"/>
      </w:pPr>
    </w:lvl>
  </w:abstractNum>
  <w:abstractNum w:abstractNumId="450" w15:restartNumberingAfterBreak="0">
    <w:nsid w:val="4A544A98"/>
    <w:multiLevelType w:val="hybridMultilevel"/>
    <w:tmpl w:val="B2CA72D2"/>
    <w:lvl w:ilvl="0" w:tplc="D852426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51" w15:restartNumberingAfterBreak="0">
    <w:nsid w:val="4AC4F422"/>
    <w:multiLevelType w:val="hybridMultilevel"/>
    <w:tmpl w:val="FFFFFFFF"/>
    <w:lvl w:ilvl="0" w:tplc="998E45FA">
      <w:start w:val="1"/>
      <w:numFmt w:val="bullet"/>
      <w:lvlText w:val=""/>
      <w:lvlJc w:val="left"/>
      <w:pPr>
        <w:ind w:left="720" w:hanging="360"/>
      </w:pPr>
      <w:rPr>
        <w:rFonts w:ascii="Segoe UI" w:hAnsi="Segoe UI" w:hint="default"/>
      </w:rPr>
    </w:lvl>
    <w:lvl w:ilvl="1" w:tplc="061A7F9E">
      <w:start w:val="1"/>
      <w:numFmt w:val="bullet"/>
      <w:lvlText w:val="o"/>
      <w:lvlJc w:val="left"/>
      <w:pPr>
        <w:ind w:left="1440" w:hanging="360"/>
      </w:pPr>
      <w:rPr>
        <w:rFonts w:ascii="Courier New" w:hAnsi="Courier New" w:hint="default"/>
      </w:rPr>
    </w:lvl>
    <w:lvl w:ilvl="2" w:tplc="4D8445D2">
      <w:start w:val="1"/>
      <w:numFmt w:val="bullet"/>
      <w:lvlText w:val=""/>
      <w:lvlJc w:val="left"/>
      <w:pPr>
        <w:ind w:left="2160" w:hanging="360"/>
      </w:pPr>
      <w:rPr>
        <w:rFonts w:ascii="Cambria Math" w:hAnsi="Cambria Math" w:hint="default"/>
      </w:rPr>
    </w:lvl>
    <w:lvl w:ilvl="3" w:tplc="DCCC24B6">
      <w:start w:val="1"/>
      <w:numFmt w:val="bullet"/>
      <w:lvlText w:val=""/>
      <w:lvlJc w:val="left"/>
      <w:pPr>
        <w:ind w:left="2880" w:hanging="360"/>
      </w:pPr>
      <w:rPr>
        <w:rFonts w:ascii="Segoe UI" w:hAnsi="Segoe UI" w:hint="default"/>
      </w:rPr>
    </w:lvl>
    <w:lvl w:ilvl="4" w:tplc="E196C9A8">
      <w:start w:val="1"/>
      <w:numFmt w:val="bullet"/>
      <w:lvlText w:val="o"/>
      <w:lvlJc w:val="left"/>
      <w:pPr>
        <w:ind w:left="3600" w:hanging="360"/>
      </w:pPr>
      <w:rPr>
        <w:rFonts w:ascii="Courier New" w:hAnsi="Courier New" w:hint="default"/>
      </w:rPr>
    </w:lvl>
    <w:lvl w:ilvl="5" w:tplc="DF14B97E">
      <w:start w:val="1"/>
      <w:numFmt w:val="bullet"/>
      <w:lvlText w:val=""/>
      <w:lvlJc w:val="left"/>
      <w:pPr>
        <w:ind w:left="4320" w:hanging="360"/>
      </w:pPr>
      <w:rPr>
        <w:rFonts w:ascii="Cambria Math" w:hAnsi="Cambria Math" w:hint="default"/>
      </w:rPr>
    </w:lvl>
    <w:lvl w:ilvl="6" w:tplc="BA86517A">
      <w:start w:val="1"/>
      <w:numFmt w:val="bullet"/>
      <w:lvlText w:val=""/>
      <w:lvlJc w:val="left"/>
      <w:pPr>
        <w:ind w:left="5040" w:hanging="360"/>
      </w:pPr>
      <w:rPr>
        <w:rFonts w:ascii="Segoe UI" w:hAnsi="Segoe UI" w:hint="default"/>
      </w:rPr>
    </w:lvl>
    <w:lvl w:ilvl="7" w:tplc="43241E1A">
      <w:start w:val="1"/>
      <w:numFmt w:val="bullet"/>
      <w:lvlText w:val="o"/>
      <w:lvlJc w:val="left"/>
      <w:pPr>
        <w:ind w:left="5760" w:hanging="360"/>
      </w:pPr>
      <w:rPr>
        <w:rFonts w:ascii="Courier New" w:hAnsi="Courier New" w:hint="default"/>
      </w:rPr>
    </w:lvl>
    <w:lvl w:ilvl="8" w:tplc="20301AF0">
      <w:start w:val="1"/>
      <w:numFmt w:val="bullet"/>
      <w:lvlText w:val=""/>
      <w:lvlJc w:val="left"/>
      <w:pPr>
        <w:ind w:left="6480" w:hanging="360"/>
      </w:pPr>
      <w:rPr>
        <w:rFonts w:ascii="Cambria Math" w:hAnsi="Cambria Math" w:hint="default"/>
      </w:rPr>
    </w:lvl>
  </w:abstractNum>
  <w:abstractNum w:abstractNumId="452" w15:restartNumberingAfterBreak="0">
    <w:nsid w:val="4ACD50C2"/>
    <w:multiLevelType w:val="hybridMultilevel"/>
    <w:tmpl w:val="FFFFFFFF"/>
    <w:lvl w:ilvl="0" w:tplc="0E1459E4">
      <w:start w:val="6"/>
      <w:numFmt w:val="decimal"/>
      <w:lvlText w:val="%1."/>
      <w:lvlJc w:val="left"/>
      <w:pPr>
        <w:ind w:left="720" w:hanging="360"/>
      </w:pPr>
    </w:lvl>
    <w:lvl w:ilvl="1" w:tplc="164816D0">
      <w:start w:val="1"/>
      <w:numFmt w:val="lowerLetter"/>
      <w:lvlText w:val="%2."/>
      <w:lvlJc w:val="left"/>
      <w:pPr>
        <w:ind w:left="1440" w:hanging="360"/>
      </w:pPr>
    </w:lvl>
    <w:lvl w:ilvl="2" w:tplc="84E265F8">
      <w:start w:val="1"/>
      <w:numFmt w:val="lowerRoman"/>
      <w:lvlText w:val="%3."/>
      <w:lvlJc w:val="right"/>
      <w:pPr>
        <w:ind w:left="2160" w:hanging="180"/>
      </w:pPr>
    </w:lvl>
    <w:lvl w:ilvl="3" w:tplc="49B8967A">
      <w:start w:val="1"/>
      <w:numFmt w:val="decimal"/>
      <w:lvlText w:val="%4."/>
      <w:lvlJc w:val="left"/>
      <w:pPr>
        <w:ind w:left="2880" w:hanging="360"/>
      </w:pPr>
    </w:lvl>
    <w:lvl w:ilvl="4" w:tplc="4B72ACA0">
      <w:start w:val="1"/>
      <w:numFmt w:val="lowerLetter"/>
      <w:lvlText w:val="%5."/>
      <w:lvlJc w:val="left"/>
      <w:pPr>
        <w:ind w:left="3600" w:hanging="360"/>
      </w:pPr>
    </w:lvl>
    <w:lvl w:ilvl="5" w:tplc="E7E6EB1C">
      <w:start w:val="1"/>
      <w:numFmt w:val="lowerRoman"/>
      <w:lvlText w:val="%6."/>
      <w:lvlJc w:val="right"/>
      <w:pPr>
        <w:ind w:left="4320" w:hanging="180"/>
      </w:pPr>
    </w:lvl>
    <w:lvl w:ilvl="6" w:tplc="4C0CD5D2">
      <w:start w:val="1"/>
      <w:numFmt w:val="decimal"/>
      <w:lvlText w:val="%7."/>
      <w:lvlJc w:val="left"/>
      <w:pPr>
        <w:ind w:left="5040" w:hanging="360"/>
      </w:pPr>
    </w:lvl>
    <w:lvl w:ilvl="7" w:tplc="9B92CA5E">
      <w:start w:val="1"/>
      <w:numFmt w:val="lowerLetter"/>
      <w:lvlText w:val="%8."/>
      <w:lvlJc w:val="left"/>
      <w:pPr>
        <w:ind w:left="5760" w:hanging="360"/>
      </w:pPr>
    </w:lvl>
    <w:lvl w:ilvl="8" w:tplc="309AFE0E">
      <w:start w:val="1"/>
      <w:numFmt w:val="lowerRoman"/>
      <w:lvlText w:val="%9."/>
      <w:lvlJc w:val="right"/>
      <w:pPr>
        <w:ind w:left="6480" w:hanging="180"/>
      </w:pPr>
    </w:lvl>
  </w:abstractNum>
  <w:abstractNum w:abstractNumId="453" w15:restartNumberingAfterBreak="0">
    <w:nsid w:val="4B221C64"/>
    <w:multiLevelType w:val="hybridMultilevel"/>
    <w:tmpl w:val="E006F966"/>
    <w:lvl w:ilvl="0" w:tplc="6C30E62A">
      <w:start w:val="1"/>
      <w:numFmt w:val="bullet"/>
      <w:lvlText w:val="-"/>
      <w:lvlJc w:val="left"/>
      <w:pPr>
        <w:ind w:left="1440" w:hanging="360"/>
      </w:pPr>
      <w:rPr>
        <w:rFonts w:ascii="Calibri" w:hAnsi="Calibr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4" w15:restartNumberingAfterBreak="0">
    <w:nsid w:val="4B401D32"/>
    <w:multiLevelType w:val="multilevel"/>
    <w:tmpl w:val="18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5" w15:restartNumberingAfterBreak="0">
    <w:nsid w:val="4B7BC656"/>
    <w:multiLevelType w:val="hybridMultilevel"/>
    <w:tmpl w:val="FFFFFFFF"/>
    <w:lvl w:ilvl="0" w:tplc="F1BC6B3E">
      <w:start w:val="1"/>
      <w:numFmt w:val="lowerLetter"/>
      <w:lvlText w:val="%1."/>
      <w:lvlJc w:val="left"/>
      <w:pPr>
        <w:ind w:left="720" w:hanging="360"/>
      </w:pPr>
    </w:lvl>
    <w:lvl w:ilvl="1" w:tplc="CBD07CD8">
      <w:start w:val="1"/>
      <w:numFmt w:val="lowerRoman"/>
      <w:lvlText w:val="%2."/>
      <w:lvlJc w:val="right"/>
      <w:pPr>
        <w:ind w:left="1440" w:hanging="360"/>
      </w:pPr>
    </w:lvl>
    <w:lvl w:ilvl="2" w:tplc="E9E817C6">
      <w:start w:val="1"/>
      <w:numFmt w:val="lowerRoman"/>
      <w:lvlText w:val="%3."/>
      <w:lvlJc w:val="right"/>
      <w:pPr>
        <w:ind w:left="2160" w:hanging="180"/>
      </w:pPr>
    </w:lvl>
    <w:lvl w:ilvl="3" w:tplc="75886F1E">
      <w:start w:val="1"/>
      <w:numFmt w:val="decimal"/>
      <w:lvlText w:val="%4."/>
      <w:lvlJc w:val="left"/>
      <w:pPr>
        <w:ind w:left="2880" w:hanging="360"/>
      </w:pPr>
    </w:lvl>
    <w:lvl w:ilvl="4" w:tplc="42CAC498">
      <w:start w:val="1"/>
      <w:numFmt w:val="lowerLetter"/>
      <w:lvlText w:val="%5."/>
      <w:lvlJc w:val="left"/>
      <w:pPr>
        <w:ind w:left="3600" w:hanging="360"/>
      </w:pPr>
    </w:lvl>
    <w:lvl w:ilvl="5" w:tplc="7B9CB042">
      <w:start w:val="1"/>
      <w:numFmt w:val="lowerRoman"/>
      <w:lvlText w:val="%6."/>
      <w:lvlJc w:val="right"/>
      <w:pPr>
        <w:ind w:left="4320" w:hanging="180"/>
      </w:pPr>
    </w:lvl>
    <w:lvl w:ilvl="6" w:tplc="41EC63E2">
      <w:start w:val="1"/>
      <w:numFmt w:val="decimal"/>
      <w:lvlText w:val="%7."/>
      <w:lvlJc w:val="left"/>
      <w:pPr>
        <w:ind w:left="5040" w:hanging="360"/>
      </w:pPr>
    </w:lvl>
    <w:lvl w:ilvl="7" w:tplc="48928852">
      <w:start w:val="1"/>
      <w:numFmt w:val="lowerLetter"/>
      <w:lvlText w:val="%8."/>
      <w:lvlJc w:val="left"/>
      <w:pPr>
        <w:ind w:left="5760" w:hanging="360"/>
      </w:pPr>
    </w:lvl>
    <w:lvl w:ilvl="8" w:tplc="23389E8C">
      <w:start w:val="1"/>
      <w:numFmt w:val="lowerRoman"/>
      <w:lvlText w:val="%9."/>
      <w:lvlJc w:val="right"/>
      <w:pPr>
        <w:ind w:left="6480" w:hanging="180"/>
      </w:pPr>
    </w:lvl>
  </w:abstractNum>
  <w:abstractNum w:abstractNumId="456" w15:restartNumberingAfterBreak="0">
    <w:nsid w:val="4B9D0986"/>
    <w:multiLevelType w:val="hybridMultilevel"/>
    <w:tmpl w:val="3AA8B12E"/>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57" w15:restartNumberingAfterBreak="0">
    <w:nsid w:val="4BAF3466"/>
    <w:multiLevelType w:val="multilevel"/>
    <w:tmpl w:val="B40A631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8" w15:restartNumberingAfterBreak="0">
    <w:nsid w:val="4BC92E30"/>
    <w:multiLevelType w:val="hybridMultilevel"/>
    <w:tmpl w:val="45B22948"/>
    <w:lvl w:ilvl="0" w:tplc="312A5F28">
      <w:start w:val="1"/>
      <w:numFmt w:val="bullet"/>
      <w:lvlText w:val="-"/>
      <w:lvlJc w:val="left"/>
      <w:pPr>
        <w:ind w:left="1080" w:hanging="360"/>
      </w:pPr>
      <w:rPr>
        <w:rFonts w:ascii="Cambria" w:eastAsiaTheme="minorHAnsi" w:hAnsi="Cambria" w:cs="Cambria" w:hint="default"/>
        <w:color w:val="7030A0"/>
      </w:rPr>
    </w:lvl>
    <w:lvl w:ilvl="1" w:tplc="0C0A0003" w:tentative="1">
      <w:start w:val="1"/>
      <w:numFmt w:val="bullet"/>
      <w:lvlText w:val="o"/>
      <w:lvlJc w:val="left"/>
      <w:pPr>
        <w:ind w:left="1800" w:hanging="360"/>
      </w:pPr>
      <w:rPr>
        <w:rFonts w:ascii="Cambria Math" w:hAnsi="Cambria Math" w:cs="Cambria Math"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Courier New" w:hAnsi="Courier New" w:hint="default"/>
      </w:rPr>
    </w:lvl>
    <w:lvl w:ilvl="4" w:tplc="0C0A0003" w:tentative="1">
      <w:start w:val="1"/>
      <w:numFmt w:val="bullet"/>
      <w:lvlText w:val="o"/>
      <w:lvlJc w:val="left"/>
      <w:pPr>
        <w:ind w:left="3960" w:hanging="360"/>
      </w:pPr>
      <w:rPr>
        <w:rFonts w:ascii="Cambria Math" w:hAnsi="Cambria Math" w:cs="Cambria Math"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Courier New" w:hAnsi="Courier New" w:hint="default"/>
      </w:rPr>
    </w:lvl>
    <w:lvl w:ilvl="7" w:tplc="0C0A0003" w:tentative="1">
      <w:start w:val="1"/>
      <w:numFmt w:val="bullet"/>
      <w:lvlText w:val="o"/>
      <w:lvlJc w:val="left"/>
      <w:pPr>
        <w:ind w:left="6120" w:hanging="360"/>
      </w:pPr>
      <w:rPr>
        <w:rFonts w:ascii="Cambria Math" w:hAnsi="Cambria Math" w:cs="Cambria Math" w:hint="default"/>
      </w:rPr>
    </w:lvl>
    <w:lvl w:ilvl="8" w:tplc="0C0A0005" w:tentative="1">
      <w:start w:val="1"/>
      <w:numFmt w:val="bullet"/>
      <w:lvlText w:val=""/>
      <w:lvlJc w:val="left"/>
      <w:pPr>
        <w:ind w:left="6840" w:hanging="360"/>
      </w:pPr>
      <w:rPr>
        <w:rFonts w:ascii="Wingdings" w:hAnsi="Wingdings" w:hint="default"/>
      </w:rPr>
    </w:lvl>
  </w:abstractNum>
  <w:abstractNum w:abstractNumId="459" w15:restartNumberingAfterBreak="0">
    <w:nsid w:val="4BD02FAE"/>
    <w:multiLevelType w:val="hybridMultilevel"/>
    <w:tmpl w:val="E6141A08"/>
    <w:lvl w:ilvl="0" w:tplc="18090003">
      <w:start w:val="1"/>
      <w:numFmt w:val="bullet"/>
      <w:lvlText w:val="o"/>
      <w:lvlJc w:val="left"/>
      <w:pPr>
        <w:ind w:left="1080" w:hanging="360"/>
      </w:pPr>
      <w:rPr>
        <w:rFonts w:ascii="Courier New" w:hAnsi="Courier New" w:cs="Courier New"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60" w15:restartNumberingAfterBreak="0">
    <w:nsid w:val="4C3D555F"/>
    <w:multiLevelType w:val="hybridMultilevel"/>
    <w:tmpl w:val="FFFFFFFF"/>
    <w:lvl w:ilvl="0" w:tplc="2DF6AB6C">
      <w:start w:val="1"/>
      <w:numFmt w:val="bullet"/>
      <w:lvlText w:val=""/>
      <w:lvlJc w:val="left"/>
      <w:pPr>
        <w:ind w:left="720" w:hanging="360"/>
      </w:pPr>
      <w:rPr>
        <w:rFonts w:ascii="Symbol" w:hAnsi="Symbol" w:hint="default"/>
      </w:rPr>
    </w:lvl>
    <w:lvl w:ilvl="1" w:tplc="E7B25F50">
      <w:start w:val="1"/>
      <w:numFmt w:val="bullet"/>
      <w:lvlText w:val="o"/>
      <w:lvlJc w:val="left"/>
      <w:pPr>
        <w:ind w:left="1440" w:hanging="360"/>
      </w:pPr>
      <w:rPr>
        <w:rFonts w:ascii="Courier New" w:hAnsi="Courier New" w:hint="default"/>
      </w:rPr>
    </w:lvl>
    <w:lvl w:ilvl="2" w:tplc="F9B06542">
      <w:start w:val="1"/>
      <w:numFmt w:val="bullet"/>
      <w:lvlText w:val=""/>
      <w:lvlJc w:val="left"/>
      <w:pPr>
        <w:ind w:left="2160" w:hanging="360"/>
      </w:pPr>
      <w:rPr>
        <w:rFonts w:ascii="Wingdings" w:hAnsi="Wingdings" w:hint="default"/>
      </w:rPr>
    </w:lvl>
    <w:lvl w:ilvl="3" w:tplc="2F40155E">
      <w:start w:val="1"/>
      <w:numFmt w:val="bullet"/>
      <w:lvlText w:val=""/>
      <w:lvlJc w:val="left"/>
      <w:pPr>
        <w:ind w:left="2880" w:hanging="360"/>
      </w:pPr>
      <w:rPr>
        <w:rFonts w:ascii="Symbol" w:hAnsi="Symbol" w:hint="default"/>
      </w:rPr>
    </w:lvl>
    <w:lvl w:ilvl="4" w:tplc="23968724">
      <w:start w:val="1"/>
      <w:numFmt w:val="bullet"/>
      <w:lvlText w:val="o"/>
      <w:lvlJc w:val="left"/>
      <w:pPr>
        <w:ind w:left="3600" w:hanging="360"/>
      </w:pPr>
      <w:rPr>
        <w:rFonts w:ascii="Courier New" w:hAnsi="Courier New" w:hint="default"/>
      </w:rPr>
    </w:lvl>
    <w:lvl w:ilvl="5" w:tplc="0E30839A">
      <w:start w:val="1"/>
      <w:numFmt w:val="bullet"/>
      <w:lvlText w:val=""/>
      <w:lvlJc w:val="left"/>
      <w:pPr>
        <w:ind w:left="4320" w:hanging="360"/>
      </w:pPr>
      <w:rPr>
        <w:rFonts w:ascii="Wingdings" w:hAnsi="Wingdings" w:hint="default"/>
      </w:rPr>
    </w:lvl>
    <w:lvl w:ilvl="6" w:tplc="1E7AAFDE">
      <w:start w:val="1"/>
      <w:numFmt w:val="bullet"/>
      <w:lvlText w:val=""/>
      <w:lvlJc w:val="left"/>
      <w:pPr>
        <w:ind w:left="5040" w:hanging="360"/>
      </w:pPr>
      <w:rPr>
        <w:rFonts w:ascii="Symbol" w:hAnsi="Symbol" w:hint="default"/>
      </w:rPr>
    </w:lvl>
    <w:lvl w:ilvl="7" w:tplc="8D706BDA">
      <w:start w:val="1"/>
      <w:numFmt w:val="bullet"/>
      <w:lvlText w:val="o"/>
      <w:lvlJc w:val="left"/>
      <w:pPr>
        <w:ind w:left="5760" w:hanging="360"/>
      </w:pPr>
      <w:rPr>
        <w:rFonts w:ascii="Courier New" w:hAnsi="Courier New" w:hint="default"/>
      </w:rPr>
    </w:lvl>
    <w:lvl w:ilvl="8" w:tplc="FBAE07B4">
      <w:start w:val="1"/>
      <w:numFmt w:val="bullet"/>
      <w:lvlText w:val=""/>
      <w:lvlJc w:val="left"/>
      <w:pPr>
        <w:ind w:left="6480" w:hanging="360"/>
      </w:pPr>
      <w:rPr>
        <w:rFonts w:ascii="Wingdings" w:hAnsi="Wingdings" w:hint="default"/>
      </w:rPr>
    </w:lvl>
  </w:abstractNum>
  <w:abstractNum w:abstractNumId="461" w15:restartNumberingAfterBreak="0">
    <w:nsid w:val="4D29707D"/>
    <w:multiLevelType w:val="multilevel"/>
    <w:tmpl w:val="753CFED6"/>
    <w:lvl w:ilvl="0">
      <w:start w:val="10"/>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62" w15:restartNumberingAfterBreak="0">
    <w:nsid w:val="4D3C2974"/>
    <w:multiLevelType w:val="hybridMultilevel"/>
    <w:tmpl w:val="24CE4604"/>
    <w:lvl w:ilvl="0" w:tplc="080C000F">
      <w:start w:val="1"/>
      <w:numFmt w:val="decimal"/>
      <w:lvlText w:val="%1."/>
      <w:lvlJc w:val="left"/>
      <w:pPr>
        <w:ind w:left="907" w:hanging="360"/>
      </w:pPr>
    </w:lvl>
    <w:lvl w:ilvl="1" w:tplc="080C0019" w:tentative="1">
      <w:start w:val="1"/>
      <w:numFmt w:val="lowerLetter"/>
      <w:lvlText w:val="%2."/>
      <w:lvlJc w:val="left"/>
      <w:pPr>
        <w:ind w:left="1627" w:hanging="360"/>
      </w:pPr>
    </w:lvl>
    <w:lvl w:ilvl="2" w:tplc="080C001B" w:tentative="1">
      <w:start w:val="1"/>
      <w:numFmt w:val="lowerRoman"/>
      <w:lvlText w:val="%3."/>
      <w:lvlJc w:val="right"/>
      <w:pPr>
        <w:ind w:left="2347" w:hanging="180"/>
      </w:pPr>
    </w:lvl>
    <w:lvl w:ilvl="3" w:tplc="080C000F" w:tentative="1">
      <w:start w:val="1"/>
      <w:numFmt w:val="decimal"/>
      <w:lvlText w:val="%4."/>
      <w:lvlJc w:val="left"/>
      <w:pPr>
        <w:ind w:left="3067" w:hanging="360"/>
      </w:pPr>
    </w:lvl>
    <w:lvl w:ilvl="4" w:tplc="080C0019" w:tentative="1">
      <w:start w:val="1"/>
      <w:numFmt w:val="lowerLetter"/>
      <w:lvlText w:val="%5."/>
      <w:lvlJc w:val="left"/>
      <w:pPr>
        <w:ind w:left="3787" w:hanging="360"/>
      </w:pPr>
    </w:lvl>
    <w:lvl w:ilvl="5" w:tplc="080C001B" w:tentative="1">
      <w:start w:val="1"/>
      <w:numFmt w:val="lowerRoman"/>
      <w:lvlText w:val="%6."/>
      <w:lvlJc w:val="right"/>
      <w:pPr>
        <w:ind w:left="4507" w:hanging="180"/>
      </w:pPr>
    </w:lvl>
    <w:lvl w:ilvl="6" w:tplc="080C000F" w:tentative="1">
      <w:start w:val="1"/>
      <w:numFmt w:val="decimal"/>
      <w:lvlText w:val="%7."/>
      <w:lvlJc w:val="left"/>
      <w:pPr>
        <w:ind w:left="5227" w:hanging="360"/>
      </w:pPr>
    </w:lvl>
    <w:lvl w:ilvl="7" w:tplc="080C0019" w:tentative="1">
      <w:start w:val="1"/>
      <w:numFmt w:val="lowerLetter"/>
      <w:lvlText w:val="%8."/>
      <w:lvlJc w:val="left"/>
      <w:pPr>
        <w:ind w:left="5947" w:hanging="360"/>
      </w:pPr>
    </w:lvl>
    <w:lvl w:ilvl="8" w:tplc="080C001B" w:tentative="1">
      <w:start w:val="1"/>
      <w:numFmt w:val="lowerRoman"/>
      <w:lvlText w:val="%9."/>
      <w:lvlJc w:val="right"/>
      <w:pPr>
        <w:ind w:left="6667" w:hanging="180"/>
      </w:pPr>
    </w:lvl>
  </w:abstractNum>
  <w:abstractNum w:abstractNumId="463" w15:restartNumberingAfterBreak="0">
    <w:nsid w:val="4D6F6364"/>
    <w:multiLevelType w:val="hybridMultilevel"/>
    <w:tmpl w:val="5E7E5BB8"/>
    <w:lvl w:ilvl="0" w:tplc="1809001B">
      <w:start w:val="1"/>
      <w:numFmt w:val="lowerRoman"/>
      <w:lvlText w:val="%1."/>
      <w:lvlJc w:val="right"/>
      <w:pPr>
        <w:ind w:left="144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4" w15:restartNumberingAfterBreak="0">
    <w:nsid w:val="4DA4525B"/>
    <w:multiLevelType w:val="hybridMultilevel"/>
    <w:tmpl w:val="8DEC0CF8"/>
    <w:lvl w:ilvl="0" w:tplc="94AC1BB0">
      <w:start w:val="1"/>
      <w:numFmt w:val="lowerRoman"/>
      <w:lvlText w:val="%1."/>
      <w:lvlJc w:val="right"/>
      <w:pPr>
        <w:ind w:left="1080" w:hanging="360"/>
      </w:pPr>
      <w:rPr>
        <w:rFonts w:ascii="Symbol" w:hAnsi="Symbol" w:cs="Symbol" w:hint="default"/>
        <w:sz w:val="24"/>
        <w:szCs w:val="24"/>
      </w:rPr>
    </w:lvl>
    <w:lvl w:ilvl="1" w:tplc="040A0019">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465" w15:restartNumberingAfterBreak="0">
    <w:nsid w:val="4DFE3F60"/>
    <w:multiLevelType w:val="hybridMultilevel"/>
    <w:tmpl w:val="0436031E"/>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014" w:hanging="360"/>
      </w:pPr>
      <w:rPr>
        <w:rFonts w:ascii="Courier New" w:hAnsi="Courier New" w:cs="Courier New" w:hint="default"/>
      </w:rPr>
    </w:lvl>
    <w:lvl w:ilvl="2" w:tplc="18090005" w:tentative="1">
      <w:start w:val="1"/>
      <w:numFmt w:val="bullet"/>
      <w:lvlText w:val=""/>
      <w:lvlJc w:val="left"/>
      <w:pPr>
        <w:ind w:left="1734" w:hanging="360"/>
      </w:pPr>
      <w:rPr>
        <w:rFonts w:ascii="Wingdings" w:hAnsi="Wingdings" w:hint="default"/>
      </w:rPr>
    </w:lvl>
    <w:lvl w:ilvl="3" w:tplc="18090001" w:tentative="1">
      <w:start w:val="1"/>
      <w:numFmt w:val="bullet"/>
      <w:lvlText w:val=""/>
      <w:lvlJc w:val="left"/>
      <w:pPr>
        <w:ind w:left="2454" w:hanging="360"/>
      </w:pPr>
      <w:rPr>
        <w:rFonts w:ascii="Symbol" w:hAnsi="Symbol" w:hint="default"/>
      </w:rPr>
    </w:lvl>
    <w:lvl w:ilvl="4" w:tplc="18090003" w:tentative="1">
      <w:start w:val="1"/>
      <w:numFmt w:val="bullet"/>
      <w:lvlText w:val="o"/>
      <w:lvlJc w:val="left"/>
      <w:pPr>
        <w:ind w:left="3174" w:hanging="360"/>
      </w:pPr>
      <w:rPr>
        <w:rFonts w:ascii="Courier New" w:hAnsi="Courier New" w:cs="Courier New" w:hint="default"/>
      </w:rPr>
    </w:lvl>
    <w:lvl w:ilvl="5" w:tplc="18090005" w:tentative="1">
      <w:start w:val="1"/>
      <w:numFmt w:val="bullet"/>
      <w:lvlText w:val=""/>
      <w:lvlJc w:val="left"/>
      <w:pPr>
        <w:ind w:left="3894" w:hanging="360"/>
      </w:pPr>
      <w:rPr>
        <w:rFonts w:ascii="Wingdings" w:hAnsi="Wingdings" w:hint="default"/>
      </w:rPr>
    </w:lvl>
    <w:lvl w:ilvl="6" w:tplc="18090001" w:tentative="1">
      <w:start w:val="1"/>
      <w:numFmt w:val="bullet"/>
      <w:lvlText w:val=""/>
      <w:lvlJc w:val="left"/>
      <w:pPr>
        <w:ind w:left="4614" w:hanging="360"/>
      </w:pPr>
      <w:rPr>
        <w:rFonts w:ascii="Symbol" w:hAnsi="Symbol" w:hint="default"/>
      </w:rPr>
    </w:lvl>
    <w:lvl w:ilvl="7" w:tplc="18090003" w:tentative="1">
      <w:start w:val="1"/>
      <w:numFmt w:val="bullet"/>
      <w:lvlText w:val="o"/>
      <w:lvlJc w:val="left"/>
      <w:pPr>
        <w:ind w:left="5334" w:hanging="360"/>
      </w:pPr>
      <w:rPr>
        <w:rFonts w:ascii="Courier New" w:hAnsi="Courier New" w:cs="Courier New" w:hint="default"/>
      </w:rPr>
    </w:lvl>
    <w:lvl w:ilvl="8" w:tplc="18090005" w:tentative="1">
      <w:start w:val="1"/>
      <w:numFmt w:val="bullet"/>
      <w:lvlText w:val=""/>
      <w:lvlJc w:val="left"/>
      <w:pPr>
        <w:ind w:left="6054" w:hanging="360"/>
      </w:pPr>
      <w:rPr>
        <w:rFonts w:ascii="Wingdings" w:hAnsi="Wingdings" w:hint="default"/>
      </w:rPr>
    </w:lvl>
  </w:abstractNum>
  <w:abstractNum w:abstractNumId="466" w15:restartNumberingAfterBreak="0">
    <w:nsid w:val="4E1C48B9"/>
    <w:multiLevelType w:val="hybridMultilevel"/>
    <w:tmpl w:val="6F8A712C"/>
    <w:lvl w:ilvl="0" w:tplc="312A5F28">
      <w:start w:val="1"/>
      <w:numFmt w:val="bullet"/>
      <w:lvlText w:val="-"/>
      <w:lvlJc w:val="left"/>
      <w:pPr>
        <w:ind w:left="1080" w:hanging="360"/>
      </w:pPr>
      <w:rPr>
        <w:rFonts w:ascii="Calibri" w:eastAsiaTheme="minorHAnsi" w:hAnsi="Calibri" w:cs="Calibri" w:hint="default"/>
        <w:color w:val="7030A0"/>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467" w15:restartNumberingAfterBreak="0">
    <w:nsid w:val="4E2770FB"/>
    <w:multiLevelType w:val="multilevel"/>
    <w:tmpl w:val="3C620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8" w15:restartNumberingAfterBreak="0">
    <w:nsid w:val="4E60AA28"/>
    <w:multiLevelType w:val="hybridMultilevel"/>
    <w:tmpl w:val="919C7EA2"/>
    <w:lvl w:ilvl="0" w:tplc="6A7C9602">
      <w:start w:val="1"/>
      <w:numFmt w:val="bullet"/>
      <w:lvlText w:val="-"/>
      <w:lvlJc w:val="left"/>
      <w:pPr>
        <w:ind w:left="720" w:hanging="360"/>
      </w:pPr>
      <w:rPr>
        <w:rFonts w:ascii="Symbol" w:hAnsi="Symbol" w:hint="default"/>
      </w:rPr>
    </w:lvl>
    <w:lvl w:ilvl="1" w:tplc="6F1AC4D6">
      <w:start w:val="1"/>
      <w:numFmt w:val="bullet"/>
      <w:lvlText w:val="o"/>
      <w:lvlJc w:val="left"/>
      <w:pPr>
        <w:ind w:left="1440" w:hanging="360"/>
      </w:pPr>
      <w:rPr>
        <w:rFonts w:ascii="Courier New" w:hAnsi="Courier New" w:hint="default"/>
      </w:rPr>
    </w:lvl>
    <w:lvl w:ilvl="2" w:tplc="C8620C1C">
      <w:start w:val="1"/>
      <w:numFmt w:val="bullet"/>
      <w:lvlText w:val=""/>
      <w:lvlJc w:val="left"/>
      <w:pPr>
        <w:ind w:left="2160" w:hanging="360"/>
      </w:pPr>
      <w:rPr>
        <w:rFonts w:ascii="Wingdings" w:hAnsi="Wingdings" w:hint="default"/>
      </w:rPr>
    </w:lvl>
    <w:lvl w:ilvl="3" w:tplc="F9700870">
      <w:start w:val="1"/>
      <w:numFmt w:val="bullet"/>
      <w:lvlText w:val=""/>
      <w:lvlJc w:val="left"/>
      <w:pPr>
        <w:ind w:left="2880" w:hanging="360"/>
      </w:pPr>
      <w:rPr>
        <w:rFonts w:ascii="Symbol" w:hAnsi="Symbol" w:hint="default"/>
      </w:rPr>
    </w:lvl>
    <w:lvl w:ilvl="4" w:tplc="F00CB9FC">
      <w:start w:val="1"/>
      <w:numFmt w:val="bullet"/>
      <w:lvlText w:val="o"/>
      <w:lvlJc w:val="left"/>
      <w:pPr>
        <w:ind w:left="3600" w:hanging="360"/>
      </w:pPr>
      <w:rPr>
        <w:rFonts w:ascii="Courier New" w:hAnsi="Courier New" w:hint="default"/>
      </w:rPr>
    </w:lvl>
    <w:lvl w:ilvl="5" w:tplc="8F485124">
      <w:start w:val="1"/>
      <w:numFmt w:val="bullet"/>
      <w:lvlText w:val=""/>
      <w:lvlJc w:val="left"/>
      <w:pPr>
        <w:ind w:left="4320" w:hanging="360"/>
      </w:pPr>
      <w:rPr>
        <w:rFonts w:ascii="Wingdings" w:hAnsi="Wingdings" w:hint="default"/>
      </w:rPr>
    </w:lvl>
    <w:lvl w:ilvl="6" w:tplc="618A4322">
      <w:start w:val="1"/>
      <w:numFmt w:val="bullet"/>
      <w:lvlText w:val=""/>
      <w:lvlJc w:val="left"/>
      <w:pPr>
        <w:ind w:left="5040" w:hanging="360"/>
      </w:pPr>
      <w:rPr>
        <w:rFonts w:ascii="Symbol" w:hAnsi="Symbol" w:hint="default"/>
      </w:rPr>
    </w:lvl>
    <w:lvl w:ilvl="7" w:tplc="FEE2C43E">
      <w:start w:val="1"/>
      <w:numFmt w:val="bullet"/>
      <w:lvlText w:val="o"/>
      <w:lvlJc w:val="left"/>
      <w:pPr>
        <w:ind w:left="5760" w:hanging="360"/>
      </w:pPr>
      <w:rPr>
        <w:rFonts w:ascii="Courier New" w:hAnsi="Courier New" w:hint="default"/>
      </w:rPr>
    </w:lvl>
    <w:lvl w:ilvl="8" w:tplc="3B929AB8">
      <w:start w:val="1"/>
      <w:numFmt w:val="bullet"/>
      <w:lvlText w:val=""/>
      <w:lvlJc w:val="left"/>
      <w:pPr>
        <w:ind w:left="6480" w:hanging="360"/>
      </w:pPr>
      <w:rPr>
        <w:rFonts w:ascii="Wingdings" w:hAnsi="Wingdings" w:hint="default"/>
      </w:rPr>
    </w:lvl>
  </w:abstractNum>
  <w:abstractNum w:abstractNumId="469" w15:restartNumberingAfterBreak="0">
    <w:nsid w:val="4E625C50"/>
    <w:multiLevelType w:val="hybridMultilevel"/>
    <w:tmpl w:val="49B87E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0" w15:restartNumberingAfterBreak="0">
    <w:nsid w:val="4E7A5F2F"/>
    <w:multiLevelType w:val="multilevel"/>
    <w:tmpl w:val="D45C84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1" w15:restartNumberingAfterBreak="0">
    <w:nsid w:val="4E8B6C85"/>
    <w:multiLevelType w:val="hybridMultilevel"/>
    <w:tmpl w:val="4DCE3ABA"/>
    <w:lvl w:ilvl="0" w:tplc="548E3914">
      <w:start w:val="1"/>
      <w:numFmt w:val="lowerLetter"/>
      <w:lvlText w:val="%1)"/>
      <w:lvlJc w:val="left"/>
      <w:pPr>
        <w:ind w:left="1080" w:hanging="360"/>
      </w:pPr>
      <w:rPr>
        <w:rFonts w:hint="default"/>
        <w:color w:val="548DD4" w:themeColor="text2" w:themeTint="99"/>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72" w15:restartNumberingAfterBreak="0">
    <w:nsid w:val="4E9F6D40"/>
    <w:multiLevelType w:val="hybridMultilevel"/>
    <w:tmpl w:val="102817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3" w15:restartNumberingAfterBreak="0">
    <w:nsid w:val="4F000961"/>
    <w:multiLevelType w:val="hybridMultilevel"/>
    <w:tmpl w:val="B7F6EDCE"/>
    <w:lvl w:ilvl="0" w:tplc="1809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4" w15:restartNumberingAfterBreak="0">
    <w:nsid w:val="4F381148"/>
    <w:multiLevelType w:val="hybridMultilevel"/>
    <w:tmpl w:val="FFFFFFFF"/>
    <w:lvl w:ilvl="0" w:tplc="FE3837F8">
      <w:start w:val="1"/>
      <w:numFmt w:val="bullet"/>
      <w:lvlText w:val=""/>
      <w:lvlJc w:val="left"/>
      <w:pPr>
        <w:ind w:left="720" w:hanging="360"/>
      </w:pPr>
      <w:rPr>
        <w:rFonts w:ascii="Symbol" w:hAnsi="Symbol" w:hint="default"/>
      </w:rPr>
    </w:lvl>
    <w:lvl w:ilvl="1" w:tplc="8820A552">
      <w:start w:val="1"/>
      <w:numFmt w:val="bullet"/>
      <w:lvlText w:val="o"/>
      <w:lvlJc w:val="left"/>
      <w:pPr>
        <w:ind w:left="1440" w:hanging="360"/>
      </w:pPr>
      <w:rPr>
        <w:rFonts w:ascii="Courier New" w:hAnsi="Courier New" w:hint="default"/>
      </w:rPr>
    </w:lvl>
    <w:lvl w:ilvl="2" w:tplc="C336974E">
      <w:start w:val="1"/>
      <w:numFmt w:val="bullet"/>
      <w:lvlText w:val=""/>
      <w:lvlJc w:val="left"/>
      <w:pPr>
        <w:ind w:left="2160" w:hanging="360"/>
      </w:pPr>
      <w:rPr>
        <w:rFonts w:ascii="Wingdings" w:hAnsi="Wingdings" w:hint="default"/>
      </w:rPr>
    </w:lvl>
    <w:lvl w:ilvl="3" w:tplc="0C0C68E8">
      <w:start w:val="1"/>
      <w:numFmt w:val="bullet"/>
      <w:lvlText w:val=""/>
      <w:lvlJc w:val="left"/>
      <w:pPr>
        <w:ind w:left="2880" w:hanging="360"/>
      </w:pPr>
      <w:rPr>
        <w:rFonts w:ascii="Symbol" w:hAnsi="Symbol" w:hint="default"/>
      </w:rPr>
    </w:lvl>
    <w:lvl w:ilvl="4" w:tplc="F224D27C">
      <w:start w:val="1"/>
      <w:numFmt w:val="bullet"/>
      <w:lvlText w:val="o"/>
      <w:lvlJc w:val="left"/>
      <w:pPr>
        <w:ind w:left="3600" w:hanging="360"/>
      </w:pPr>
      <w:rPr>
        <w:rFonts w:ascii="Courier New" w:hAnsi="Courier New" w:hint="default"/>
      </w:rPr>
    </w:lvl>
    <w:lvl w:ilvl="5" w:tplc="6AA48C32">
      <w:start w:val="1"/>
      <w:numFmt w:val="bullet"/>
      <w:lvlText w:val=""/>
      <w:lvlJc w:val="left"/>
      <w:pPr>
        <w:ind w:left="4320" w:hanging="360"/>
      </w:pPr>
      <w:rPr>
        <w:rFonts w:ascii="Wingdings" w:hAnsi="Wingdings" w:hint="default"/>
      </w:rPr>
    </w:lvl>
    <w:lvl w:ilvl="6" w:tplc="BDE45234">
      <w:start w:val="1"/>
      <w:numFmt w:val="bullet"/>
      <w:lvlText w:val=""/>
      <w:lvlJc w:val="left"/>
      <w:pPr>
        <w:ind w:left="5040" w:hanging="360"/>
      </w:pPr>
      <w:rPr>
        <w:rFonts w:ascii="Symbol" w:hAnsi="Symbol" w:hint="default"/>
      </w:rPr>
    </w:lvl>
    <w:lvl w:ilvl="7" w:tplc="11E8377C">
      <w:start w:val="1"/>
      <w:numFmt w:val="bullet"/>
      <w:lvlText w:val="o"/>
      <w:lvlJc w:val="left"/>
      <w:pPr>
        <w:ind w:left="5760" w:hanging="360"/>
      </w:pPr>
      <w:rPr>
        <w:rFonts w:ascii="Courier New" w:hAnsi="Courier New" w:hint="default"/>
      </w:rPr>
    </w:lvl>
    <w:lvl w:ilvl="8" w:tplc="0A829A30">
      <w:start w:val="1"/>
      <w:numFmt w:val="bullet"/>
      <w:lvlText w:val=""/>
      <w:lvlJc w:val="left"/>
      <w:pPr>
        <w:ind w:left="6480" w:hanging="360"/>
      </w:pPr>
      <w:rPr>
        <w:rFonts w:ascii="Wingdings" w:hAnsi="Wingdings" w:hint="default"/>
      </w:rPr>
    </w:lvl>
  </w:abstractNum>
  <w:abstractNum w:abstractNumId="475" w15:restartNumberingAfterBreak="0">
    <w:nsid w:val="4F41352B"/>
    <w:multiLevelType w:val="hybridMultilevel"/>
    <w:tmpl w:val="DFD4543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6" w15:restartNumberingAfterBreak="0">
    <w:nsid w:val="4F53A2B2"/>
    <w:multiLevelType w:val="multilevel"/>
    <w:tmpl w:val="FFFFFFFF"/>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7" w15:restartNumberingAfterBreak="0">
    <w:nsid w:val="4F5E055F"/>
    <w:multiLevelType w:val="hybridMultilevel"/>
    <w:tmpl w:val="F2FEC466"/>
    <w:lvl w:ilvl="0" w:tplc="EB329AB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8" w15:restartNumberingAfterBreak="0">
    <w:nsid w:val="4F60E542"/>
    <w:multiLevelType w:val="hybridMultilevel"/>
    <w:tmpl w:val="FFFFFFFF"/>
    <w:lvl w:ilvl="0" w:tplc="8D00ADC8">
      <w:start w:val="1"/>
      <w:numFmt w:val="decimal"/>
      <w:lvlText w:val="%1."/>
      <w:lvlJc w:val="left"/>
      <w:pPr>
        <w:ind w:left="720" w:hanging="360"/>
      </w:pPr>
    </w:lvl>
    <w:lvl w:ilvl="1" w:tplc="528E9F82">
      <w:start w:val="1"/>
      <w:numFmt w:val="lowerLetter"/>
      <w:lvlText w:val="%2."/>
      <w:lvlJc w:val="left"/>
      <w:pPr>
        <w:ind w:left="1440" w:hanging="360"/>
      </w:pPr>
    </w:lvl>
    <w:lvl w:ilvl="2" w:tplc="BDD2D798">
      <w:start w:val="1"/>
      <w:numFmt w:val="lowerRoman"/>
      <w:lvlText w:val="%3."/>
      <w:lvlJc w:val="right"/>
      <w:pPr>
        <w:ind w:left="2160" w:hanging="180"/>
      </w:pPr>
    </w:lvl>
    <w:lvl w:ilvl="3" w:tplc="682CC4C0">
      <w:start w:val="1"/>
      <w:numFmt w:val="decimal"/>
      <w:lvlText w:val="%4."/>
      <w:lvlJc w:val="left"/>
      <w:pPr>
        <w:ind w:left="2880" w:hanging="360"/>
      </w:pPr>
    </w:lvl>
    <w:lvl w:ilvl="4" w:tplc="AF98F95A">
      <w:start w:val="1"/>
      <w:numFmt w:val="lowerLetter"/>
      <w:lvlText w:val="%5."/>
      <w:lvlJc w:val="left"/>
      <w:pPr>
        <w:ind w:left="3600" w:hanging="360"/>
      </w:pPr>
    </w:lvl>
    <w:lvl w:ilvl="5" w:tplc="7E26054E">
      <w:start w:val="1"/>
      <w:numFmt w:val="lowerRoman"/>
      <w:lvlText w:val="%6."/>
      <w:lvlJc w:val="right"/>
      <w:pPr>
        <w:ind w:left="4320" w:hanging="180"/>
      </w:pPr>
    </w:lvl>
    <w:lvl w:ilvl="6" w:tplc="E51E4F88">
      <w:start w:val="1"/>
      <w:numFmt w:val="decimal"/>
      <w:lvlText w:val="%7."/>
      <w:lvlJc w:val="left"/>
      <w:pPr>
        <w:ind w:left="5040" w:hanging="360"/>
      </w:pPr>
    </w:lvl>
    <w:lvl w:ilvl="7" w:tplc="6E80C5DE">
      <w:start w:val="1"/>
      <w:numFmt w:val="lowerLetter"/>
      <w:lvlText w:val="%8."/>
      <w:lvlJc w:val="left"/>
      <w:pPr>
        <w:ind w:left="5760" w:hanging="360"/>
      </w:pPr>
    </w:lvl>
    <w:lvl w:ilvl="8" w:tplc="5B7C290C">
      <w:start w:val="1"/>
      <w:numFmt w:val="lowerRoman"/>
      <w:lvlText w:val="%9."/>
      <w:lvlJc w:val="right"/>
      <w:pPr>
        <w:ind w:left="6480" w:hanging="180"/>
      </w:pPr>
    </w:lvl>
  </w:abstractNum>
  <w:abstractNum w:abstractNumId="479" w15:restartNumberingAfterBreak="0">
    <w:nsid w:val="4F676DD8"/>
    <w:multiLevelType w:val="hybridMultilevel"/>
    <w:tmpl w:val="67FA4728"/>
    <w:lvl w:ilvl="0" w:tplc="DDEA078C">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MS Mincho" w:hAnsi="@MS Mincho" w:cs="@MS Mincho" w:hint="default"/>
      </w:rPr>
    </w:lvl>
    <w:lvl w:ilvl="2" w:tplc="18090005" w:tentative="1">
      <w:start w:val="1"/>
      <w:numFmt w:val="bullet"/>
      <w:lvlText w:val=""/>
      <w:lvlJc w:val="left"/>
      <w:pPr>
        <w:ind w:left="2160" w:hanging="360"/>
      </w:pPr>
      <w:rPr>
        <w:rFonts w:ascii="Symbol" w:hAnsi="Symbol" w:hint="default"/>
      </w:rPr>
    </w:lvl>
    <w:lvl w:ilvl="3" w:tplc="18090001" w:tentative="1">
      <w:start w:val="1"/>
      <w:numFmt w:val="bullet"/>
      <w:lvlText w:val=""/>
      <w:lvlJc w:val="left"/>
      <w:pPr>
        <w:ind w:left="2880" w:hanging="360"/>
      </w:pPr>
      <w:rPr>
        <w:rFonts w:ascii="Segoe UI" w:hAnsi="Segoe UI" w:hint="default"/>
      </w:rPr>
    </w:lvl>
    <w:lvl w:ilvl="4" w:tplc="18090003" w:tentative="1">
      <w:start w:val="1"/>
      <w:numFmt w:val="bullet"/>
      <w:lvlText w:val="o"/>
      <w:lvlJc w:val="left"/>
      <w:pPr>
        <w:ind w:left="3600" w:hanging="360"/>
      </w:pPr>
      <w:rPr>
        <w:rFonts w:ascii="@MS Mincho" w:hAnsi="@MS Mincho" w:cs="@MS Mincho" w:hint="default"/>
      </w:rPr>
    </w:lvl>
    <w:lvl w:ilvl="5" w:tplc="18090005" w:tentative="1">
      <w:start w:val="1"/>
      <w:numFmt w:val="bullet"/>
      <w:lvlText w:val=""/>
      <w:lvlJc w:val="left"/>
      <w:pPr>
        <w:ind w:left="4320" w:hanging="360"/>
      </w:pPr>
      <w:rPr>
        <w:rFonts w:ascii="Symbol" w:hAnsi="Symbol" w:hint="default"/>
      </w:rPr>
    </w:lvl>
    <w:lvl w:ilvl="6" w:tplc="18090001" w:tentative="1">
      <w:start w:val="1"/>
      <w:numFmt w:val="bullet"/>
      <w:lvlText w:val=""/>
      <w:lvlJc w:val="left"/>
      <w:pPr>
        <w:ind w:left="5040" w:hanging="360"/>
      </w:pPr>
      <w:rPr>
        <w:rFonts w:ascii="Segoe UI" w:hAnsi="Segoe UI" w:hint="default"/>
      </w:rPr>
    </w:lvl>
    <w:lvl w:ilvl="7" w:tplc="18090003" w:tentative="1">
      <w:start w:val="1"/>
      <w:numFmt w:val="bullet"/>
      <w:lvlText w:val="o"/>
      <w:lvlJc w:val="left"/>
      <w:pPr>
        <w:ind w:left="5760" w:hanging="360"/>
      </w:pPr>
      <w:rPr>
        <w:rFonts w:ascii="@MS Mincho" w:hAnsi="@MS Mincho" w:cs="@MS Mincho" w:hint="default"/>
      </w:rPr>
    </w:lvl>
    <w:lvl w:ilvl="8" w:tplc="18090005" w:tentative="1">
      <w:start w:val="1"/>
      <w:numFmt w:val="bullet"/>
      <w:lvlText w:val=""/>
      <w:lvlJc w:val="left"/>
      <w:pPr>
        <w:ind w:left="6480" w:hanging="360"/>
      </w:pPr>
      <w:rPr>
        <w:rFonts w:ascii="Symbol" w:hAnsi="Symbol" w:hint="default"/>
      </w:rPr>
    </w:lvl>
  </w:abstractNum>
  <w:abstractNum w:abstractNumId="480" w15:restartNumberingAfterBreak="0">
    <w:nsid w:val="4F913A25"/>
    <w:multiLevelType w:val="hybridMultilevel"/>
    <w:tmpl w:val="D68A0C9A"/>
    <w:lvl w:ilvl="0" w:tplc="04090011">
      <w:start w:val="1"/>
      <w:numFmt w:val="decimal"/>
      <w:lvlText w:val="%1)"/>
      <w:lvlJc w:val="lef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Cambria Math" w:hAnsi="Cambria Math"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Cambria Math" w:hAnsi="Cambria Math"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Cambria Math" w:hAnsi="Cambria Math" w:hint="default"/>
      </w:rPr>
    </w:lvl>
  </w:abstractNum>
  <w:abstractNum w:abstractNumId="481" w15:restartNumberingAfterBreak="0">
    <w:nsid w:val="4FAA787B"/>
    <w:multiLevelType w:val="multilevel"/>
    <w:tmpl w:val="C6A4FB9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2" w15:restartNumberingAfterBreak="0">
    <w:nsid w:val="506330B7"/>
    <w:multiLevelType w:val="hybridMultilevel"/>
    <w:tmpl w:val="43AC802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3" w15:restartNumberingAfterBreak="0">
    <w:nsid w:val="50A20E8D"/>
    <w:multiLevelType w:val="hybridMultilevel"/>
    <w:tmpl w:val="DFFED572"/>
    <w:lvl w:ilvl="0" w:tplc="18090015">
      <w:start w:val="1"/>
      <w:numFmt w:val="upperLetter"/>
      <w:lvlText w:val="%1."/>
      <w:lvlJc w:val="left"/>
      <w:pPr>
        <w:ind w:left="1800" w:hanging="360"/>
      </w:p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484" w15:restartNumberingAfterBreak="0">
    <w:nsid w:val="50A33AB2"/>
    <w:multiLevelType w:val="hybridMultilevel"/>
    <w:tmpl w:val="F2CC1CD0"/>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85" w15:restartNumberingAfterBreak="0">
    <w:nsid w:val="50CD07A2"/>
    <w:multiLevelType w:val="hybridMultilevel"/>
    <w:tmpl w:val="0198933E"/>
    <w:lvl w:ilvl="0" w:tplc="1809000F">
      <w:start w:val="1"/>
      <w:numFmt w:val="decimal"/>
      <w:lvlText w:val="%1."/>
      <w:lvlJc w:val="left"/>
      <w:pPr>
        <w:ind w:left="1800" w:hanging="360"/>
      </w:p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486" w15:restartNumberingAfterBreak="0">
    <w:nsid w:val="510AB057"/>
    <w:multiLevelType w:val="hybridMultilevel"/>
    <w:tmpl w:val="FFFFFFFF"/>
    <w:lvl w:ilvl="0" w:tplc="E26E2978">
      <w:start w:val="1"/>
      <w:numFmt w:val="bullet"/>
      <w:lvlText w:val=""/>
      <w:lvlJc w:val="left"/>
      <w:pPr>
        <w:ind w:left="720" w:hanging="360"/>
      </w:pPr>
      <w:rPr>
        <w:rFonts w:ascii="Segoe UI" w:hAnsi="Segoe UI" w:hint="default"/>
      </w:rPr>
    </w:lvl>
    <w:lvl w:ilvl="1" w:tplc="4F2A8830">
      <w:start w:val="1"/>
      <w:numFmt w:val="bullet"/>
      <w:lvlText w:val="o"/>
      <w:lvlJc w:val="left"/>
      <w:pPr>
        <w:ind w:left="1440" w:hanging="360"/>
      </w:pPr>
      <w:rPr>
        <w:rFonts w:ascii="Courier New" w:hAnsi="Courier New" w:hint="default"/>
      </w:rPr>
    </w:lvl>
    <w:lvl w:ilvl="2" w:tplc="414C835A">
      <w:start w:val="1"/>
      <w:numFmt w:val="bullet"/>
      <w:lvlText w:val=""/>
      <w:lvlJc w:val="left"/>
      <w:pPr>
        <w:ind w:left="2160" w:hanging="360"/>
      </w:pPr>
      <w:rPr>
        <w:rFonts w:ascii="Cambria Math" w:hAnsi="Cambria Math" w:hint="default"/>
      </w:rPr>
    </w:lvl>
    <w:lvl w:ilvl="3" w:tplc="7D442194">
      <w:start w:val="1"/>
      <w:numFmt w:val="bullet"/>
      <w:lvlText w:val=""/>
      <w:lvlJc w:val="left"/>
      <w:pPr>
        <w:ind w:left="2880" w:hanging="360"/>
      </w:pPr>
      <w:rPr>
        <w:rFonts w:ascii="Segoe UI" w:hAnsi="Segoe UI" w:hint="default"/>
      </w:rPr>
    </w:lvl>
    <w:lvl w:ilvl="4" w:tplc="93F8080A">
      <w:start w:val="1"/>
      <w:numFmt w:val="bullet"/>
      <w:lvlText w:val="o"/>
      <w:lvlJc w:val="left"/>
      <w:pPr>
        <w:ind w:left="3600" w:hanging="360"/>
      </w:pPr>
      <w:rPr>
        <w:rFonts w:ascii="Courier New" w:hAnsi="Courier New" w:hint="default"/>
      </w:rPr>
    </w:lvl>
    <w:lvl w:ilvl="5" w:tplc="E4368C72">
      <w:start w:val="1"/>
      <w:numFmt w:val="bullet"/>
      <w:lvlText w:val=""/>
      <w:lvlJc w:val="left"/>
      <w:pPr>
        <w:ind w:left="4320" w:hanging="360"/>
      </w:pPr>
      <w:rPr>
        <w:rFonts w:ascii="Cambria Math" w:hAnsi="Cambria Math" w:hint="default"/>
      </w:rPr>
    </w:lvl>
    <w:lvl w:ilvl="6" w:tplc="880843AA">
      <w:start w:val="1"/>
      <w:numFmt w:val="bullet"/>
      <w:lvlText w:val=""/>
      <w:lvlJc w:val="left"/>
      <w:pPr>
        <w:ind w:left="5040" w:hanging="360"/>
      </w:pPr>
      <w:rPr>
        <w:rFonts w:ascii="Segoe UI" w:hAnsi="Segoe UI" w:hint="default"/>
      </w:rPr>
    </w:lvl>
    <w:lvl w:ilvl="7" w:tplc="5A48E46C">
      <w:start w:val="1"/>
      <w:numFmt w:val="bullet"/>
      <w:lvlText w:val="o"/>
      <w:lvlJc w:val="left"/>
      <w:pPr>
        <w:ind w:left="5760" w:hanging="360"/>
      </w:pPr>
      <w:rPr>
        <w:rFonts w:ascii="Courier New" w:hAnsi="Courier New" w:hint="default"/>
      </w:rPr>
    </w:lvl>
    <w:lvl w:ilvl="8" w:tplc="8A60E514">
      <w:start w:val="1"/>
      <w:numFmt w:val="bullet"/>
      <w:lvlText w:val=""/>
      <w:lvlJc w:val="left"/>
      <w:pPr>
        <w:ind w:left="6480" w:hanging="360"/>
      </w:pPr>
      <w:rPr>
        <w:rFonts w:ascii="Cambria Math" w:hAnsi="Cambria Math" w:hint="default"/>
      </w:rPr>
    </w:lvl>
  </w:abstractNum>
  <w:abstractNum w:abstractNumId="487" w15:restartNumberingAfterBreak="0">
    <w:nsid w:val="511C9559"/>
    <w:multiLevelType w:val="hybridMultilevel"/>
    <w:tmpl w:val="FFFFFFFF"/>
    <w:lvl w:ilvl="0" w:tplc="EAA673D0">
      <w:start w:val="1"/>
      <w:numFmt w:val="bullet"/>
      <w:lvlText w:val="·"/>
      <w:lvlJc w:val="left"/>
      <w:pPr>
        <w:ind w:left="720" w:hanging="360"/>
      </w:pPr>
      <w:rPr>
        <w:rFonts w:ascii="Symbol" w:hAnsi="Symbol" w:hint="default"/>
      </w:rPr>
    </w:lvl>
    <w:lvl w:ilvl="1" w:tplc="73FE48B4">
      <w:start w:val="1"/>
      <w:numFmt w:val="bullet"/>
      <w:lvlText w:val="o"/>
      <w:lvlJc w:val="left"/>
      <w:pPr>
        <w:ind w:left="1440" w:hanging="360"/>
      </w:pPr>
      <w:rPr>
        <w:rFonts w:ascii="Courier New" w:hAnsi="Courier New" w:hint="default"/>
      </w:rPr>
    </w:lvl>
    <w:lvl w:ilvl="2" w:tplc="8F98518A">
      <w:start w:val="1"/>
      <w:numFmt w:val="bullet"/>
      <w:lvlText w:val=""/>
      <w:lvlJc w:val="left"/>
      <w:pPr>
        <w:ind w:left="2160" w:hanging="360"/>
      </w:pPr>
      <w:rPr>
        <w:rFonts w:ascii="Wingdings" w:hAnsi="Wingdings" w:hint="default"/>
      </w:rPr>
    </w:lvl>
    <w:lvl w:ilvl="3" w:tplc="B53AF142">
      <w:start w:val="1"/>
      <w:numFmt w:val="bullet"/>
      <w:lvlText w:val=""/>
      <w:lvlJc w:val="left"/>
      <w:pPr>
        <w:ind w:left="2880" w:hanging="360"/>
      </w:pPr>
      <w:rPr>
        <w:rFonts w:ascii="Symbol" w:hAnsi="Symbol" w:hint="default"/>
      </w:rPr>
    </w:lvl>
    <w:lvl w:ilvl="4" w:tplc="F04EA886">
      <w:start w:val="1"/>
      <w:numFmt w:val="bullet"/>
      <w:lvlText w:val="o"/>
      <w:lvlJc w:val="left"/>
      <w:pPr>
        <w:ind w:left="3600" w:hanging="360"/>
      </w:pPr>
      <w:rPr>
        <w:rFonts w:ascii="Courier New" w:hAnsi="Courier New" w:hint="default"/>
      </w:rPr>
    </w:lvl>
    <w:lvl w:ilvl="5" w:tplc="B84000F6">
      <w:start w:val="1"/>
      <w:numFmt w:val="bullet"/>
      <w:lvlText w:val=""/>
      <w:lvlJc w:val="left"/>
      <w:pPr>
        <w:ind w:left="4320" w:hanging="360"/>
      </w:pPr>
      <w:rPr>
        <w:rFonts w:ascii="Wingdings" w:hAnsi="Wingdings" w:hint="default"/>
      </w:rPr>
    </w:lvl>
    <w:lvl w:ilvl="6" w:tplc="1936A2F8">
      <w:start w:val="1"/>
      <w:numFmt w:val="bullet"/>
      <w:lvlText w:val=""/>
      <w:lvlJc w:val="left"/>
      <w:pPr>
        <w:ind w:left="5040" w:hanging="360"/>
      </w:pPr>
      <w:rPr>
        <w:rFonts w:ascii="Symbol" w:hAnsi="Symbol" w:hint="default"/>
      </w:rPr>
    </w:lvl>
    <w:lvl w:ilvl="7" w:tplc="8B944BB2">
      <w:start w:val="1"/>
      <w:numFmt w:val="bullet"/>
      <w:lvlText w:val="o"/>
      <w:lvlJc w:val="left"/>
      <w:pPr>
        <w:ind w:left="5760" w:hanging="360"/>
      </w:pPr>
      <w:rPr>
        <w:rFonts w:ascii="Courier New" w:hAnsi="Courier New" w:hint="default"/>
      </w:rPr>
    </w:lvl>
    <w:lvl w:ilvl="8" w:tplc="7800FF68">
      <w:start w:val="1"/>
      <w:numFmt w:val="bullet"/>
      <w:lvlText w:val=""/>
      <w:lvlJc w:val="left"/>
      <w:pPr>
        <w:ind w:left="6480" w:hanging="360"/>
      </w:pPr>
      <w:rPr>
        <w:rFonts w:ascii="Wingdings" w:hAnsi="Wingdings" w:hint="default"/>
      </w:rPr>
    </w:lvl>
  </w:abstractNum>
  <w:abstractNum w:abstractNumId="488" w15:restartNumberingAfterBreak="0">
    <w:nsid w:val="5127E5C3"/>
    <w:multiLevelType w:val="multilevel"/>
    <w:tmpl w:val="FFFFFFFF"/>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9" w15:restartNumberingAfterBreak="0">
    <w:nsid w:val="514A3B46"/>
    <w:multiLevelType w:val="hybridMultilevel"/>
    <w:tmpl w:val="4560C06E"/>
    <w:lvl w:ilvl="0" w:tplc="08090001">
      <w:start w:val="1"/>
      <w:numFmt w:val="bullet"/>
      <w:lvlText w:val=""/>
      <w:lvlJc w:val="left"/>
      <w:pPr>
        <w:ind w:left="360" w:hanging="360"/>
      </w:pPr>
      <w:rPr>
        <w:rFonts w:ascii="Segoe UI" w:hAnsi="Segoe U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Cambria Math" w:hAnsi="Cambria Math" w:hint="default"/>
      </w:rPr>
    </w:lvl>
    <w:lvl w:ilvl="3" w:tplc="08090001" w:tentative="1">
      <w:start w:val="1"/>
      <w:numFmt w:val="bullet"/>
      <w:lvlText w:val=""/>
      <w:lvlJc w:val="left"/>
      <w:pPr>
        <w:ind w:left="2520" w:hanging="360"/>
      </w:pPr>
      <w:rPr>
        <w:rFonts w:ascii="Segoe UI" w:hAnsi="Segoe UI"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Cambria Math" w:hAnsi="Cambria Math" w:hint="default"/>
      </w:rPr>
    </w:lvl>
    <w:lvl w:ilvl="6" w:tplc="08090001" w:tentative="1">
      <w:start w:val="1"/>
      <w:numFmt w:val="bullet"/>
      <w:lvlText w:val=""/>
      <w:lvlJc w:val="left"/>
      <w:pPr>
        <w:ind w:left="4680" w:hanging="360"/>
      </w:pPr>
      <w:rPr>
        <w:rFonts w:ascii="Segoe UI" w:hAnsi="Segoe UI"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Cambria Math" w:hAnsi="Cambria Math" w:hint="default"/>
      </w:rPr>
    </w:lvl>
  </w:abstractNum>
  <w:abstractNum w:abstractNumId="490" w15:restartNumberingAfterBreak="0">
    <w:nsid w:val="51667B89"/>
    <w:multiLevelType w:val="hybridMultilevel"/>
    <w:tmpl w:val="2B222B1C"/>
    <w:lvl w:ilvl="0" w:tplc="0C0A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1" w15:restartNumberingAfterBreak="0">
    <w:nsid w:val="51706D2B"/>
    <w:multiLevelType w:val="multilevel"/>
    <w:tmpl w:val="C1CE77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92" w15:restartNumberingAfterBreak="0">
    <w:nsid w:val="5173633C"/>
    <w:multiLevelType w:val="hybridMultilevel"/>
    <w:tmpl w:val="ED580A56"/>
    <w:lvl w:ilvl="0" w:tplc="312A5F28">
      <w:start w:val="1"/>
      <w:numFmt w:val="bullet"/>
      <w:lvlText w:val="-"/>
      <w:lvlJc w:val="left"/>
      <w:pPr>
        <w:ind w:left="644" w:hanging="360"/>
      </w:pPr>
      <w:rPr>
        <w:rFonts w:ascii="Wingdings" w:eastAsiaTheme="minorHAnsi" w:hAnsi="Wingdings" w:cs="Wingdings" w:hint="default"/>
        <w:color w:val="7030A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3" w15:restartNumberingAfterBreak="0">
    <w:nsid w:val="51840DD6"/>
    <w:multiLevelType w:val="hybridMultilevel"/>
    <w:tmpl w:val="FB78DDCC"/>
    <w:lvl w:ilvl="0" w:tplc="08090001">
      <w:start w:val="1"/>
      <w:numFmt w:val="bullet"/>
      <w:lvlText w:val=""/>
      <w:lvlJc w:val="left"/>
      <w:pPr>
        <w:ind w:left="720" w:hanging="360"/>
      </w:pPr>
      <w:rPr>
        <w:rFonts w:ascii="Segoe UI" w:hAnsi="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494" w15:restartNumberingAfterBreak="0">
    <w:nsid w:val="518D46EC"/>
    <w:multiLevelType w:val="hybridMultilevel"/>
    <w:tmpl w:val="09AA04B4"/>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95" w15:restartNumberingAfterBreak="0">
    <w:nsid w:val="51C34FD6"/>
    <w:multiLevelType w:val="hybridMultilevel"/>
    <w:tmpl w:val="FFFFFFFF"/>
    <w:lvl w:ilvl="0" w:tplc="339404DC">
      <w:start w:val="7"/>
      <w:numFmt w:val="decimal"/>
      <w:lvlText w:val="%1."/>
      <w:lvlJc w:val="left"/>
      <w:pPr>
        <w:ind w:left="720" w:hanging="360"/>
      </w:pPr>
    </w:lvl>
    <w:lvl w:ilvl="1" w:tplc="C542F2B4">
      <w:start w:val="1"/>
      <w:numFmt w:val="lowerLetter"/>
      <w:lvlText w:val="%2."/>
      <w:lvlJc w:val="left"/>
      <w:pPr>
        <w:ind w:left="1440" w:hanging="360"/>
      </w:pPr>
    </w:lvl>
    <w:lvl w:ilvl="2" w:tplc="AA4EE380">
      <w:start w:val="1"/>
      <w:numFmt w:val="lowerRoman"/>
      <w:lvlText w:val="%3."/>
      <w:lvlJc w:val="right"/>
      <w:pPr>
        <w:ind w:left="2160" w:hanging="180"/>
      </w:pPr>
    </w:lvl>
    <w:lvl w:ilvl="3" w:tplc="60B8FCD8">
      <w:start w:val="1"/>
      <w:numFmt w:val="decimal"/>
      <w:lvlText w:val="%4."/>
      <w:lvlJc w:val="left"/>
      <w:pPr>
        <w:ind w:left="2880" w:hanging="360"/>
      </w:pPr>
    </w:lvl>
    <w:lvl w:ilvl="4" w:tplc="7640E2B6">
      <w:start w:val="1"/>
      <w:numFmt w:val="lowerLetter"/>
      <w:lvlText w:val="%5."/>
      <w:lvlJc w:val="left"/>
      <w:pPr>
        <w:ind w:left="3600" w:hanging="360"/>
      </w:pPr>
    </w:lvl>
    <w:lvl w:ilvl="5" w:tplc="097AF2C4">
      <w:start w:val="1"/>
      <w:numFmt w:val="lowerRoman"/>
      <w:lvlText w:val="%6."/>
      <w:lvlJc w:val="right"/>
      <w:pPr>
        <w:ind w:left="4320" w:hanging="180"/>
      </w:pPr>
    </w:lvl>
    <w:lvl w:ilvl="6" w:tplc="F7507E80">
      <w:start w:val="1"/>
      <w:numFmt w:val="decimal"/>
      <w:lvlText w:val="%7."/>
      <w:lvlJc w:val="left"/>
      <w:pPr>
        <w:ind w:left="5040" w:hanging="360"/>
      </w:pPr>
    </w:lvl>
    <w:lvl w:ilvl="7" w:tplc="9BF0E004">
      <w:start w:val="1"/>
      <w:numFmt w:val="lowerLetter"/>
      <w:lvlText w:val="%8."/>
      <w:lvlJc w:val="left"/>
      <w:pPr>
        <w:ind w:left="5760" w:hanging="360"/>
      </w:pPr>
    </w:lvl>
    <w:lvl w:ilvl="8" w:tplc="BDE219B6">
      <w:start w:val="1"/>
      <w:numFmt w:val="lowerRoman"/>
      <w:lvlText w:val="%9."/>
      <w:lvlJc w:val="right"/>
      <w:pPr>
        <w:ind w:left="6480" w:hanging="180"/>
      </w:pPr>
    </w:lvl>
  </w:abstractNum>
  <w:abstractNum w:abstractNumId="496" w15:restartNumberingAfterBreak="0">
    <w:nsid w:val="51F39252"/>
    <w:multiLevelType w:val="hybridMultilevel"/>
    <w:tmpl w:val="FFFFFFFF"/>
    <w:lvl w:ilvl="0" w:tplc="98801298">
      <w:start w:val="1"/>
      <w:numFmt w:val="bullet"/>
      <w:lvlText w:val=""/>
      <w:lvlJc w:val="left"/>
      <w:pPr>
        <w:ind w:left="720" w:hanging="360"/>
      </w:pPr>
      <w:rPr>
        <w:rFonts w:ascii="Symbol" w:hAnsi="Symbol" w:hint="default"/>
      </w:rPr>
    </w:lvl>
    <w:lvl w:ilvl="1" w:tplc="D90C2952">
      <w:start w:val="1"/>
      <w:numFmt w:val="bullet"/>
      <w:lvlText w:val="-"/>
      <w:lvlJc w:val="left"/>
      <w:pPr>
        <w:ind w:left="1440" w:hanging="360"/>
      </w:pPr>
      <w:rPr>
        <w:rFonts w:ascii="Calibri" w:hAnsi="Calibri" w:hint="default"/>
      </w:rPr>
    </w:lvl>
    <w:lvl w:ilvl="2" w:tplc="9F24B08E">
      <w:start w:val="1"/>
      <w:numFmt w:val="bullet"/>
      <w:lvlText w:val=""/>
      <w:lvlJc w:val="left"/>
      <w:pPr>
        <w:ind w:left="2160" w:hanging="360"/>
      </w:pPr>
      <w:rPr>
        <w:rFonts w:ascii="Wingdings" w:hAnsi="Wingdings" w:hint="default"/>
      </w:rPr>
    </w:lvl>
    <w:lvl w:ilvl="3" w:tplc="B9881090">
      <w:start w:val="1"/>
      <w:numFmt w:val="bullet"/>
      <w:lvlText w:val=""/>
      <w:lvlJc w:val="left"/>
      <w:pPr>
        <w:ind w:left="2880" w:hanging="360"/>
      </w:pPr>
      <w:rPr>
        <w:rFonts w:ascii="Symbol" w:hAnsi="Symbol" w:hint="default"/>
      </w:rPr>
    </w:lvl>
    <w:lvl w:ilvl="4" w:tplc="A3929228">
      <w:start w:val="1"/>
      <w:numFmt w:val="bullet"/>
      <w:lvlText w:val="o"/>
      <w:lvlJc w:val="left"/>
      <w:pPr>
        <w:ind w:left="3600" w:hanging="360"/>
      </w:pPr>
      <w:rPr>
        <w:rFonts w:ascii="Courier New" w:hAnsi="Courier New" w:hint="default"/>
      </w:rPr>
    </w:lvl>
    <w:lvl w:ilvl="5" w:tplc="88C2EE56">
      <w:start w:val="1"/>
      <w:numFmt w:val="bullet"/>
      <w:lvlText w:val=""/>
      <w:lvlJc w:val="left"/>
      <w:pPr>
        <w:ind w:left="4320" w:hanging="360"/>
      </w:pPr>
      <w:rPr>
        <w:rFonts w:ascii="Wingdings" w:hAnsi="Wingdings" w:hint="default"/>
      </w:rPr>
    </w:lvl>
    <w:lvl w:ilvl="6" w:tplc="00E222D6">
      <w:start w:val="1"/>
      <w:numFmt w:val="bullet"/>
      <w:lvlText w:val=""/>
      <w:lvlJc w:val="left"/>
      <w:pPr>
        <w:ind w:left="5040" w:hanging="360"/>
      </w:pPr>
      <w:rPr>
        <w:rFonts w:ascii="Symbol" w:hAnsi="Symbol" w:hint="default"/>
      </w:rPr>
    </w:lvl>
    <w:lvl w:ilvl="7" w:tplc="D33E97CE">
      <w:start w:val="1"/>
      <w:numFmt w:val="bullet"/>
      <w:lvlText w:val="o"/>
      <w:lvlJc w:val="left"/>
      <w:pPr>
        <w:ind w:left="5760" w:hanging="360"/>
      </w:pPr>
      <w:rPr>
        <w:rFonts w:ascii="Courier New" w:hAnsi="Courier New" w:hint="default"/>
      </w:rPr>
    </w:lvl>
    <w:lvl w:ilvl="8" w:tplc="3FC86346">
      <w:start w:val="1"/>
      <w:numFmt w:val="bullet"/>
      <w:lvlText w:val=""/>
      <w:lvlJc w:val="left"/>
      <w:pPr>
        <w:ind w:left="6480" w:hanging="360"/>
      </w:pPr>
      <w:rPr>
        <w:rFonts w:ascii="Wingdings" w:hAnsi="Wingdings" w:hint="default"/>
      </w:rPr>
    </w:lvl>
  </w:abstractNum>
  <w:abstractNum w:abstractNumId="497" w15:restartNumberingAfterBreak="0">
    <w:nsid w:val="51F6139C"/>
    <w:multiLevelType w:val="multilevel"/>
    <w:tmpl w:val="E80EF27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8" w15:restartNumberingAfterBreak="0">
    <w:nsid w:val="51FBD3EC"/>
    <w:multiLevelType w:val="hybridMultilevel"/>
    <w:tmpl w:val="FFFFFFFF"/>
    <w:lvl w:ilvl="0" w:tplc="A5541B30">
      <w:start w:val="1"/>
      <w:numFmt w:val="bullet"/>
      <w:lvlText w:val=""/>
      <w:lvlJc w:val="left"/>
      <w:pPr>
        <w:ind w:left="720" w:hanging="360"/>
      </w:pPr>
      <w:rPr>
        <w:rFonts w:ascii="Segoe UI" w:hAnsi="Segoe UI" w:hint="default"/>
      </w:rPr>
    </w:lvl>
    <w:lvl w:ilvl="1" w:tplc="7F30CC54">
      <w:start w:val="1"/>
      <w:numFmt w:val="bullet"/>
      <w:lvlText w:val="o"/>
      <w:lvlJc w:val="left"/>
      <w:pPr>
        <w:ind w:left="1440" w:hanging="360"/>
      </w:pPr>
      <w:rPr>
        <w:rFonts w:ascii="Courier New" w:hAnsi="Courier New" w:hint="default"/>
      </w:rPr>
    </w:lvl>
    <w:lvl w:ilvl="2" w:tplc="505E863C">
      <w:start w:val="1"/>
      <w:numFmt w:val="bullet"/>
      <w:lvlText w:val=""/>
      <w:lvlJc w:val="left"/>
      <w:pPr>
        <w:ind w:left="2160" w:hanging="360"/>
      </w:pPr>
      <w:rPr>
        <w:rFonts w:ascii="Cambria Math" w:hAnsi="Cambria Math" w:hint="default"/>
      </w:rPr>
    </w:lvl>
    <w:lvl w:ilvl="3" w:tplc="512C99E4">
      <w:start w:val="1"/>
      <w:numFmt w:val="bullet"/>
      <w:lvlText w:val=""/>
      <w:lvlJc w:val="left"/>
      <w:pPr>
        <w:ind w:left="2880" w:hanging="360"/>
      </w:pPr>
      <w:rPr>
        <w:rFonts w:ascii="Segoe UI" w:hAnsi="Segoe UI" w:hint="default"/>
      </w:rPr>
    </w:lvl>
    <w:lvl w:ilvl="4" w:tplc="395A8F88">
      <w:start w:val="1"/>
      <w:numFmt w:val="bullet"/>
      <w:lvlText w:val="o"/>
      <w:lvlJc w:val="left"/>
      <w:pPr>
        <w:ind w:left="3600" w:hanging="360"/>
      </w:pPr>
      <w:rPr>
        <w:rFonts w:ascii="Courier New" w:hAnsi="Courier New" w:hint="default"/>
      </w:rPr>
    </w:lvl>
    <w:lvl w:ilvl="5" w:tplc="CDF81730">
      <w:start w:val="1"/>
      <w:numFmt w:val="bullet"/>
      <w:lvlText w:val=""/>
      <w:lvlJc w:val="left"/>
      <w:pPr>
        <w:ind w:left="4320" w:hanging="360"/>
      </w:pPr>
      <w:rPr>
        <w:rFonts w:ascii="Cambria Math" w:hAnsi="Cambria Math" w:hint="default"/>
      </w:rPr>
    </w:lvl>
    <w:lvl w:ilvl="6" w:tplc="E8CA51C0">
      <w:start w:val="1"/>
      <w:numFmt w:val="bullet"/>
      <w:lvlText w:val=""/>
      <w:lvlJc w:val="left"/>
      <w:pPr>
        <w:ind w:left="5040" w:hanging="360"/>
      </w:pPr>
      <w:rPr>
        <w:rFonts w:ascii="Segoe UI" w:hAnsi="Segoe UI" w:hint="default"/>
      </w:rPr>
    </w:lvl>
    <w:lvl w:ilvl="7" w:tplc="B0EA966E">
      <w:start w:val="1"/>
      <w:numFmt w:val="bullet"/>
      <w:lvlText w:val="o"/>
      <w:lvlJc w:val="left"/>
      <w:pPr>
        <w:ind w:left="5760" w:hanging="360"/>
      </w:pPr>
      <w:rPr>
        <w:rFonts w:ascii="Courier New" w:hAnsi="Courier New" w:hint="default"/>
      </w:rPr>
    </w:lvl>
    <w:lvl w:ilvl="8" w:tplc="9A846126">
      <w:start w:val="1"/>
      <w:numFmt w:val="bullet"/>
      <w:lvlText w:val=""/>
      <w:lvlJc w:val="left"/>
      <w:pPr>
        <w:ind w:left="6480" w:hanging="360"/>
      </w:pPr>
      <w:rPr>
        <w:rFonts w:ascii="Cambria Math" w:hAnsi="Cambria Math" w:hint="default"/>
      </w:rPr>
    </w:lvl>
  </w:abstractNum>
  <w:abstractNum w:abstractNumId="499" w15:restartNumberingAfterBreak="0">
    <w:nsid w:val="528F05AD"/>
    <w:multiLevelType w:val="hybridMultilevel"/>
    <w:tmpl w:val="FFFFFFFF"/>
    <w:lvl w:ilvl="0" w:tplc="4FA4B262">
      <w:start w:val="7"/>
      <w:numFmt w:val="decimal"/>
      <w:lvlText w:val="%1."/>
      <w:lvlJc w:val="left"/>
      <w:pPr>
        <w:ind w:left="720" w:hanging="360"/>
      </w:pPr>
    </w:lvl>
    <w:lvl w:ilvl="1" w:tplc="0D80471E">
      <w:start w:val="1"/>
      <w:numFmt w:val="lowerLetter"/>
      <w:lvlText w:val="%2."/>
      <w:lvlJc w:val="left"/>
      <w:pPr>
        <w:ind w:left="1440" w:hanging="360"/>
      </w:pPr>
    </w:lvl>
    <w:lvl w:ilvl="2" w:tplc="AC4AFCF2">
      <w:start w:val="1"/>
      <w:numFmt w:val="lowerRoman"/>
      <w:lvlText w:val="%3."/>
      <w:lvlJc w:val="right"/>
      <w:pPr>
        <w:ind w:left="2160" w:hanging="180"/>
      </w:pPr>
    </w:lvl>
    <w:lvl w:ilvl="3" w:tplc="7186BF4E">
      <w:start w:val="1"/>
      <w:numFmt w:val="decimal"/>
      <w:lvlText w:val="%4."/>
      <w:lvlJc w:val="left"/>
      <w:pPr>
        <w:ind w:left="2880" w:hanging="360"/>
      </w:pPr>
    </w:lvl>
    <w:lvl w:ilvl="4" w:tplc="A85E92A6">
      <w:start w:val="1"/>
      <w:numFmt w:val="lowerLetter"/>
      <w:lvlText w:val="%5."/>
      <w:lvlJc w:val="left"/>
      <w:pPr>
        <w:ind w:left="3600" w:hanging="360"/>
      </w:pPr>
    </w:lvl>
    <w:lvl w:ilvl="5" w:tplc="5B182BEA">
      <w:start w:val="1"/>
      <w:numFmt w:val="lowerRoman"/>
      <w:lvlText w:val="%6."/>
      <w:lvlJc w:val="right"/>
      <w:pPr>
        <w:ind w:left="4320" w:hanging="180"/>
      </w:pPr>
    </w:lvl>
    <w:lvl w:ilvl="6" w:tplc="36FCD0BE">
      <w:start w:val="1"/>
      <w:numFmt w:val="decimal"/>
      <w:lvlText w:val="%7."/>
      <w:lvlJc w:val="left"/>
      <w:pPr>
        <w:ind w:left="5040" w:hanging="360"/>
      </w:pPr>
    </w:lvl>
    <w:lvl w:ilvl="7" w:tplc="AE5A4B86">
      <w:start w:val="1"/>
      <w:numFmt w:val="lowerLetter"/>
      <w:lvlText w:val="%8."/>
      <w:lvlJc w:val="left"/>
      <w:pPr>
        <w:ind w:left="5760" w:hanging="360"/>
      </w:pPr>
    </w:lvl>
    <w:lvl w:ilvl="8" w:tplc="C4F8FDF2">
      <w:start w:val="1"/>
      <w:numFmt w:val="lowerRoman"/>
      <w:lvlText w:val="%9."/>
      <w:lvlJc w:val="right"/>
      <w:pPr>
        <w:ind w:left="6480" w:hanging="180"/>
      </w:pPr>
    </w:lvl>
  </w:abstractNum>
  <w:abstractNum w:abstractNumId="500" w15:restartNumberingAfterBreak="0">
    <w:nsid w:val="52A67588"/>
    <w:multiLevelType w:val="hybridMultilevel"/>
    <w:tmpl w:val="339EC5E2"/>
    <w:lvl w:ilvl="0" w:tplc="ED7E88AA">
      <w:start w:val="1"/>
      <w:numFmt w:val="decimal"/>
      <w:lvlText w:val="%1."/>
      <w:lvlJc w:val="left"/>
      <w:pPr>
        <w:ind w:left="720" w:hanging="360"/>
      </w:pPr>
      <w:rPr>
        <w:rFonts w:ascii="Symbol" w:hAnsi="Symbol" w:cs="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01" w15:restartNumberingAfterBreak="0">
    <w:nsid w:val="52E145F1"/>
    <w:multiLevelType w:val="multilevel"/>
    <w:tmpl w:val="FD02E8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2" w15:restartNumberingAfterBreak="0">
    <w:nsid w:val="53092700"/>
    <w:multiLevelType w:val="hybridMultilevel"/>
    <w:tmpl w:val="FFFFFFFF"/>
    <w:lvl w:ilvl="0" w:tplc="4C34D632">
      <w:start w:val="1"/>
      <w:numFmt w:val="bullet"/>
      <w:lvlText w:val=""/>
      <w:lvlJc w:val="left"/>
      <w:pPr>
        <w:ind w:left="720" w:hanging="360"/>
      </w:pPr>
      <w:rPr>
        <w:rFonts w:ascii="Symbol" w:hAnsi="Symbol" w:hint="default"/>
      </w:rPr>
    </w:lvl>
    <w:lvl w:ilvl="1" w:tplc="CC94CA28">
      <w:start w:val="1"/>
      <w:numFmt w:val="bullet"/>
      <w:lvlText w:val="-"/>
      <w:lvlJc w:val="left"/>
      <w:pPr>
        <w:ind w:left="1440" w:hanging="360"/>
      </w:pPr>
      <w:rPr>
        <w:rFonts w:ascii="Calibri" w:hAnsi="Calibri" w:hint="default"/>
      </w:rPr>
    </w:lvl>
    <w:lvl w:ilvl="2" w:tplc="17FA51DA">
      <w:start w:val="1"/>
      <w:numFmt w:val="bullet"/>
      <w:lvlText w:val=""/>
      <w:lvlJc w:val="left"/>
      <w:pPr>
        <w:ind w:left="2160" w:hanging="360"/>
      </w:pPr>
      <w:rPr>
        <w:rFonts w:ascii="Wingdings" w:hAnsi="Wingdings" w:hint="default"/>
      </w:rPr>
    </w:lvl>
    <w:lvl w:ilvl="3" w:tplc="878C740E">
      <w:start w:val="1"/>
      <w:numFmt w:val="bullet"/>
      <w:lvlText w:val=""/>
      <w:lvlJc w:val="left"/>
      <w:pPr>
        <w:ind w:left="2880" w:hanging="360"/>
      </w:pPr>
      <w:rPr>
        <w:rFonts w:ascii="Symbol" w:hAnsi="Symbol" w:hint="default"/>
      </w:rPr>
    </w:lvl>
    <w:lvl w:ilvl="4" w:tplc="DD386FEC">
      <w:start w:val="1"/>
      <w:numFmt w:val="bullet"/>
      <w:lvlText w:val="o"/>
      <w:lvlJc w:val="left"/>
      <w:pPr>
        <w:ind w:left="3600" w:hanging="360"/>
      </w:pPr>
      <w:rPr>
        <w:rFonts w:ascii="Courier New" w:hAnsi="Courier New" w:hint="default"/>
      </w:rPr>
    </w:lvl>
    <w:lvl w:ilvl="5" w:tplc="3CB4266E">
      <w:start w:val="1"/>
      <w:numFmt w:val="bullet"/>
      <w:lvlText w:val=""/>
      <w:lvlJc w:val="left"/>
      <w:pPr>
        <w:ind w:left="4320" w:hanging="360"/>
      </w:pPr>
      <w:rPr>
        <w:rFonts w:ascii="Wingdings" w:hAnsi="Wingdings" w:hint="default"/>
      </w:rPr>
    </w:lvl>
    <w:lvl w:ilvl="6" w:tplc="B83EC450">
      <w:start w:val="1"/>
      <w:numFmt w:val="bullet"/>
      <w:lvlText w:val=""/>
      <w:lvlJc w:val="left"/>
      <w:pPr>
        <w:ind w:left="5040" w:hanging="360"/>
      </w:pPr>
      <w:rPr>
        <w:rFonts w:ascii="Symbol" w:hAnsi="Symbol" w:hint="default"/>
      </w:rPr>
    </w:lvl>
    <w:lvl w:ilvl="7" w:tplc="A52623A0">
      <w:start w:val="1"/>
      <w:numFmt w:val="bullet"/>
      <w:lvlText w:val="o"/>
      <w:lvlJc w:val="left"/>
      <w:pPr>
        <w:ind w:left="5760" w:hanging="360"/>
      </w:pPr>
      <w:rPr>
        <w:rFonts w:ascii="Courier New" w:hAnsi="Courier New" w:hint="default"/>
      </w:rPr>
    </w:lvl>
    <w:lvl w:ilvl="8" w:tplc="2B2203C8">
      <w:start w:val="1"/>
      <w:numFmt w:val="bullet"/>
      <w:lvlText w:val=""/>
      <w:lvlJc w:val="left"/>
      <w:pPr>
        <w:ind w:left="6480" w:hanging="360"/>
      </w:pPr>
      <w:rPr>
        <w:rFonts w:ascii="Wingdings" w:hAnsi="Wingdings" w:hint="default"/>
      </w:rPr>
    </w:lvl>
  </w:abstractNum>
  <w:abstractNum w:abstractNumId="503" w15:restartNumberingAfterBreak="0">
    <w:nsid w:val="536649EB"/>
    <w:multiLevelType w:val="hybridMultilevel"/>
    <w:tmpl w:val="4B7655CA"/>
    <w:lvl w:ilvl="0" w:tplc="18090001">
      <w:start w:val="1"/>
      <w:numFmt w:val="bullet"/>
      <w:lvlText w:val=""/>
      <w:lvlJc w:val="left"/>
      <w:pPr>
        <w:ind w:left="720" w:hanging="360"/>
      </w:pPr>
      <w:rPr>
        <w:rFonts w:ascii="Symbol" w:hAnsi="Symbol" w:hint="default"/>
      </w:rPr>
    </w:lvl>
    <w:lvl w:ilvl="1" w:tplc="D13A51C6">
      <w:numFmt w:val="bullet"/>
      <w:pStyle w:val="bullet2"/>
      <w:lvlText w:val="-"/>
      <w:lvlJc w:val="left"/>
      <w:pPr>
        <w:ind w:left="1440" w:hanging="360"/>
      </w:pPr>
      <w:rPr>
        <w:rFonts w:ascii="Wingdings" w:eastAsiaTheme="minorHAnsi" w:hAnsi="Wingdings" w:cs="Wingdings" w:hint="default"/>
      </w:rPr>
    </w:lvl>
    <w:lvl w:ilvl="2" w:tplc="CE645904">
      <w:start w:val="1"/>
      <w:numFmt w:val="lowerLetter"/>
      <w:lvlText w:val="%3)"/>
      <w:lvlJc w:val="left"/>
      <w:pPr>
        <w:ind w:left="2160" w:hanging="360"/>
      </w:pPr>
      <w:rPr>
        <w:rFonts w:asciiTheme="minorHAnsi" w:eastAsia="Aptos" w:hAnsiTheme="minorHAnsi" w:cstheme="minorHAnsi"/>
      </w:rPr>
    </w:lvl>
    <w:lvl w:ilvl="3" w:tplc="9E2A1D18">
      <w:start w:val="1"/>
      <w:numFmt w:val="bullet"/>
      <w:lvlText w:val=""/>
      <w:lvlJc w:val="left"/>
      <w:pPr>
        <w:ind w:left="2880" w:hanging="360"/>
      </w:pPr>
      <w:rPr>
        <w:rFonts w:ascii="Segoe UI" w:hAnsi="Segoe UI" w:hint="default"/>
      </w:rPr>
    </w:lvl>
    <w:lvl w:ilvl="4" w:tplc="93E06754">
      <w:start w:val="1"/>
      <w:numFmt w:val="bullet"/>
      <w:lvlText w:val="o"/>
      <w:lvlJc w:val="left"/>
      <w:pPr>
        <w:ind w:left="3600" w:hanging="360"/>
      </w:pPr>
      <w:rPr>
        <w:rFonts w:ascii="Courier New" w:hAnsi="Courier New" w:hint="default"/>
      </w:rPr>
    </w:lvl>
    <w:lvl w:ilvl="5" w:tplc="66403156">
      <w:start w:val="1"/>
      <w:numFmt w:val="bullet"/>
      <w:lvlText w:val=""/>
      <w:lvlJc w:val="left"/>
      <w:pPr>
        <w:ind w:left="4320" w:hanging="360"/>
      </w:pPr>
      <w:rPr>
        <w:rFonts w:ascii="Cambria Math" w:hAnsi="Cambria Math" w:hint="default"/>
      </w:rPr>
    </w:lvl>
    <w:lvl w:ilvl="6" w:tplc="302ED93E">
      <w:start w:val="1"/>
      <w:numFmt w:val="bullet"/>
      <w:lvlText w:val=""/>
      <w:lvlJc w:val="left"/>
      <w:pPr>
        <w:ind w:left="5040" w:hanging="360"/>
      </w:pPr>
      <w:rPr>
        <w:rFonts w:ascii="Segoe UI" w:hAnsi="Segoe UI" w:hint="default"/>
      </w:rPr>
    </w:lvl>
    <w:lvl w:ilvl="7" w:tplc="9FCA7C0C">
      <w:start w:val="1"/>
      <w:numFmt w:val="bullet"/>
      <w:lvlText w:val="o"/>
      <w:lvlJc w:val="left"/>
      <w:pPr>
        <w:ind w:left="5760" w:hanging="360"/>
      </w:pPr>
      <w:rPr>
        <w:rFonts w:ascii="Courier New" w:hAnsi="Courier New" w:hint="default"/>
      </w:rPr>
    </w:lvl>
    <w:lvl w:ilvl="8" w:tplc="3CDAD1D2">
      <w:start w:val="1"/>
      <w:numFmt w:val="bullet"/>
      <w:lvlText w:val=""/>
      <w:lvlJc w:val="left"/>
      <w:pPr>
        <w:ind w:left="6480" w:hanging="360"/>
      </w:pPr>
      <w:rPr>
        <w:rFonts w:ascii="Cambria Math" w:hAnsi="Cambria Math" w:hint="default"/>
      </w:rPr>
    </w:lvl>
  </w:abstractNum>
  <w:abstractNum w:abstractNumId="504" w15:restartNumberingAfterBreak="0">
    <w:nsid w:val="537F1D99"/>
    <w:multiLevelType w:val="hybridMultilevel"/>
    <w:tmpl w:val="48E299CE"/>
    <w:lvl w:ilvl="0" w:tplc="FFFFFFFF">
      <w:start w:val="1"/>
      <w:numFmt w:val="bullet"/>
      <w:lvlText w:val=""/>
      <w:lvlJc w:val="left"/>
      <w:pPr>
        <w:ind w:left="720" w:hanging="360"/>
      </w:pPr>
      <w:rPr>
        <w:rFonts w:ascii="Symbol" w:hAnsi="Symbol" w:hint="default"/>
      </w:rPr>
    </w:lvl>
    <w:lvl w:ilvl="1" w:tplc="8550B768">
      <w:start w:val="1"/>
      <w:numFmt w:val="bullet"/>
      <w:lvlText w:val="o"/>
      <w:lvlJc w:val="left"/>
      <w:pPr>
        <w:ind w:left="1440" w:hanging="360"/>
      </w:pPr>
      <w:rPr>
        <w:rFonts w:ascii="Courier New" w:hAnsi="Courier New" w:hint="default"/>
      </w:rPr>
    </w:lvl>
    <w:lvl w:ilvl="2" w:tplc="993E8EF8">
      <w:start w:val="1"/>
      <w:numFmt w:val="bullet"/>
      <w:lvlText w:val=""/>
      <w:lvlJc w:val="left"/>
      <w:pPr>
        <w:ind w:left="2160" w:hanging="360"/>
      </w:pPr>
      <w:rPr>
        <w:rFonts w:ascii="Wingdings" w:hAnsi="Wingdings" w:hint="default"/>
      </w:rPr>
    </w:lvl>
    <w:lvl w:ilvl="3" w:tplc="5186F328">
      <w:start w:val="1"/>
      <w:numFmt w:val="bullet"/>
      <w:lvlText w:val=""/>
      <w:lvlJc w:val="left"/>
      <w:pPr>
        <w:ind w:left="2880" w:hanging="360"/>
      </w:pPr>
      <w:rPr>
        <w:rFonts w:ascii="Symbol" w:hAnsi="Symbol" w:hint="default"/>
      </w:rPr>
    </w:lvl>
    <w:lvl w:ilvl="4" w:tplc="0CC43702">
      <w:start w:val="1"/>
      <w:numFmt w:val="bullet"/>
      <w:lvlText w:val="o"/>
      <w:lvlJc w:val="left"/>
      <w:pPr>
        <w:ind w:left="3600" w:hanging="360"/>
      </w:pPr>
      <w:rPr>
        <w:rFonts w:ascii="Courier New" w:hAnsi="Courier New" w:hint="default"/>
      </w:rPr>
    </w:lvl>
    <w:lvl w:ilvl="5" w:tplc="A2A89980">
      <w:start w:val="1"/>
      <w:numFmt w:val="bullet"/>
      <w:lvlText w:val=""/>
      <w:lvlJc w:val="left"/>
      <w:pPr>
        <w:ind w:left="4320" w:hanging="360"/>
      </w:pPr>
      <w:rPr>
        <w:rFonts w:ascii="Wingdings" w:hAnsi="Wingdings" w:hint="default"/>
      </w:rPr>
    </w:lvl>
    <w:lvl w:ilvl="6" w:tplc="71E4B7E6">
      <w:start w:val="1"/>
      <w:numFmt w:val="bullet"/>
      <w:lvlText w:val=""/>
      <w:lvlJc w:val="left"/>
      <w:pPr>
        <w:ind w:left="5040" w:hanging="360"/>
      </w:pPr>
      <w:rPr>
        <w:rFonts w:ascii="Symbol" w:hAnsi="Symbol" w:hint="default"/>
      </w:rPr>
    </w:lvl>
    <w:lvl w:ilvl="7" w:tplc="6F8A6104">
      <w:start w:val="1"/>
      <w:numFmt w:val="bullet"/>
      <w:lvlText w:val="o"/>
      <w:lvlJc w:val="left"/>
      <w:pPr>
        <w:ind w:left="5760" w:hanging="360"/>
      </w:pPr>
      <w:rPr>
        <w:rFonts w:ascii="Courier New" w:hAnsi="Courier New" w:hint="default"/>
      </w:rPr>
    </w:lvl>
    <w:lvl w:ilvl="8" w:tplc="3A009252">
      <w:start w:val="1"/>
      <w:numFmt w:val="bullet"/>
      <w:lvlText w:val=""/>
      <w:lvlJc w:val="left"/>
      <w:pPr>
        <w:ind w:left="6480" w:hanging="360"/>
      </w:pPr>
      <w:rPr>
        <w:rFonts w:ascii="Wingdings" w:hAnsi="Wingdings" w:hint="default"/>
      </w:rPr>
    </w:lvl>
  </w:abstractNum>
  <w:abstractNum w:abstractNumId="505" w15:restartNumberingAfterBreak="0">
    <w:nsid w:val="54161E50"/>
    <w:multiLevelType w:val="multilevel"/>
    <w:tmpl w:val="3582497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6" w15:restartNumberingAfterBreak="0">
    <w:nsid w:val="544A54A6"/>
    <w:multiLevelType w:val="hybridMultilevel"/>
    <w:tmpl w:val="42BA6C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7" w15:restartNumberingAfterBreak="0">
    <w:nsid w:val="54551344"/>
    <w:multiLevelType w:val="multilevel"/>
    <w:tmpl w:val="929E4F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08" w15:restartNumberingAfterBreak="0">
    <w:nsid w:val="546BE445"/>
    <w:multiLevelType w:val="hybridMultilevel"/>
    <w:tmpl w:val="FFFFFFFF"/>
    <w:lvl w:ilvl="0" w:tplc="7A186E2A">
      <w:start w:val="1"/>
      <w:numFmt w:val="bullet"/>
      <w:lvlText w:val="§"/>
      <w:lvlJc w:val="left"/>
      <w:pPr>
        <w:ind w:left="720" w:hanging="360"/>
      </w:pPr>
      <w:rPr>
        <w:rFonts w:ascii="Wingdings" w:hAnsi="Wingdings" w:hint="default"/>
      </w:rPr>
    </w:lvl>
    <w:lvl w:ilvl="1" w:tplc="B9E0477C">
      <w:start w:val="1"/>
      <w:numFmt w:val="bullet"/>
      <w:lvlText w:val="o"/>
      <w:lvlJc w:val="left"/>
      <w:pPr>
        <w:ind w:left="1440" w:hanging="360"/>
      </w:pPr>
      <w:rPr>
        <w:rFonts w:ascii="Courier New" w:hAnsi="Courier New" w:hint="default"/>
      </w:rPr>
    </w:lvl>
    <w:lvl w:ilvl="2" w:tplc="CA08245A">
      <w:start w:val="1"/>
      <w:numFmt w:val="bullet"/>
      <w:lvlText w:val=""/>
      <w:lvlJc w:val="left"/>
      <w:pPr>
        <w:ind w:left="2160" w:hanging="360"/>
      </w:pPr>
      <w:rPr>
        <w:rFonts w:ascii="Wingdings" w:hAnsi="Wingdings" w:hint="default"/>
      </w:rPr>
    </w:lvl>
    <w:lvl w:ilvl="3" w:tplc="0B504C2E">
      <w:start w:val="1"/>
      <w:numFmt w:val="bullet"/>
      <w:lvlText w:val=""/>
      <w:lvlJc w:val="left"/>
      <w:pPr>
        <w:ind w:left="2880" w:hanging="360"/>
      </w:pPr>
      <w:rPr>
        <w:rFonts w:ascii="Symbol" w:hAnsi="Symbol" w:hint="default"/>
      </w:rPr>
    </w:lvl>
    <w:lvl w:ilvl="4" w:tplc="D74E8CDC">
      <w:start w:val="1"/>
      <w:numFmt w:val="bullet"/>
      <w:lvlText w:val="o"/>
      <w:lvlJc w:val="left"/>
      <w:pPr>
        <w:ind w:left="3600" w:hanging="360"/>
      </w:pPr>
      <w:rPr>
        <w:rFonts w:ascii="Courier New" w:hAnsi="Courier New" w:hint="default"/>
      </w:rPr>
    </w:lvl>
    <w:lvl w:ilvl="5" w:tplc="65141C40">
      <w:start w:val="1"/>
      <w:numFmt w:val="bullet"/>
      <w:lvlText w:val=""/>
      <w:lvlJc w:val="left"/>
      <w:pPr>
        <w:ind w:left="4320" w:hanging="360"/>
      </w:pPr>
      <w:rPr>
        <w:rFonts w:ascii="Wingdings" w:hAnsi="Wingdings" w:hint="default"/>
      </w:rPr>
    </w:lvl>
    <w:lvl w:ilvl="6" w:tplc="2D28BE2C">
      <w:start w:val="1"/>
      <w:numFmt w:val="bullet"/>
      <w:lvlText w:val=""/>
      <w:lvlJc w:val="left"/>
      <w:pPr>
        <w:ind w:left="5040" w:hanging="360"/>
      </w:pPr>
      <w:rPr>
        <w:rFonts w:ascii="Symbol" w:hAnsi="Symbol" w:hint="default"/>
      </w:rPr>
    </w:lvl>
    <w:lvl w:ilvl="7" w:tplc="1CA8B536">
      <w:start w:val="1"/>
      <w:numFmt w:val="bullet"/>
      <w:lvlText w:val="o"/>
      <w:lvlJc w:val="left"/>
      <w:pPr>
        <w:ind w:left="5760" w:hanging="360"/>
      </w:pPr>
      <w:rPr>
        <w:rFonts w:ascii="Courier New" w:hAnsi="Courier New" w:hint="default"/>
      </w:rPr>
    </w:lvl>
    <w:lvl w:ilvl="8" w:tplc="6D84D894">
      <w:start w:val="1"/>
      <w:numFmt w:val="bullet"/>
      <w:lvlText w:val=""/>
      <w:lvlJc w:val="left"/>
      <w:pPr>
        <w:ind w:left="6480" w:hanging="360"/>
      </w:pPr>
      <w:rPr>
        <w:rFonts w:ascii="Wingdings" w:hAnsi="Wingdings" w:hint="default"/>
      </w:rPr>
    </w:lvl>
  </w:abstractNum>
  <w:abstractNum w:abstractNumId="509" w15:restartNumberingAfterBreak="0">
    <w:nsid w:val="54BA1EAB"/>
    <w:multiLevelType w:val="hybridMultilevel"/>
    <w:tmpl w:val="7C4498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0" w15:restartNumberingAfterBreak="0">
    <w:nsid w:val="54C71877"/>
    <w:multiLevelType w:val="hybridMultilevel"/>
    <w:tmpl w:val="86864030"/>
    <w:lvl w:ilvl="0" w:tplc="18090001">
      <w:start w:val="1"/>
      <w:numFmt w:val="bullet"/>
      <w:lvlText w:val=""/>
      <w:lvlJc w:val="left"/>
      <w:pPr>
        <w:ind w:left="787" w:hanging="360"/>
      </w:pPr>
      <w:rPr>
        <w:rFonts w:ascii="Symbol" w:hAnsi="Symbol" w:hint="default"/>
      </w:rPr>
    </w:lvl>
    <w:lvl w:ilvl="1" w:tplc="18090003" w:tentative="1">
      <w:start w:val="1"/>
      <w:numFmt w:val="bullet"/>
      <w:lvlText w:val="o"/>
      <w:lvlJc w:val="left"/>
      <w:pPr>
        <w:ind w:left="1507" w:hanging="360"/>
      </w:pPr>
      <w:rPr>
        <w:rFonts w:ascii="Courier New" w:hAnsi="Courier New" w:cs="Courier New" w:hint="default"/>
      </w:rPr>
    </w:lvl>
    <w:lvl w:ilvl="2" w:tplc="18090005" w:tentative="1">
      <w:start w:val="1"/>
      <w:numFmt w:val="bullet"/>
      <w:lvlText w:val=""/>
      <w:lvlJc w:val="left"/>
      <w:pPr>
        <w:ind w:left="2227" w:hanging="360"/>
      </w:pPr>
      <w:rPr>
        <w:rFonts w:ascii="Wingdings" w:hAnsi="Wingdings" w:hint="default"/>
      </w:rPr>
    </w:lvl>
    <w:lvl w:ilvl="3" w:tplc="18090001" w:tentative="1">
      <w:start w:val="1"/>
      <w:numFmt w:val="bullet"/>
      <w:lvlText w:val=""/>
      <w:lvlJc w:val="left"/>
      <w:pPr>
        <w:ind w:left="2947" w:hanging="360"/>
      </w:pPr>
      <w:rPr>
        <w:rFonts w:ascii="Symbol" w:hAnsi="Symbol" w:hint="default"/>
      </w:rPr>
    </w:lvl>
    <w:lvl w:ilvl="4" w:tplc="18090003" w:tentative="1">
      <w:start w:val="1"/>
      <w:numFmt w:val="bullet"/>
      <w:lvlText w:val="o"/>
      <w:lvlJc w:val="left"/>
      <w:pPr>
        <w:ind w:left="3667" w:hanging="360"/>
      </w:pPr>
      <w:rPr>
        <w:rFonts w:ascii="Courier New" w:hAnsi="Courier New" w:cs="Courier New" w:hint="default"/>
      </w:rPr>
    </w:lvl>
    <w:lvl w:ilvl="5" w:tplc="18090005" w:tentative="1">
      <w:start w:val="1"/>
      <w:numFmt w:val="bullet"/>
      <w:lvlText w:val=""/>
      <w:lvlJc w:val="left"/>
      <w:pPr>
        <w:ind w:left="4387" w:hanging="360"/>
      </w:pPr>
      <w:rPr>
        <w:rFonts w:ascii="Wingdings" w:hAnsi="Wingdings" w:hint="default"/>
      </w:rPr>
    </w:lvl>
    <w:lvl w:ilvl="6" w:tplc="18090001" w:tentative="1">
      <w:start w:val="1"/>
      <w:numFmt w:val="bullet"/>
      <w:lvlText w:val=""/>
      <w:lvlJc w:val="left"/>
      <w:pPr>
        <w:ind w:left="5107" w:hanging="360"/>
      </w:pPr>
      <w:rPr>
        <w:rFonts w:ascii="Symbol" w:hAnsi="Symbol" w:hint="default"/>
      </w:rPr>
    </w:lvl>
    <w:lvl w:ilvl="7" w:tplc="18090003" w:tentative="1">
      <w:start w:val="1"/>
      <w:numFmt w:val="bullet"/>
      <w:lvlText w:val="o"/>
      <w:lvlJc w:val="left"/>
      <w:pPr>
        <w:ind w:left="5827" w:hanging="360"/>
      </w:pPr>
      <w:rPr>
        <w:rFonts w:ascii="Courier New" w:hAnsi="Courier New" w:cs="Courier New" w:hint="default"/>
      </w:rPr>
    </w:lvl>
    <w:lvl w:ilvl="8" w:tplc="18090005" w:tentative="1">
      <w:start w:val="1"/>
      <w:numFmt w:val="bullet"/>
      <w:lvlText w:val=""/>
      <w:lvlJc w:val="left"/>
      <w:pPr>
        <w:ind w:left="6547" w:hanging="360"/>
      </w:pPr>
      <w:rPr>
        <w:rFonts w:ascii="Wingdings" w:hAnsi="Wingdings" w:hint="default"/>
      </w:rPr>
    </w:lvl>
  </w:abstractNum>
  <w:abstractNum w:abstractNumId="511" w15:restartNumberingAfterBreak="0">
    <w:nsid w:val="54D8239D"/>
    <w:multiLevelType w:val="multilevel"/>
    <w:tmpl w:val="E466C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2" w15:restartNumberingAfterBreak="0">
    <w:nsid w:val="55085006"/>
    <w:multiLevelType w:val="hybridMultilevel"/>
    <w:tmpl w:val="8BD045BC"/>
    <w:lvl w:ilvl="0" w:tplc="080C0013">
      <w:start w:val="1"/>
      <w:numFmt w:val="upperRoman"/>
      <w:lvlText w:val="%1."/>
      <w:lvlJc w:val="righ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13" w15:restartNumberingAfterBreak="0">
    <w:nsid w:val="551C6B9F"/>
    <w:multiLevelType w:val="hybridMultilevel"/>
    <w:tmpl w:val="0636A3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4" w15:restartNumberingAfterBreak="0">
    <w:nsid w:val="554C0712"/>
    <w:multiLevelType w:val="hybridMultilevel"/>
    <w:tmpl w:val="DCE871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5" w15:restartNumberingAfterBreak="0">
    <w:nsid w:val="55666125"/>
    <w:multiLevelType w:val="hybridMultilevel"/>
    <w:tmpl w:val="34BC7C10"/>
    <w:lvl w:ilvl="0" w:tplc="3F2A7D3A">
      <w:start w:val="1"/>
      <w:numFmt w:val="lowerLetter"/>
      <w:lvlText w:val="%1)"/>
      <w:lvlJc w:val="left"/>
      <w:pPr>
        <w:ind w:left="1444" w:hanging="73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6"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egoe UI" w:hAnsi="Segoe UI" w:hint="default"/>
      </w:rPr>
    </w:lvl>
  </w:abstractNum>
  <w:abstractNum w:abstractNumId="517" w15:restartNumberingAfterBreak="0">
    <w:nsid w:val="557C33CE"/>
    <w:multiLevelType w:val="hybridMultilevel"/>
    <w:tmpl w:val="4372D5B0"/>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8" w15:restartNumberingAfterBreak="0">
    <w:nsid w:val="55A85B81"/>
    <w:multiLevelType w:val="hybridMultilevel"/>
    <w:tmpl w:val="63926BA2"/>
    <w:lvl w:ilvl="0" w:tplc="312A5F28">
      <w:start w:val="1"/>
      <w:numFmt w:val="bullet"/>
      <w:lvlText w:val="-"/>
      <w:lvlJc w:val="left"/>
      <w:pPr>
        <w:ind w:left="1080" w:hanging="720"/>
      </w:pPr>
      <w:rPr>
        <w:rFonts w:ascii="Calibri" w:eastAsiaTheme="minorHAnsi" w:hAnsi="Calibri" w:cs="Calibri" w:hint="default"/>
        <w:color w:val="7030A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9" w15:restartNumberingAfterBreak="0">
    <w:nsid w:val="55C10E65"/>
    <w:multiLevelType w:val="hybridMultilevel"/>
    <w:tmpl w:val="83C0C036"/>
    <w:lvl w:ilvl="0" w:tplc="18090001">
      <w:start w:val="1"/>
      <w:numFmt w:val="bullet"/>
      <w:lvlText w:val=""/>
      <w:lvlJc w:val="left"/>
      <w:pPr>
        <w:ind w:left="720" w:hanging="360"/>
      </w:pPr>
      <w:rPr>
        <w:rFonts w:ascii="Symbol" w:hAnsi="Symbol" w:hint="default"/>
        <w:b/>
        <w:bCs/>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20" w15:restartNumberingAfterBreak="0">
    <w:nsid w:val="55CF40BA"/>
    <w:multiLevelType w:val="multilevel"/>
    <w:tmpl w:val="AC7A5FCA"/>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21" w15:restartNumberingAfterBreak="0">
    <w:nsid w:val="55E5095B"/>
    <w:multiLevelType w:val="hybridMultilevel"/>
    <w:tmpl w:val="0DDE5C0E"/>
    <w:lvl w:ilvl="0" w:tplc="080C0017">
      <w:start w:val="1"/>
      <w:numFmt w:val="lowerLetter"/>
      <w:lvlText w:val="%1)"/>
      <w:lvlJc w:val="left"/>
      <w:pPr>
        <w:ind w:left="907" w:hanging="360"/>
      </w:pPr>
    </w:lvl>
    <w:lvl w:ilvl="1" w:tplc="FFFFFFFF" w:tentative="1">
      <w:start w:val="1"/>
      <w:numFmt w:val="lowerLetter"/>
      <w:lvlText w:val="%2."/>
      <w:lvlJc w:val="left"/>
      <w:pPr>
        <w:ind w:left="1627" w:hanging="360"/>
      </w:pPr>
    </w:lvl>
    <w:lvl w:ilvl="2" w:tplc="FFFFFFFF" w:tentative="1">
      <w:start w:val="1"/>
      <w:numFmt w:val="lowerRoman"/>
      <w:lvlText w:val="%3."/>
      <w:lvlJc w:val="right"/>
      <w:pPr>
        <w:ind w:left="2347" w:hanging="180"/>
      </w:pPr>
    </w:lvl>
    <w:lvl w:ilvl="3" w:tplc="FFFFFFFF" w:tentative="1">
      <w:start w:val="1"/>
      <w:numFmt w:val="decimal"/>
      <w:lvlText w:val="%4."/>
      <w:lvlJc w:val="left"/>
      <w:pPr>
        <w:ind w:left="3067" w:hanging="360"/>
      </w:pPr>
    </w:lvl>
    <w:lvl w:ilvl="4" w:tplc="FFFFFFFF" w:tentative="1">
      <w:start w:val="1"/>
      <w:numFmt w:val="lowerLetter"/>
      <w:lvlText w:val="%5."/>
      <w:lvlJc w:val="left"/>
      <w:pPr>
        <w:ind w:left="3787" w:hanging="360"/>
      </w:pPr>
    </w:lvl>
    <w:lvl w:ilvl="5" w:tplc="FFFFFFFF" w:tentative="1">
      <w:start w:val="1"/>
      <w:numFmt w:val="lowerRoman"/>
      <w:lvlText w:val="%6."/>
      <w:lvlJc w:val="right"/>
      <w:pPr>
        <w:ind w:left="4507" w:hanging="180"/>
      </w:pPr>
    </w:lvl>
    <w:lvl w:ilvl="6" w:tplc="FFFFFFFF" w:tentative="1">
      <w:start w:val="1"/>
      <w:numFmt w:val="decimal"/>
      <w:lvlText w:val="%7."/>
      <w:lvlJc w:val="left"/>
      <w:pPr>
        <w:ind w:left="5227" w:hanging="360"/>
      </w:pPr>
    </w:lvl>
    <w:lvl w:ilvl="7" w:tplc="FFFFFFFF" w:tentative="1">
      <w:start w:val="1"/>
      <w:numFmt w:val="lowerLetter"/>
      <w:lvlText w:val="%8."/>
      <w:lvlJc w:val="left"/>
      <w:pPr>
        <w:ind w:left="5947" w:hanging="360"/>
      </w:pPr>
    </w:lvl>
    <w:lvl w:ilvl="8" w:tplc="FFFFFFFF" w:tentative="1">
      <w:start w:val="1"/>
      <w:numFmt w:val="lowerRoman"/>
      <w:lvlText w:val="%9."/>
      <w:lvlJc w:val="right"/>
      <w:pPr>
        <w:ind w:left="6667" w:hanging="180"/>
      </w:pPr>
    </w:lvl>
  </w:abstractNum>
  <w:abstractNum w:abstractNumId="522" w15:restartNumberingAfterBreak="0">
    <w:nsid w:val="560C4BE4"/>
    <w:multiLevelType w:val="hybridMultilevel"/>
    <w:tmpl w:val="AE5A2B4A"/>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3" w15:restartNumberingAfterBreak="0">
    <w:nsid w:val="56C178BC"/>
    <w:multiLevelType w:val="hybridMultilevel"/>
    <w:tmpl w:val="63D6893E"/>
    <w:lvl w:ilvl="0" w:tplc="11B6EE4C">
      <w:start w:val="2023"/>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4" w15:restartNumberingAfterBreak="0">
    <w:nsid w:val="56E8A771"/>
    <w:multiLevelType w:val="multilevel"/>
    <w:tmpl w:val="FFFFFFFF"/>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5" w15:restartNumberingAfterBreak="0">
    <w:nsid w:val="56FC4E08"/>
    <w:multiLevelType w:val="hybridMultilevel"/>
    <w:tmpl w:val="FFFFFFFF"/>
    <w:lvl w:ilvl="0" w:tplc="195AD704">
      <w:start w:val="1"/>
      <w:numFmt w:val="bullet"/>
      <w:lvlText w:val="o"/>
      <w:lvlJc w:val="left"/>
      <w:pPr>
        <w:ind w:left="720" w:hanging="360"/>
      </w:pPr>
      <w:rPr>
        <w:rFonts w:ascii="&quot;Courier New&quot;" w:hAnsi="&quot;Courier New&quot;" w:hint="default"/>
      </w:rPr>
    </w:lvl>
    <w:lvl w:ilvl="1" w:tplc="75BE5F86">
      <w:start w:val="1"/>
      <w:numFmt w:val="bullet"/>
      <w:lvlText w:val="o"/>
      <w:lvlJc w:val="left"/>
      <w:pPr>
        <w:ind w:left="1440" w:hanging="360"/>
      </w:pPr>
      <w:rPr>
        <w:rFonts w:ascii="Courier New" w:hAnsi="Courier New" w:hint="default"/>
      </w:rPr>
    </w:lvl>
    <w:lvl w:ilvl="2" w:tplc="049412AC">
      <w:start w:val="1"/>
      <w:numFmt w:val="bullet"/>
      <w:lvlText w:val=""/>
      <w:lvlJc w:val="left"/>
      <w:pPr>
        <w:ind w:left="2160" w:hanging="360"/>
      </w:pPr>
      <w:rPr>
        <w:rFonts w:ascii="Wingdings" w:hAnsi="Wingdings" w:hint="default"/>
      </w:rPr>
    </w:lvl>
    <w:lvl w:ilvl="3" w:tplc="C2B664F4">
      <w:start w:val="1"/>
      <w:numFmt w:val="bullet"/>
      <w:lvlText w:val=""/>
      <w:lvlJc w:val="left"/>
      <w:pPr>
        <w:ind w:left="2880" w:hanging="360"/>
      </w:pPr>
      <w:rPr>
        <w:rFonts w:ascii="Symbol" w:hAnsi="Symbol" w:hint="default"/>
      </w:rPr>
    </w:lvl>
    <w:lvl w:ilvl="4" w:tplc="8084BDD2">
      <w:start w:val="1"/>
      <w:numFmt w:val="bullet"/>
      <w:lvlText w:val="o"/>
      <w:lvlJc w:val="left"/>
      <w:pPr>
        <w:ind w:left="3600" w:hanging="360"/>
      </w:pPr>
      <w:rPr>
        <w:rFonts w:ascii="Courier New" w:hAnsi="Courier New" w:hint="default"/>
      </w:rPr>
    </w:lvl>
    <w:lvl w:ilvl="5" w:tplc="C1D219A2">
      <w:start w:val="1"/>
      <w:numFmt w:val="bullet"/>
      <w:lvlText w:val=""/>
      <w:lvlJc w:val="left"/>
      <w:pPr>
        <w:ind w:left="4320" w:hanging="360"/>
      </w:pPr>
      <w:rPr>
        <w:rFonts w:ascii="Wingdings" w:hAnsi="Wingdings" w:hint="default"/>
      </w:rPr>
    </w:lvl>
    <w:lvl w:ilvl="6" w:tplc="9B0C8668">
      <w:start w:val="1"/>
      <w:numFmt w:val="bullet"/>
      <w:lvlText w:val=""/>
      <w:lvlJc w:val="left"/>
      <w:pPr>
        <w:ind w:left="5040" w:hanging="360"/>
      </w:pPr>
      <w:rPr>
        <w:rFonts w:ascii="Symbol" w:hAnsi="Symbol" w:hint="default"/>
      </w:rPr>
    </w:lvl>
    <w:lvl w:ilvl="7" w:tplc="A8EC0420">
      <w:start w:val="1"/>
      <w:numFmt w:val="bullet"/>
      <w:lvlText w:val="o"/>
      <w:lvlJc w:val="left"/>
      <w:pPr>
        <w:ind w:left="5760" w:hanging="360"/>
      </w:pPr>
      <w:rPr>
        <w:rFonts w:ascii="Courier New" w:hAnsi="Courier New" w:hint="default"/>
      </w:rPr>
    </w:lvl>
    <w:lvl w:ilvl="8" w:tplc="797C00BA">
      <w:start w:val="1"/>
      <w:numFmt w:val="bullet"/>
      <w:lvlText w:val=""/>
      <w:lvlJc w:val="left"/>
      <w:pPr>
        <w:ind w:left="6480" w:hanging="360"/>
      </w:pPr>
      <w:rPr>
        <w:rFonts w:ascii="Wingdings" w:hAnsi="Wingdings" w:hint="default"/>
      </w:rPr>
    </w:lvl>
  </w:abstractNum>
  <w:abstractNum w:abstractNumId="526" w15:restartNumberingAfterBreak="0">
    <w:nsid w:val="571D3C10"/>
    <w:multiLevelType w:val="hybridMultilevel"/>
    <w:tmpl w:val="71E02424"/>
    <w:lvl w:ilvl="0" w:tplc="18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27" w15:restartNumberingAfterBreak="0">
    <w:nsid w:val="57576697"/>
    <w:multiLevelType w:val="hybridMultilevel"/>
    <w:tmpl w:val="3D3A5860"/>
    <w:lvl w:ilvl="0" w:tplc="FFFFFFFF">
      <w:start w:val="1"/>
      <w:numFmt w:val="decimal"/>
      <w:lvlText w:val="%1."/>
      <w:lvlJc w:val="left"/>
      <w:pPr>
        <w:ind w:left="720" w:hanging="360"/>
      </w:pPr>
    </w:lvl>
    <w:lvl w:ilvl="1" w:tplc="18090017">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8" w15:restartNumberingAfterBreak="0">
    <w:nsid w:val="57F812D0"/>
    <w:multiLevelType w:val="hybridMultilevel"/>
    <w:tmpl w:val="F8B0005E"/>
    <w:lvl w:ilvl="0" w:tplc="1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Cambria Math" w:hAnsi="Cambria Math" w:hint="default"/>
      </w:rPr>
    </w:lvl>
    <w:lvl w:ilvl="3" w:tplc="04090001" w:tentative="1">
      <w:start w:val="1"/>
      <w:numFmt w:val="bullet"/>
      <w:lvlText w:val=""/>
      <w:lvlJc w:val="left"/>
      <w:pPr>
        <w:ind w:left="2880" w:hanging="360"/>
      </w:pPr>
      <w:rPr>
        <w:rFonts w:ascii="Segoe UI" w:hAnsi="Segoe U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Cambria Math" w:hAnsi="Cambria Math" w:hint="default"/>
      </w:rPr>
    </w:lvl>
    <w:lvl w:ilvl="6" w:tplc="04090001" w:tentative="1">
      <w:start w:val="1"/>
      <w:numFmt w:val="bullet"/>
      <w:lvlText w:val=""/>
      <w:lvlJc w:val="left"/>
      <w:pPr>
        <w:ind w:left="5040" w:hanging="360"/>
      </w:pPr>
      <w:rPr>
        <w:rFonts w:ascii="Segoe UI" w:hAnsi="Segoe UI"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Cambria Math" w:hAnsi="Cambria Math" w:hint="default"/>
      </w:rPr>
    </w:lvl>
  </w:abstractNum>
  <w:abstractNum w:abstractNumId="529" w15:restartNumberingAfterBreak="0">
    <w:nsid w:val="57FB002C"/>
    <w:multiLevelType w:val="multilevel"/>
    <w:tmpl w:val="7F22A71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0" w15:restartNumberingAfterBreak="0">
    <w:nsid w:val="58119116"/>
    <w:multiLevelType w:val="hybridMultilevel"/>
    <w:tmpl w:val="FFFFFFFF"/>
    <w:lvl w:ilvl="0" w:tplc="058890D4">
      <w:start w:val="1"/>
      <w:numFmt w:val="bullet"/>
      <w:lvlText w:val="-"/>
      <w:lvlJc w:val="left"/>
      <w:pPr>
        <w:ind w:left="720" w:hanging="360"/>
      </w:pPr>
      <w:rPr>
        <w:rFonts w:ascii="Wingdings" w:hAnsi="Wingdings" w:hint="default"/>
      </w:rPr>
    </w:lvl>
    <w:lvl w:ilvl="1" w:tplc="93F2199C">
      <w:start w:val="1"/>
      <w:numFmt w:val="bullet"/>
      <w:lvlText w:val="o"/>
      <w:lvlJc w:val="left"/>
      <w:pPr>
        <w:ind w:left="1440" w:hanging="360"/>
      </w:pPr>
      <w:rPr>
        <w:rFonts w:ascii="Courier New" w:hAnsi="Courier New" w:hint="default"/>
      </w:rPr>
    </w:lvl>
    <w:lvl w:ilvl="2" w:tplc="CE623FF8">
      <w:start w:val="1"/>
      <w:numFmt w:val="bullet"/>
      <w:lvlText w:val=""/>
      <w:lvlJc w:val="left"/>
      <w:pPr>
        <w:ind w:left="2160" w:hanging="360"/>
      </w:pPr>
      <w:rPr>
        <w:rFonts w:ascii="Cambria Math" w:hAnsi="Cambria Math" w:hint="default"/>
      </w:rPr>
    </w:lvl>
    <w:lvl w:ilvl="3" w:tplc="97D2F198">
      <w:start w:val="1"/>
      <w:numFmt w:val="bullet"/>
      <w:lvlText w:val=""/>
      <w:lvlJc w:val="left"/>
      <w:pPr>
        <w:ind w:left="2880" w:hanging="360"/>
      </w:pPr>
      <w:rPr>
        <w:rFonts w:ascii="Segoe UI" w:hAnsi="Segoe UI" w:hint="default"/>
      </w:rPr>
    </w:lvl>
    <w:lvl w:ilvl="4" w:tplc="09DA6CC0">
      <w:start w:val="1"/>
      <w:numFmt w:val="bullet"/>
      <w:lvlText w:val="o"/>
      <w:lvlJc w:val="left"/>
      <w:pPr>
        <w:ind w:left="3600" w:hanging="360"/>
      </w:pPr>
      <w:rPr>
        <w:rFonts w:ascii="Courier New" w:hAnsi="Courier New" w:hint="default"/>
      </w:rPr>
    </w:lvl>
    <w:lvl w:ilvl="5" w:tplc="8506AE90">
      <w:start w:val="1"/>
      <w:numFmt w:val="bullet"/>
      <w:lvlText w:val=""/>
      <w:lvlJc w:val="left"/>
      <w:pPr>
        <w:ind w:left="4320" w:hanging="360"/>
      </w:pPr>
      <w:rPr>
        <w:rFonts w:ascii="Cambria Math" w:hAnsi="Cambria Math" w:hint="default"/>
      </w:rPr>
    </w:lvl>
    <w:lvl w:ilvl="6" w:tplc="6ADCDA52">
      <w:start w:val="1"/>
      <w:numFmt w:val="bullet"/>
      <w:lvlText w:val=""/>
      <w:lvlJc w:val="left"/>
      <w:pPr>
        <w:ind w:left="5040" w:hanging="360"/>
      </w:pPr>
      <w:rPr>
        <w:rFonts w:ascii="Segoe UI" w:hAnsi="Segoe UI" w:hint="default"/>
      </w:rPr>
    </w:lvl>
    <w:lvl w:ilvl="7" w:tplc="1978596C">
      <w:start w:val="1"/>
      <w:numFmt w:val="bullet"/>
      <w:lvlText w:val="o"/>
      <w:lvlJc w:val="left"/>
      <w:pPr>
        <w:ind w:left="5760" w:hanging="360"/>
      </w:pPr>
      <w:rPr>
        <w:rFonts w:ascii="Courier New" w:hAnsi="Courier New" w:hint="default"/>
      </w:rPr>
    </w:lvl>
    <w:lvl w:ilvl="8" w:tplc="0C848482">
      <w:start w:val="1"/>
      <w:numFmt w:val="bullet"/>
      <w:lvlText w:val=""/>
      <w:lvlJc w:val="left"/>
      <w:pPr>
        <w:ind w:left="6480" w:hanging="360"/>
      </w:pPr>
      <w:rPr>
        <w:rFonts w:ascii="Cambria Math" w:hAnsi="Cambria Math" w:hint="default"/>
      </w:rPr>
    </w:lvl>
  </w:abstractNum>
  <w:abstractNum w:abstractNumId="531" w15:restartNumberingAfterBreak="0">
    <w:nsid w:val="581B5597"/>
    <w:multiLevelType w:val="hybridMultilevel"/>
    <w:tmpl w:val="8646BF4E"/>
    <w:lvl w:ilvl="0" w:tplc="18090001">
      <w:start w:val="1"/>
      <w:numFmt w:val="bullet"/>
      <w:lvlText w:val=""/>
      <w:lvlJc w:val="left"/>
      <w:pPr>
        <w:ind w:left="720" w:hanging="360"/>
      </w:pPr>
      <w:rPr>
        <w:rFonts w:ascii="Segoe UI" w:hAnsi="Segoe U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Cambria Math" w:hAnsi="Cambria Math" w:hint="default"/>
      </w:rPr>
    </w:lvl>
    <w:lvl w:ilvl="3" w:tplc="18090001" w:tentative="1">
      <w:start w:val="1"/>
      <w:numFmt w:val="bullet"/>
      <w:lvlText w:val=""/>
      <w:lvlJc w:val="left"/>
      <w:pPr>
        <w:ind w:left="2880" w:hanging="360"/>
      </w:pPr>
      <w:rPr>
        <w:rFonts w:ascii="Segoe UI" w:hAnsi="Segoe UI"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Cambria Math" w:hAnsi="Cambria Math" w:hint="default"/>
      </w:rPr>
    </w:lvl>
    <w:lvl w:ilvl="6" w:tplc="18090001" w:tentative="1">
      <w:start w:val="1"/>
      <w:numFmt w:val="bullet"/>
      <w:lvlText w:val=""/>
      <w:lvlJc w:val="left"/>
      <w:pPr>
        <w:ind w:left="5040" w:hanging="360"/>
      </w:pPr>
      <w:rPr>
        <w:rFonts w:ascii="Segoe UI" w:hAnsi="Segoe UI"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Cambria Math" w:hAnsi="Cambria Math" w:hint="default"/>
      </w:rPr>
    </w:lvl>
  </w:abstractNum>
  <w:abstractNum w:abstractNumId="532" w15:restartNumberingAfterBreak="0">
    <w:nsid w:val="5850A998"/>
    <w:multiLevelType w:val="hybridMultilevel"/>
    <w:tmpl w:val="FFFFFFFF"/>
    <w:lvl w:ilvl="0" w:tplc="254AE15A">
      <w:start w:val="2"/>
      <w:numFmt w:val="decimal"/>
      <w:lvlText w:val="%1."/>
      <w:lvlJc w:val="left"/>
      <w:pPr>
        <w:ind w:left="720" w:hanging="360"/>
      </w:pPr>
    </w:lvl>
    <w:lvl w:ilvl="1" w:tplc="CFACB5DA">
      <w:start w:val="1"/>
      <w:numFmt w:val="lowerLetter"/>
      <w:lvlText w:val="%2."/>
      <w:lvlJc w:val="left"/>
      <w:pPr>
        <w:ind w:left="1440" w:hanging="360"/>
      </w:pPr>
    </w:lvl>
    <w:lvl w:ilvl="2" w:tplc="FCAE2B8C">
      <w:start w:val="1"/>
      <w:numFmt w:val="lowerRoman"/>
      <w:lvlText w:val="%3."/>
      <w:lvlJc w:val="right"/>
      <w:pPr>
        <w:ind w:left="2160" w:hanging="180"/>
      </w:pPr>
    </w:lvl>
    <w:lvl w:ilvl="3" w:tplc="0A1EA522">
      <w:start w:val="1"/>
      <w:numFmt w:val="decimal"/>
      <w:lvlText w:val="%4."/>
      <w:lvlJc w:val="left"/>
      <w:pPr>
        <w:ind w:left="2880" w:hanging="360"/>
      </w:pPr>
    </w:lvl>
    <w:lvl w:ilvl="4" w:tplc="A2E0F3B8">
      <w:start w:val="1"/>
      <w:numFmt w:val="lowerLetter"/>
      <w:lvlText w:val="%5."/>
      <w:lvlJc w:val="left"/>
      <w:pPr>
        <w:ind w:left="3600" w:hanging="360"/>
      </w:pPr>
    </w:lvl>
    <w:lvl w:ilvl="5" w:tplc="6F8E200A">
      <w:start w:val="1"/>
      <w:numFmt w:val="lowerRoman"/>
      <w:lvlText w:val="%6."/>
      <w:lvlJc w:val="right"/>
      <w:pPr>
        <w:ind w:left="4320" w:hanging="180"/>
      </w:pPr>
    </w:lvl>
    <w:lvl w:ilvl="6" w:tplc="7062D54A">
      <w:start w:val="1"/>
      <w:numFmt w:val="decimal"/>
      <w:lvlText w:val="%7."/>
      <w:lvlJc w:val="left"/>
      <w:pPr>
        <w:ind w:left="5040" w:hanging="360"/>
      </w:pPr>
    </w:lvl>
    <w:lvl w:ilvl="7" w:tplc="091488C4">
      <w:start w:val="1"/>
      <w:numFmt w:val="lowerLetter"/>
      <w:lvlText w:val="%8."/>
      <w:lvlJc w:val="left"/>
      <w:pPr>
        <w:ind w:left="5760" w:hanging="360"/>
      </w:pPr>
    </w:lvl>
    <w:lvl w:ilvl="8" w:tplc="61B000B6">
      <w:start w:val="1"/>
      <w:numFmt w:val="lowerRoman"/>
      <w:lvlText w:val="%9."/>
      <w:lvlJc w:val="right"/>
      <w:pPr>
        <w:ind w:left="6480" w:hanging="180"/>
      </w:pPr>
    </w:lvl>
  </w:abstractNum>
  <w:abstractNum w:abstractNumId="533" w15:restartNumberingAfterBreak="0">
    <w:nsid w:val="585D1F16"/>
    <w:multiLevelType w:val="multilevel"/>
    <w:tmpl w:val="7522238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4" w15:restartNumberingAfterBreak="0">
    <w:nsid w:val="58A4E6FE"/>
    <w:multiLevelType w:val="hybridMultilevel"/>
    <w:tmpl w:val="912E3942"/>
    <w:lvl w:ilvl="0" w:tplc="1694847E">
      <w:start w:val="2"/>
      <w:numFmt w:val="lowerRoman"/>
      <w:lvlText w:val="%1."/>
      <w:lvlJc w:val="right"/>
      <w:pPr>
        <w:ind w:left="720" w:hanging="360"/>
      </w:pPr>
    </w:lvl>
    <w:lvl w:ilvl="1" w:tplc="6DAAA322">
      <w:start w:val="1"/>
      <w:numFmt w:val="lowerLetter"/>
      <w:lvlText w:val="%2."/>
      <w:lvlJc w:val="left"/>
      <w:pPr>
        <w:ind w:left="1440" w:hanging="360"/>
      </w:pPr>
    </w:lvl>
    <w:lvl w:ilvl="2" w:tplc="C2B8B4C4">
      <w:start w:val="1"/>
      <w:numFmt w:val="lowerRoman"/>
      <w:lvlText w:val="%3."/>
      <w:lvlJc w:val="right"/>
      <w:pPr>
        <w:ind w:left="2160" w:hanging="180"/>
      </w:pPr>
    </w:lvl>
    <w:lvl w:ilvl="3" w:tplc="49A23434">
      <w:start w:val="1"/>
      <w:numFmt w:val="decimal"/>
      <w:lvlText w:val="%4."/>
      <w:lvlJc w:val="left"/>
      <w:pPr>
        <w:ind w:left="2880" w:hanging="360"/>
      </w:pPr>
    </w:lvl>
    <w:lvl w:ilvl="4" w:tplc="224287DA">
      <w:start w:val="1"/>
      <w:numFmt w:val="lowerLetter"/>
      <w:lvlText w:val="%5."/>
      <w:lvlJc w:val="left"/>
      <w:pPr>
        <w:ind w:left="3600" w:hanging="360"/>
      </w:pPr>
    </w:lvl>
    <w:lvl w:ilvl="5" w:tplc="1F24F904">
      <w:start w:val="1"/>
      <w:numFmt w:val="lowerRoman"/>
      <w:lvlText w:val="%6."/>
      <w:lvlJc w:val="right"/>
      <w:pPr>
        <w:ind w:left="4320" w:hanging="180"/>
      </w:pPr>
    </w:lvl>
    <w:lvl w:ilvl="6" w:tplc="C96480BE">
      <w:start w:val="1"/>
      <w:numFmt w:val="decimal"/>
      <w:lvlText w:val="%7."/>
      <w:lvlJc w:val="left"/>
      <w:pPr>
        <w:ind w:left="5040" w:hanging="360"/>
      </w:pPr>
    </w:lvl>
    <w:lvl w:ilvl="7" w:tplc="84B45902">
      <w:start w:val="1"/>
      <w:numFmt w:val="lowerLetter"/>
      <w:lvlText w:val="%8."/>
      <w:lvlJc w:val="left"/>
      <w:pPr>
        <w:ind w:left="5760" w:hanging="360"/>
      </w:pPr>
    </w:lvl>
    <w:lvl w:ilvl="8" w:tplc="3648E4D6">
      <w:start w:val="1"/>
      <w:numFmt w:val="lowerRoman"/>
      <w:lvlText w:val="%9."/>
      <w:lvlJc w:val="right"/>
      <w:pPr>
        <w:ind w:left="6480" w:hanging="180"/>
      </w:pPr>
    </w:lvl>
  </w:abstractNum>
  <w:abstractNum w:abstractNumId="535" w15:restartNumberingAfterBreak="0">
    <w:nsid w:val="58D93C35"/>
    <w:multiLevelType w:val="hybridMultilevel"/>
    <w:tmpl w:val="D67614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6" w15:restartNumberingAfterBreak="0">
    <w:nsid w:val="58DA6251"/>
    <w:multiLevelType w:val="hybridMultilevel"/>
    <w:tmpl w:val="BFA48D1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7" w15:restartNumberingAfterBreak="0">
    <w:nsid w:val="58E57F62"/>
    <w:multiLevelType w:val="hybridMultilevel"/>
    <w:tmpl w:val="6B367C20"/>
    <w:lvl w:ilvl="0" w:tplc="080C0001">
      <w:start w:val="1"/>
      <w:numFmt w:val="bullet"/>
      <w:lvlText w:val=""/>
      <w:lvlJc w:val="left"/>
      <w:pPr>
        <w:ind w:left="720" w:hanging="360"/>
      </w:pPr>
      <w:rPr>
        <w:rFonts w:ascii="Segoe UI" w:hAnsi="Segoe U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538" w15:restartNumberingAfterBreak="0">
    <w:nsid w:val="59067F31"/>
    <w:multiLevelType w:val="hybridMultilevel"/>
    <w:tmpl w:val="A800B374"/>
    <w:lvl w:ilvl="0" w:tplc="040A0001">
      <w:start w:val="1"/>
      <w:numFmt w:val="bullet"/>
      <w:lvlText w:val=""/>
      <w:lvlJc w:val="left"/>
      <w:pPr>
        <w:ind w:left="1690" w:hanging="360"/>
      </w:pPr>
      <w:rPr>
        <w:rFonts w:ascii="Segoe UI" w:hAnsi="Segoe UI" w:hint="default"/>
      </w:rPr>
    </w:lvl>
    <w:lvl w:ilvl="1" w:tplc="040A0003" w:tentative="1">
      <w:start w:val="1"/>
      <w:numFmt w:val="bullet"/>
      <w:lvlText w:val="o"/>
      <w:lvlJc w:val="left"/>
      <w:pPr>
        <w:ind w:left="2410" w:hanging="360"/>
      </w:pPr>
      <w:rPr>
        <w:rFonts w:ascii="Courier New" w:hAnsi="Courier New" w:cs="Courier New" w:hint="default"/>
      </w:rPr>
    </w:lvl>
    <w:lvl w:ilvl="2" w:tplc="040A0005" w:tentative="1">
      <w:start w:val="1"/>
      <w:numFmt w:val="bullet"/>
      <w:lvlText w:val=""/>
      <w:lvlJc w:val="left"/>
      <w:pPr>
        <w:ind w:left="3130" w:hanging="360"/>
      </w:pPr>
      <w:rPr>
        <w:rFonts w:ascii="Cambria Math" w:hAnsi="Cambria Math" w:hint="default"/>
      </w:rPr>
    </w:lvl>
    <w:lvl w:ilvl="3" w:tplc="040A0001" w:tentative="1">
      <w:start w:val="1"/>
      <w:numFmt w:val="bullet"/>
      <w:lvlText w:val=""/>
      <w:lvlJc w:val="left"/>
      <w:pPr>
        <w:ind w:left="3850" w:hanging="360"/>
      </w:pPr>
      <w:rPr>
        <w:rFonts w:ascii="Segoe UI" w:hAnsi="Segoe UI" w:hint="default"/>
      </w:rPr>
    </w:lvl>
    <w:lvl w:ilvl="4" w:tplc="040A0003" w:tentative="1">
      <w:start w:val="1"/>
      <w:numFmt w:val="bullet"/>
      <w:lvlText w:val="o"/>
      <w:lvlJc w:val="left"/>
      <w:pPr>
        <w:ind w:left="4570" w:hanging="360"/>
      </w:pPr>
      <w:rPr>
        <w:rFonts w:ascii="Courier New" w:hAnsi="Courier New" w:cs="Courier New" w:hint="default"/>
      </w:rPr>
    </w:lvl>
    <w:lvl w:ilvl="5" w:tplc="040A0005" w:tentative="1">
      <w:start w:val="1"/>
      <w:numFmt w:val="bullet"/>
      <w:lvlText w:val=""/>
      <w:lvlJc w:val="left"/>
      <w:pPr>
        <w:ind w:left="5290" w:hanging="360"/>
      </w:pPr>
      <w:rPr>
        <w:rFonts w:ascii="Cambria Math" w:hAnsi="Cambria Math" w:hint="default"/>
      </w:rPr>
    </w:lvl>
    <w:lvl w:ilvl="6" w:tplc="040A0001" w:tentative="1">
      <w:start w:val="1"/>
      <w:numFmt w:val="bullet"/>
      <w:lvlText w:val=""/>
      <w:lvlJc w:val="left"/>
      <w:pPr>
        <w:ind w:left="6010" w:hanging="360"/>
      </w:pPr>
      <w:rPr>
        <w:rFonts w:ascii="Segoe UI" w:hAnsi="Segoe UI" w:hint="default"/>
      </w:rPr>
    </w:lvl>
    <w:lvl w:ilvl="7" w:tplc="040A0003" w:tentative="1">
      <w:start w:val="1"/>
      <w:numFmt w:val="bullet"/>
      <w:lvlText w:val="o"/>
      <w:lvlJc w:val="left"/>
      <w:pPr>
        <w:ind w:left="6730" w:hanging="360"/>
      </w:pPr>
      <w:rPr>
        <w:rFonts w:ascii="Courier New" w:hAnsi="Courier New" w:cs="Courier New" w:hint="default"/>
      </w:rPr>
    </w:lvl>
    <w:lvl w:ilvl="8" w:tplc="040A0005" w:tentative="1">
      <w:start w:val="1"/>
      <w:numFmt w:val="bullet"/>
      <w:lvlText w:val=""/>
      <w:lvlJc w:val="left"/>
      <w:pPr>
        <w:ind w:left="7450" w:hanging="360"/>
      </w:pPr>
      <w:rPr>
        <w:rFonts w:ascii="Cambria Math" w:hAnsi="Cambria Math" w:hint="default"/>
      </w:rPr>
    </w:lvl>
  </w:abstractNum>
  <w:abstractNum w:abstractNumId="539" w15:restartNumberingAfterBreak="0">
    <w:nsid w:val="595302CE"/>
    <w:multiLevelType w:val="hybridMultilevel"/>
    <w:tmpl w:val="9B4672BE"/>
    <w:lvl w:ilvl="0" w:tplc="93F24E22">
      <w:numFmt w:val="bullet"/>
      <w:lvlText w:val="•"/>
      <w:lvlJc w:val="left"/>
      <w:pPr>
        <w:ind w:left="1080" w:hanging="360"/>
      </w:pPr>
      <w:rPr>
        <w:rFonts w:ascii="Times New Roman" w:eastAsiaTheme="minorEastAsia"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40" w15:restartNumberingAfterBreak="0">
    <w:nsid w:val="59D8017D"/>
    <w:multiLevelType w:val="hybridMultilevel"/>
    <w:tmpl w:val="FFFFFFFF"/>
    <w:lvl w:ilvl="0" w:tplc="FFFFFFFF">
      <w:start w:val="1"/>
      <w:numFmt w:val="bullet"/>
      <w:lvlText w:val=""/>
      <w:lvlJc w:val="left"/>
      <w:pPr>
        <w:ind w:left="720" w:hanging="360"/>
      </w:pPr>
      <w:rPr>
        <w:rFonts w:ascii="Symbol" w:hAnsi="Symbol" w:hint="default"/>
      </w:rPr>
    </w:lvl>
    <w:lvl w:ilvl="1" w:tplc="E42AB74A">
      <w:start w:val="1"/>
      <w:numFmt w:val="bullet"/>
      <w:lvlText w:val="o"/>
      <w:lvlJc w:val="left"/>
      <w:pPr>
        <w:ind w:left="1440" w:hanging="360"/>
      </w:pPr>
      <w:rPr>
        <w:rFonts w:ascii="Courier New" w:hAnsi="Courier New" w:hint="default"/>
      </w:rPr>
    </w:lvl>
    <w:lvl w:ilvl="2" w:tplc="05748652">
      <w:start w:val="1"/>
      <w:numFmt w:val="bullet"/>
      <w:lvlText w:val=""/>
      <w:lvlJc w:val="left"/>
      <w:pPr>
        <w:ind w:left="2160" w:hanging="360"/>
      </w:pPr>
      <w:rPr>
        <w:rFonts w:ascii="Wingdings" w:hAnsi="Wingdings" w:hint="default"/>
      </w:rPr>
    </w:lvl>
    <w:lvl w:ilvl="3" w:tplc="6D60643C">
      <w:start w:val="1"/>
      <w:numFmt w:val="bullet"/>
      <w:lvlText w:val=""/>
      <w:lvlJc w:val="left"/>
      <w:pPr>
        <w:ind w:left="2880" w:hanging="360"/>
      </w:pPr>
      <w:rPr>
        <w:rFonts w:ascii="Symbol" w:hAnsi="Symbol" w:hint="default"/>
      </w:rPr>
    </w:lvl>
    <w:lvl w:ilvl="4" w:tplc="CBB80EE8">
      <w:start w:val="1"/>
      <w:numFmt w:val="bullet"/>
      <w:lvlText w:val="o"/>
      <w:lvlJc w:val="left"/>
      <w:pPr>
        <w:ind w:left="3600" w:hanging="360"/>
      </w:pPr>
      <w:rPr>
        <w:rFonts w:ascii="Courier New" w:hAnsi="Courier New" w:hint="default"/>
      </w:rPr>
    </w:lvl>
    <w:lvl w:ilvl="5" w:tplc="508EA88C">
      <w:start w:val="1"/>
      <w:numFmt w:val="bullet"/>
      <w:lvlText w:val=""/>
      <w:lvlJc w:val="left"/>
      <w:pPr>
        <w:ind w:left="4320" w:hanging="360"/>
      </w:pPr>
      <w:rPr>
        <w:rFonts w:ascii="Wingdings" w:hAnsi="Wingdings" w:hint="default"/>
      </w:rPr>
    </w:lvl>
    <w:lvl w:ilvl="6" w:tplc="8A20889C">
      <w:start w:val="1"/>
      <w:numFmt w:val="bullet"/>
      <w:lvlText w:val=""/>
      <w:lvlJc w:val="left"/>
      <w:pPr>
        <w:ind w:left="5040" w:hanging="360"/>
      </w:pPr>
      <w:rPr>
        <w:rFonts w:ascii="Symbol" w:hAnsi="Symbol" w:hint="default"/>
      </w:rPr>
    </w:lvl>
    <w:lvl w:ilvl="7" w:tplc="5364B416">
      <w:start w:val="1"/>
      <w:numFmt w:val="bullet"/>
      <w:lvlText w:val="o"/>
      <w:lvlJc w:val="left"/>
      <w:pPr>
        <w:ind w:left="5760" w:hanging="360"/>
      </w:pPr>
      <w:rPr>
        <w:rFonts w:ascii="Courier New" w:hAnsi="Courier New" w:hint="default"/>
      </w:rPr>
    </w:lvl>
    <w:lvl w:ilvl="8" w:tplc="41A021EE">
      <w:start w:val="1"/>
      <w:numFmt w:val="bullet"/>
      <w:lvlText w:val=""/>
      <w:lvlJc w:val="left"/>
      <w:pPr>
        <w:ind w:left="6480" w:hanging="360"/>
      </w:pPr>
      <w:rPr>
        <w:rFonts w:ascii="Wingdings" w:hAnsi="Wingdings" w:hint="default"/>
      </w:rPr>
    </w:lvl>
  </w:abstractNum>
  <w:abstractNum w:abstractNumId="541" w15:restartNumberingAfterBreak="0">
    <w:nsid w:val="59DC70B1"/>
    <w:multiLevelType w:val="hybridMultilevel"/>
    <w:tmpl w:val="FFFFFFFF"/>
    <w:lvl w:ilvl="0" w:tplc="883AC0FA">
      <w:start w:val="1"/>
      <w:numFmt w:val="bullet"/>
      <w:lvlText w:val=""/>
      <w:lvlJc w:val="left"/>
      <w:pPr>
        <w:ind w:left="720" w:hanging="360"/>
      </w:pPr>
      <w:rPr>
        <w:rFonts w:ascii="Symbol" w:hAnsi="Symbol" w:hint="default"/>
      </w:rPr>
    </w:lvl>
    <w:lvl w:ilvl="1" w:tplc="C9F6743A">
      <w:start w:val="1"/>
      <w:numFmt w:val="bullet"/>
      <w:lvlText w:val="-"/>
      <w:lvlJc w:val="left"/>
      <w:pPr>
        <w:ind w:left="1440" w:hanging="360"/>
      </w:pPr>
      <w:rPr>
        <w:rFonts w:ascii="Calibri" w:hAnsi="Calibri" w:hint="default"/>
      </w:rPr>
    </w:lvl>
    <w:lvl w:ilvl="2" w:tplc="35045244">
      <w:start w:val="1"/>
      <w:numFmt w:val="bullet"/>
      <w:lvlText w:val=""/>
      <w:lvlJc w:val="left"/>
      <w:pPr>
        <w:ind w:left="2160" w:hanging="360"/>
      </w:pPr>
      <w:rPr>
        <w:rFonts w:ascii="Wingdings" w:hAnsi="Wingdings" w:hint="default"/>
      </w:rPr>
    </w:lvl>
    <w:lvl w:ilvl="3" w:tplc="4A0620B8">
      <w:start w:val="1"/>
      <w:numFmt w:val="bullet"/>
      <w:lvlText w:val=""/>
      <w:lvlJc w:val="left"/>
      <w:pPr>
        <w:ind w:left="2880" w:hanging="360"/>
      </w:pPr>
      <w:rPr>
        <w:rFonts w:ascii="Symbol" w:hAnsi="Symbol" w:hint="default"/>
      </w:rPr>
    </w:lvl>
    <w:lvl w:ilvl="4" w:tplc="9EAA4CDE">
      <w:start w:val="1"/>
      <w:numFmt w:val="bullet"/>
      <w:lvlText w:val="o"/>
      <w:lvlJc w:val="left"/>
      <w:pPr>
        <w:ind w:left="3600" w:hanging="360"/>
      </w:pPr>
      <w:rPr>
        <w:rFonts w:ascii="Courier New" w:hAnsi="Courier New" w:hint="default"/>
      </w:rPr>
    </w:lvl>
    <w:lvl w:ilvl="5" w:tplc="41724238">
      <w:start w:val="1"/>
      <w:numFmt w:val="bullet"/>
      <w:lvlText w:val=""/>
      <w:lvlJc w:val="left"/>
      <w:pPr>
        <w:ind w:left="4320" w:hanging="360"/>
      </w:pPr>
      <w:rPr>
        <w:rFonts w:ascii="Wingdings" w:hAnsi="Wingdings" w:hint="default"/>
      </w:rPr>
    </w:lvl>
    <w:lvl w:ilvl="6" w:tplc="D9E8294C">
      <w:start w:val="1"/>
      <w:numFmt w:val="bullet"/>
      <w:lvlText w:val=""/>
      <w:lvlJc w:val="left"/>
      <w:pPr>
        <w:ind w:left="5040" w:hanging="360"/>
      </w:pPr>
      <w:rPr>
        <w:rFonts w:ascii="Symbol" w:hAnsi="Symbol" w:hint="default"/>
      </w:rPr>
    </w:lvl>
    <w:lvl w:ilvl="7" w:tplc="9CB09EC2">
      <w:start w:val="1"/>
      <w:numFmt w:val="bullet"/>
      <w:lvlText w:val="o"/>
      <w:lvlJc w:val="left"/>
      <w:pPr>
        <w:ind w:left="5760" w:hanging="360"/>
      </w:pPr>
      <w:rPr>
        <w:rFonts w:ascii="Courier New" w:hAnsi="Courier New" w:hint="default"/>
      </w:rPr>
    </w:lvl>
    <w:lvl w:ilvl="8" w:tplc="058055D4">
      <w:start w:val="1"/>
      <w:numFmt w:val="bullet"/>
      <w:lvlText w:val=""/>
      <w:lvlJc w:val="left"/>
      <w:pPr>
        <w:ind w:left="6480" w:hanging="360"/>
      </w:pPr>
      <w:rPr>
        <w:rFonts w:ascii="Wingdings" w:hAnsi="Wingdings" w:hint="default"/>
      </w:rPr>
    </w:lvl>
  </w:abstractNum>
  <w:abstractNum w:abstractNumId="542" w15:restartNumberingAfterBreak="0">
    <w:nsid w:val="59E333DF"/>
    <w:multiLevelType w:val="hybridMultilevel"/>
    <w:tmpl w:val="D54AFFAA"/>
    <w:lvl w:ilvl="0" w:tplc="18090001">
      <w:start w:val="1"/>
      <w:numFmt w:val="bullet"/>
      <w:lvlText w:val=""/>
      <w:lvlJc w:val="left"/>
      <w:pPr>
        <w:ind w:left="1080" w:hanging="360"/>
      </w:pPr>
      <w:rPr>
        <w:rFonts w:ascii="Symbol" w:hAnsi="Symbol" w:hint="default"/>
        <w:sz w:val="24"/>
        <w:szCs w:val="24"/>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43" w15:restartNumberingAfterBreak="0">
    <w:nsid w:val="59F96ABB"/>
    <w:multiLevelType w:val="hybridMultilevel"/>
    <w:tmpl w:val="85F45C06"/>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44" w15:restartNumberingAfterBreak="0">
    <w:nsid w:val="5A165091"/>
    <w:multiLevelType w:val="hybridMultilevel"/>
    <w:tmpl w:val="A9803D1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545" w15:restartNumberingAfterBreak="0">
    <w:nsid w:val="5A3076D4"/>
    <w:multiLevelType w:val="hybridMultilevel"/>
    <w:tmpl w:val="49140D80"/>
    <w:lvl w:ilvl="0" w:tplc="2A3A5080">
      <w:start w:val="1"/>
      <w:numFmt w:val="bullet"/>
      <w:lvlText w:val="-"/>
      <w:lvlJc w:val="left"/>
      <w:pPr>
        <w:ind w:left="720" w:hanging="360"/>
      </w:pPr>
      <w:rPr>
        <w:rFonts w:ascii="Symbol" w:hAnsi="Symbol" w:hint="default"/>
      </w:rPr>
    </w:lvl>
    <w:lvl w:ilvl="1" w:tplc="A60EF0CC">
      <w:start w:val="1"/>
      <w:numFmt w:val="bullet"/>
      <w:lvlText w:val="o"/>
      <w:lvlJc w:val="left"/>
      <w:pPr>
        <w:ind w:left="1440" w:hanging="360"/>
      </w:pPr>
      <w:rPr>
        <w:rFonts w:ascii="Courier New" w:hAnsi="Courier New" w:hint="default"/>
      </w:rPr>
    </w:lvl>
    <w:lvl w:ilvl="2" w:tplc="494446E8">
      <w:start w:val="1"/>
      <w:numFmt w:val="bullet"/>
      <w:lvlText w:val=""/>
      <w:lvlJc w:val="left"/>
      <w:pPr>
        <w:ind w:left="2160" w:hanging="360"/>
      </w:pPr>
      <w:rPr>
        <w:rFonts w:ascii="Wingdings" w:hAnsi="Wingdings" w:hint="default"/>
      </w:rPr>
    </w:lvl>
    <w:lvl w:ilvl="3" w:tplc="B424782C">
      <w:start w:val="1"/>
      <w:numFmt w:val="bullet"/>
      <w:lvlText w:val=""/>
      <w:lvlJc w:val="left"/>
      <w:pPr>
        <w:ind w:left="2880" w:hanging="360"/>
      </w:pPr>
      <w:rPr>
        <w:rFonts w:ascii="Symbol" w:hAnsi="Symbol" w:hint="default"/>
      </w:rPr>
    </w:lvl>
    <w:lvl w:ilvl="4" w:tplc="B5D2E892">
      <w:start w:val="1"/>
      <w:numFmt w:val="bullet"/>
      <w:lvlText w:val="o"/>
      <w:lvlJc w:val="left"/>
      <w:pPr>
        <w:ind w:left="3600" w:hanging="360"/>
      </w:pPr>
      <w:rPr>
        <w:rFonts w:ascii="Courier New" w:hAnsi="Courier New" w:hint="default"/>
      </w:rPr>
    </w:lvl>
    <w:lvl w:ilvl="5" w:tplc="BF4EBF48">
      <w:start w:val="1"/>
      <w:numFmt w:val="bullet"/>
      <w:lvlText w:val=""/>
      <w:lvlJc w:val="left"/>
      <w:pPr>
        <w:ind w:left="4320" w:hanging="360"/>
      </w:pPr>
      <w:rPr>
        <w:rFonts w:ascii="Wingdings" w:hAnsi="Wingdings" w:hint="default"/>
      </w:rPr>
    </w:lvl>
    <w:lvl w:ilvl="6" w:tplc="C7D6DAB6">
      <w:start w:val="1"/>
      <w:numFmt w:val="bullet"/>
      <w:lvlText w:val=""/>
      <w:lvlJc w:val="left"/>
      <w:pPr>
        <w:ind w:left="5040" w:hanging="360"/>
      </w:pPr>
      <w:rPr>
        <w:rFonts w:ascii="Symbol" w:hAnsi="Symbol" w:hint="default"/>
      </w:rPr>
    </w:lvl>
    <w:lvl w:ilvl="7" w:tplc="2D5ED11A">
      <w:start w:val="1"/>
      <w:numFmt w:val="bullet"/>
      <w:lvlText w:val="o"/>
      <w:lvlJc w:val="left"/>
      <w:pPr>
        <w:ind w:left="5760" w:hanging="360"/>
      </w:pPr>
      <w:rPr>
        <w:rFonts w:ascii="Courier New" w:hAnsi="Courier New" w:hint="default"/>
      </w:rPr>
    </w:lvl>
    <w:lvl w:ilvl="8" w:tplc="4FB42F3C">
      <w:start w:val="1"/>
      <w:numFmt w:val="bullet"/>
      <w:lvlText w:val=""/>
      <w:lvlJc w:val="left"/>
      <w:pPr>
        <w:ind w:left="6480" w:hanging="360"/>
      </w:pPr>
      <w:rPr>
        <w:rFonts w:ascii="Wingdings" w:hAnsi="Wingdings" w:hint="default"/>
      </w:rPr>
    </w:lvl>
  </w:abstractNum>
  <w:abstractNum w:abstractNumId="546" w15:restartNumberingAfterBreak="0">
    <w:nsid w:val="5A4560F3"/>
    <w:multiLevelType w:val="hybridMultilevel"/>
    <w:tmpl w:val="7BC602B0"/>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547" w15:restartNumberingAfterBreak="0">
    <w:nsid w:val="5A8B5642"/>
    <w:multiLevelType w:val="multilevel"/>
    <w:tmpl w:val="C07024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8" w15:restartNumberingAfterBreak="0">
    <w:nsid w:val="5A984617"/>
    <w:multiLevelType w:val="hybridMultilevel"/>
    <w:tmpl w:val="1D0E0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9" w15:restartNumberingAfterBreak="0">
    <w:nsid w:val="5ABAF4B5"/>
    <w:multiLevelType w:val="hybridMultilevel"/>
    <w:tmpl w:val="FFFFFFFF"/>
    <w:lvl w:ilvl="0" w:tplc="0BA6462C">
      <w:start w:val="1"/>
      <w:numFmt w:val="bullet"/>
      <w:lvlText w:val=""/>
      <w:lvlJc w:val="left"/>
      <w:pPr>
        <w:ind w:left="720" w:hanging="360"/>
      </w:pPr>
      <w:rPr>
        <w:rFonts w:ascii="Symbol" w:hAnsi="Symbol" w:hint="default"/>
      </w:rPr>
    </w:lvl>
    <w:lvl w:ilvl="1" w:tplc="5ACE1DEE">
      <w:start w:val="1"/>
      <w:numFmt w:val="bullet"/>
      <w:lvlText w:val="-"/>
      <w:lvlJc w:val="left"/>
      <w:pPr>
        <w:ind w:left="1440" w:hanging="360"/>
      </w:pPr>
      <w:rPr>
        <w:rFonts w:ascii="Calibri" w:hAnsi="Calibri" w:hint="default"/>
      </w:rPr>
    </w:lvl>
    <w:lvl w:ilvl="2" w:tplc="B984A4B2">
      <w:start w:val="1"/>
      <w:numFmt w:val="bullet"/>
      <w:lvlText w:val=""/>
      <w:lvlJc w:val="left"/>
      <w:pPr>
        <w:ind w:left="2160" w:hanging="360"/>
      </w:pPr>
      <w:rPr>
        <w:rFonts w:ascii="Wingdings" w:hAnsi="Wingdings" w:hint="default"/>
      </w:rPr>
    </w:lvl>
    <w:lvl w:ilvl="3" w:tplc="C1346996">
      <w:start w:val="1"/>
      <w:numFmt w:val="bullet"/>
      <w:lvlText w:val=""/>
      <w:lvlJc w:val="left"/>
      <w:pPr>
        <w:ind w:left="2880" w:hanging="360"/>
      </w:pPr>
      <w:rPr>
        <w:rFonts w:ascii="Symbol" w:hAnsi="Symbol" w:hint="default"/>
      </w:rPr>
    </w:lvl>
    <w:lvl w:ilvl="4" w:tplc="2C320182">
      <w:start w:val="1"/>
      <w:numFmt w:val="bullet"/>
      <w:lvlText w:val="o"/>
      <w:lvlJc w:val="left"/>
      <w:pPr>
        <w:ind w:left="3600" w:hanging="360"/>
      </w:pPr>
      <w:rPr>
        <w:rFonts w:ascii="Courier New" w:hAnsi="Courier New" w:hint="default"/>
      </w:rPr>
    </w:lvl>
    <w:lvl w:ilvl="5" w:tplc="2B44160A">
      <w:start w:val="1"/>
      <w:numFmt w:val="bullet"/>
      <w:lvlText w:val=""/>
      <w:lvlJc w:val="left"/>
      <w:pPr>
        <w:ind w:left="4320" w:hanging="360"/>
      </w:pPr>
      <w:rPr>
        <w:rFonts w:ascii="Wingdings" w:hAnsi="Wingdings" w:hint="default"/>
      </w:rPr>
    </w:lvl>
    <w:lvl w:ilvl="6" w:tplc="C0145FC0">
      <w:start w:val="1"/>
      <w:numFmt w:val="bullet"/>
      <w:lvlText w:val=""/>
      <w:lvlJc w:val="left"/>
      <w:pPr>
        <w:ind w:left="5040" w:hanging="360"/>
      </w:pPr>
      <w:rPr>
        <w:rFonts w:ascii="Symbol" w:hAnsi="Symbol" w:hint="default"/>
      </w:rPr>
    </w:lvl>
    <w:lvl w:ilvl="7" w:tplc="DBA4ABE2">
      <w:start w:val="1"/>
      <w:numFmt w:val="bullet"/>
      <w:lvlText w:val="o"/>
      <w:lvlJc w:val="left"/>
      <w:pPr>
        <w:ind w:left="5760" w:hanging="360"/>
      </w:pPr>
      <w:rPr>
        <w:rFonts w:ascii="Courier New" w:hAnsi="Courier New" w:hint="default"/>
      </w:rPr>
    </w:lvl>
    <w:lvl w:ilvl="8" w:tplc="7D98B9E6">
      <w:start w:val="1"/>
      <w:numFmt w:val="bullet"/>
      <w:lvlText w:val=""/>
      <w:lvlJc w:val="left"/>
      <w:pPr>
        <w:ind w:left="6480" w:hanging="360"/>
      </w:pPr>
      <w:rPr>
        <w:rFonts w:ascii="Wingdings" w:hAnsi="Wingdings" w:hint="default"/>
      </w:rPr>
    </w:lvl>
  </w:abstractNum>
  <w:abstractNum w:abstractNumId="550" w15:restartNumberingAfterBreak="0">
    <w:nsid w:val="5B0F1134"/>
    <w:multiLevelType w:val="hybridMultilevel"/>
    <w:tmpl w:val="38F0B884"/>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51" w15:restartNumberingAfterBreak="0">
    <w:nsid w:val="5B1158AD"/>
    <w:multiLevelType w:val="hybridMultilevel"/>
    <w:tmpl w:val="7A96662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52"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egoe UI" w:hAnsi="Segoe UI" w:hint="default"/>
      </w:rPr>
    </w:lvl>
  </w:abstractNum>
  <w:abstractNum w:abstractNumId="553" w15:restartNumberingAfterBreak="0">
    <w:nsid w:val="5B4E2D28"/>
    <w:multiLevelType w:val="hybridMultilevel"/>
    <w:tmpl w:val="FFFFFFFF"/>
    <w:lvl w:ilvl="0" w:tplc="05C6BB3E">
      <w:start w:val="5"/>
      <w:numFmt w:val="decimal"/>
      <w:lvlText w:val="%1."/>
      <w:lvlJc w:val="left"/>
      <w:pPr>
        <w:ind w:left="720" w:hanging="360"/>
      </w:pPr>
    </w:lvl>
    <w:lvl w:ilvl="1" w:tplc="B852DACA">
      <w:start w:val="1"/>
      <w:numFmt w:val="lowerLetter"/>
      <w:lvlText w:val="%2."/>
      <w:lvlJc w:val="left"/>
      <w:pPr>
        <w:ind w:left="1440" w:hanging="360"/>
      </w:pPr>
    </w:lvl>
    <w:lvl w:ilvl="2" w:tplc="337A38FA">
      <w:start w:val="1"/>
      <w:numFmt w:val="lowerRoman"/>
      <w:lvlText w:val="%3."/>
      <w:lvlJc w:val="right"/>
      <w:pPr>
        <w:ind w:left="2160" w:hanging="180"/>
      </w:pPr>
    </w:lvl>
    <w:lvl w:ilvl="3" w:tplc="5DBC536E">
      <w:start w:val="1"/>
      <w:numFmt w:val="decimal"/>
      <w:lvlText w:val="%4."/>
      <w:lvlJc w:val="left"/>
      <w:pPr>
        <w:ind w:left="2880" w:hanging="360"/>
      </w:pPr>
    </w:lvl>
    <w:lvl w:ilvl="4" w:tplc="23ACD4E8">
      <w:start w:val="1"/>
      <w:numFmt w:val="lowerLetter"/>
      <w:lvlText w:val="%5."/>
      <w:lvlJc w:val="left"/>
      <w:pPr>
        <w:ind w:left="3600" w:hanging="360"/>
      </w:pPr>
    </w:lvl>
    <w:lvl w:ilvl="5" w:tplc="83528A22">
      <w:start w:val="1"/>
      <w:numFmt w:val="lowerRoman"/>
      <w:lvlText w:val="%6."/>
      <w:lvlJc w:val="right"/>
      <w:pPr>
        <w:ind w:left="4320" w:hanging="180"/>
      </w:pPr>
    </w:lvl>
    <w:lvl w:ilvl="6" w:tplc="D8B6496A">
      <w:start w:val="1"/>
      <w:numFmt w:val="decimal"/>
      <w:lvlText w:val="%7."/>
      <w:lvlJc w:val="left"/>
      <w:pPr>
        <w:ind w:left="5040" w:hanging="360"/>
      </w:pPr>
    </w:lvl>
    <w:lvl w:ilvl="7" w:tplc="E3B43124">
      <w:start w:val="1"/>
      <w:numFmt w:val="lowerLetter"/>
      <w:lvlText w:val="%8."/>
      <w:lvlJc w:val="left"/>
      <w:pPr>
        <w:ind w:left="5760" w:hanging="360"/>
      </w:pPr>
    </w:lvl>
    <w:lvl w:ilvl="8" w:tplc="BDA03F02">
      <w:start w:val="1"/>
      <w:numFmt w:val="lowerRoman"/>
      <w:lvlText w:val="%9."/>
      <w:lvlJc w:val="right"/>
      <w:pPr>
        <w:ind w:left="6480" w:hanging="180"/>
      </w:pPr>
    </w:lvl>
  </w:abstractNum>
  <w:abstractNum w:abstractNumId="554" w15:restartNumberingAfterBreak="0">
    <w:nsid w:val="5C056EE5"/>
    <w:multiLevelType w:val="singleLevel"/>
    <w:tmpl w:val="3378D27C"/>
    <w:name w:val="Bullet 2"/>
    <w:lvl w:ilvl="0">
      <w:start w:val="1"/>
      <w:numFmt w:val="bullet"/>
      <w:lvlRestart w:val="0"/>
      <w:pStyle w:val="Bullet20"/>
      <w:lvlText w:val=""/>
      <w:lvlJc w:val="left"/>
      <w:pPr>
        <w:tabs>
          <w:tab w:val="num" w:pos="1984"/>
        </w:tabs>
        <w:ind w:left="1984" w:hanging="567"/>
      </w:pPr>
      <w:rPr>
        <w:rFonts w:ascii="Segoe UI" w:hAnsi="Segoe UI" w:hint="default"/>
      </w:rPr>
    </w:lvl>
  </w:abstractNum>
  <w:abstractNum w:abstractNumId="555" w15:restartNumberingAfterBreak="0">
    <w:nsid w:val="5C666E04"/>
    <w:multiLevelType w:val="hybridMultilevel"/>
    <w:tmpl w:val="66449CEA"/>
    <w:lvl w:ilvl="0" w:tplc="7214FC08">
      <w:start w:val="7"/>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6" w15:restartNumberingAfterBreak="0">
    <w:nsid w:val="5C6F4C3A"/>
    <w:multiLevelType w:val="hybridMultilevel"/>
    <w:tmpl w:val="FFFFFFFF"/>
    <w:lvl w:ilvl="0" w:tplc="33C8D67A">
      <w:start w:val="5"/>
      <w:numFmt w:val="decimal"/>
      <w:lvlText w:val="%1."/>
      <w:lvlJc w:val="left"/>
      <w:pPr>
        <w:ind w:left="720" w:hanging="360"/>
      </w:pPr>
    </w:lvl>
    <w:lvl w:ilvl="1" w:tplc="B5BC7CCE">
      <w:start w:val="1"/>
      <w:numFmt w:val="lowerLetter"/>
      <w:lvlText w:val="%2."/>
      <w:lvlJc w:val="left"/>
      <w:pPr>
        <w:ind w:left="1440" w:hanging="360"/>
      </w:pPr>
    </w:lvl>
    <w:lvl w:ilvl="2" w:tplc="5846D7D6">
      <w:start w:val="1"/>
      <w:numFmt w:val="lowerRoman"/>
      <w:lvlText w:val="%3."/>
      <w:lvlJc w:val="right"/>
      <w:pPr>
        <w:ind w:left="2160" w:hanging="180"/>
      </w:pPr>
    </w:lvl>
    <w:lvl w:ilvl="3" w:tplc="D72AF2CA">
      <w:start w:val="1"/>
      <w:numFmt w:val="decimal"/>
      <w:lvlText w:val="%4."/>
      <w:lvlJc w:val="left"/>
      <w:pPr>
        <w:ind w:left="2880" w:hanging="360"/>
      </w:pPr>
    </w:lvl>
    <w:lvl w:ilvl="4" w:tplc="C17C29EC">
      <w:start w:val="1"/>
      <w:numFmt w:val="lowerLetter"/>
      <w:lvlText w:val="%5."/>
      <w:lvlJc w:val="left"/>
      <w:pPr>
        <w:ind w:left="3600" w:hanging="360"/>
      </w:pPr>
    </w:lvl>
    <w:lvl w:ilvl="5" w:tplc="90D244DE">
      <w:start w:val="1"/>
      <w:numFmt w:val="lowerRoman"/>
      <w:lvlText w:val="%6."/>
      <w:lvlJc w:val="right"/>
      <w:pPr>
        <w:ind w:left="4320" w:hanging="180"/>
      </w:pPr>
    </w:lvl>
    <w:lvl w:ilvl="6" w:tplc="6FB604C0">
      <w:start w:val="1"/>
      <w:numFmt w:val="decimal"/>
      <w:lvlText w:val="%7."/>
      <w:lvlJc w:val="left"/>
      <w:pPr>
        <w:ind w:left="5040" w:hanging="360"/>
      </w:pPr>
    </w:lvl>
    <w:lvl w:ilvl="7" w:tplc="7A048A36">
      <w:start w:val="1"/>
      <w:numFmt w:val="lowerLetter"/>
      <w:lvlText w:val="%8."/>
      <w:lvlJc w:val="left"/>
      <w:pPr>
        <w:ind w:left="5760" w:hanging="360"/>
      </w:pPr>
    </w:lvl>
    <w:lvl w:ilvl="8" w:tplc="B1F8FC22">
      <w:start w:val="1"/>
      <w:numFmt w:val="lowerRoman"/>
      <w:lvlText w:val="%9."/>
      <w:lvlJc w:val="right"/>
      <w:pPr>
        <w:ind w:left="6480" w:hanging="180"/>
      </w:pPr>
    </w:lvl>
  </w:abstractNum>
  <w:abstractNum w:abstractNumId="557" w15:restartNumberingAfterBreak="0">
    <w:nsid w:val="5C6F55BC"/>
    <w:multiLevelType w:val="hybridMultilevel"/>
    <w:tmpl w:val="AA40CE4A"/>
    <w:lvl w:ilvl="0" w:tplc="1809000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8" w15:restartNumberingAfterBreak="0">
    <w:nsid w:val="5CA1C009"/>
    <w:multiLevelType w:val="hybridMultilevel"/>
    <w:tmpl w:val="FFFFFFFF"/>
    <w:lvl w:ilvl="0" w:tplc="9FB200DC">
      <w:start w:val="1"/>
      <w:numFmt w:val="bullet"/>
      <w:lvlText w:val=""/>
      <w:lvlJc w:val="left"/>
      <w:pPr>
        <w:ind w:left="720" w:hanging="360"/>
      </w:pPr>
      <w:rPr>
        <w:rFonts w:ascii="Segoe UI" w:hAnsi="Segoe UI" w:hint="default"/>
      </w:rPr>
    </w:lvl>
    <w:lvl w:ilvl="1" w:tplc="7932DE4E">
      <w:start w:val="1"/>
      <w:numFmt w:val="bullet"/>
      <w:lvlText w:val="o"/>
      <w:lvlJc w:val="left"/>
      <w:pPr>
        <w:ind w:left="1440" w:hanging="360"/>
      </w:pPr>
      <w:rPr>
        <w:rFonts w:ascii="Courier New" w:hAnsi="Courier New" w:hint="default"/>
      </w:rPr>
    </w:lvl>
    <w:lvl w:ilvl="2" w:tplc="D0EC6D78">
      <w:start w:val="1"/>
      <w:numFmt w:val="bullet"/>
      <w:lvlText w:val=""/>
      <w:lvlJc w:val="left"/>
      <w:pPr>
        <w:ind w:left="2160" w:hanging="360"/>
      </w:pPr>
      <w:rPr>
        <w:rFonts w:ascii="Cambria Math" w:hAnsi="Cambria Math" w:hint="default"/>
      </w:rPr>
    </w:lvl>
    <w:lvl w:ilvl="3" w:tplc="F196C276">
      <w:start w:val="1"/>
      <w:numFmt w:val="bullet"/>
      <w:lvlText w:val=""/>
      <w:lvlJc w:val="left"/>
      <w:pPr>
        <w:ind w:left="2880" w:hanging="360"/>
      </w:pPr>
      <w:rPr>
        <w:rFonts w:ascii="Segoe UI" w:hAnsi="Segoe UI" w:hint="default"/>
      </w:rPr>
    </w:lvl>
    <w:lvl w:ilvl="4" w:tplc="E4C4F74A">
      <w:start w:val="1"/>
      <w:numFmt w:val="bullet"/>
      <w:lvlText w:val="o"/>
      <w:lvlJc w:val="left"/>
      <w:pPr>
        <w:ind w:left="3600" w:hanging="360"/>
      </w:pPr>
      <w:rPr>
        <w:rFonts w:ascii="Courier New" w:hAnsi="Courier New" w:hint="default"/>
      </w:rPr>
    </w:lvl>
    <w:lvl w:ilvl="5" w:tplc="9000BAF8">
      <w:start w:val="1"/>
      <w:numFmt w:val="bullet"/>
      <w:lvlText w:val=""/>
      <w:lvlJc w:val="left"/>
      <w:pPr>
        <w:ind w:left="4320" w:hanging="360"/>
      </w:pPr>
      <w:rPr>
        <w:rFonts w:ascii="Cambria Math" w:hAnsi="Cambria Math" w:hint="default"/>
      </w:rPr>
    </w:lvl>
    <w:lvl w:ilvl="6" w:tplc="596845C4">
      <w:start w:val="1"/>
      <w:numFmt w:val="bullet"/>
      <w:lvlText w:val=""/>
      <w:lvlJc w:val="left"/>
      <w:pPr>
        <w:ind w:left="5040" w:hanging="360"/>
      </w:pPr>
      <w:rPr>
        <w:rFonts w:ascii="Segoe UI" w:hAnsi="Segoe UI" w:hint="default"/>
      </w:rPr>
    </w:lvl>
    <w:lvl w:ilvl="7" w:tplc="BC163D40">
      <w:start w:val="1"/>
      <w:numFmt w:val="bullet"/>
      <w:lvlText w:val="o"/>
      <w:lvlJc w:val="left"/>
      <w:pPr>
        <w:ind w:left="5760" w:hanging="360"/>
      </w:pPr>
      <w:rPr>
        <w:rFonts w:ascii="Courier New" w:hAnsi="Courier New" w:hint="default"/>
      </w:rPr>
    </w:lvl>
    <w:lvl w:ilvl="8" w:tplc="15FCE2BE">
      <w:start w:val="1"/>
      <w:numFmt w:val="bullet"/>
      <w:lvlText w:val=""/>
      <w:lvlJc w:val="left"/>
      <w:pPr>
        <w:ind w:left="6480" w:hanging="360"/>
      </w:pPr>
      <w:rPr>
        <w:rFonts w:ascii="Cambria Math" w:hAnsi="Cambria Math" w:hint="default"/>
      </w:rPr>
    </w:lvl>
  </w:abstractNum>
  <w:abstractNum w:abstractNumId="559"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560" w15:restartNumberingAfterBreak="0">
    <w:nsid w:val="5CA57E7E"/>
    <w:multiLevelType w:val="hybridMultilevel"/>
    <w:tmpl w:val="887ED81A"/>
    <w:lvl w:ilvl="0" w:tplc="1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Cambria Math" w:hAnsi="Cambria Math" w:hint="default"/>
      </w:rPr>
    </w:lvl>
    <w:lvl w:ilvl="3" w:tplc="04090001" w:tentative="1">
      <w:start w:val="1"/>
      <w:numFmt w:val="bullet"/>
      <w:lvlText w:val=""/>
      <w:lvlJc w:val="left"/>
      <w:pPr>
        <w:ind w:left="2880" w:hanging="360"/>
      </w:pPr>
      <w:rPr>
        <w:rFonts w:ascii="Segoe UI" w:hAnsi="Segoe U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Cambria Math" w:hAnsi="Cambria Math" w:hint="default"/>
      </w:rPr>
    </w:lvl>
    <w:lvl w:ilvl="6" w:tplc="04090001" w:tentative="1">
      <w:start w:val="1"/>
      <w:numFmt w:val="bullet"/>
      <w:lvlText w:val=""/>
      <w:lvlJc w:val="left"/>
      <w:pPr>
        <w:ind w:left="5040" w:hanging="360"/>
      </w:pPr>
      <w:rPr>
        <w:rFonts w:ascii="Segoe UI" w:hAnsi="Segoe UI"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Cambria Math" w:hAnsi="Cambria Math" w:hint="default"/>
      </w:rPr>
    </w:lvl>
  </w:abstractNum>
  <w:abstractNum w:abstractNumId="561" w15:restartNumberingAfterBreak="0">
    <w:nsid w:val="5CB24AB3"/>
    <w:multiLevelType w:val="hybridMultilevel"/>
    <w:tmpl w:val="FFFFFFFF"/>
    <w:lvl w:ilvl="0" w:tplc="C3702E2A">
      <w:start w:val="1"/>
      <w:numFmt w:val="bullet"/>
      <w:lvlText w:val=""/>
      <w:lvlJc w:val="left"/>
      <w:pPr>
        <w:ind w:left="720" w:hanging="360"/>
      </w:pPr>
      <w:rPr>
        <w:rFonts w:ascii="Symbol" w:hAnsi="Symbol" w:hint="default"/>
      </w:rPr>
    </w:lvl>
    <w:lvl w:ilvl="1" w:tplc="52A6302E">
      <w:start w:val="1"/>
      <w:numFmt w:val="bullet"/>
      <w:lvlText w:val="o"/>
      <w:lvlJc w:val="left"/>
      <w:pPr>
        <w:ind w:left="1440" w:hanging="360"/>
      </w:pPr>
      <w:rPr>
        <w:rFonts w:ascii="Courier New" w:hAnsi="Courier New" w:hint="default"/>
      </w:rPr>
    </w:lvl>
    <w:lvl w:ilvl="2" w:tplc="DAB84212">
      <w:start w:val="1"/>
      <w:numFmt w:val="bullet"/>
      <w:lvlText w:val=""/>
      <w:lvlJc w:val="left"/>
      <w:pPr>
        <w:ind w:left="2160" w:hanging="360"/>
      </w:pPr>
      <w:rPr>
        <w:rFonts w:ascii="Wingdings" w:hAnsi="Wingdings" w:hint="default"/>
      </w:rPr>
    </w:lvl>
    <w:lvl w:ilvl="3" w:tplc="01EC1336">
      <w:start w:val="1"/>
      <w:numFmt w:val="bullet"/>
      <w:lvlText w:val=""/>
      <w:lvlJc w:val="left"/>
      <w:pPr>
        <w:ind w:left="2880" w:hanging="360"/>
      </w:pPr>
      <w:rPr>
        <w:rFonts w:ascii="Symbol" w:hAnsi="Symbol" w:hint="default"/>
      </w:rPr>
    </w:lvl>
    <w:lvl w:ilvl="4" w:tplc="5792DE34">
      <w:start w:val="1"/>
      <w:numFmt w:val="bullet"/>
      <w:lvlText w:val="o"/>
      <w:lvlJc w:val="left"/>
      <w:pPr>
        <w:ind w:left="3600" w:hanging="360"/>
      </w:pPr>
      <w:rPr>
        <w:rFonts w:ascii="Courier New" w:hAnsi="Courier New" w:hint="default"/>
      </w:rPr>
    </w:lvl>
    <w:lvl w:ilvl="5" w:tplc="06FEC32C">
      <w:start w:val="1"/>
      <w:numFmt w:val="bullet"/>
      <w:lvlText w:val=""/>
      <w:lvlJc w:val="left"/>
      <w:pPr>
        <w:ind w:left="4320" w:hanging="360"/>
      </w:pPr>
      <w:rPr>
        <w:rFonts w:ascii="Wingdings" w:hAnsi="Wingdings" w:hint="default"/>
      </w:rPr>
    </w:lvl>
    <w:lvl w:ilvl="6" w:tplc="E80821A2">
      <w:start w:val="1"/>
      <w:numFmt w:val="bullet"/>
      <w:lvlText w:val=""/>
      <w:lvlJc w:val="left"/>
      <w:pPr>
        <w:ind w:left="5040" w:hanging="360"/>
      </w:pPr>
      <w:rPr>
        <w:rFonts w:ascii="Symbol" w:hAnsi="Symbol" w:hint="default"/>
      </w:rPr>
    </w:lvl>
    <w:lvl w:ilvl="7" w:tplc="98AA58EA">
      <w:start w:val="1"/>
      <w:numFmt w:val="bullet"/>
      <w:lvlText w:val="o"/>
      <w:lvlJc w:val="left"/>
      <w:pPr>
        <w:ind w:left="5760" w:hanging="360"/>
      </w:pPr>
      <w:rPr>
        <w:rFonts w:ascii="Courier New" w:hAnsi="Courier New" w:hint="default"/>
      </w:rPr>
    </w:lvl>
    <w:lvl w:ilvl="8" w:tplc="99C82904">
      <w:start w:val="1"/>
      <w:numFmt w:val="bullet"/>
      <w:lvlText w:val=""/>
      <w:lvlJc w:val="left"/>
      <w:pPr>
        <w:ind w:left="6480" w:hanging="360"/>
      </w:pPr>
      <w:rPr>
        <w:rFonts w:ascii="Wingdings" w:hAnsi="Wingdings" w:hint="default"/>
      </w:rPr>
    </w:lvl>
  </w:abstractNum>
  <w:abstractNum w:abstractNumId="562" w15:restartNumberingAfterBreak="0">
    <w:nsid w:val="5CB30917"/>
    <w:multiLevelType w:val="multilevel"/>
    <w:tmpl w:val="AEE056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3" w15:restartNumberingAfterBreak="0">
    <w:nsid w:val="5CBB9621"/>
    <w:multiLevelType w:val="hybridMultilevel"/>
    <w:tmpl w:val="FFFFFFFF"/>
    <w:lvl w:ilvl="0" w:tplc="C074CE24">
      <w:start w:val="3"/>
      <w:numFmt w:val="decimal"/>
      <w:lvlText w:val="%1."/>
      <w:lvlJc w:val="left"/>
      <w:pPr>
        <w:ind w:left="720" w:hanging="360"/>
      </w:pPr>
    </w:lvl>
    <w:lvl w:ilvl="1" w:tplc="B798BE02">
      <w:start w:val="1"/>
      <w:numFmt w:val="lowerLetter"/>
      <w:lvlText w:val="%2."/>
      <w:lvlJc w:val="left"/>
      <w:pPr>
        <w:ind w:left="1440" w:hanging="360"/>
      </w:pPr>
    </w:lvl>
    <w:lvl w:ilvl="2" w:tplc="075CB1E4">
      <w:start w:val="1"/>
      <w:numFmt w:val="lowerRoman"/>
      <w:lvlText w:val="%3."/>
      <w:lvlJc w:val="right"/>
      <w:pPr>
        <w:ind w:left="2160" w:hanging="180"/>
      </w:pPr>
    </w:lvl>
    <w:lvl w:ilvl="3" w:tplc="0E5E8AC0">
      <w:start w:val="1"/>
      <w:numFmt w:val="decimal"/>
      <w:lvlText w:val="%4."/>
      <w:lvlJc w:val="left"/>
      <w:pPr>
        <w:ind w:left="2880" w:hanging="360"/>
      </w:pPr>
    </w:lvl>
    <w:lvl w:ilvl="4" w:tplc="921CEA28">
      <w:start w:val="1"/>
      <w:numFmt w:val="lowerLetter"/>
      <w:lvlText w:val="%5."/>
      <w:lvlJc w:val="left"/>
      <w:pPr>
        <w:ind w:left="3600" w:hanging="360"/>
      </w:pPr>
    </w:lvl>
    <w:lvl w:ilvl="5" w:tplc="B3A67F66">
      <w:start w:val="1"/>
      <w:numFmt w:val="lowerRoman"/>
      <w:lvlText w:val="%6."/>
      <w:lvlJc w:val="right"/>
      <w:pPr>
        <w:ind w:left="4320" w:hanging="180"/>
      </w:pPr>
    </w:lvl>
    <w:lvl w:ilvl="6" w:tplc="F14C80B6">
      <w:start w:val="1"/>
      <w:numFmt w:val="decimal"/>
      <w:lvlText w:val="%7."/>
      <w:lvlJc w:val="left"/>
      <w:pPr>
        <w:ind w:left="5040" w:hanging="360"/>
      </w:pPr>
    </w:lvl>
    <w:lvl w:ilvl="7" w:tplc="6622AA46">
      <w:start w:val="1"/>
      <w:numFmt w:val="lowerLetter"/>
      <w:lvlText w:val="%8."/>
      <w:lvlJc w:val="left"/>
      <w:pPr>
        <w:ind w:left="5760" w:hanging="360"/>
      </w:pPr>
    </w:lvl>
    <w:lvl w:ilvl="8" w:tplc="D8C6AFA4">
      <w:start w:val="1"/>
      <w:numFmt w:val="lowerRoman"/>
      <w:lvlText w:val="%9."/>
      <w:lvlJc w:val="right"/>
      <w:pPr>
        <w:ind w:left="6480" w:hanging="180"/>
      </w:pPr>
    </w:lvl>
  </w:abstractNum>
  <w:abstractNum w:abstractNumId="564" w15:restartNumberingAfterBreak="0">
    <w:nsid w:val="5CF47D0B"/>
    <w:multiLevelType w:val="hybridMultilevel"/>
    <w:tmpl w:val="FFFFFFFF"/>
    <w:lvl w:ilvl="0" w:tplc="29F27958">
      <w:start w:val="1"/>
      <w:numFmt w:val="bullet"/>
      <w:lvlText w:val="·"/>
      <w:lvlJc w:val="left"/>
      <w:pPr>
        <w:ind w:left="720" w:hanging="360"/>
      </w:pPr>
      <w:rPr>
        <w:rFonts w:ascii="Symbol" w:hAnsi="Symbol" w:hint="default"/>
      </w:rPr>
    </w:lvl>
    <w:lvl w:ilvl="1" w:tplc="C706BA24">
      <w:start w:val="1"/>
      <w:numFmt w:val="bullet"/>
      <w:lvlText w:val="o"/>
      <w:lvlJc w:val="left"/>
      <w:pPr>
        <w:ind w:left="1440" w:hanging="360"/>
      </w:pPr>
      <w:rPr>
        <w:rFonts w:ascii="Courier New" w:hAnsi="Courier New" w:hint="default"/>
      </w:rPr>
    </w:lvl>
    <w:lvl w:ilvl="2" w:tplc="7F4E5E84">
      <w:start w:val="1"/>
      <w:numFmt w:val="bullet"/>
      <w:lvlText w:val=""/>
      <w:lvlJc w:val="left"/>
      <w:pPr>
        <w:ind w:left="2160" w:hanging="360"/>
      </w:pPr>
      <w:rPr>
        <w:rFonts w:ascii="Wingdings" w:hAnsi="Wingdings" w:hint="default"/>
      </w:rPr>
    </w:lvl>
    <w:lvl w:ilvl="3" w:tplc="69F434BA">
      <w:start w:val="1"/>
      <w:numFmt w:val="bullet"/>
      <w:lvlText w:val=""/>
      <w:lvlJc w:val="left"/>
      <w:pPr>
        <w:ind w:left="2880" w:hanging="360"/>
      </w:pPr>
      <w:rPr>
        <w:rFonts w:ascii="Symbol" w:hAnsi="Symbol" w:hint="default"/>
      </w:rPr>
    </w:lvl>
    <w:lvl w:ilvl="4" w:tplc="4F46C1BC">
      <w:start w:val="1"/>
      <w:numFmt w:val="bullet"/>
      <w:lvlText w:val="o"/>
      <w:lvlJc w:val="left"/>
      <w:pPr>
        <w:ind w:left="3600" w:hanging="360"/>
      </w:pPr>
      <w:rPr>
        <w:rFonts w:ascii="Courier New" w:hAnsi="Courier New" w:hint="default"/>
      </w:rPr>
    </w:lvl>
    <w:lvl w:ilvl="5" w:tplc="DBDE9106">
      <w:start w:val="1"/>
      <w:numFmt w:val="bullet"/>
      <w:lvlText w:val=""/>
      <w:lvlJc w:val="left"/>
      <w:pPr>
        <w:ind w:left="4320" w:hanging="360"/>
      </w:pPr>
      <w:rPr>
        <w:rFonts w:ascii="Wingdings" w:hAnsi="Wingdings" w:hint="default"/>
      </w:rPr>
    </w:lvl>
    <w:lvl w:ilvl="6" w:tplc="07BE7B44">
      <w:start w:val="1"/>
      <w:numFmt w:val="bullet"/>
      <w:lvlText w:val=""/>
      <w:lvlJc w:val="left"/>
      <w:pPr>
        <w:ind w:left="5040" w:hanging="360"/>
      </w:pPr>
      <w:rPr>
        <w:rFonts w:ascii="Symbol" w:hAnsi="Symbol" w:hint="default"/>
      </w:rPr>
    </w:lvl>
    <w:lvl w:ilvl="7" w:tplc="41246B1E">
      <w:start w:val="1"/>
      <w:numFmt w:val="bullet"/>
      <w:lvlText w:val="o"/>
      <w:lvlJc w:val="left"/>
      <w:pPr>
        <w:ind w:left="5760" w:hanging="360"/>
      </w:pPr>
      <w:rPr>
        <w:rFonts w:ascii="Courier New" w:hAnsi="Courier New" w:hint="default"/>
      </w:rPr>
    </w:lvl>
    <w:lvl w:ilvl="8" w:tplc="D6CE58D8">
      <w:start w:val="1"/>
      <w:numFmt w:val="bullet"/>
      <w:lvlText w:val=""/>
      <w:lvlJc w:val="left"/>
      <w:pPr>
        <w:ind w:left="6480" w:hanging="360"/>
      </w:pPr>
      <w:rPr>
        <w:rFonts w:ascii="Wingdings" w:hAnsi="Wingdings" w:hint="default"/>
      </w:rPr>
    </w:lvl>
  </w:abstractNum>
  <w:abstractNum w:abstractNumId="565" w15:restartNumberingAfterBreak="0">
    <w:nsid w:val="5D060240"/>
    <w:multiLevelType w:val="hybridMultilevel"/>
    <w:tmpl w:val="1006120C"/>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66" w15:restartNumberingAfterBreak="0">
    <w:nsid w:val="5D3E4E34"/>
    <w:multiLevelType w:val="multilevel"/>
    <w:tmpl w:val="EE26A6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67" w15:restartNumberingAfterBreak="0">
    <w:nsid w:val="5DA07DA8"/>
    <w:multiLevelType w:val="hybridMultilevel"/>
    <w:tmpl w:val="FFFFFFFF"/>
    <w:lvl w:ilvl="0" w:tplc="A484E5A4">
      <w:start w:val="1"/>
      <w:numFmt w:val="bullet"/>
      <w:lvlText w:val=""/>
      <w:lvlJc w:val="left"/>
      <w:pPr>
        <w:ind w:left="720" w:hanging="360"/>
      </w:pPr>
      <w:rPr>
        <w:rFonts w:ascii="Symbol" w:hAnsi="Symbol" w:hint="default"/>
      </w:rPr>
    </w:lvl>
    <w:lvl w:ilvl="1" w:tplc="73087B4E">
      <w:start w:val="1"/>
      <w:numFmt w:val="bullet"/>
      <w:lvlText w:val="-"/>
      <w:lvlJc w:val="left"/>
      <w:pPr>
        <w:ind w:left="1440" w:hanging="360"/>
      </w:pPr>
      <w:rPr>
        <w:rFonts w:ascii="Calibri" w:hAnsi="Calibri" w:hint="default"/>
      </w:rPr>
    </w:lvl>
    <w:lvl w:ilvl="2" w:tplc="E8CC8A8C">
      <w:start w:val="1"/>
      <w:numFmt w:val="bullet"/>
      <w:lvlText w:val=""/>
      <w:lvlJc w:val="left"/>
      <w:pPr>
        <w:ind w:left="2160" w:hanging="360"/>
      </w:pPr>
      <w:rPr>
        <w:rFonts w:ascii="Wingdings" w:hAnsi="Wingdings" w:hint="default"/>
      </w:rPr>
    </w:lvl>
    <w:lvl w:ilvl="3" w:tplc="A88ED84E">
      <w:start w:val="1"/>
      <w:numFmt w:val="bullet"/>
      <w:lvlText w:val=""/>
      <w:lvlJc w:val="left"/>
      <w:pPr>
        <w:ind w:left="2880" w:hanging="360"/>
      </w:pPr>
      <w:rPr>
        <w:rFonts w:ascii="Symbol" w:hAnsi="Symbol" w:hint="default"/>
      </w:rPr>
    </w:lvl>
    <w:lvl w:ilvl="4" w:tplc="AB1E3C84">
      <w:start w:val="1"/>
      <w:numFmt w:val="bullet"/>
      <w:lvlText w:val="o"/>
      <w:lvlJc w:val="left"/>
      <w:pPr>
        <w:ind w:left="3600" w:hanging="360"/>
      </w:pPr>
      <w:rPr>
        <w:rFonts w:ascii="Courier New" w:hAnsi="Courier New" w:hint="default"/>
      </w:rPr>
    </w:lvl>
    <w:lvl w:ilvl="5" w:tplc="F9748E36">
      <w:start w:val="1"/>
      <w:numFmt w:val="bullet"/>
      <w:lvlText w:val=""/>
      <w:lvlJc w:val="left"/>
      <w:pPr>
        <w:ind w:left="4320" w:hanging="360"/>
      </w:pPr>
      <w:rPr>
        <w:rFonts w:ascii="Wingdings" w:hAnsi="Wingdings" w:hint="default"/>
      </w:rPr>
    </w:lvl>
    <w:lvl w:ilvl="6" w:tplc="418ACFA0">
      <w:start w:val="1"/>
      <w:numFmt w:val="bullet"/>
      <w:lvlText w:val=""/>
      <w:lvlJc w:val="left"/>
      <w:pPr>
        <w:ind w:left="5040" w:hanging="360"/>
      </w:pPr>
      <w:rPr>
        <w:rFonts w:ascii="Symbol" w:hAnsi="Symbol" w:hint="default"/>
      </w:rPr>
    </w:lvl>
    <w:lvl w:ilvl="7" w:tplc="B9440862">
      <w:start w:val="1"/>
      <w:numFmt w:val="bullet"/>
      <w:lvlText w:val="o"/>
      <w:lvlJc w:val="left"/>
      <w:pPr>
        <w:ind w:left="5760" w:hanging="360"/>
      </w:pPr>
      <w:rPr>
        <w:rFonts w:ascii="Courier New" w:hAnsi="Courier New" w:hint="default"/>
      </w:rPr>
    </w:lvl>
    <w:lvl w:ilvl="8" w:tplc="E37A5E24">
      <w:start w:val="1"/>
      <w:numFmt w:val="bullet"/>
      <w:lvlText w:val=""/>
      <w:lvlJc w:val="left"/>
      <w:pPr>
        <w:ind w:left="6480" w:hanging="360"/>
      </w:pPr>
      <w:rPr>
        <w:rFonts w:ascii="Wingdings" w:hAnsi="Wingdings" w:hint="default"/>
      </w:rPr>
    </w:lvl>
  </w:abstractNum>
  <w:abstractNum w:abstractNumId="568" w15:restartNumberingAfterBreak="0">
    <w:nsid w:val="5DCDF669"/>
    <w:multiLevelType w:val="hybridMultilevel"/>
    <w:tmpl w:val="FFFFFFFF"/>
    <w:lvl w:ilvl="0" w:tplc="303CE6B6">
      <w:start w:val="1"/>
      <w:numFmt w:val="bullet"/>
      <w:lvlText w:val=""/>
      <w:lvlJc w:val="left"/>
      <w:pPr>
        <w:ind w:left="720" w:hanging="360"/>
      </w:pPr>
      <w:rPr>
        <w:rFonts w:ascii="Symbol" w:hAnsi="Symbol" w:hint="default"/>
      </w:rPr>
    </w:lvl>
    <w:lvl w:ilvl="1" w:tplc="70782C8C">
      <w:start w:val="1"/>
      <w:numFmt w:val="bullet"/>
      <w:lvlText w:val="o"/>
      <w:lvlJc w:val="left"/>
      <w:pPr>
        <w:ind w:left="1440" w:hanging="360"/>
      </w:pPr>
      <w:rPr>
        <w:rFonts w:ascii="Courier New" w:hAnsi="Courier New" w:hint="default"/>
      </w:rPr>
    </w:lvl>
    <w:lvl w:ilvl="2" w:tplc="5B30B4D0">
      <w:start w:val="1"/>
      <w:numFmt w:val="bullet"/>
      <w:lvlText w:val="§"/>
      <w:lvlJc w:val="left"/>
      <w:pPr>
        <w:ind w:left="2160" w:hanging="360"/>
      </w:pPr>
      <w:rPr>
        <w:rFonts w:ascii="Wingdings" w:hAnsi="Wingdings" w:hint="default"/>
      </w:rPr>
    </w:lvl>
    <w:lvl w:ilvl="3" w:tplc="1BCA7220">
      <w:start w:val="1"/>
      <w:numFmt w:val="bullet"/>
      <w:lvlText w:val=""/>
      <w:lvlJc w:val="left"/>
      <w:pPr>
        <w:ind w:left="2880" w:hanging="360"/>
      </w:pPr>
      <w:rPr>
        <w:rFonts w:ascii="Symbol" w:hAnsi="Symbol" w:hint="default"/>
      </w:rPr>
    </w:lvl>
    <w:lvl w:ilvl="4" w:tplc="A33E10E6">
      <w:start w:val="1"/>
      <w:numFmt w:val="bullet"/>
      <w:lvlText w:val="o"/>
      <w:lvlJc w:val="left"/>
      <w:pPr>
        <w:ind w:left="3600" w:hanging="360"/>
      </w:pPr>
      <w:rPr>
        <w:rFonts w:ascii="Courier New" w:hAnsi="Courier New" w:hint="default"/>
      </w:rPr>
    </w:lvl>
    <w:lvl w:ilvl="5" w:tplc="BB8C94B8">
      <w:start w:val="1"/>
      <w:numFmt w:val="bullet"/>
      <w:lvlText w:val=""/>
      <w:lvlJc w:val="left"/>
      <w:pPr>
        <w:ind w:left="4320" w:hanging="360"/>
      </w:pPr>
      <w:rPr>
        <w:rFonts w:ascii="Wingdings" w:hAnsi="Wingdings" w:hint="default"/>
      </w:rPr>
    </w:lvl>
    <w:lvl w:ilvl="6" w:tplc="020ABAD0">
      <w:start w:val="1"/>
      <w:numFmt w:val="bullet"/>
      <w:lvlText w:val=""/>
      <w:lvlJc w:val="left"/>
      <w:pPr>
        <w:ind w:left="5040" w:hanging="360"/>
      </w:pPr>
      <w:rPr>
        <w:rFonts w:ascii="Symbol" w:hAnsi="Symbol" w:hint="default"/>
      </w:rPr>
    </w:lvl>
    <w:lvl w:ilvl="7" w:tplc="59C696FC">
      <w:start w:val="1"/>
      <w:numFmt w:val="bullet"/>
      <w:lvlText w:val="o"/>
      <w:lvlJc w:val="left"/>
      <w:pPr>
        <w:ind w:left="5760" w:hanging="360"/>
      </w:pPr>
      <w:rPr>
        <w:rFonts w:ascii="Courier New" w:hAnsi="Courier New" w:hint="default"/>
      </w:rPr>
    </w:lvl>
    <w:lvl w:ilvl="8" w:tplc="CD34E486">
      <w:start w:val="1"/>
      <w:numFmt w:val="bullet"/>
      <w:lvlText w:val=""/>
      <w:lvlJc w:val="left"/>
      <w:pPr>
        <w:ind w:left="6480" w:hanging="360"/>
      </w:pPr>
      <w:rPr>
        <w:rFonts w:ascii="Wingdings" w:hAnsi="Wingdings" w:hint="default"/>
      </w:rPr>
    </w:lvl>
  </w:abstractNum>
  <w:abstractNum w:abstractNumId="569" w15:restartNumberingAfterBreak="0">
    <w:nsid w:val="5DDF71F9"/>
    <w:multiLevelType w:val="hybridMultilevel"/>
    <w:tmpl w:val="58308540"/>
    <w:lvl w:ilvl="0" w:tplc="1809001B">
      <w:start w:val="1"/>
      <w:numFmt w:val="lowerRoman"/>
      <w:lvlText w:val="%1."/>
      <w:lvlJc w:val="right"/>
      <w:pPr>
        <w:ind w:left="108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70" w15:restartNumberingAfterBreak="0">
    <w:nsid w:val="5E2D8F07"/>
    <w:multiLevelType w:val="multilevel"/>
    <w:tmpl w:val="FFFFFFFF"/>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1" w15:restartNumberingAfterBreak="0">
    <w:nsid w:val="5E4962A7"/>
    <w:multiLevelType w:val="hybridMultilevel"/>
    <w:tmpl w:val="B2DC1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2" w15:restartNumberingAfterBreak="0">
    <w:nsid w:val="5E7C7858"/>
    <w:multiLevelType w:val="multilevel"/>
    <w:tmpl w:val="35962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3" w15:restartNumberingAfterBreak="0">
    <w:nsid w:val="5EC27C6E"/>
    <w:multiLevelType w:val="hybridMultilevel"/>
    <w:tmpl w:val="E2E653EA"/>
    <w:lvl w:ilvl="0" w:tplc="561CD8F8">
      <w:start w:val="1"/>
      <w:numFmt w:val="bullet"/>
      <w:lvlText w:val="-"/>
      <w:lvlJc w:val="left"/>
      <w:pPr>
        <w:ind w:left="720" w:hanging="360"/>
      </w:pPr>
      <w:rPr>
        <w:rFonts w:ascii="Calibri" w:hAnsi="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4" w15:restartNumberingAfterBreak="0">
    <w:nsid w:val="5ECC7FFE"/>
    <w:multiLevelType w:val="hybridMultilevel"/>
    <w:tmpl w:val="AFC2569C"/>
    <w:lvl w:ilvl="0" w:tplc="0C0A0011">
      <w:start w:val="1"/>
      <w:numFmt w:val="decimal"/>
      <w:lvlText w:val="%1)"/>
      <w:lvlJc w:val="lef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Cambria Math" w:hAnsi="Cambria Math"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Cambria Math" w:hAnsi="Cambria Math"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Cambria Math" w:hAnsi="Cambria Math" w:hint="default"/>
      </w:rPr>
    </w:lvl>
  </w:abstractNum>
  <w:abstractNum w:abstractNumId="575" w15:restartNumberingAfterBreak="0">
    <w:nsid w:val="5ED02D43"/>
    <w:multiLevelType w:val="multilevel"/>
    <w:tmpl w:val="56323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6" w15:restartNumberingAfterBreak="0">
    <w:nsid w:val="5EF47B74"/>
    <w:multiLevelType w:val="hybridMultilevel"/>
    <w:tmpl w:val="C84CB30E"/>
    <w:lvl w:ilvl="0" w:tplc="18090017">
      <w:start w:val="1"/>
      <w:numFmt w:val="lowerLetter"/>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77" w15:restartNumberingAfterBreak="0">
    <w:nsid w:val="5F36C172"/>
    <w:multiLevelType w:val="hybridMultilevel"/>
    <w:tmpl w:val="FFFFFFFF"/>
    <w:lvl w:ilvl="0" w:tplc="CCC413A6">
      <w:start w:val="1"/>
      <w:numFmt w:val="bullet"/>
      <w:lvlText w:val=""/>
      <w:lvlJc w:val="left"/>
      <w:pPr>
        <w:ind w:left="720" w:hanging="360"/>
      </w:pPr>
      <w:rPr>
        <w:rFonts w:ascii="Segoe UI" w:hAnsi="Segoe UI" w:hint="default"/>
      </w:rPr>
    </w:lvl>
    <w:lvl w:ilvl="1" w:tplc="43186FF0">
      <w:start w:val="1"/>
      <w:numFmt w:val="bullet"/>
      <w:lvlText w:val="o"/>
      <w:lvlJc w:val="left"/>
      <w:pPr>
        <w:ind w:left="1440" w:hanging="360"/>
      </w:pPr>
      <w:rPr>
        <w:rFonts w:ascii="Courier New" w:hAnsi="Courier New" w:hint="default"/>
      </w:rPr>
    </w:lvl>
    <w:lvl w:ilvl="2" w:tplc="A238B444">
      <w:start w:val="1"/>
      <w:numFmt w:val="bullet"/>
      <w:lvlText w:val=""/>
      <w:lvlJc w:val="left"/>
      <w:pPr>
        <w:ind w:left="2160" w:hanging="360"/>
      </w:pPr>
      <w:rPr>
        <w:rFonts w:ascii="Cambria Math" w:hAnsi="Cambria Math" w:hint="default"/>
      </w:rPr>
    </w:lvl>
    <w:lvl w:ilvl="3" w:tplc="2EE0C6CE">
      <w:start w:val="1"/>
      <w:numFmt w:val="bullet"/>
      <w:lvlText w:val=""/>
      <w:lvlJc w:val="left"/>
      <w:pPr>
        <w:ind w:left="2880" w:hanging="360"/>
      </w:pPr>
      <w:rPr>
        <w:rFonts w:ascii="Segoe UI" w:hAnsi="Segoe UI" w:hint="default"/>
      </w:rPr>
    </w:lvl>
    <w:lvl w:ilvl="4" w:tplc="7AF0B69E">
      <w:start w:val="1"/>
      <w:numFmt w:val="bullet"/>
      <w:lvlText w:val="o"/>
      <w:lvlJc w:val="left"/>
      <w:pPr>
        <w:ind w:left="3600" w:hanging="360"/>
      </w:pPr>
      <w:rPr>
        <w:rFonts w:ascii="Courier New" w:hAnsi="Courier New" w:hint="default"/>
      </w:rPr>
    </w:lvl>
    <w:lvl w:ilvl="5" w:tplc="844E2120">
      <w:start w:val="1"/>
      <w:numFmt w:val="bullet"/>
      <w:lvlText w:val=""/>
      <w:lvlJc w:val="left"/>
      <w:pPr>
        <w:ind w:left="4320" w:hanging="360"/>
      </w:pPr>
      <w:rPr>
        <w:rFonts w:ascii="Cambria Math" w:hAnsi="Cambria Math" w:hint="default"/>
      </w:rPr>
    </w:lvl>
    <w:lvl w:ilvl="6" w:tplc="4FE68592">
      <w:start w:val="1"/>
      <w:numFmt w:val="bullet"/>
      <w:lvlText w:val=""/>
      <w:lvlJc w:val="left"/>
      <w:pPr>
        <w:ind w:left="5040" w:hanging="360"/>
      </w:pPr>
      <w:rPr>
        <w:rFonts w:ascii="Segoe UI" w:hAnsi="Segoe UI" w:hint="default"/>
      </w:rPr>
    </w:lvl>
    <w:lvl w:ilvl="7" w:tplc="A6BE538E">
      <w:start w:val="1"/>
      <w:numFmt w:val="bullet"/>
      <w:lvlText w:val="o"/>
      <w:lvlJc w:val="left"/>
      <w:pPr>
        <w:ind w:left="5760" w:hanging="360"/>
      </w:pPr>
      <w:rPr>
        <w:rFonts w:ascii="Courier New" w:hAnsi="Courier New" w:hint="default"/>
      </w:rPr>
    </w:lvl>
    <w:lvl w:ilvl="8" w:tplc="FC5E6E2A">
      <w:start w:val="1"/>
      <w:numFmt w:val="bullet"/>
      <w:lvlText w:val=""/>
      <w:lvlJc w:val="left"/>
      <w:pPr>
        <w:ind w:left="6480" w:hanging="360"/>
      </w:pPr>
      <w:rPr>
        <w:rFonts w:ascii="Cambria Math" w:hAnsi="Cambria Math" w:hint="default"/>
      </w:rPr>
    </w:lvl>
  </w:abstractNum>
  <w:abstractNum w:abstractNumId="578" w15:restartNumberingAfterBreak="0">
    <w:nsid w:val="5F9812CB"/>
    <w:multiLevelType w:val="hybridMultilevel"/>
    <w:tmpl w:val="44ACDC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9" w15:restartNumberingAfterBreak="0">
    <w:nsid w:val="5FA00B46"/>
    <w:multiLevelType w:val="hybridMultilevel"/>
    <w:tmpl w:val="FFFFFFFF"/>
    <w:lvl w:ilvl="0" w:tplc="F2E603A2">
      <w:start w:val="1"/>
      <w:numFmt w:val="lowerRoman"/>
      <w:lvlText w:val="%1."/>
      <w:lvlJc w:val="right"/>
      <w:pPr>
        <w:ind w:left="720" w:hanging="360"/>
      </w:pPr>
    </w:lvl>
    <w:lvl w:ilvl="1" w:tplc="B7081B0C">
      <w:start w:val="1"/>
      <w:numFmt w:val="lowerLetter"/>
      <w:lvlText w:val="%2."/>
      <w:lvlJc w:val="left"/>
      <w:pPr>
        <w:ind w:left="1440" w:hanging="360"/>
      </w:pPr>
    </w:lvl>
    <w:lvl w:ilvl="2" w:tplc="03C4D730">
      <w:start w:val="1"/>
      <w:numFmt w:val="lowerRoman"/>
      <w:lvlText w:val="%3."/>
      <w:lvlJc w:val="right"/>
      <w:pPr>
        <w:ind w:left="2160" w:hanging="180"/>
      </w:pPr>
    </w:lvl>
    <w:lvl w:ilvl="3" w:tplc="E946E3A4">
      <w:start w:val="1"/>
      <w:numFmt w:val="decimal"/>
      <w:lvlText w:val="%4."/>
      <w:lvlJc w:val="left"/>
      <w:pPr>
        <w:ind w:left="2880" w:hanging="360"/>
      </w:pPr>
    </w:lvl>
    <w:lvl w:ilvl="4" w:tplc="CF626B94">
      <w:start w:val="1"/>
      <w:numFmt w:val="lowerLetter"/>
      <w:lvlText w:val="%5."/>
      <w:lvlJc w:val="left"/>
      <w:pPr>
        <w:ind w:left="3600" w:hanging="360"/>
      </w:pPr>
    </w:lvl>
    <w:lvl w:ilvl="5" w:tplc="8D268734">
      <w:start w:val="1"/>
      <w:numFmt w:val="lowerRoman"/>
      <w:lvlText w:val="%6."/>
      <w:lvlJc w:val="right"/>
      <w:pPr>
        <w:ind w:left="4320" w:hanging="180"/>
      </w:pPr>
    </w:lvl>
    <w:lvl w:ilvl="6" w:tplc="52D04584">
      <w:start w:val="1"/>
      <w:numFmt w:val="decimal"/>
      <w:lvlText w:val="%7."/>
      <w:lvlJc w:val="left"/>
      <w:pPr>
        <w:ind w:left="5040" w:hanging="360"/>
      </w:pPr>
    </w:lvl>
    <w:lvl w:ilvl="7" w:tplc="5C70A86E">
      <w:start w:val="1"/>
      <w:numFmt w:val="lowerLetter"/>
      <w:lvlText w:val="%8."/>
      <w:lvlJc w:val="left"/>
      <w:pPr>
        <w:ind w:left="5760" w:hanging="360"/>
      </w:pPr>
    </w:lvl>
    <w:lvl w:ilvl="8" w:tplc="0FCC67CA">
      <w:start w:val="1"/>
      <w:numFmt w:val="lowerRoman"/>
      <w:lvlText w:val="%9."/>
      <w:lvlJc w:val="right"/>
      <w:pPr>
        <w:ind w:left="6480" w:hanging="180"/>
      </w:pPr>
    </w:lvl>
  </w:abstractNum>
  <w:abstractNum w:abstractNumId="580" w15:restartNumberingAfterBreak="0">
    <w:nsid w:val="5FB4379E"/>
    <w:multiLevelType w:val="multilevel"/>
    <w:tmpl w:val="BEB6C230"/>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81" w15:restartNumberingAfterBreak="0">
    <w:nsid w:val="5FC14C06"/>
    <w:multiLevelType w:val="multilevel"/>
    <w:tmpl w:val="8E306C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2" w15:restartNumberingAfterBreak="0">
    <w:nsid w:val="5FFDFF64"/>
    <w:multiLevelType w:val="hybridMultilevel"/>
    <w:tmpl w:val="FFFFFFFF"/>
    <w:lvl w:ilvl="0" w:tplc="B40E1F02">
      <w:start w:val="1"/>
      <w:numFmt w:val="bullet"/>
      <w:lvlText w:val=""/>
      <w:lvlJc w:val="left"/>
      <w:pPr>
        <w:ind w:left="720" w:hanging="360"/>
      </w:pPr>
      <w:rPr>
        <w:rFonts w:ascii="Symbol" w:hAnsi="Symbol" w:hint="default"/>
      </w:rPr>
    </w:lvl>
    <w:lvl w:ilvl="1" w:tplc="E91A3BE6">
      <w:start w:val="1"/>
      <w:numFmt w:val="bullet"/>
      <w:lvlText w:val="-"/>
      <w:lvlJc w:val="left"/>
      <w:pPr>
        <w:ind w:left="1440" w:hanging="360"/>
      </w:pPr>
      <w:rPr>
        <w:rFonts w:ascii="Calibri" w:hAnsi="Calibri" w:hint="default"/>
      </w:rPr>
    </w:lvl>
    <w:lvl w:ilvl="2" w:tplc="5D6A018C">
      <w:start w:val="1"/>
      <w:numFmt w:val="bullet"/>
      <w:lvlText w:val=""/>
      <w:lvlJc w:val="left"/>
      <w:pPr>
        <w:ind w:left="2160" w:hanging="360"/>
      </w:pPr>
      <w:rPr>
        <w:rFonts w:ascii="Wingdings" w:hAnsi="Wingdings" w:hint="default"/>
      </w:rPr>
    </w:lvl>
    <w:lvl w:ilvl="3" w:tplc="BD76CB5E">
      <w:start w:val="1"/>
      <w:numFmt w:val="bullet"/>
      <w:lvlText w:val=""/>
      <w:lvlJc w:val="left"/>
      <w:pPr>
        <w:ind w:left="2880" w:hanging="360"/>
      </w:pPr>
      <w:rPr>
        <w:rFonts w:ascii="Symbol" w:hAnsi="Symbol" w:hint="default"/>
      </w:rPr>
    </w:lvl>
    <w:lvl w:ilvl="4" w:tplc="78F4CF52">
      <w:start w:val="1"/>
      <w:numFmt w:val="bullet"/>
      <w:lvlText w:val="o"/>
      <w:lvlJc w:val="left"/>
      <w:pPr>
        <w:ind w:left="3600" w:hanging="360"/>
      </w:pPr>
      <w:rPr>
        <w:rFonts w:ascii="Courier New" w:hAnsi="Courier New" w:hint="default"/>
      </w:rPr>
    </w:lvl>
    <w:lvl w:ilvl="5" w:tplc="28325988">
      <w:start w:val="1"/>
      <w:numFmt w:val="bullet"/>
      <w:lvlText w:val=""/>
      <w:lvlJc w:val="left"/>
      <w:pPr>
        <w:ind w:left="4320" w:hanging="360"/>
      </w:pPr>
      <w:rPr>
        <w:rFonts w:ascii="Wingdings" w:hAnsi="Wingdings" w:hint="default"/>
      </w:rPr>
    </w:lvl>
    <w:lvl w:ilvl="6" w:tplc="26CCBA80">
      <w:start w:val="1"/>
      <w:numFmt w:val="bullet"/>
      <w:lvlText w:val=""/>
      <w:lvlJc w:val="left"/>
      <w:pPr>
        <w:ind w:left="5040" w:hanging="360"/>
      </w:pPr>
      <w:rPr>
        <w:rFonts w:ascii="Symbol" w:hAnsi="Symbol" w:hint="default"/>
      </w:rPr>
    </w:lvl>
    <w:lvl w:ilvl="7" w:tplc="6B3C7216">
      <w:start w:val="1"/>
      <w:numFmt w:val="bullet"/>
      <w:lvlText w:val="o"/>
      <w:lvlJc w:val="left"/>
      <w:pPr>
        <w:ind w:left="5760" w:hanging="360"/>
      </w:pPr>
      <w:rPr>
        <w:rFonts w:ascii="Courier New" w:hAnsi="Courier New" w:hint="default"/>
      </w:rPr>
    </w:lvl>
    <w:lvl w:ilvl="8" w:tplc="491AFFF2">
      <w:start w:val="1"/>
      <w:numFmt w:val="bullet"/>
      <w:lvlText w:val=""/>
      <w:lvlJc w:val="left"/>
      <w:pPr>
        <w:ind w:left="6480" w:hanging="360"/>
      </w:pPr>
      <w:rPr>
        <w:rFonts w:ascii="Wingdings" w:hAnsi="Wingdings" w:hint="default"/>
      </w:rPr>
    </w:lvl>
  </w:abstractNum>
  <w:abstractNum w:abstractNumId="583" w15:restartNumberingAfterBreak="0">
    <w:nsid w:val="60097C19"/>
    <w:multiLevelType w:val="multilevel"/>
    <w:tmpl w:val="2550B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4" w15:restartNumberingAfterBreak="0">
    <w:nsid w:val="608B73F9"/>
    <w:multiLevelType w:val="multilevel"/>
    <w:tmpl w:val="D4EAD648"/>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85" w15:restartNumberingAfterBreak="0">
    <w:nsid w:val="60B41314"/>
    <w:multiLevelType w:val="hybridMultilevel"/>
    <w:tmpl w:val="B1C8EDC6"/>
    <w:lvl w:ilvl="0" w:tplc="0809001B">
      <w:start w:val="1"/>
      <w:numFmt w:val="lowerRoman"/>
      <w:lvlText w:val="%1."/>
      <w:lvlJc w:val="righ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586" w15:restartNumberingAfterBreak="0">
    <w:nsid w:val="60B8958C"/>
    <w:multiLevelType w:val="hybridMultilevel"/>
    <w:tmpl w:val="FFFFFFFF"/>
    <w:lvl w:ilvl="0" w:tplc="AF78FF98">
      <w:start w:val="1"/>
      <w:numFmt w:val="decimal"/>
      <w:lvlText w:val="%1."/>
      <w:lvlJc w:val="left"/>
      <w:pPr>
        <w:ind w:left="720" w:hanging="360"/>
      </w:pPr>
    </w:lvl>
    <w:lvl w:ilvl="1" w:tplc="EF88C4D0">
      <w:start w:val="1"/>
      <w:numFmt w:val="lowerLetter"/>
      <w:lvlText w:val="%2."/>
      <w:lvlJc w:val="left"/>
      <w:pPr>
        <w:ind w:left="1440" w:hanging="360"/>
      </w:pPr>
    </w:lvl>
    <w:lvl w:ilvl="2" w:tplc="0610F478">
      <w:start w:val="1"/>
      <w:numFmt w:val="lowerRoman"/>
      <w:lvlText w:val="%3."/>
      <w:lvlJc w:val="right"/>
      <w:pPr>
        <w:ind w:left="2160" w:hanging="180"/>
      </w:pPr>
    </w:lvl>
    <w:lvl w:ilvl="3" w:tplc="499A12DC">
      <w:start w:val="1"/>
      <w:numFmt w:val="decimal"/>
      <w:lvlText w:val="%4."/>
      <w:lvlJc w:val="left"/>
      <w:pPr>
        <w:ind w:left="2880" w:hanging="360"/>
      </w:pPr>
    </w:lvl>
    <w:lvl w:ilvl="4" w:tplc="F6361154">
      <w:start w:val="1"/>
      <w:numFmt w:val="lowerLetter"/>
      <w:lvlText w:val="%5."/>
      <w:lvlJc w:val="left"/>
      <w:pPr>
        <w:ind w:left="3600" w:hanging="360"/>
      </w:pPr>
    </w:lvl>
    <w:lvl w:ilvl="5" w:tplc="3568312C">
      <w:start w:val="1"/>
      <w:numFmt w:val="lowerRoman"/>
      <w:lvlText w:val="%6."/>
      <w:lvlJc w:val="right"/>
      <w:pPr>
        <w:ind w:left="4320" w:hanging="180"/>
      </w:pPr>
    </w:lvl>
    <w:lvl w:ilvl="6" w:tplc="D4F2FF80">
      <w:start w:val="1"/>
      <w:numFmt w:val="decimal"/>
      <w:lvlText w:val="%7."/>
      <w:lvlJc w:val="left"/>
      <w:pPr>
        <w:ind w:left="5040" w:hanging="360"/>
      </w:pPr>
    </w:lvl>
    <w:lvl w:ilvl="7" w:tplc="8C3691EC">
      <w:start w:val="1"/>
      <w:numFmt w:val="lowerLetter"/>
      <w:lvlText w:val="%8."/>
      <w:lvlJc w:val="left"/>
      <w:pPr>
        <w:ind w:left="5760" w:hanging="360"/>
      </w:pPr>
    </w:lvl>
    <w:lvl w:ilvl="8" w:tplc="786A002A">
      <w:start w:val="1"/>
      <w:numFmt w:val="lowerRoman"/>
      <w:lvlText w:val="%9."/>
      <w:lvlJc w:val="right"/>
      <w:pPr>
        <w:ind w:left="6480" w:hanging="180"/>
      </w:pPr>
    </w:lvl>
  </w:abstractNum>
  <w:abstractNum w:abstractNumId="587" w15:restartNumberingAfterBreak="0">
    <w:nsid w:val="60CD527E"/>
    <w:multiLevelType w:val="hybridMultilevel"/>
    <w:tmpl w:val="0422CC8C"/>
    <w:lvl w:ilvl="0" w:tplc="95229FA6">
      <w:start w:val="1"/>
      <w:numFmt w:val="lowerLetter"/>
      <w:lvlText w:val="%1)"/>
      <w:lvlJc w:val="left"/>
      <w:pPr>
        <w:ind w:left="720" w:hanging="360"/>
      </w:pPr>
    </w:lvl>
    <w:lvl w:ilvl="1" w:tplc="55F89914">
      <w:start w:val="1"/>
      <w:numFmt w:val="lowerLetter"/>
      <w:lvlText w:val="%2)"/>
      <w:lvlJc w:val="left"/>
      <w:pPr>
        <w:ind w:left="720" w:hanging="360"/>
      </w:pPr>
    </w:lvl>
    <w:lvl w:ilvl="2" w:tplc="166EF770">
      <w:start w:val="1"/>
      <w:numFmt w:val="lowerLetter"/>
      <w:lvlText w:val="%3)"/>
      <w:lvlJc w:val="left"/>
      <w:pPr>
        <w:ind w:left="720" w:hanging="360"/>
      </w:pPr>
    </w:lvl>
    <w:lvl w:ilvl="3" w:tplc="0D8C130A">
      <w:start w:val="1"/>
      <w:numFmt w:val="lowerLetter"/>
      <w:lvlText w:val="%4)"/>
      <w:lvlJc w:val="left"/>
      <w:pPr>
        <w:ind w:left="720" w:hanging="360"/>
      </w:pPr>
    </w:lvl>
    <w:lvl w:ilvl="4" w:tplc="BCD60F26">
      <w:start w:val="1"/>
      <w:numFmt w:val="lowerLetter"/>
      <w:lvlText w:val="%5)"/>
      <w:lvlJc w:val="left"/>
      <w:pPr>
        <w:ind w:left="720" w:hanging="360"/>
      </w:pPr>
    </w:lvl>
    <w:lvl w:ilvl="5" w:tplc="75B2CD54">
      <w:start w:val="1"/>
      <w:numFmt w:val="lowerLetter"/>
      <w:lvlText w:val="%6)"/>
      <w:lvlJc w:val="left"/>
      <w:pPr>
        <w:ind w:left="720" w:hanging="360"/>
      </w:pPr>
    </w:lvl>
    <w:lvl w:ilvl="6" w:tplc="9FC4C67A">
      <w:start w:val="1"/>
      <w:numFmt w:val="lowerLetter"/>
      <w:lvlText w:val="%7)"/>
      <w:lvlJc w:val="left"/>
      <w:pPr>
        <w:ind w:left="720" w:hanging="360"/>
      </w:pPr>
    </w:lvl>
    <w:lvl w:ilvl="7" w:tplc="B9185C34">
      <w:start w:val="1"/>
      <w:numFmt w:val="lowerLetter"/>
      <w:lvlText w:val="%8)"/>
      <w:lvlJc w:val="left"/>
      <w:pPr>
        <w:ind w:left="720" w:hanging="360"/>
      </w:pPr>
    </w:lvl>
    <w:lvl w:ilvl="8" w:tplc="999A4C50">
      <w:start w:val="1"/>
      <w:numFmt w:val="lowerLetter"/>
      <w:lvlText w:val="%9)"/>
      <w:lvlJc w:val="left"/>
      <w:pPr>
        <w:ind w:left="720" w:hanging="360"/>
      </w:pPr>
    </w:lvl>
  </w:abstractNum>
  <w:abstractNum w:abstractNumId="588" w15:restartNumberingAfterBreak="0">
    <w:nsid w:val="60DDC073"/>
    <w:multiLevelType w:val="hybridMultilevel"/>
    <w:tmpl w:val="FFFFFFFF"/>
    <w:lvl w:ilvl="0" w:tplc="16BC9412">
      <w:start w:val="1"/>
      <w:numFmt w:val="bullet"/>
      <w:lvlText w:val="o"/>
      <w:lvlJc w:val="left"/>
      <w:pPr>
        <w:ind w:left="720" w:hanging="360"/>
      </w:pPr>
      <w:rPr>
        <w:rFonts w:ascii="&quot;Courier New&quot;" w:hAnsi="&quot;Courier New&quot;" w:hint="default"/>
      </w:rPr>
    </w:lvl>
    <w:lvl w:ilvl="1" w:tplc="18BE9CAC">
      <w:start w:val="1"/>
      <w:numFmt w:val="bullet"/>
      <w:lvlText w:val="o"/>
      <w:lvlJc w:val="left"/>
      <w:pPr>
        <w:ind w:left="1440" w:hanging="360"/>
      </w:pPr>
      <w:rPr>
        <w:rFonts w:ascii="Courier New" w:hAnsi="Courier New" w:hint="default"/>
      </w:rPr>
    </w:lvl>
    <w:lvl w:ilvl="2" w:tplc="DD360680">
      <w:start w:val="1"/>
      <w:numFmt w:val="bullet"/>
      <w:lvlText w:val=""/>
      <w:lvlJc w:val="left"/>
      <w:pPr>
        <w:ind w:left="2160" w:hanging="360"/>
      </w:pPr>
      <w:rPr>
        <w:rFonts w:ascii="Wingdings" w:hAnsi="Wingdings" w:hint="default"/>
      </w:rPr>
    </w:lvl>
    <w:lvl w:ilvl="3" w:tplc="B2BA1404">
      <w:start w:val="1"/>
      <w:numFmt w:val="bullet"/>
      <w:lvlText w:val=""/>
      <w:lvlJc w:val="left"/>
      <w:pPr>
        <w:ind w:left="2880" w:hanging="360"/>
      </w:pPr>
      <w:rPr>
        <w:rFonts w:ascii="Symbol" w:hAnsi="Symbol" w:hint="default"/>
      </w:rPr>
    </w:lvl>
    <w:lvl w:ilvl="4" w:tplc="472A782E">
      <w:start w:val="1"/>
      <w:numFmt w:val="bullet"/>
      <w:lvlText w:val="o"/>
      <w:lvlJc w:val="left"/>
      <w:pPr>
        <w:ind w:left="3600" w:hanging="360"/>
      </w:pPr>
      <w:rPr>
        <w:rFonts w:ascii="Courier New" w:hAnsi="Courier New" w:hint="default"/>
      </w:rPr>
    </w:lvl>
    <w:lvl w:ilvl="5" w:tplc="189C98D0">
      <w:start w:val="1"/>
      <w:numFmt w:val="bullet"/>
      <w:lvlText w:val=""/>
      <w:lvlJc w:val="left"/>
      <w:pPr>
        <w:ind w:left="4320" w:hanging="360"/>
      </w:pPr>
      <w:rPr>
        <w:rFonts w:ascii="Wingdings" w:hAnsi="Wingdings" w:hint="default"/>
      </w:rPr>
    </w:lvl>
    <w:lvl w:ilvl="6" w:tplc="C7F20378">
      <w:start w:val="1"/>
      <w:numFmt w:val="bullet"/>
      <w:lvlText w:val=""/>
      <w:lvlJc w:val="left"/>
      <w:pPr>
        <w:ind w:left="5040" w:hanging="360"/>
      </w:pPr>
      <w:rPr>
        <w:rFonts w:ascii="Symbol" w:hAnsi="Symbol" w:hint="default"/>
      </w:rPr>
    </w:lvl>
    <w:lvl w:ilvl="7" w:tplc="71DCA112">
      <w:start w:val="1"/>
      <w:numFmt w:val="bullet"/>
      <w:lvlText w:val="o"/>
      <w:lvlJc w:val="left"/>
      <w:pPr>
        <w:ind w:left="5760" w:hanging="360"/>
      </w:pPr>
      <w:rPr>
        <w:rFonts w:ascii="Courier New" w:hAnsi="Courier New" w:hint="default"/>
      </w:rPr>
    </w:lvl>
    <w:lvl w:ilvl="8" w:tplc="AC70D3B8">
      <w:start w:val="1"/>
      <w:numFmt w:val="bullet"/>
      <w:lvlText w:val=""/>
      <w:lvlJc w:val="left"/>
      <w:pPr>
        <w:ind w:left="6480" w:hanging="360"/>
      </w:pPr>
      <w:rPr>
        <w:rFonts w:ascii="Wingdings" w:hAnsi="Wingdings" w:hint="default"/>
      </w:rPr>
    </w:lvl>
  </w:abstractNum>
  <w:abstractNum w:abstractNumId="589" w15:restartNumberingAfterBreak="0">
    <w:nsid w:val="6104252A"/>
    <w:multiLevelType w:val="hybridMultilevel"/>
    <w:tmpl w:val="D10403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90" w15:restartNumberingAfterBreak="0">
    <w:nsid w:val="617504BD"/>
    <w:multiLevelType w:val="multilevel"/>
    <w:tmpl w:val="FE8AB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1" w15:restartNumberingAfterBreak="0">
    <w:nsid w:val="61816B35"/>
    <w:multiLevelType w:val="hybridMultilevel"/>
    <w:tmpl w:val="72A47300"/>
    <w:lvl w:ilvl="0" w:tplc="18090019">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2" w15:restartNumberingAfterBreak="0">
    <w:nsid w:val="621768EE"/>
    <w:multiLevelType w:val="hybridMultilevel"/>
    <w:tmpl w:val="5E208838"/>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3" w15:restartNumberingAfterBreak="0">
    <w:nsid w:val="6219183D"/>
    <w:multiLevelType w:val="hybridMultilevel"/>
    <w:tmpl w:val="4D3C6348"/>
    <w:lvl w:ilvl="0" w:tplc="080C0019">
      <w:start w:val="1"/>
      <w:numFmt w:val="lowerLetter"/>
      <w:lvlText w:val="%1."/>
      <w:lvlJc w:val="left"/>
      <w:pPr>
        <w:ind w:left="1080" w:hanging="360"/>
      </w:pPr>
      <w:rPr>
        <w:rFonts w:hint="default"/>
        <w:color w:val="7030A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94" w15:restartNumberingAfterBreak="0">
    <w:nsid w:val="62531B47"/>
    <w:multiLevelType w:val="multilevel"/>
    <w:tmpl w:val="FFFFFFFF"/>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5" w15:restartNumberingAfterBreak="0">
    <w:nsid w:val="62867FF6"/>
    <w:multiLevelType w:val="multilevel"/>
    <w:tmpl w:val="92F2E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6" w15:restartNumberingAfterBreak="0">
    <w:nsid w:val="6290243E"/>
    <w:multiLevelType w:val="hybridMultilevel"/>
    <w:tmpl w:val="C4DEF61A"/>
    <w:lvl w:ilvl="0" w:tplc="D1E6F966">
      <w:start w:val="1"/>
      <w:numFmt w:val="bullet"/>
      <w:lvlText w:val="-"/>
      <w:lvlJc w:val="left"/>
      <w:pPr>
        <w:ind w:left="720" w:hanging="360"/>
      </w:pPr>
      <w:rPr>
        <w:rFonts w:ascii="&quot;Times New Roman&quot;,serif" w:hAnsi="&quot;Times New Roman&quot;,serif" w:hint="default"/>
      </w:rPr>
    </w:lvl>
    <w:lvl w:ilvl="1" w:tplc="6374C602">
      <w:start w:val="1"/>
      <w:numFmt w:val="bullet"/>
      <w:lvlText w:val="o"/>
      <w:lvlJc w:val="left"/>
      <w:pPr>
        <w:ind w:left="1440" w:hanging="360"/>
      </w:pPr>
      <w:rPr>
        <w:rFonts w:ascii="Courier New" w:hAnsi="Courier New" w:hint="default"/>
      </w:rPr>
    </w:lvl>
    <w:lvl w:ilvl="2" w:tplc="CEEAA4D2">
      <w:start w:val="1"/>
      <w:numFmt w:val="bullet"/>
      <w:lvlText w:val=""/>
      <w:lvlJc w:val="left"/>
      <w:pPr>
        <w:ind w:left="2160" w:hanging="360"/>
      </w:pPr>
      <w:rPr>
        <w:rFonts w:ascii="Wingdings" w:hAnsi="Wingdings" w:hint="default"/>
      </w:rPr>
    </w:lvl>
    <w:lvl w:ilvl="3" w:tplc="B74092B6">
      <w:start w:val="1"/>
      <w:numFmt w:val="bullet"/>
      <w:lvlText w:val=""/>
      <w:lvlJc w:val="left"/>
      <w:pPr>
        <w:ind w:left="2880" w:hanging="360"/>
      </w:pPr>
      <w:rPr>
        <w:rFonts w:ascii="Symbol" w:hAnsi="Symbol" w:hint="default"/>
      </w:rPr>
    </w:lvl>
    <w:lvl w:ilvl="4" w:tplc="EFDC5E12">
      <w:start w:val="1"/>
      <w:numFmt w:val="bullet"/>
      <w:lvlText w:val="o"/>
      <w:lvlJc w:val="left"/>
      <w:pPr>
        <w:ind w:left="3600" w:hanging="360"/>
      </w:pPr>
      <w:rPr>
        <w:rFonts w:ascii="Courier New" w:hAnsi="Courier New" w:hint="default"/>
      </w:rPr>
    </w:lvl>
    <w:lvl w:ilvl="5" w:tplc="6D76ADFA">
      <w:start w:val="1"/>
      <w:numFmt w:val="bullet"/>
      <w:lvlText w:val=""/>
      <w:lvlJc w:val="left"/>
      <w:pPr>
        <w:ind w:left="4320" w:hanging="360"/>
      </w:pPr>
      <w:rPr>
        <w:rFonts w:ascii="Wingdings" w:hAnsi="Wingdings" w:hint="default"/>
      </w:rPr>
    </w:lvl>
    <w:lvl w:ilvl="6" w:tplc="EF9AAC72">
      <w:start w:val="1"/>
      <w:numFmt w:val="bullet"/>
      <w:lvlText w:val=""/>
      <w:lvlJc w:val="left"/>
      <w:pPr>
        <w:ind w:left="5040" w:hanging="360"/>
      </w:pPr>
      <w:rPr>
        <w:rFonts w:ascii="Symbol" w:hAnsi="Symbol" w:hint="default"/>
      </w:rPr>
    </w:lvl>
    <w:lvl w:ilvl="7" w:tplc="089A3C0A">
      <w:start w:val="1"/>
      <w:numFmt w:val="bullet"/>
      <w:lvlText w:val="o"/>
      <w:lvlJc w:val="left"/>
      <w:pPr>
        <w:ind w:left="5760" w:hanging="360"/>
      </w:pPr>
      <w:rPr>
        <w:rFonts w:ascii="Courier New" w:hAnsi="Courier New" w:hint="default"/>
      </w:rPr>
    </w:lvl>
    <w:lvl w:ilvl="8" w:tplc="B1603BC0">
      <w:start w:val="1"/>
      <w:numFmt w:val="bullet"/>
      <w:lvlText w:val=""/>
      <w:lvlJc w:val="left"/>
      <w:pPr>
        <w:ind w:left="6480" w:hanging="360"/>
      </w:pPr>
      <w:rPr>
        <w:rFonts w:ascii="Wingdings" w:hAnsi="Wingdings" w:hint="default"/>
      </w:rPr>
    </w:lvl>
  </w:abstractNum>
  <w:abstractNum w:abstractNumId="597" w15:restartNumberingAfterBreak="0">
    <w:nsid w:val="63087B6D"/>
    <w:multiLevelType w:val="hybridMultilevel"/>
    <w:tmpl w:val="C70CC2DC"/>
    <w:lvl w:ilvl="0" w:tplc="1809001B">
      <w:start w:val="1"/>
      <w:numFmt w:val="lowerRoman"/>
      <w:lvlText w:val="%1."/>
      <w:lvlJc w:val="right"/>
      <w:pPr>
        <w:ind w:left="1800" w:hanging="360"/>
      </w:p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598" w15:restartNumberingAfterBreak="0">
    <w:nsid w:val="63730DA7"/>
    <w:multiLevelType w:val="hybridMultilevel"/>
    <w:tmpl w:val="07A46F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9" w15:restartNumberingAfterBreak="0">
    <w:nsid w:val="64539AB4"/>
    <w:multiLevelType w:val="hybridMultilevel"/>
    <w:tmpl w:val="6CAA3520"/>
    <w:lvl w:ilvl="0" w:tplc="5CB28036">
      <w:start w:val="1"/>
      <w:numFmt w:val="lowerLetter"/>
      <w:lvlText w:val="%1)"/>
      <w:lvlJc w:val="left"/>
      <w:pPr>
        <w:ind w:left="720" w:hanging="360"/>
      </w:pPr>
    </w:lvl>
    <w:lvl w:ilvl="1" w:tplc="141275F8">
      <w:start w:val="1"/>
      <w:numFmt w:val="lowerLetter"/>
      <w:lvlText w:val="%2."/>
      <w:lvlJc w:val="left"/>
      <w:pPr>
        <w:ind w:left="1440" w:hanging="360"/>
      </w:pPr>
    </w:lvl>
    <w:lvl w:ilvl="2" w:tplc="1AC4374E">
      <w:start w:val="1"/>
      <w:numFmt w:val="lowerRoman"/>
      <w:lvlText w:val="%3."/>
      <w:lvlJc w:val="right"/>
      <w:pPr>
        <w:ind w:left="2160" w:hanging="180"/>
      </w:pPr>
    </w:lvl>
    <w:lvl w:ilvl="3" w:tplc="1EB21326">
      <w:start w:val="1"/>
      <w:numFmt w:val="decimal"/>
      <w:lvlText w:val="%4."/>
      <w:lvlJc w:val="left"/>
      <w:pPr>
        <w:ind w:left="2880" w:hanging="360"/>
      </w:pPr>
    </w:lvl>
    <w:lvl w:ilvl="4" w:tplc="E4CA95FE">
      <w:start w:val="1"/>
      <w:numFmt w:val="lowerLetter"/>
      <w:lvlText w:val="%5."/>
      <w:lvlJc w:val="left"/>
      <w:pPr>
        <w:ind w:left="3600" w:hanging="360"/>
      </w:pPr>
    </w:lvl>
    <w:lvl w:ilvl="5" w:tplc="BEBCCB5E">
      <w:start w:val="1"/>
      <w:numFmt w:val="lowerRoman"/>
      <w:lvlText w:val="%6."/>
      <w:lvlJc w:val="right"/>
      <w:pPr>
        <w:ind w:left="4320" w:hanging="180"/>
      </w:pPr>
    </w:lvl>
    <w:lvl w:ilvl="6" w:tplc="82AEC7C8">
      <w:start w:val="1"/>
      <w:numFmt w:val="decimal"/>
      <w:lvlText w:val="%7."/>
      <w:lvlJc w:val="left"/>
      <w:pPr>
        <w:ind w:left="5040" w:hanging="360"/>
      </w:pPr>
    </w:lvl>
    <w:lvl w:ilvl="7" w:tplc="B5C26AA2">
      <w:start w:val="1"/>
      <w:numFmt w:val="lowerLetter"/>
      <w:lvlText w:val="%8."/>
      <w:lvlJc w:val="left"/>
      <w:pPr>
        <w:ind w:left="5760" w:hanging="360"/>
      </w:pPr>
    </w:lvl>
    <w:lvl w:ilvl="8" w:tplc="28083F8E">
      <w:start w:val="1"/>
      <w:numFmt w:val="lowerRoman"/>
      <w:lvlText w:val="%9."/>
      <w:lvlJc w:val="right"/>
      <w:pPr>
        <w:ind w:left="6480" w:hanging="180"/>
      </w:pPr>
    </w:lvl>
  </w:abstractNum>
  <w:abstractNum w:abstractNumId="600" w15:restartNumberingAfterBreak="0">
    <w:nsid w:val="645A52C9"/>
    <w:multiLevelType w:val="hybridMultilevel"/>
    <w:tmpl w:val="FFFFFFFF"/>
    <w:lvl w:ilvl="0" w:tplc="3904A072">
      <w:start w:val="1"/>
      <w:numFmt w:val="bullet"/>
      <w:lvlText w:val=""/>
      <w:lvlJc w:val="left"/>
      <w:pPr>
        <w:ind w:left="720" w:hanging="360"/>
      </w:pPr>
      <w:rPr>
        <w:rFonts w:ascii="Symbol" w:hAnsi="Symbol" w:hint="default"/>
      </w:rPr>
    </w:lvl>
    <w:lvl w:ilvl="1" w:tplc="C26C50D6">
      <w:start w:val="1"/>
      <w:numFmt w:val="bullet"/>
      <w:lvlText w:val="o"/>
      <w:lvlJc w:val="left"/>
      <w:pPr>
        <w:ind w:left="1440" w:hanging="360"/>
      </w:pPr>
      <w:rPr>
        <w:rFonts w:ascii="Courier New" w:hAnsi="Courier New" w:hint="default"/>
      </w:rPr>
    </w:lvl>
    <w:lvl w:ilvl="2" w:tplc="981AB5EA">
      <w:start w:val="1"/>
      <w:numFmt w:val="bullet"/>
      <w:lvlText w:val=""/>
      <w:lvlJc w:val="left"/>
      <w:pPr>
        <w:ind w:left="2160" w:hanging="360"/>
      </w:pPr>
      <w:rPr>
        <w:rFonts w:ascii="Wingdings" w:hAnsi="Wingdings" w:hint="default"/>
      </w:rPr>
    </w:lvl>
    <w:lvl w:ilvl="3" w:tplc="81F8891A">
      <w:start w:val="1"/>
      <w:numFmt w:val="bullet"/>
      <w:lvlText w:val=""/>
      <w:lvlJc w:val="left"/>
      <w:pPr>
        <w:ind w:left="2880" w:hanging="360"/>
      </w:pPr>
      <w:rPr>
        <w:rFonts w:ascii="Symbol" w:hAnsi="Symbol" w:hint="default"/>
      </w:rPr>
    </w:lvl>
    <w:lvl w:ilvl="4" w:tplc="336C2DC6">
      <w:start w:val="1"/>
      <w:numFmt w:val="bullet"/>
      <w:lvlText w:val="o"/>
      <w:lvlJc w:val="left"/>
      <w:pPr>
        <w:ind w:left="3600" w:hanging="360"/>
      </w:pPr>
      <w:rPr>
        <w:rFonts w:ascii="Courier New" w:hAnsi="Courier New" w:hint="default"/>
      </w:rPr>
    </w:lvl>
    <w:lvl w:ilvl="5" w:tplc="770ED320">
      <w:start w:val="1"/>
      <w:numFmt w:val="bullet"/>
      <w:lvlText w:val=""/>
      <w:lvlJc w:val="left"/>
      <w:pPr>
        <w:ind w:left="4320" w:hanging="360"/>
      </w:pPr>
      <w:rPr>
        <w:rFonts w:ascii="Wingdings" w:hAnsi="Wingdings" w:hint="default"/>
      </w:rPr>
    </w:lvl>
    <w:lvl w:ilvl="6" w:tplc="EDC424A2">
      <w:start w:val="1"/>
      <w:numFmt w:val="bullet"/>
      <w:lvlText w:val=""/>
      <w:lvlJc w:val="left"/>
      <w:pPr>
        <w:ind w:left="5040" w:hanging="360"/>
      </w:pPr>
      <w:rPr>
        <w:rFonts w:ascii="Symbol" w:hAnsi="Symbol" w:hint="default"/>
      </w:rPr>
    </w:lvl>
    <w:lvl w:ilvl="7" w:tplc="D0A61050">
      <w:start w:val="1"/>
      <w:numFmt w:val="bullet"/>
      <w:lvlText w:val="o"/>
      <w:lvlJc w:val="left"/>
      <w:pPr>
        <w:ind w:left="5760" w:hanging="360"/>
      </w:pPr>
      <w:rPr>
        <w:rFonts w:ascii="Courier New" w:hAnsi="Courier New" w:hint="default"/>
      </w:rPr>
    </w:lvl>
    <w:lvl w:ilvl="8" w:tplc="11CAC0C0">
      <w:start w:val="1"/>
      <w:numFmt w:val="bullet"/>
      <w:lvlText w:val=""/>
      <w:lvlJc w:val="left"/>
      <w:pPr>
        <w:ind w:left="6480" w:hanging="360"/>
      </w:pPr>
      <w:rPr>
        <w:rFonts w:ascii="Wingdings" w:hAnsi="Wingdings" w:hint="default"/>
      </w:rPr>
    </w:lvl>
  </w:abstractNum>
  <w:abstractNum w:abstractNumId="601" w15:restartNumberingAfterBreak="0">
    <w:nsid w:val="646F42C6"/>
    <w:multiLevelType w:val="hybridMultilevel"/>
    <w:tmpl w:val="D0004FD8"/>
    <w:lvl w:ilvl="0" w:tplc="18090015">
      <w:start w:val="1"/>
      <w:numFmt w:val="upperLetter"/>
      <w:lvlText w:val="%1."/>
      <w:lvlJc w:val="left"/>
      <w:pPr>
        <w:ind w:left="2160" w:hanging="360"/>
      </w:pPr>
    </w:lvl>
    <w:lvl w:ilvl="1" w:tplc="18090019" w:tentative="1">
      <w:start w:val="1"/>
      <w:numFmt w:val="lowerLetter"/>
      <w:lvlText w:val="%2."/>
      <w:lvlJc w:val="left"/>
      <w:pPr>
        <w:ind w:left="2880" w:hanging="360"/>
      </w:pPr>
    </w:lvl>
    <w:lvl w:ilvl="2" w:tplc="1809001B" w:tentative="1">
      <w:start w:val="1"/>
      <w:numFmt w:val="lowerRoman"/>
      <w:lvlText w:val="%3."/>
      <w:lvlJc w:val="right"/>
      <w:pPr>
        <w:ind w:left="3600" w:hanging="180"/>
      </w:pPr>
    </w:lvl>
    <w:lvl w:ilvl="3" w:tplc="1809000F" w:tentative="1">
      <w:start w:val="1"/>
      <w:numFmt w:val="decimal"/>
      <w:lvlText w:val="%4."/>
      <w:lvlJc w:val="left"/>
      <w:pPr>
        <w:ind w:left="4320" w:hanging="360"/>
      </w:pPr>
    </w:lvl>
    <w:lvl w:ilvl="4" w:tplc="18090019" w:tentative="1">
      <w:start w:val="1"/>
      <w:numFmt w:val="lowerLetter"/>
      <w:lvlText w:val="%5."/>
      <w:lvlJc w:val="left"/>
      <w:pPr>
        <w:ind w:left="5040" w:hanging="360"/>
      </w:pPr>
    </w:lvl>
    <w:lvl w:ilvl="5" w:tplc="1809001B" w:tentative="1">
      <w:start w:val="1"/>
      <w:numFmt w:val="lowerRoman"/>
      <w:lvlText w:val="%6."/>
      <w:lvlJc w:val="right"/>
      <w:pPr>
        <w:ind w:left="5760" w:hanging="180"/>
      </w:pPr>
    </w:lvl>
    <w:lvl w:ilvl="6" w:tplc="1809000F" w:tentative="1">
      <w:start w:val="1"/>
      <w:numFmt w:val="decimal"/>
      <w:lvlText w:val="%7."/>
      <w:lvlJc w:val="left"/>
      <w:pPr>
        <w:ind w:left="6480" w:hanging="360"/>
      </w:pPr>
    </w:lvl>
    <w:lvl w:ilvl="7" w:tplc="18090019" w:tentative="1">
      <w:start w:val="1"/>
      <w:numFmt w:val="lowerLetter"/>
      <w:lvlText w:val="%8."/>
      <w:lvlJc w:val="left"/>
      <w:pPr>
        <w:ind w:left="7200" w:hanging="360"/>
      </w:pPr>
    </w:lvl>
    <w:lvl w:ilvl="8" w:tplc="1809001B" w:tentative="1">
      <w:start w:val="1"/>
      <w:numFmt w:val="lowerRoman"/>
      <w:lvlText w:val="%9."/>
      <w:lvlJc w:val="right"/>
      <w:pPr>
        <w:ind w:left="7920" w:hanging="180"/>
      </w:pPr>
    </w:lvl>
  </w:abstractNum>
  <w:abstractNum w:abstractNumId="602" w15:restartNumberingAfterBreak="0">
    <w:nsid w:val="648A36A7"/>
    <w:multiLevelType w:val="hybridMultilevel"/>
    <w:tmpl w:val="007A82FC"/>
    <w:lvl w:ilvl="0" w:tplc="7DC0AED8">
      <w:start w:val="1"/>
      <w:numFmt w:val="lowerRoman"/>
      <w:lvlText w:val="%1."/>
      <w:lvlJc w:val="right"/>
      <w:pPr>
        <w:ind w:left="720" w:hanging="360"/>
      </w:pPr>
      <w:rPr>
        <w:color w:val="auto"/>
      </w:rPr>
    </w:lvl>
    <w:lvl w:ilvl="1" w:tplc="E0583D70">
      <w:start w:val="1"/>
      <w:numFmt w:val="lowerLetter"/>
      <w:lvlText w:val="%2."/>
      <w:lvlJc w:val="left"/>
      <w:pPr>
        <w:ind w:left="1440" w:hanging="360"/>
      </w:pPr>
    </w:lvl>
    <w:lvl w:ilvl="2" w:tplc="4CD0447A">
      <w:start w:val="1"/>
      <w:numFmt w:val="lowerRoman"/>
      <w:lvlText w:val="%3."/>
      <w:lvlJc w:val="right"/>
      <w:pPr>
        <w:ind w:left="2160" w:hanging="180"/>
      </w:pPr>
    </w:lvl>
    <w:lvl w:ilvl="3" w:tplc="814A5392">
      <w:start w:val="1"/>
      <w:numFmt w:val="decimal"/>
      <w:lvlText w:val="%4."/>
      <w:lvlJc w:val="left"/>
      <w:pPr>
        <w:ind w:left="2880" w:hanging="360"/>
      </w:pPr>
    </w:lvl>
    <w:lvl w:ilvl="4" w:tplc="8B34E246">
      <w:start w:val="1"/>
      <w:numFmt w:val="lowerLetter"/>
      <w:lvlText w:val="%5."/>
      <w:lvlJc w:val="left"/>
      <w:pPr>
        <w:ind w:left="3600" w:hanging="360"/>
      </w:pPr>
    </w:lvl>
    <w:lvl w:ilvl="5" w:tplc="28602E44">
      <w:start w:val="1"/>
      <w:numFmt w:val="lowerRoman"/>
      <w:lvlText w:val="%6."/>
      <w:lvlJc w:val="right"/>
      <w:pPr>
        <w:ind w:left="4320" w:hanging="180"/>
      </w:pPr>
    </w:lvl>
    <w:lvl w:ilvl="6" w:tplc="2B6E804C">
      <w:start w:val="1"/>
      <w:numFmt w:val="decimal"/>
      <w:lvlText w:val="%7."/>
      <w:lvlJc w:val="left"/>
      <w:pPr>
        <w:ind w:left="5040" w:hanging="360"/>
      </w:pPr>
    </w:lvl>
    <w:lvl w:ilvl="7" w:tplc="823232E8">
      <w:start w:val="1"/>
      <w:numFmt w:val="lowerLetter"/>
      <w:lvlText w:val="%8."/>
      <w:lvlJc w:val="left"/>
      <w:pPr>
        <w:ind w:left="5760" w:hanging="360"/>
      </w:pPr>
    </w:lvl>
    <w:lvl w:ilvl="8" w:tplc="363607DE">
      <w:start w:val="1"/>
      <w:numFmt w:val="lowerRoman"/>
      <w:lvlText w:val="%9."/>
      <w:lvlJc w:val="right"/>
      <w:pPr>
        <w:ind w:left="6480" w:hanging="180"/>
      </w:pPr>
    </w:lvl>
  </w:abstractNum>
  <w:abstractNum w:abstractNumId="603" w15:restartNumberingAfterBreak="0">
    <w:nsid w:val="64A12FA4"/>
    <w:multiLevelType w:val="multilevel"/>
    <w:tmpl w:val="BC1C158C"/>
    <w:name w:val="Heading"/>
    <w:lvl w:ilvl="0">
      <w:start w:val="1"/>
      <w:numFmt w:val="decimal"/>
      <w:lvlRestart w:val="0"/>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4" w15:restartNumberingAfterBreak="0">
    <w:nsid w:val="652A3F9F"/>
    <w:multiLevelType w:val="hybridMultilevel"/>
    <w:tmpl w:val="E91EE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5" w15:restartNumberingAfterBreak="0">
    <w:nsid w:val="65344370"/>
    <w:multiLevelType w:val="hybridMultilevel"/>
    <w:tmpl w:val="DD828718"/>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06" w15:restartNumberingAfterBreak="0">
    <w:nsid w:val="65634AF6"/>
    <w:multiLevelType w:val="multilevel"/>
    <w:tmpl w:val="2AA8EE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7" w15:restartNumberingAfterBreak="0">
    <w:nsid w:val="656B771A"/>
    <w:multiLevelType w:val="hybridMultilevel"/>
    <w:tmpl w:val="0B4EEFA4"/>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608" w15:restartNumberingAfterBreak="0">
    <w:nsid w:val="65900B82"/>
    <w:multiLevelType w:val="multilevel"/>
    <w:tmpl w:val="480EA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9" w15:restartNumberingAfterBreak="0">
    <w:nsid w:val="65C33A2F"/>
    <w:multiLevelType w:val="multilevel"/>
    <w:tmpl w:val="D99024DE"/>
    <w:lvl w:ilvl="0">
      <w:start w:val="9"/>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10" w15:restartNumberingAfterBreak="0">
    <w:nsid w:val="65EC59D4"/>
    <w:multiLevelType w:val="multilevel"/>
    <w:tmpl w:val="C592EE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1" w15:restartNumberingAfterBreak="0">
    <w:nsid w:val="66396D30"/>
    <w:multiLevelType w:val="multilevel"/>
    <w:tmpl w:val="2C3EA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2" w15:restartNumberingAfterBreak="0">
    <w:nsid w:val="665278A0"/>
    <w:multiLevelType w:val="hybridMultilevel"/>
    <w:tmpl w:val="FFFFFFFF"/>
    <w:lvl w:ilvl="0" w:tplc="6FB4DD4A">
      <w:start w:val="1"/>
      <w:numFmt w:val="bullet"/>
      <w:lvlText w:val=""/>
      <w:lvlJc w:val="left"/>
      <w:pPr>
        <w:ind w:left="720" w:hanging="360"/>
      </w:pPr>
      <w:rPr>
        <w:rFonts w:ascii="Symbol" w:hAnsi="Symbol" w:hint="default"/>
      </w:rPr>
    </w:lvl>
    <w:lvl w:ilvl="1" w:tplc="DFEA9B34">
      <w:start w:val="1"/>
      <w:numFmt w:val="bullet"/>
      <w:lvlText w:val="o"/>
      <w:lvlJc w:val="left"/>
      <w:pPr>
        <w:ind w:left="1440" w:hanging="360"/>
      </w:pPr>
      <w:rPr>
        <w:rFonts w:ascii="Courier New" w:hAnsi="Courier New" w:hint="default"/>
      </w:rPr>
    </w:lvl>
    <w:lvl w:ilvl="2" w:tplc="BEDA5D46">
      <w:start w:val="1"/>
      <w:numFmt w:val="bullet"/>
      <w:lvlText w:val=""/>
      <w:lvlJc w:val="left"/>
      <w:pPr>
        <w:ind w:left="2160" w:hanging="360"/>
      </w:pPr>
      <w:rPr>
        <w:rFonts w:ascii="Wingdings" w:hAnsi="Wingdings" w:hint="default"/>
      </w:rPr>
    </w:lvl>
    <w:lvl w:ilvl="3" w:tplc="BC9C45D0">
      <w:start w:val="1"/>
      <w:numFmt w:val="bullet"/>
      <w:lvlText w:val=""/>
      <w:lvlJc w:val="left"/>
      <w:pPr>
        <w:ind w:left="2880" w:hanging="360"/>
      </w:pPr>
      <w:rPr>
        <w:rFonts w:ascii="Symbol" w:hAnsi="Symbol" w:hint="default"/>
      </w:rPr>
    </w:lvl>
    <w:lvl w:ilvl="4" w:tplc="D430C006">
      <w:start w:val="1"/>
      <w:numFmt w:val="bullet"/>
      <w:lvlText w:val="o"/>
      <w:lvlJc w:val="left"/>
      <w:pPr>
        <w:ind w:left="3600" w:hanging="360"/>
      </w:pPr>
      <w:rPr>
        <w:rFonts w:ascii="Courier New" w:hAnsi="Courier New" w:hint="default"/>
      </w:rPr>
    </w:lvl>
    <w:lvl w:ilvl="5" w:tplc="44D2C032">
      <w:start w:val="1"/>
      <w:numFmt w:val="bullet"/>
      <w:lvlText w:val=""/>
      <w:lvlJc w:val="left"/>
      <w:pPr>
        <w:ind w:left="4320" w:hanging="360"/>
      </w:pPr>
      <w:rPr>
        <w:rFonts w:ascii="Wingdings" w:hAnsi="Wingdings" w:hint="default"/>
      </w:rPr>
    </w:lvl>
    <w:lvl w:ilvl="6" w:tplc="BDDA01B8">
      <w:start w:val="1"/>
      <w:numFmt w:val="bullet"/>
      <w:lvlText w:val=""/>
      <w:lvlJc w:val="left"/>
      <w:pPr>
        <w:ind w:left="5040" w:hanging="360"/>
      </w:pPr>
      <w:rPr>
        <w:rFonts w:ascii="Symbol" w:hAnsi="Symbol" w:hint="default"/>
      </w:rPr>
    </w:lvl>
    <w:lvl w:ilvl="7" w:tplc="4E5696D6">
      <w:start w:val="1"/>
      <w:numFmt w:val="bullet"/>
      <w:lvlText w:val="o"/>
      <w:lvlJc w:val="left"/>
      <w:pPr>
        <w:ind w:left="5760" w:hanging="360"/>
      </w:pPr>
      <w:rPr>
        <w:rFonts w:ascii="Courier New" w:hAnsi="Courier New" w:hint="default"/>
      </w:rPr>
    </w:lvl>
    <w:lvl w:ilvl="8" w:tplc="056A0BDA">
      <w:start w:val="1"/>
      <w:numFmt w:val="bullet"/>
      <w:lvlText w:val=""/>
      <w:lvlJc w:val="left"/>
      <w:pPr>
        <w:ind w:left="6480" w:hanging="360"/>
      </w:pPr>
      <w:rPr>
        <w:rFonts w:ascii="Wingdings" w:hAnsi="Wingdings" w:hint="default"/>
      </w:rPr>
    </w:lvl>
  </w:abstractNum>
  <w:abstractNum w:abstractNumId="613" w15:restartNumberingAfterBreak="0">
    <w:nsid w:val="66883E46"/>
    <w:multiLevelType w:val="hybridMultilevel"/>
    <w:tmpl w:val="A7D4E9B0"/>
    <w:lvl w:ilvl="0" w:tplc="561CD8F8">
      <w:start w:val="1"/>
      <w:numFmt w:val="bullet"/>
      <w:lvlText w:val="-"/>
      <w:lvlJc w:val="left"/>
      <w:pPr>
        <w:ind w:left="720" w:hanging="360"/>
      </w:pPr>
      <w:rPr>
        <w:rFonts w:ascii="Calibri" w:hAnsi="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4" w15:restartNumberingAfterBreak="0">
    <w:nsid w:val="669B0B48"/>
    <w:multiLevelType w:val="hybridMultilevel"/>
    <w:tmpl w:val="F5741058"/>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15" w15:restartNumberingAfterBreak="0">
    <w:nsid w:val="669F3250"/>
    <w:multiLevelType w:val="hybridMultilevel"/>
    <w:tmpl w:val="BD0AC68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6" w15:restartNumberingAfterBreak="0">
    <w:nsid w:val="66AE6F18"/>
    <w:multiLevelType w:val="hybridMultilevel"/>
    <w:tmpl w:val="8CFE81A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617" w15:restartNumberingAfterBreak="0">
    <w:nsid w:val="66DD7123"/>
    <w:multiLevelType w:val="multilevel"/>
    <w:tmpl w:val="4F7EFFA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8" w15:restartNumberingAfterBreak="0">
    <w:nsid w:val="66EA63FD"/>
    <w:multiLevelType w:val="hybridMultilevel"/>
    <w:tmpl w:val="7B42F528"/>
    <w:lvl w:ilvl="0" w:tplc="18090019">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19" w15:restartNumberingAfterBreak="0">
    <w:nsid w:val="66F2106C"/>
    <w:multiLevelType w:val="multilevel"/>
    <w:tmpl w:val="FA7AD638"/>
    <w:lvl w:ilvl="0">
      <w:start w:val="1"/>
      <w:numFmt w:val="decimal"/>
      <w:lvlText w:val="%1."/>
      <w:lvlJc w:val="left"/>
      <w:pPr>
        <w:ind w:left="476" w:hanging="476"/>
      </w:pPr>
      <w:rPr>
        <w:rFonts w:hint="default"/>
        <w:b w:val="0"/>
        <w:bCs w:val="0"/>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0" w15:restartNumberingAfterBreak="0">
    <w:nsid w:val="6754F1B3"/>
    <w:multiLevelType w:val="hybridMultilevel"/>
    <w:tmpl w:val="FFFFFFFF"/>
    <w:lvl w:ilvl="0" w:tplc="60AAD636">
      <w:start w:val="1"/>
      <w:numFmt w:val="bullet"/>
      <w:lvlText w:val="o"/>
      <w:lvlJc w:val="left"/>
      <w:pPr>
        <w:ind w:left="720" w:hanging="360"/>
      </w:pPr>
      <w:rPr>
        <w:rFonts w:ascii="&quot;Courier New&quot;" w:hAnsi="&quot;Courier New&quot;" w:hint="default"/>
      </w:rPr>
    </w:lvl>
    <w:lvl w:ilvl="1" w:tplc="516E6876">
      <w:start w:val="1"/>
      <w:numFmt w:val="bullet"/>
      <w:lvlText w:val="o"/>
      <w:lvlJc w:val="left"/>
      <w:pPr>
        <w:ind w:left="1440" w:hanging="360"/>
      </w:pPr>
      <w:rPr>
        <w:rFonts w:ascii="Courier New" w:hAnsi="Courier New" w:hint="default"/>
      </w:rPr>
    </w:lvl>
    <w:lvl w:ilvl="2" w:tplc="FC107CE0">
      <w:start w:val="1"/>
      <w:numFmt w:val="bullet"/>
      <w:lvlText w:val=""/>
      <w:lvlJc w:val="left"/>
      <w:pPr>
        <w:ind w:left="2160" w:hanging="360"/>
      </w:pPr>
      <w:rPr>
        <w:rFonts w:ascii="Wingdings" w:hAnsi="Wingdings" w:hint="default"/>
      </w:rPr>
    </w:lvl>
    <w:lvl w:ilvl="3" w:tplc="3B0A64BE">
      <w:start w:val="1"/>
      <w:numFmt w:val="bullet"/>
      <w:lvlText w:val=""/>
      <w:lvlJc w:val="left"/>
      <w:pPr>
        <w:ind w:left="2880" w:hanging="360"/>
      </w:pPr>
      <w:rPr>
        <w:rFonts w:ascii="Symbol" w:hAnsi="Symbol" w:hint="default"/>
      </w:rPr>
    </w:lvl>
    <w:lvl w:ilvl="4" w:tplc="33628574">
      <w:start w:val="1"/>
      <w:numFmt w:val="bullet"/>
      <w:lvlText w:val="o"/>
      <w:lvlJc w:val="left"/>
      <w:pPr>
        <w:ind w:left="3600" w:hanging="360"/>
      </w:pPr>
      <w:rPr>
        <w:rFonts w:ascii="Courier New" w:hAnsi="Courier New" w:hint="default"/>
      </w:rPr>
    </w:lvl>
    <w:lvl w:ilvl="5" w:tplc="15F81690">
      <w:start w:val="1"/>
      <w:numFmt w:val="bullet"/>
      <w:lvlText w:val=""/>
      <w:lvlJc w:val="left"/>
      <w:pPr>
        <w:ind w:left="4320" w:hanging="360"/>
      </w:pPr>
      <w:rPr>
        <w:rFonts w:ascii="Wingdings" w:hAnsi="Wingdings" w:hint="default"/>
      </w:rPr>
    </w:lvl>
    <w:lvl w:ilvl="6" w:tplc="F34A0164">
      <w:start w:val="1"/>
      <w:numFmt w:val="bullet"/>
      <w:lvlText w:val=""/>
      <w:lvlJc w:val="left"/>
      <w:pPr>
        <w:ind w:left="5040" w:hanging="360"/>
      </w:pPr>
      <w:rPr>
        <w:rFonts w:ascii="Symbol" w:hAnsi="Symbol" w:hint="default"/>
      </w:rPr>
    </w:lvl>
    <w:lvl w:ilvl="7" w:tplc="AD4CD0EC">
      <w:start w:val="1"/>
      <w:numFmt w:val="bullet"/>
      <w:lvlText w:val="o"/>
      <w:lvlJc w:val="left"/>
      <w:pPr>
        <w:ind w:left="5760" w:hanging="360"/>
      </w:pPr>
      <w:rPr>
        <w:rFonts w:ascii="Courier New" w:hAnsi="Courier New" w:hint="default"/>
      </w:rPr>
    </w:lvl>
    <w:lvl w:ilvl="8" w:tplc="7194AAE0">
      <w:start w:val="1"/>
      <w:numFmt w:val="bullet"/>
      <w:lvlText w:val=""/>
      <w:lvlJc w:val="left"/>
      <w:pPr>
        <w:ind w:left="6480" w:hanging="360"/>
      </w:pPr>
      <w:rPr>
        <w:rFonts w:ascii="Wingdings" w:hAnsi="Wingdings" w:hint="default"/>
      </w:rPr>
    </w:lvl>
  </w:abstractNum>
  <w:abstractNum w:abstractNumId="621"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622" w15:restartNumberingAfterBreak="0">
    <w:nsid w:val="67CA10CF"/>
    <w:multiLevelType w:val="hybridMultilevel"/>
    <w:tmpl w:val="9BACB9A2"/>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623" w15:restartNumberingAfterBreak="0">
    <w:nsid w:val="68223F0D"/>
    <w:multiLevelType w:val="multilevel"/>
    <w:tmpl w:val="23C46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4" w15:restartNumberingAfterBreak="0">
    <w:nsid w:val="68735CA3"/>
    <w:multiLevelType w:val="hybridMultilevel"/>
    <w:tmpl w:val="FF96D28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5" w15:restartNumberingAfterBreak="0">
    <w:nsid w:val="68C809B0"/>
    <w:multiLevelType w:val="hybridMultilevel"/>
    <w:tmpl w:val="AA46E654"/>
    <w:lvl w:ilvl="0" w:tplc="080C0019">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26" w15:restartNumberingAfterBreak="0">
    <w:nsid w:val="69761DC7"/>
    <w:multiLevelType w:val="hybridMultilevel"/>
    <w:tmpl w:val="45FC3090"/>
    <w:lvl w:ilvl="0" w:tplc="080C0003">
      <w:start w:val="1"/>
      <w:numFmt w:val="bullet"/>
      <w:lvlText w:val="o"/>
      <w:lvlJc w:val="left"/>
      <w:pPr>
        <w:ind w:left="907" w:hanging="360"/>
      </w:pPr>
      <w:rPr>
        <w:rFonts w:ascii="Courier New" w:hAnsi="Courier New" w:cs="Courier New" w:hint="default"/>
      </w:rPr>
    </w:lvl>
    <w:lvl w:ilvl="1" w:tplc="FFFFFFFF">
      <w:start w:val="1"/>
      <w:numFmt w:val="lowerLetter"/>
      <w:lvlText w:val="%2."/>
      <w:lvlJc w:val="left"/>
      <w:pPr>
        <w:ind w:left="1627" w:hanging="360"/>
      </w:pPr>
    </w:lvl>
    <w:lvl w:ilvl="2" w:tplc="FFFFFFFF" w:tentative="1">
      <w:start w:val="1"/>
      <w:numFmt w:val="lowerRoman"/>
      <w:lvlText w:val="%3."/>
      <w:lvlJc w:val="right"/>
      <w:pPr>
        <w:ind w:left="2347" w:hanging="180"/>
      </w:pPr>
    </w:lvl>
    <w:lvl w:ilvl="3" w:tplc="FFFFFFFF" w:tentative="1">
      <w:start w:val="1"/>
      <w:numFmt w:val="decimal"/>
      <w:lvlText w:val="%4."/>
      <w:lvlJc w:val="left"/>
      <w:pPr>
        <w:ind w:left="3067" w:hanging="360"/>
      </w:pPr>
    </w:lvl>
    <w:lvl w:ilvl="4" w:tplc="FFFFFFFF" w:tentative="1">
      <w:start w:val="1"/>
      <w:numFmt w:val="lowerLetter"/>
      <w:lvlText w:val="%5."/>
      <w:lvlJc w:val="left"/>
      <w:pPr>
        <w:ind w:left="3787" w:hanging="360"/>
      </w:pPr>
    </w:lvl>
    <w:lvl w:ilvl="5" w:tplc="FFFFFFFF" w:tentative="1">
      <w:start w:val="1"/>
      <w:numFmt w:val="lowerRoman"/>
      <w:lvlText w:val="%6."/>
      <w:lvlJc w:val="right"/>
      <w:pPr>
        <w:ind w:left="4507" w:hanging="180"/>
      </w:pPr>
    </w:lvl>
    <w:lvl w:ilvl="6" w:tplc="FFFFFFFF" w:tentative="1">
      <w:start w:val="1"/>
      <w:numFmt w:val="decimal"/>
      <w:lvlText w:val="%7."/>
      <w:lvlJc w:val="left"/>
      <w:pPr>
        <w:ind w:left="5227" w:hanging="360"/>
      </w:pPr>
    </w:lvl>
    <w:lvl w:ilvl="7" w:tplc="FFFFFFFF" w:tentative="1">
      <w:start w:val="1"/>
      <w:numFmt w:val="lowerLetter"/>
      <w:lvlText w:val="%8."/>
      <w:lvlJc w:val="left"/>
      <w:pPr>
        <w:ind w:left="5947" w:hanging="360"/>
      </w:pPr>
    </w:lvl>
    <w:lvl w:ilvl="8" w:tplc="FFFFFFFF" w:tentative="1">
      <w:start w:val="1"/>
      <w:numFmt w:val="lowerRoman"/>
      <w:lvlText w:val="%9."/>
      <w:lvlJc w:val="right"/>
      <w:pPr>
        <w:ind w:left="6667" w:hanging="180"/>
      </w:pPr>
    </w:lvl>
  </w:abstractNum>
  <w:abstractNum w:abstractNumId="627" w15:restartNumberingAfterBreak="0">
    <w:nsid w:val="69C032C2"/>
    <w:multiLevelType w:val="multilevel"/>
    <w:tmpl w:val="E9E82A2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8" w15:restartNumberingAfterBreak="0">
    <w:nsid w:val="69F52714"/>
    <w:multiLevelType w:val="hybridMultilevel"/>
    <w:tmpl w:val="C32CEE4E"/>
    <w:lvl w:ilvl="0" w:tplc="0C0A0001">
      <w:start w:val="1"/>
      <w:numFmt w:val="bullet"/>
      <w:lvlText w:val=""/>
      <w:lvlJc w:val="left"/>
      <w:pPr>
        <w:ind w:left="1080" w:hanging="360"/>
      </w:pPr>
      <w:rPr>
        <w:rFonts w:ascii="Courier New" w:hAnsi="Courier New" w:hint="default"/>
      </w:rPr>
    </w:lvl>
    <w:lvl w:ilvl="1" w:tplc="0C0A0003" w:tentative="1">
      <w:start w:val="1"/>
      <w:numFmt w:val="bullet"/>
      <w:lvlText w:val="o"/>
      <w:lvlJc w:val="left"/>
      <w:pPr>
        <w:ind w:left="1800" w:hanging="360"/>
      </w:pPr>
      <w:rPr>
        <w:rFonts w:ascii="Cambria Math" w:hAnsi="Cambria Math" w:cs="Cambria Math"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Courier New" w:hAnsi="Courier New" w:hint="default"/>
      </w:rPr>
    </w:lvl>
    <w:lvl w:ilvl="4" w:tplc="0C0A0003" w:tentative="1">
      <w:start w:val="1"/>
      <w:numFmt w:val="bullet"/>
      <w:lvlText w:val="o"/>
      <w:lvlJc w:val="left"/>
      <w:pPr>
        <w:ind w:left="3960" w:hanging="360"/>
      </w:pPr>
      <w:rPr>
        <w:rFonts w:ascii="Cambria Math" w:hAnsi="Cambria Math" w:cs="Cambria Math"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Courier New" w:hAnsi="Courier New" w:hint="default"/>
      </w:rPr>
    </w:lvl>
    <w:lvl w:ilvl="7" w:tplc="0C0A0003" w:tentative="1">
      <w:start w:val="1"/>
      <w:numFmt w:val="bullet"/>
      <w:lvlText w:val="o"/>
      <w:lvlJc w:val="left"/>
      <w:pPr>
        <w:ind w:left="6120" w:hanging="360"/>
      </w:pPr>
      <w:rPr>
        <w:rFonts w:ascii="Cambria Math" w:hAnsi="Cambria Math" w:cs="Cambria Math" w:hint="default"/>
      </w:rPr>
    </w:lvl>
    <w:lvl w:ilvl="8" w:tplc="0C0A0005" w:tentative="1">
      <w:start w:val="1"/>
      <w:numFmt w:val="bullet"/>
      <w:lvlText w:val=""/>
      <w:lvlJc w:val="left"/>
      <w:pPr>
        <w:ind w:left="6840" w:hanging="360"/>
      </w:pPr>
      <w:rPr>
        <w:rFonts w:ascii="Wingdings" w:hAnsi="Wingdings" w:hint="default"/>
      </w:rPr>
    </w:lvl>
  </w:abstractNum>
  <w:abstractNum w:abstractNumId="629" w15:restartNumberingAfterBreak="0">
    <w:nsid w:val="6A0172F0"/>
    <w:multiLevelType w:val="hybridMultilevel"/>
    <w:tmpl w:val="888CFBC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0" w15:restartNumberingAfterBreak="0">
    <w:nsid w:val="6A050295"/>
    <w:multiLevelType w:val="multilevel"/>
    <w:tmpl w:val="619629D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1" w15:restartNumberingAfterBreak="0">
    <w:nsid w:val="6A5224B1"/>
    <w:multiLevelType w:val="multilevel"/>
    <w:tmpl w:val="97BCB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2" w15:restartNumberingAfterBreak="0">
    <w:nsid w:val="6A563A2D"/>
    <w:multiLevelType w:val="hybridMultilevel"/>
    <w:tmpl w:val="080056A4"/>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633" w15:restartNumberingAfterBreak="0">
    <w:nsid w:val="6A5A1370"/>
    <w:multiLevelType w:val="hybridMultilevel"/>
    <w:tmpl w:val="FFFFFFFF"/>
    <w:lvl w:ilvl="0" w:tplc="671AAC7E">
      <w:start w:val="2"/>
      <w:numFmt w:val="decimal"/>
      <w:lvlText w:val="%1."/>
      <w:lvlJc w:val="left"/>
      <w:pPr>
        <w:ind w:left="720" w:hanging="360"/>
      </w:pPr>
    </w:lvl>
    <w:lvl w:ilvl="1" w:tplc="007E2BD6">
      <w:start w:val="1"/>
      <w:numFmt w:val="lowerLetter"/>
      <w:lvlText w:val="%2."/>
      <w:lvlJc w:val="left"/>
      <w:pPr>
        <w:ind w:left="1440" w:hanging="360"/>
      </w:pPr>
    </w:lvl>
    <w:lvl w:ilvl="2" w:tplc="0F3016EE">
      <w:start w:val="1"/>
      <w:numFmt w:val="lowerRoman"/>
      <w:lvlText w:val="%3."/>
      <w:lvlJc w:val="right"/>
      <w:pPr>
        <w:ind w:left="2160" w:hanging="180"/>
      </w:pPr>
    </w:lvl>
    <w:lvl w:ilvl="3" w:tplc="23467664">
      <w:start w:val="1"/>
      <w:numFmt w:val="decimal"/>
      <w:lvlText w:val="%4."/>
      <w:lvlJc w:val="left"/>
      <w:pPr>
        <w:ind w:left="2880" w:hanging="360"/>
      </w:pPr>
    </w:lvl>
    <w:lvl w:ilvl="4" w:tplc="49DA7CA8">
      <w:start w:val="1"/>
      <w:numFmt w:val="lowerLetter"/>
      <w:lvlText w:val="%5."/>
      <w:lvlJc w:val="left"/>
      <w:pPr>
        <w:ind w:left="3600" w:hanging="360"/>
      </w:pPr>
    </w:lvl>
    <w:lvl w:ilvl="5" w:tplc="9B48C7C6">
      <w:start w:val="1"/>
      <w:numFmt w:val="lowerRoman"/>
      <w:lvlText w:val="%6."/>
      <w:lvlJc w:val="right"/>
      <w:pPr>
        <w:ind w:left="4320" w:hanging="180"/>
      </w:pPr>
    </w:lvl>
    <w:lvl w:ilvl="6" w:tplc="ADB2099C">
      <w:start w:val="1"/>
      <w:numFmt w:val="decimal"/>
      <w:lvlText w:val="%7."/>
      <w:lvlJc w:val="left"/>
      <w:pPr>
        <w:ind w:left="5040" w:hanging="360"/>
      </w:pPr>
    </w:lvl>
    <w:lvl w:ilvl="7" w:tplc="077EA7A2">
      <w:start w:val="1"/>
      <w:numFmt w:val="lowerLetter"/>
      <w:lvlText w:val="%8."/>
      <w:lvlJc w:val="left"/>
      <w:pPr>
        <w:ind w:left="5760" w:hanging="360"/>
      </w:pPr>
    </w:lvl>
    <w:lvl w:ilvl="8" w:tplc="5E7E9E22">
      <w:start w:val="1"/>
      <w:numFmt w:val="lowerRoman"/>
      <w:lvlText w:val="%9."/>
      <w:lvlJc w:val="right"/>
      <w:pPr>
        <w:ind w:left="6480" w:hanging="180"/>
      </w:pPr>
    </w:lvl>
  </w:abstractNum>
  <w:abstractNum w:abstractNumId="634" w15:restartNumberingAfterBreak="0">
    <w:nsid w:val="6A9527FE"/>
    <w:multiLevelType w:val="hybridMultilevel"/>
    <w:tmpl w:val="2A08BB40"/>
    <w:lvl w:ilvl="0" w:tplc="FFFFFFFF">
      <w:start w:val="1"/>
      <w:numFmt w:val="decimal"/>
      <w:lvlText w:val="%1."/>
      <w:lvlJc w:val="left"/>
      <w:pPr>
        <w:ind w:left="720" w:hanging="360"/>
      </w:pPr>
    </w:lvl>
    <w:lvl w:ilvl="1" w:tplc="1809000F">
      <w:start w:val="1"/>
      <w:numFmt w:val="decimal"/>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5" w15:restartNumberingAfterBreak="0">
    <w:nsid w:val="6A9A5717"/>
    <w:multiLevelType w:val="hybridMultilevel"/>
    <w:tmpl w:val="3822DB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36" w15:restartNumberingAfterBreak="0">
    <w:nsid w:val="6A9D45A4"/>
    <w:multiLevelType w:val="hybridMultilevel"/>
    <w:tmpl w:val="A50660FE"/>
    <w:lvl w:ilvl="0" w:tplc="312A5F28">
      <w:start w:val="1"/>
      <w:numFmt w:val="bullet"/>
      <w:lvlText w:val="-"/>
      <w:lvlJc w:val="left"/>
      <w:pPr>
        <w:ind w:left="1004" w:hanging="360"/>
      </w:pPr>
      <w:rPr>
        <w:rFonts w:ascii="Cambria" w:eastAsiaTheme="minorHAnsi" w:hAnsi="Cambria" w:cs="Cambria" w:hint="default"/>
        <w:color w:val="7030A0"/>
      </w:rPr>
    </w:lvl>
    <w:lvl w:ilvl="1" w:tplc="FFFFFFFF" w:tentative="1">
      <w:start w:val="1"/>
      <w:numFmt w:val="bullet"/>
      <w:lvlText w:val="o"/>
      <w:lvlJc w:val="left"/>
      <w:pPr>
        <w:ind w:left="1724" w:hanging="360"/>
      </w:pPr>
      <w:rPr>
        <w:rFonts w:ascii="Cambria Math" w:hAnsi="Cambria Math" w:cs="Cambria Math"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Courier New" w:hAnsi="Courier New" w:hint="default"/>
      </w:rPr>
    </w:lvl>
    <w:lvl w:ilvl="4" w:tplc="FFFFFFFF" w:tentative="1">
      <w:start w:val="1"/>
      <w:numFmt w:val="bullet"/>
      <w:lvlText w:val="o"/>
      <w:lvlJc w:val="left"/>
      <w:pPr>
        <w:ind w:left="3884" w:hanging="360"/>
      </w:pPr>
      <w:rPr>
        <w:rFonts w:ascii="Cambria Math" w:hAnsi="Cambria Math" w:cs="Cambria Math"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Courier New" w:hAnsi="Courier New" w:hint="default"/>
      </w:rPr>
    </w:lvl>
    <w:lvl w:ilvl="7" w:tplc="FFFFFFFF" w:tentative="1">
      <w:start w:val="1"/>
      <w:numFmt w:val="bullet"/>
      <w:lvlText w:val="o"/>
      <w:lvlJc w:val="left"/>
      <w:pPr>
        <w:ind w:left="6044" w:hanging="360"/>
      </w:pPr>
      <w:rPr>
        <w:rFonts w:ascii="Cambria Math" w:hAnsi="Cambria Math" w:cs="Cambria Math" w:hint="default"/>
      </w:rPr>
    </w:lvl>
    <w:lvl w:ilvl="8" w:tplc="FFFFFFFF" w:tentative="1">
      <w:start w:val="1"/>
      <w:numFmt w:val="bullet"/>
      <w:lvlText w:val=""/>
      <w:lvlJc w:val="left"/>
      <w:pPr>
        <w:ind w:left="6764" w:hanging="360"/>
      </w:pPr>
      <w:rPr>
        <w:rFonts w:ascii="Wingdings" w:hAnsi="Wingdings" w:hint="default"/>
      </w:rPr>
    </w:lvl>
  </w:abstractNum>
  <w:abstractNum w:abstractNumId="637" w15:restartNumberingAfterBreak="0">
    <w:nsid w:val="6AB606B0"/>
    <w:multiLevelType w:val="hybridMultilevel"/>
    <w:tmpl w:val="D3BAFE1E"/>
    <w:lvl w:ilvl="0" w:tplc="FFFFFFFF">
      <w:start w:val="1"/>
      <w:numFmt w:val="bullet"/>
      <w:lvlText w:val=""/>
      <w:lvlJc w:val="left"/>
      <w:pPr>
        <w:ind w:left="720" w:hanging="360"/>
      </w:pPr>
      <w:rPr>
        <w:rFonts w:ascii="Symbol" w:hAnsi="Symbol" w:hint="default"/>
        <w:b/>
        <w:bCs/>
      </w:rPr>
    </w:lvl>
    <w:lvl w:ilvl="1" w:tplc="75EAFCA8">
      <w:start w:val="1"/>
      <w:numFmt w:val="lowerLetter"/>
      <w:lvlText w:val="%2."/>
      <w:lvlJc w:val="left"/>
      <w:pPr>
        <w:ind w:left="1440" w:hanging="360"/>
      </w:pPr>
      <w:rPr>
        <w:rFonts w:ascii="Times New Roman" w:eastAsiaTheme="minorHAnsi" w:hAnsi="Times New Roman" w:cs="Times New Roman"/>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8" w15:restartNumberingAfterBreak="0">
    <w:nsid w:val="6AC6D58C"/>
    <w:multiLevelType w:val="hybridMultilevel"/>
    <w:tmpl w:val="5E94D240"/>
    <w:lvl w:ilvl="0" w:tplc="7FDEF720">
      <w:start w:val="1"/>
      <w:numFmt w:val="lowerRoman"/>
      <w:lvlText w:val="%1."/>
      <w:lvlJc w:val="right"/>
      <w:pPr>
        <w:ind w:left="720" w:hanging="360"/>
      </w:pPr>
      <w:rPr>
        <w:color w:val="auto"/>
        <w:sz w:val="18"/>
        <w:szCs w:val="18"/>
      </w:rPr>
    </w:lvl>
    <w:lvl w:ilvl="1" w:tplc="263C1BC4">
      <w:start w:val="1"/>
      <w:numFmt w:val="lowerLetter"/>
      <w:lvlText w:val="%2."/>
      <w:lvlJc w:val="left"/>
      <w:pPr>
        <w:ind w:left="1440" w:hanging="360"/>
      </w:pPr>
    </w:lvl>
    <w:lvl w:ilvl="2" w:tplc="6FC661DC">
      <w:start w:val="1"/>
      <w:numFmt w:val="lowerRoman"/>
      <w:lvlText w:val="%3."/>
      <w:lvlJc w:val="right"/>
      <w:pPr>
        <w:ind w:left="2160" w:hanging="180"/>
      </w:pPr>
    </w:lvl>
    <w:lvl w:ilvl="3" w:tplc="8EF24CE6">
      <w:start w:val="1"/>
      <w:numFmt w:val="decimal"/>
      <w:lvlText w:val="%4."/>
      <w:lvlJc w:val="left"/>
      <w:pPr>
        <w:ind w:left="2880" w:hanging="360"/>
      </w:pPr>
    </w:lvl>
    <w:lvl w:ilvl="4" w:tplc="6F626566">
      <w:start w:val="1"/>
      <w:numFmt w:val="lowerLetter"/>
      <w:lvlText w:val="%5."/>
      <w:lvlJc w:val="left"/>
      <w:pPr>
        <w:ind w:left="3600" w:hanging="360"/>
      </w:pPr>
    </w:lvl>
    <w:lvl w:ilvl="5" w:tplc="754678B6">
      <w:start w:val="1"/>
      <w:numFmt w:val="lowerRoman"/>
      <w:lvlText w:val="%6."/>
      <w:lvlJc w:val="right"/>
      <w:pPr>
        <w:ind w:left="4320" w:hanging="180"/>
      </w:pPr>
    </w:lvl>
    <w:lvl w:ilvl="6" w:tplc="669271CA">
      <w:start w:val="1"/>
      <w:numFmt w:val="decimal"/>
      <w:lvlText w:val="%7."/>
      <w:lvlJc w:val="left"/>
      <w:pPr>
        <w:ind w:left="5040" w:hanging="360"/>
      </w:pPr>
    </w:lvl>
    <w:lvl w:ilvl="7" w:tplc="C59ED434">
      <w:start w:val="1"/>
      <w:numFmt w:val="lowerLetter"/>
      <w:lvlText w:val="%8."/>
      <w:lvlJc w:val="left"/>
      <w:pPr>
        <w:ind w:left="5760" w:hanging="360"/>
      </w:pPr>
    </w:lvl>
    <w:lvl w:ilvl="8" w:tplc="4BB027E2">
      <w:start w:val="1"/>
      <w:numFmt w:val="lowerRoman"/>
      <w:lvlText w:val="%9."/>
      <w:lvlJc w:val="right"/>
      <w:pPr>
        <w:ind w:left="6480" w:hanging="180"/>
      </w:pPr>
    </w:lvl>
  </w:abstractNum>
  <w:abstractNum w:abstractNumId="639" w15:restartNumberingAfterBreak="0">
    <w:nsid w:val="6B002138"/>
    <w:multiLevelType w:val="hybridMultilevel"/>
    <w:tmpl w:val="D0303806"/>
    <w:lvl w:ilvl="0" w:tplc="85768B32">
      <w:start w:val="1"/>
      <w:numFmt w:val="lowerRoman"/>
      <w:lvlText w:val="%1."/>
      <w:lvlJc w:val="right"/>
      <w:pPr>
        <w:ind w:left="720" w:hanging="360"/>
      </w:pPr>
      <w:rPr>
        <w:color w:val="auto"/>
        <w:sz w:val="18"/>
        <w:szCs w:val="1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40" w15:restartNumberingAfterBreak="0">
    <w:nsid w:val="6B8345B1"/>
    <w:multiLevelType w:val="hybridMultilevel"/>
    <w:tmpl w:val="B34877A4"/>
    <w:lvl w:ilvl="0" w:tplc="1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Cambria Math" w:hAnsi="Cambria Math" w:hint="default"/>
      </w:rPr>
    </w:lvl>
    <w:lvl w:ilvl="3" w:tplc="04090001" w:tentative="1">
      <w:start w:val="1"/>
      <w:numFmt w:val="bullet"/>
      <w:lvlText w:val=""/>
      <w:lvlJc w:val="left"/>
      <w:pPr>
        <w:ind w:left="2880" w:hanging="360"/>
      </w:pPr>
      <w:rPr>
        <w:rFonts w:ascii="Segoe UI" w:hAnsi="Segoe U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Cambria Math" w:hAnsi="Cambria Math" w:hint="default"/>
      </w:rPr>
    </w:lvl>
    <w:lvl w:ilvl="6" w:tplc="04090001" w:tentative="1">
      <w:start w:val="1"/>
      <w:numFmt w:val="bullet"/>
      <w:lvlText w:val=""/>
      <w:lvlJc w:val="left"/>
      <w:pPr>
        <w:ind w:left="5040" w:hanging="360"/>
      </w:pPr>
      <w:rPr>
        <w:rFonts w:ascii="Segoe UI" w:hAnsi="Segoe UI"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Cambria Math" w:hAnsi="Cambria Math" w:hint="default"/>
      </w:rPr>
    </w:lvl>
  </w:abstractNum>
  <w:abstractNum w:abstractNumId="641" w15:restartNumberingAfterBreak="0">
    <w:nsid w:val="6B921634"/>
    <w:multiLevelType w:val="hybridMultilevel"/>
    <w:tmpl w:val="9A74D662"/>
    <w:lvl w:ilvl="0" w:tplc="1809000F">
      <w:start w:val="1"/>
      <w:numFmt w:val="decimal"/>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42" w15:restartNumberingAfterBreak="0">
    <w:nsid w:val="6BA555E5"/>
    <w:multiLevelType w:val="hybridMultilevel"/>
    <w:tmpl w:val="F9E69036"/>
    <w:lvl w:ilvl="0" w:tplc="1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3" w15:restartNumberingAfterBreak="0">
    <w:nsid w:val="6BB9719F"/>
    <w:multiLevelType w:val="hybridMultilevel"/>
    <w:tmpl w:val="66F098D0"/>
    <w:lvl w:ilvl="0" w:tplc="08090001">
      <w:start w:val="1"/>
      <w:numFmt w:val="bullet"/>
      <w:lvlText w:val=""/>
      <w:lvlJc w:val="left"/>
      <w:pPr>
        <w:ind w:left="360" w:hanging="360"/>
      </w:pPr>
      <w:rPr>
        <w:rFonts w:ascii="Segoe UI" w:hAnsi="Segoe U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Cambria Math" w:hAnsi="Cambria Math" w:hint="default"/>
      </w:rPr>
    </w:lvl>
    <w:lvl w:ilvl="3" w:tplc="08090001" w:tentative="1">
      <w:start w:val="1"/>
      <w:numFmt w:val="bullet"/>
      <w:lvlText w:val=""/>
      <w:lvlJc w:val="left"/>
      <w:pPr>
        <w:ind w:left="2520" w:hanging="360"/>
      </w:pPr>
      <w:rPr>
        <w:rFonts w:ascii="Segoe UI" w:hAnsi="Segoe UI"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Cambria Math" w:hAnsi="Cambria Math" w:hint="default"/>
      </w:rPr>
    </w:lvl>
    <w:lvl w:ilvl="6" w:tplc="08090001" w:tentative="1">
      <w:start w:val="1"/>
      <w:numFmt w:val="bullet"/>
      <w:lvlText w:val=""/>
      <w:lvlJc w:val="left"/>
      <w:pPr>
        <w:ind w:left="4680" w:hanging="360"/>
      </w:pPr>
      <w:rPr>
        <w:rFonts w:ascii="Segoe UI" w:hAnsi="Segoe UI"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Cambria Math" w:hAnsi="Cambria Math" w:hint="default"/>
      </w:rPr>
    </w:lvl>
  </w:abstractNum>
  <w:abstractNum w:abstractNumId="644" w15:restartNumberingAfterBreak="0">
    <w:nsid w:val="6C24649E"/>
    <w:multiLevelType w:val="hybridMultilevel"/>
    <w:tmpl w:val="B7861CF2"/>
    <w:lvl w:ilvl="0" w:tplc="1809000F">
      <w:start w:val="1"/>
      <w:numFmt w:val="decimal"/>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645" w15:restartNumberingAfterBreak="0">
    <w:nsid w:val="6C7D3549"/>
    <w:multiLevelType w:val="hybridMultilevel"/>
    <w:tmpl w:val="FDD6BEBC"/>
    <w:lvl w:ilvl="0" w:tplc="6272088A">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46" w15:restartNumberingAfterBreak="0">
    <w:nsid w:val="6C815D80"/>
    <w:multiLevelType w:val="multilevel"/>
    <w:tmpl w:val="7BDE59D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7" w15:restartNumberingAfterBreak="0">
    <w:nsid w:val="6C962040"/>
    <w:multiLevelType w:val="hybridMultilevel"/>
    <w:tmpl w:val="FFFFFFFF"/>
    <w:lvl w:ilvl="0" w:tplc="06100BC6">
      <w:start w:val="1"/>
      <w:numFmt w:val="bullet"/>
      <w:lvlText w:val="·"/>
      <w:lvlJc w:val="left"/>
      <w:pPr>
        <w:ind w:left="720" w:hanging="360"/>
      </w:pPr>
      <w:rPr>
        <w:rFonts w:ascii="Symbol" w:hAnsi="Symbol" w:hint="default"/>
      </w:rPr>
    </w:lvl>
    <w:lvl w:ilvl="1" w:tplc="098EF74A">
      <w:start w:val="1"/>
      <w:numFmt w:val="bullet"/>
      <w:lvlText w:val="o"/>
      <w:lvlJc w:val="left"/>
      <w:pPr>
        <w:ind w:left="1440" w:hanging="360"/>
      </w:pPr>
      <w:rPr>
        <w:rFonts w:ascii="Courier New" w:hAnsi="Courier New" w:hint="default"/>
      </w:rPr>
    </w:lvl>
    <w:lvl w:ilvl="2" w:tplc="5720DDAC">
      <w:start w:val="1"/>
      <w:numFmt w:val="bullet"/>
      <w:lvlText w:val=""/>
      <w:lvlJc w:val="left"/>
      <w:pPr>
        <w:ind w:left="2160" w:hanging="360"/>
      </w:pPr>
      <w:rPr>
        <w:rFonts w:ascii="Wingdings" w:hAnsi="Wingdings" w:hint="default"/>
      </w:rPr>
    </w:lvl>
    <w:lvl w:ilvl="3" w:tplc="BA6660A2">
      <w:start w:val="1"/>
      <w:numFmt w:val="bullet"/>
      <w:lvlText w:val=""/>
      <w:lvlJc w:val="left"/>
      <w:pPr>
        <w:ind w:left="2880" w:hanging="360"/>
      </w:pPr>
      <w:rPr>
        <w:rFonts w:ascii="Symbol" w:hAnsi="Symbol" w:hint="default"/>
      </w:rPr>
    </w:lvl>
    <w:lvl w:ilvl="4" w:tplc="8C5C27F0">
      <w:start w:val="1"/>
      <w:numFmt w:val="bullet"/>
      <w:lvlText w:val="o"/>
      <w:lvlJc w:val="left"/>
      <w:pPr>
        <w:ind w:left="3600" w:hanging="360"/>
      </w:pPr>
      <w:rPr>
        <w:rFonts w:ascii="Courier New" w:hAnsi="Courier New" w:hint="default"/>
      </w:rPr>
    </w:lvl>
    <w:lvl w:ilvl="5" w:tplc="660A179C">
      <w:start w:val="1"/>
      <w:numFmt w:val="bullet"/>
      <w:lvlText w:val=""/>
      <w:lvlJc w:val="left"/>
      <w:pPr>
        <w:ind w:left="4320" w:hanging="360"/>
      </w:pPr>
      <w:rPr>
        <w:rFonts w:ascii="Wingdings" w:hAnsi="Wingdings" w:hint="default"/>
      </w:rPr>
    </w:lvl>
    <w:lvl w:ilvl="6" w:tplc="0C928458">
      <w:start w:val="1"/>
      <w:numFmt w:val="bullet"/>
      <w:lvlText w:val=""/>
      <w:lvlJc w:val="left"/>
      <w:pPr>
        <w:ind w:left="5040" w:hanging="360"/>
      </w:pPr>
      <w:rPr>
        <w:rFonts w:ascii="Symbol" w:hAnsi="Symbol" w:hint="default"/>
      </w:rPr>
    </w:lvl>
    <w:lvl w:ilvl="7" w:tplc="B51ECFFA">
      <w:start w:val="1"/>
      <w:numFmt w:val="bullet"/>
      <w:lvlText w:val="o"/>
      <w:lvlJc w:val="left"/>
      <w:pPr>
        <w:ind w:left="5760" w:hanging="360"/>
      </w:pPr>
      <w:rPr>
        <w:rFonts w:ascii="Courier New" w:hAnsi="Courier New" w:hint="default"/>
      </w:rPr>
    </w:lvl>
    <w:lvl w:ilvl="8" w:tplc="636E11E4">
      <w:start w:val="1"/>
      <w:numFmt w:val="bullet"/>
      <w:lvlText w:val=""/>
      <w:lvlJc w:val="left"/>
      <w:pPr>
        <w:ind w:left="6480" w:hanging="360"/>
      </w:pPr>
      <w:rPr>
        <w:rFonts w:ascii="Wingdings" w:hAnsi="Wingdings" w:hint="default"/>
      </w:rPr>
    </w:lvl>
  </w:abstractNum>
  <w:abstractNum w:abstractNumId="648" w15:restartNumberingAfterBreak="0">
    <w:nsid w:val="6C97FDD9"/>
    <w:multiLevelType w:val="multilevel"/>
    <w:tmpl w:val="FFFFFFFF"/>
    <w:lvl w:ilvl="0">
      <w:start w:val="1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9" w15:restartNumberingAfterBreak="0">
    <w:nsid w:val="6DA07262"/>
    <w:multiLevelType w:val="multilevel"/>
    <w:tmpl w:val="BAEEAFC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0" w15:restartNumberingAfterBreak="0">
    <w:nsid w:val="6DB30E0C"/>
    <w:multiLevelType w:val="hybridMultilevel"/>
    <w:tmpl w:val="FFFFFFFF"/>
    <w:lvl w:ilvl="0" w:tplc="E04A01CE">
      <w:start w:val="2"/>
      <w:numFmt w:val="decimal"/>
      <w:lvlText w:val="%1."/>
      <w:lvlJc w:val="left"/>
      <w:pPr>
        <w:ind w:left="720" w:hanging="360"/>
      </w:pPr>
    </w:lvl>
    <w:lvl w:ilvl="1" w:tplc="BA08502C">
      <w:start w:val="1"/>
      <w:numFmt w:val="lowerLetter"/>
      <w:lvlText w:val="%2."/>
      <w:lvlJc w:val="left"/>
      <w:pPr>
        <w:ind w:left="1440" w:hanging="360"/>
      </w:pPr>
    </w:lvl>
    <w:lvl w:ilvl="2" w:tplc="27E83C2C">
      <w:start w:val="1"/>
      <w:numFmt w:val="lowerRoman"/>
      <w:lvlText w:val="%3."/>
      <w:lvlJc w:val="right"/>
      <w:pPr>
        <w:ind w:left="2160" w:hanging="180"/>
      </w:pPr>
    </w:lvl>
    <w:lvl w:ilvl="3" w:tplc="C3ECD98E">
      <w:start w:val="1"/>
      <w:numFmt w:val="decimal"/>
      <w:lvlText w:val="%4."/>
      <w:lvlJc w:val="left"/>
      <w:pPr>
        <w:ind w:left="2880" w:hanging="360"/>
      </w:pPr>
    </w:lvl>
    <w:lvl w:ilvl="4" w:tplc="C8FE5974">
      <w:start w:val="1"/>
      <w:numFmt w:val="lowerLetter"/>
      <w:lvlText w:val="%5."/>
      <w:lvlJc w:val="left"/>
      <w:pPr>
        <w:ind w:left="3600" w:hanging="360"/>
      </w:pPr>
    </w:lvl>
    <w:lvl w:ilvl="5" w:tplc="536CCB6C">
      <w:start w:val="1"/>
      <w:numFmt w:val="lowerRoman"/>
      <w:lvlText w:val="%6."/>
      <w:lvlJc w:val="right"/>
      <w:pPr>
        <w:ind w:left="4320" w:hanging="180"/>
      </w:pPr>
    </w:lvl>
    <w:lvl w:ilvl="6" w:tplc="99642C7E">
      <w:start w:val="1"/>
      <w:numFmt w:val="decimal"/>
      <w:lvlText w:val="%7."/>
      <w:lvlJc w:val="left"/>
      <w:pPr>
        <w:ind w:left="5040" w:hanging="360"/>
      </w:pPr>
    </w:lvl>
    <w:lvl w:ilvl="7" w:tplc="6A4C50E6">
      <w:start w:val="1"/>
      <w:numFmt w:val="lowerLetter"/>
      <w:lvlText w:val="%8."/>
      <w:lvlJc w:val="left"/>
      <w:pPr>
        <w:ind w:left="5760" w:hanging="360"/>
      </w:pPr>
    </w:lvl>
    <w:lvl w:ilvl="8" w:tplc="EA3C9864">
      <w:start w:val="1"/>
      <w:numFmt w:val="lowerRoman"/>
      <w:lvlText w:val="%9."/>
      <w:lvlJc w:val="right"/>
      <w:pPr>
        <w:ind w:left="6480" w:hanging="180"/>
      </w:pPr>
    </w:lvl>
  </w:abstractNum>
  <w:abstractNum w:abstractNumId="651" w15:restartNumberingAfterBreak="0">
    <w:nsid w:val="6DD191DF"/>
    <w:multiLevelType w:val="hybridMultilevel"/>
    <w:tmpl w:val="FFFFFFFF"/>
    <w:lvl w:ilvl="0" w:tplc="FCDAE8AE">
      <w:start w:val="1"/>
      <w:numFmt w:val="bullet"/>
      <w:lvlText w:val="·"/>
      <w:lvlJc w:val="left"/>
      <w:pPr>
        <w:ind w:left="720" w:hanging="360"/>
      </w:pPr>
      <w:rPr>
        <w:rFonts w:ascii="Symbol" w:hAnsi="Symbol" w:hint="default"/>
      </w:rPr>
    </w:lvl>
    <w:lvl w:ilvl="1" w:tplc="0ED442A4">
      <w:start w:val="1"/>
      <w:numFmt w:val="bullet"/>
      <w:lvlText w:val="o"/>
      <w:lvlJc w:val="left"/>
      <w:pPr>
        <w:ind w:left="1440" w:hanging="360"/>
      </w:pPr>
      <w:rPr>
        <w:rFonts w:ascii="Courier New" w:hAnsi="Courier New" w:hint="default"/>
      </w:rPr>
    </w:lvl>
    <w:lvl w:ilvl="2" w:tplc="F62CBD46">
      <w:start w:val="1"/>
      <w:numFmt w:val="bullet"/>
      <w:lvlText w:val=""/>
      <w:lvlJc w:val="left"/>
      <w:pPr>
        <w:ind w:left="2160" w:hanging="360"/>
      </w:pPr>
      <w:rPr>
        <w:rFonts w:ascii="Wingdings" w:hAnsi="Wingdings" w:hint="default"/>
      </w:rPr>
    </w:lvl>
    <w:lvl w:ilvl="3" w:tplc="C52A8E0C">
      <w:start w:val="1"/>
      <w:numFmt w:val="bullet"/>
      <w:lvlText w:val=""/>
      <w:lvlJc w:val="left"/>
      <w:pPr>
        <w:ind w:left="2880" w:hanging="360"/>
      </w:pPr>
      <w:rPr>
        <w:rFonts w:ascii="Symbol" w:hAnsi="Symbol" w:hint="default"/>
      </w:rPr>
    </w:lvl>
    <w:lvl w:ilvl="4" w:tplc="FE1C3402">
      <w:start w:val="1"/>
      <w:numFmt w:val="bullet"/>
      <w:lvlText w:val="o"/>
      <w:lvlJc w:val="left"/>
      <w:pPr>
        <w:ind w:left="3600" w:hanging="360"/>
      </w:pPr>
      <w:rPr>
        <w:rFonts w:ascii="Courier New" w:hAnsi="Courier New" w:hint="default"/>
      </w:rPr>
    </w:lvl>
    <w:lvl w:ilvl="5" w:tplc="C14C0C48">
      <w:start w:val="1"/>
      <w:numFmt w:val="bullet"/>
      <w:lvlText w:val=""/>
      <w:lvlJc w:val="left"/>
      <w:pPr>
        <w:ind w:left="4320" w:hanging="360"/>
      </w:pPr>
      <w:rPr>
        <w:rFonts w:ascii="Wingdings" w:hAnsi="Wingdings" w:hint="default"/>
      </w:rPr>
    </w:lvl>
    <w:lvl w:ilvl="6" w:tplc="8F0C56C8">
      <w:start w:val="1"/>
      <w:numFmt w:val="bullet"/>
      <w:lvlText w:val=""/>
      <w:lvlJc w:val="left"/>
      <w:pPr>
        <w:ind w:left="5040" w:hanging="360"/>
      </w:pPr>
      <w:rPr>
        <w:rFonts w:ascii="Symbol" w:hAnsi="Symbol" w:hint="default"/>
      </w:rPr>
    </w:lvl>
    <w:lvl w:ilvl="7" w:tplc="916C80C2">
      <w:start w:val="1"/>
      <w:numFmt w:val="bullet"/>
      <w:lvlText w:val="o"/>
      <w:lvlJc w:val="left"/>
      <w:pPr>
        <w:ind w:left="5760" w:hanging="360"/>
      </w:pPr>
      <w:rPr>
        <w:rFonts w:ascii="Courier New" w:hAnsi="Courier New" w:hint="default"/>
      </w:rPr>
    </w:lvl>
    <w:lvl w:ilvl="8" w:tplc="F1725350">
      <w:start w:val="1"/>
      <w:numFmt w:val="bullet"/>
      <w:lvlText w:val=""/>
      <w:lvlJc w:val="left"/>
      <w:pPr>
        <w:ind w:left="6480" w:hanging="360"/>
      </w:pPr>
      <w:rPr>
        <w:rFonts w:ascii="Wingdings" w:hAnsi="Wingdings" w:hint="default"/>
      </w:rPr>
    </w:lvl>
  </w:abstractNum>
  <w:abstractNum w:abstractNumId="652" w15:restartNumberingAfterBreak="0">
    <w:nsid w:val="6E0F02FB"/>
    <w:multiLevelType w:val="hybridMultilevel"/>
    <w:tmpl w:val="6714E3B4"/>
    <w:lvl w:ilvl="0" w:tplc="18090019">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3" w15:restartNumberingAfterBreak="0">
    <w:nsid w:val="6E3D7768"/>
    <w:multiLevelType w:val="hybridMultilevel"/>
    <w:tmpl w:val="3806BF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54" w15:restartNumberingAfterBreak="0">
    <w:nsid w:val="6E4E734A"/>
    <w:multiLevelType w:val="hybridMultilevel"/>
    <w:tmpl w:val="C70CC2DC"/>
    <w:lvl w:ilvl="0" w:tplc="FFFFFFFF">
      <w:start w:val="1"/>
      <w:numFmt w:val="lowerRoman"/>
      <w:lvlText w:val="%1."/>
      <w:lvlJc w:val="righ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55" w15:restartNumberingAfterBreak="0">
    <w:nsid w:val="6EF03967"/>
    <w:multiLevelType w:val="hybridMultilevel"/>
    <w:tmpl w:val="8F7E77B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6" w15:restartNumberingAfterBreak="0">
    <w:nsid w:val="6F58292D"/>
    <w:multiLevelType w:val="hybridMultilevel"/>
    <w:tmpl w:val="FFFFFFFF"/>
    <w:lvl w:ilvl="0" w:tplc="D78EED72">
      <w:start w:val="10"/>
      <w:numFmt w:val="decimal"/>
      <w:lvlText w:val="%1."/>
      <w:lvlJc w:val="left"/>
      <w:pPr>
        <w:ind w:left="720" w:hanging="360"/>
      </w:pPr>
    </w:lvl>
    <w:lvl w:ilvl="1" w:tplc="C2469B4A">
      <w:start w:val="1"/>
      <w:numFmt w:val="lowerLetter"/>
      <w:lvlText w:val="%2."/>
      <w:lvlJc w:val="left"/>
      <w:pPr>
        <w:ind w:left="1440" w:hanging="360"/>
      </w:pPr>
    </w:lvl>
    <w:lvl w:ilvl="2" w:tplc="F9E681EE">
      <w:start w:val="1"/>
      <w:numFmt w:val="lowerRoman"/>
      <w:lvlText w:val="%3."/>
      <w:lvlJc w:val="right"/>
      <w:pPr>
        <w:ind w:left="2160" w:hanging="180"/>
      </w:pPr>
    </w:lvl>
    <w:lvl w:ilvl="3" w:tplc="162A8792">
      <w:start w:val="1"/>
      <w:numFmt w:val="decimal"/>
      <w:lvlText w:val="%4."/>
      <w:lvlJc w:val="left"/>
      <w:pPr>
        <w:ind w:left="2880" w:hanging="360"/>
      </w:pPr>
    </w:lvl>
    <w:lvl w:ilvl="4" w:tplc="8EB42746">
      <w:start w:val="1"/>
      <w:numFmt w:val="lowerLetter"/>
      <w:lvlText w:val="%5."/>
      <w:lvlJc w:val="left"/>
      <w:pPr>
        <w:ind w:left="3600" w:hanging="360"/>
      </w:pPr>
    </w:lvl>
    <w:lvl w:ilvl="5" w:tplc="F0580B6C">
      <w:start w:val="1"/>
      <w:numFmt w:val="lowerRoman"/>
      <w:lvlText w:val="%6."/>
      <w:lvlJc w:val="right"/>
      <w:pPr>
        <w:ind w:left="4320" w:hanging="180"/>
      </w:pPr>
    </w:lvl>
    <w:lvl w:ilvl="6" w:tplc="9A506642">
      <w:start w:val="1"/>
      <w:numFmt w:val="decimal"/>
      <w:lvlText w:val="%7."/>
      <w:lvlJc w:val="left"/>
      <w:pPr>
        <w:ind w:left="5040" w:hanging="360"/>
      </w:pPr>
    </w:lvl>
    <w:lvl w:ilvl="7" w:tplc="6160F8F2">
      <w:start w:val="1"/>
      <w:numFmt w:val="lowerLetter"/>
      <w:lvlText w:val="%8."/>
      <w:lvlJc w:val="left"/>
      <w:pPr>
        <w:ind w:left="5760" w:hanging="360"/>
      </w:pPr>
    </w:lvl>
    <w:lvl w:ilvl="8" w:tplc="0ECCE7DA">
      <w:start w:val="1"/>
      <w:numFmt w:val="lowerRoman"/>
      <w:lvlText w:val="%9."/>
      <w:lvlJc w:val="right"/>
      <w:pPr>
        <w:ind w:left="6480" w:hanging="180"/>
      </w:pPr>
    </w:lvl>
  </w:abstractNum>
  <w:abstractNum w:abstractNumId="657" w15:restartNumberingAfterBreak="0">
    <w:nsid w:val="6F9C0D1B"/>
    <w:multiLevelType w:val="hybridMultilevel"/>
    <w:tmpl w:val="E91EE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8" w15:restartNumberingAfterBreak="0">
    <w:nsid w:val="6FC9332E"/>
    <w:multiLevelType w:val="multilevel"/>
    <w:tmpl w:val="37C61E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9" w15:restartNumberingAfterBreak="0">
    <w:nsid w:val="700D6F1F"/>
    <w:multiLevelType w:val="hybridMultilevel"/>
    <w:tmpl w:val="795664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60" w15:restartNumberingAfterBreak="0">
    <w:nsid w:val="701F0FBE"/>
    <w:multiLevelType w:val="hybridMultilevel"/>
    <w:tmpl w:val="FFFFFFFF"/>
    <w:lvl w:ilvl="0" w:tplc="C59A48B0">
      <w:start w:val="8"/>
      <w:numFmt w:val="decimal"/>
      <w:lvlText w:val="%1."/>
      <w:lvlJc w:val="left"/>
      <w:pPr>
        <w:ind w:left="720" w:hanging="360"/>
      </w:pPr>
    </w:lvl>
    <w:lvl w:ilvl="1" w:tplc="DCC87EB6">
      <w:start w:val="1"/>
      <w:numFmt w:val="lowerLetter"/>
      <w:lvlText w:val="%2."/>
      <w:lvlJc w:val="left"/>
      <w:pPr>
        <w:ind w:left="1440" w:hanging="360"/>
      </w:pPr>
    </w:lvl>
    <w:lvl w:ilvl="2" w:tplc="9E1AC784">
      <w:start w:val="1"/>
      <w:numFmt w:val="lowerRoman"/>
      <w:lvlText w:val="%3."/>
      <w:lvlJc w:val="right"/>
      <w:pPr>
        <w:ind w:left="2160" w:hanging="180"/>
      </w:pPr>
    </w:lvl>
    <w:lvl w:ilvl="3" w:tplc="8ADEE8F2">
      <w:start w:val="1"/>
      <w:numFmt w:val="decimal"/>
      <w:lvlText w:val="%4."/>
      <w:lvlJc w:val="left"/>
      <w:pPr>
        <w:ind w:left="2880" w:hanging="360"/>
      </w:pPr>
    </w:lvl>
    <w:lvl w:ilvl="4" w:tplc="177EA73E">
      <w:start w:val="1"/>
      <w:numFmt w:val="lowerLetter"/>
      <w:lvlText w:val="%5."/>
      <w:lvlJc w:val="left"/>
      <w:pPr>
        <w:ind w:left="3600" w:hanging="360"/>
      </w:pPr>
    </w:lvl>
    <w:lvl w:ilvl="5" w:tplc="7DBCFEBA">
      <w:start w:val="1"/>
      <w:numFmt w:val="lowerRoman"/>
      <w:lvlText w:val="%6."/>
      <w:lvlJc w:val="right"/>
      <w:pPr>
        <w:ind w:left="4320" w:hanging="180"/>
      </w:pPr>
    </w:lvl>
    <w:lvl w:ilvl="6" w:tplc="B1C6730E">
      <w:start w:val="1"/>
      <w:numFmt w:val="decimal"/>
      <w:lvlText w:val="%7."/>
      <w:lvlJc w:val="left"/>
      <w:pPr>
        <w:ind w:left="5040" w:hanging="360"/>
      </w:pPr>
    </w:lvl>
    <w:lvl w:ilvl="7" w:tplc="3D9ABE9A">
      <w:start w:val="1"/>
      <w:numFmt w:val="lowerLetter"/>
      <w:lvlText w:val="%8."/>
      <w:lvlJc w:val="left"/>
      <w:pPr>
        <w:ind w:left="5760" w:hanging="360"/>
      </w:pPr>
    </w:lvl>
    <w:lvl w:ilvl="8" w:tplc="BAD05C06">
      <w:start w:val="1"/>
      <w:numFmt w:val="lowerRoman"/>
      <w:lvlText w:val="%9."/>
      <w:lvlJc w:val="right"/>
      <w:pPr>
        <w:ind w:left="6480" w:hanging="180"/>
      </w:pPr>
    </w:lvl>
  </w:abstractNum>
  <w:abstractNum w:abstractNumId="661" w15:restartNumberingAfterBreak="0">
    <w:nsid w:val="70216735"/>
    <w:multiLevelType w:val="hybridMultilevel"/>
    <w:tmpl w:val="AA40CE4A"/>
    <w:lvl w:ilvl="0" w:tplc="1809000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2" w15:restartNumberingAfterBreak="0">
    <w:nsid w:val="70D3BD8D"/>
    <w:multiLevelType w:val="hybridMultilevel"/>
    <w:tmpl w:val="FFFFFFFF"/>
    <w:lvl w:ilvl="0" w:tplc="1E063A50">
      <w:start w:val="1"/>
      <w:numFmt w:val="bullet"/>
      <w:lvlText w:val="o"/>
      <w:lvlJc w:val="left"/>
      <w:pPr>
        <w:ind w:left="720" w:hanging="360"/>
      </w:pPr>
      <w:rPr>
        <w:rFonts w:ascii="&quot;Courier New&quot;" w:hAnsi="&quot;Courier New&quot;" w:hint="default"/>
      </w:rPr>
    </w:lvl>
    <w:lvl w:ilvl="1" w:tplc="98625956">
      <w:start w:val="1"/>
      <w:numFmt w:val="bullet"/>
      <w:lvlText w:val="o"/>
      <w:lvlJc w:val="left"/>
      <w:pPr>
        <w:ind w:left="1440" w:hanging="360"/>
      </w:pPr>
      <w:rPr>
        <w:rFonts w:ascii="Courier New" w:hAnsi="Courier New" w:hint="default"/>
      </w:rPr>
    </w:lvl>
    <w:lvl w:ilvl="2" w:tplc="B8B20AC8">
      <w:start w:val="1"/>
      <w:numFmt w:val="bullet"/>
      <w:lvlText w:val=""/>
      <w:lvlJc w:val="left"/>
      <w:pPr>
        <w:ind w:left="2160" w:hanging="360"/>
      </w:pPr>
      <w:rPr>
        <w:rFonts w:ascii="Wingdings" w:hAnsi="Wingdings" w:hint="default"/>
      </w:rPr>
    </w:lvl>
    <w:lvl w:ilvl="3" w:tplc="E51C29F4">
      <w:start w:val="1"/>
      <w:numFmt w:val="bullet"/>
      <w:lvlText w:val=""/>
      <w:lvlJc w:val="left"/>
      <w:pPr>
        <w:ind w:left="2880" w:hanging="360"/>
      </w:pPr>
      <w:rPr>
        <w:rFonts w:ascii="Symbol" w:hAnsi="Symbol" w:hint="default"/>
      </w:rPr>
    </w:lvl>
    <w:lvl w:ilvl="4" w:tplc="DCDEADCA">
      <w:start w:val="1"/>
      <w:numFmt w:val="bullet"/>
      <w:lvlText w:val="o"/>
      <w:lvlJc w:val="left"/>
      <w:pPr>
        <w:ind w:left="3600" w:hanging="360"/>
      </w:pPr>
      <w:rPr>
        <w:rFonts w:ascii="Courier New" w:hAnsi="Courier New" w:hint="default"/>
      </w:rPr>
    </w:lvl>
    <w:lvl w:ilvl="5" w:tplc="9DD6A638">
      <w:start w:val="1"/>
      <w:numFmt w:val="bullet"/>
      <w:lvlText w:val=""/>
      <w:lvlJc w:val="left"/>
      <w:pPr>
        <w:ind w:left="4320" w:hanging="360"/>
      </w:pPr>
      <w:rPr>
        <w:rFonts w:ascii="Wingdings" w:hAnsi="Wingdings" w:hint="default"/>
      </w:rPr>
    </w:lvl>
    <w:lvl w:ilvl="6" w:tplc="2786A708">
      <w:start w:val="1"/>
      <w:numFmt w:val="bullet"/>
      <w:lvlText w:val=""/>
      <w:lvlJc w:val="left"/>
      <w:pPr>
        <w:ind w:left="5040" w:hanging="360"/>
      </w:pPr>
      <w:rPr>
        <w:rFonts w:ascii="Symbol" w:hAnsi="Symbol" w:hint="default"/>
      </w:rPr>
    </w:lvl>
    <w:lvl w:ilvl="7" w:tplc="65FE41B8">
      <w:start w:val="1"/>
      <w:numFmt w:val="bullet"/>
      <w:lvlText w:val="o"/>
      <w:lvlJc w:val="left"/>
      <w:pPr>
        <w:ind w:left="5760" w:hanging="360"/>
      </w:pPr>
      <w:rPr>
        <w:rFonts w:ascii="Courier New" w:hAnsi="Courier New" w:hint="default"/>
      </w:rPr>
    </w:lvl>
    <w:lvl w:ilvl="8" w:tplc="80746A54">
      <w:start w:val="1"/>
      <w:numFmt w:val="bullet"/>
      <w:lvlText w:val=""/>
      <w:lvlJc w:val="left"/>
      <w:pPr>
        <w:ind w:left="6480" w:hanging="360"/>
      </w:pPr>
      <w:rPr>
        <w:rFonts w:ascii="Wingdings" w:hAnsi="Wingdings" w:hint="default"/>
      </w:rPr>
    </w:lvl>
  </w:abstractNum>
  <w:abstractNum w:abstractNumId="663" w15:restartNumberingAfterBreak="0">
    <w:nsid w:val="70DFAB9D"/>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4" w15:restartNumberingAfterBreak="0">
    <w:nsid w:val="70E83BC6"/>
    <w:multiLevelType w:val="hybridMultilevel"/>
    <w:tmpl w:val="B77CB0D6"/>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65" w15:restartNumberingAfterBreak="0">
    <w:nsid w:val="70EA1A3D"/>
    <w:multiLevelType w:val="hybridMultilevel"/>
    <w:tmpl w:val="AE3CCAE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66" w15:restartNumberingAfterBreak="0">
    <w:nsid w:val="7105FF17"/>
    <w:multiLevelType w:val="hybridMultilevel"/>
    <w:tmpl w:val="FFFFFFFF"/>
    <w:lvl w:ilvl="0" w:tplc="CEEA69C6">
      <w:start w:val="1"/>
      <w:numFmt w:val="bullet"/>
      <w:lvlText w:val=""/>
      <w:lvlJc w:val="left"/>
      <w:pPr>
        <w:ind w:left="720" w:hanging="360"/>
      </w:pPr>
      <w:rPr>
        <w:rFonts w:ascii="Symbol" w:hAnsi="Symbol" w:hint="default"/>
      </w:rPr>
    </w:lvl>
    <w:lvl w:ilvl="1" w:tplc="660C72EA">
      <w:start w:val="1"/>
      <w:numFmt w:val="bullet"/>
      <w:lvlText w:val="-"/>
      <w:lvlJc w:val="left"/>
      <w:pPr>
        <w:ind w:left="1440" w:hanging="360"/>
      </w:pPr>
      <w:rPr>
        <w:rFonts w:ascii="Calibri" w:hAnsi="Calibri" w:hint="default"/>
      </w:rPr>
    </w:lvl>
    <w:lvl w:ilvl="2" w:tplc="D5025BAC">
      <w:start w:val="1"/>
      <w:numFmt w:val="bullet"/>
      <w:lvlText w:val=""/>
      <w:lvlJc w:val="left"/>
      <w:pPr>
        <w:ind w:left="2160" w:hanging="360"/>
      </w:pPr>
      <w:rPr>
        <w:rFonts w:ascii="Wingdings" w:hAnsi="Wingdings" w:hint="default"/>
      </w:rPr>
    </w:lvl>
    <w:lvl w:ilvl="3" w:tplc="72A4826A">
      <w:start w:val="1"/>
      <w:numFmt w:val="bullet"/>
      <w:lvlText w:val=""/>
      <w:lvlJc w:val="left"/>
      <w:pPr>
        <w:ind w:left="2880" w:hanging="360"/>
      </w:pPr>
      <w:rPr>
        <w:rFonts w:ascii="Symbol" w:hAnsi="Symbol" w:hint="default"/>
      </w:rPr>
    </w:lvl>
    <w:lvl w:ilvl="4" w:tplc="BB203824">
      <w:start w:val="1"/>
      <w:numFmt w:val="bullet"/>
      <w:lvlText w:val="o"/>
      <w:lvlJc w:val="left"/>
      <w:pPr>
        <w:ind w:left="3600" w:hanging="360"/>
      </w:pPr>
      <w:rPr>
        <w:rFonts w:ascii="Courier New" w:hAnsi="Courier New" w:hint="default"/>
      </w:rPr>
    </w:lvl>
    <w:lvl w:ilvl="5" w:tplc="1AC425EC">
      <w:start w:val="1"/>
      <w:numFmt w:val="bullet"/>
      <w:lvlText w:val=""/>
      <w:lvlJc w:val="left"/>
      <w:pPr>
        <w:ind w:left="4320" w:hanging="360"/>
      </w:pPr>
      <w:rPr>
        <w:rFonts w:ascii="Wingdings" w:hAnsi="Wingdings" w:hint="default"/>
      </w:rPr>
    </w:lvl>
    <w:lvl w:ilvl="6" w:tplc="4C3E4930">
      <w:start w:val="1"/>
      <w:numFmt w:val="bullet"/>
      <w:lvlText w:val=""/>
      <w:lvlJc w:val="left"/>
      <w:pPr>
        <w:ind w:left="5040" w:hanging="360"/>
      </w:pPr>
      <w:rPr>
        <w:rFonts w:ascii="Symbol" w:hAnsi="Symbol" w:hint="default"/>
      </w:rPr>
    </w:lvl>
    <w:lvl w:ilvl="7" w:tplc="0A523DF0">
      <w:start w:val="1"/>
      <w:numFmt w:val="bullet"/>
      <w:lvlText w:val="o"/>
      <w:lvlJc w:val="left"/>
      <w:pPr>
        <w:ind w:left="5760" w:hanging="360"/>
      </w:pPr>
      <w:rPr>
        <w:rFonts w:ascii="Courier New" w:hAnsi="Courier New" w:hint="default"/>
      </w:rPr>
    </w:lvl>
    <w:lvl w:ilvl="8" w:tplc="854A0FB4">
      <w:start w:val="1"/>
      <w:numFmt w:val="bullet"/>
      <w:lvlText w:val=""/>
      <w:lvlJc w:val="left"/>
      <w:pPr>
        <w:ind w:left="6480" w:hanging="360"/>
      </w:pPr>
      <w:rPr>
        <w:rFonts w:ascii="Wingdings" w:hAnsi="Wingdings" w:hint="default"/>
      </w:rPr>
    </w:lvl>
  </w:abstractNum>
  <w:abstractNum w:abstractNumId="667" w15:restartNumberingAfterBreak="0">
    <w:nsid w:val="71745158"/>
    <w:multiLevelType w:val="hybridMultilevel"/>
    <w:tmpl w:val="A19436BC"/>
    <w:lvl w:ilvl="0" w:tplc="FFFFFFFF">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8" w15:restartNumberingAfterBreak="0">
    <w:nsid w:val="71871271"/>
    <w:multiLevelType w:val="hybridMultilevel"/>
    <w:tmpl w:val="62364146"/>
    <w:lvl w:ilvl="0" w:tplc="561CD8F8">
      <w:start w:val="1"/>
      <w:numFmt w:val="bullet"/>
      <w:lvlText w:val="-"/>
      <w:lvlJc w:val="left"/>
      <w:pPr>
        <w:ind w:left="1069" w:hanging="360"/>
      </w:pPr>
      <w:rPr>
        <w:rFonts w:ascii="Calibri" w:hAnsi="Calibri"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Cambria Math" w:hAnsi="Cambria Math" w:hint="default"/>
      </w:rPr>
    </w:lvl>
    <w:lvl w:ilvl="3" w:tplc="FFFFFFFF" w:tentative="1">
      <w:start w:val="1"/>
      <w:numFmt w:val="bullet"/>
      <w:lvlText w:val=""/>
      <w:lvlJc w:val="left"/>
      <w:pPr>
        <w:ind w:left="3229" w:hanging="360"/>
      </w:pPr>
      <w:rPr>
        <w:rFonts w:ascii="Segoe UI" w:hAnsi="Segoe UI"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Cambria Math" w:hAnsi="Cambria Math" w:hint="default"/>
      </w:rPr>
    </w:lvl>
    <w:lvl w:ilvl="6" w:tplc="FFFFFFFF" w:tentative="1">
      <w:start w:val="1"/>
      <w:numFmt w:val="bullet"/>
      <w:lvlText w:val=""/>
      <w:lvlJc w:val="left"/>
      <w:pPr>
        <w:ind w:left="5389" w:hanging="360"/>
      </w:pPr>
      <w:rPr>
        <w:rFonts w:ascii="Segoe UI" w:hAnsi="Segoe UI"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Cambria Math" w:hAnsi="Cambria Math" w:hint="default"/>
      </w:rPr>
    </w:lvl>
  </w:abstractNum>
  <w:abstractNum w:abstractNumId="669" w15:restartNumberingAfterBreak="0">
    <w:nsid w:val="71EB1CC2"/>
    <w:multiLevelType w:val="hybridMultilevel"/>
    <w:tmpl w:val="3E84AF54"/>
    <w:lvl w:ilvl="0" w:tplc="18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70" w15:restartNumberingAfterBreak="0">
    <w:nsid w:val="72586C97"/>
    <w:multiLevelType w:val="multilevel"/>
    <w:tmpl w:val="566A9D42"/>
    <w:lvl w:ilvl="0">
      <w:start w:val="1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71" w15:restartNumberingAfterBreak="0">
    <w:nsid w:val="727FCEFD"/>
    <w:multiLevelType w:val="hybridMultilevel"/>
    <w:tmpl w:val="FFFFFFFF"/>
    <w:lvl w:ilvl="0" w:tplc="F02C7C3A">
      <w:start w:val="1"/>
      <w:numFmt w:val="bullet"/>
      <w:lvlText w:val=""/>
      <w:lvlJc w:val="left"/>
      <w:pPr>
        <w:ind w:left="720" w:hanging="360"/>
      </w:pPr>
      <w:rPr>
        <w:rFonts w:ascii="Segoe UI" w:hAnsi="Segoe UI" w:hint="default"/>
      </w:rPr>
    </w:lvl>
    <w:lvl w:ilvl="1" w:tplc="30D25C38">
      <w:start w:val="1"/>
      <w:numFmt w:val="bullet"/>
      <w:lvlText w:val="o"/>
      <w:lvlJc w:val="left"/>
      <w:pPr>
        <w:ind w:left="1440" w:hanging="360"/>
      </w:pPr>
      <w:rPr>
        <w:rFonts w:ascii="Courier New" w:hAnsi="Courier New" w:hint="default"/>
      </w:rPr>
    </w:lvl>
    <w:lvl w:ilvl="2" w:tplc="249613D4">
      <w:start w:val="1"/>
      <w:numFmt w:val="bullet"/>
      <w:lvlText w:val=""/>
      <w:lvlJc w:val="left"/>
      <w:pPr>
        <w:ind w:left="2160" w:hanging="360"/>
      </w:pPr>
      <w:rPr>
        <w:rFonts w:ascii="Cambria Math" w:hAnsi="Cambria Math" w:hint="default"/>
      </w:rPr>
    </w:lvl>
    <w:lvl w:ilvl="3" w:tplc="171616C4">
      <w:start w:val="1"/>
      <w:numFmt w:val="bullet"/>
      <w:lvlText w:val=""/>
      <w:lvlJc w:val="left"/>
      <w:pPr>
        <w:ind w:left="2880" w:hanging="360"/>
      </w:pPr>
      <w:rPr>
        <w:rFonts w:ascii="Segoe UI" w:hAnsi="Segoe UI" w:hint="default"/>
      </w:rPr>
    </w:lvl>
    <w:lvl w:ilvl="4" w:tplc="BED0D7CA">
      <w:start w:val="1"/>
      <w:numFmt w:val="bullet"/>
      <w:lvlText w:val="o"/>
      <w:lvlJc w:val="left"/>
      <w:pPr>
        <w:ind w:left="3600" w:hanging="360"/>
      </w:pPr>
      <w:rPr>
        <w:rFonts w:ascii="Courier New" w:hAnsi="Courier New" w:hint="default"/>
      </w:rPr>
    </w:lvl>
    <w:lvl w:ilvl="5" w:tplc="F81ABE2C">
      <w:start w:val="1"/>
      <w:numFmt w:val="bullet"/>
      <w:lvlText w:val=""/>
      <w:lvlJc w:val="left"/>
      <w:pPr>
        <w:ind w:left="4320" w:hanging="360"/>
      </w:pPr>
      <w:rPr>
        <w:rFonts w:ascii="Cambria Math" w:hAnsi="Cambria Math" w:hint="default"/>
      </w:rPr>
    </w:lvl>
    <w:lvl w:ilvl="6" w:tplc="2EDAE4CE">
      <w:start w:val="1"/>
      <w:numFmt w:val="bullet"/>
      <w:lvlText w:val=""/>
      <w:lvlJc w:val="left"/>
      <w:pPr>
        <w:ind w:left="5040" w:hanging="360"/>
      </w:pPr>
      <w:rPr>
        <w:rFonts w:ascii="Segoe UI" w:hAnsi="Segoe UI" w:hint="default"/>
      </w:rPr>
    </w:lvl>
    <w:lvl w:ilvl="7" w:tplc="49440FF6">
      <w:start w:val="1"/>
      <w:numFmt w:val="bullet"/>
      <w:lvlText w:val="o"/>
      <w:lvlJc w:val="left"/>
      <w:pPr>
        <w:ind w:left="5760" w:hanging="360"/>
      </w:pPr>
      <w:rPr>
        <w:rFonts w:ascii="Courier New" w:hAnsi="Courier New" w:hint="default"/>
      </w:rPr>
    </w:lvl>
    <w:lvl w:ilvl="8" w:tplc="D54A08C4">
      <w:start w:val="1"/>
      <w:numFmt w:val="bullet"/>
      <w:lvlText w:val=""/>
      <w:lvlJc w:val="left"/>
      <w:pPr>
        <w:ind w:left="6480" w:hanging="360"/>
      </w:pPr>
      <w:rPr>
        <w:rFonts w:ascii="Cambria Math" w:hAnsi="Cambria Math" w:hint="default"/>
      </w:rPr>
    </w:lvl>
  </w:abstractNum>
  <w:abstractNum w:abstractNumId="672" w15:restartNumberingAfterBreak="0">
    <w:nsid w:val="7286459C"/>
    <w:multiLevelType w:val="multilevel"/>
    <w:tmpl w:val="6A1AEF7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3" w15:restartNumberingAfterBreak="0">
    <w:nsid w:val="72951372"/>
    <w:multiLevelType w:val="hybridMultilevel"/>
    <w:tmpl w:val="396C761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74" w15:restartNumberingAfterBreak="0">
    <w:nsid w:val="737D4DD3"/>
    <w:multiLevelType w:val="hybridMultilevel"/>
    <w:tmpl w:val="BBF2DAE8"/>
    <w:lvl w:ilvl="0" w:tplc="1809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5" w15:restartNumberingAfterBreak="0">
    <w:nsid w:val="73803551"/>
    <w:multiLevelType w:val="hybridMultilevel"/>
    <w:tmpl w:val="FFFFFFFF"/>
    <w:lvl w:ilvl="0" w:tplc="F1586C76">
      <w:start w:val="1"/>
      <w:numFmt w:val="bullet"/>
      <w:lvlText w:val="·"/>
      <w:lvlJc w:val="left"/>
      <w:pPr>
        <w:ind w:left="720" w:hanging="360"/>
      </w:pPr>
      <w:rPr>
        <w:rFonts w:ascii="Symbol" w:hAnsi="Symbol" w:hint="default"/>
      </w:rPr>
    </w:lvl>
    <w:lvl w:ilvl="1" w:tplc="831C4390">
      <w:start w:val="1"/>
      <w:numFmt w:val="bullet"/>
      <w:lvlText w:val="o"/>
      <w:lvlJc w:val="left"/>
      <w:pPr>
        <w:ind w:left="1440" w:hanging="360"/>
      </w:pPr>
      <w:rPr>
        <w:rFonts w:ascii="Courier New" w:hAnsi="Courier New" w:hint="default"/>
      </w:rPr>
    </w:lvl>
    <w:lvl w:ilvl="2" w:tplc="513E2626">
      <w:start w:val="1"/>
      <w:numFmt w:val="bullet"/>
      <w:lvlText w:val=""/>
      <w:lvlJc w:val="left"/>
      <w:pPr>
        <w:ind w:left="2160" w:hanging="360"/>
      </w:pPr>
      <w:rPr>
        <w:rFonts w:ascii="Wingdings" w:hAnsi="Wingdings" w:hint="default"/>
      </w:rPr>
    </w:lvl>
    <w:lvl w:ilvl="3" w:tplc="064E1C5A">
      <w:start w:val="1"/>
      <w:numFmt w:val="bullet"/>
      <w:lvlText w:val=""/>
      <w:lvlJc w:val="left"/>
      <w:pPr>
        <w:ind w:left="2880" w:hanging="360"/>
      </w:pPr>
      <w:rPr>
        <w:rFonts w:ascii="Symbol" w:hAnsi="Symbol" w:hint="default"/>
      </w:rPr>
    </w:lvl>
    <w:lvl w:ilvl="4" w:tplc="EF703F82">
      <w:start w:val="1"/>
      <w:numFmt w:val="bullet"/>
      <w:lvlText w:val="o"/>
      <w:lvlJc w:val="left"/>
      <w:pPr>
        <w:ind w:left="3600" w:hanging="360"/>
      </w:pPr>
      <w:rPr>
        <w:rFonts w:ascii="Courier New" w:hAnsi="Courier New" w:hint="default"/>
      </w:rPr>
    </w:lvl>
    <w:lvl w:ilvl="5" w:tplc="C3763C70">
      <w:start w:val="1"/>
      <w:numFmt w:val="bullet"/>
      <w:lvlText w:val=""/>
      <w:lvlJc w:val="left"/>
      <w:pPr>
        <w:ind w:left="4320" w:hanging="360"/>
      </w:pPr>
      <w:rPr>
        <w:rFonts w:ascii="Wingdings" w:hAnsi="Wingdings" w:hint="default"/>
      </w:rPr>
    </w:lvl>
    <w:lvl w:ilvl="6" w:tplc="E146BA90">
      <w:start w:val="1"/>
      <w:numFmt w:val="bullet"/>
      <w:lvlText w:val=""/>
      <w:lvlJc w:val="left"/>
      <w:pPr>
        <w:ind w:left="5040" w:hanging="360"/>
      </w:pPr>
      <w:rPr>
        <w:rFonts w:ascii="Symbol" w:hAnsi="Symbol" w:hint="default"/>
      </w:rPr>
    </w:lvl>
    <w:lvl w:ilvl="7" w:tplc="987AE4D6">
      <w:start w:val="1"/>
      <w:numFmt w:val="bullet"/>
      <w:lvlText w:val="o"/>
      <w:lvlJc w:val="left"/>
      <w:pPr>
        <w:ind w:left="5760" w:hanging="360"/>
      </w:pPr>
      <w:rPr>
        <w:rFonts w:ascii="Courier New" w:hAnsi="Courier New" w:hint="default"/>
      </w:rPr>
    </w:lvl>
    <w:lvl w:ilvl="8" w:tplc="71821848">
      <w:start w:val="1"/>
      <w:numFmt w:val="bullet"/>
      <w:lvlText w:val=""/>
      <w:lvlJc w:val="left"/>
      <w:pPr>
        <w:ind w:left="6480" w:hanging="360"/>
      </w:pPr>
      <w:rPr>
        <w:rFonts w:ascii="Wingdings" w:hAnsi="Wingdings" w:hint="default"/>
      </w:rPr>
    </w:lvl>
  </w:abstractNum>
  <w:abstractNum w:abstractNumId="676" w15:restartNumberingAfterBreak="0">
    <w:nsid w:val="739B483A"/>
    <w:multiLevelType w:val="hybridMultilevel"/>
    <w:tmpl w:val="1FF2049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7" w15:restartNumberingAfterBreak="0">
    <w:nsid w:val="73D5F0CC"/>
    <w:multiLevelType w:val="hybridMultilevel"/>
    <w:tmpl w:val="FFFFFFFF"/>
    <w:lvl w:ilvl="0" w:tplc="00AAC428">
      <w:start w:val="1"/>
      <w:numFmt w:val="bullet"/>
      <w:lvlText w:val="·"/>
      <w:lvlJc w:val="left"/>
      <w:pPr>
        <w:ind w:left="720" w:hanging="360"/>
      </w:pPr>
      <w:rPr>
        <w:rFonts w:ascii="Symbol" w:hAnsi="Symbol" w:hint="default"/>
      </w:rPr>
    </w:lvl>
    <w:lvl w:ilvl="1" w:tplc="DF6CAFA8">
      <w:start w:val="1"/>
      <w:numFmt w:val="bullet"/>
      <w:lvlText w:val="o"/>
      <w:lvlJc w:val="left"/>
      <w:pPr>
        <w:ind w:left="1440" w:hanging="360"/>
      </w:pPr>
      <w:rPr>
        <w:rFonts w:ascii="Courier New" w:hAnsi="Courier New" w:hint="default"/>
      </w:rPr>
    </w:lvl>
    <w:lvl w:ilvl="2" w:tplc="6D7CBF90">
      <w:start w:val="1"/>
      <w:numFmt w:val="bullet"/>
      <w:lvlText w:val=""/>
      <w:lvlJc w:val="left"/>
      <w:pPr>
        <w:ind w:left="2160" w:hanging="360"/>
      </w:pPr>
      <w:rPr>
        <w:rFonts w:ascii="Wingdings" w:hAnsi="Wingdings" w:hint="default"/>
      </w:rPr>
    </w:lvl>
    <w:lvl w:ilvl="3" w:tplc="A27A90AC">
      <w:start w:val="1"/>
      <w:numFmt w:val="bullet"/>
      <w:lvlText w:val=""/>
      <w:lvlJc w:val="left"/>
      <w:pPr>
        <w:ind w:left="2880" w:hanging="360"/>
      </w:pPr>
      <w:rPr>
        <w:rFonts w:ascii="Symbol" w:hAnsi="Symbol" w:hint="default"/>
      </w:rPr>
    </w:lvl>
    <w:lvl w:ilvl="4" w:tplc="88B2BB7C">
      <w:start w:val="1"/>
      <w:numFmt w:val="bullet"/>
      <w:lvlText w:val="o"/>
      <w:lvlJc w:val="left"/>
      <w:pPr>
        <w:ind w:left="3600" w:hanging="360"/>
      </w:pPr>
      <w:rPr>
        <w:rFonts w:ascii="Courier New" w:hAnsi="Courier New" w:hint="default"/>
      </w:rPr>
    </w:lvl>
    <w:lvl w:ilvl="5" w:tplc="F5266F2A">
      <w:start w:val="1"/>
      <w:numFmt w:val="bullet"/>
      <w:lvlText w:val=""/>
      <w:lvlJc w:val="left"/>
      <w:pPr>
        <w:ind w:left="4320" w:hanging="360"/>
      </w:pPr>
      <w:rPr>
        <w:rFonts w:ascii="Wingdings" w:hAnsi="Wingdings" w:hint="default"/>
      </w:rPr>
    </w:lvl>
    <w:lvl w:ilvl="6" w:tplc="2ABE094C">
      <w:start w:val="1"/>
      <w:numFmt w:val="bullet"/>
      <w:lvlText w:val=""/>
      <w:lvlJc w:val="left"/>
      <w:pPr>
        <w:ind w:left="5040" w:hanging="360"/>
      </w:pPr>
      <w:rPr>
        <w:rFonts w:ascii="Symbol" w:hAnsi="Symbol" w:hint="default"/>
      </w:rPr>
    </w:lvl>
    <w:lvl w:ilvl="7" w:tplc="1764C5AE">
      <w:start w:val="1"/>
      <w:numFmt w:val="bullet"/>
      <w:lvlText w:val="o"/>
      <w:lvlJc w:val="left"/>
      <w:pPr>
        <w:ind w:left="5760" w:hanging="360"/>
      </w:pPr>
      <w:rPr>
        <w:rFonts w:ascii="Courier New" w:hAnsi="Courier New" w:hint="default"/>
      </w:rPr>
    </w:lvl>
    <w:lvl w:ilvl="8" w:tplc="2722CD54">
      <w:start w:val="1"/>
      <w:numFmt w:val="bullet"/>
      <w:lvlText w:val=""/>
      <w:lvlJc w:val="left"/>
      <w:pPr>
        <w:ind w:left="6480" w:hanging="360"/>
      </w:pPr>
      <w:rPr>
        <w:rFonts w:ascii="Wingdings" w:hAnsi="Wingdings" w:hint="default"/>
      </w:rPr>
    </w:lvl>
  </w:abstractNum>
  <w:abstractNum w:abstractNumId="678" w15:restartNumberingAfterBreak="0">
    <w:nsid w:val="73E84D6F"/>
    <w:multiLevelType w:val="multilevel"/>
    <w:tmpl w:val="C340F72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9" w15:restartNumberingAfterBreak="0">
    <w:nsid w:val="74203113"/>
    <w:multiLevelType w:val="hybridMultilevel"/>
    <w:tmpl w:val="2C982D38"/>
    <w:lvl w:ilvl="0" w:tplc="1809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6D606202">
      <w:numFmt w:val="bullet"/>
      <w:lvlText w:val="•"/>
      <w:lvlJc w:val="left"/>
      <w:pPr>
        <w:ind w:left="2340" w:hanging="720"/>
      </w:pPr>
      <w:rPr>
        <w:rFonts w:ascii="Times New Roman" w:eastAsia="Symbol" w:hAnsi="Times New Roman" w:cs="Times New Roman"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80" w15:restartNumberingAfterBreak="0">
    <w:nsid w:val="742E6556"/>
    <w:multiLevelType w:val="hybridMultilevel"/>
    <w:tmpl w:val="B6ECF0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81" w15:restartNumberingAfterBreak="0">
    <w:nsid w:val="74CFAB80"/>
    <w:multiLevelType w:val="hybridMultilevel"/>
    <w:tmpl w:val="FFFFFFFF"/>
    <w:lvl w:ilvl="0" w:tplc="7E0ABB5C">
      <w:start w:val="1"/>
      <w:numFmt w:val="bullet"/>
      <w:lvlText w:val=""/>
      <w:lvlJc w:val="left"/>
      <w:pPr>
        <w:ind w:left="720" w:hanging="360"/>
      </w:pPr>
      <w:rPr>
        <w:rFonts w:ascii="Symbol" w:hAnsi="Symbol" w:hint="default"/>
      </w:rPr>
    </w:lvl>
    <w:lvl w:ilvl="1" w:tplc="4AF62788">
      <w:start w:val="1"/>
      <w:numFmt w:val="bullet"/>
      <w:lvlText w:val="-"/>
      <w:lvlJc w:val="left"/>
      <w:pPr>
        <w:ind w:left="1440" w:hanging="360"/>
      </w:pPr>
      <w:rPr>
        <w:rFonts w:ascii="Calibri" w:hAnsi="Calibri" w:hint="default"/>
      </w:rPr>
    </w:lvl>
    <w:lvl w:ilvl="2" w:tplc="D674BEA8">
      <w:start w:val="1"/>
      <w:numFmt w:val="bullet"/>
      <w:lvlText w:val=""/>
      <w:lvlJc w:val="left"/>
      <w:pPr>
        <w:ind w:left="2160" w:hanging="360"/>
      </w:pPr>
      <w:rPr>
        <w:rFonts w:ascii="Wingdings" w:hAnsi="Wingdings" w:hint="default"/>
      </w:rPr>
    </w:lvl>
    <w:lvl w:ilvl="3" w:tplc="CCB2774E">
      <w:start w:val="1"/>
      <w:numFmt w:val="bullet"/>
      <w:lvlText w:val=""/>
      <w:lvlJc w:val="left"/>
      <w:pPr>
        <w:ind w:left="2880" w:hanging="360"/>
      </w:pPr>
      <w:rPr>
        <w:rFonts w:ascii="Symbol" w:hAnsi="Symbol" w:hint="default"/>
      </w:rPr>
    </w:lvl>
    <w:lvl w:ilvl="4" w:tplc="601C6A82">
      <w:start w:val="1"/>
      <w:numFmt w:val="bullet"/>
      <w:lvlText w:val="o"/>
      <w:lvlJc w:val="left"/>
      <w:pPr>
        <w:ind w:left="3600" w:hanging="360"/>
      </w:pPr>
      <w:rPr>
        <w:rFonts w:ascii="Courier New" w:hAnsi="Courier New" w:hint="default"/>
      </w:rPr>
    </w:lvl>
    <w:lvl w:ilvl="5" w:tplc="65D4D590">
      <w:start w:val="1"/>
      <w:numFmt w:val="bullet"/>
      <w:lvlText w:val=""/>
      <w:lvlJc w:val="left"/>
      <w:pPr>
        <w:ind w:left="4320" w:hanging="360"/>
      </w:pPr>
      <w:rPr>
        <w:rFonts w:ascii="Wingdings" w:hAnsi="Wingdings" w:hint="default"/>
      </w:rPr>
    </w:lvl>
    <w:lvl w:ilvl="6" w:tplc="92BA6D0C">
      <w:start w:val="1"/>
      <w:numFmt w:val="bullet"/>
      <w:lvlText w:val=""/>
      <w:lvlJc w:val="left"/>
      <w:pPr>
        <w:ind w:left="5040" w:hanging="360"/>
      </w:pPr>
      <w:rPr>
        <w:rFonts w:ascii="Symbol" w:hAnsi="Symbol" w:hint="default"/>
      </w:rPr>
    </w:lvl>
    <w:lvl w:ilvl="7" w:tplc="C674DD8C">
      <w:start w:val="1"/>
      <w:numFmt w:val="bullet"/>
      <w:lvlText w:val="o"/>
      <w:lvlJc w:val="left"/>
      <w:pPr>
        <w:ind w:left="5760" w:hanging="360"/>
      </w:pPr>
      <w:rPr>
        <w:rFonts w:ascii="Courier New" w:hAnsi="Courier New" w:hint="default"/>
      </w:rPr>
    </w:lvl>
    <w:lvl w:ilvl="8" w:tplc="BCD275FC">
      <w:start w:val="1"/>
      <w:numFmt w:val="bullet"/>
      <w:lvlText w:val=""/>
      <w:lvlJc w:val="left"/>
      <w:pPr>
        <w:ind w:left="6480" w:hanging="360"/>
      </w:pPr>
      <w:rPr>
        <w:rFonts w:ascii="Wingdings" w:hAnsi="Wingdings" w:hint="default"/>
      </w:rPr>
    </w:lvl>
  </w:abstractNum>
  <w:abstractNum w:abstractNumId="682" w15:restartNumberingAfterBreak="0">
    <w:nsid w:val="74D08EB9"/>
    <w:multiLevelType w:val="hybridMultilevel"/>
    <w:tmpl w:val="FFFFFFFF"/>
    <w:lvl w:ilvl="0" w:tplc="E9669072">
      <w:start w:val="10"/>
      <w:numFmt w:val="decimal"/>
      <w:lvlText w:val="%1."/>
      <w:lvlJc w:val="left"/>
      <w:pPr>
        <w:ind w:left="720" w:hanging="360"/>
      </w:pPr>
    </w:lvl>
    <w:lvl w:ilvl="1" w:tplc="E6C47B78">
      <w:start w:val="1"/>
      <w:numFmt w:val="lowerLetter"/>
      <w:lvlText w:val="%2."/>
      <w:lvlJc w:val="left"/>
      <w:pPr>
        <w:ind w:left="1440" w:hanging="360"/>
      </w:pPr>
    </w:lvl>
    <w:lvl w:ilvl="2" w:tplc="0E2A9FA2">
      <w:start w:val="1"/>
      <w:numFmt w:val="lowerRoman"/>
      <w:lvlText w:val="%3."/>
      <w:lvlJc w:val="right"/>
      <w:pPr>
        <w:ind w:left="2160" w:hanging="180"/>
      </w:pPr>
    </w:lvl>
    <w:lvl w:ilvl="3" w:tplc="70969F18">
      <w:start w:val="1"/>
      <w:numFmt w:val="decimal"/>
      <w:lvlText w:val="%4."/>
      <w:lvlJc w:val="left"/>
      <w:pPr>
        <w:ind w:left="2880" w:hanging="360"/>
      </w:pPr>
    </w:lvl>
    <w:lvl w:ilvl="4" w:tplc="E8F6D386">
      <w:start w:val="1"/>
      <w:numFmt w:val="lowerLetter"/>
      <w:lvlText w:val="%5."/>
      <w:lvlJc w:val="left"/>
      <w:pPr>
        <w:ind w:left="3600" w:hanging="360"/>
      </w:pPr>
    </w:lvl>
    <w:lvl w:ilvl="5" w:tplc="4ACCECA2">
      <w:start w:val="1"/>
      <w:numFmt w:val="lowerRoman"/>
      <w:lvlText w:val="%6."/>
      <w:lvlJc w:val="right"/>
      <w:pPr>
        <w:ind w:left="4320" w:hanging="180"/>
      </w:pPr>
    </w:lvl>
    <w:lvl w:ilvl="6" w:tplc="B5D67D2A">
      <w:start w:val="1"/>
      <w:numFmt w:val="decimal"/>
      <w:lvlText w:val="%7."/>
      <w:lvlJc w:val="left"/>
      <w:pPr>
        <w:ind w:left="5040" w:hanging="360"/>
      </w:pPr>
    </w:lvl>
    <w:lvl w:ilvl="7" w:tplc="47481278">
      <w:start w:val="1"/>
      <w:numFmt w:val="lowerLetter"/>
      <w:lvlText w:val="%8."/>
      <w:lvlJc w:val="left"/>
      <w:pPr>
        <w:ind w:left="5760" w:hanging="360"/>
      </w:pPr>
    </w:lvl>
    <w:lvl w:ilvl="8" w:tplc="DA323166">
      <w:start w:val="1"/>
      <w:numFmt w:val="lowerRoman"/>
      <w:lvlText w:val="%9."/>
      <w:lvlJc w:val="right"/>
      <w:pPr>
        <w:ind w:left="6480" w:hanging="180"/>
      </w:pPr>
    </w:lvl>
  </w:abstractNum>
  <w:abstractNum w:abstractNumId="683" w15:restartNumberingAfterBreak="0">
    <w:nsid w:val="74F64C9D"/>
    <w:multiLevelType w:val="hybridMultilevel"/>
    <w:tmpl w:val="B7C6D544"/>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4" w15:restartNumberingAfterBreak="0">
    <w:nsid w:val="750A7F51"/>
    <w:multiLevelType w:val="hybridMultilevel"/>
    <w:tmpl w:val="70F03E56"/>
    <w:lvl w:ilvl="0" w:tplc="B38CA8B0">
      <w:start w:val="1"/>
      <w:numFmt w:val="decimal"/>
      <w:lvlText w:val="%1."/>
      <w:lvlJc w:val="left"/>
      <w:pPr>
        <w:ind w:left="720" w:hanging="360"/>
      </w:pPr>
    </w:lvl>
    <w:lvl w:ilvl="1" w:tplc="09AE9C1E">
      <w:start w:val="1"/>
      <w:numFmt w:val="lowerLetter"/>
      <w:lvlText w:val="%2."/>
      <w:lvlJc w:val="left"/>
      <w:pPr>
        <w:ind w:left="1440" w:hanging="360"/>
      </w:pPr>
    </w:lvl>
    <w:lvl w:ilvl="2" w:tplc="B0B0DB4C">
      <w:start w:val="1"/>
      <w:numFmt w:val="lowerRoman"/>
      <w:lvlText w:val="%3."/>
      <w:lvlJc w:val="right"/>
      <w:pPr>
        <w:ind w:left="2160" w:hanging="180"/>
      </w:pPr>
    </w:lvl>
    <w:lvl w:ilvl="3" w:tplc="B23A0C7C">
      <w:start w:val="1"/>
      <w:numFmt w:val="decimal"/>
      <w:lvlText w:val="%4."/>
      <w:lvlJc w:val="left"/>
      <w:pPr>
        <w:ind w:left="2880" w:hanging="360"/>
      </w:pPr>
    </w:lvl>
    <w:lvl w:ilvl="4" w:tplc="69DC798A">
      <w:start w:val="1"/>
      <w:numFmt w:val="lowerLetter"/>
      <w:lvlText w:val="%5."/>
      <w:lvlJc w:val="left"/>
      <w:pPr>
        <w:ind w:left="3600" w:hanging="360"/>
      </w:pPr>
    </w:lvl>
    <w:lvl w:ilvl="5" w:tplc="07105AB2">
      <w:start w:val="1"/>
      <w:numFmt w:val="lowerRoman"/>
      <w:lvlText w:val="%6."/>
      <w:lvlJc w:val="right"/>
      <w:pPr>
        <w:ind w:left="4320" w:hanging="180"/>
      </w:pPr>
    </w:lvl>
    <w:lvl w:ilvl="6" w:tplc="C56EBF6C">
      <w:start w:val="1"/>
      <w:numFmt w:val="decimal"/>
      <w:lvlText w:val="%7."/>
      <w:lvlJc w:val="left"/>
      <w:pPr>
        <w:ind w:left="5040" w:hanging="360"/>
      </w:pPr>
    </w:lvl>
    <w:lvl w:ilvl="7" w:tplc="259417C0">
      <w:start w:val="1"/>
      <w:numFmt w:val="lowerLetter"/>
      <w:lvlText w:val="%8."/>
      <w:lvlJc w:val="left"/>
      <w:pPr>
        <w:ind w:left="5760" w:hanging="360"/>
      </w:pPr>
    </w:lvl>
    <w:lvl w:ilvl="8" w:tplc="8ECA402C">
      <w:start w:val="1"/>
      <w:numFmt w:val="lowerRoman"/>
      <w:lvlText w:val="%9."/>
      <w:lvlJc w:val="right"/>
      <w:pPr>
        <w:ind w:left="6480" w:hanging="180"/>
      </w:pPr>
    </w:lvl>
  </w:abstractNum>
  <w:abstractNum w:abstractNumId="685" w15:restartNumberingAfterBreak="0">
    <w:nsid w:val="751D23BE"/>
    <w:multiLevelType w:val="hybridMultilevel"/>
    <w:tmpl w:val="D83C1824"/>
    <w:lvl w:ilvl="0" w:tplc="0C0A0001">
      <w:start w:val="1"/>
      <w:numFmt w:val="bullet"/>
      <w:lvlText w:val=""/>
      <w:lvlJc w:val="left"/>
      <w:pPr>
        <w:ind w:left="1460" w:hanging="360"/>
      </w:pPr>
      <w:rPr>
        <w:rFonts w:ascii="Symbol" w:hAnsi="Symbol" w:hint="default"/>
      </w:rPr>
    </w:lvl>
    <w:lvl w:ilvl="1" w:tplc="0C0A0003" w:tentative="1">
      <w:start w:val="1"/>
      <w:numFmt w:val="bullet"/>
      <w:lvlText w:val="o"/>
      <w:lvlJc w:val="left"/>
      <w:pPr>
        <w:ind w:left="2180" w:hanging="360"/>
      </w:pPr>
      <w:rPr>
        <w:rFonts w:ascii="Courier New" w:hAnsi="Courier New" w:cs="Courier New" w:hint="default"/>
      </w:rPr>
    </w:lvl>
    <w:lvl w:ilvl="2" w:tplc="0C0A0005" w:tentative="1">
      <w:start w:val="1"/>
      <w:numFmt w:val="bullet"/>
      <w:lvlText w:val=""/>
      <w:lvlJc w:val="left"/>
      <w:pPr>
        <w:ind w:left="2900" w:hanging="360"/>
      </w:pPr>
      <w:rPr>
        <w:rFonts w:ascii="Wingdings" w:hAnsi="Wingdings" w:hint="default"/>
      </w:rPr>
    </w:lvl>
    <w:lvl w:ilvl="3" w:tplc="0C0A0001" w:tentative="1">
      <w:start w:val="1"/>
      <w:numFmt w:val="bullet"/>
      <w:lvlText w:val=""/>
      <w:lvlJc w:val="left"/>
      <w:pPr>
        <w:ind w:left="3620" w:hanging="360"/>
      </w:pPr>
      <w:rPr>
        <w:rFonts w:ascii="Symbol" w:hAnsi="Symbol" w:hint="default"/>
      </w:rPr>
    </w:lvl>
    <w:lvl w:ilvl="4" w:tplc="0C0A0003" w:tentative="1">
      <w:start w:val="1"/>
      <w:numFmt w:val="bullet"/>
      <w:lvlText w:val="o"/>
      <w:lvlJc w:val="left"/>
      <w:pPr>
        <w:ind w:left="4340" w:hanging="360"/>
      </w:pPr>
      <w:rPr>
        <w:rFonts w:ascii="Courier New" w:hAnsi="Courier New" w:cs="Courier New" w:hint="default"/>
      </w:rPr>
    </w:lvl>
    <w:lvl w:ilvl="5" w:tplc="0C0A0005" w:tentative="1">
      <w:start w:val="1"/>
      <w:numFmt w:val="bullet"/>
      <w:lvlText w:val=""/>
      <w:lvlJc w:val="left"/>
      <w:pPr>
        <w:ind w:left="5060" w:hanging="360"/>
      </w:pPr>
      <w:rPr>
        <w:rFonts w:ascii="Wingdings" w:hAnsi="Wingdings" w:hint="default"/>
      </w:rPr>
    </w:lvl>
    <w:lvl w:ilvl="6" w:tplc="0C0A0001" w:tentative="1">
      <w:start w:val="1"/>
      <w:numFmt w:val="bullet"/>
      <w:lvlText w:val=""/>
      <w:lvlJc w:val="left"/>
      <w:pPr>
        <w:ind w:left="5780" w:hanging="360"/>
      </w:pPr>
      <w:rPr>
        <w:rFonts w:ascii="Symbol" w:hAnsi="Symbol" w:hint="default"/>
      </w:rPr>
    </w:lvl>
    <w:lvl w:ilvl="7" w:tplc="0C0A0003" w:tentative="1">
      <w:start w:val="1"/>
      <w:numFmt w:val="bullet"/>
      <w:lvlText w:val="o"/>
      <w:lvlJc w:val="left"/>
      <w:pPr>
        <w:ind w:left="6500" w:hanging="360"/>
      </w:pPr>
      <w:rPr>
        <w:rFonts w:ascii="Courier New" w:hAnsi="Courier New" w:cs="Courier New" w:hint="default"/>
      </w:rPr>
    </w:lvl>
    <w:lvl w:ilvl="8" w:tplc="0C0A0005" w:tentative="1">
      <w:start w:val="1"/>
      <w:numFmt w:val="bullet"/>
      <w:lvlText w:val=""/>
      <w:lvlJc w:val="left"/>
      <w:pPr>
        <w:ind w:left="7220" w:hanging="360"/>
      </w:pPr>
      <w:rPr>
        <w:rFonts w:ascii="Wingdings" w:hAnsi="Wingdings" w:hint="default"/>
      </w:rPr>
    </w:lvl>
  </w:abstractNum>
  <w:abstractNum w:abstractNumId="686" w15:restartNumberingAfterBreak="0">
    <w:nsid w:val="752D060D"/>
    <w:multiLevelType w:val="hybridMultilevel"/>
    <w:tmpl w:val="A490964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87" w15:restartNumberingAfterBreak="0">
    <w:nsid w:val="753C5BA9"/>
    <w:multiLevelType w:val="hybridMultilevel"/>
    <w:tmpl w:val="99C0C08E"/>
    <w:lvl w:ilvl="0" w:tplc="0409000F">
      <w:start w:val="1"/>
      <w:numFmt w:val="decimal"/>
      <w:lvlText w:val="%1."/>
      <w:lvlJc w:val="left"/>
      <w:pPr>
        <w:ind w:left="-3872" w:hanging="360"/>
      </w:pPr>
    </w:lvl>
    <w:lvl w:ilvl="1" w:tplc="04090019">
      <w:start w:val="1"/>
      <w:numFmt w:val="lowerLetter"/>
      <w:lvlText w:val="%2."/>
      <w:lvlJc w:val="left"/>
      <w:pPr>
        <w:ind w:left="-3152" w:hanging="360"/>
      </w:pPr>
    </w:lvl>
    <w:lvl w:ilvl="2" w:tplc="0409001B" w:tentative="1">
      <w:start w:val="1"/>
      <w:numFmt w:val="lowerRoman"/>
      <w:lvlText w:val="%3."/>
      <w:lvlJc w:val="right"/>
      <w:pPr>
        <w:ind w:left="-2432" w:hanging="180"/>
      </w:pPr>
    </w:lvl>
    <w:lvl w:ilvl="3" w:tplc="0409000F" w:tentative="1">
      <w:start w:val="1"/>
      <w:numFmt w:val="decimal"/>
      <w:lvlText w:val="%4."/>
      <w:lvlJc w:val="left"/>
      <w:pPr>
        <w:ind w:left="-1712" w:hanging="360"/>
      </w:pPr>
    </w:lvl>
    <w:lvl w:ilvl="4" w:tplc="04090019" w:tentative="1">
      <w:start w:val="1"/>
      <w:numFmt w:val="lowerLetter"/>
      <w:lvlText w:val="%5."/>
      <w:lvlJc w:val="left"/>
      <w:pPr>
        <w:ind w:left="-992" w:hanging="360"/>
      </w:pPr>
    </w:lvl>
    <w:lvl w:ilvl="5" w:tplc="0409001B" w:tentative="1">
      <w:start w:val="1"/>
      <w:numFmt w:val="lowerRoman"/>
      <w:lvlText w:val="%6."/>
      <w:lvlJc w:val="right"/>
      <w:pPr>
        <w:ind w:left="-272" w:hanging="180"/>
      </w:pPr>
    </w:lvl>
    <w:lvl w:ilvl="6" w:tplc="0409000F" w:tentative="1">
      <w:start w:val="1"/>
      <w:numFmt w:val="decimal"/>
      <w:lvlText w:val="%7."/>
      <w:lvlJc w:val="left"/>
      <w:pPr>
        <w:ind w:left="448" w:hanging="360"/>
      </w:pPr>
    </w:lvl>
    <w:lvl w:ilvl="7" w:tplc="04090019" w:tentative="1">
      <w:start w:val="1"/>
      <w:numFmt w:val="lowerLetter"/>
      <w:lvlText w:val="%8."/>
      <w:lvlJc w:val="left"/>
      <w:pPr>
        <w:ind w:left="1168" w:hanging="360"/>
      </w:pPr>
    </w:lvl>
    <w:lvl w:ilvl="8" w:tplc="0409001B">
      <w:start w:val="1"/>
      <w:numFmt w:val="lowerRoman"/>
      <w:lvlText w:val="%9."/>
      <w:lvlJc w:val="right"/>
      <w:pPr>
        <w:ind w:left="1888" w:hanging="180"/>
      </w:pPr>
    </w:lvl>
  </w:abstractNum>
  <w:abstractNum w:abstractNumId="688" w15:restartNumberingAfterBreak="0">
    <w:nsid w:val="753D6644"/>
    <w:multiLevelType w:val="hybridMultilevel"/>
    <w:tmpl w:val="0F8E2BD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9" w15:restartNumberingAfterBreak="0">
    <w:nsid w:val="75447ECE"/>
    <w:multiLevelType w:val="hybridMultilevel"/>
    <w:tmpl w:val="05AAC7A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90" w15:restartNumberingAfterBreak="0">
    <w:nsid w:val="755516F6"/>
    <w:multiLevelType w:val="hybridMultilevel"/>
    <w:tmpl w:val="4E7C846A"/>
    <w:lvl w:ilvl="0" w:tplc="B65EBF50">
      <w:start w:val="1"/>
      <w:numFmt w:val="lowerRoman"/>
      <w:lvlText w:val="%1."/>
      <w:lvlJc w:val="right"/>
      <w:pPr>
        <w:ind w:left="1080" w:hanging="360"/>
      </w:pPr>
      <w:rPr>
        <w:rFonts w:hint="default"/>
        <w:color w:val="7030A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91" w15:restartNumberingAfterBreak="0">
    <w:nsid w:val="755D41BE"/>
    <w:multiLevelType w:val="multilevel"/>
    <w:tmpl w:val="01C0A1CC"/>
    <w:lvl w:ilvl="0">
      <w:start w:val="1"/>
      <w:numFmt w:val="bullet"/>
      <w:lvlText w:val=""/>
      <w:lvlJc w:val="left"/>
      <w:pPr>
        <w:tabs>
          <w:tab w:val="num" w:pos="720"/>
        </w:tabs>
        <w:ind w:left="720" w:hanging="360"/>
      </w:pPr>
      <w:rPr>
        <w:rFonts w:ascii="Symbol" w:hAnsi="Symbol" w:hint="default"/>
        <w:sz w:val="20"/>
      </w:rPr>
    </w:lvl>
    <w:lvl w:ilvl="1">
      <w:start w:val="2023"/>
      <w:numFmt w:val="decimal"/>
      <w:lvlText w:val="%2"/>
      <w:lvlJc w:val="left"/>
      <w:pPr>
        <w:ind w:left="1440" w:hanging="360"/>
      </w:pPr>
      <w:rPr>
        <w:rFonts w:eastAsia="Times New Roman" w:hint="default"/>
        <w:color w:val="548DD4" w:themeColor="text2" w:themeTint="99"/>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2" w15:restartNumberingAfterBreak="0">
    <w:nsid w:val="75644865"/>
    <w:multiLevelType w:val="hybridMultilevel"/>
    <w:tmpl w:val="2698E86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3" w15:restartNumberingAfterBreak="0">
    <w:nsid w:val="75940135"/>
    <w:multiLevelType w:val="multilevel"/>
    <w:tmpl w:val="0ABE7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4" w15:restartNumberingAfterBreak="0">
    <w:nsid w:val="759C3BE0"/>
    <w:multiLevelType w:val="multilevel"/>
    <w:tmpl w:val="9B78D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5" w15:restartNumberingAfterBreak="0">
    <w:nsid w:val="759F26AC"/>
    <w:multiLevelType w:val="hybridMultilevel"/>
    <w:tmpl w:val="FFFFFFFF"/>
    <w:lvl w:ilvl="0" w:tplc="F3523702">
      <w:start w:val="1"/>
      <w:numFmt w:val="bullet"/>
      <w:lvlText w:val=""/>
      <w:lvlJc w:val="left"/>
      <w:pPr>
        <w:ind w:left="720" w:hanging="360"/>
      </w:pPr>
      <w:rPr>
        <w:rFonts w:ascii="Symbol" w:hAnsi="Symbol" w:hint="default"/>
      </w:rPr>
    </w:lvl>
    <w:lvl w:ilvl="1" w:tplc="B20E5D48">
      <w:start w:val="1"/>
      <w:numFmt w:val="bullet"/>
      <w:lvlText w:val="o"/>
      <w:lvlJc w:val="left"/>
      <w:pPr>
        <w:ind w:left="1440" w:hanging="360"/>
      </w:pPr>
      <w:rPr>
        <w:rFonts w:ascii="Courier New" w:hAnsi="Courier New" w:hint="default"/>
      </w:rPr>
    </w:lvl>
    <w:lvl w:ilvl="2" w:tplc="F5F0908A">
      <w:start w:val="1"/>
      <w:numFmt w:val="bullet"/>
      <w:lvlText w:val=""/>
      <w:lvlJc w:val="left"/>
      <w:pPr>
        <w:ind w:left="2160" w:hanging="360"/>
      </w:pPr>
      <w:rPr>
        <w:rFonts w:ascii="Wingdings" w:hAnsi="Wingdings" w:hint="default"/>
      </w:rPr>
    </w:lvl>
    <w:lvl w:ilvl="3" w:tplc="68D084CC">
      <w:start w:val="1"/>
      <w:numFmt w:val="bullet"/>
      <w:lvlText w:val=""/>
      <w:lvlJc w:val="left"/>
      <w:pPr>
        <w:ind w:left="2880" w:hanging="360"/>
      </w:pPr>
      <w:rPr>
        <w:rFonts w:ascii="Symbol" w:hAnsi="Symbol" w:hint="default"/>
      </w:rPr>
    </w:lvl>
    <w:lvl w:ilvl="4" w:tplc="EB549A46">
      <w:start w:val="1"/>
      <w:numFmt w:val="bullet"/>
      <w:lvlText w:val="o"/>
      <w:lvlJc w:val="left"/>
      <w:pPr>
        <w:ind w:left="3600" w:hanging="360"/>
      </w:pPr>
      <w:rPr>
        <w:rFonts w:ascii="Courier New" w:hAnsi="Courier New" w:hint="default"/>
      </w:rPr>
    </w:lvl>
    <w:lvl w:ilvl="5" w:tplc="109C9360">
      <w:start w:val="1"/>
      <w:numFmt w:val="bullet"/>
      <w:lvlText w:val=""/>
      <w:lvlJc w:val="left"/>
      <w:pPr>
        <w:ind w:left="4320" w:hanging="360"/>
      </w:pPr>
      <w:rPr>
        <w:rFonts w:ascii="Wingdings" w:hAnsi="Wingdings" w:hint="default"/>
      </w:rPr>
    </w:lvl>
    <w:lvl w:ilvl="6" w:tplc="2F5C5C86">
      <w:start w:val="1"/>
      <w:numFmt w:val="bullet"/>
      <w:lvlText w:val=""/>
      <w:lvlJc w:val="left"/>
      <w:pPr>
        <w:ind w:left="5040" w:hanging="360"/>
      </w:pPr>
      <w:rPr>
        <w:rFonts w:ascii="Symbol" w:hAnsi="Symbol" w:hint="default"/>
      </w:rPr>
    </w:lvl>
    <w:lvl w:ilvl="7" w:tplc="064E19E8">
      <w:start w:val="1"/>
      <w:numFmt w:val="bullet"/>
      <w:lvlText w:val="o"/>
      <w:lvlJc w:val="left"/>
      <w:pPr>
        <w:ind w:left="5760" w:hanging="360"/>
      </w:pPr>
      <w:rPr>
        <w:rFonts w:ascii="Courier New" w:hAnsi="Courier New" w:hint="default"/>
      </w:rPr>
    </w:lvl>
    <w:lvl w:ilvl="8" w:tplc="3C24B684">
      <w:start w:val="1"/>
      <w:numFmt w:val="bullet"/>
      <w:lvlText w:val=""/>
      <w:lvlJc w:val="left"/>
      <w:pPr>
        <w:ind w:left="6480" w:hanging="360"/>
      </w:pPr>
      <w:rPr>
        <w:rFonts w:ascii="Wingdings" w:hAnsi="Wingdings" w:hint="default"/>
      </w:rPr>
    </w:lvl>
  </w:abstractNum>
  <w:abstractNum w:abstractNumId="696" w15:restartNumberingAfterBreak="0">
    <w:nsid w:val="75A051E3"/>
    <w:multiLevelType w:val="multilevel"/>
    <w:tmpl w:val="5E58CE5C"/>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97" w15:restartNumberingAfterBreak="0">
    <w:nsid w:val="75A46586"/>
    <w:multiLevelType w:val="hybridMultilevel"/>
    <w:tmpl w:val="3EC8F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8" w15:restartNumberingAfterBreak="0">
    <w:nsid w:val="75E2E40D"/>
    <w:multiLevelType w:val="hybridMultilevel"/>
    <w:tmpl w:val="FFFFFFFF"/>
    <w:lvl w:ilvl="0" w:tplc="8BBAF528">
      <w:start w:val="1"/>
      <w:numFmt w:val="bullet"/>
      <w:lvlText w:val=""/>
      <w:lvlJc w:val="left"/>
      <w:pPr>
        <w:ind w:left="720" w:hanging="360"/>
      </w:pPr>
      <w:rPr>
        <w:rFonts w:ascii="Symbol" w:hAnsi="Symbol" w:hint="default"/>
      </w:rPr>
    </w:lvl>
    <w:lvl w:ilvl="1" w:tplc="8CF88772">
      <w:start w:val="1"/>
      <w:numFmt w:val="bullet"/>
      <w:lvlText w:val="-"/>
      <w:lvlJc w:val="left"/>
      <w:pPr>
        <w:ind w:left="1440" w:hanging="360"/>
      </w:pPr>
      <w:rPr>
        <w:rFonts w:ascii="Calibri" w:hAnsi="Calibri" w:hint="default"/>
      </w:rPr>
    </w:lvl>
    <w:lvl w:ilvl="2" w:tplc="CB04EB02">
      <w:start w:val="1"/>
      <w:numFmt w:val="bullet"/>
      <w:lvlText w:val=""/>
      <w:lvlJc w:val="left"/>
      <w:pPr>
        <w:ind w:left="2160" w:hanging="360"/>
      </w:pPr>
      <w:rPr>
        <w:rFonts w:ascii="Wingdings" w:hAnsi="Wingdings" w:hint="default"/>
      </w:rPr>
    </w:lvl>
    <w:lvl w:ilvl="3" w:tplc="376EFA6E">
      <w:start w:val="1"/>
      <w:numFmt w:val="bullet"/>
      <w:lvlText w:val=""/>
      <w:lvlJc w:val="left"/>
      <w:pPr>
        <w:ind w:left="2880" w:hanging="360"/>
      </w:pPr>
      <w:rPr>
        <w:rFonts w:ascii="Symbol" w:hAnsi="Symbol" w:hint="default"/>
      </w:rPr>
    </w:lvl>
    <w:lvl w:ilvl="4" w:tplc="F8687A8C">
      <w:start w:val="1"/>
      <w:numFmt w:val="bullet"/>
      <w:lvlText w:val="o"/>
      <w:lvlJc w:val="left"/>
      <w:pPr>
        <w:ind w:left="3600" w:hanging="360"/>
      </w:pPr>
      <w:rPr>
        <w:rFonts w:ascii="Courier New" w:hAnsi="Courier New" w:hint="default"/>
      </w:rPr>
    </w:lvl>
    <w:lvl w:ilvl="5" w:tplc="C2641544">
      <w:start w:val="1"/>
      <w:numFmt w:val="bullet"/>
      <w:lvlText w:val=""/>
      <w:lvlJc w:val="left"/>
      <w:pPr>
        <w:ind w:left="4320" w:hanging="360"/>
      </w:pPr>
      <w:rPr>
        <w:rFonts w:ascii="Wingdings" w:hAnsi="Wingdings" w:hint="default"/>
      </w:rPr>
    </w:lvl>
    <w:lvl w:ilvl="6" w:tplc="2660AD78">
      <w:start w:val="1"/>
      <w:numFmt w:val="bullet"/>
      <w:lvlText w:val=""/>
      <w:lvlJc w:val="left"/>
      <w:pPr>
        <w:ind w:left="5040" w:hanging="360"/>
      </w:pPr>
      <w:rPr>
        <w:rFonts w:ascii="Symbol" w:hAnsi="Symbol" w:hint="default"/>
      </w:rPr>
    </w:lvl>
    <w:lvl w:ilvl="7" w:tplc="7A7ECEEA">
      <w:start w:val="1"/>
      <w:numFmt w:val="bullet"/>
      <w:lvlText w:val="o"/>
      <w:lvlJc w:val="left"/>
      <w:pPr>
        <w:ind w:left="5760" w:hanging="360"/>
      </w:pPr>
      <w:rPr>
        <w:rFonts w:ascii="Courier New" w:hAnsi="Courier New" w:hint="default"/>
      </w:rPr>
    </w:lvl>
    <w:lvl w:ilvl="8" w:tplc="8470220C">
      <w:start w:val="1"/>
      <w:numFmt w:val="bullet"/>
      <w:lvlText w:val=""/>
      <w:lvlJc w:val="left"/>
      <w:pPr>
        <w:ind w:left="6480" w:hanging="360"/>
      </w:pPr>
      <w:rPr>
        <w:rFonts w:ascii="Wingdings" w:hAnsi="Wingdings" w:hint="default"/>
      </w:rPr>
    </w:lvl>
  </w:abstractNum>
  <w:abstractNum w:abstractNumId="699" w15:restartNumberingAfterBreak="0">
    <w:nsid w:val="75E51489"/>
    <w:multiLevelType w:val="hybridMultilevel"/>
    <w:tmpl w:val="F89881B8"/>
    <w:lvl w:ilvl="0" w:tplc="1809001B">
      <w:start w:val="1"/>
      <w:numFmt w:val="lowerRoman"/>
      <w:lvlText w:val="%1."/>
      <w:lvlJc w:val="right"/>
      <w:pPr>
        <w:ind w:left="1440" w:hanging="360"/>
      </w:pPr>
    </w:lvl>
    <w:lvl w:ilvl="1" w:tplc="B7303C30">
      <w:start w:val="2"/>
      <w:numFmt w:val="bullet"/>
      <w:lvlText w:val="-"/>
      <w:lvlJc w:val="left"/>
      <w:pPr>
        <w:ind w:left="1080" w:hanging="360"/>
      </w:pPr>
      <w:rPr>
        <w:rFonts w:ascii="Calibri" w:eastAsiaTheme="minorHAnsi" w:hAnsi="Calibri" w:cs="Calibri" w:hint="default"/>
      </w:rPr>
    </w:lvl>
    <w:lvl w:ilvl="2" w:tplc="1809001B">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700" w15:restartNumberingAfterBreak="0">
    <w:nsid w:val="75F74C4C"/>
    <w:multiLevelType w:val="hybridMultilevel"/>
    <w:tmpl w:val="BCACA684"/>
    <w:lvl w:ilvl="0" w:tplc="FFFFFFFF">
      <w:start w:val="1"/>
      <w:numFmt w:val="decimal"/>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1" w15:restartNumberingAfterBreak="0">
    <w:nsid w:val="769F7C97"/>
    <w:multiLevelType w:val="hybridMultilevel"/>
    <w:tmpl w:val="E7E01118"/>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2" w15:restartNumberingAfterBreak="0">
    <w:nsid w:val="76B69A53"/>
    <w:multiLevelType w:val="hybridMultilevel"/>
    <w:tmpl w:val="FFFFFFFF"/>
    <w:lvl w:ilvl="0" w:tplc="D3C00F80">
      <w:start w:val="1"/>
      <w:numFmt w:val="bullet"/>
      <w:lvlText w:val="·"/>
      <w:lvlJc w:val="left"/>
      <w:pPr>
        <w:ind w:left="720" w:hanging="360"/>
      </w:pPr>
      <w:rPr>
        <w:rFonts w:ascii="Symbol" w:hAnsi="Symbol" w:hint="default"/>
      </w:rPr>
    </w:lvl>
    <w:lvl w:ilvl="1" w:tplc="F6DE2E7C">
      <w:start w:val="1"/>
      <w:numFmt w:val="bullet"/>
      <w:lvlText w:val="o"/>
      <w:lvlJc w:val="left"/>
      <w:pPr>
        <w:ind w:left="1440" w:hanging="360"/>
      </w:pPr>
      <w:rPr>
        <w:rFonts w:ascii="Courier New" w:hAnsi="Courier New" w:hint="default"/>
      </w:rPr>
    </w:lvl>
    <w:lvl w:ilvl="2" w:tplc="CDEEB4B2">
      <w:start w:val="1"/>
      <w:numFmt w:val="bullet"/>
      <w:lvlText w:val=""/>
      <w:lvlJc w:val="left"/>
      <w:pPr>
        <w:ind w:left="2160" w:hanging="360"/>
      </w:pPr>
      <w:rPr>
        <w:rFonts w:ascii="Wingdings" w:hAnsi="Wingdings" w:hint="default"/>
      </w:rPr>
    </w:lvl>
    <w:lvl w:ilvl="3" w:tplc="9200A498">
      <w:start w:val="1"/>
      <w:numFmt w:val="bullet"/>
      <w:lvlText w:val=""/>
      <w:lvlJc w:val="left"/>
      <w:pPr>
        <w:ind w:left="2880" w:hanging="360"/>
      </w:pPr>
      <w:rPr>
        <w:rFonts w:ascii="Symbol" w:hAnsi="Symbol" w:hint="default"/>
      </w:rPr>
    </w:lvl>
    <w:lvl w:ilvl="4" w:tplc="F2880D60">
      <w:start w:val="1"/>
      <w:numFmt w:val="bullet"/>
      <w:lvlText w:val="o"/>
      <w:lvlJc w:val="left"/>
      <w:pPr>
        <w:ind w:left="3600" w:hanging="360"/>
      </w:pPr>
      <w:rPr>
        <w:rFonts w:ascii="Courier New" w:hAnsi="Courier New" w:hint="default"/>
      </w:rPr>
    </w:lvl>
    <w:lvl w:ilvl="5" w:tplc="9788CCFE">
      <w:start w:val="1"/>
      <w:numFmt w:val="bullet"/>
      <w:lvlText w:val=""/>
      <w:lvlJc w:val="left"/>
      <w:pPr>
        <w:ind w:left="4320" w:hanging="360"/>
      </w:pPr>
      <w:rPr>
        <w:rFonts w:ascii="Wingdings" w:hAnsi="Wingdings" w:hint="default"/>
      </w:rPr>
    </w:lvl>
    <w:lvl w:ilvl="6" w:tplc="D896A366">
      <w:start w:val="1"/>
      <w:numFmt w:val="bullet"/>
      <w:lvlText w:val=""/>
      <w:lvlJc w:val="left"/>
      <w:pPr>
        <w:ind w:left="5040" w:hanging="360"/>
      </w:pPr>
      <w:rPr>
        <w:rFonts w:ascii="Symbol" w:hAnsi="Symbol" w:hint="default"/>
      </w:rPr>
    </w:lvl>
    <w:lvl w:ilvl="7" w:tplc="07DE3DB2">
      <w:start w:val="1"/>
      <w:numFmt w:val="bullet"/>
      <w:lvlText w:val="o"/>
      <w:lvlJc w:val="left"/>
      <w:pPr>
        <w:ind w:left="5760" w:hanging="360"/>
      </w:pPr>
      <w:rPr>
        <w:rFonts w:ascii="Courier New" w:hAnsi="Courier New" w:hint="default"/>
      </w:rPr>
    </w:lvl>
    <w:lvl w:ilvl="8" w:tplc="6576FEE0">
      <w:start w:val="1"/>
      <w:numFmt w:val="bullet"/>
      <w:lvlText w:val=""/>
      <w:lvlJc w:val="left"/>
      <w:pPr>
        <w:ind w:left="6480" w:hanging="360"/>
      </w:pPr>
      <w:rPr>
        <w:rFonts w:ascii="Wingdings" w:hAnsi="Wingdings" w:hint="default"/>
      </w:rPr>
    </w:lvl>
  </w:abstractNum>
  <w:abstractNum w:abstractNumId="703" w15:restartNumberingAfterBreak="0">
    <w:nsid w:val="76D7F70F"/>
    <w:multiLevelType w:val="hybridMultilevel"/>
    <w:tmpl w:val="1CE849FA"/>
    <w:lvl w:ilvl="0" w:tplc="1809000F">
      <w:start w:val="1"/>
      <w:numFmt w:val="decimal"/>
      <w:lvlText w:val="%1."/>
      <w:lvlJc w:val="left"/>
      <w:pPr>
        <w:ind w:left="1080" w:hanging="360"/>
      </w:pPr>
      <w:rPr>
        <w:rFonts w:hint="default"/>
      </w:rPr>
    </w:lvl>
    <w:lvl w:ilvl="1" w:tplc="EA2A0A7A">
      <w:start w:val="1"/>
      <w:numFmt w:val="bullet"/>
      <w:lvlText w:val="o"/>
      <w:lvlJc w:val="left"/>
      <w:pPr>
        <w:ind w:left="1800" w:hanging="360"/>
      </w:pPr>
      <w:rPr>
        <w:rFonts w:ascii="Courier New" w:hAnsi="Courier New" w:hint="default"/>
      </w:rPr>
    </w:lvl>
    <w:lvl w:ilvl="2" w:tplc="4086B520">
      <w:start w:val="1"/>
      <w:numFmt w:val="bullet"/>
      <w:lvlText w:val=""/>
      <w:lvlJc w:val="left"/>
      <w:pPr>
        <w:ind w:left="2520" w:hanging="360"/>
      </w:pPr>
      <w:rPr>
        <w:rFonts w:ascii="Wingdings" w:hAnsi="Wingdings" w:hint="default"/>
      </w:rPr>
    </w:lvl>
    <w:lvl w:ilvl="3" w:tplc="FFC0FC78">
      <w:start w:val="1"/>
      <w:numFmt w:val="bullet"/>
      <w:lvlText w:val=""/>
      <w:lvlJc w:val="left"/>
      <w:pPr>
        <w:ind w:left="3240" w:hanging="360"/>
      </w:pPr>
      <w:rPr>
        <w:rFonts w:ascii="Symbol" w:hAnsi="Symbol" w:hint="default"/>
      </w:rPr>
    </w:lvl>
    <w:lvl w:ilvl="4" w:tplc="4484E05C">
      <w:start w:val="1"/>
      <w:numFmt w:val="bullet"/>
      <w:lvlText w:val="o"/>
      <w:lvlJc w:val="left"/>
      <w:pPr>
        <w:ind w:left="3960" w:hanging="360"/>
      </w:pPr>
      <w:rPr>
        <w:rFonts w:ascii="Courier New" w:hAnsi="Courier New" w:hint="default"/>
      </w:rPr>
    </w:lvl>
    <w:lvl w:ilvl="5" w:tplc="D7FC5BE6">
      <w:start w:val="1"/>
      <w:numFmt w:val="bullet"/>
      <w:lvlText w:val=""/>
      <w:lvlJc w:val="left"/>
      <w:pPr>
        <w:ind w:left="4680" w:hanging="360"/>
      </w:pPr>
      <w:rPr>
        <w:rFonts w:ascii="Wingdings" w:hAnsi="Wingdings" w:hint="default"/>
      </w:rPr>
    </w:lvl>
    <w:lvl w:ilvl="6" w:tplc="E41214CC">
      <w:start w:val="1"/>
      <w:numFmt w:val="bullet"/>
      <w:lvlText w:val=""/>
      <w:lvlJc w:val="left"/>
      <w:pPr>
        <w:ind w:left="5400" w:hanging="360"/>
      </w:pPr>
      <w:rPr>
        <w:rFonts w:ascii="Symbol" w:hAnsi="Symbol" w:hint="default"/>
      </w:rPr>
    </w:lvl>
    <w:lvl w:ilvl="7" w:tplc="57A6D0E0">
      <w:start w:val="1"/>
      <w:numFmt w:val="bullet"/>
      <w:lvlText w:val="o"/>
      <w:lvlJc w:val="left"/>
      <w:pPr>
        <w:ind w:left="6120" w:hanging="360"/>
      </w:pPr>
      <w:rPr>
        <w:rFonts w:ascii="Courier New" w:hAnsi="Courier New" w:hint="default"/>
      </w:rPr>
    </w:lvl>
    <w:lvl w:ilvl="8" w:tplc="B314A550">
      <w:start w:val="1"/>
      <w:numFmt w:val="bullet"/>
      <w:lvlText w:val=""/>
      <w:lvlJc w:val="left"/>
      <w:pPr>
        <w:ind w:left="6840" w:hanging="360"/>
      </w:pPr>
      <w:rPr>
        <w:rFonts w:ascii="Wingdings" w:hAnsi="Wingdings" w:hint="default"/>
      </w:rPr>
    </w:lvl>
  </w:abstractNum>
  <w:abstractNum w:abstractNumId="704" w15:restartNumberingAfterBreak="0">
    <w:nsid w:val="76E1E40F"/>
    <w:multiLevelType w:val="hybridMultilevel"/>
    <w:tmpl w:val="FFFFFFFF"/>
    <w:lvl w:ilvl="0" w:tplc="B8786F04">
      <w:start w:val="1"/>
      <w:numFmt w:val="decimal"/>
      <w:lvlText w:val="%1."/>
      <w:lvlJc w:val="left"/>
      <w:pPr>
        <w:ind w:left="720" w:hanging="360"/>
      </w:pPr>
    </w:lvl>
    <w:lvl w:ilvl="1" w:tplc="53869E1E">
      <w:start w:val="1"/>
      <w:numFmt w:val="lowerLetter"/>
      <w:lvlText w:val="%2."/>
      <w:lvlJc w:val="left"/>
      <w:pPr>
        <w:ind w:left="1440" w:hanging="360"/>
      </w:pPr>
    </w:lvl>
    <w:lvl w:ilvl="2" w:tplc="773229FC">
      <w:start w:val="1"/>
      <w:numFmt w:val="lowerRoman"/>
      <w:lvlText w:val="%3."/>
      <w:lvlJc w:val="right"/>
      <w:pPr>
        <w:ind w:left="2160" w:hanging="180"/>
      </w:pPr>
    </w:lvl>
    <w:lvl w:ilvl="3" w:tplc="140ED2E8">
      <w:start w:val="1"/>
      <w:numFmt w:val="decimal"/>
      <w:lvlText w:val="%4."/>
      <w:lvlJc w:val="left"/>
      <w:pPr>
        <w:ind w:left="2880" w:hanging="360"/>
      </w:pPr>
    </w:lvl>
    <w:lvl w:ilvl="4" w:tplc="8976D74E">
      <w:start w:val="1"/>
      <w:numFmt w:val="lowerLetter"/>
      <w:lvlText w:val="%5."/>
      <w:lvlJc w:val="left"/>
      <w:pPr>
        <w:ind w:left="3600" w:hanging="360"/>
      </w:pPr>
    </w:lvl>
    <w:lvl w:ilvl="5" w:tplc="852EC7BE">
      <w:start w:val="1"/>
      <w:numFmt w:val="lowerRoman"/>
      <w:lvlText w:val="%6."/>
      <w:lvlJc w:val="right"/>
      <w:pPr>
        <w:ind w:left="4320" w:hanging="180"/>
      </w:pPr>
    </w:lvl>
    <w:lvl w:ilvl="6" w:tplc="570E229C">
      <w:start w:val="1"/>
      <w:numFmt w:val="decimal"/>
      <w:lvlText w:val="%7."/>
      <w:lvlJc w:val="left"/>
      <w:pPr>
        <w:ind w:left="5040" w:hanging="360"/>
      </w:pPr>
    </w:lvl>
    <w:lvl w:ilvl="7" w:tplc="0448B08A">
      <w:start w:val="1"/>
      <w:numFmt w:val="lowerLetter"/>
      <w:lvlText w:val="%8."/>
      <w:lvlJc w:val="left"/>
      <w:pPr>
        <w:ind w:left="5760" w:hanging="360"/>
      </w:pPr>
    </w:lvl>
    <w:lvl w:ilvl="8" w:tplc="1340FA92">
      <w:start w:val="1"/>
      <w:numFmt w:val="lowerRoman"/>
      <w:lvlText w:val="%9."/>
      <w:lvlJc w:val="right"/>
      <w:pPr>
        <w:ind w:left="6480" w:hanging="180"/>
      </w:pPr>
    </w:lvl>
  </w:abstractNum>
  <w:abstractNum w:abstractNumId="705" w15:restartNumberingAfterBreak="0">
    <w:nsid w:val="76E74A32"/>
    <w:multiLevelType w:val="hybridMultilevel"/>
    <w:tmpl w:val="C9A425C0"/>
    <w:lvl w:ilvl="0" w:tplc="90D6F4B4">
      <w:start w:val="1"/>
      <w:numFmt w:val="decimal"/>
      <w:lvlText w:val="%1."/>
      <w:lvlJc w:val="left"/>
      <w:pPr>
        <w:ind w:left="720" w:hanging="360"/>
      </w:pPr>
      <w:rPr>
        <w:rFonts w:hint="default"/>
        <w:b w:val="0"/>
        <w:bCs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6" w15:restartNumberingAfterBreak="0">
    <w:nsid w:val="76F56463"/>
    <w:multiLevelType w:val="multilevel"/>
    <w:tmpl w:val="D38425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07" w15:restartNumberingAfterBreak="0">
    <w:nsid w:val="771806C4"/>
    <w:multiLevelType w:val="hybridMultilevel"/>
    <w:tmpl w:val="99B64566"/>
    <w:lvl w:ilvl="0" w:tplc="AF1E810C">
      <w:start w:val="1"/>
      <w:numFmt w:val="bullet"/>
      <w:lvlText w:val="-"/>
      <w:lvlJc w:val="left"/>
      <w:pPr>
        <w:ind w:left="720" w:hanging="360"/>
      </w:pPr>
      <w:rPr>
        <w:rFonts w:ascii="Symbol" w:hAnsi="Symbol" w:hint="default"/>
      </w:rPr>
    </w:lvl>
    <w:lvl w:ilvl="1" w:tplc="0C5805FE">
      <w:start w:val="1"/>
      <w:numFmt w:val="bullet"/>
      <w:lvlText w:val="o"/>
      <w:lvlJc w:val="left"/>
      <w:pPr>
        <w:ind w:left="1440" w:hanging="360"/>
      </w:pPr>
      <w:rPr>
        <w:rFonts w:ascii="Courier New" w:hAnsi="Courier New" w:hint="default"/>
      </w:rPr>
    </w:lvl>
    <w:lvl w:ilvl="2" w:tplc="3384A5C6">
      <w:start w:val="1"/>
      <w:numFmt w:val="bullet"/>
      <w:lvlText w:val=""/>
      <w:lvlJc w:val="left"/>
      <w:pPr>
        <w:ind w:left="2160" w:hanging="360"/>
      </w:pPr>
      <w:rPr>
        <w:rFonts w:ascii="Wingdings" w:hAnsi="Wingdings" w:hint="default"/>
      </w:rPr>
    </w:lvl>
    <w:lvl w:ilvl="3" w:tplc="0A02715A">
      <w:start w:val="1"/>
      <w:numFmt w:val="bullet"/>
      <w:lvlText w:val=""/>
      <w:lvlJc w:val="left"/>
      <w:pPr>
        <w:ind w:left="2880" w:hanging="360"/>
      </w:pPr>
      <w:rPr>
        <w:rFonts w:ascii="Symbol" w:hAnsi="Symbol" w:hint="default"/>
      </w:rPr>
    </w:lvl>
    <w:lvl w:ilvl="4" w:tplc="24789A00">
      <w:start w:val="1"/>
      <w:numFmt w:val="bullet"/>
      <w:lvlText w:val="o"/>
      <w:lvlJc w:val="left"/>
      <w:pPr>
        <w:ind w:left="3600" w:hanging="360"/>
      </w:pPr>
      <w:rPr>
        <w:rFonts w:ascii="Courier New" w:hAnsi="Courier New" w:hint="default"/>
      </w:rPr>
    </w:lvl>
    <w:lvl w:ilvl="5" w:tplc="9E4A1B9A">
      <w:start w:val="1"/>
      <w:numFmt w:val="bullet"/>
      <w:lvlText w:val=""/>
      <w:lvlJc w:val="left"/>
      <w:pPr>
        <w:ind w:left="4320" w:hanging="360"/>
      </w:pPr>
      <w:rPr>
        <w:rFonts w:ascii="Wingdings" w:hAnsi="Wingdings" w:hint="default"/>
      </w:rPr>
    </w:lvl>
    <w:lvl w:ilvl="6" w:tplc="24BA7062">
      <w:start w:val="1"/>
      <w:numFmt w:val="bullet"/>
      <w:lvlText w:val=""/>
      <w:lvlJc w:val="left"/>
      <w:pPr>
        <w:ind w:left="5040" w:hanging="360"/>
      </w:pPr>
      <w:rPr>
        <w:rFonts w:ascii="Symbol" w:hAnsi="Symbol" w:hint="default"/>
      </w:rPr>
    </w:lvl>
    <w:lvl w:ilvl="7" w:tplc="EE9EE00E">
      <w:start w:val="1"/>
      <w:numFmt w:val="bullet"/>
      <w:lvlText w:val="o"/>
      <w:lvlJc w:val="left"/>
      <w:pPr>
        <w:ind w:left="5760" w:hanging="360"/>
      </w:pPr>
      <w:rPr>
        <w:rFonts w:ascii="Courier New" w:hAnsi="Courier New" w:hint="default"/>
      </w:rPr>
    </w:lvl>
    <w:lvl w:ilvl="8" w:tplc="11A2CCEC">
      <w:start w:val="1"/>
      <w:numFmt w:val="bullet"/>
      <w:lvlText w:val=""/>
      <w:lvlJc w:val="left"/>
      <w:pPr>
        <w:ind w:left="6480" w:hanging="360"/>
      </w:pPr>
      <w:rPr>
        <w:rFonts w:ascii="Wingdings" w:hAnsi="Wingdings" w:hint="default"/>
      </w:rPr>
    </w:lvl>
  </w:abstractNum>
  <w:abstractNum w:abstractNumId="708" w15:restartNumberingAfterBreak="0">
    <w:nsid w:val="77B16DD8"/>
    <w:multiLevelType w:val="hybridMultilevel"/>
    <w:tmpl w:val="FFFFFFFF"/>
    <w:lvl w:ilvl="0" w:tplc="87FC3F1A">
      <w:start w:val="1"/>
      <w:numFmt w:val="bullet"/>
      <w:lvlText w:val="·"/>
      <w:lvlJc w:val="left"/>
      <w:pPr>
        <w:ind w:left="720" w:hanging="360"/>
      </w:pPr>
      <w:rPr>
        <w:rFonts w:ascii="Symbol" w:hAnsi="Symbol" w:hint="default"/>
      </w:rPr>
    </w:lvl>
    <w:lvl w:ilvl="1" w:tplc="59AA67E8">
      <w:start w:val="1"/>
      <w:numFmt w:val="bullet"/>
      <w:lvlText w:val="o"/>
      <w:lvlJc w:val="left"/>
      <w:pPr>
        <w:ind w:left="1440" w:hanging="360"/>
      </w:pPr>
      <w:rPr>
        <w:rFonts w:ascii="Courier New" w:hAnsi="Courier New" w:hint="default"/>
      </w:rPr>
    </w:lvl>
    <w:lvl w:ilvl="2" w:tplc="A6B04B9C">
      <w:start w:val="1"/>
      <w:numFmt w:val="bullet"/>
      <w:lvlText w:val=""/>
      <w:lvlJc w:val="left"/>
      <w:pPr>
        <w:ind w:left="2160" w:hanging="360"/>
      </w:pPr>
      <w:rPr>
        <w:rFonts w:ascii="Wingdings" w:hAnsi="Wingdings" w:hint="default"/>
      </w:rPr>
    </w:lvl>
    <w:lvl w:ilvl="3" w:tplc="30EA10B0">
      <w:start w:val="1"/>
      <w:numFmt w:val="bullet"/>
      <w:lvlText w:val=""/>
      <w:lvlJc w:val="left"/>
      <w:pPr>
        <w:ind w:left="2880" w:hanging="360"/>
      </w:pPr>
      <w:rPr>
        <w:rFonts w:ascii="Symbol" w:hAnsi="Symbol" w:hint="default"/>
      </w:rPr>
    </w:lvl>
    <w:lvl w:ilvl="4" w:tplc="83AE0B2E">
      <w:start w:val="1"/>
      <w:numFmt w:val="bullet"/>
      <w:lvlText w:val="o"/>
      <w:lvlJc w:val="left"/>
      <w:pPr>
        <w:ind w:left="3600" w:hanging="360"/>
      </w:pPr>
      <w:rPr>
        <w:rFonts w:ascii="Courier New" w:hAnsi="Courier New" w:hint="default"/>
      </w:rPr>
    </w:lvl>
    <w:lvl w:ilvl="5" w:tplc="2ADED522">
      <w:start w:val="1"/>
      <w:numFmt w:val="bullet"/>
      <w:lvlText w:val=""/>
      <w:lvlJc w:val="left"/>
      <w:pPr>
        <w:ind w:left="4320" w:hanging="360"/>
      </w:pPr>
      <w:rPr>
        <w:rFonts w:ascii="Wingdings" w:hAnsi="Wingdings" w:hint="default"/>
      </w:rPr>
    </w:lvl>
    <w:lvl w:ilvl="6" w:tplc="F998E482">
      <w:start w:val="1"/>
      <w:numFmt w:val="bullet"/>
      <w:lvlText w:val=""/>
      <w:lvlJc w:val="left"/>
      <w:pPr>
        <w:ind w:left="5040" w:hanging="360"/>
      </w:pPr>
      <w:rPr>
        <w:rFonts w:ascii="Symbol" w:hAnsi="Symbol" w:hint="default"/>
      </w:rPr>
    </w:lvl>
    <w:lvl w:ilvl="7" w:tplc="1324A0EC">
      <w:start w:val="1"/>
      <w:numFmt w:val="bullet"/>
      <w:lvlText w:val="o"/>
      <w:lvlJc w:val="left"/>
      <w:pPr>
        <w:ind w:left="5760" w:hanging="360"/>
      </w:pPr>
      <w:rPr>
        <w:rFonts w:ascii="Courier New" w:hAnsi="Courier New" w:hint="default"/>
      </w:rPr>
    </w:lvl>
    <w:lvl w:ilvl="8" w:tplc="E60CEBE0">
      <w:start w:val="1"/>
      <w:numFmt w:val="bullet"/>
      <w:lvlText w:val=""/>
      <w:lvlJc w:val="left"/>
      <w:pPr>
        <w:ind w:left="6480" w:hanging="360"/>
      </w:pPr>
      <w:rPr>
        <w:rFonts w:ascii="Wingdings" w:hAnsi="Wingdings" w:hint="default"/>
      </w:rPr>
    </w:lvl>
  </w:abstractNum>
  <w:abstractNum w:abstractNumId="709" w15:restartNumberingAfterBreak="0">
    <w:nsid w:val="77B53224"/>
    <w:multiLevelType w:val="hybridMultilevel"/>
    <w:tmpl w:val="7138CDAA"/>
    <w:lvl w:ilvl="0" w:tplc="69B4948C">
      <w:start w:val="1"/>
      <w:numFmt w:val="bullet"/>
      <w:lvlText w:val="-"/>
      <w:lvlJc w:val="left"/>
      <w:pPr>
        <w:ind w:left="720" w:hanging="360"/>
      </w:pPr>
      <w:rPr>
        <w:rFonts w:ascii="Symbol" w:hAnsi="Symbol" w:hint="default"/>
      </w:rPr>
    </w:lvl>
    <w:lvl w:ilvl="1" w:tplc="5798E1D8">
      <w:start w:val="1"/>
      <w:numFmt w:val="bullet"/>
      <w:lvlText w:val="o"/>
      <w:lvlJc w:val="left"/>
      <w:pPr>
        <w:ind w:left="1440" w:hanging="360"/>
      </w:pPr>
      <w:rPr>
        <w:rFonts w:ascii="Courier New" w:hAnsi="Courier New" w:hint="default"/>
      </w:rPr>
    </w:lvl>
    <w:lvl w:ilvl="2" w:tplc="9612D82C">
      <w:start w:val="1"/>
      <w:numFmt w:val="bullet"/>
      <w:lvlText w:val=""/>
      <w:lvlJc w:val="left"/>
      <w:pPr>
        <w:ind w:left="2160" w:hanging="360"/>
      </w:pPr>
      <w:rPr>
        <w:rFonts w:ascii="Wingdings" w:hAnsi="Wingdings" w:hint="default"/>
      </w:rPr>
    </w:lvl>
    <w:lvl w:ilvl="3" w:tplc="8BA84C4C">
      <w:start w:val="1"/>
      <w:numFmt w:val="bullet"/>
      <w:lvlText w:val=""/>
      <w:lvlJc w:val="left"/>
      <w:pPr>
        <w:ind w:left="2880" w:hanging="360"/>
      </w:pPr>
      <w:rPr>
        <w:rFonts w:ascii="Symbol" w:hAnsi="Symbol" w:hint="default"/>
      </w:rPr>
    </w:lvl>
    <w:lvl w:ilvl="4" w:tplc="517A0D04">
      <w:start w:val="1"/>
      <w:numFmt w:val="bullet"/>
      <w:lvlText w:val="o"/>
      <w:lvlJc w:val="left"/>
      <w:pPr>
        <w:ind w:left="3600" w:hanging="360"/>
      </w:pPr>
      <w:rPr>
        <w:rFonts w:ascii="Courier New" w:hAnsi="Courier New" w:hint="default"/>
      </w:rPr>
    </w:lvl>
    <w:lvl w:ilvl="5" w:tplc="9F2A96C6">
      <w:start w:val="1"/>
      <w:numFmt w:val="bullet"/>
      <w:lvlText w:val=""/>
      <w:lvlJc w:val="left"/>
      <w:pPr>
        <w:ind w:left="4320" w:hanging="360"/>
      </w:pPr>
      <w:rPr>
        <w:rFonts w:ascii="Wingdings" w:hAnsi="Wingdings" w:hint="default"/>
      </w:rPr>
    </w:lvl>
    <w:lvl w:ilvl="6" w:tplc="B4ACE1C8">
      <w:start w:val="1"/>
      <w:numFmt w:val="bullet"/>
      <w:lvlText w:val=""/>
      <w:lvlJc w:val="left"/>
      <w:pPr>
        <w:ind w:left="5040" w:hanging="360"/>
      </w:pPr>
      <w:rPr>
        <w:rFonts w:ascii="Symbol" w:hAnsi="Symbol" w:hint="default"/>
      </w:rPr>
    </w:lvl>
    <w:lvl w:ilvl="7" w:tplc="5706EA50">
      <w:start w:val="1"/>
      <w:numFmt w:val="bullet"/>
      <w:lvlText w:val="o"/>
      <w:lvlJc w:val="left"/>
      <w:pPr>
        <w:ind w:left="5760" w:hanging="360"/>
      </w:pPr>
      <w:rPr>
        <w:rFonts w:ascii="Courier New" w:hAnsi="Courier New" w:hint="default"/>
      </w:rPr>
    </w:lvl>
    <w:lvl w:ilvl="8" w:tplc="A26A3BC8">
      <w:start w:val="1"/>
      <w:numFmt w:val="bullet"/>
      <w:lvlText w:val=""/>
      <w:lvlJc w:val="left"/>
      <w:pPr>
        <w:ind w:left="6480" w:hanging="360"/>
      </w:pPr>
      <w:rPr>
        <w:rFonts w:ascii="Wingdings" w:hAnsi="Wingdings" w:hint="default"/>
      </w:rPr>
    </w:lvl>
  </w:abstractNum>
  <w:abstractNum w:abstractNumId="710" w15:restartNumberingAfterBreak="0">
    <w:nsid w:val="77D4553C"/>
    <w:multiLevelType w:val="hybridMultilevel"/>
    <w:tmpl w:val="F622FD76"/>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11" w15:restartNumberingAfterBreak="0">
    <w:nsid w:val="783F5EBD"/>
    <w:multiLevelType w:val="hybridMultilevel"/>
    <w:tmpl w:val="D68A0C9A"/>
    <w:lvl w:ilvl="0" w:tplc="04090011">
      <w:start w:val="1"/>
      <w:numFmt w:val="decimal"/>
      <w:lvlText w:val="%1)"/>
      <w:lvlJc w:val="lef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Cambria Math" w:hAnsi="Cambria Math"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Cambria Math" w:hAnsi="Cambria Math"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Cambria Math" w:hAnsi="Cambria Math" w:hint="default"/>
      </w:rPr>
    </w:lvl>
  </w:abstractNum>
  <w:abstractNum w:abstractNumId="712" w15:restartNumberingAfterBreak="0">
    <w:nsid w:val="78A407C3"/>
    <w:multiLevelType w:val="hybridMultilevel"/>
    <w:tmpl w:val="E52A0778"/>
    <w:lvl w:ilvl="0" w:tplc="CC824516">
      <w:start w:val="1"/>
      <w:numFmt w:val="bullet"/>
      <w:lvlText w:val="-"/>
      <w:lvlJc w:val="left"/>
      <w:pPr>
        <w:ind w:left="720" w:hanging="360"/>
      </w:pPr>
      <w:rPr>
        <w:rFonts w:ascii="Symbol" w:eastAsia="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713" w15:restartNumberingAfterBreak="0">
    <w:nsid w:val="78AA6207"/>
    <w:multiLevelType w:val="hybridMultilevel"/>
    <w:tmpl w:val="C0B454EA"/>
    <w:lvl w:ilvl="0" w:tplc="FFFFFFFF">
      <w:start w:val="1"/>
      <w:numFmt w:val="lowerLetter"/>
      <w:lvlText w:val="%1."/>
      <w:lvlJc w:val="left"/>
      <w:pPr>
        <w:ind w:left="720" w:hanging="360"/>
      </w:pPr>
    </w:lvl>
    <w:lvl w:ilvl="1" w:tplc="18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4" w15:restartNumberingAfterBreak="0">
    <w:nsid w:val="78AE7AB8"/>
    <w:multiLevelType w:val="hybridMultilevel"/>
    <w:tmpl w:val="641C0FF0"/>
    <w:lvl w:ilvl="0" w:tplc="1809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5" w15:restartNumberingAfterBreak="0">
    <w:nsid w:val="78D59BCD"/>
    <w:multiLevelType w:val="hybridMultilevel"/>
    <w:tmpl w:val="8C4CEC46"/>
    <w:lvl w:ilvl="0" w:tplc="F45E8384">
      <w:start w:val="1"/>
      <w:numFmt w:val="bullet"/>
      <w:lvlText w:val=""/>
      <w:lvlJc w:val="left"/>
      <w:pPr>
        <w:ind w:left="720" w:hanging="360"/>
      </w:pPr>
      <w:rPr>
        <w:rFonts w:ascii="Symbol" w:hAnsi="Symbol" w:hint="default"/>
      </w:rPr>
    </w:lvl>
    <w:lvl w:ilvl="1" w:tplc="D48235BE">
      <w:start w:val="1"/>
      <w:numFmt w:val="bullet"/>
      <w:lvlText w:val="o"/>
      <w:lvlJc w:val="left"/>
      <w:pPr>
        <w:ind w:left="1440" w:hanging="360"/>
      </w:pPr>
      <w:rPr>
        <w:rFonts w:ascii="Courier New" w:hAnsi="Courier New" w:hint="default"/>
      </w:rPr>
    </w:lvl>
    <w:lvl w:ilvl="2" w:tplc="4B6CF0F8">
      <w:start w:val="1"/>
      <w:numFmt w:val="bullet"/>
      <w:lvlText w:val=""/>
      <w:lvlJc w:val="left"/>
      <w:pPr>
        <w:ind w:left="2160" w:hanging="360"/>
      </w:pPr>
      <w:rPr>
        <w:rFonts w:ascii="Wingdings" w:hAnsi="Wingdings" w:hint="default"/>
      </w:rPr>
    </w:lvl>
    <w:lvl w:ilvl="3" w:tplc="0F5CB2E4">
      <w:start w:val="1"/>
      <w:numFmt w:val="bullet"/>
      <w:lvlText w:val=""/>
      <w:lvlJc w:val="left"/>
      <w:pPr>
        <w:ind w:left="2880" w:hanging="360"/>
      </w:pPr>
      <w:rPr>
        <w:rFonts w:ascii="Symbol" w:hAnsi="Symbol" w:hint="default"/>
      </w:rPr>
    </w:lvl>
    <w:lvl w:ilvl="4" w:tplc="88B0626A">
      <w:start w:val="1"/>
      <w:numFmt w:val="bullet"/>
      <w:lvlText w:val="o"/>
      <w:lvlJc w:val="left"/>
      <w:pPr>
        <w:ind w:left="3600" w:hanging="360"/>
      </w:pPr>
      <w:rPr>
        <w:rFonts w:ascii="Courier New" w:hAnsi="Courier New" w:hint="default"/>
      </w:rPr>
    </w:lvl>
    <w:lvl w:ilvl="5" w:tplc="E32E12E0">
      <w:start w:val="1"/>
      <w:numFmt w:val="bullet"/>
      <w:lvlText w:val=""/>
      <w:lvlJc w:val="left"/>
      <w:pPr>
        <w:ind w:left="4320" w:hanging="360"/>
      </w:pPr>
      <w:rPr>
        <w:rFonts w:ascii="Wingdings" w:hAnsi="Wingdings" w:hint="default"/>
      </w:rPr>
    </w:lvl>
    <w:lvl w:ilvl="6" w:tplc="7D546A18">
      <w:start w:val="1"/>
      <w:numFmt w:val="bullet"/>
      <w:lvlText w:val=""/>
      <w:lvlJc w:val="left"/>
      <w:pPr>
        <w:ind w:left="5040" w:hanging="360"/>
      </w:pPr>
      <w:rPr>
        <w:rFonts w:ascii="Symbol" w:hAnsi="Symbol" w:hint="default"/>
      </w:rPr>
    </w:lvl>
    <w:lvl w:ilvl="7" w:tplc="7116DBEA">
      <w:start w:val="1"/>
      <w:numFmt w:val="bullet"/>
      <w:lvlText w:val="o"/>
      <w:lvlJc w:val="left"/>
      <w:pPr>
        <w:ind w:left="5760" w:hanging="360"/>
      </w:pPr>
      <w:rPr>
        <w:rFonts w:ascii="Courier New" w:hAnsi="Courier New" w:hint="default"/>
      </w:rPr>
    </w:lvl>
    <w:lvl w:ilvl="8" w:tplc="37D8E236">
      <w:start w:val="1"/>
      <w:numFmt w:val="bullet"/>
      <w:lvlText w:val=""/>
      <w:lvlJc w:val="left"/>
      <w:pPr>
        <w:ind w:left="6480" w:hanging="360"/>
      </w:pPr>
      <w:rPr>
        <w:rFonts w:ascii="Wingdings" w:hAnsi="Wingdings" w:hint="default"/>
      </w:rPr>
    </w:lvl>
  </w:abstractNum>
  <w:abstractNum w:abstractNumId="716" w15:restartNumberingAfterBreak="0">
    <w:nsid w:val="790585AC"/>
    <w:multiLevelType w:val="hybridMultilevel"/>
    <w:tmpl w:val="FFFFFFFF"/>
    <w:lvl w:ilvl="0" w:tplc="96584A66">
      <w:start w:val="2"/>
      <w:numFmt w:val="decimal"/>
      <w:lvlText w:val="%1."/>
      <w:lvlJc w:val="left"/>
      <w:pPr>
        <w:ind w:left="720" w:hanging="360"/>
      </w:pPr>
    </w:lvl>
    <w:lvl w:ilvl="1" w:tplc="8208FC1E">
      <w:start w:val="1"/>
      <w:numFmt w:val="lowerLetter"/>
      <w:lvlText w:val="%2."/>
      <w:lvlJc w:val="left"/>
      <w:pPr>
        <w:ind w:left="1440" w:hanging="360"/>
      </w:pPr>
    </w:lvl>
    <w:lvl w:ilvl="2" w:tplc="96EA19B2">
      <w:start w:val="1"/>
      <w:numFmt w:val="lowerRoman"/>
      <w:lvlText w:val="%3."/>
      <w:lvlJc w:val="right"/>
      <w:pPr>
        <w:ind w:left="2160" w:hanging="180"/>
      </w:pPr>
    </w:lvl>
    <w:lvl w:ilvl="3" w:tplc="06542F16">
      <w:start w:val="1"/>
      <w:numFmt w:val="decimal"/>
      <w:lvlText w:val="%4."/>
      <w:lvlJc w:val="left"/>
      <w:pPr>
        <w:ind w:left="2880" w:hanging="360"/>
      </w:pPr>
    </w:lvl>
    <w:lvl w:ilvl="4" w:tplc="BF7464C0">
      <w:start w:val="1"/>
      <w:numFmt w:val="lowerLetter"/>
      <w:lvlText w:val="%5."/>
      <w:lvlJc w:val="left"/>
      <w:pPr>
        <w:ind w:left="3600" w:hanging="360"/>
      </w:pPr>
    </w:lvl>
    <w:lvl w:ilvl="5" w:tplc="A4D28FD8">
      <w:start w:val="1"/>
      <w:numFmt w:val="lowerRoman"/>
      <w:lvlText w:val="%6."/>
      <w:lvlJc w:val="right"/>
      <w:pPr>
        <w:ind w:left="4320" w:hanging="180"/>
      </w:pPr>
    </w:lvl>
    <w:lvl w:ilvl="6" w:tplc="D018B258">
      <w:start w:val="1"/>
      <w:numFmt w:val="decimal"/>
      <w:lvlText w:val="%7."/>
      <w:lvlJc w:val="left"/>
      <w:pPr>
        <w:ind w:left="5040" w:hanging="360"/>
      </w:pPr>
    </w:lvl>
    <w:lvl w:ilvl="7" w:tplc="621C2AA8">
      <w:start w:val="1"/>
      <w:numFmt w:val="lowerLetter"/>
      <w:lvlText w:val="%8."/>
      <w:lvlJc w:val="left"/>
      <w:pPr>
        <w:ind w:left="5760" w:hanging="360"/>
      </w:pPr>
    </w:lvl>
    <w:lvl w:ilvl="8" w:tplc="CD9A1BDC">
      <w:start w:val="1"/>
      <w:numFmt w:val="lowerRoman"/>
      <w:lvlText w:val="%9."/>
      <w:lvlJc w:val="right"/>
      <w:pPr>
        <w:ind w:left="6480" w:hanging="180"/>
      </w:pPr>
    </w:lvl>
  </w:abstractNum>
  <w:abstractNum w:abstractNumId="717" w15:restartNumberingAfterBreak="0">
    <w:nsid w:val="7941852A"/>
    <w:multiLevelType w:val="hybridMultilevel"/>
    <w:tmpl w:val="FFFFFFFF"/>
    <w:lvl w:ilvl="0" w:tplc="799AAA4C">
      <w:start w:val="4"/>
      <w:numFmt w:val="decimal"/>
      <w:lvlText w:val="%1."/>
      <w:lvlJc w:val="left"/>
      <w:pPr>
        <w:ind w:left="720" w:hanging="360"/>
      </w:pPr>
    </w:lvl>
    <w:lvl w:ilvl="1" w:tplc="A80ECE9A">
      <w:start w:val="1"/>
      <w:numFmt w:val="lowerLetter"/>
      <w:lvlText w:val="%2."/>
      <w:lvlJc w:val="left"/>
      <w:pPr>
        <w:ind w:left="1440" w:hanging="360"/>
      </w:pPr>
    </w:lvl>
    <w:lvl w:ilvl="2" w:tplc="A650FE20">
      <w:start w:val="1"/>
      <w:numFmt w:val="lowerRoman"/>
      <w:lvlText w:val="%3."/>
      <w:lvlJc w:val="right"/>
      <w:pPr>
        <w:ind w:left="2160" w:hanging="180"/>
      </w:pPr>
    </w:lvl>
    <w:lvl w:ilvl="3" w:tplc="D55A9A90">
      <w:start w:val="1"/>
      <w:numFmt w:val="decimal"/>
      <w:lvlText w:val="%4."/>
      <w:lvlJc w:val="left"/>
      <w:pPr>
        <w:ind w:left="2880" w:hanging="360"/>
      </w:pPr>
    </w:lvl>
    <w:lvl w:ilvl="4" w:tplc="2E98F672">
      <w:start w:val="1"/>
      <w:numFmt w:val="lowerLetter"/>
      <w:lvlText w:val="%5."/>
      <w:lvlJc w:val="left"/>
      <w:pPr>
        <w:ind w:left="3600" w:hanging="360"/>
      </w:pPr>
    </w:lvl>
    <w:lvl w:ilvl="5" w:tplc="20E8A7D4">
      <w:start w:val="1"/>
      <w:numFmt w:val="lowerRoman"/>
      <w:lvlText w:val="%6."/>
      <w:lvlJc w:val="right"/>
      <w:pPr>
        <w:ind w:left="4320" w:hanging="180"/>
      </w:pPr>
    </w:lvl>
    <w:lvl w:ilvl="6" w:tplc="07F80F88">
      <w:start w:val="1"/>
      <w:numFmt w:val="decimal"/>
      <w:lvlText w:val="%7."/>
      <w:lvlJc w:val="left"/>
      <w:pPr>
        <w:ind w:left="5040" w:hanging="360"/>
      </w:pPr>
    </w:lvl>
    <w:lvl w:ilvl="7" w:tplc="4A1C89C8">
      <w:start w:val="1"/>
      <w:numFmt w:val="lowerLetter"/>
      <w:lvlText w:val="%8."/>
      <w:lvlJc w:val="left"/>
      <w:pPr>
        <w:ind w:left="5760" w:hanging="360"/>
      </w:pPr>
    </w:lvl>
    <w:lvl w:ilvl="8" w:tplc="2BDC0566">
      <w:start w:val="1"/>
      <w:numFmt w:val="lowerRoman"/>
      <w:lvlText w:val="%9."/>
      <w:lvlJc w:val="right"/>
      <w:pPr>
        <w:ind w:left="6480" w:hanging="180"/>
      </w:pPr>
    </w:lvl>
  </w:abstractNum>
  <w:abstractNum w:abstractNumId="718" w15:restartNumberingAfterBreak="0">
    <w:nsid w:val="79D36099"/>
    <w:multiLevelType w:val="hybridMultilevel"/>
    <w:tmpl w:val="10341BCE"/>
    <w:lvl w:ilvl="0" w:tplc="1809000F">
      <w:start w:val="1"/>
      <w:numFmt w:val="decimal"/>
      <w:lvlText w:val="%1."/>
      <w:lvlJc w:val="left"/>
      <w:pPr>
        <w:ind w:left="720" w:hanging="360"/>
      </w:pPr>
      <w:rPr>
        <w:rFonts w:hint="default"/>
      </w:rPr>
    </w:lvl>
    <w:lvl w:ilvl="1" w:tplc="1809000F">
      <w:start w:val="1"/>
      <w:numFmt w:val="decimal"/>
      <w:lvlText w:val="%2."/>
      <w:lvlJc w:val="left"/>
      <w:pPr>
        <w:ind w:left="1440" w:hanging="360"/>
      </w:pPr>
    </w:lvl>
    <w:lvl w:ilvl="2" w:tplc="1809001B">
      <w:start w:val="1"/>
      <w:numFmt w:val="lowerRoman"/>
      <w:lvlText w:val="%3."/>
      <w:lvlJc w:val="right"/>
      <w:pPr>
        <w:ind w:left="2340" w:hanging="360"/>
      </w:p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19" w15:restartNumberingAfterBreak="0">
    <w:nsid w:val="7A0E4170"/>
    <w:multiLevelType w:val="hybridMultilevel"/>
    <w:tmpl w:val="2D826320"/>
    <w:lvl w:ilvl="0" w:tplc="0C0A0001">
      <w:start w:val="1"/>
      <w:numFmt w:val="bullet"/>
      <w:lvlText w:val=""/>
      <w:lvlJc w:val="left"/>
      <w:pPr>
        <w:ind w:left="1068" w:hanging="360"/>
      </w:pPr>
      <w:rPr>
        <w:rFonts w:ascii="Segoe UI" w:hAnsi="Segoe UI" w:hint="default"/>
      </w:rPr>
    </w:lvl>
    <w:lvl w:ilvl="1" w:tplc="0C0A0003">
      <w:start w:val="1"/>
      <w:numFmt w:val="bullet"/>
      <w:lvlText w:val="o"/>
      <w:lvlJc w:val="left"/>
      <w:pPr>
        <w:ind w:left="1788" w:hanging="360"/>
      </w:pPr>
      <w:rPr>
        <w:rFonts w:ascii="Courier New" w:hAnsi="Courier New" w:cs="Courier New" w:hint="default"/>
      </w:rPr>
    </w:lvl>
    <w:lvl w:ilvl="2" w:tplc="4A08A748">
      <w:numFmt w:val="bullet"/>
      <w:lvlText w:val="•"/>
      <w:lvlJc w:val="left"/>
      <w:pPr>
        <w:ind w:left="2508" w:hanging="360"/>
      </w:pPr>
      <w:rPr>
        <w:rFonts w:ascii="Aptos" w:eastAsiaTheme="minorHAnsi" w:hAnsi="Aptos" w:cs="Aptos" w:hint="default"/>
      </w:rPr>
    </w:lvl>
    <w:lvl w:ilvl="3" w:tplc="0C0A0001" w:tentative="1">
      <w:start w:val="1"/>
      <w:numFmt w:val="bullet"/>
      <w:lvlText w:val=""/>
      <w:lvlJc w:val="left"/>
      <w:pPr>
        <w:ind w:left="3228" w:hanging="360"/>
      </w:pPr>
      <w:rPr>
        <w:rFonts w:ascii="Segoe UI" w:hAnsi="Segoe UI"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Cambria Math" w:hAnsi="Cambria Math" w:hint="default"/>
      </w:rPr>
    </w:lvl>
    <w:lvl w:ilvl="6" w:tplc="0C0A0001" w:tentative="1">
      <w:start w:val="1"/>
      <w:numFmt w:val="bullet"/>
      <w:lvlText w:val=""/>
      <w:lvlJc w:val="left"/>
      <w:pPr>
        <w:ind w:left="5388" w:hanging="360"/>
      </w:pPr>
      <w:rPr>
        <w:rFonts w:ascii="Segoe UI" w:hAnsi="Segoe UI"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Cambria Math" w:hAnsi="Cambria Math" w:hint="default"/>
      </w:rPr>
    </w:lvl>
  </w:abstractNum>
  <w:abstractNum w:abstractNumId="720" w15:restartNumberingAfterBreak="0">
    <w:nsid w:val="7A211D65"/>
    <w:multiLevelType w:val="multilevel"/>
    <w:tmpl w:val="D7F8F7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1" w15:restartNumberingAfterBreak="0">
    <w:nsid w:val="7A4151A5"/>
    <w:multiLevelType w:val="multilevel"/>
    <w:tmpl w:val="F89C24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2" w15:restartNumberingAfterBreak="0">
    <w:nsid w:val="7A4EB1C6"/>
    <w:multiLevelType w:val="hybridMultilevel"/>
    <w:tmpl w:val="FFFFFFFF"/>
    <w:lvl w:ilvl="0" w:tplc="AE206D24">
      <w:start w:val="3"/>
      <w:numFmt w:val="decimal"/>
      <w:lvlText w:val="%1."/>
      <w:lvlJc w:val="left"/>
      <w:pPr>
        <w:ind w:left="720" w:hanging="360"/>
      </w:pPr>
    </w:lvl>
    <w:lvl w:ilvl="1" w:tplc="9EDE2A3C">
      <w:start w:val="1"/>
      <w:numFmt w:val="lowerLetter"/>
      <w:lvlText w:val="%2."/>
      <w:lvlJc w:val="left"/>
      <w:pPr>
        <w:ind w:left="1440" w:hanging="360"/>
      </w:pPr>
    </w:lvl>
    <w:lvl w:ilvl="2" w:tplc="8A704C0A">
      <w:start w:val="1"/>
      <w:numFmt w:val="lowerRoman"/>
      <w:lvlText w:val="%3."/>
      <w:lvlJc w:val="right"/>
      <w:pPr>
        <w:ind w:left="2160" w:hanging="180"/>
      </w:pPr>
    </w:lvl>
    <w:lvl w:ilvl="3" w:tplc="B17C7608">
      <w:start w:val="1"/>
      <w:numFmt w:val="decimal"/>
      <w:lvlText w:val="%4."/>
      <w:lvlJc w:val="left"/>
      <w:pPr>
        <w:ind w:left="2880" w:hanging="360"/>
      </w:pPr>
    </w:lvl>
    <w:lvl w:ilvl="4" w:tplc="7CE258FC">
      <w:start w:val="1"/>
      <w:numFmt w:val="lowerLetter"/>
      <w:lvlText w:val="%5."/>
      <w:lvlJc w:val="left"/>
      <w:pPr>
        <w:ind w:left="3600" w:hanging="360"/>
      </w:pPr>
    </w:lvl>
    <w:lvl w:ilvl="5" w:tplc="215ACD00">
      <w:start w:val="1"/>
      <w:numFmt w:val="lowerRoman"/>
      <w:lvlText w:val="%6."/>
      <w:lvlJc w:val="right"/>
      <w:pPr>
        <w:ind w:left="4320" w:hanging="180"/>
      </w:pPr>
    </w:lvl>
    <w:lvl w:ilvl="6" w:tplc="245C2CCE">
      <w:start w:val="1"/>
      <w:numFmt w:val="decimal"/>
      <w:lvlText w:val="%7."/>
      <w:lvlJc w:val="left"/>
      <w:pPr>
        <w:ind w:left="5040" w:hanging="360"/>
      </w:pPr>
    </w:lvl>
    <w:lvl w:ilvl="7" w:tplc="50A411FC">
      <w:start w:val="1"/>
      <w:numFmt w:val="lowerLetter"/>
      <w:lvlText w:val="%8."/>
      <w:lvlJc w:val="left"/>
      <w:pPr>
        <w:ind w:left="5760" w:hanging="360"/>
      </w:pPr>
    </w:lvl>
    <w:lvl w:ilvl="8" w:tplc="532C40E0">
      <w:start w:val="1"/>
      <w:numFmt w:val="lowerRoman"/>
      <w:lvlText w:val="%9."/>
      <w:lvlJc w:val="right"/>
      <w:pPr>
        <w:ind w:left="6480" w:hanging="180"/>
      </w:pPr>
    </w:lvl>
  </w:abstractNum>
  <w:abstractNum w:abstractNumId="723" w15:restartNumberingAfterBreak="0">
    <w:nsid w:val="7A57295F"/>
    <w:multiLevelType w:val="multilevel"/>
    <w:tmpl w:val="AB7EAA9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4" w15:restartNumberingAfterBreak="0">
    <w:nsid w:val="7ACE5AA2"/>
    <w:multiLevelType w:val="hybridMultilevel"/>
    <w:tmpl w:val="FFFFFFFF"/>
    <w:lvl w:ilvl="0" w:tplc="C17E9188">
      <w:start w:val="1"/>
      <w:numFmt w:val="bullet"/>
      <w:lvlText w:val="·"/>
      <w:lvlJc w:val="left"/>
      <w:pPr>
        <w:ind w:left="720" w:hanging="360"/>
      </w:pPr>
      <w:rPr>
        <w:rFonts w:ascii="Symbol" w:hAnsi="Symbol" w:hint="default"/>
      </w:rPr>
    </w:lvl>
    <w:lvl w:ilvl="1" w:tplc="853CC648">
      <w:start w:val="1"/>
      <w:numFmt w:val="bullet"/>
      <w:lvlText w:val="o"/>
      <w:lvlJc w:val="left"/>
      <w:pPr>
        <w:ind w:left="1440" w:hanging="360"/>
      </w:pPr>
      <w:rPr>
        <w:rFonts w:ascii="Courier New" w:hAnsi="Courier New" w:hint="default"/>
      </w:rPr>
    </w:lvl>
    <w:lvl w:ilvl="2" w:tplc="32FA20BC">
      <w:start w:val="1"/>
      <w:numFmt w:val="bullet"/>
      <w:lvlText w:val=""/>
      <w:lvlJc w:val="left"/>
      <w:pPr>
        <w:ind w:left="2160" w:hanging="360"/>
      </w:pPr>
      <w:rPr>
        <w:rFonts w:ascii="Wingdings" w:hAnsi="Wingdings" w:hint="default"/>
      </w:rPr>
    </w:lvl>
    <w:lvl w:ilvl="3" w:tplc="26A6384E">
      <w:start w:val="1"/>
      <w:numFmt w:val="bullet"/>
      <w:lvlText w:val=""/>
      <w:lvlJc w:val="left"/>
      <w:pPr>
        <w:ind w:left="2880" w:hanging="360"/>
      </w:pPr>
      <w:rPr>
        <w:rFonts w:ascii="Symbol" w:hAnsi="Symbol" w:hint="default"/>
      </w:rPr>
    </w:lvl>
    <w:lvl w:ilvl="4" w:tplc="504029F2">
      <w:start w:val="1"/>
      <w:numFmt w:val="bullet"/>
      <w:lvlText w:val="o"/>
      <w:lvlJc w:val="left"/>
      <w:pPr>
        <w:ind w:left="3600" w:hanging="360"/>
      </w:pPr>
      <w:rPr>
        <w:rFonts w:ascii="Courier New" w:hAnsi="Courier New" w:hint="default"/>
      </w:rPr>
    </w:lvl>
    <w:lvl w:ilvl="5" w:tplc="8506C1A4">
      <w:start w:val="1"/>
      <w:numFmt w:val="bullet"/>
      <w:lvlText w:val=""/>
      <w:lvlJc w:val="left"/>
      <w:pPr>
        <w:ind w:left="4320" w:hanging="360"/>
      </w:pPr>
      <w:rPr>
        <w:rFonts w:ascii="Wingdings" w:hAnsi="Wingdings" w:hint="default"/>
      </w:rPr>
    </w:lvl>
    <w:lvl w:ilvl="6" w:tplc="50007B82">
      <w:start w:val="1"/>
      <w:numFmt w:val="bullet"/>
      <w:lvlText w:val=""/>
      <w:lvlJc w:val="left"/>
      <w:pPr>
        <w:ind w:left="5040" w:hanging="360"/>
      </w:pPr>
      <w:rPr>
        <w:rFonts w:ascii="Symbol" w:hAnsi="Symbol" w:hint="default"/>
      </w:rPr>
    </w:lvl>
    <w:lvl w:ilvl="7" w:tplc="91B2E404">
      <w:start w:val="1"/>
      <w:numFmt w:val="bullet"/>
      <w:lvlText w:val="o"/>
      <w:lvlJc w:val="left"/>
      <w:pPr>
        <w:ind w:left="5760" w:hanging="360"/>
      </w:pPr>
      <w:rPr>
        <w:rFonts w:ascii="Courier New" w:hAnsi="Courier New" w:hint="default"/>
      </w:rPr>
    </w:lvl>
    <w:lvl w:ilvl="8" w:tplc="059C8FF0">
      <w:start w:val="1"/>
      <w:numFmt w:val="bullet"/>
      <w:lvlText w:val=""/>
      <w:lvlJc w:val="left"/>
      <w:pPr>
        <w:ind w:left="6480" w:hanging="360"/>
      </w:pPr>
      <w:rPr>
        <w:rFonts w:ascii="Wingdings" w:hAnsi="Wingdings" w:hint="default"/>
      </w:rPr>
    </w:lvl>
  </w:abstractNum>
  <w:abstractNum w:abstractNumId="725" w15:restartNumberingAfterBreak="0">
    <w:nsid w:val="7B245AD1"/>
    <w:multiLevelType w:val="hybridMultilevel"/>
    <w:tmpl w:val="976C9254"/>
    <w:lvl w:ilvl="0" w:tplc="7BD636D8">
      <w:start w:val="5"/>
      <w:numFmt w:val="lowerLetter"/>
      <w:lvlText w:val="%1."/>
      <w:lvlJc w:val="left"/>
      <w:pPr>
        <w:ind w:left="144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26" w15:restartNumberingAfterBreak="0">
    <w:nsid w:val="7B314C45"/>
    <w:multiLevelType w:val="hybridMultilevel"/>
    <w:tmpl w:val="60C62A94"/>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7" w15:restartNumberingAfterBreak="0">
    <w:nsid w:val="7B414B80"/>
    <w:multiLevelType w:val="hybridMultilevel"/>
    <w:tmpl w:val="C66E115C"/>
    <w:lvl w:ilvl="0" w:tplc="312A5F28">
      <w:start w:val="1"/>
      <w:numFmt w:val="bullet"/>
      <w:lvlText w:val="-"/>
      <w:lvlJc w:val="left"/>
      <w:pPr>
        <w:ind w:left="720" w:hanging="360"/>
      </w:pPr>
      <w:rPr>
        <w:rFonts w:ascii="Cambria" w:eastAsiaTheme="minorHAnsi" w:hAnsi="Cambria" w:cs="Cambria" w:hint="default"/>
        <w:color w:val="7030A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Cambria Math" w:hAnsi="Cambria Math" w:hint="default"/>
      </w:rPr>
    </w:lvl>
    <w:lvl w:ilvl="3" w:tplc="FFFFFFFF" w:tentative="1">
      <w:start w:val="1"/>
      <w:numFmt w:val="bullet"/>
      <w:lvlText w:val=""/>
      <w:lvlJc w:val="left"/>
      <w:pPr>
        <w:ind w:left="2880" w:hanging="360"/>
      </w:pPr>
      <w:rPr>
        <w:rFonts w:ascii="Segoe UI" w:hAnsi="Segoe UI"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Cambria Math" w:hAnsi="Cambria Math" w:hint="default"/>
      </w:rPr>
    </w:lvl>
    <w:lvl w:ilvl="6" w:tplc="FFFFFFFF" w:tentative="1">
      <w:start w:val="1"/>
      <w:numFmt w:val="bullet"/>
      <w:lvlText w:val=""/>
      <w:lvlJc w:val="left"/>
      <w:pPr>
        <w:ind w:left="5040" w:hanging="360"/>
      </w:pPr>
      <w:rPr>
        <w:rFonts w:ascii="Segoe UI" w:hAnsi="Segoe UI"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Cambria Math" w:hAnsi="Cambria Math" w:hint="default"/>
      </w:rPr>
    </w:lvl>
  </w:abstractNum>
  <w:abstractNum w:abstractNumId="728" w15:restartNumberingAfterBreak="0">
    <w:nsid w:val="7BA53934"/>
    <w:multiLevelType w:val="hybridMultilevel"/>
    <w:tmpl w:val="32A40AE4"/>
    <w:lvl w:ilvl="0" w:tplc="561CD8F8">
      <w:start w:val="1"/>
      <w:numFmt w:val="bullet"/>
      <w:lvlText w:val="-"/>
      <w:lvlJc w:val="left"/>
      <w:pPr>
        <w:ind w:left="1146"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9" w15:restartNumberingAfterBreak="0">
    <w:nsid w:val="7BACEA30"/>
    <w:multiLevelType w:val="hybridMultilevel"/>
    <w:tmpl w:val="FFFFFFFF"/>
    <w:lvl w:ilvl="0" w:tplc="C620755C">
      <w:start w:val="1"/>
      <w:numFmt w:val="decimal"/>
      <w:lvlText w:val="%1."/>
      <w:lvlJc w:val="left"/>
      <w:pPr>
        <w:ind w:left="720" w:hanging="360"/>
      </w:pPr>
    </w:lvl>
    <w:lvl w:ilvl="1" w:tplc="DD92B60A">
      <w:start w:val="1"/>
      <w:numFmt w:val="lowerLetter"/>
      <w:lvlText w:val="%2."/>
      <w:lvlJc w:val="left"/>
      <w:pPr>
        <w:ind w:left="1440" w:hanging="360"/>
      </w:pPr>
    </w:lvl>
    <w:lvl w:ilvl="2" w:tplc="431255E4">
      <w:start w:val="1"/>
      <w:numFmt w:val="lowerRoman"/>
      <w:lvlText w:val="%3."/>
      <w:lvlJc w:val="right"/>
      <w:pPr>
        <w:ind w:left="2160" w:hanging="180"/>
      </w:pPr>
    </w:lvl>
    <w:lvl w:ilvl="3" w:tplc="8B0A7E44">
      <w:start w:val="1"/>
      <w:numFmt w:val="decimal"/>
      <w:lvlText w:val="%4."/>
      <w:lvlJc w:val="left"/>
      <w:pPr>
        <w:ind w:left="2880" w:hanging="360"/>
      </w:pPr>
    </w:lvl>
    <w:lvl w:ilvl="4" w:tplc="6D98B9CA">
      <w:start w:val="1"/>
      <w:numFmt w:val="lowerLetter"/>
      <w:lvlText w:val="%5."/>
      <w:lvlJc w:val="left"/>
      <w:pPr>
        <w:ind w:left="3600" w:hanging="360"/>
      </w:pPr>
    </w:lvl>
    <w:lvl w:ilvl="5" w:tplc="2DF8FDF2">
      <w:start w:val="1"/>
      <w:numFmt w:val="lowerRoman"/>
      <w:lvlText w:val="%6."/>
      <w:lvlJc w:val="right"/>
      <w:pPr>
        <w:ind w:left="4320" w:hanging="180"/>
      </w:pPr>
    </w:lvl>
    <w:lvl w:ilvl="6" w:tplc="CCD6CB4A">
      <w:start w:val="1"/>
      <w:numFmt w:val="decimal"/>
      <w:lvlText w:val="%7."/>
      <w:lvlJc w:val="left"/>
      <w:pPr>
        <w:ind w:left="5040" w:hanging="360"/>
      </w:pPr>
    </w:lvl>
    <w:lvl w:ilvl="7" w:tplc="8CD2EEEE">
      <w:start w:val="1"/>
      <w:numFmt w:val="lowerLetter"/>
      <w:lvlText w:val="%8."/>
      <w:lvlJc w:val="left"/>
      <w:pPr>
        <w:ind w:left="5760" w:hanging="360"/>
      </w:pPr>
    </w:lvl>
    <w:lvl w:ilvl="8" w:tplc="A9FA6A58">
      <w:start w:val="1"/>
      <w:numFmt w:val="lowerRoman"/>
      <w:lvlText w:val="%9."/>
      <w:lvlJc w:val="right"/>
      <w:pPr>
        <w:ind w:left="6480" w:hanging="180"/>
      </w:pPr>
    </w:lvl>
  </w:abstractNum>
  <w:abstractNum w:abstractNumId="730" w15:restartNumberingAfterBreak="0">
    <w:nsid w:val="7BEB3116"/>
    <w:multiLevelType w:val="hybridMultilevel"/>
    <w:tmpl w:val="6F8CDA72"/>
    <w:lvl w:ilvl="0" w:tplc="1809001B">
      <w:start w:val="1"/>
      <w:numFmt w:val="lowerRoman"/>
      <w:lvlText w:val="%1."/>
      <w:lvlJc w:val="righ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731" w15:restartNumberingAfterBreak="0">
    <w:nsid w:val="7BEB322F"/>
    <w:multiLevelType w:val="multilevel"/>
    <w:tmpl w:val="D18690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2" w15:restartNumberingAfterBreak="0">
    <w:nsid w:val="7BF06854"/>
    <w:multiLevelType w:val="multilevel"/>
    <w:tmpl w:val="6F9AF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3" w15:restartNumberingAfterBreak="0">
    <w:nsid w:val="7BF86B53"/>
    <w:multiLevelType w:val="hybridMultilevel"/>
    <w:tmpl w:val="D858486E"/>
    <w:lvl w:ilvl="0" w:tplc="23AE571E">
      <w:start w:val="2"/>
      <w:numFmt w:val="lowerLetter"/>
      <w:lvlText w:val="%1."/>
      <w:lvlJc w:val="left"/>
      <w:pPr>
        <w:ind w:left="720" w:hanging="360"/>
      </w:pPr>
    </w:lvl>
    <w:lvl w:ilvl="1" w:tplc="7E82A9C6">
      <w:start w:val="1"/>
      <w:numFmt w:val="lowerLetter"/>
      <w:lvlText w:val="%2."/>
      <w:lvlJc w:val="left"/>
      <w:pPr>
        <w:ind w:left="1440" w:hanging="360"/>
      </w:pPr>
    </w:lvl>
    <w:lvl w:ilvl="2" w:tplc="B0BC943C">
      <w:start w:val="1"/>
      <w:numFmt w:val="lowerRoman"/>
      <w:lvlText w:val="%3."/>
      <w:lvlJc w:val="right"/>
      <w:pPr>
        <w:ind w:left="2160" w:hanging="180"/>
      </w:pPr>
    </w:lvl>
    <w:lvl w:ilvl="3" w:tplc="3E1AFD4C">
      <w:start w:val="1"/>
      <w:numFmt w:val="decimal"/>
      <w:lvlText w:val="%4."/>
      <w:lvlJc w:val="left"/>
      <w:pPr>
        <w:ind w:left="2880" w:hanging="360"/>
      </w:pPr>
    </w:lvl>
    <w:lvl w:ilvl="4" w:tplc="CFCC7AEA">
      <w:start w:val="1"/>
      <w:numFmt w:val="lowerLetter"/>
      <w:lvlText w:val="%5."/>
      <w:lvlJc w:val="left"/>
      <w:pPr>
        <w:ind w:left="3600" w:hanging="360"/>
      </w:pPr>
    </w:lvl>
    <w:lvl w:ilvl="5" w:tplc="00424DB4">
      <w:start w:val="1"/>
      <w:numFmt w:val="lowerRoman"/>
      <w:lvlText w:val="%6."/>
      <w:lvlJc w:val="right"/>
      <w:pPr>
        <w:ind w:left="4320" w:hanging="180"/>
      </w:pPr>
    </w:lvl>
    <w:lvl w:ilvl="6" w:tplc="892CF7A6">
      <w:start w:val="1"/>
      <w:numFmt w:val="decimal"/>
      <w:lvlText w:val="%7."/>
      <w:lvlJc w:val="left"/>
      <w:pPr>
        <w:ind w:left="5040" w:hanging="360"/>
      </w:pPr>
    </w:lvl>
    <w:lvl w:ilvl="7" w:tplc="25022B18">
      <w:start w:val="1"/>
      <w:numFmt w:val="lowerLetter"/>
      <w:lvlText w:val="%8."/>
      <w:lvlJc w:val="left"/>
      <w:pPr>
        <w:ind w:left="5760" w:hanging="360"/>
      </w:pPr>
    </w:lvl>
    <w:lvl w:ilvl="8" w:tplc="C3AE92A6">
      <w:start w:val="1"/>
      <w:numFmt w:val="lowerRoman"/>
      <w:lvlText w:val="%9."/>
      <w:lvlJc w:val="right"/>
      <w:pPr>
        <w:ind w:left="6480" w:hanging="180"/>
      </w:pPr>
    </w:lvl>
  </w:abstractNum>
  <w:abstractNum w:abstractNumId="734" w15:restartNumberingAfterBreak="0">
    <w:nsid w:val="7C065371"/>
    <w:multiLevelType w:val="multilevel"/>
    <w:tmpl w:val="D1EE0FAC"/>
    <w:lvl w:ilvl="0">
      <w:start w:val="1"/>
      <w:numFmt w:val="lowerRoman"/>
      <w:lvlText w:val="%1."/>
      <w:lvlJc w:val="right"/>
      <w:pPr>
        <w:tabs>
          <w:tab w:val="num" w:pos="1800"/>
        </w:tabs>
        <w:ind w:left="1800" w:hanging="360"/>
      </w:pPr>
      <w:rPr>
        <w:rFonts w:hint="default"/>
      </w:rPr>
    </w:lvl>
    <w:lvl w:ilvl="1">
      <w:start w:val="1"/>
      <w:numFmt w:val="lowerRoman"/>
      <w:lvlText w:val="%2."/>
      <w:lvlJc w:val="right"/>
      <w:pPr>
        <w:tabs>
          <w:tab w:val="num" w:pos="2520"/>
        </w:tabs>
        <w:ind w:left="2520" w:hanging="360"/>
      </w:pPr>
      <w:rPr>
        <w:rFonts w:hint="default"/>
      </w:rPr>
    </w:lvl>
    <w:lvl w:ilvl="2">
      <w:start w:val="1"/>
      <w:numFmt w:val="lowerRoman"/>
      <w:lvlText w:val="%3."/>
      <w:lvlJc w:val="right"/>
      <w:pPr>
        <w:tabs>
          <w:tab w:val="num" w:pos="3240"/>
        </w:tabs>
        <w:ind w:left="3240" w:hanging="360"/>
      </w:pPr>
      <w:rPr>
        <w:rFonts w:hint="default"/>
      </w:rPr>
    </w:lvl>
    <w:lvl w:ilvl="3">
      <w:start w:val="1"/>
      <w:numFmt w:val="lowerRoman"/>
      <w:lvlText w:val="%4."/>
      <w:lvlJc w:val="right"/>
      <w:pPr>
        <w:tabs>
          <w:tab w:val="num" w:pos="3960"/>
        </w:tabs>
        <w:ind w:left="3960" w:hanging="360"/>
      </w:pPr>
      <w:rPr>
        <w:rFonts w:hint="default"/>
      </w:rPr>
    </w:lvl>
    <w:lvl w:ilvl="4">
      <w:start w:val="1"/>
      <w:numFmt w:val="lowerRoman"/>
      <w:lvlText w:val="%5."/>
      <w:lvlJc w:val="right"/>
      <w:pPr>
        <w:tabs>
          <w:tab w:val="num" w:pos="4680"/>
        </w:tabs>
        <w:ind w:left="4680" w:hanging="360"/>
      </w:pPr>
      <w:rPr>
        <w:rFonts w:hint="default"/>
      </w:rPr>
    </w:lvl>
    <w:lvl w:ilvl="5">
      <w:start w:val="1"/>
      <w:numFmt w:val="lowerRoman"/>
      <w:lvlText w:val="%6."/>
      <w:lvlJc w:val="right"/>
      <w:pPr>
        <w:tabs>
          <w:tab w:val="num" w:pos="5400"/>
        </w:tabs>
        <w:ind w:left="5400" w:hanging="360"/>
      </w:pPr>
      <w:rPr>
        <w:rFonts w:hint="default"/>
      </w:rPr>
    </w:lvl>
    <w:lvl w:ilvl="6">
      <w:start w:val="1"/>
      <w:numFmt w:val="lowerRoman"/>
      <w:lvlText w:val="%7."/>
      <w:lvlJc w:val="right"/>
      <w:pPr>
        <w:tabs>
          <w:tab w:val="num" w:pos="6120"/>
        </w:tabs>
        <w:ind w:left="6120" w:hanging="360"/>
      </w:pPr>
      <w:rPr>
        <w:rFonts w:hint="default"/>
      </w:rPr>
    </w:lvl>
    <w:lvl w:ilvl="7">
      <w:start w:val="1"/>
      <w:numFmt w:val="lowerRoman"/>
      <w:lvlText w:val="%8."/>
      <w:lvlJc w:val="right"/>
      <w:pPr>
        <w:tabs>
          <w:tab w:val="num" w:pos="6840"/>
        </w:tabs>
        <w:ind w:left="6840" w:hanging="360"/>
      </w:pPr>
      <w:rPr>
        <w:rFonts w:hint="default"/>
      </w:rPr>
    </w:lvl>
    <w:lvl w:ilvl="8">
      <w:start w:val="1"/>
      <w:numFmt w:val="lowerRoman"/>
      <w:lvlText w:val="%9."/>
      <w:lvlJc w:val="right"/>
      <w:pPr>
        <w:tabs>
          <w:tab w:val="num" w:pos="7560"/>
        </w:tabs>
        <w:ind w:left="7560" w:hanging="360"/>
      </w:pPr>
      <w:rPr>
        <w:rFonts w:hint="default"/>
      </w:rPr>
    </w:lvl>
  </w:abstractNum>
  <w:abstractNum w:abstractNumId="735" w15:restartNumberingAfterBreak="0">
    <w:nsid w:val="7C227792"/>
    <w:multiLevelType w:val="hybridMultilevel"/>
    <w:tmpl w:val="1B82981A"/>
    <w:lvl w:ilvl="0" w:tplc="FFFFFFFF">
      <w:start w:val="1"/>
      <w:numFmt w:val="decimal"/>
      <w:lvlText w:val="%1."/>
      <w:lvlJc w:val="left"/>
      <w:pPr>
        <w:ind w:left="720" w:hanging="360"/>
      </w:pPr>
      <w:rPr>
        <w:rFonts w:hint="default"/>
        <w:b/>
        <w:bCs/>
      </w:rPr>
    </w:lvl>
    <w:lvl w:ilvl="1" w:tplc="18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6" w15:restartNumberingAfterBreak="0">
    <w:nsid w:val="7C4709B9"/>
    <w:multiLevelType w:val="hybridMultilevel"/>
    <w:tmpl w:val="D68A0C9A"/>
    <w:lvl w:ilvl="0" w:tplc="04090011">
      <w:start w:val="1"/>
      <w:numFmt w:val="decimal"/>
      <w:lvlText w:val="%1)"/>
      <w:lvlJc w:val="lef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Cambria Math" w:hAnsi="Cambria Math"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Cambria Math" w:hAnsi="Cambria Math"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Cambria Math" w:hAnsi="Cambria Math" w:hint="default"/>
      </w:rPr>
    </w:lvl>
  </w:abstractNum>
  <w:abstractNum w:abstractNumId="737" w15:restartNumberingAfterBreak="0">
    <w:nsid w:val="7C7750A6"/>
    <w:multiLevelType w:val="hybridMultilevel"/>
    <w:tmpl w:val="FFFFFFFF"/>
    <w:lvl w:ilvl="0" w:tplc="70DE8CA2">
      <w:start w:val="1"/>
      <w:numFmt w:val="decimal"/>
      <w:lvlText w:val="%1."/>
      <w:lvlJc w:val="left"/>
      <w:pPr>
        <w:ind w:left="720" w:hanging="360"/>
      </w:pPr>
    </w:lvl>
    <w:lvl w:ilvl="1" w:tplc="CB5068AE">
      <w:start w:val="1"/>
      <w:numFmt w:val="lowerLetter"/>
      <w:lvlText w:val="%2."/>
      <w:lvlJc w:val="left"/>
      <w:pPr>
        <w:ind w:left="1440" w:hanging="360"/>
      </w:pPr>
    </w:lvl>
    <w:lvl w:ilvl="2" w:tplc="5A5E4106">
      <w:start w:val="1"/>
      <w:numFmt w:val="lowerRoman"/>
      <w:lvlText w:val="%3."/>
      <w:lvlJc w:val="right"/>
      <w:pPr>
        <w:ind w:left="2160" w:hanging="180"/>
      </w:pPr>
    </w:lvl>
    <w:lvl w:ilvl="3" w:tplc="159C5A98">
      <w:start w:val="1"/>
      <w:numFmt w:val="decimal"/>
      <w:lvlText w:val="%4."/>
      <w:lvlJc w:val="left"/>
      <w:pPr>
        <w:ind w:left="2880" w:hanging="360"/>
      </w:pPr>
    </w:lvl>
    <w:lvl w:ilvl="4" w:tplc="E08E504E">
      <w:start w:val="1"/>
      <w:numFmt w:val="lowerLetter"/>
      <w:lvlText w:val="%5."/>
      <w:lvlJc w:val="left"/>
      <w:pPr>
        <w:ind w:left="3600" w:hanging="360"/>
      </w:pPr>
    </w:lvl>
    <w:lvl w:ilvl="5" w:tplc="517ED0A0">
      <w:start w:val="1"/>
      <w:numFmt w:val="lowerRoman"/>
      <w:lvlText w:val="%6."/>
      <w:lvlJc w:val="right"/>
      <w:pPr>
        <w:ind w:left="4320" w:hanging="180"/>
      </w:pPr>
    </w:lvl>
    <w:lvl w:ilvl="6" w:tplc="2E3044F0">
      <w:start w:val="1"/>
      <w:numFmt w:val="decimal"/>
      <w:lvlText w:val="%7."/>
      <w:lvlJc w:val="left"/>
      <w:pPr>
        <w:ind w:left="5040" w:hanging="360"/>
      </w:pPr>
    </w:lvl>
    <w:lvl w:ilvl="7" w:tplc="3518557E">
      <w:start w:val="1"/>
      <w:numFmt w:val="lowerLetter"/>
      <w:lvlText w:val="%8."/>
      <w:lvlJc w:val="left"/>
      <w:pPr>
        <w:ind w:left="5760" w:hanging="360"/>
      </w:pPr>
    </w:lvl>
    <w:lvl w:ilvl="8" w:tplc="35C41E8E">
      <w:start w:val="1"/>
      <w:numFmt w:val="lowerRoman"/>
      <w:lvlText w:val="%9."/>
      <w:lvlJc w:val="right"/>
      <w:pPr>
        <w:ind w:left="6480" w:hanging="180"/>
      </w:pPr>
    </w:lvl>
  </w:abstractNum>
  <w:abstractNum w:abstractNumId="738" w15:restartNumberingAfterBreak="0">
    <w:nsid w:val="7C7A1769"/>
    <w:multiLevelType w:val="multilevel"/>
    <w:tmpl w:val="8CFC3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9" w15:restartNumberingAfterBreak="0">
    <w:nsid w:val="7C7E4710"/>
    <w:multiLevelType w:val="multilevel"/>
    <w:tmpl w:val="D81C371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0" w15:restartNumberingAfterBreak="0">
    <w:nsid w:val="7CA77FBF"/>
    <w:multiLevelType w:val="hybridMultilevel"/>
    <w:tmpl w:val="FFFFFFFF"/>
    <w:lvl w:ilvl="0" w:tplc="56345B4C">
      <w:start w:val="1"/>
      <w:numFmt w:val="bullet"/>
      <w:lvlText w:val=""/>
      <w:lvlJc w:val="left"/>
      <w:pPr>
        <w:ind w:left="720" w:hanging="360"/>
      </w:pPr>
      <w:rPr>
        <w:rFonts w:ascii="Segoe UI" w:hAnsi="Segoe UI" w:hint="default"/>
      </w:rPr>
    </w:lvl>
    <w:lvl w:ilvl="1" w:tplc="F9F60570">
      <w:start w:val="1"/>
      <w:numFmt w:val="bullet"/>
      <w:lvlText w:val="o"/>
      <w:lvlJc w:val="left"/>
      <w:pPr>
        <w:ind w:left="1440" w:hanging="360"/>
      </w:pPr>
      <w:rPr>
        <w:rFonts w:ascii="Courier New" w:hAnsi="Courier New" w:hint="default"/>
      </w:rPr>
    </w:lvl>
    <w:lvl w:ilvl="2" w:tplc="0584E2DA">
      <w:start w:val="1"/>
      <w:numFmt w:val="bullet"/>
      <w:lvlText w:val=""/>
      <w:lvlJc w:val="left"/>
      <w:pPr>
        <w:ind w:left="2160" w:hanging="360"/>
      </w:pPr>
      <w:rPr>
        <w:rFonts w:ascii="Cambria Math" w:hAnsi="Cambria Math" w:hint="default"/>
      </w:rPr>
    </w:lvl>
    <w:lvl w:ilvl="3" w:tplc="6E30AFB2">
      <w:start w:val="1"/>
      <w:numFmt w:val="bullet"/>
      <w:lvlText w:val=""/>
      <w:lvlJc w:val="left"/>
      <w:pPr>
        <w:ind w:left="2880" w:hanging="360"/>
      </w:pPr>
      <w:rPr>
        <w:rFonts w:ascii="Segoe UI" w:hAnsi="Segoe UI" w:hint="default"/>
      </w:rPr>
    </w:lvl>
    <w:lvl w:ilvl="4" w:tplc="E6CA7CD4">
      <w:start w:val="1"/>
      <w:numFmt w:val="bullet"/>
      <w:lvlText w:val="o"/>
      <w:lvlJc w:val="left"/>
      <w:pPr>
        <w:ind w:left="3600" w:hanging="360"/>
      </w:pPr>
      <w:rPr>
        <w:rFonts w:ascii="Courier New" w:hAnsi="Courier New" w:hint="default"/>
      </w:rPr>
    </w:lvl>
    <w:lvl w:ilvl="5" w:tplc="3A6EF328">
      <w:start w:val="1"/>
      <w:numFmt w:val="bullet"/>
      <w:lvlText w:val=""/>
      <w:lvlJc w:val="left"/>
      <w:pPr>
        <w:ind w:left="4320" w:hanging="360"/>
      </w:pPr>
      <w:rPr>
        <w:rFonts w:ascii="Cambria Math" w:hAnsi="Cambria Math" w:hint="default"/>
      </w:rPr>
    </w:lvl>
    <w:lvl w:ilvl="6" w:tplc="EC1A56BC">
      <w:start w:val="1"/>
      <w:numFmt w:val="bullet"/>
      <w:lvlText w:val=""/>
      <w:lvlJc w:val="left"/>
      <w:pPr>
        <w:ind w:left="5040" w:hanging="360"/>
      </w:pPr>
      <w:rPr>
        <w:rFonts w:ascii="Segoe UI" w:hAnsi="Segoe UI" w:hint="default"/>
      </w:rPr>
    </w:lvl>
    <w:lvl w:ilvl="7" w:tplc="05EC94D2">
      <w:start w:val="1"/>
      <w:numFmt w:val="bullet"/>
      <w:lvlText w:val="o"/>
      <w:lvlJc w:val="left"/>
      <w:pPr>
        <w:ind w:left="5760" w:hanging="360"/>
      </w:pPr>
      <w:rPr>
        <w:rFonts w:ascii="Courier New" w:hAnsi="Courier New" w:hint="default"/>
      </w:rPr>
    </w:lvl>
    <w:lvl w:ilvl="8" w:tplc="D04EC7E6">
      <w:start w:val="1"/>
      <w:numFmt w:val="bullet"/>
      <w:lvlText w:val=""/>
      <w:lvlJc w:val="left"/>
      <w:pPr>
        <w:ind w:left="6480" w:hanging="360"/>
      </w:pPr>
      <w:rPr>
        <w:rFonts w:ascii="Cambria Math" w:hAnsi="Cambria Math" w:hint="default"/>
      </w:rPr>
    </w:lvl>
  </w:abstractNum>
  <w:abstractNum w:abstractNumId="741" w15:restartNumberingAfterBreak="0">
    <w:nsid w:val="7CB1591F"/>
    <w:multiLevelType w:val="hybridMultilevel"/>
    <w:tmpl w:val="90465D9C"/>
    <w:lvl w:ilvl="0" w:tplc="0409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2"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743" w15:restartNumberingAfterBreak="0">
    <w:nsid w:val="7CCF5ABA"/>
    <w:multiLevelType w:val="hybridMultilevel"/>
    <w:tmpl w:val="89528FFA"/>
    <w:lvl w:ilvl="0" w:tplc="16A62AA6">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44" w15:restartNumberingAfterBreak="0">
    <w:nsid w:val="7D081A82"/>
    <w:multiLevelType w:val="hybridMultilevel"/>
    <w:tmpl w:val="260AD7EC"/>
    <w:lvl w:ilvl="0" w:tplc="24CE598A">
      <w:start w:val="1"/>
      <w:numFmt w:val="bullet"/>
      <w:lvlText w:val=""/>
      <w:lvlJc w:val="left"/>
      <w:pPr>
        <w:ind w:left="720" w:hanging="360"/>
      </w:pPr>
      <w:rPr>
        <w:rFonts w:ascii="Symbol" w:hAnsi="Symbol" w:hint="default"/>
      </w:rPr>
    </w:lvl>
    <w:lvl w:ilvl="1" w:tplc="687A7700">
      <w:start w:val="1"/>
      <w:numFmt w:val="bullet"/>
      <w:lvlText w:val="o"/>
      <w:lvlJc w:val="left"/>
      <w:pPr>
        <w:ind w:left="1440" w:hanging="360"/>
      </w:pPr>
      <w:rPr>
        <w:rFonts w:ascii="Courier New" w:hAnsi="Courier New" w:hint="default"/>
      </w:rPr>
    </w:lvl>
    <w:lvl w:ilvl="2" w:tplc="9B6601BE">
      <w:start w:val="1"/>
      <w:numFmt w:val="bullet"/>
      <w:lvlText w:val=""/>
      <w:lvlJc w:val="left"/>
      <w:pPr>
        <w:ind w:left="2160" w:hanging="360"/>
      </w:pPr>
      <w:rPr>
        <w:rFonts w:ascii="Wingdings" w:hAnsi="Wingdings" w:hint="default"/>
      </w:rPr>
    </w:lvl>
    <w:lvl w:ilvl="3" w:tplc="48A2CBA8">
      <w:start w:val="1"/>
      <w:numFmt w:val="bullet"/>
      <w:lvlText w:val=""/>
      <w:lvlJc w:val="left"/>
      <w:pPr>
        <w:ind w:left="2880" w:hanging="360"/>
      </w:pPr>
      <w:rPr>
        <w:rFonts w:ascii="Symbol" w:hAnsi="Symbol" w:hint="default"/>
      </w:rPr>
    </w:lvl>
    <w:lvl w:ilvl="4" w:tplc="97C4CAE2">
      <w:start w:val="1"/>
      <w:numFmt w:val="bullet"/>
      <w:lvlText w:val="o"/>
      <w:lvlJc w:val="left"/>
      <w:pPr>
        <w:ind w:left="3600" w:hanging="360"/>
      </w:pPr>
      <w:rPr>
        <w:rFonts w:ascii="Courier New" w:hAnsi="Courier New" w:hint="default"/>
      </w:rPr>
    </w:lvl>
    <w:lvl w:ilvl="5" w:tplc="BF2A29EE">
      <w:start w:val="1"/>
      <w:numFmt w:val="bullet"/>
      <w:lvlText w:val=""/>
      <w:lvlJc w:val="left"/>
      <w:pPr>
        <w:ind w:left="4320" w:hanging="360"/>
      </w:pPr>
      <w:rPr>
        <w:rFonts w:ascii="Wingdings" w:hAnsi="Wingdings" w:hint="default"/>
      </w:rPr>
    </w:lvl>
    <w:lvl w:ilvl="6" w:tplc="D7043F78">
      <w:start w:val="1"/>
      <w:numFmt w:val="bullet"/>
      <w:lvlText w:val=""/>
      <w:lvlJc w:val="left"/>
      <w:pPr>
        <w:ind w:left="5040" w:hanging="360"/>
      </w:pPr>
      <w:rPr>
        <w:rFonts w:ascii="Symbol" w:hAnsi="Symbol" w:hint="default"/>
      </w:rPr>
    </w:lvl>
    <w:lvl w:ilvl="7" w:tplc="544C67B4">
      <w:start w:val="1"/>
      <w:numFmt w:val="bullet"/>
      <w:lvlText w:val="o"/>
      <w:lvlJc w:val="left"/>
      <w:pPr>
        <w:ind w:left="5760" w:hanging="360"/>
      </w:pPr>
      <w:rPr>
        <w:rFonts w:ascii="Courier New" w:hAnsi="Courier New" w:hint="default"/>
      </w:rPr>
    </w:lvl>
    <w:lvl w:ilvl="8" w:tplc="F070C0C2">
      <w:start w:val="1"/>
      <w:numFmt w:val="bullet"/>
      <w:lvlText w:val=""/>
      <w:lvlJc w:val="left"/>
      <w:pPr>
        <w:ind w:left="6480" w:hanging="360"/>
      </w:pPr>
      <w:rPr>
        <w:rFonts w:ascii="Wingdings" w:hAnsi="Wingdings" w:hint="default"/>
      </w:rPr>
    </w:lvl>
  </w:abstractNum>
  <w:abstractNum w:abstractNumId="745" w15:restartNumberingAfterBreak="0">
    <w:nsid w:val="7D9F107D"/>
    <w:multiLevelType w:val="hybridMultilevel"/>
    <w:tmpl w:val="5BDA4B46"/>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6" w15:restartNumberingAfterBreak="0">
    <w:nsid w:val="7DBA1C74"/>
    <w:multiLevelType w:val="hybridMultilevel"/>
    <w:tmpl w:val="6A8CDE32"/>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747" w15:restartNumberingAfterBreak="0">
    <w:nsid w:val="7DF5CEA6"/>
    <w:multiLevelType w:val="hybridMultilevel"/>
    <w:tmpl w:val="FFFFFFFF"/>
    <w:lvl w:ilvl="0" w:tplc="EF80A4A0">
      <w:start w:val="1"/>
      <w:numFmt w:val="bullet"/>
      <w:lvlText w:val=""/>
      <w:lvlJc w:val="left"/>
      <w:pPr>
        <w:ind w:left="720" w:hanging="360"/>
      </w:pPr>
      <w:rPr>
        <w:rFonts w:ascii="Segoe UI" w:hAnsi="Segoe UI" w:hint="default"/>
      </w:rPr>
    </w:lvl>
    <w:lvl w:ilvl="1" w:tplc="3808D3AC">
      <w:start w:val="1"/>
      <w:numFmt w:val="bullet"/>
      <w:lvlText w:val="o"/>
      <w:lvlJc w:val="left"/>
      <w:pPr>
        <w:ind w:left="1440" w:hanging="360"/>
      </w:pPr>
      <w:rPr>
        <w:rFonts w:ascii="Courier New" w:hAnsi="Courier New" w:hint="default"/>
      </w:rPr>
    </w:lvl>
    <w:lvl w:ilvl="2" w:tplc="2AF0ABE8">
      <w:start w:val="1"/>
      <w:numFmt w:val="bullet"/>
      <w:lvlText w:val=""/>
      <w:lvlJc w:val="left"/>
      <w:pPr>
        <w:ind w:left="2160" w:hanging="360"/>
      </w:pPr>
      <w:rPr>
        <w:rFonts w:ascii="Cambria Math" w:hAnsi="Cambria Math" w:hint="default"/>
      </w:rPr>
    </w:lvl>
    <w:lvl w:ilvl="3" w:tplc="7018CE90">
      <w:start w:val="1"/>
      <w:numFmt w:val="bullet"/>
      <w:lvlText w:val=""/>
      <w:lvlJc w:val="left"/>
      <w:pPr>
        <w:ind w:left="2880" w:hanging="360"/>
      </w:pPr>
      <w:rPr>
        <w:rFonts w:ascii="Segoe UI" w:hAnsi="Segoe UI" w:hint="default"/>
      </w:rPr>
    </w:lvl>
    <w:lvl w:ilvl="4" w:tplc="1340FAF2">
      <w:start w:val="1"/>
      <w:numFmt w:val="bullet"/>
      <w:lvlText w:val="o"/>
      <w:lvlJc w:val="left"/>
      <w:pPr>
        <w:ind w:left="3600" w:hanging="360"/>
      </w:pPr>
      <w:rPr>
        <w:rFonts w:ascii="Courier New" w:hAnsi="Courier New" w:hint="default"/>
      </w:rPr>
    </w:lvl>
    <w:lvl w:ilvl="5" w:tplc="DB70E75E">
      <w:start w:val="1"/>
      <w:numFmt w:val="bullet"/>
      <w:lvlText w:val=""/>
      <w:lvlJc w:val="left"/>
      <w:pPr>
        <w:ind w:left="4320" w:hanging="360"/>
      </w:pPr>
      <w:rPr>
        <w:rFonts w:ascii="Cambria Math" w:hAnsi="Cambria Math" w:hint="default"/>
      </w:rPr>
    </w:lvl>
    <w:lvl w:ilvl="6" w:tplc="BF7EB72A">
      <w:start w:val="1"/>
      <w:numFmt w:val="bullet"/>
      <w:lvlText w:val=""/>
      <w:lvlJc w:val="left"/>
      <w:pPr>
        <w:ind w:left="5040" w:hanging="360"/>
      </w:pPr>
      <w:rPr>
        <w:rFonts w:ascii="Segoe UI" w:hAnsi="Segoe UI" w:hint="default"/>
      </w:rPr>
    </w:lvl>
    <w:lvl w:ilvl="7" w:tplc="78FCCF48">
      <w:start w:val="1"/>
      <w:numFmt w:val="bullet"/>
      <w:lvlText w:val="o"/>
      <w:lvlJc w:val="left"/>
      <w:pPr>
        <w:ind w:left="5760" w:hanging="360"/>
      </w:pPr>
      <w:rPr>
        <w:rFonts w:ascii="Courier New" w:hAnsi="Courier New" w:hint="default"/>
      </w:rPr>
    </w:lvl>
    <w:lvl w:ilvl="8" w:tplc="94FE6D1E">
      <w:start w:val="1"/>
      <w:numFmt w:val="bullet"/>
      <w:lvlText w:val=""/>
      <w:lvlJc w:val="left"/>
      <w:pPr>
        <w:ind w:left="6480" w:hanging="360"/>
      </w:pPr>
      <w:rPr>
        <w:rFonts w:ascii="Cambria Math" w:hAnsi="Cambria Math" w:hint="default"/>
      </w:rPr>
    </w:lvl>
  </w:abstractNum>
  <w:abstractNum w:abstractNumId="748" w15:restartNumberingAfterBreak="0">
    <w:nsid w:val="7E0025ED"/>
    <w:multiLevelType w:val="multilevel"/>
    <w:tmpl w:val="8160E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9" w15:restartNumberingAfterBreak="0">
    <w:nsid w:val="7E281E05"/>
    <w:multiLevelType w:val="multilevel"/>
    <w:tmpl w:val="98F0D13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0" w15:restartNumberingAfterBreak="0">
    <w:nsid w:val="7E3A3C41"/>
    <w:multiLevelType w:val="hybridMultilevel"/>
    <w:tmpl w:val="FFFFFFFF"/>
    <w:lvl w:ilvl="0" w:tplc="04C8EDA8">
      <w:start w:val="1"/>
      <w:numFmt w:val="bullet"/>
      <w:lvlText w:val="-"/>
      <w:lvlJc w:val="left"/>
      <w:pPr>
        <w:ind w:left="720" w:hanging="360"/>
      </w:pPr>
      <w:rPr>
        <w:rFonts w:ascii="Calibri" w:hAnsi="Calibri" w:hint="default"/>
      </w:rPr>
    </w:lvl>
    <w:lvl w:ilvl="1" w:tplc="042E9370">
      <w:start w:val="1"/>
      <w:numFmt w:val="bullet"/>
      <w:lvlText w:val="o"/>
      <w:lvlJc w:val="left"/>
      <w:pPr>
        <w:ind w:left="1440" w:hanging="360"/>
      </w:pPr>
      <w:rPr>
        <w:rFonts w:ascii="Courier New" w:hAnsi="Courier New" w:hint="default"/>
      </w:rPr>
    </w:lvl>
    <w:lvl w:ilvl="2" w:tplc="A83CA1D6">
      <w:start w:val="1"/>
      <w:numFmt w:val="bullet"/>
      <w:lvlText w:val=""/>
      <w:lvlJc w:val="left"/>
      <w:pPr>
        <w:ind w:left="2160" w:hanging="360"/>
      </w:pPr>
      <w:rPr>
        <w:rFonts w:ascii="Wingdings" w:hAnsi="Wingdings" w:hint="default"/>
      </w:rPr>
    </w:lvl>
    <w:lvl w:ilvl="3" w:tplc="33A6D3BE">
      <w:start w:val="1"/>
      <w:numFmt w:val="bullet"/>
      <w:lvlText w:val=""/>
      <w:lvlJc w:val="left"/>
      <w:pPr>
        <w:ind w:left="2880" w:hanging="360"/>
      </w:pPr>
      <w:rPr>
        <w:rFonts w:ascii="Symbol" w:hAnsi="Symbol" w:hint="default"/>
      </w:rPr>
    </w:lvl>
    <w:lvl w:ilvl="4" w:tplc="AA6C9DCA">
      <w:start w:val="1"/>
      <w:numFmt w:val="bullet"/>
      <w:lvlText w:val="o"/>
      <w:lvlJc w:val="left"/>
      <w:pPr>
        <w:ind w:left="3600" w:hanging="360"/>
      </w:pPr>
      <w:rPr>
        <w:rFonts w:ascii="Courier New" w:hAnsi="Courier New" w:hint="default"/>
      </w:rPr>
    </w:lvl>
    <w:lvl w:ilvl="5" w:tplc="BAD8AAD2">
      <w:start w:val="1"/>
      <w:numFmt w:val="bullet"/>
      <w:lvlText w:val=""/>
      <w:lvlJc w:val="left"/>
      <w:pPr>
        <w:ind w:left="4320" w:hanging="360"/>
      </w:pPr>
      <w:rPr>
        <w:rFonts w:ascii="Wingdings" w:hAnsi="Wingdings" w:hint="default"/>
      </w:rPr>
    </w:lvl>
    <w:lvl w:ilvl="6" w:tplc="C98EFC24">
      <w:start w:val="1"/>
      <w:numFmt w:val="bullet"/>
      <w:lvlText w:val=""/>
      <w:lvlJc w:val="left"/>
      <w:pPr>
        <w:ind w:left="5040" w:hanging="360"/>
      </w:pPr>
      <w:rPr>
        <w:rFonts w:ascii="Symbol" w:hAnsi="Symbol" w:hint="default"/>
      </w:rPr>
    </w:lvl>
    <w:lvl w:ilvl="7" w:tplc="B4CC9DA8">
      <w:start w:val="1"/>
      <w:numFmt w:val="bullet"/>
      <w:lvlText w:val="o"/>
      <w:lvlJc w:val="left"/>
      <w:pPr>
        <w:ind w:left="5760" w:hanging="360"/>
      </w:pPr>
      <w:rPr>
        <w:rFonts w:ascii="Courier New" w:hAnsi="Courier New" w:hint="default"/>
      </w:rPr>
    </w:lvl>
    <w:lvl w:ilvl="8" w:tplc="DAE874B8">
      <w:start w:val="1"/>
      <w:numFmt w:val="bullet"/>
      <w:lvlText w:val=""/>
      <w:lvlJc w:val="left"/>
      <w:pPr>
        <w:ind w:left="6480" w:hanging="360"/>
      </w:pPr>
      <w:rPr>
        <w:rFonts w:ascii="Wingdings" w:hAnsi="Wingdings" w:hint="default"/>
      </w:rPr>
    </w:lvl>
  </w:abstractNum>
  <w:abstractNum w:abstractNumId="751" w15:restartNumberingAfterBreak="0">
    <w:nsid w:val="7E7F1D8C"/>
    <w:multiLevelType w:val="hybridMultilevel"/>
    <w:tmpl w:val="615A4B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52" w15:restartNumberingAfterBreak="0">
    <w:nsid w:val="7E9A2E6F"/>
    <w:multiLevelType w:val="hybridMultilevel"/>
    <w:tmpl w:val="8AD48A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3" w15:restartNumberingAfterBreak="0">
    <w:nsid w:val="7ECA4CEB"/>
    <w:multiLevelType w:val="hybridMultilevel"/>
    <w:tmpl w:val="E706756C"/>
    <w:lvl w:ilvl="0" w:tplc="224AE4EC">
      <w:start w:val="1"/>
      <w:numFmt w:val="bullet"/>
      <w:lvlText w:val="•"/>
      <w:lvlJc w:val="left"/>
      <w:pPr>
        <w:ind w:left="1069" w:hanging="360"/>
      </w:pPr>
      <w:rPr>
        <w:rFonts w:ascii="Symbol" w:eastAsiaTheme="minorHAnsi" w:hAnsi="Symbol" w:cs="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Cambria Math" w:hAnsi="Cambria Math" w:hint="default"/>
      </w:rPr>
    </w:lvl>
    <w:lvl w:ilvl="3" w:tplc="08090001" w:tentative="1">
      <w:start w:val="1"/>
      <w:numFmt w:val="bullet"/>
      <w:lvlText w:val=""/>
      <w:lvlJc w:val="left"/>
      <w:pPr>
        <w:ind w:left="3229" w:hanging="360"/>
      </w:pPr>
      <w:rPr>
        <w:rFonts w:ascii="Segoe UI" w:hAnsi="Segoe UI"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Cambria Math" w:hAnsi="Cambria Math" w:hint="default"/>
      </w:rPr>
    </w:lvl>
    <w:lvl w:ilvl="6" w:tplc="08090001" w:tentative="1">
      <w:start w:val="1"/>
      <w:numFmt w:val="bullet"/>
      <w:lvlText w:val=""/>
      <w:lvlJc w:val="left"/>
      <w:pPr>
        <w:ind w:left="5389" w:hanging="360"/>
      </w:pPr>
      <w:rPr>
        <w:rFonts w:ascii="Segoe UI" w:hAnsi="Segoe UI"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Cambria Math" w:hAnsi="Cambria Math" w:hint="default"/>
      </w:rPr>
    </w:lvl>
  </w:abstractNum>
  <w:abstractNum w:abstractNumId="754" w15:restartNumberingAfterBreak="0">
    <w:nsid w:val="7ED8092D"/>
    <w:multiLevelType w:val="hybridMultilevel"/>
    <w:tmpl w:val="FFFFFFFF"/>
    <w:lvl w:ilvl="0" w:tplc="DCE0F888">
      <w:start w:val="1"/>
      <w:numFmt w:val="bullet"/>
      <w:lvlText w:val="o"/>
      <w:lvlJc w:val="left"/>
      <w:pPr>
        <w:ind w:left="720" w:hanging="360"/>
      </w:pPr>
      <w:rPr>
        <w:rFonts w:ascii="&quot;Courier New&quot;" w:hAnsi="&quot;Courier New&quot;" w:hint="default"/>
      </w:rPr>
    </w:lvl>
    <w:lvl w:ilvl="1" w:tplc="214CC534">
      <w:start w:val="1"/>
      <w:numFmt w:val="bullet"/>
      <w:lvlText w:val="o"/>
      <w:lvlJc w:val="left"/>
      <w:pPr>
        <w:ind w:left="1440" w:hanging="360"/>
      </w:pPr>
      <w:rPr>
        <w:rFonts w:ascii="Courier New" w:hAnsi="Courier New" w:hint="default"/>
      </w:rPr>
    </w:lvl>
    <w:lvl w:ilvl="2" w:tplc="DA84A982">
      <w:start w:val="1"/>
      <w:numFmt w:val="bullet"/>
      <w:lvlText w:val=""/>
      <w:lvlJc w:val="left"/>
      <w:pPr>
        <w:ind w:left="2160" w:hanging="360"/>
      </w:pPr>
      <w:rPr>
        <w:rFonts w:ascii="Wingdings" w:hAnsi="Wingdings" w:hint="default"/>
      </w:rPr>
    </w:lvl>
    <w:lvl w:ilvl="3" w:tplc="6A0843C4">
      <w:start w:val="1"/>
      <w:numFmt w:val="bullet"/>
      <w:lvlText w:val=""/>
      <w:lvlJc w:val="left"/>
      <w:pPr>
        <w:ind w:left="2880" w:hanging="360"/>
      </w:pPr>
      <w:rPr>
        <w:rFonts w:ascii="Symbol" w:hAnsi="Symbol" w:hint="default"/>
      </w:rPr>
    </w:lvl>
    <w:lvl w:ilvl="4" w:tplc="16AE6DCE">
      <w:start w:val="1"/>
      <w:numFmt w:val="bullet"/>
      <w:lvlText w:val="o"/>
      <w:lvlJc w:val="left"/>
      <w:pPr>
        <w:ind w:left="3600" w:hanging="360"/>
      </w:pPr>
      <w:rPr>
        <w:rFonts w:ascii="Courier New" w:hAnsi="Courier New" w:hint="default"/>
      </w:rPr>
    </w:lvl>
    <w:lvl w:ilvl="5" w:tplc="F6AE23C8">
      <w:start w:val="1"/>
      <w:numFmt w:val="bullet"/>
      <w:lvlText w:val=""/>
      <w:lvlJc w:val="left"/>
      <w:pPr>
        <w:ind w:left="4320" w:hanging="360"/>
      </w:pPr>
      <w:rPr>
        <w:rFonts w:ascii="Wingdings" w:hAnsi="Wingdings" w:hint="default"/>
      </w:rPr>
    </w:lvl>
    <w:lvl w:ilvl="6" w:tplc="24B2449A">
      <w:start w:val="1"/>
      <w:numFmt w:val="bullet"/>
      <w:lvlText w:val=""/>
      <w:lvlJc w:val="left"/>
      <w:pPr>
        <w:ind w:left="5040" w:hanging="360"/>
      </w:pPr>
      <w:rPr>
        <w:rFonts w:ascii="Symbol" w:hAnsi="Symbol" w:hint="default"/>
      </w:rPr>
    </w:lvl>
    <w:lvl w:ilvl="7" w:tplc="3718E5AE">
      <w:start w:val="1"/>
      <w:numFmt w:val="bullet"/>
      <w:lvlText w:val="o"/>
      <w:lvlJc w:val="left"/>
      <w:pPr>
        <w:ind w:left="5760" w:hanging="360"/>
      </w:pPr>
      <w:rPr>
        <w:rFonts w:ascii="Courier New" w:hAnsi="Courier New" w:hint="default"/>
      </w:rPr>
    </w:lvl>
    <w:lvl w:ilvl="8" w:tplc="C86E99D4">
      <w:start w:val="1"/>
      <w:numFmt w:val="bullet"/>
      <w:lvlText w:val=""/>
      <w:lvlJc w:val="left"/>
      <w:pPr>
        <w:ind w:left="6480" w:hanging="360"/>
      </w:pPr>
      <w:rPr>
        <w:rFonts w:ascii="Wingdings" w:hAnsi="Wingdings" w:hint="default"/>
      </w:rPr>
    </w:lvl>
  </w:abstractNum>
  <w:abstractNum w:abstractNumId="755" w15:restartNumberingAfterBreak="0">
    <w:nsid w:val="7F6A51A4"/>
    <w:multiLevelType w:val="hybridMultilevel"/>
    <w:tmpl w:val="5CD4A7A4"/>
    <w:lvl w:ilvl="0" w:tplc="561CD8F8">
      <w:start w:val="1"/>
      <w:numFmt w:val="bullet"/>
      <w:lvlText w:val="-"/>
      <w:lvlJc w:val="left"/>
      <w:pPr>
        <w:ind w:left="360" w:hanging="360"/>
      </w:pPr>
      <w:rPr>
        <w:rFonts w:ascii="Calibri" w:hAnsi="Calibri" w:hint="default"/>
      </w:rPr>
    </w:lvl>
    <w:lvl w:ilvl="1" w:tplc="0C0A0003" w:tentative="1">
      <w:start w:val="1"/>
      <w:numFmt w:val="bullet"/>
      <w:lvlText w:val="o"/>
      <w:lvlJc w:val="left"/>
      <w:pPr>
        <w:ind w:left="1080" w:hanging="360"/>
      </w:pPr>
      <w:rPr>
        <w:rFonts w:ascii="Cambria Math" w:hAnsi="Cambria Math" w:cs="Cambria Math"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Courier New" w:hAnsi="Courier New" w:hint="default"/>
      </w:rPr>
    </w:lvl>
    <w:lvl w:ilvl="4" w:tplc="0C0A0003" w:tentative="1">
      <w:start w:val="1"/>
      <w:numFmt w:val="bullet"/>
      <w:lvlText w:val="o"/>
      <w:lvlJc w:val="left"/>
      <w:pPr>
        <w:ind w:left="3240" w:hanging="360"/>
      </w:pPr>
      <w:rPr>
        <w:rFonts w:ascii="Cambria Math" w:hAnsi="Cambria Math" w:cs="Cambria Math"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Courier New" w:hAnsi="Courier New" w:hint="default"/>
      </w:rPr>
    </w:lvl>
    <w:lvl w:ilvl="7" w:tplc="0C0A0003" w:tentative="1">
      <w:start w:val="1"/>
      <w:numFmt w:val="bullet"/>
      <w:lvlText w:val="o"/>
      <w:lvlJc w:val="left"/>
      <w:pPr>
        <w:ind w:left="5400" w:hanging="360"/>
      </w:pPr>
      <w:rPr>
        <w:rFonts w:ascii="Cambria Math" w:hAnsi="Cambria Math" w:cs="Cambria Math" w:hint="default"/>
      </w:rPr>
    </w:lvl>
    <w:lvl w:ilvl="8" w:tplc="0C0A0005" w:tentative="1">
      <w:start w:val="1"/>
      <w:numFmt w:val="bullet"/>
      <w:lvlText w:val=""/>
      <w:lvlJc w:val="left"/>
      <w:pPr>
        <w:ind w:left="6120" w:hanging="360"/>
      </w:pPr>
      <w:rPr>
        <w:rFonts w:ascii="Wingdings" w:hAnsi="Wingdings" w:hint="default"/>
      </w:rPr>
    </w:lvl>
  </w:abstractNum>
  <w:abstractNum w:abstractNumId="756" w15:restartNumberingAfterBreak="0">
    <w:nsid w:val="7FBE6D60"/>
    <w:multiLevelType w:val="hybridMultilevel"/>
    <w:tmpl w:val="7DEA0444"/>
    <w:lvl w:ilvl="0" w:tplc="A3768CF0">
      <w:start w:val="1"/>
      <w:numFmt w:val="lowerLetter"/>
      <w:lvlText w:val="%1)"/>
      <w:lvlJc w:val="left"/>
      <w:pPr>
        <w:ind w:left="720" w:hanging="360"/>
      </w:pPr>
      <w:rPr>
        <w:rFonts w:cstheme="minorBid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57" w15:restartNumberingAfterBreak="0">
    <w:nsid w:val="7FFD6A3A"/>
    <w:multiLevelType w:val="hybridMultilevel"/>
    <w:tmpl w:val="E9FC17D6"/>
    <w:lvl w:ilvl="0" w:tplc="FFFFFFFF">
      <w:start w:val="1"/>
      <w:numFmt w:val="lowerLetter"/>
      <w:lvlText w:val="%1."/>
      <w:lvlJc w:val="left"/>
      <w:pPr>
        <w:ind w:left="144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579"/>
  </w:num>
  <w:num w:numId="2">
    <w:abstractNumId w:val="133"/>
  </w:num>
  <w:num w:numId="3">
    <w:abstractNumId w:val="534"/>
  </w:num>
  <w:num w:numId="4">
    <w:abstractNumId w:val="602"/>
  </w:num>
  <w:num w:numId="5">
    <w:abstractNumId w:val="715"/>
  </w:num>
  <w:num w:numId="6">
    <w:abstractNumId w:val="372"/>
  </w:num>
  <w:num w:numId="7">
    <w:abstractNumId w:val="596"/>
  </w:num>
  <w:num w:numId="8">
    <w:abstractNumId w:val="425"/>
  </w:num>
  <w:num w:numId="9">
    <w:abstractNumId w:val="588"/>
  </w:num>
  <w:num w:numId="10">
    <w:abstractNumId w:val="58"/>
  </w:num>
  <w:num w:numId="11">
    <w:abstractNumId w:val="651"/>
  </w:num>
  <w:num w:numId="12">
    <w:abstractNumId w:val="201"/>
  </w:num>
  <w:num w:numId="13">
    <w:abstractNumId w:val="170"/>
  </w:num>
  <w:num w:numId="14">
    <w:abstractNumId w:val="620"/>
  </w:num>
  <w:num w:numId="15">
    <w:abstractNumId w:val="415"/>
  </w:num>
  <w:num w:numId="16">
    <w:abstractNumId w:val="167"/>
  </w:num>
  <w:num w:numId="17">
    <w:abstractNumId w:val="754"/>
  </w:num>
  <w:num w:numId="18">
    <w:abstractNumId w:val="525"/>
  </w:num>
  <w:num w:numId="19">
    <w:abstractNumId w:val="703"/>
  </w:num>
  <w:num w:numId="20">
    <w:abstractNumId w:val="204"/>
  </w:num>
  <w:num w:numId="21">
    <w:abstractNumId w:val="221"/>
  </w:num>
  <w:num w:numId="22">
    <w:abstractNumId w:val="350"/>
  </w:num>
  <w:num w:numId="23">
    <w:abstractNumId w:val="508"/>
  </w:num>
  <w:num w:numId="24">
    <w:abstractNumId w:val="200"/>
  </w:num>
  <w:num w:numId="25">
    <w:abstractNumId w:val="662"/>
  </w:num>
  <w:num w:numId="26">
    <w:abstractNumId w:val="142"/>
  </w:num>
  <w:num w:numId="27">
    <w:abstractNumId w:val="6"/>
  </w:num>
  <w:num w:numId="28">
    <w:abstractNumId w:val="37"/>
  </w:num>
  <w:num w:numId="29">
    <w:abstractNumId w:val="340"/>
  </w:num>
  <w:num w:numId="30">
    <w:abstractNumId w:val="299"/>
  </w:num>
  <w:num w:numId="31">
    <w:abstractNumId w:val="79"/>
  </w:num>
  <w:num w:numId="32">
    <w:abstractNumId w:val="455"/>
  </w:num>
  <w:num w:numId="33">
    <w:abstractNumId w:val="265"/>
  </w:num>
  <w:num w:numId="34">
    <w:abstractNumId w:val="115"/>
  </w:num>
  <w:num w:numId="35">
    <w:abstractNumId w:val="182"/>
  </w:num>
  <w:num w:numId="36">
    <w:abstractNumId w:val="82"/>
  </w:num>
  <w:num w:numId="37">
    <w:abstractNumId w:val="695"/>
  </w:num>
  <w:num w:numId="38">
    <w:abstractNumId w:val="540"/>
  </w:num>
  <w:num w:numId="39">
    <w:abstractNumId w:val="44"/>
  </w:num>
  <w:num w:numId="40">
    <w:abstractNumId w:val="304"/>
  </w:num>
  <w:num w:numId="41">
    <w:abstractNumId w:val="228"/>
  </w:num>
  <w:num w:numId="42">
    <w:abstractNumId w:val="599"/>
  </w:num>
  <w:num w:numId="43">
    <w:abstractNumId w:val="380"/>
  </w:num>
  <w:num w:numId="44">
    <w:abstractNumId w:val="289"/>
  </w:num>
  <w:num w:numId="45">
    <w:abstractNumId w:val="559"/>
  </w:num>
  <w:num w:numId="46">
    <w:abstractNumId w:val="393"/>
  </w:num>
  <w:num w:numId="47">
    <w:abstractNumId w:val="621"/>
  </w:num>
  <w:num w:numId="48">
    <w:abstractNumId w:val="271"/>
  </w:num>
  <w:num w:numId="49">
    <w:abstractNumId w:val="396"/>
  </w:num>
  <w:num w:numId="50">
    <w:abstractNumId w:val="219"/>
  </w:num>
  <w:num w:numId="51">
    <w:abstractNumId w:val="603"/>
  </w:num>
  <w:num w:numId="52">
    <w:abstractNumId w:val="169"/>
  </w:num>
  <w:num w:numId="53">
    <w:abstractNumId w:val="417"/>
  </w:num>
  <w:num w:numId="54">
    <w:abstractNumId w:val="552"/>
  </w:num>
  <w:num w:numId="55">
    <w:abstractNumId w:val="554"/>
  </w:num>
  <w:num w:numId="56">
    <w:abstractNumId w:val="270"/>
  </w:num>
  <w:num w:numId="57">
    <w:abstractNumId w:val="516"/>
  </w:num>
  <w:num w:numId="58">
    <w:abstractNumId w:val="742"/>
  </w:num>
  <w:num w:numId="59">
    <w:abstractNumId w:val="4"/>
  </w:num>
  <w:num w:numId="60">
    <w:abstractNumId w:val="2"/>
  </w:num>
  <w:num w:numId="61">
    <w:abstractNumId w:val="1"/>
  </w:num>
  <w:num w:numId="62">
    <w:abstractNumId w:val="0"/>
  </w:num>
  <w:num w:numId="63">
    <w:abstractNumId w:val="615"/>
  </w:num>
  <w:num w:numId="64">
    <w:abstractNumId w:val="492"/>
  </w:num>
  <w:num w:numId="65">
    <w:abstractNumId w:val="493"/>
  </w:num>
  <w:num w:numId="66">
    <w:abstractNumId w:val="503"/>
  </w:num>
  <w:num w:numId="67">
    <w:abstractNumId w:val="16"/>
  </w:num>
  <w:num w:numId="68">
    <w:abstractNumId w:val="208"/>
  </w:num>
  <w:num w:numId="69">
    <w:abstractNumId w:val="179"/>
  </w:num>
  <w:num w:numId="70">
    <w:abstractNumId w:val="403"/>
  </w:num>
  <w:num w:numId="71">
    <w:abstractNumId w:val="74"/>
  </w:num>
  <w:num w:numId="72">
    <w:abstractNumId w:val="327"/>
  </w:num>
  <w:num w:numId="73">
    <w:abstractNumId w:val="344"/>
  </w:num>
  <w:num w:numId="74">
    <w:abstractNumId w:val="22"/>
  </w:num>
  <w:num w:numId="75">
    <w:abstractNumId w:val="255"/>
  </w:num>
  <w:num w:numId="76">
    <w:abstractNumId w:val="41"/>
  </w:num>
  <w:num w:numId="77">
    <w:abstractNumId w:val="614"/>
  </w:num>
  <w:num w:numId="78">
    <w:abstractNumId w:val="565"/>
  </w:num>
  <w:num w:numId="79">
    <w:abstractNumId w:val="494"/>
  </w:num>
  <w:num w:numId="80">
    <w:abstractNumId w:val="49"/>
  </w:num>
  <w:num w:numId="81">
    <w:abstractNumId w:val="543"/>
  </w:num>
  <w:num w:numId="82">
    <w:abstractNumId w:val="65"/>
  </w:num>
  <w:num w:numId="83">
    <w:abstractNumId w:val="36"/>
  </w:num>
  <w:num w:numId="84">
    <w:abstractNumId w:val="14"/>
  </w:num>
  <w:num w:numId="85">
    <w:abstractNumId w:val="413"/>
  </w:num>
  <w:num w:numId="86">
    <w:abstractNumId w:val="500"/>
  </w:num>
  <w:num w:numId="87">
    <w:abstractNumId w:val="480"/>
  </w:num>
  <w:num w:numId="88">
    <w:abstractNumId w:val="410"/>
  </w:num>
  <w:num w:numId="89">
    <w:abstractNumId w:val="229"/>
  </w:num>
  <w:num w:numId="90">
    <w:abstractNumId w:val="629"/>
  </w:num>
  <w:num w:numId="91">
    <w:abstractNumId w:val="574"/>
  </w:num>
  <w:num w:numId="92">
    <w:abstractNumId w:val="187"/>
  </w:num>
  <w:num w:numId="93">
    <w:abstractNumId w:val="249"/>
  </w:num>
  <w:num w:numId="94">
    <w:abstractNumId w:val="104"/>
  </w:num>
  <w:num w:numId="95">
    <w:abstractNumId w:val="38"/>
  </w:num>
  <w:num w:numId="96">
    <w:abstractNumId w:val="357"/>
  </w:num>
  <w:num w:numId="97">
    <w:abstractNumId w:val="607"/>
  </w:num>
  <w:num w:numId="98">
    <w:abstractNumId w:val="515"/>
  </w:num>
  <w:num w:numId="99">
    <w:abstractNumId w:val="522"/>
  </w:num>
  <w:num w:numId="100">
    <w:abstractNumId w:val="624"/>
  </w:num>
  <w:num w:numId="101">
    <w:abstractNumId w:val="517"/>
  </w:num>
  <w:num w:numId="102">
    <w:abstractNumId w:val="701"/>
  </w:num>
  <w:num w:numId="103">
    <w:abstractNumId w:val="60"/>
  </w:num>
  <w:num w:numId="104">
    <w:abstractNumId w:val="263"/>
  </w:num>
  <w:num w:numId="105">
    <w:abstractNumId w:val="314"/>
  </w:num>
  <w:num w:numId="106">
    <w:abstractNumId w:val="199"/>
  </w:num>
  <w:num w:numId="107">
    <w:abstractNumId w:val="421"/>
  </w:num>
  <w:num w:numId="108">
    <w:abstractNumId w:val="710"/>
  </w:num>
  <w:num w:numId="109">
    <w:abstractNumId w:val="645"/>
  </w:num>
  <w:num w:numId="110">
    <w:abstractNumId w:val="319"/>
  </w:num>
  <w:num w:numId="111">
    <w:abstractNumId w:val="127"/>
  </w:num>
  <w:num w:numId="112">
    <w:abstractNumId w:val="418"/>
  </w:num>
  <w:num w:numId="113">
    <w:abstractNumId w:val="305"/>
  </w:num>
  <w:num w:numId="114">
    <w:abstractNumId w:val="370"/>
  </w:num>
  <w:num w:numId="115">
    <w:abstractNumId w:val="489"/>
  </w:num>
  <w:num w:numId="116">
    <w:abstractNumId w:val="365"/>
  </w:num>
  <w:num w:numId="117">
    <w:abstractNumId w:val="256"/>
  </w:num>
  <w:num w:numId="118">
    <w:abstractNumId w:val="381"/>
  </w:num>
  <w:num w:numId="119">
    <w:abstractNumId w:val="643"/>
  </w:num>
  <w:num w:numId="120">
    <w:abstractNumId w:val="753"/>
  </w:num>
  <w:num w:numId="121">
    <w:abstractNumId w:val="40"/>
  </w:num>
  <w:num w:numId="122">
    <w:abstractNumId w:val="712"/>
  </w:num>
  <w:num w:numId="123">
    <w:abstractNumId w:val="100"/>
  </w:num>
  <w:num w:numId="124">
    <w:abstractNumId w:val="139"/>
  </w:num>
  <w:num w:numId="125">
    <w:abstractNumId w:val="303"/>
  </w:num>
  <w:num w:numId="126">
    <w:abstractNumId w:val="87"/>
  </w:num>
  <w:num w:numId="127">
    <w:abstractNumId w:val="427"/>
  </w:num>
  <w:num w:numId="128">
    <w:abstractNumId w:val="438"/>
  </w:num>
  <w:num w:numId="129">
    <w:abstractNumId w:val="752"/>
  </w:num>
  <w:num w:numId="130">
    <w:abstractNumId w:val="687"/>
  </w:num>
  <w:num w:numId="131">
    <w:abstractNumId w:val="560"/>
  </w:num>
  <w:num w:numId="132">
    <w:abstractNumId w:val="250"/>
  </w:num>
  <w:num w:numId="133">
    <w:abstractNumId w:val="318"/>
  </w:num>
  <w:num w:numId="134">
    <w:abstractNumId w:val="548"/>
  </w:num>
  <w:num w:numId="135">
    <w:abstractNumId w:val="86"/>
  </w:num>
  <w:num w:numId="136">
    <w:abstractNumId w:val="482"/>
  </w:num>
  <w:num w:numId="137">
    <w:abstractNumId w:val="416"/>
  </w:num>
  <w:num w:numId="138">
    <w:abstractNumId w:val="676"/>
  </w:num>
  <w:num w:numId="139">
    <w:abstractNumId w:val="275"/>
  </w:num>
  <w:num w:numId="140">
    <w:abstractNumId w:val="688"/>
  </w:num>
  <w:num w:numId="141">
    <w:abstractNumId w:val="258"/>
  </w:num>
  <w:num w:numId="142">
    <w:abstractNumId w:val="78"/>
  </w:num>
  <w:num w:numId="143">
    <w:abstractNumId w:val="429"/>
  </w:num>
  <w:num w:numId="144">
    <w:abstractNumId w:val="622"/>
  </w:num>
  <w:num w:numId="145">
    <w:abstractNumId w:val="288"/>
  </w:num>
  <w:num w:numId="146">
    <w:abstractNumId w:val="336"/>
  </w:num>
  <w:num w:numId="147">
    <w:abstractNumId w:val="632"/>
  </w:num>
  <w:num w:numId="148">
    <w:abstractNumId w:val="692"/>
  </w:num>
  <w:num w:numId="149">
    <w:abstractNumId w:val="246"/>
  </w:num>
  <w:num w:numId="150">
    <w:abstractNumId w:val="604"/>
  </w:num>
  <w:num w:numId="151">
    <w:abstractNumId w:val="409"/>
  </w:num>
  <w:num w:numId="152">
    <w:abstractNumId w:val="657"/>
  </w:num>
  <w:num w:numId="153">
    <w:abstractNumId w:val="544"/>
  </w:num>
  <w:num w:numId="154">
    <w:abstractNumId w:val="321"/>
  </w:num>
  <w:num w:numId="155">
    <w:abstractNumId w:val="726"/>
  </w:num>
  <w:num w:numId="156">
    <w:abstractNumId w:val="276"/>
  </w:num>
  <w:num w:numId="157">
    <w:abstractNumId w:val="683"/>
  </w:num>
  <w:num w:numId="158">
    <w:abstractNumId w:val="95"/>
  </w:num>
  <w:num w:numId="159">
    <w:abstractNumId w:val="310"/>
  </w:num>
  <w:num w:numId="160">
    <w:abstractNumId w:val="697"/>
  </w:num>
  <w:num w:numId="161">
    <w:abstractNumId w:val="118"/>
  </w:num>
  <w:num w:numId="162">
    <w:abstractNumId w:val="528"/>
  </w:num>
  <w:num w:numId="163">
    <w:abstractNumId w:val="405"/>
  </w:num>
  <w:num w:numId="164">
    <w:abstractNumId w:val="354"/>
  </w:num>
  <w:num w:numId="165">
    <w:abstractNumId w:val="640"/>
  </w:num>
  <w:num w:numId="166">
    <w:abstractNumId w:val="411"/>
  </w:num>
  <w:num w:numId="167">
    <w:abstractNumId w:val="464"/>
  </w:num>
  <w:num w:numId="168">
    <w:abstractNumId w:val="490"/>
  </w:num>
  <w:num w:numId="169">
    <w:abstractNumId w:val="655"/>
  </w:num>
  <w:num w:numId="170">
    <w:abstractNumId w:val="477"/>
  </w:num>
  <w:num w:numId="17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5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3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6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04"/>
    <w:lvlOverride w:ilvl="0">
      <w:startOverride w:val="1"/>
    </w:lvlOverride>
    <w:lvlOverride w:ilvl="1"/>
    <w:lvlOverride w:ilvl="2"/>
    <w:lvlOverride w:ilvl="3"/>
    <w:lvlOverride w:ilvl="4"/>
    <w:lvlOverride w:ilvl="5"/>
    <w:lvlOverride w:ilvl="6"/>
    <w:lvlOverride w:ilvl="7"/>
    <w:lvlOverride w:ilvl="8"/>
  </w:num>
  <w:num w:numId="176">
    <w:abstractNumId w:val="5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04"/>
    <w:lvlOverride w:ilvl="0">
      <w:startOverride w:val="1"/>
    </w:lvlOverride>
    <w:lvlOverride w:ilvl="1"/>
    <w:lvlOverride w:ilvl="2"/>
    <w:lvlOverride w:ilvl="3"/>
    <w:lvlOverride w:ilvl="4"/>
    <w:lvlOverride w:ilvl="5"/>
    <w:lvlOverride w:ilvl="6"/>
    <w:lvlOverride w:ilvl="7"/>
    <w:lvlOverride w:ilvl="8"/>
  </w:num>
  <w:num w:numId="178">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4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3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96"/>
  </w:num>
  <w:num w:numId="182">
    <w:abstractNumId w:val="592"/>
  </w:num>
  <w:num w:numId="183">
    <w:abstractNumId w:val="605"/>
  </w:num>
  <w:num w:numId="184">
    <w:abstractNumId w:val="484"/>
  </w:num>
  <w:num w:numId="185">
    <w:abstractNumId w:val="134"/>
  </w:num>
  <w:num w:numId="186">
    <w:abstractNumId w:val="550"/>
  </w:num>
  <w:num w:numId="187">
    <w:abstractNumId w:val="753"/>
  </w:num>
  <w:num w:numId="188">
    <w:abstractNumId w:val="40"/>
  </w:num>
  <w:num w:numId="189">
    <w:abstractNumId w:val="712"/>
  </w:num>
  <w:num w:numId="190">
    <w:abstractNumId w:val="88"/>
  </w:num>
  <w:num w:numId="191">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3"/>
  </w:num>
  <w:num w:numId="193">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274"/>
  </w:num>
  <w:num w:numId="196">
    <w:abstractNumId w:val="585"/>
  </w:num>
  <w:num w:numId="197">
    <w:abstractNumId w:val="5"/>
  </w:num>
  <w:num w:numId="198">
    <w:abstractNumId w:val="206"/>
  </w:num>
  <w:num w:numId="199">
    <w:abstractNumId w:val="252"/>
  </w:num>
  <w:num w:numId="200">
    <w:abstractNumId w:val="244"/>
  </w:num>
  <w:num w:numId="201">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50"/>
  </w:num>
  <w:num w:numId="214">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31"/>
  </w:num>
  <w:num w:numId="220">
    <w:abstractNumId w:val="538"/>
  </w:num>
  <w:num w:numId="221">
    <w:abstractNumId w:val="53"/>
  </w:num>
  <w:num w:numId="222">
    <w:abstractNumId w:val="194"/>
  </w:num>
  <w:num w:numId="223">
    <w:abstractNumId w:val="21"/>
  </w:num>
  <w:num w:numId="224">
    <w:abstractNumId w:val="537"/>
  </w:num>
  <w:num w:numId="225">
    <w:abstractNumId w:val="225"/>
  </w:num>
  <w:num w:numId="226">
    <w:abstractNumId w:val="443"/>
  </w:num>
  <w:num w:numId="227">
    <w:abstractNumId w:val="711"/>
  </w:num>
  <w:num w:numId="228">
    <w:abstractNumId w:val="736"/>
  </w:num>
  <w:num w:numId="229">
    <w:abstractNumId w:val="162"/>
  </w:num>
  <w:num w:numId="230">
    <w:abstractNumId w:val="536"/>
  </w:num>
  <w:num w:numId="231">
    <w:abstractNumId w:val="719"/>
  </w:num>
  <w:num w:numId="232">
    <w:abstractNumId w:val="132"/>
  </w:num>
  <w:num w:numId="233">
    <w:abstractNumId w:val="531"/>
  </w:num>
  <w:num w:numId="234">
    <w:abstractNumId w:val="23"/>
  </w:num>
  <w:num w:numId="235">
    <w:abstractNumId w:val="366"/>
  </w:num>
  <w:num w:numId="236">
    <w:abstractNumId w:val="441"/>
  </w:num>
  <w:num w:numId="237">
    <w:abstractNumId w:val="682"/>
  </w:num>
  <w:num w:numId="238">
    <w:abstractNumId w:val="181"/>
  </w:num>
  <w:num w:numId="239">
    <w:abstractNumId w:val="660"/>
  </w:num>
  <w:num w:numId="240">
    <w:abstractNumId w:val="495"/>
  </w:num>
  <w:num w:numId="241">
    <w:abstractNumId w:val="173"/>
  </w:num>
  <w:num w:numId="242">
    <w:abstractNumId w:val="243"/>
  </w:num>
  <w:num w:numId="243">
    <w:abstractNumId w:val="90"/>
  </w:num>
  <w:num w:numId="244">
    <w:abstractNumId w:val="282"/>
  </w:num>
  <w:num w:numId="245">
    <w:abstractNumId w:val="633"/>
  </w:num>
  <w:num w:numId="246">
    <w:abstractNumId w:val="586"/>
  </w:num>
  <w:num w:numId="247">
    <w:abstractNumId w:val="437"/>
  </w:num>
  <w:num w:numId="248">
    <w:abstractNumId w:val="530"/>
  </w:num>
  <w:num w:numId="249">
    <w:abstractNumId w:val="254"/>
  </w:num>
  <w:num w:numId="250">
    <w:abstractNumId w:val="451"/>
  </w:num>
  <w:num w:numId="251">
    <w:abstractNumId w:val="740"/>
  </w:num>
  <w:num w:numId="252">
    <w:abstractNumId w:val="110"/>
  </w:num>
  <w:num w:numId="253">
    <w:abstractNumId w:val="498"/>
  </w:num>
  <w:num w:numId="254">
    <w:abstractNumId w:val="191"/>
  </w:num>
  <w:num w:numId="255">
    <w:abstractNumId w:val="558"/>
  </w:num>
  <w:num w:numId="256">
    <w:abstractNumId w:val="486"/>
  </w:num>
  <w:num w:numId="257">
    <w:abstractNumId w:val="126"/>
  </w:num>
  <w:num w:numId="258">
    <w:abstractNumId w:val="379"/>
  </w:num>
  <w:num w:numId="259">
    <w:abstractNumId w:val="120"/>
  </w:num>
  <w:num w:numId="260">
    <w:abstractNumId w:val="136"/>
  </w:num>
  <w:num w:numId="261">
    <w:abstractNumId w:val="747"/>
  </w:num>
  <w:num w:numId="262">
    <w:abstractNumId w:val="671"/>
  </w:num>
  <w:num w:numId="263">
    <w:abstractNumId w:val="46"/>
  </w:num>
  <w:num w:numId="264">
    <w:abstractNumId w:val="577"/>
  </w:num>
  <w:num w:numId="265">
    <w:abstractNumId w:val="12"/>
  </w:num>
  <w:num w:numId="266">
    <w:abstractNumId w:val="171"/>
  </w:num>
  <w:num w:numId="267">
    <w:abstractNumId w:val="420"/>
  </w:num>
  <w:num w:numId="268">
    <w:abstractNumId w:val="280"/>
  </w:num>
  <w:num w:numId="269">
    <w:abstractNumId w:val="334"/>
  </w:num>
  <w:num w:numId="270">
    <w:abstractNumId w:val="388"/>
  </w:num>
  <w:num w:numId="271">
    <w:abstractNumId w:val="628"/>
  </w:num>
  <w:num w:numId="272">
    <w:abstractNumId w:val="636"/>
  </w:num>
  <w:num w:numId="273">
    <w:abstractNumId w:val="727"/>
  </w:num>
  <w:num w:numId="274">
    <w:abstractNumId w:val="98"/>
  </w:num>
  <w:num w:numId="275">
    <w:abstractNumId w:val="329"/>
  </w:num>
  <w:num w:numId="276">
    <w:abstractNumId w:val="458"/>
  </w:num>
  <w:num w:numId="277">
    <w:abstractNumId w:val="426"/>
  </w:num>
  <w:num w:numId="278">
    <w:abstractNumId w:val="52"/>
  </w:num>
  <w:num w:numId="279">
    <w:abstractNumId w:val="331"/>
  </w:num>
  <w:num w:numId="280">
    <w:abstractNumId w:val="107"/>
  </w:num>
  <w:num w:numId="281">
    <w:abstractNumId w:val="140"/>
  </w:num>
  <w:num w:numId="282">
    <w:abstractNumId w:val="241"/>
  </w:num>
  <w:num w:numId="283">
    <w:abstractNumId w:val="434"/>
  </w:num>
  <w:num w:numId="284">
    <w:abstractNumId w:val="67"/>
  </w:num>
  <w:num w:numId="285">
    <w:abstractNumId w:val="59"/>
  </w:num>
  <w:num w:numId="286">
    <w:abstractNumId w:val="337"/>
  </w:num>
  <w:num w:numId="287">
    <w:abstractNumId w:val="452"/>
  </w:num>
  <w:num w:numId="288">
    <w:abstractNumId w:val="556"/>
  </w:num>
  <w:num w:numId="289">
    <w:abstractNumId w:val="55"/>
  </w:num>
  <w:num w:numId="290">
    <w:abstractNumId w:val="563"/>
  </w:num>
  <w:num w:numId="291">
    <w:abstractNumId w:val="650"/>
  </w:num>
  <w:num w:numId="292">
    <w:abstractNumId w:val="307"/>
  </w:num>
  <w:num w:numId="293">
    <w:abstractNumId w:val="203"/>
  </w:num>
  <w:num w:numId="294">
    <w:abstractNumId w:val="367"/>
  </w:num>
  <w:num w:numId="295">
    <w:abstractNumId w:val="755"/>
  </w:num>
  <w:num w:numId="296">
    <w:abstractNumId w:val="479"/>
  </w:num>
  <w:num w:numId="297">
    <w:abstractNumId w:val="236"/>
  </w:num>
  <w:num w:numId="298">
    <w:abstractNumId w:val="469"/>
  </w:num>
  <w:num w:numId="299">
    <w:abstractNumId w:val="235"/>
  </w:num>
  <w:num w:numId="300">
    <w:abstractNumId w:val="92"/>
  </w:num>
  <w:num w:numId="301">
    <w:abstractNumId w:val="400"/>
  </w:num>
  <w:num w:numId="302">
    <w:abstractNumId w:val="356"/>
  </w:num>
  <w:num w:numId="303">
    <w:abstractNumId w:val="460"/>
  </w:num>
  <w:num w:numId="304">
    <w:abstractNumId w:val="363"/>
  </w:num>
  <w:num w:numId="305">
    <w:abstractNumId w:val="684"/>
  </w:num>
  <w:num w:numId="306">
    <w:abstractNumId w:val="257"/>
  </w:num>
  <w:num w:numId="307">
    <w:abstractNumId w:val="600"/>
  </w:num>
  <w:num w:numId="308">
    <w:abstractNumId w:val="266"/>
  </w:num>
  <w:num w:numId="309">
    <w:abstractNumId w:val="80"/>
  </w:num>
  <w:num w:numId="310">
    <w:abstractNumId w:val="166"/>
  </w:num>
  <w:num w:numId="311">
    <w:abstractNumId w:val="324"/>
  </w:num>
  <w:num w:numId="312">
    <w:abstractNumId w:val="504"/>
  </w:num>
  <w:num w:numId="313">
    <w:abstractNumId w:val="185"/>
  </w:num>
  <w:num w:numId="314">
    <w:abstractNumId w:val="311"/>
  </w:num>
  <w:num w:numId="315">
    <w:abstractNumId w:val="707"/>
  </w:num>
  <w:num w:numId="316">
    <w:abstractNumId w:val="189"/>
  </w:num>
  <w:num w:numId="317">
    <w:abstractNumId w:val="468"/>
  </w:num>
  <w:num w:numId="318">
    <w:abstractNumId w:val="218"/>
  </w:num>
  <w:num w:numId="319">
    <w:abstractNumId w:val="364"/>
  </w:num>
  <w:num w:numId="320">
    <w:abstractNumId w:val="97"/>
  </w:num>
  <w:num w:numId="321">
    <w:abstractNumId w:val="545"/>
  </w:num>
  <w:num w:numId="322">
    <w:abstractNumId w:val="709"/>
  </w:num>
  <w:num w:numId="323">
    <w:abstractNumId w:val="353"/>
  </w:num>
  <w:num w:numId="324">
    <w:abstractNumId w:val="94"/>
  </w:num>
  <w:num w:numId="325">
    <w:abstractNumId w:val="733"/>
  </w:num>
  <w:num w:numId="326">
    <w:abstractNumId w:val="183"/>
  </w:num>
  <w:num w:numId="327">
    <w:abstractNumId w:val="297"/>
  </w:num>
  <w:num w:numId="328">
    <w:abstractNumId w:val="146"/>
  </w:num>
  <w:num w:numId="329">
    <w:abstractNumId w:val="186"/>
  </w:num>
  <w:num w:numId="330">
    <w:abstractNumId w:val="273"/>
  </w:num>
  <w:num w:numId="331">
    <w:abstractNumId w:val="523"/>
  </w:num>
  <w:num w:numId="332">
    <w:abstractNumId w:val="378"/>
  </w:num>
  <w:num w:numId="333">
    <w:abstractNumId w:val="29"/>
  </w:num>
  <w:num w:numId="334">
    <w:abstractNumId w:val="368"/>
  </w:num>
  <w:num w:numId="335">
    <w:abstractNumId w:val="111"/>
  </w:num>
  <w:num w:numId="336">
    <w:abstractNumId w:val="210"/>
  </w:num>
  <w:num w:numId="337">
    <w:abstractNumId w:val="750"/>
  </w:num>
  <w:num w:numId="338">
    <w:abstractNumId w:val="112"/>
  </w:num>
  <w:num w:numId="339">
    <w:abstractNumId w:val="612"/>
  </w:num>
  <w:num w:numId="340">
    <w:abstractNumId w:val="61"/>
  </w:num>
  <w:num w:numId="341">
    <w:abstractNumId w:val="656"/>
  </w:num>
  <w:num w:numId="342">
    <w:abstractNumId w:val="449"/>
  </w:num>
  <w:num w:numId="343">
    <w:abstractNumId w:val="442"/>
  </w:num>
  <w:num w:numId="344">
    <w:abstractNumId w:val="499"/>
  </w:num>
  <w:num w:numId="345">
    <w:abstractNumId w:val="116"/>
  </w:num>
  <w:num w:numId="346">
    <w:abstractNumId w:val="349"/>
  </w:num>
  <w:num w:numId="347">
    <w:abstractNumId w:val="177"/>
  </w:num>
  <w:num w:numId="348">
    <w:abstractNumId w:val="440"/>
  </w:num>
  <w:num w:numId="349">
    <w:abstractNumId w:val="361"/>
  </w:num>
  <w:num w:numId="350">
    <w:abstractNumId w:val="478"/>
  </w:num>
  <w:num w:numId="351">
    <w:abstractNumId w:val="737"/>
  </w:num>
  <w:num w:numId="352">
    <w:abstractNumId w:val="71"/>
  </w:num>
  <w:num w:numId="353">
    <w:abstractNumId w:val="635"/>
  </w:num>
  <w:num w:numId="354">
    <w:abstractNumId w:val="341"/>
  </w:num>
  <w:num w:numId="355">
    <w:abstractNumId w:val="106"/>
  </w:num>
  <w:num w:numId="356">
    <w:abstractNumId w:val="467"/>
  </w:num>
  <w:num w:numId="357">
    <w:abstractNumId w:val="197"/>
  </w:num>
  <w:num w:numId="358">
    <w:abstractNumId w:val="124"/>
  </w:num>
  <w:num w:numId="359">
    <w:abstractNumId w:val="572"/>
  </w:num>
  <w:num w:numId="360">
    <w:abstractNumId w:val="121"/>
  </w:num>
  <w:num w:numId="361">
    <w:abstractNumId w:val="608"/>
  </w:num>
  <w:num w:numId="362">
    <w:abstractNumId w:val="174"/>
  </w:num>
  <w:num w:numId="363">
    <w:abstractNumId w:val="423"/>
  </w:num>
  <w:num w:numId="364">
    <w:abstractNumId w:val="595"/>
  </w:num>
  <w:num w:numId="365">
    <w:abstractNumId w:val="691"/>
  </w:num>
  <w:num w:numId="366">
    <w:abstractNumId w:val="17"/>
  </w:num>
  <w:num w:numId="367">
    <w:abstractNumId w:val="721"/>
  </w:num>
  <w:num w:numId="368">
    <w:abstractNumId w:val="562"/>
  </w:num>
  <w:num w:numId="369">
    <w:abstractNumId w:val="481"/>
  </w:num>
  <w:num w:numId="370">
    <w:abstractNumId w:val="205"/>
  </w:num>
  <w:num w:numId="371">
    <w:abstractNumId w:val="371"/>
  </w:num>
  <w:num w:numId="372">
    <w:abstractNumId w:val="376"/>
  </w:num>
  <w:num w:numId="373">
    <w:abstractNumId w:val="214"/>
  </w:num>
  <w:num w:numId="374">
    <w:abstractNumId w:val="678"/>
  </w:num>
  <w:num w:numId="375">
    <w:abstractNumId w:val="69"/>
  </w:num>
  <w:num w:numId="376">
    <w:abstractNumId w:val="723"/>
  </w:num>
  <w:num w:numId="377">
    <w:abstractNumId w:val="222"/>
  </w:num>
  <w:num w:numId="378">
    <w:abstractNumId w:val="738"/>
  </w:num>
  <w:num w:numId="379">
    <w:abstractNumId w:val="172"/>
  </w:num>
  <w:num w:numId="380">
    <w:abstractNumId w:val="606"/>
  </w:num>
  <w:num w:numId="381">
    <w:abstractNumId w:val="224"/>
  </w:num>
  <w:num w:numId="382">
    <w:abstractNumId w:val="457"/>
  </w:num>
  <w:num w:numId="383">
    <w:abstractNumId w:val="213"/>
  </w:num>
  <w:num w:numId="384">
    <w:abstractNumId w:val="390"/>
  </w:num>
  <w:num w:numId="385">
    <w:abstractNumId w:val="533"/>
  </w:num>
  <w:num w:numId="386">
    <w:abstractNumId w:val="649"/>
  </w:num>
  <w:num w:numId="387">
    <w:abstractNumId w:val="19"/>
  </w:num>
  <w:num w:numId="388">
    <w:abstractNumId w:val="343"/>
  </w:num>
  <w:num w:numId="389">
    <w:abstractNumId w:val="501"/>
  </w:num>
  <w:num w:numId="390">
    <w:abstractNumId w:val="101"/>
  </w:num>
  <w:num w:numId="391">
    <w:abstractNumId w:val="731"/>
  </w:num>
  <w:num w:numId="392">
    <w:abstractNumId w:val="610"/>
  </w:num>
  <w:num w:numId="393">
    <w:abstractNumId w:val="137"/>
  </w:num>
  <w:num w:numId="394">
    <w:abstractNumId w:val="109"/>
  </w:num>
  <w:num w:numId="395">
    <w:abstractNumId w:val="630"/>
  </w:num>
  <w:num w:numId="396">
    <w:abstractNumId w:val="412"/>
  </w:num>
  <w:num w:numId="397">
    <w:abstractNumId w:val="627"/>
  </w:num>
  <w:num w:numId="398">
    <w:abstractNumId w:val="439"/>
  </w:num>
  <w:num w:numId="399">
    <w:abstractNumId w:val="125"/>
  </w:num>
  <w:num w:numId="400">
    <w:abstractNumId w:val="526"/>
  </w:num>
  <w:num w:numId="401">
    <w:abstractNumId w:val="685"/>
  </w:num>
  <w:num w:numId="402">
    <w:abstractNumId w:val="514"/>
  </w:num>
  <w:num w:numId="403">
    <w:abstractNumId w:val="732"/>
  </w:num>
  <w:num w:numId="404">
    <w:abstractNumId w:val="446"/>
  </w:num>
  <w:num w:numId="405">
    <w:abstractNumId w:val="623"/>
  </w:num>
  <w:num w:numId="406">
    <w:abstractNumId w:val="590"/>
  </w:num>
  <w:num w:numId="407">
    <w:abstractNumId w:val="51"/>
  </w:num>
  <w:num w:numId="408">
    <w:abstractNumId w:val="231"/>
  </w:num>
  <w:num w:numId="409">
    <w:abstractNumId w:val="547"/>
  </w:num>
  <w:num w:numId="410">
    <w:abstractNumId w:val="151"/>
  </w:num>
  <w:num w:numId="411">
    <w:abstractNumId w:val="164"/>
  </w:num>
  <w:num w:numId="412">
    <w:abstractNumId w:val="749"/>
  </w:num>
  <w:num w:numId="413">
    <w:abstractNumId w:val="277"/>
  </w:num>
  <w:num w:numId="414">
    <w:abstractNumId w:val="617"/>
  </w:num>
  <w:num w:numId="415">
    <w:abstractNumId w:val="384"/>
  </w:num>
  <w:num w:numId="416">
    <w:abstractNumId w:val="359"/>
  </w:num>
  <w:num w:numId="417">
    <w:abstractNumId w:val="178"/>
  </w:num>
  <w:num w:numId="418">
    <w:abstractNumId w:val="75"/>
  </w:num>
  <w:num w:numId="419">
    <w:abstractNumId w:val="272"/>
  </w:num>
  <w:num w:numId="420">
    <w:abstractNumId w:val="581"/>
  </w:num>
  <w:num w:numId="421">
    <w:abstractNumId w:val="130"/>
  </w:num>
  <w:num w:numId="422">
    <w:abstractNumId w:val="497"/>
  </w:num>
  <w:num w:numId="423">
    <w:abstractNumId w:val="25"/>
  </w:num>
  <w:num w:numId="424">
    <w:abstractNumId w:val="230"/>
  </w:num>
  <w:num w:numId="425">
    <w:abstractNumId w:val="119"/>
  </w:num>
  <w:num w:numId="426">
    <w:abstractNumId w:val="10"/>
  </w:num>
  <w:num w:numId="427">
    <w:abstractNumId w:val="646"/>
  </w:num>
  <w:num w:numId="428">
    <w:abstractNumId w:val="383"/>
  </w:num>
  <w:num w:numId="429">
    <w:abstractNumId w:val="269"/>
  </w:num>
  <w:num w:numId="430">
    <w:abstractNumId w:val="704"/>
  </w:num>
  <w:num w:numId="431">
    <w:abstractNumId w:val="414"/>
  </w:num>
  <w:num w:numId="432">
    <w:abstractNumId w:val="240"/>
  </w:num>
  <w:num w:numId="433">
    <w:abstractNumId w:val="158"/>
  </w:num>
  <w:num w:numId="434">
    <w:abstractNumId w:val="81"/>
  </w:num>
  <w:num w:numId="435">
    <w:abstractNumId w:val="444"/>
  </w:num>
  <w:num w:numId="436">
    <w:abstractNumId w:val="262"/>
  </w:num>
  <w:num w:numId="437">
    <w:abstractNumId w:val="145"/>
  </w:num>
  <w:num w:numId="438">
    <w:abstractNumId w:val="658"/>
  </w:num>
  <w:num w:numId="439">
    <w:abstractNumId w:val="32"/>
  </w:num>
  <w:num w:numId="440">
    <w:abstractNumId w:val="287"/>
  </w:num>
  <w:num w:numId="441">
    <w:abstractNumId w:val="672"/>
  </w:num>
  <w:num w:numId="442">
    <w:abstractNumId w:val="529"/>
  </w:num>
  <w:num w:numId="443">
    <w:abstractNumId w:val="217"/>
  </w:num>
  <w:num w:numId="444">
    <w:abstractNumId w:val="505"/>
  </w:num>
  <w:num w:numId="445">
    <w:abstractNumId w:val="673"/>
  </w:num>
  <w:num w:numId="446">
    <w:abstractNumId w:val="9"/>
  </w:num>
  <w:num w:numId="447">
    <w:abstractNumId w:val="474"/>
  </w:num>
  <w:num w:numId="448">
    <w:abstractNumId w:val="445"/>
  </w:num>
  <w:num w:numId="449">
    <w:abstractNumId w:val="212"/>
  </w:num>
  <w:num w:numId="450">
    <w:abstractNumId w:val="570"/>
  </w:num>
  <w:num w:numId="451">
    <w:abstractNumId w:val="251"/>
  </w:num>
  <w:num w:numId="452">
    <w:abstractNumId w:val="301"/>
  </w:num>
  <w:num w:numId="453">
    <w:abstractNumId w:val="428"/>
  </w:num>
  <w:num w:numId="454">
    <w:abstractNumId w:val="594"/>
  </w:num>
  <w:num w:numId="455">
    <w:abstractNumId w:val="402"/>
  </w:num>
  <w:num w:numId="456">
    <w:abstractNumId w:val="476"/>
  </w:num>
  <w:num w:numId="457">
    <w:abstractNumId w:val="39"/>
  </w:num>
  <w:num w:numId="458">
    <w:abstractNumId w:val="339"/>
  </w:num>
  <w:num w:numId="459">
    <w:abstractNumId w:val="320"/>
  </w:num>
  <w:num w:numId="460">
    <w:abstractNumId w:val="648"/>
  </w:num>
  <w:num w:numId="461">
    <w:abstractNumId w:val="34"/>
  </w:num>
  <w:num w:numId="462">
    <w:abstractNumId w:val="524"/>
  </w:num>
  <w:num w:numId="463">
    <w:abstractNumId w:val="382"/>
  </w:num>
  <w:num w:numId="464">
    <w:abstractNumId w:val="123"/>
  </w:num>
  <w:num w:numId="465">
    <w:abstractNumId w:val="399"/>
  </w:num>
  <w:num w:numId="466">
    <w:abstractNumId w:val="279"/>
  </w:num>
  <w:num w:numId="467">
    <w:abstractNumId w:val="488"/>
  </w:num>
  <w:num w:numId="468">
    <w:abstractNumId w:val="430"/>
  </w:num>
  <w:num w:numId="469">
    <w:abstractNumId w:val="323"/>
  </w:num>
  <w:num w:numId="470">
    <w:abstractNumId w:val="309"/>
  </w:num>
  <w:num w:numId="471">
    <w:abstractNumId w:val="663"/>
  </w:num>
  <w:num w:numId="472">
    <w:abstractNumId w:val="564"/>
  </w:num>
  <w:num w:numId="473">
    <w:abstractNumId w:val="456"/>
  </w:num>
  <w:num w:numId="474">
    <w:abstractNumId w:val="664"/>
  </w:num>
  <w:num w:numId="475">
    <w:abstractNumId w:val="24"/>
  </w:num>
  <w:num w:numId="476">
    <w:abstractNumId w:val="475"/>
  </w:num>
  <w:num w:numId="477">
    <w:abstractNumId w:val="506"/>
  </w:num>
  <w:num w:numId="478">
    <w:abstractNumId w:val="546"/>
  </w:num>
  <w:num w:numId="479">
    <w:abstractNumId w:val="176"/>
  </w:num>
  <w:num w:numId="480">
    <w:abstractNumId w:val="535"/>
  </w:num>
  <w:num w:numId="481">
    <w:abstractNumId w:val="295"/>
  </w:num>
  <w:num w:numId="482">
    <w:abstractNumId w:val="302"/>
  </w:num>
  <w:num w:numId="483">
    <w:abstractNumId w:val="328"/>
  </w:num>
  <w:num w:numId="484">
    <w:abstractNumId w:val="744"/>
  </w:num>
  <w:num w:numId="485">
    <w:abstractNumId w:val="239"/>
  </w:num>
  <w:num w:numId="486">
    <w:abstractNumId w:val="28"/>
  </w:num>
  <w:num w:numId="487">
    <w:abstractNumId w:val="259"/>
  </w:num>
  <w:num w:numId="488">
    <w:abstractNumId w:val="160"/>
  </w:num>
  <w:num w:numId="489">
    <w:abstractNumId w:val="325"/>
  </w:num>
  <w:num w:numId="490">
    <w:abstractNumId w:val="306"/>
  </w:num>
  <w:num w:numId="491">
    <w:abstractNumId w:val="248"/>
  </w:num>
  <w:num w:numId="492">
    <w:abstractNumId w:val="163"/>
  </w:num>
  <w:num w:numId="493">
    <w:abstractNumId w:val="435"/>
  </w:num>
  <w:num w:numId="494">
    <w:abstractNumId w:val="751"/>
  </w:num>
  <w:num w:numId="495">
    <w:abstractNumId w:val="598"/>
  </w:num>
  <w:num w:numId="496">
    <w:abstractNumId w:val="317"/>
  </w:num>
  <w:num w:numId="497">
    <w:abstractNumId w:val="192"/>
  </w:num>
  <w:num w:numId="498">
    <w:abstractNumId w:val="260"/>
  </w:num>
  <w:num w:numId="499">
    <w:abstractNumId w:val="745"/>
  </w:num>
  <w:num w:numId="500">
    <w:abstractNumId w:val="453"/>
  </w:num>
  <w:num w:numId="501">
    <w:abstractNumId w:val="117"/>
  </w:num>
  <w:num w:numId="502">
    <w:abstractNumId w:val="283"/>
  </w:num>
  <w:num w:numId="503">
    <w:abstractNumId w:val="264"/>
  </w:num>
  <w:num w:numId="504">
    <w:abstractNumId w:val="406"/>
  </w:num>
  <w:num w:numId="505">
    <w:abstractNumId w:val="242"/>
  </w:num>
  <w:num w:numId="506">
    <w:abstractNumId w:val="391"/>
  </w:num>
  <w:num w:numId="507">
    <w:abstractNumId w:val="375"/>
  </w:num>
  <w:num w:numId="508">
    <w:abstractNumId w:val="54"/>
  </w:num>
  <w:num w:numId="509">
    <w:abstractNumId w:val="291"/>
  </w:num>
  <w:num w:numId="510">
    <w:abstractNumId w:val="313"/>
  </w:num>
  <w:num w:numId="511">
    <w:abstractNumId w:val="247"/>
  </w:num>
  <w:num w:numId="512">
    <w:abstractNumId w:val="725"/>
  </w:num>
  <w:num w:numId="513">
    <w:abstractNumId w:val="8"/>
  </w:num>
  <w:num w:numId="514">
    <w:abstractNumId w:val="91"/>
  </w:num>
  <w:num w:numId="515">
    <w:abstractNumId w:val="670"/>
  </w:num>
  <w:num w:numId="516">
    <w:abstractNumId w:val="448"/>
  </w:num>
  <w:num w:numId="517">
    <w:abstractNumId w:val="114"/>
  </w:num>
  <w:num w:numId="518">
    <w:abstractNumId w:val="294"/>
  </w:num>
  <w:num w:numId="519">
    <w:abstractNumId w:val="72"/>
  </w:num>
  <w:num w:numId="520">
    <w:abstractNumId w:val="618"/>
  </w:num>
  <w:num w:numId="521">
    <w:abstractNumId w:val="234"/>
  </w:num>
  <w:num w:numId="522">
    <w:abstractNumId w:val="300"/>
  </w:num>
  <w:num w:numId="523">
    <w:abstractNumId w:val="138"/>
  </w:num>
  <w:num w:numId="524">
    <w:abstractNumId w:val="518"/>
  </w:num>
  <w:num w:numId="525">
    <w:abstractNumId w:val="466"/>
  </w:num>
  <w:num w:numId="526">
    <w:abstractNumId w:val="690"/>
  </w:num>
  <w:num w:numId="527">
    <w:abstractNumId w:val="593"/>
  </w:num>
  <w:num w:numId="528">
    <w:abstractNumId w:val="105"/>
  </w:num>
  <w:num w:numId="529">
    <w:abstractNumId w:val="148"/>
  </w:num>
  <w:num w:numId="530">
    <w:abstractNumId w:val="611"/>
  </w:num>
  <w:num w:numId="531">
    <w:abstractNumId w:val="238"/>
  </w:num>
  <w:num w:numId="532">
    <w:abstractNumId w:val="720"/>
  </w:num>
  <w:num w:numId="533">
    <w:abstractNumId w:val="202"/>
  </w:num>
  <w:num w:numId="534">
    <w:abstractNumId w:val="18"/>
  </w:num>
  <w:num w:numId="535">
    <w:abstractNumId w:val="699"/>
  </w:num>
  <w:num w:numId="536">
    <w:abstractNumId w:val="57"/>
  </w:num>
  <w:num w:numId="537">
    <w:abstractNumId w:val="462"/>
  </w:num>
  <w:num w:numId="538">
    <w:abstractNumId w:val="521"/>
  </w:num>
  <w:num w:numId="539">
    <w:abstractNumId w:val="398"/>
  </w:num>
  <w:num w:numId="540">
    <w:abstractNumId w:val="625"/>
  </w:num>
  <w:num w:numId="541">
    <w:abstractNumId w:val="188"/>
  </w:num>
  <w:num w:numId="542">
    <w:abstractNumId w:val="512"/>
  </w:num>
  <w:num w:numId="543">
    <w:abstractNumId w:val="555"/>
  </w:num>
  <w:num w:numId="544">
    <w:abstractNumId w:val="152"/>
  </w:num>
  <w:num w:numId="545">
    <w:abstractNumId w:val="422"/>
  </w:num>
  <w:num w:numId="546">
    <w:abstractNumId w:val="757"/>
  </w:num>
  <w:num w:numId="547">
    <w:abstractNumId w:val="66"/>
  </w:num>
  <w:num w:numId="548">
    <w:abstractNumId w:val="50"/>
  </w:num>
  <w:num w:numId="549">
    <w:abstractNumId w:val="369"/>
  </w:num>
  <w:num w:numId="550">
    <w:abstractNumId w:val="293"/>
  </w:num>
  <w:num w:numId="551">
    <w:abstractNumId w:val="510"/>
  </w:num>
  <w:num w:numId="552">
    <w:abstractNumId w:val="89"/>
  </w:num>
  <w:num w:numId="553">
    <w:abstractNumId w:val="433"/>
  </w:num>
  <w:num w:numId="554">
    <w:abstractNumId w:val="63"/>
  </w:num>
  <w:num w:numId="555">
    <w:abstractNumId w:val="696"/>
  </w:num>
  <w:num w:numId="556">
    <w:abstractNumId w:val="584"/>
  </w:num>
  <w:num w:numId="557">
    <w:abstractNumId w:val="113"/>
  </w:num>
  <w:num w:numId="558">
    <w:abstractNumId w:val="580"/>
  </w:num>
  <w:num w:numId="559">
    <w:abstractNumId w:val="491"/>
  </w:num>
  <w:num w:numId="560">
    <w:abstractNumId w:val="520"/>
  </w:num>
  <w:num w:numId="561">
    <w:abstractNumId w:val="404"/>
  </w:num>
  <w:num w:numId="562">
    <w:abstractNumId w:val="129"/>
  </w:num>
  <w:num w:numId="563">
    <w:abstractNumId w:val="734"/>
  </w:num>
  <w:num w:numId="564">
    <w:abstractNumId w:val="226"/>
  </w:num>
  <w:num w:numId="565">
    <w:abstractNumId w:val="609"/>
  </w:num>
  <w:num w:numId="566">
    <w:abstractNumId w:val="461"/>
  </w:num>
  <w:num w:numId="567">
    <w:abstractNumId w:val="335"/>
  </w:num>
  <w:num w:numId="568">
    <w:abstractNumId w:val="154"/>
  </w:num>
  <w:num w:numId="569">
    <w:abstractNumId w:val="694"/>
  </w:num>
  <w:num w:numId="570">
    <w:abstractNumId w:val="70"/>
  </w:num>
  <w:num w:numId="571">
    <w:abstractNumId w:val="583"/>
  </w:num>
  <w:num w:numId="572">
    <w:abstractNumId w:val="748"/>
  </w:num>
  <w:num w:numId="573">
    <w:abstractNumId w:val="42"/>
  </w:num>
  <w:num w:numId="574">
    <w:abstractNumId w:val="312"/>
  </w:num>
  <w:num w:numId="575">
    <w:abstractNumId w:val="693"/>
  </w:num>
  <w:num w:numId="576">
    <w:abstractNumId w:val="35"/>
  </w:num>
  <w:num w:numId="577">
    <w:abstractNumId w:val="198"/>
  </w:num>
  <w:num w:numId="578">
    <w:abstractNumId w:val="674"/>
  </w:num>
  <w:num w:numId="579">
    <w:abstractNumId w:val="587"/>
  </w:num>
  <w:num w:numId="580">
    <w:abstractNumId w:val="473"/>
  </w:num>
  <w:num w:numId="581">
    <w:abstractNumId w:val="93"/>
  </w:num>
  <w:num w:numId="582">
    <w:abstractNumId w:val="209"/>
  </w:num>
  <w:num w:numId="583">
    <w:abstractNumId w:val="347"/>
  </w:num>
  <w:num w:numId="584">
    <w:abstractNumId w:val="193"/>
  </w:num>
  <w:num w:numId="585">
    <w:abstractNumId w:val="84"/>
  </w:num>
  <w:num w:numId="586">
    <w:abstractNumId w:val="626"/>
  </w:num>
  <w:num w:numId="587">
    <w:abstractNumId w:val="286"/>
  </w:num>
  <w:num w:numId="588">
    <w:abstractNumId w:val="333"/>
  </w:num>
  <w:num w:numId="589">
    <w:abstractNumId w:val="519"/>
  </w:num>
  <w:num w:numId="590">
    <w:abstractNumId w:val="245"/>
  </w:num>
  <w:num w:numId="591">
    <w:abstractNumId w:val="432"/>
  </w:num>
  <w:num w:numId="592">
    <w:abstractNumId w:val="195"/>
  </w:num>
  <w:num w:numId="593">
    <w:abstractNumId w:val="401"/>
  </w:num>
  <w:num w:numId="594">
    <w:abstractNumId w:val="698"/>
  </w:num>
  <w:num w:numId="595">
    <w:abstractNumId w:val="549"/>
  </w:num>
  <w:num w:numId="596">
    <w:abstractNumId w:val="77"/>
  </w:num>
  <w:num w:numId="597">
    <w:abstractNumId w:val="143"/>
  </w:num>
  <w:num w:numId="598">
    <w:abstractNumId w:val="567"/>
  </w:num>
  <w:num w:numId="599">
    <w:abstractNumId w:val="582"/>
  </w:num>
  <w:num w:numId="600">
    <w:abstractNumId w:val="541"/>
  </w:num>
  <w:num w:numId="601">
    <w:abstractNumId w:val="330"/>
  </w:num>
  <w:num w:numId="602">
    <w:abstractNumId w:val="666"/>
  </w:num>
  <w:num w:numId="603">
    <w:abstractNumId w:val="308"/>
  </w:num>
  <w:num w:numId="604">
    <w:abstractNumId w:val="568"/>
  </w:num>
  <w:num w:numId="605">
    <w:abstractNumId w:val="161"/>
  </w:num>
  <w:num w:numId="606">
    <w:abstractNumId w:val="502"/>
  </w:num>
  <w:num w:numId="607">
    <w:abstractNumId w:val="496"/>
  </w:num>
  <w:num w:numId="608">
    <w:abstractNumId w:val="681"/>
  </w:num>
  <w:num w:numId="609">
    <w:abstractNumId w:val="76"/>
  </w:num>
  <w:num w:numId="610">
    <w:abstractNumId w:val="122"/>
  </w:num>
  <w:num w:numId="611">
    <w:abstractNumId w:val="702"/>
  </w:num>
  <w:num w:numId="612">
    <w:abstractNumId w:val="642"/>
  </w:num>
  <w:num w:numId="613">
    <w:abstractNumId w:val="144"/>
  </w:num>
  <w:num w:numId="614">
    <w:abstractNumId w:val="355"/>
  </w:num>
  <w:num w:numId="615">
    <w:abstractNumId w:val="196"/>
  </w:num>
  <w:num w:numId="616">
    <w:abstractNumId w:val="362"/>
  </w:num>
  <w:num w:numId="617">
    <w:abstractNumId w:val="102"/>
  </w:num>
  <w:num w:numId="618">
    <w:abstractNumId w:val="675"/>
  </w:num>
  <w:num w:numId="619">
    <w:abstractNumId w:val="27"/>
  </w:num>
  <w:num w:numId="620">
    <w:abstractNumId w:val="141"/>
  </w:num>
  <w:num w:numId="621">
    <w:abstractNumId w:val="647"/>
  </w:num>
  <w:num w:numId="622">
    <w:abstractNumId w:val="561"/>
  </w:num>
  <w:num w:numId="623">
    <w:abstractNumId w:val="377"/>
  </w:num>
  <w:num w:numId="624">
    <w:abstractNumId w:val="131"/>
  </w:num>
  <w:num w:numId="625">
    <w:abstractNumId w:val="465"/>
  </w:num>
  <w:num w:numId="626">
    <w:abstractNumId w:val="267"/>
  </w:num>
  <w:num w:numId="627">
    <w:abstractNumId w:val="215"/>
  </w:num>
  <w:num w:numId="628">
    <w:abstractNumId w:val="741"/>
  </w:num>
  <w:num w:numId="629">
    <w:abstractNumId w:val="450"/>
  </w:num>
  <w:num w:numId="630">
    <w:abstractNumId w:val="407"/>
  </w:num>
  <w:num w:numId="631">
    <w:abstractNumId w:val="659"/>
  </w:num>
  <w:num w:numId="632">
    <w:abstractNumId w:val="285"/>
  </w:num>
  <w:num w:numId="633">
    <w:abstractNumId w:val="638"/>
  </w:num>
  <w:num w:numId="634">
    <w:abstractNumId w:val="233"/>
  </w:num>
  <w:num w:numId="635">
    <w:abstractNumId w:val="332"/>
  </w:num>
  <w:num w:numId="636">
    <w:abstractNumId w:val="149"/>
  </w:num>
  <w:num w:numId="637">
    <w:abstractNumId w:val="667"/>
  </w:num>
  <w:num w:numId="638">
    <w:abstractNumId w:val="509"/>
  </w:num>
  <w:num w:numId="639">
    <w:abstractNumId w:val="513"/>
  </w:num>
  <w:num w:numId="640">
    <w:abstractNumId w:val="578"/>
  </w:num>
  <w:num w:numId="641">
    <w:abstractNumId w:val="237"/>
  </w:num>
  <w:num w:numId="642">
    <w:abstractNumId w:val="64"/>
  </w:num>
  <w:num w:numId="643">
    <w:abstractNumId w:val="653"/>
  </w:num>
  <w:num w:numId="644">
    <w:abstractNumId w:val="729"/>
  </w:num>
  <w:num w:numId="645">
    <w:abstractNumId w:val="147"/>
  </w:num>
  <w:num w:numId="646">
    <w:abstractNumId w:val="724"/>
  </w:num>
  <w:num w:numId="647">
    <w:abstractNumId w:val="677"/>
  </w:num>
  <w:num w:numId="648">
    <w:abstractNumId w:val="708"/>
  </w:num>
  <w:num w:numId="649">
    <w:abstractNumId w:val="487"/>
  </w:num>
  <w:num w:numId="650">
    <w:abstractNumId w:val="472"/>
  </w:num>
  <w:num w:numId="651">
    <w:abstractNumId w:val="216"/>
  </w:num>
  <w:num w:numId="652">
    <w:abstractNumId w:val="553"/>
  </w:num>
  <w:num w:numId="653">
    <w:abstractNumId w:val="717"/>
  </w:num>
  <w:num w:numId="654">
    <w:abstractNumId w:val="722"/>
  </w:num>
  <w:num w:numId="655">
    <w:abstractNumId w:val="532"/>
  </w:num>
  <w:num w:numId="656">
    <w:abstractNumId w:val="26"/>
  </w:num>
  <w:num w:numId="657">
    <w:abstractNumId w:val="387"/>
  </w:num>
  <w:num w:numId="658">
    <w:abstractNumId w:val="716"/>
  </w:num>
  <w:num w:numId="659">
    <w:abstractNumId w:val="155"/>
  </w:num>
  <w:num w:numId="660">
    <w:abstractNumId w:val="743"/>
  </w:num>
  <w:num w:numId="661">
    <w:abstractNumId w:val="253"/>
  </w:num>
  <w:num w:numId="662">
    <w:abstractNumId w:val="408"/>
  </w:num>
  <w:num w:numId="663">
    <w:abstractNumId w:val="135"/>
  </w:num>
  <w:num w:numId="664">
    <w:abstractNumId w:val="511"/>
  </w:num>
  <w:num w:numId="665">
    <w:abstractNumId w:val="156"/>
  </w:num>
  <w:num w:numId="666">
    <w:abstractNumId w:val="223"/>
  </w:num>
  <w:num w:numId="667">
    <w:abstractNumId w:val="539"/>
  </w:num>
  <w:num w:numId="668">
    <w:abstractNumId w:val="322"/>
  </w:num>
  <w:num w:numId="669">
    <w:abstractNumId w:val="180"/>
  </w:num>
  <w:num w:numId="670">
    <w:abstractNumId w:val="159"/>
  </w:num>
  <w:num w:numId="671">
    <w:abstractNumId w:val="7"/>
  </w:num>
  <w:num w:numId="672">
    <w:abstractNumId w:val="575"/>
  </w:num>
  <w:num w:numId="673">
    <w:abstractNumId w:val="631"/>
  </w:num>
  <w:num w:numId="674">
    <w:abstractNumId w:val="128"/>
  </w:num>
  <w:num w:numId="675">
    <w:abstractNumId w:val="419"/>
  </w:num>
  <w:num w:numId="676">
    <w:abstractNumId w:val="153"/>
  </w:num>
  <w:num w:numId="677">
    <w:abstractNumId w:val="83"/>
  </w:num>
  <w:num w:numId="678">
    <w:abstractNumId w:val="207"/>
  </w:num>
  <w:num w:numId="679">
    <w:abstractNumId w:val="652"/>
  </w:num>
  <w:num w:numId="680">
    <w:abstractNumId w:val="463"/>
  </w:num>
  <w:num w:numId="681">
    <w:abstractNumId w:val="591"/>
  </w:num>
  <w:num w:numId="682">
    <w:abstractNumId w:val="569"/>
  </w:num>
  <w:num w:numId="683">
    <w:abstractNumId w:val="713"/>
  </w:num>
  <w:num w:numId="684">
    <w:abstractNumId w:val="373"/>
  </w:num>
  <w:num w:numId="685">
    <w:abstractNumId w:val="641"/>
  </w:num>
  <w:num w:numId="686">
    <w:abstractNumId w:val="190"/>
  </w:num>
  <w:num w:numId="687">
    <w:abstractNumId w:val="459"/>
  </w:num>
  <w:num w:numId="688">
    <w:abstractNumId w:val="471"/>
  </w:num>
  <w:num w:numId="689">
    <w:abstractNumId w:val="15"/>
  </w:num>
  <w:num w:numId="690">
    <w:abstractNumId w:val="261"/>
  </w:num>
  <w:num w:numId="691">
    <w:abstractNumId w:val="227"/>
  </w:num>
  <w:num w:numId="692">
    <w:abstractNumId w:val="345"/>
  </w:num>
  <w:num w:numId="693">
    <w:abstractNumId w:val="165"/>
  </w:num>
  <w:num w:numId="694">
    <w:abstractNumId w:val="616"/>
  </w:num>
  <w:num w:numId="695">
    <w:abstractNumId w:val="386"/>
  </w:num>
  <w:num w:numId="696">
    <w:abstractNumId w:val="6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7">
    <w:abstractNumId w:val="33"/>
  </w:num>
  <w:num w:numId="698">
    <w:abstractNumId w:val="706"/>
  </w:num>
  <w:num w:numId="699">
    <w:abstractNumId w:val="507"/>
  </w:num>
  <w:num w:numId="700">
    <w:abstractNumId w:val="566"/>
  </w:num>
  <w:num w:numId="701">
    <w:abstractNumId w:val="346"/>
  </w:num>
  <w:num w:numId="702">
    <w:abstractNumId w:val="47"/>
  </w:num>
  <w:num w:numId="703">
    <w:abstractNumId w:val="62"/>
  </w:num>
  <w:num w:numId="704">
    <w:abstractNumId w:val="483"/>
  </w:num>
  <w:num w:numId="705">
    <w:abstractNumId w:val="281"/>
  </w:num>
  <w:num w:numId="706">
    <w:abstractNumId w:val="576"/>
  </w:num>
  <w:num w:numId="707">
    <w:abstractNumId w:val="316"/>
  </w:num>
  <w:num w:numId="708">
    <w:abstractNumId w:val="601"/>
  </w:num>
  <w:num w:numId="709">
    <w:abstractNumId w:val="175"/>
  </w:num>
  <w:num w:numId="710">
    <w:abstractNumId w:val="292"/>
  </w:num>
  <w:num w:numId="711">
    <w:abstractNumId w:val="278"/>
  </w:num>
  <w:num w:numId="712">
    <w:abstractNumId w:val="436"/>
  </w:num>
  <w:num w:numId="713">
    <w:abstractNumId w:val="11"/>
  </w:num>
  <w:num w:numId="714">
    <w:abstractNumId w:val="73"/>
  </w:num>
  <w:num w:numId="715">
    <w:abstractNumId w:val="639"/>
  </w:num>
  <w:num w:numId="716">
    <w:abstractNumId w:val="298"/>
  </w:num>
  <w:num w:numId="717">
    <w:abstractNumId w:val="184"/>
  </w:num>
  <w:num w:numId="718">
    <w:abstractNumId w:val="542"/>
  </w:num>
  <w:num w:numId="719">
    <w:abstractNumId w:val="728"/>
  </w:num>
  <w:num w:numId="720">
    <w:abstractNumId w:val="394"/>
  </w:num>
  <w:num w:numId="721">
    <w:abstractNumId w:val="613"/>
  </w:num>
  <w:num w:numId="722">
    <w:abstractNumId w:val="573"/>
  </w:num>
  <w:num w:numId="723">
    <w:abstractNumId w:val="746"/>
  </w:num>
  <w:num w:numId="724">
    <w:abstractNumId w:val="668"/>
  </w:num>
  <w:num w:numId="725">
    <w:abstractNumId w:val="385"/>
  </w:num>
  <w:num w:numId="726">
    <w:abstractNumId w:val="714"/>
  </w:num>
  <w:num w:numId="727">
    <w:abstractNumId w:val="374"/>
  </w:num>
  <w:num w:numId="728">
    <w:abstractNumId w:val="30"/>
  </w:num>
  <w:num w:numId="729">
    <w:abstractNumId w:val="730"/>
  </w:num>
  <w:num w:numId="730">
    <w:abstractNumId w:val="669"/>
  </w:num>
  <w:num w:numId="731">
    <w:abstractNumId w:val="644"/>
  </w:num>
  <w:num w:numId="732">
    <w:abstractNumId w:val="232"/>
  </w:num>
  <w:num w:numId="733">
    <w:abstractNumId w:val="431"/>
  </w:num>
  <w:num w:numId="734">
    <w:abstractNumId w:val="454"/>
  </w:num>
  <w:num w:numId="735">
    <w:abstractNumId w:val="470"/>
  </w:num>
  <w:num w:numId="736">
    <w:abstractNumId w:val="739"/>
  </w:num>
  <w:num w:numId="737">
    <w:abstractNumId w:val="296"/>
  </w:num>
  <w:num w:numId="738">
    <w:abstractNumId w:val="395"/>
  </w:num>
  <w:num w:numId="739">
    <w:abstractNumId w:val="103"/>
  </w:num>
  <w:num w:numId="740">
    <w:abstractNumId w:val="351"/>
  </w:num>
  <w:num w:numId="741">
    <w:abstractNumId w:val="637"/>
  </w:num>
  <w:num w:numId="742">
    <w:abstractNumId w:val="597"/>
  </w:num>
  <w:num w:numId="743">
    <w:abstractNumId w:val="735"/>
  </w:num>
  <w:num w:numId="744">
    <w:abstractNumId w:val="157"/>
  </w:num>
  <w:num w:numId="745">
    <w:abstractNumId w:val="619"/>
  </w:num>
  <w:num w:numId="746">
    <w:abstractNumId w:val="551"/>
  </w:num>
  <w:num w:numId="747">
    <w:abstractNumId w:val="689"/>
  </w:num>
  <w:num w:numId="748">
    <w:abstractNumId w:val="168"/>
  </w:num>
  <w:num w:numId="749">
    <w:abstractNumId w:val="20"/>
  </w:num>
  <w:num w:numId="750">
    <w:abstractNumId w:val="665"/>
  </w:num>
  <w:num w:numId="751">
    <w:abstractNumId w:val="268"/>
  </w:num>
  <w:num w:numId="752">
    <w:abstractNumId w:val="686"/>
  </w:num>
  <w:num w:numId="753">
    <w:abstractNumId w:val="485"/>
  </w:num>
  <w:num w:numId="754">
    <w:abstractNumId w:val="589"/>
  </w:num>
  <w:num w:numId="755">
    <w:abstractNumId w:val="284"/>
  </w:num>
  <w:num w:numId="756">
    <w:abstractNumId w:val="358"/>
  </w:num>
  <w:num w:numId="757">
    <w:abstractNumId w:val="13"/>
  </w:num>
  <w:num w:numId="758">
    <w:abstractNumId w:val="315"/>
  </w:num>
  <w:num w:numId="759">
    <w:abstractNumId w:val="338"/>
  </w:num>
  <w:num w:numId="760">
    <w:abstractNumId w:val="700"/>
  </w:num>
  <w:num w:numId="761">
    <w:abstractNumId w:val="290"/>
  </w:num>
  <w:num w:numId="762">
    <w:abstractNumId w:val="571"/>
  </w:num>
  <w:num w:numId="763">
    <w:abstractNumId w:val="48"/>
  </w:num>
  <w:num w:numId="764">
    <w:abstractNumId w:val="392"/>
  </w:num>
  <w:num w:numId="765">
    <w:abstractNumId w:val="56"/>
  </w:num>
  <w:num w:numId="766">
    <w:abstractNumId w:val="447"/>
  </w:num>
  <w:num w:numId="767">
    <w:abstractNumId w:val="634"/>
  </w:num>
  <w:num w:numId="768">
    <w:abstractNumId w:val="43"/>
  </w:num>
  <w:num w:numId="769">
    <w:abstractNumId w:val="68"/>
  </w:num>
  <w:num w:numId="770">
    <w:abstractNumId w:val="557"/>
  </w:num>
  <w:num w:numId="771">
    <w:abstractNumId w:val="348"/>
  </w:num>
  <w:num w:numId="772">
    <w:abstractNumId w:val="661"/>
  </w:num>
  <w:num w:numId="773">
    <w:abstractNumId w:val="705"/>
  </w:num>
  <w:num w:numId="774">
    <w:abstractNumId w:val="360"/>
  </w:num>
  <w:num w:numId="775">
    <w:abstractNumId w:val="654"/>
  </w:num>
  <w:num w:numId="776">
    <w:abstractNumId w:val="211"/>
  </w:num>
  <w:num w:numId="777">
    <w:abstractNumId w:val="718"/>
  </w:num>
  <w:num w:numId="778">
    <w:abstractNumId w:val="679"/>
  </w:num>
  <w:num w:numId="779">
    <w:abstractNumId w:val="527"/>
  </w:num>
  <w:num w:numId="780">
    <w:abstractNumId w:val="99"/>
  </w:num>
  <w:num w:numId="781">
    <w:abstractNumId w:val="45"/>
  </w:num>
  <w:num w:numId="782">
    <w:abstractNumId w:val="424"/>
  </w:num>
  <w:num w:numId="783">
    <w:abstractNumId w:val="389"/>
  </w:num>
  <w:num w:numId="784">
    <w:abstractNumId w:val="326"/>
  </w:num>
  <w:num w:numId="785">
    <w:abstractNumId w:val="108"/>
  </w:num>
  <w:num w:numId="786">
    <w:abstractNumId w:val="85"/>
  </w:num>
  <w:num w:numId="787">
    <w:abstractNumId w:val="220"/>
  </w:num>
  <w:num w:numId="788">
    <w:abstractNumId w:val="680"/>
  </w:num>
  <w:num w:numId="789">
    <w:abstractNumId w:val="3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0">
    <w:abstractNumId w:val="756"/>
  </w:num>
  <w:num w:numId="791">
    <w:abstractNumId w:val="342"/>
  </w:num>
  <w:num w:numId="792">
    <w:abstractNumId w:val="397"/>
  </w:num>
  <w:numIdMacAtCleanup w:val="7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hideSpellingErrors/>
  <w:hideGrammaticalErrors/>
  <w:activeWritingStyle w:appName="MSWord" w:lang="de-DE" w:vendorID="64" w:dllVersion="0" w:nlCheck="1" w:checkStyle="0"/>
  <w:activeWritingStyle w:appName="MSWord" w:lang="en-IE" w:vendorID="64" w:dllVersion="0" w:nlCheck="1" w:checkStyle="0"/>
  <w:activeWritingStyle w:appName="MSWord" w:lang="es-ES" w:vendorID="64" w:dllVersion="0" w:nlCheck="1" w:checkStyle="0"/>
  <w:activeWritingStyle w:appName="MSWord" w:lang="hu-HU" w:vendorID="64" w:dllVersion="0" w:nlCheck="1" w:checkStyle="0"/>
  <w:revisionView w:markup="0"/>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doNotExpandShiftReturn/>
    <w:doNotUseHTMLParagraphAutoSpacing/>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uncil" w:val="true"/>
    <w:docVar w:name="CoverPageOnWordDoc" w:val="true"/>
    <w:docVar w:name="DocStatus" w:val="Green"/>
    <w:docVar w:name="DocuWriteMetaData" w:val="&lt;metadataset docuwriteversion=&quot;4.8.5&quot; technicalblockguid=&quot;4797111446026630757&quot;&gt;_x000d__x000a_  &lt;metadata key=&quot;md_DocumentLanguages&quot;&gt;_x000d__x000a_    &lt;basicdatatypelist&gt;_x000d__x000a_      &lt;language key=&quot;EN&quot; text=&quot;EN&quot; /&gt;_x000d__x000a_    &lt;/basicdatatypelist&gt;_x000d__x000a_  &lt;/metadata&gt;_x000d__x000a_  &lt;metadata key=&quot;md_OriginalLanguages&quot;&gt;_x000d__x000a_    &lt;basicdatatypelist&gt;_x000d__x000a_      &lt;language key=&quot;EN&quot; text=&quot;EN&quot; /&gt;_x000d__x000a_    &lt;/basicdatatypelist&gt;_x000d__x000a_  &lt;/metadata&gt;_x000d__x000a_  &lt;metadata key=&quot;md_DocumentLanguagesAutomatic&quot;&gt;_x000d__x000a_    &lt;text&gt;&lt;/text&gt;_x000d__x000a_  &lt;/metadata&gt;_x000d__x000a_  &lt;metadata key=&quot;md_UniqueHeading&quot;&gt;_x000d__x000a_    &lt;basicdatatype&gt;_x000d__x000a_      &lt;heading key=&quot;uh_66&quot; text=&quot;NOTE&quot; /&gt;_x000d__x000a_    &lt;/basicdatatype&gt;_x000d__x000a_  &lt;/metadata&gt;_x000d__x000a_  &lt;metadata key=&quot;md_HeadingText&quot;&gt;_x000d__x000a_    &lt;headingtext text=&quot;NOTE&quot;&gt;_x000d__x000a_      &lt;formattedtext&gt;_x000d__x000a_        &lt;xaml text=&quot;NOTE&quot;&gt;&amp;lt;FlowDocument xmlns=&quot;http://schemas.microsoft.com/winfx/2006/xaml/presentation&quot;&amp;gt;&amp;lt;Paragraph&amp;gt;NOTE&amp;lt;/Paragraph&amp;gt;&amp;lt;/FlowDocument&amp;gt;&lt;/xaml&gt;_x000d__x000a_      &lt;/formattedtext&gt;_x000d__x000a_    &lt;/headingtext&gt;_x000d__x000a_  &lt;/metadata&gt;_x000d__x000a_  &lt;metadata key=&quot;md_CustomFootnote&quot; /&gt;_x000d__x000a_  &lt;metadata key=&quot;md_DocumentGroup&quot;&gt;_x000d__x000a_    &lt;basicdatatype&gt;_x000d__x000a_      &lt;document_group key=&quot;dg_12&quot; text=&quot;Cover Page&quot; /&gt;_x000d__x000a_    &lt;/basicdatatype&gt;_x000d__x000a_  &lt;/metadata&gt;_x000d__x000a_  &lt;metadata key=&quot;md_DocumentType&quot;&gt;_x000d__x000a_    &lt;basicdatatype&gt;_x000d__x000a_      &lt;doc_type key=&quot;dt_ST&quot; text=&quot;ST&quot; /&gt;_x000d__x000a_    &lt;/basicdatatype&gt;_x000d__x000a_  &lt;/metadata&gt;_x000d__x000a_  &lt;metadata key=&quot;md_InstitutionalFramework&quot;&gt;_x000d__x000a_    &lt;basicdatatype&gt;_x000d__x000a_      &lt;framework key=&quot;if_01&quot; text=&quot;Council of the European Union&quot; institution=&quot;instfr_institution&quot; acronym=&quot;instfr_acronym&quot; /&gt;_x000d__x000a_    &lt;/basicdatatype&gt;_x000d__x000a_  &lt;/metadata&gt;_x000d__x000a_  &lt;metadata key=&quot;md_DraftNote&quot; /&gt;_x000d__x000a_  &lt;metadata key=&quot;md_DGName&quot;&gt;_x000d__x000a_    &lt;basicdatatype&gt;_x000d__x000a_      &lt;dgname key=&quot;&quot; /&gt;_x000d__x000a_    &lt;/basicdatatype&gt;_x000d__x000a_  &lt;/metadata&gt;_x000d__x000a_  &lt;metadata key=&quot;md_ContributingService&quot;&gt;_x000d__x000a_    &lt;text&gt;&lt;/text&gt;_x000d__x000a_  &lt;/metadata&gt;_x000d__x000a_  &lt;metadata key=&quot;md_DocumentLocation&quot;&gt;_x000d__x000a_    &lt;basicdatatype&gt;_x000d__x000a_      &lt;location key=&quot;loc_01&quot; text=&quot;Brussels&quot; /&gt;_x000d__x000a_    &lt;/basicdatatype&gt;_x000d__x000a_  &lt;/metadata&gt;_x000d__x000a_  &lt;metadata key=&quot;md_DocumentDate&quot;&gt;_x000d__x000a_    &lt;text&gt;2023-10-09&lt;/text&gt;_x000d__x000a_  &lt;/metadata&gt;_x000d__x000a_  &lt;metadata key=&quot;md_Prefix&quot;&gt;_x000d__x000a_    &lt;text&gt;&lt;/text&gt;_x000d__x000a_  &lt;/metadata&gt;_x000d__x000a_  &lt;metadata key=&quot;md_DocumentNumber&quot;&gt;_x000d__x000a_    &lt;text&gt;13695&lt;/text&gt;_x000d__x000a_  &lt;/metadata&gt;_x000d__x000a_  &lt;metadata key=&quot;md_YearDocumentNumber&quot;&gt;_x000d__x000a_    &lt;text&gt;2023&lt;/text&gt;_x000d__x000a_  &lt;/metadata&gt;_x000d__x000a_  &lt;metadata key=&quot;md_Suffixes&quot;&gt;_x000d__x000a_    &lt;text&gt;ADD 1 REV 1&lt;/text&gt;_x000d__x000a_  &lt;/metadata&gt;_x000d__x000a_  &lt;metadata key=&quot;md_SuffixLanguagesInvolved&quot;&gt;_x000d__x000a_    &lt;text&gt;&lt;/text&gt;_x000d__x000a_  &lt;/metadata&gt;_x000d__x000a_  &lt;metadata key=&quot;md_FirstRevNumber&quot;&gt;_x000d__x000a_    &lt;text&gt;&lt;/text&gt;_x000d__x000a_  &lt;/metadata&gt;_x000d__x000a_  &lt;metadata key=&quot;md_Distribution&quot;&gt;_x000d__x000a_    &lt;basicdatatype&gt;_x000d__x000a_      &lt;distribution key=&quot;dis_01&quot; text=&quot;PUBLIC&quot; /&gt;_x000d__x000a_    &lt;/basicdatatype&gt;_x000d__x000a_  &lt;/metadata&gt;_x000d__x000a_  &lt;metadata key=&quot;md_SubjectCodes&quot;&gt;_x000d__x000a_    &lt;textlist&gt;_x000d__x000a_      &lt;text&gt;ECOFIN 961&lt;/text&gt;_x000d__x000a_      &lt;text&gt;FIN 1004&lt;/text&gt;_x000d__x000a_      &lt;text&gt;UEM 268&lt;/text&gt;_x000d__x000a_    &lt;/textlist&gt;_x000d__x000a_  &lt;/metadata&gt;_x000d__x000a_  &lt;metadata key=&quot;md_Contact&quot; /&gt;_x000d__x000a_  &lt;metadata key=&quot;md_ContactPhoneFax&quot; /&gt;_x000d__x000a_  &lt;metadata key=&quot;md_MeetingVenue&quot; /&gt;_x000d__x000a_  &lt;metadata key=&quot;md_ProvisionalVersion&quot;&gt;_x000d__x000a_    &lt;text&gt;&lt;/text&gt;_x000d__x000a_  &lt;/metadata&gt;_x000d__x000a_  &lt;metadata key=&quot;md_PresidentInformation&quot; /&gt;_x000d__x000a_  &lt;metadata key=&quot;md_MeetingNumber&quot; /&gt;_x000d__x000a_  &lt;metadata key=&quot;md_CouncilConfiguration&quot; /&gt;_x000d__x000a_  &lt;metadata key=&quot;md_CouncilIssue&quot; /&gt;_x000d__x000a_  &lt;metadata key=&quot;md_PhoneNumber&quot; /&gt;_x000d__x000a_  &lt;metadata key=&quot;md_TypeOfHeading&quot;&gt;_x000d__x000a_    &lt;basicdatatype&gt;_x000d__x000a_      &lt;typeofheading key=&quot;&quot; /&gt;_x000d__x000a_    &lt;/basicdatatype&gt;_x000d__x000a_  &lt;/metadata&gt;_x000d__x000a_  &lt;metadata key=&quot;md_ReplyName&quot; /&gt;_x000d__x000a_  &lt;metadata key=&quot;md_EPQuestionsData&quot; /&gt;_x000d__x000a_  &lt;metadata key=&quot;md_Deadline&quot; /&gt;_x000d__x000a_  &lt;metadata key=&quot;md_InterinstitutionalFiles&quot;&gt;_x000d__x000a_    &lt;textlist&gt;_x000d__x000a_      &lt;text&gt;2023/0349(NLE)&lt;/text&gt;_x000d__x000a_    &lt;/textlist&gt;_x000d__x000a_  &lt;/metadata&gt;_x000d__x000a_  &lt;metadata key=&quot;md_AdditionalReferences&quot;&gt;_x000d__x000a_    &lt;textlist /&gt;_x000d__x000a_  &lt;/metadata&gt;_x000d__x000a_  &lt;metadata key=&quot;md_LEXNumber&quot;&gt;_x000d__x000a_    &lt;text&gt;&lt;/text&gt;_x000d__x000a_  &lt;/metadata&gt;_x000d__x000a_  &lt;metadata key=&quot;md_SousEmbargo&quot;&gt;_x000d__x000a_    &lt;text&gt;&lt;/text&gt;_x000d__x000a_  &lt;/metadata&gt;_x000d__x000a_  &lt;metadata key=&quot;md_DraftVersion&quot;&gt;_x000d__x000a_    &lt;text&gt;&lt;/text&gt;_x000d__x000a_  &lt;/metadata&gt;_x000d__x000a_  &lt;metadata key=&quot;md_Originator&quot;&gt;_x000d__x000a_    &lt;basicdatatype&gt;_x000d__x000a_      &lt;originator key=&quot;or_09&quot; text=&quot;General Secretariat of the Council&quot; /&gt;_x000d__x000a_    &lt;/basicdatatype&gt;_x000d__x000a_  &lt;/metadata&gt;_x000d__x000a_  &lt;metadata key=&quot;md_Recipient&quot;&gt;_x000d__x000a_    &lt;basicdatatype&gt;_x000d__x000a_      &lt;recipient key=&quot;re_07&quot; text=&quot;Delegations&quot; /&gt;_x000d__x000a_    &lt;/basicdatatype&gt;_x000d__x000a_  &lt;/metadata&gt;_x000d__x000a_  &lt;metadata key=&quot;md_DateOfReceipt&quot;&gt;_x000d__x000a_    &lt;text&gt;&lt;/text&gt;_x000d__x000a_  &lt;/metadata&gt;_x000d__x000a_  &lt;metadata key=&quot;md_FreeDate&quot;&gt;_x000d__x000a_    &lt;textlist /&gt;_x000d__x000a_  &lt;/metadata&gt;_x000d__x000a_  &lt;metadata key=&quot;md_PrecedingDocuments&quot;&gt;_x000d__x000a_    &lt;textlist /&gt;_x000d__x000a_  &lt;/metadata&gt;_x000d__x000a_  &lt;metadata key=&quot;md_CommissionDocuments&quot;&gt;_x000d__x000a_    &lt;textlist /&gt;_x000d__x000a_  &lt;/metadata&gt;_x000d__x000a_  &lt;metadata key=&quot;md_DocForDWNDCL&quot; /&gt;_x000d__x000a_  &lt;metadata key=&quot;md_Distribution_NewClassification&quot; /&gt;_x000d__x000a_  &lt;metadata key=&quot;md_DWNDCLAuthorization&quot; /&gt;_x000d__x000a_  &lt;metadata key=&quot;md_DateOfAuthorization&quot; /&gt;_x000d__x000a_  &lt;metadata key=&quot;md_MeetingLocation&quot; /&gt;_x000d__x000a_  &lt;metadata key=&quot;md_MeetingDate&quot; /&gt;_x000d__x000a_  &lt;metadata key=&quot;md_DateFormatOr&quot;&gt;_x000d__x000a_    &lt;text&gt;&lt;/text&gt;_x000d__x000a_  &lt;/metadata&gt;_x000d__x000a_  &lt;metadata key=&quot;md_MeetingInformation&quot; /&gt;_x000d__x000a_  &lt;metadata key=&quot;md_Item&quot; /&gt;_x000d__x000a_  &lt;metadata key=&quot;md_SubjectPrefix&quot;&gt;_x000d__x000a_    &lt;text&gt;&lt;/text&gt;_x000d__x000a_  &lt;/metadata&gt;_x000d__x000a_  &lt;metadata key=&quot;md_Subject&quot;&gt;_x000d__x000a_    &lt;xaml text=&quot;Revised ANNEX to the COUNCIL IMPLEMENTING DECISION amending Implementing Decision (EU) (ST 10150 2021; ST 10150 2021 ADD 1 REV 1) of 13 July 2021 on the approval of the assessment of the recovery and resilience plan for Spain&quot;&gt;&amp;lt;FlowDocument FontFamily=&quot;Segoe UI&quot; FontSize=&quot;12&quot; LineHeight=&quot;6&quot; PageWidth=&quot;329&quot; PagePadding=&quot;2,2,2,2&quot; AllowDrop=&quot;False&quot; xmlns=&quot;http://schemas.microsoft.com/winfx/2006/xaml/presentation&quot; xmlns:x=&quot;http://schemas.microsoft.com/winfx/2006/xaml&quot;&amp;gt;&amp;lt;Paragraph&amp;gt;&amp;lt;Run xml:lang=&quot;fr-be&quot; xml:space=&quot;preserve&quot;&amp;gt;Revised &amp;lt;/Run&amp;gt;ANNEX to the COUNCIL IMPLEMENTING DECISION amending Implementing Decision (EU) (ST 10150 2021; ST 10150 2021 ADD 1 REV 1) of 13 July 2021 on the approval of the assessment of the recovery and resilience plan for Spain&amp;lt;/Paragraph&amp;gt;&amp;lt;/FlowDocument&amp;gt;&lt;/xaml&gt;_x000d__x000a_  &lt;/metadata&gt;_x000d__x000a_  &lt;metadata key=&quot;md_SubjectFootnote&quot; /&gt;_x000d__x000a_  &lt;metadata key=&quot;md_DG&quot;&gt;_x000d__x000a_    &lt;text&gt;ECOFIN 1A&lt;/text&gt;_x000d__x000a_  &lt;/metadata&gt;_x000d__x000a_  &lt;metadata key=&quot;md_Initials&quot;&gt;_x000d__x000a_    &lt;text&gt;JGR/sr&lt;/text&gt;_x000d__x000a_  &lt;/metadata&gt;_x000d__x000a_  &lt;metadata key=&quot;md_SensitivityLabel&quot;&gt;_x000d__x000a_    &lt;basicdatatype&gt;_x000d__x000a_      &lt;sensitivity_label key=&quot;senslabel_02&quot; text=&quot;NON-PUBLIC&quot; labelid=&quot;b1df41d6-74a9-4a97-809c-213cd32520cc&quot; siteid=&quot;03ad1c97-0a4d-4e82-8f93-27291a6a0767&quot; isdefault=&quot;true&quot; /&gt;_x000d__x000a_    &lt;/basicdatatype&gt;_x000d__x000a_  &lt;/metadata&gt;_x000d__x000a_  &lt;metadata key=&quot;md_RectifProcedureType&quot;&gt;_x000d__x000a_    &lt;basicdatatype&gt;_x000d__x000a_      &lt;rectifprocedure key=&quot;&quot; /&gt;_x000d__x000a_    &lt;/basicdatatype&gt;_x000d__x000a_  &lt;/metadata&gt;_x000d__x000a_  &lt;metadata key=&quot;md_RectifLanguagesBase&quot; /&gt;_x000d__x000a_  &lt;metadata key=&quot;md_RectifLanguagesConcerned&quot; /&gt;_x000d__x000a_  &lt;metadata key=&quot;md_RectifIsLangSpec&quot; /&gt;_x000d__x000a_  &lt;metadata key=&quot;md_RectifLangSpecValue&quot; /&gt;_x000d__x000a_  &lt;metadata key=&quot;md_RectifNumberOfMistakes&quot; /&gt;_x000d__x000a_  &lt;metadata key=&quot;md_RectifHasRemarks&quot; /&gt;_x000d__x000a_  &lt;metadata key=&quot;md_RectifUseDocRef&quot; /&gt;_x000d__x000a_  &lt;metadata key=&quot;md_RectifDocRefNumber&quot; /&gt;_x000d__x000a_  &lt;metadata key=&quot;md_RectifDocRefDate&quot; /&gt;_x000d__x000a_  &lt;metadata key=&quot;md_RectifUseOJRef&quot; /&gt;_x000d__x000a_  &lt;metadata key=&quot;md_RectifOJRefType&quot; /&gt;_x000d__x000a_  &lt;metadata key=&quot;md_RectifOJLRefNumber&quot; /&gt;_x000d__x000a_  &lt;metadata key=&quot;md_RectifOJCRefNumber&quot; /&gt;_x000d__x000a_  &lt;metadata key=&quot;md_RectifOJLRefDate&quot; /&gt;_x000d__x000a_  &lt;metadata key=&quot;md_RectifOJCRefDate&quot; /&gt;_x000d__x000a_  &lt;metadata key=&quot;md_RectifOJLRefPage&quot; /&gt;_x000d__x000a_  &lt;metadata key=&quot;md_RectifOJCRefPage&quot; /&gt;_x000d__x000a_  &lt;metadata key=&quot;md_RectifUseOJCorRef&quot; /&gt;_x000d__x000a_  &lt;metadata key=&quot;md_RectifOJCorRefNumber&quot; /&gt;_x000d__x000a_  &lt;metadata key=&quot;md_RectifOJCorRefDate&quot; /&gt;_x000d__x000a_  &lt;metadata key=&quot;md_RectifOJCorRefPage&quot; /&gt;_x000d__x000a_  &lt;metadata key=&quot;md_RectifTimeLimit&quot; /&gt;_x000d__x000a_  &lt;metadata key=&quot;md_RectifCodecision&quot; /&gt;_x000d__x000a_  &lt;metadata key=&quot;md_RectifCorrectionNewLang&quot; /&gt;_x000d__x000a_  &lt;metadata key=&quot;md_RectifAgreement&quot; /&gt;_x000d__x000a_  &lt;metadata key=&quot;md_RectifSignature&quot; /&gt;_x000d__x000a_  &lt;metadata key=&quot;md_RectifLastMergeDate&quot; /&gt;_x000d__x000a_  &lt;metadata key=&quot;md_Rectif_Source1_UniqueHeading&quot;&gt;_x000d__x000a_    &lt;basicdatatype&gt;_x000d__x000a_      &lt;text&gt;&lt;/text&gt;_x000d__x000a_    &lt;/basicdatatype&gt;_x000d__x000a_  &lt;/metadata&gt;_x000d__x000a_  &lt;metadata key=&quot;md_Rectif_Source1_DocumentType&quot;&gt;_x000d__x000a_    &lt;basicdatatype&gt;_x000d__x000a_      &lt;doc_type key=&quot;&quot; /&gt;_x000d__x000a_    &lt;/basicdatatype&gt;_x000d__x000a_  &lt;/metadata&gt;_x000d__x000a_  &lt;metadata key=&quot;md_Rectif_Source1_DocumentNumber&quot;&gt;_x000d__x000a_    &lt;text&gt;&lt;/text&gt;_x000d__x000a_  &lt;/metadata&gt;_x000d__x000a_  &lt;metadata key=&quot;md_Rectif_Source1_YearDocumentNumber&quot;&gt;_x000d__x000a_    &lt;text&gt;2023&lt;/text&gt;_x000d__x000a_  &lt;/metadata&gt;_x000d__x000a_  &lt;metadata key=&quot;md_Rectif_Source1_Suffixes&quot;&gt;_x000d__x000a_    &lt;text&gt;&lt;/text&gt;_x000d__x000a_  &lt;/metadata&gt;_x000d__x000a_  &lt;metadata key=&quot;md_Rectif_Source2_UniqueHeading&quot;&gt;_x000d__x000a_    &lt;basicdatatype&gt;_x000d__x000a_      &lt;text&gt;&lt;/text&gt;_x000d__x000a_    &lt;/basicdatatype&gt;_x000d__x000a_  &lt;/metadata&gt;_x000d__x000a_  &lt;metadata key=&quot;md_Rectif_Source2_DocumentType&quot;&gt;_x000d__x000a_    &lt;basicdatatype&gt;_x000d__x000a_      &lt;doc_type key=&quot;&quot; /&gt;_x000d__x000a_    &lt;/basicdatatype&gt;_x000d__x000a_  &lt;/metadata&gt;_x000d__x000a_  &lt;metadata key=&quot;md_Rectif_Source2_DocumentNumber&quot;&gt;_x000d__x000a_    &lt;text&gt;&lt;/text&gt;_x000d__x000a_  &lt;/metadata&gt;_x000d__x000a_  &lt;metadata key=&quot;md_Rectif_Source2_YearDocumentNumber&quot;&gt;_x000d__x000a_    &lt;text&gt;&lt;/text&gt;_x000d__x000a_  &lt;/metadata&gt;_x000d__x000a_  &lt;metadata key=&quot;md_Rectif_Source2_Suffixes&quot;&gt;_x000d__x000a_    &lt;text&gt;&lt;/text&gt;_x000d__x000a_  &lt;/metadata&gt;_x000d__x000a_  &lt;metadata key=&quot;md_CoverPageDocWithCouncilFooter&quot;&gt;_x000d__x000a_    &lt;text&gt;true&lt;/text&gt;_x000d__x000a_  &lt;/metadata&gt;_x000d__x000a_  &lt;metadata key=&quot;md_SourceDocLanguage&quot;&gt;_x000d__x000a_    &lt;text&gt;DE&lt;/text&gt;_x000d__x000a_  &lt;/metadata&gt;_x000d__x000a_  &lt;metadata key=&quot;md_SourceDocType&quot;&gt;_x000d__x000a_    &lt;text&gt;&lt;/text&gt;_x000d__x000a_  &lt;/metadata&gt;_x000d__x000a_  &lt;metadata key=&quot;md_SourceDocTitle&quot;&gt;_x000d__x000a_    &lt;text&gt;&lt;/text&gt;_x000d__x000a_  &lt;/metadata&gt;_x000d__x000a_  &lt;metadata key=&quot;md_SourceDocIsCECDoc&quot;&gt;_x000d__x000a_    &lt;text&gt;false&lt;/text&gt;_x000d__x000a_  &lt;/metadata&gt;_x000d__x000a_  &lt;metadata key=&quot;md_NB1&quot; /&gt;_x000d__x000a_  &lt;metadata key=&quot;md_NB2&quot; /&gt;_x000d__x000a_  &lt;metadata key=&quot;md_NB3&quot; /&gt;_x000d__x000a_  &lt;metadata key=&quot;md_NB4&quot; /&gt;_x000d__x000a_  &lt;metadata key=&quot;md_NB5&quot; /&gt;_x000d__x000a_  &lt;metadata key=&quot;md_CustomNB&quot; /&gt;_x000d__x000a_  &lt;metadata key=&quot;md_Meetings&quot;&gt;_x000d__x000a_    &lt;meetings /&gt;_x000d__x000a_  &lt;/metadata&gt;_x000d__x000a_  &lt;metadata key=&quot;md_VisualRepresentation&quot;&gt;_x000d__x000a_    &lt;basicdatatype&gt;_x000d__x000a_      &lt;visualrepresentation key=&quot;visrep_02&quot; text=&quot;New visual identity&quot; /&gt;_x000d__x000a_    &lt;/basicdatatype&gt;_x000d__x000a_  &lt;/metadata&gt;_x000d__x000a_  &lt;metadata key=&quot;md_LetterData&quot; /&gt;_x000d__x000a_  &lt;metadata key=&quot;md_InstFrSubWordmark&quot;&gt;_x000d__x000a_    &lt;xaml text=&quot;&quot;&gt;&amp;lt;FlowDocument FontFamily=&quot;Segoe UI&quot; FontSize=&quot;12&quot; PagePadding=&quot;2,2,2,2&quot; AllowDrop=&quot;False&quot; xmlns=&quot;http://schemas.microsoft.com/winfx/2006/xaml/presentation&quot; /&amp;gt;&lt;/xaml&gt;_x000d__x000a_  &lt;/metadata&gt;_x000d__x000a_  &lt;metadata key=&quot;md_WorkflowLinkStatus&quot;&gt;_x000d__x000a_    &lt;text&gt;Linked&lt;/text&gt;_x000d__x000a_  &lt;/metadata&gt;_x000d__x000a_  &lt;metadata key=&quot;md_eAgendaLinkStatus&quot; /&gt;_x000d__x000a_  &lt;metadata key=&quot;md_Caveat&quot;&gt;_x000d__x000a_    &lt;text&gt;&lt;/text&gt;_x000d__x000a_  &lt;/metadata&gt;_x000d__x000a_  &lt;metadata key=&quot;md_TechnicalKey&quot; /&gt;_x000d__x000a_&lt;/metadataset&gt;"/>
    <w:docVar w:name="DocuWriteMetaDataSource1" w:val="&lt;metadataset docuwriteversion=&quot;4.8.2&quot; technicalblockguid=&quot;4759591765606516958&quot;&gt;_x000d__x000a_  &lt;metadata key=&quot;md_DocumentLanguages&quot;&gt;_x000d__x000a_    &lt;basicdatatypelist&gt;_x000d__x000a_      &lt;language key=&quot;EN&quot; text=&quot;EN&quot; /&gt;_x000d__x000a_    &lt;/basicdatatypelist&gt;_x000d__x000a_  &lt;/metadata&gt;_x000d__x000a_  &lt;metadata key=&quot;md_OriginalLanguages&quot;&gt;_x000d__x000a_    &lt;basicdatatypelist&gt;_x000d__x000a_      &lt;language key=&quot;EN&quot; text=&quot;EN&quot; /&gt;_x000d__x000a_    &lt;/basicdatatypelist&gt;_x000d__x000a_  &lt;/metadata&gt;_x000d__x000a_  &lt;metadata key=&quot;md_UniqueHeading&quot;&gt;_x000d__x000a_    &lt;basicdatatype&gt;_x000d__x000a_      &lt;heading key=&quot;uh_64&quot; text=&quot;COVER NOTE&quot; /&gt;_x000d__x000a_    &lt;/basicdatatype&gt;_x000d__x000a_  &lt;/metadata&gt;_x000d__x000a_  &lt;metadata key=&quot;md_HeadingText&quot;&gt;_x000d__x000a_    &lt;headingtext text=&quot;COVER NOTE&quot;&gt;_x000d__x000a_      &lt;formattedtext&gt;_x000d__x000a_        &lt;xaml text=&quot;COVER NOTE&quot;&gt;&amp;lt;FlowDocument xmlns=&quot;http://schemas.microsoft.com/winfx/2006/xaml/presentation&quot;&amp;gt;&amp;lt;Paragraph&amp;gt;COVER NOTE&amp;lt;/Paragraph&amp;gt;&amp;lt;/FlowDocument&amp;gt;&lt;/xaml&gt;_x000d__x000a_      &lt;/formattedtext&gt;_x000d__x000a_    &lt;/headingtext&gt;_x000d__x000a_  &lt;/metadata&gt;_x000d__x000a_  &lt;metadata key=&quot;md_CustomFootnote&quot; /&gt;_x000d__x000a_  &lt;metadata key=&quot;md_DocumentGroup&quot;&gt;_x000d__x000a_    &lt;basicdatatype&gt;_x000d__x000a_      &lt;document_group key=&quot;dg_12&quot; text=&quot;Cover Page&quot; /&gt;_x000d__x000a_    &lt;/basicdatatype&gt;_x000d__x000a_  &lt;/metadata&gt;_x000d__x000a_  &lt;metadata key=&quot;md_DocumentType&quot;&gt;_x000d__x000a_    &lt;basicdatatype&gt;_x000d__x000a_      &lt;doc_type key=&quot;dt_ST&quot; text=&quot;ST&quot; /&gt;_x000d__x000a_    &lt;/basicdatatype&gt;_x000d__x000a_  &lt;/metadata&gt;_x000d__x000a_  &lt;metadata key=&quot;md_InstitutionalFramework&quot;&gt;_x000d__x000a_    &lt;basicdatatype&gt;_x000d__x000a_      &lt;framework key=&quot;if_01&quot; text=&quot;Council of the European Union&quot; institution=&quot;instfr_institution&quot; acronym=&quot;instfr_acronym&quot; /&gt;_x000d__x000a_    &lt;/basicdatatype&gt;_x000d__x000a_  &lt;/metadata&gt;_x000d__x000a_  &lt;metadata key=&quot;md_DraftNote&quot; /&gt;_x000d__x000a_  &lt;metadata key=&quot;md_DGName&quot;&gt;_x000d__x000a_    &lt;basicdatatype&gt;_x000d__x000a_      &lt;dgname key=&quot;&quot; /&gt;_x000d__x000a_    &lt;/basicdatatype&gt;_x000d__x000a_  &lt;/metadata&gt;_x000d__x000a_  &lt;metadata key=&quot;md_ContributingService&quot;&gt;_x000d__x000a_    &lt;text&gt;&lt;/text&gt;_x000d__x000a_  &lt;/metadata&gt;_x000d__x000a_  &lt;metadata key=&quot;md_DocumentLocation&quot;&gt;_x000d__x000a_    &lt;basicdatatype&gt;_x000d__x000a_      &lt;location key=&quot;loc_01&quot; text=&quot;Brussels&quot; /&gt;_x000d__x000a_    &lt;/basicdatatype&gt;_x000d__x000a_  &lt;/metadata&gt;_x000d__x000a_  &lt;metadata key=&quot;md_DocumentDate&quot;&gt;_x000d__x000a_    &lt;text&gt;2023-10-02&lt;/text&gt;_x000d__x000a_  &lt;/metadata&gt;_x000d__x000a_  &lt;metadata key=&quot;md_Prefix&quot;&gt;_x000d__x000a_    &lt;text&gt;&lt;/text&gt;_x000d__x000a_  &lt;/metadata&gt;_x000d__x000a_  &lt;metadata key=&quot;md_DocumentNumber&quot;&gt;_x000d__x000a_    &lt;text&gt;13692&lt;/text&gt;_x000d__x000a_  &lt;/metadata&gt;_x000d__x000a_  &lt;metadata key=&quot;md_YearDocumentNumber&quot;&gt;_x000d__x000a_    &lt;text&gt;2023&lt;/text&gt;_x000d__x000a_  &lt;/metadata&gt;_x000d__x000a_  &lt;metadata key=&quot;md_Suffixes&quot;&gt;_x000d__x000a_    &lt;text&gt;ADD 1&lt;/text&gt;_x000d__x000a_  &lt;/metadata&gt;_x000d__x000a_  &lt;metadata key=&quot;md_SuffixLanguagesInvolved&quot;&gt;_x000d__x000a_    &lt;text&gt;&lt;/text&gt;_x000d__x000a_  &lt;/metadata&gt;_x000d__x000a_  &lt;metadata key=&quot;md_FirstRevNumber&quot;&gt;_x000d__x000a_    &lt;text&gt;&lt;/text&gt;_x000d__x000a_  &lt;/metadata&gt;_x000d__x000a_  &lt;metadata key=&quot;md_Distribution&quot;&gt;_x000d__x000a_    &lt;basicdatatype&gt;_x000d__x000a_      &lt;distribution key=&quot;dis_01&quot; text=&quot;PUBLIC&quot; /&gt;_x000d__x000a_    &lt;/basicdatatype&gt;_x000d__x000a_  &lt;/metadata&gt;_x000d__x000a_  &lt;metadata key=&quot;md_SubjectCodes&quot;&gt;_x000d__x000a_    &lt;textlist&gt;_x000d__x000a_      &lt;text&gt;ECOFIN 960&lt;/text&gt;_x000d__x000a_      &lt;text&gt;FIN 1003&lt;/text&gt;_x000d__x000a_      &lt;text&gt;UEM 267&lt;/text&gt;_x000d__x000a_    &lt;/textlist&gt;_x000d__x000a_  &lt;/metadata&gt;_x000d__x000a_  &lt;metadata key=&quot;md_Contact&quot; /&gt;_x000d__x000a_  &lt;metadata key=&quot;md_ContactPhoneFax&quot; /&gt;_x000d__x000a_  &lt;metadata key=&quot;md_MeetingVenue&quot; /&gt;_x000d__x000a_  &lt;metadata key=&quot;md_ProvisionalVersion&quot;&gt;_x000d__x000a_    &lt;text&gt;&lt;/text&gt;_x000d__x000a_  &lt;/metadata&gt;_x000d__x000a_  &lt;metadata key=&quot;md_PresidentInformation&quot; /&gt;_x000d__x000a_  &lt;metadata key=&quot;md_MeetingNumber&quot; /&gt;_x000d__x000a_  &lt;metadata key=&quot;md_CouncilConfiguration&quot; /&gt;_x000d__x000a_  &lt;metadata key=&quot;md_CouncilIssue&quot; /&gt;_x000d__x000a_  &lt;metadata key=&quot;md_PhoneNumber&quot; /&gt;_x000d__x000a_  &lt;metadata key=&quot;md_TypeOfHeading&quot;&gt;_x000d__x000a_    &lt;basicdatatype&gt;_x000d__x000a_      &lt;typeofheading key=&quot;typeofhead_06&quot; text=&quot;Other&quot; /&gt;_x000d__x000a_    &lt;/basicdatatype&gt;_x000d__x000a_  &lt;/metadata&gt;_x000d__x000a_  &lt;metadata key=&quot;md_ReplyName&quot; /&gt;_x000d__x000a_  &lt;metadata key=&quot;md_EPQuestionsData&quot; /&gt;_x000d__x000a_  &lt;metadata key=&quot;md_Deadline&quot; /&gt;_x000d__x000a_  &lt;metadata key=&quot;md_InterinstitutionalFiles&quot;&gt;_x000d__x000a_    &lt;textlist&gt;_x000d__x000a_      &lt;text&gt;2023/0349(NLE)&lt;/text&gt;_x000d__x000a_    &lt;/textlist&gt;_x000d__x000a_  &lt;/metadata&gt;_x000d__x000a_  &lt;metadata key=&quot;md_AdditionalReferences&quot;&gt;_x000d__x000a_    &lt;textlist /&gt;_x000d__x000a_  &lt;/metadata&gt;_x000d__x000a_  &lt;metadata key=&quot;md_LEXNumber&quot;&gt;_x000d__x000a_    &lt;text&gt;&lt;/text&gt;_x000d__x000a_  &lt;/metadata&gt;_x000d__x000a_  &lt;metadata key=&quot;md_SousEmbargo&quot;&gt;_x000d__x000a_    &lt;text&gt;&lt;/text&gt;_x000d__x000a_  &lt;/metadata&gt;_x000d__x000a_  &lt;metadata key=&quot;md_DraftVersion&quot;&gt;_x000d__x000a_    &lt;text&gt;&lt;/text&gt;_x000d__x000a_  &lt;/metadata&gt;_x000d__x000a_  &lt;metadata key=&quot;md_Originator&quot;&gt;_x000d__x000a_    &lt;basicdatatype&gt;_x000d__x000a_      &lt;originator key=&quot;or_33&quot; text=&quot;Secretary-General of the European Commission, signed by Ms Martine DEPREZ, Director&quot; /&gt;_x000d__x000a_    &lt;/basicdatatype&gt;_x000d__x000a_  &lt;/metadata&gt;_x000d__x000a_  &lt;metadata key=&quot;md_Recipient&quot;&gt;_x000d__x000a_    &lt;basicdatatype&gt;_x000d__x000a_      &lt;recipient key=&quot;re_47&quot; text=&quot;Ms Thérèse BLANCHET, Secretary-General of the Council of the European Union&quot; /&gt;_x000d__x000a_    &lt;/basicdatatype&gt;_x000d__x000a_  &lt;/metadata&gt;_x000d__x000a_  &lt;metadata key=&quot;md_DateOfReceipt&quot;&gt;_x000d__x000a_    &lt;text&gt;2023-10-02&lt;/text&gt;_x000d__x000a_  &lt;/metadata&gt;_x000d__x000a_  &lt;metadata key=&quot;md_FreeDate&quot;&gt;_x000d__x000a_    &lt;textlist /&gt;_x000d__x000a_  &lt;/metadata&gt;_x000d__x000a_  &lt;metadata key=&quot;md_PrecedingDocuments&quot;&gt;_x000d__x000a_    &lt;textlist /&gt;_x000d__x000a_  &lt;/metadata&gt;_x000d__x000a_  &lt;metadata key=&quot;md_CommissionDocuments&quot;&gt;_x000d__x000a_    &lt;textlist&gt;_x000d__x000a_      &lt;text&gt;COM(2023) 576 final&lt;/text&gt;_x000d__x000a_    &lt;/textlist&gt;_x000d__x000a_  &lt;/metadata&gt;_x000d__x000a_  &lt;metadata key=&quot;md_DocForDWNDCL&quot; /&gt;_x000d__x000a_  &lt;metadata key=&quot;md_Distribution_NewClassification&quot; /&gt;_x000d__x000a_  &lt;metadata key=&quot;md_DWNDCLAuthorization&quot; /&gt;_x000d__x000a_  &lt;metadata key=&quot;md_DateOfAuthorization&quot; /&gt;_x000d__x000a_  &lt;metadata key=&quot;md_MeetingLocation&quot; /&gt;_x000d__x000a_  &lt;metadata key=&quot;md_MeetingDate&quot; /&gt;_x000d__x000a_  &lt;metadata key=&quot;md_DateFormatOr&quot;&gt;_x000d__x000a_    &lt;text&gt;&lt;/text&gt;_x000d__x000a_  &lt;/metadata&gt;_x000d__x000a_  &lt;metadata key=&quot;md_MeetingInformation&quot; /&gt;_x000d__x000a_  &lt;metadata key=&quot;md_Item&quot; /&gt;_x000d__x000a_  &lt;metadata key=&quot;md_SubjectPrefix&quot;&gt;_x000d__x000a_    &lt;text&gt;&lt;/text&gt;_x000d__x000a_  &lt;/metadata&gt;_x000d__x000a_  &lt;metadata key=&quot;md_Subject&quot;&gt;_x000d__x000a_    &lt;xaml text=&quot;ANNEX to the Proposal for a COUNCIL IMPLEMENTING DECISION amending Implementing Decision (EU) (ST 10150 2021; ST 10150 2021 ADD 1 REV 1) of 13 July 2021 on the approval of the assessment of the recovery and resilience plan for Spain&quot;&gt;&amp;lt;FlowDocument FontFamily=&quot;Segoe UI&quot; FontSize=&quot;12&quot; PagePadding=&quot;5,0,5,0&quot; AllowDrop=&quot;False&quot; xmlns=&quot;http://schemas.microsoft.com/winfx/2006/xaml/presentation&quot;&amp;gt;&amp;lt;Paragraph&amp;gt;ANNEX to the Proposal for a COUNCIL IMPLEMENTING DECISION amending Implementing Decision (EU) (ST 10150 2021; ST 10150 2021 ADD 1 REV 1) of 13 July 2021 on the approval of the assessment of the recovery and resilience plan for Spain&amp;lt;/Paragraph&amp;gt;&amp;lt;/FlowDocument&amp;gt;&lt;/xaml&gt;_x000d__x000a_  &lt;/metadata&gt;_x000d__x000a_  &lt;metadata key=&quot;md_SubjectFootnote&quot; /&gt;_x000d__x000a_  &lt;metadata key=&quot;md_DG&quot;&gt;_x000d__x000a_    &lt;text&gt;ECOFIN 1A&lt;/text&gt;_x000d__x000a_  &lt;/metadata&gt;_x000d__x000a_  &lt;metadata key=&quot;md_Initials&quot;&gt;_x000d__x000a_    &lt;text&gt;JGR/sr&lt;/text&gt;_x000d__x000a_  &lt;/metadata&gt;_x000d__x000a_  &lt;metadata key=&quot;md_SensitivityLabel&quot;&gt;_x000d__x000a_    &lt;basicdatatype&gt;_x000d__x000a_      &lt;sensitivity_label key=&quot;senslabel_02&quot; text=&quot;NON-PUBLIC&quot; labelid=&quot;b1df41d6-74a9-4a97-809c-213cd32520cc&quot; siteid=&quot;03ad1c97-0a4d-4e82-8f93-27291a6a0767&quot; isdefault=&quot;true&quot; /&gt;_x000d__x000a_    &lt;/basicdatatype&gt;_x000d__x000a_  &lt;/metadata&gt;_x000d__x000a_  &lt;metadata key=&quot;md_RectifProcedureType&quot;&gt;_x000d__x000a_    &lt;basicdatatype&gt;_x000d__x000a_      &lt;rectifprocedure key=&quot;&quot; /&gt;_x000d__x000a_    &lt;/basicdatatype&gt;_x000d__x000a_  &lt;/metadata&gt;_x000d__x000a_  &lt;metadata key=&quot;md_RectifLanguagesBase&quot; /&gt;_x000d__x000a_  &lt;metadata key=&quot;md_RectifLanguagesConcerned&quot; /&gt;_x000d__x000a_  &lt;metadata key=&quot;md_RectifIsLangSpec&quot; /&gt;_x000d__x000a_  &lt;metadata key=&quot;md_RectifLangSpecValue&quot; /&gt;_x000d__x000a_  &lt;metadata key=&quot;md_RectifNumberOfMistakes&quot; /&gt;_x000d__x000a_  &lt;metadata key=&quot;md_RectifHasRemarks&quot; /&gt;_x000d__x000a_  &lt;metadata key=&quot;md_RectifUseDocRef&quot; /&gt;_x000d__x000a_  &lt;metadata key=&quot;md_RectifDocRefNumber&quot; /&gt;_x000d__x000a_  &lt;metadata key=&quot;md_RectifDocRefDate&quot; /&gt;_x000d__x000a_  &lt;metadata key=&quot;md_RectifUseOJRef&quot; /&gt;_x000d__x000a_  &lt;metadata key=&quot;md_RectifOJRefType&quot; /&gt;_x000d__x000a_  &lt;metadata key=&quot;md_RectifOJLRefNumber&quot; /&gt;_x000d__x000a_  &lt;metadata key=&quot;md_RectifOJCRefNumber&quot; /&gt;_x000d__x000a_  &lt;metadata key=&quot;md_RectifOJLRefDate&quot; /&gt;_x000d__x000a_  &lt;metadata key=&quot;md_RectifOJCRefDate&quot; /&gt;_x000d__x000a_  &lt;metadata key=&quot;md_RectifOJLRefPage&quot; /&gt;_x000d__x000a_  &lt;metadata key=&quot;md_RectifOJCRefPage&quot; /&gt;_x000d__x000a_  &lt;metadata key=&quot;md_RectifUseOJCorRef&quot; /&gt;_x000d__x000a_  &lt;metadata key=&quot;md_RectifOJCorRefNumber&quot; /&gt;_x000d__x000a_  &lt;metadata key=&quot;md_RectifOJCorRefDate&quot; /&gt;_x000d__x000a_  &lt;metadata key=&quot;md_RectifOJCorRefPage&quot; /&gt;_x000d__x000a_  &lt;metadata key=&quot;md_RectifTimeLimit&quot; /&gt;_x000d__x000a_  &lt;metadata key=&quot;md_RectifCodecision&quot; /&gt;_x000d__x000a_  &lt;metadata key=&quot;md_RectifCorrectionNewLang&quot; /&gt;_x000d__x000a_  &lt;metadata key=&quot;md_RectifAgreement&quot; /&gt;_x000d__x000a_  &lt;metadata key=&quot;md_RectifSignature&quot; /&gt;_x000d__x000a_  &lt;metadata key=&quot;md_RectifLastMergeDate&quot; /&gt;_x000d__x000a_  &lt;metadata key=&quot;md_Rectif_Source1_UniqueHeading&quot;&gt;_x000d__x000a_    &lt;basicdatatype&gt;_x000d__x000a_      &lt;text&gt;&lt;/text&gt;_x000d__x000a_    &lt;/basicdatatype&gt;_x000d__x000a_  &lt;/metadata&gt;_x000d__x000a_  &lt;metadata key=&quot;md_Rectif_Source1_DocumentType&quot;&gt;_x000d__x000a_    &lt;basicdatatype&gt;_x000d__x000a_      &lt;doc_type key=&quot;&quot; /&gt;_x000d__x000a_    &lt;/basicdatatype&gt;_x000d__x000a_  &lt;/metadata&gt;_x000d__x000a_  &lt;metadata key=&quot;md_Rectif_Source1_DocumentNumber&quot;&gt;_x000d__x000a_    &lt;text&gt;&lt;/text&gt;_x000d__x000a_  &lt;/metadata&gt;_x000d__x000a_  &lt;metadata key=&quot;md_Rectif_Source1_YearDocumentNumber&quot;&gt;_x000d__x000a_    &lt;text&gt;2023&lt;/text&gt;_x000d__x000a_  &lt;/metadata&gt;_x000d__x000a_  &lt;metadata key=&quot;md_Rectif_Source1_Suffixes&quot;&gt;_x000d__x000a_    &lt;text&gt;&lt;/text&gt;_x000d__x000a_  &lt;/metadata&gt;_x000d__x000a_  &lt;metadata key=&quot;md_Rectif_Source2_UniqueHeading&quot;&gt;_x000d__x000a_    &lt;basicdatatype&gt;_x000d__x000a_      &lt;text&gt;&lt;/text&gt;_x000d__x000a_    &lt;/basicdatatype&gt;_x000d__x000a_  &lt;/metadata&gt;_x000d__x000a_  &lt;metadata key=&quot;md_Rectif_Source2_DocumentType&quot;&gt;_x000d__x000a_    &lt;basicdatatype&gt;_x000d__x000a_      &lt;doc_type key=&quot;&quot; /&gt;_x000d__x000a_    &lt;/basicdatatype&gt;_x000d__x000a_  &lt;/metadata&gt;_x000d__x000a_  &lt;metadata key=&quot;md_Rectif_Source2_DocumentNumber&quot;&gt;_x000d__x000a_    &lt;text&gt;&lt;/text&gt;_x000d__x000a_  &lt;/metadata&gt;_x000d__x000a_  &lt;metadata key=&quot;md_Rectif_Source2_YearDocumentNumber&quot;&gt;_x000d__x000a_    &lt;text&gt;2023&lt;/text&gt;_x000d__x000a_  &lt;/metadata&gt;_x000d__x000a_  &lt;metadata key=&quot;md_Rectif_Source2_Suffixes&quot;&gt;_x000d__x000a_    &lt;text&gt;&lt;/text&gt;_x000d__x000a_  &lt;/metadata&gt;_x000d__x000a_  &lt;metadata key=&quot;md_CoverPageDocWithCouncilFooter&quot;&gt;_x000d__x000a_    &lt;text&gt;false&lt;/text&gt;_x000d__x000a_  &lt;/metadata&gt;_x000d__x000a_  &lt;metadata key=&quot;md_SourceDocLanguage&quot;&gt;_x000d__x000a_    &lt;text&gt;DE&lt;/text&gt;_x000d__x000a_  &lt;/metadata&gt;_x000d__x000a_  &lt;metadata key=&quot;md_SourceDocType&quot;&gt;_x000d__x000a_    &lt;text&gt;ANNEX_x000d__x000a_&lt;/text&gt;_x000d__x000a_  &lt;/metadata&gt;_x000d__x000a_  &lt;metadata key=&quot;md_SourceDocTitle&quot;&gt;_x000d__x000a_    &lt;text&gt;to the _x000d__x000a_Proposal for a COUNCIL IMPLEMENTING DECISION _x000d__x000a_amending Implementing Decision (EU) (ST 10150 2021; ST 10150 2021 ADD 1 REV 1) of 13 July 2021 on the approval of the assessment of the recovery and resilience plan for Spain&lt;/text&gt;_x000d__x000a_  &lt;/metadata&gt;_x000d__x000a_  &lt;metadata key=&quot;md_SourceDocIsCECDoc&quot;&gt;_x000d__x000a_    &lt;text&gt;true&lt;/text&gt;_x000d__x000a_  &lt;/metadata&gt;_x000d__x000a_  &lt;metadata key=&quot;md_NB1&quot; /&gt;_x000d__x000a_  &lt;metadata key=&quot;md_NB2&quot; /&gt;_x000d__x000a_  &lt;metadata key=&quot;md_NB3&quot; /&gt;_x000d__x000a_  &lt;metadata key=&quot;md_NB4&quot; /&gt;_x000d__x000a_  &lt;metadata key=&quot;md_NB5&quot; /&gt;_x000d__x000a_  &lt;metadata key=&quot;md_CustomNB&quot; /&gt;_x000d__x000a_  &lt;metadata key=&quot;md_Meetings&quot;&gt;_x000d__x000a_    &lt;meetings /&gt;_x000d__x000a_  &lt;/metadata&gt;_x000d__x000a_  &lt;metadata key=&quot;md_VisualRepresentation&quot;&gt;_x000d__x000a_    &lt;basicdatatype&gt;_x000d__x000a_      &lt;originator key=&quot;visrep_02&quot; /&gt;_x000d__x000a_    &lt;/basicdatatype&gt;_x000d__x000a_  &lt;/metadata&gt;_x000d__x000a_  &lt;metadata key=&quot;md_LetterData&quot; /&gt;_x000d__x000a_  &lt;metadata key=&quot;md_InstFrSubWordmark&quot;&gt;_x000d__x000a_    &lt;xaml text=&quot;&quot;&gt;&amp;lt;FlowDocument FontFamily=&quot;Segoe UI&quot; FontSize=&quot;12&quot; PagePadding=&quot;2,2,2,2&quot; AllowDrop=&quot;False&quot; xmlns=&quot;http://schemas.microsoft.com/winfx/2006/xaml/presentation&quot; /&amp;gt;&lt;/xaml&gt;_x000d__x000a_  &lt;/metadata&gt;_x000d__x000a_  &lt;metadata key=&quot;md_WorkflowLinkStatus&quot;&gt;_x000d__x000a_    &lt;text&gt;Linked&lt;/text&gt;_x000d__x000a_  &lt;/metadata&gt;_x000d__x000a_  &lt;metadata key=&quot;md_eAgendaLinkStatus&quot; /&gt;_x000d__x000a_  &lt;metadata key=&quot;md_Caveat&quot;&gt;_x000d__x000a_    &lt;text&gt;&lt;/text&gt;_x000d__x000a_  &lt;/metadata&gt;_x000d__x000a_  &lt;metadata key=&quot;md_TechnicalKey&quot; /&gt;_x000d__x000a_&lt;/metadataset&gt;"/>
    <w:docVar w:name="LW_ACCOMPAGNANT.CP" w:val="a következ\u337?höz:"/>
    <w:docVar w:name="LW_ANNEX_NBR_FIRST" w:val="1"/>
    <w:docVar w:name="LW_ANNEX_NBR_LAST" w:val="1"/>
    <w:docVar w:name="LW_ANNEX_UNIQUE" w:val="1"/>
    <w:docVar w:name="LW_CORRIGENDUM" w:val="&lt;UNUSED&gt;"/>
    <w:docVar w:name="LW_COVERPAGE_EXISTS" w:val="True"/>
    <w:docVar w:name="LW_COVERPAGE_GUID" w:val="DE344103-9E23-4ECB-94C7-5D8DD79E1E8C"/>
    <w:docVar w:name="LW_COVERPAGE_TYPE" w:val="1"/>
    <w:docVar w:name="LW_CROSSREFERENCE" w:val="&lt;UNUSED&gt;"/>
    <w:docVar w:name="LW_DocType" w:val="NORMAL"/>
    <w:docVar w:name="LW_EMISSION" w:val="2024.4.22."/>
    <w:docVar w:name="LW_EMISSION_ISODATE" w:val="2024-04-22"/>
    <w:docVar w:name="LW_EMISSION_LOCATION" w:val="BRX"/>
    <w:docVar w:name="LW_EMISSION_PREFIX" w:val="Brüsszel, "/>
    <w:docVar w:name="LW_EMISSION_SUFFIX" w:val=" "/>
    <w:docVar w:name="LW_ID_DOCTYPE_NONLW" w:val="CP-036"/>
    <w:docVar w:name="LW_LANGUE" w:val="HU"/>
    <w:docVar w:name="LW_LEVEL_OF_SENSITIVITY" w:val="Standard treatment"/>
    <w:docVar w:name="LW_NOM.INST" w:val="EURÓPAI BIZOTTSÁG"/>
    <w:docVar w:name="LW_NOM.INST_JOINTDOC" w:val="&lt;EMPTY&gt;"/>
    <w:docVar w:name="LW_OBJETACTEPRINCIPAL.CP" w:val="a Spanyolország helyreállítási és rezilienciaépítési terve értékelésének jóváhagyásáról szóló, 2021. július 13-i (EU) (ST 10150/21; ST 10150/21 ADD 1 REV 1) végrehajtási határozat módosításáról"/>
    <w:docVar w:name="LW_PART_NBR" w:val="1"/>
    <w:docVar w:name="LW_PART_NBR_TOTAL" w:val="1"/>
    <w:docVar w:name="LW_REF.INST.NEW" w:val="COM"/>
    <w:docVar w:name="LW_REF.INST.NEW_ADOPTED" w:val="final"/>
    <w:docVar w:name="LW_REF.INST.NEW_TEXT" w:val="(2024) 18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YPE.DOC.CP" w:val="MELLÉKLET_x000b_"/>
    <w:docVar w:name="LW_TYPEACTEPRINCIPAL.CP" w:val="Javaslat_x000b_A TANÁCS VÉGREHAJTÁSI HATÁROZATA"/>
    <w:docVar w:name="LwApiVersions" w:val="LW4CoDe 1.24.5.0; LW 9.0, Build 20240221"/>
  </w:docVars>
  <w:rsids>
    <w:rsidRoot w:val="00D554E1"/>
    <w:rsid w:val="000005D9"/>
    <w:rsid w:val="0000094D"/>
    <w:rsid w:val="00000EA9"/>
    <w:rsid w:val="00001001"/>
    <w:rsid w:val="00001233"/>
    <w:rsid w:val="000018A3"/>
    <w:rsid w:val="00001F33"/>
    <w:rsid w:val="000020D7"/>
    <w:rsid w:val="00002316"/>
    <w:rsid w:val="00002684"/>
    <w:rsid w:val="00002D2C"/>
    <w:rsid w:val="00002E9D"/>
    <w:rsid w:val="00003785"/>
    <w:rsid w:val="00003AD6"/>
    <w:rsid w:val="00003D5A"/>
    <w:rsid w:val="000040F4"/>
    <w:rsid w:val="00004337"/>
    <w:rsid w:val="0000436A"/>
    <w:rsid w:val="000048BC"/>
    <w:rsid w:val="00004B0D"/>
    <w:rsid w:val="00004FDD"/>
    <w:rsid w:val="00004FE8"/>
    <w:rsid w:val="000054DB"/>
    <w:rsid w:val="00005831"/>
    <w:rsid w:val="000058E5"/>
    <w:rsid w:val="00006DA6"/>
    <w:rsid w:val="00007054"/>
    <w:rsid w:val="00007132"/>
    <w:rsid w:val="00007198"/>
    <w:rsid w:val="00007556"/>
    <w:rsid w:val="00007D12"/>
    <w:rsid w:val="00007D85"/>
    <w:rsid w:val="00007EF8"/>
    <w:rsid w:val="00007F0E"/>
    <w:rsid w:val="00010037"/>
    <w:rsid w:val="00010BD8"/>
    <w:rsid w:val="00010CD1"/>
    <w:rsid w:val="00010FCF"/>
    <w:rsid w:val="0001105A"/>
    <w:rsid w:val="00011B30"/>
    <w:rsid w:val="00011EA2"/>
    <w:rsid w:val="000120A0"/>
    <w:rsid w:val="00012132"/>
    <w:rsid w:val="000121C3"/>
    <w:rsid w:val="00012577"/>
    <w:rsid w:val="00012998"/>
    <w:rsid w:val="000132B4"/>
    <w:rsid w:val="000135BD"/>
    <w:rsid w:val="00013B03"/>
    <w:rsid w:val="00013C17"/>
    <w:rsid w:val="00013DB9"/>
    <w:rsid w:val="00014022"/>
    <w:rsid w:val="00014061"/>
    <w:rsid w:val="00014122"/>
    <w:rsid w:val="000145AC"/>
    <w:rsid w:val="00014776"/>
    <w:rsid w:val="00014C37"/>
    <w:rsid w:val="00015170"/>
    <w:rsid w:val="000152FF"/>
    <w:rsid w:val="00015325"/>
    <w:rsid w:val="00015346"/>
    <w:rsid w:val="000156DA"/>
    <w:rsid w:val="00016723"/>
    <w:rsid w:val="00016894"/>
    <w:rsid w:val="00016C54"/>
    <w:rsid w:val="00016E62"/>
    <w:rsid w:val="00016EBE"/>
    <w:rsid w:val="000171B9"/>
    <w:rsid w:val="000173C5"/>
    <w:rsid w:val="00017932"/>
    <w:rsid w:val="00017A67"/>
    <w:rsid w:val="00017CAC"/>
    <w:rsid w:val="00017D16"/>
    <w:rsid w:val="00017F1A"/>
    <w:rsid w:val="000203FF"/>
    <w:rsid w:val="00020A13"/>
    <w:rsid w:val="00020F4E"/>
    <w:rsid w:val="0002238D"/>
    <w:rsid w:val="0002251F"/>
    <w:rsid w:val="00022597"/>
    <w:rsid w:val="00022898"/>
    <w:rsid w:val="00023051"/>
    <w:rsid w:val="00023179"/>
    <w:rsid w:val="00023246"/>
    <w:rsid w:val="0002362B"/>
    <w:rsid w:val="00023CE0"/>
    <w:rsid w:val="00023DBD"/>
    <w:rsid w:val="00023EB3"/>
    <w:rsid w:val="00023F18"/>
    <w:rsid w:val="00023F78"/>
    <w:rsid w:val="00023F8C"/>
    <w:rsid w:val="00024246"/>
    <w:rsid w:val="000246B3"/>
    <w:rsid w:val="00024717"/>
    <w:rsid w:val="00024847"/>
    <w:rsid w:val="00024F59"/>
    <w:rsid w:val="00024F78"/>
    <w:rsid w:val="000258C1"/>
    <w:rsid w:val="00026187"/>
    <w:rsid w:val="00026300"/>
    <w:rsid w:val="00026F22"/>
    <w:rsid w:val="00026F3E"/>
    <w:rsid w:val="0002714E"/>
    <w:rsid w:val="000271F9"/>
    <w:rsid w:val="000274E0"/>
    <w:rsid w:val="00027DE0"/>
    <w:rsid w:val="00027FC5"/>
    <w:rsid w:val="0003056F"/>
    <w:rsid w:val="000308F6"/>
    <w:rsid w:val="00030968"/>
    <w:rsid w:val="00030B21"/>
    <w:rsid w:val="00030BDF"/>
    <w:rsid w:val="0003174D"/>
    <w:rsid w:val="00031C74"/>
    <w:rsid w:val="0003270A"/>
    <w:rsid w:val="00032C73"/>
    <w:rsid w:val="00033473"/>
    <w:rsid w:val="0003380A"/>
    <w:rsid w:val="000339AD"/>
    <w:rsid w:val="00033BF8"/>
    <w:rsid w:val="00034133"/>
    <w:rsid w:val="00034167"/>
    <w:rsid w:val="000343EE"/>
    <w:rsid w:val="00034497"/>
    <w:rsid w:val="00034798"/>
    <w:rsid w:val="00034C9D"/>
    <w:rsid w:val="00034CEF"/>
    <w:rsid w:val="00035270"/>
    <w:rsid w:val="000355E4"/>
    <w:rsid w:val="00035607"/>
    <w:rsid w:val="00035A6F"/>
    <w:rsid w:val="00035D5B"/>
    <w:rsid w:val="00035FA1"/>
    <w:rsid w:val="00036FD8"/>
    <w:rsid w:val="0003728E"/>
    <w:rsid w:val="00037B55"/>
    <w:rsid w:val="000401EE"/>
    <w:rsid w:val="0004098A"/>
    <w:rsid w:val="00040BB5"/>
    <w:rsid w:val="00040C53"/>
    <w:rsid w:val="00040D91"/>
    <w:rsid w:val="000410C1"/>
    <w:rsid w:val="00041223"/>
    <w:rsid w:val="000417AE"/>
    <w:rsid w:val="00041856"/>
    <w:rsid w:val="00041CD4"/>
    <w:rsid w:val="00042384"/>
    <w:rsid w:val="00042696"/>
    <w:rsid w:val="000426F9"/>
    <w:rsid w:val="00042A04"/>
    <w:rsid w:val="00042C39"/>
    <w:rsid w:val="000432AA"/>
    <w:rsid w:val="00043852"/>
    <w:rsid w:val="000438E4"/>
    <w:rsid w:val="00043CF0"/>
    <w:rsid w:val="0004406D"/>
    <w:rsid w:val="000443EC"/>
    <w:rsid w:val="00044C0D"/>
    <w:rsid w:val="00044D7B"/>
    <w:rsid w:val="00044FC2"/>
    <w:rsid w:val="00045B59"/>
    <w:rsid w:val="00045BBB"/>
    <w:rsid w:val="000460B9"/>
    <w:rsid w:val="000465B7"/>
    <w:rsid w:val="000469DD"/>
    <w:rsid w:val="00046AA2"/>
    <w:rsid w:val="00046B9D"/>
    <w:rsid w:val="000471B4"/>
    <w:rsid w:val="000471D1"/>
    <w:rsid w:val="000476AA"/>
    <w:rsid w:val="000476E7"/>
    <w:rsid w:val="00047B28"/>
    <w:rsid w:val="000504C4"/>
    <w:rsid w:val="00050578"/>
    <w:rsid w:val="00051D89"/>
    <w:rsid w:val="00051FFE"/>
    <w:rsid w:val="0005263B"/>
    <w:rsid w:val="000533C7"/>
    <w:rsid w:val="00053406"/>
    <w:rsid w:val="0005346D"/>
    <w:rsid w:val="00053A18"/>
    <w:rsid w:val="00053C0E"/>
    <w:rsid w:val="00053D02"/>
    <w:rsid w:val="00054559"/>
    <w:rsid w:val="0005485B"/>
    <w:rsid w:val="0005489C"/>
    <w:rsid w:val="00054AF4"/>
    <w:rsid w:val="00054D32"/>
    <w:rsid w:val="00054F5E"/>
    <w:rsid w:val="000552B8"/>
    <w:rsid w:val="0005553B"/>
    <w:rsid w:val="0005573A"/>
    <w:rsid w:val="000559AB"/>
    <w:rsid w:val="000559E4"/>
    <w:rsid w:val="00055E42"/>
    <w:rsid w:val="00056095"/>
    <w:rsid w:val="000562D0"/>
    <w:rsid w:val="000566FE"/>
    <w:rsid w:val="00056813"/>
    <w:rsid w:val="00056CA7"/>
    <w:rsid w:val="00056D9F"/>
    <w:rsid w:val="00056E1F"/>
    <w:rsid w:val="00056FBE"/>
    <w:rsid w:val="000570DF"/>
    <w:rsid w:val="000571E4"/>
    <w:rsid w:val="00057EE3"/>
    <w:rsid w:val="00060052"/>
    <w:rsid w:val="000601ED"/>
    <w:rsid w:val="00060330"/>
    <w:rsid w:val="00060457"/>
    <w:rsid w:val="0006058B"/>
    <w:rsid w:val="0006163F"/>
    <w:rsid w:val="000620A6"/>
    <w:rsid w:val="000620DF"/>
    <w:rsid w:val="00062112"/>
    <w:rsid w:val="000623AE"/>
    <w:rsid w:val="000628C7"/>
    <w:rsid w:val="00062A52"/>
    <w:rsid w:val="00062CB8"/>
    <w:rsid w:val="00063025"/>
    <w:rsid w:val="00063250"/>
    <w:rsid w:val="0006362D"/>
    <w:rsid w:val="00063640"/>
    <w:rsid w:val="000636C2"/>
    <w:rsid w:val="00063925"/>
    <w:rsid w:val="000639FF"/>
    <w:rsid w:val="00063BED"/>
    <w:rsid w:val="000640B3"/>
    <w:rsid w:val="0006417C"/>
    <w:rsid w:val="00064C2E"/>
    <w:rsid w:val="00064E45"/>
    <w:rsid w:val="00064F0A"/>
    <w:rsid w:val="00064F8E"/>
    <w:rsid w:val="000653D6"/>
    <w:rsid w:val="00065A7C"/>
    <w:rsid w:val="00065CBE"/>
    <w:rsid w:val="000665F0"/>
    <w:rsid w:val="00066617"/>
    <w:rsid w:val="00066747"/>
    <w:rsid w:val="00066A44"/>
    <w:rsid w:val="00066C82"/>
    <w:rsid w:val="00066CCB"/>
    <w:rsid w:val="000672A1"/>
    <w:rsid w:val="00067666"/>
    <w:rsid w:val="000676AC"/>
    <w:rsid w:val="00067739"/>
    <w:rsid w:val="00067E33"/>
    <w:rsid w:val="000702AA"/>
    <w:rsid w:val="00070831"/>
    <w:rsid w:val="00070C20"/>
    <w:rsid w:val="00070F2E"/>
    <w:rsid w:val="000710F4"/>
    <w:rsid w:val="00071E41"/>
    <w:rsid w:val="00072125"/>
    <w:rsid w:val="000722B4"/>
    <w:rsid w:val="000722E4"/>
    <w:rsid w:val="00072522"/>
    <w:rsid w:val="000729AB"/>
    <w:rsid w:val="00072AC5"/>
    <w:rsid w:val="00072EE5"/>
    <w:rsid w:val="0007308C"/>
    <w:rsid w:val="00073E4F"/>
    <w:rsid w:val="0007410F"/>
    <w:rsid w:val="00074601"/>
    <w:rsid w:val="00074EBD"/>
    <w:rsid w:val="0007507E"/>
    <w:rsid w:val="00075898"/>
    <w:rsid w:val="00075B53"/>
    <w:rsid w:val="00075FA4"/>
    <w:rsid w:val="00076541"/>
    <w:rsid w:val="00076B4F"/>
    <w:rsid w:val="00076C9E"/>
    <w:rsid w:val="00077301"/>
    <w:rsid w:val="00077465"/>
    <w:rsid w:val="00077986"/>
    <w:rsid w:val="00077A18"/>
    <w:rsid w:val="00080044"/>
    <w:rsid w:val="00080431"/>
    <w:rsid w:val="0008138D"/>
    <w:rsid w:val="00081874"/>
    <w:rsid w:val="0008199D"/>
    <w:rsid w:val="000819FF"/>
    <w:rsid w:val="00082E42"/>
    <w:rsid w:val="00082EFC"/>
    <w:rsid w:val="000831E4"/>
    <w:rsid w:val="00083505"/>
    <w:rsid w:val="00083E04"/>
    <w:rsid w:val="00084383"/>
    <w:rsid w:val="00084B96"/>
    <w:rsid w:val="00085004"/>
    <w:rsid w:val="000851FB"/>
    <w:rsid w:val="0008562E"/>
    <w:rsid w:val="00085A1E"/>
    <w:rsid w:val="00085B17"/>
    <w:rsid w:val="00085B3C"/>
    <w:rsid w:val="00085E59"/>
    <w:rsid w:val="00085F66"/>
    <w:rsid w:val="0008624A"/>
    <w:rsid w:val="0008639B"/>
    <w:rsid w:val="00086442"/>
    <w:rsid w:val="00086B2E"/>
    <w:rsid w:val="00086B98"/>
    <w:rsid w:val="00087406"/>
    <w:rsid w:val="000874A5"/>
    <w:rsid w:val="00087C05"/>
    <w:rsid w:val="00087E17"/>
    <w:rsid w:val="00087E7A"/>
    <w:rsid w:val="00087F05"/>
    <w:rsid w:val="00087F3F"/>
    <w:rsid w:val="00090FC1"/>
    <w:rsid w:val="00091017"/>
    <w:rsid w:val="00091499"/>
    <w:rsid w:val="000918B8"/>
    <w:rsid w:val="00092324"/>
    <w:rsid w:val="00092806"/>
    <w:rsid w:val="000929B0"/>
    <w:rsid w:val="00092A2A"/>
    <w:rsid w:val="000934EC"/>
    <w:rsid w:val="0009375E"/>
    <w:rsid w:val="000938FF"/>
    <w:rsid w:val="00093C08"/>
    <w:rsid w:val="000940A1"/>
    <w:rsid w:val="000940B4"/>
    <w:rsid w:val="00094507"/>
    <w:rsid w:val="00094C90"/>
    <w:rsid w:val="00094F7E"/>
    <w:rsid w:val="00095092"/>
    <w:rsid w:val="000955C0"/>
    <w:rsid w:val="0009588B"/>
    <w:rsid w:val="00095897"/>
    <w:rsid w:val="00095DCA"/>
    <w:rsid w:val="000963D8"/>
    <w:rsid w:val="00096675"/>
    <w:rsid w:val="00097312"/>
    <w:rsid w:val="00097400"/>
    <w:rsid w:val="00097702"/>
    <w:rsid w:val="00097A4F"/>
    <w:rsid w:val="00097C3A"/>
    <w:rsid w:val="000A0175"/>
    <w:rsid w:val="000A050D"/>
    <w:rsid w:val="000A0566"/>
    <w:rsid w:val="000A0B9E"/>
    <w:rsid w:val="000A0DFD"/>
    <w:rsid w:val="000A1155"/>
    <w:rsid w:val="000A12EE"/>
    <w:rsid w:val="000A16C6"/>
    <w:rsid w:val="000A1A7C"/>
    <w:rsid w:val="000A1AF5"/>
    <w:rsid w:val="000A1B3B"/>
    <w:rsid w:val="000A1FF8"/>
    <w:rsid w:val="000A21E1"/>
    <w:rsid w:val="000A2437"/>
    <w:rsid w:val="000A263A"/>
    <w:rsid w:val="000A2A07"/>
    <w:rsid w:val="000A2F3D"/>
    <w:rsid w:val="000A359D"/>
    <w:rsid w:val="000A3681"/>
    <w:rsid w:val="000A36C9"/>
    <w:rsid w:val="000A36CF"/>
    <w:rsid w:val="000A3D07"/>
    <w:rsid w:val="000A4295"/>
    <w:rsid w:val="000A4B79"/>
    <w:rsid w:val="000A555D"/>
    <w:rsid w:val="000A5DBA"/>
    <w:rsid w:val="000A5E4E"/>
    <w:rsid w:val="000A632B"/>
    <w:rsid w:val="000A6676"/>
    <w:rsid w:val="000A715B"/>
    <w:rsid w:val="000A726F"/>
    <w:rsid w:val="000A74F4"/>
    <w:rsid w:val="000A75C4"/>
    <w:rsid w:val="000A767B"/>
    <w:rsid w:val="000A781B"/>
    <w:rsid w:val="000A7C3F"/>
    <w:rsid w:val="000A7E4C"/>
    <w:rsid w:val="000A7EB7"/>
    <w:rsid w:val="000A7EB9"/>
    <w:rsid w:val="000B0433"/>
    <w:rsid w:val="000B0CB2"/>
    <w:rsid w:val="000B102E"/>
    <w:rsid w:val="000B10E3"/>
    <w:rsid w:val="000B1247"/>
    <w:rsid w:val="000B1500"/>
    <w:rsid w:val="000B1BEC"/>
    <w:rsid w:val="000B1C60"/>
    <w:rsid w:val="000B1D6A"/>
    <w:rsid w:val="000B1F60"/>
    <w:rsid w:val="000B22DA"/>
    <w:rsid w:val="000B2473"/>
    <w:rsid w:val="000B2493"/>
    <w:rsid w:val="000B258E"/>
    <w:rsid w:val="000B298E"/>
    <w:rsid w:val="000B2AF4"/>
    <w:rsid w:val="000B2FB4"/>
    <w:rsid w:val="000B3049"/>
    <w:rsid w:val="000B3154"/>
    <w:rsid w:val="000B318E"/>
    <w:rsid w:val="000B327B"/>
    <w:rsid w:val="000B3292"/>
    <w:rsid w:val="000B3593"/>
    <w:rsid w:val="000B39BE"/>
    <w:rsid w:val="000B3A1A"/>
    <w:rsid w:val="000B3C23"/>
    <w:rsid w:val="000B40BF"/>
    <w:rsid w:val="000B42BE"/>
    <w:rsid w:val="000B453F"/>
    <w:rsid w:val="000B45AD"/>
    <w:rsid w:val="000B4889"/>
    <w:rsid w:val="000B48E7"/>
    <w:rsid w:val="000B4A35"/>
    <w:rsid w:val="000B4CAA"/>
    <w:rsid w:val="000B523D"/>
    <w:rsid w:val="000B56DE"/>
    <w:rsid w:val="000B5732"/>
    <w:rsid w:val="000B5873"/>
    <w:rsid w:val="000B5CF7"/>
    <w:rsid w:val="000B5F2C"/>
    <w:rsid w:val="000B634A"/>
    <w:rsid w:val="000B6972"/>
    <w:rsid w:val="000B6D4A"/>
    <w:rsid w:val="000B7173"/>
    <w:rsid w:val="000B717F"/>
    <w:rsid w:val="000B71A7"/>
    <w:rsid w:val="000B71E9"/>
    <w:rsid w:val="000B77BB"/>
    <w:rsid w:val="000B7838"/>
    <w:rsid w:val="000B7D52"/>
    <w:rsid w:val="000B7EBD"/>
    <w:rsid w:val="000C010E"/>
    <w:rsid w:val="000C0B2F"/>
    <w:rsid w:val="000C0EF9"/>
    <w:rsid w:val="000C0F4B"/>
    <w:rsid w:val="000C1037"/>
    <w:rsid w:val="000C126C"/>
    <w:rsid w:val="000C13D0"/>
    <w:rsid w:val="000C1536"/>
    <w:rsid w:val="000C1AFB"/>
    <w:rsid w:val="000C1E20"/>
    <w:rsid w:val="000C20AF"/>
    <w:rsid w:val="000C2924"/>
    <w:rsid w:val="000C2930"/>
    <w:rsid w:val="000C2A95"/>
    <w:rsid w:val="000C305C"/>
    <w:rsid w:val="000C32C3"/>
    <w:rsid w:val="000C37A6"/>
    <w:rsid w:val="000C3A6D"/>
    <w:rsid w:val="000C474A"/>
    <w:rsid w:val="000C4E67"/>
    <w:rsid w:val="000C5177"/>
    <w:rsid w:val="000C5516"/>
    <w:rsid w:val="000C574E"/>
    <w:rsid w:val="000C5FCB"/>
    <w:rsid w:val="000C6459"/>
    <w:rsid w:val="000C6C68"/>
    <w:rsid w:val="000C7215"/>
    <w:rsid w:val="000C779C"/>
    <w:rsid w:val="000C79EE"/>
    <w:rsid w:val="000C7B74"/>
    <w:rsid w:val="000C7DEE"/>
    <w:rsid w:val="000D0012"/>
    <w:rsid w:val="000D00F6"/>
    <w:rsid w:val="000D0E02"/>
    <w:rsid w:val="000D0F03"/>
    <w:rsid w:val="000D132E"/>
    <w:rsid w:val="000D1F35"/>
    <w:rsid w:val="000D21DC"/>
    <w:rsid w:val="000D2B18"/>
    <w:rsid w:val="000D2B48"/>
    <w:rsid w:val="000D2D7B"/>
    <w:rsid w:val="000D2DC7"/>
    <w:rsid w:val="000D2EC0"/>
    <w:rsid w:val="000D32B4"/>
    <w:rsid w:val="000D3F35"/>
    <w:rsid w:val="000D40CB"/>
    <w:rsid w:val="000D56B2"/>
    <w:rsid w:val="000D623C"/>
    <w:rsid w:val="000D6644"/>
    <w:rsid w:val="000D6A2F"/>
    <w:rsid w:val="000D6BC9"/>
    <w:rsid w:val="000D6E9C"/>
    <w:rsid w:val="000D7101"/>
    <w:rsid w:val="000D7201"/>
    <w:rsid w:val="000D75A4"/>
    <w:rsid w:val="000D7882"/>
    <w:rsid w:val="000D7CF0"/>
    <w:rsid w:val="000D7DEE"/>
    <w:rsid w:val="000D7EBE"/>
    <w:rsid w:val="000E09FE"/>
    <w:rsid w:val="000E0BAC"/>
    <w:rsid w:val="000E0BF0"/>
    <w:rsid w:val="000E0E04"/>
    <w:rsid w:val="000E0FCD"/>
    <w:rsid w:val="000E1912"/>
    <w:rsid w:val="000E1F74"/>
    <w:rsid w:val="000E2180"/>
    <w:rsid w:val="000E2BA4"/>
    <w:rsid w:val="000E2FA8"/>
    <w:rsid w:val="000E3082"/>
    <w:rsid w:val="000E349A"/>
    <w:rsid w:val="000E3656"/>
    <w:rsid w:val="000E367D"/>
    <w:rsid w:val="000E36C5"/>
    <w:rsid w:val="000E3CC7"/>
    <w:rsid w:val="000E405D"/>
    <w:rsid w:val="000E4262"/>
    <w:rsid w:val="000E4577"/>
    <w:rsid w:val="000E4749"/>
    <w:rsid w:val="000E4965"/>
    <w:rsid w:val="000E4B9A"/>
    <w:rsid w:val="000E5048"/>
    <w:rsid w:val="000E573B"/>
    <w:rsid w:val="000E5FE6"/>
    <w:rsid w:val="000E6366"/>
    <w:rsid w:val="000E63D6"/>
    <w:rsid w:val="000E648B"/>
    <w:rsid w:val="000E64AE"/>
    <w:rsid w:val="000E6A6E"/>
    <w:rsid w:val="000E6D06"/>
    <w:rsid w:val="000E70EB"/>
    <w:rsid w:val="000E7F55"/>
    <w:rsid w:val="000F00D3"/>
    <w:rsid w:val="000F051E"/>
    <w:rsid w:val="000F060E"/>
    <w:rsid w:val="000F08BB"/>
    <w:rsid w:val="000F0B2F"/>
    <w:rsid w:val="000F0C45"/>
    <w:rsid w:val="000F0FEA"/>
    <w:rsid w:val="000F10F1"/>
    <w:rsid w:val="000F1278"/>
    <w:rsid w:val="000F13CF"/>
    <w:rsid w:val="000F1597"/>
    <w:rsid w:val="000F160C"/>
    <w:rsid w:val="000F161C"/>
    <w:rsid w:val="000F1829"/>
    <w:rsid w:val="000F1CCA"/>
    <w:rsid w:val="000F1D39"/>
    <w:rsid w:val="000F1F8F"/>
    <w:rsid w:val="000F1FAF"/>
    <w:rsid w:val="000F2312"/>
    <w:rsid w:val="000F23DD"/>
    <w:rsid w:val="000F25B8"/>
    <w:rsid w:val="000F2779"/>
    <w:rsid w:val="000F2D78"/>
    <w:rsid w:val="000F3F2B"/>
    <w:rsid w:val="000F3FBE"/>
    <w:rsid w:val="000F4037"/>
    <w:rsid w:val="000F4C4F"/>
    <w:rsid w:val="000F5132"/>
    <w:rsid w:val="000F5469"/>
    <w:rsid w:val="000F5D26"/>
    <w:rsid w:val="000F7306"/>
    <w:rsid w:val="000F7689"/>
    <w:rsid w:val="000F76C0"/>
    <w:rsid w:val="000F7AB3"/>
    <w:rsid w:val="000F7CD9"/>
    <w:rsid w:val="000F7F33"/>
    <w:rsid w:val="001004D2"/>
    <w:rsid w:val="00100721"/>
    <w:rsid w:val="00100E7D"/>
    <w:rsid w:val="001016A5"/>
    <w:rsid w:val="00101815"/>
    <w:rsid w:val="00101EFF"/>
    <w:rsid w:val="00102130"/>
    <w:rsid w:val="0010267B"/>
    <w:rsid w:val="00102846"/>
    <w:rsid w:val="001028D2"/>
    <w:rsid w:val="00102B5D"/>
    <w:rsid w:val="00102FC8"/>
    <w:rsid w:val="00103412"/>
    <w:rsid w:val="00103E11"/>
    <w:rsid w:val="00103F27"/>
    <w:rsid w:val="00104247"/>
    <w:rsid w:val="00104490"/>
    <w:rsid w:val="00104897"/>
    <w:rsid w:val="00104CC7"/>
    <w:rsid w:val="00105038"/>
    <w:rsid w:val="00105D39"/>
    <w:rsid w:val="00105F58"/>
    <w:rsid w:val="00105FD1"/>
    <w:rsid w:val="001061B9"/>
    <w:rsid w:val="001062F2"/>
    <w:rsid w:val="00106902"/>
    <w:rsid w:val="00106AE3"/>
    <w:rsid w:val="0010701E"/>
    <w:rsid w:val="00107178"/>
    <w:rsid w:val="001071DB"/>
    <w:rsid w:val="00107283"/>
    <w:rsid w:val="00107341"/>
    <w:rsid w:val="0010792E"/>
    <w:rsid w:val="00107DE7"/>
    <w:rsid w:val="0010BA3C"/>
    <w:rsid w:val="00110061"/>
    <w:rsid w:val="001103B2"/>
    <w:rsid w:val="001106D6"/>
    <w:rsid w:val="0011094D"/>
    <w:rsid w:val="0011114D"/>
    <w:rsid w:val="0011134F"/>
    <w:rsid w:val="0011154E"/>
    <w:rsid w:val="001117EE"/>
    <w:rsid w:val="0011187C"/>
    <w:rsid w:val="00111CEF"/>
    <w:rsid w:val="00112187"/>
    <w:rsid w:val="001121C1"/>
    <w:rsid w:val="00112219"/>
    <w:rsid w:val="0011223B"/>
    <w:rsid w:val="0011237C"/>
    <w:rsid w:val="00112CC3"/>
    <w:rsid w:val="00112F4C"/>
    <w:rsid w:val="00112FA2"/>
    <w:rsid w:val="00113060"/>
    <w:rsid w:val="00114167"/>
    <w:rsid w:val="00114180"/>
    <w:rsid w:val="001144EF"/>
    <w:rsid w:val="0011489F"/>
    <w:rsid w:val="00114A42"/>
    <w:rsid w:val="00114B3B"/>
    <w:rsid w:val="00115000"/>
    <w:rsid w:val="0011530B"/>
    <w:rsid w:val="00115980"/>
    <w:rsid w:val="0011631F"/>
    <w:rsid w:val="00116D1D"/>
    <w:rsid w:val="0011760C"/>
    <w:rsid w:val="00117B06"/>
    <w:rsid w:val="00117DD4"/>
    <w:rsid w:val="00117E1A"/>
    <w:rsid w:val="00117F05"/>
    <w:rsid w:val="001205DA"/>
    <w:rsid w:val="001205F2"/>
    <w:rsid w:val="00120ECF"/>
    <w:rsid w:val="00121043"/>
    <w:rsid w:val="001210A9"/>
    <w:rsid w:val="0012140A"/>
    <w:rsid w:val="0012151B"/>
    <w:rsid w:val="00121BB7"/>
    <w:rsid w:val="00121C3F"/>
    <w:rsid w:val="00121CEC"/>
    <w:rsid w:val="00121F82"/>
    <w:rsid w:val="001220F6"/>
    <w:rsid w:val="001226B8"/>
    <w:rsid w:val="00122756"/>
    <w:rsid w:val="001227A3"/>
    <w:rsid w:val="001231C8"/>
    <w:rsid w:val="00123A7B"/>
    <w:rsid w:val="00123ABC"/>
    <w:rsid w:val="00123F33"/>
    <w:rsid w:val="00124051"/>
    <w:rsid w:val="0012463A"/>
    <w:rsid w:val="0012470D"/>
    <w:rsid w:val="00124F25"/>
    <w:rsid w:val="0012513F"/>
    <w:rsid w:val="00125844"/>
    <w:rsid w:val="00126110"/>
    <w:rsid w:val="001261D7"/>
    <w:rsid w:val="00126F2A"/>
    <w:rsid w:val="0012726A"/>
    <w:rsid w:val="0012797F"/>
    <w:rsid w:val="00127F3F"/>
    <w:rsid w:val="00127F82"/>
    <w:rsid w:val="00130769"/>
    <w:rsid w:val="00130BF2"/>
    <w:rsid w:val="00130F8E"/>
    <w:rsid w:val="00131102"/>
    <w:rsid w:val="00131718"/>
    <w:rsid w:val="00131D68"/>
    <w:rsid w:val="001321C2"/>
    <w:rsid w:val="001322B3"/>
    <w:rsid w:val="001324A6"/>
    <w:rsid w:val="00132559"/>
    <w:rsid w:val="00132586"/>
    <w:rsid w:val="00132D9C"/>
    <w:rsid w:val="0013345B"/>
    <w:rsid w:val="00133656"/>
    <w:rsid w:val="00133AC2"/>
    <w:rsid w:val="00133C4F"/>
    <w:rsid w:val="00133D0F"/>
    <w:rsid w:val="00134439"/>
    <w:rsid w:val="00134931"/>
    <w:rsid w:val="0013536C"/>
    <w:rsid w:val="00135C58"/>
    <w:rsid w:val="00135D5F"/>
    <w:rsid w:val="0013685F"/>
    <w:rsid w:val="001373DB"/>
    <w:rsid w:val="001376F7"/>
    <w:rsid w:val="00137980"/>
    <w:rsid w:val="00137A92"/>
    <w:rsid w:val="00137F08"/>
    <w:rsid w:val="00137FAC"/>
    <w:rsid w:val="00140325"/>
    <w:rsid w:val="0014041C"/>
    <w:rsid w:val="0014100A"/>
    <w:rsid w:val="00141964"/>
    <w:rsid w:val="00141A86"/>
    <w:rsid w:val="00141B22"/>
    <w:rsid w:val="00141E57"/>
    <w:rsid w:val="001429B7"/>
    <w:rsid w:val="00142C93"/>
    <w:rsid w:val="001430C9"/>
    <w:rsid w:val="001430FD"/>
    <w:rsid w:val="0014311E"/>
    <w:rsid w:val="00143233"/>
    <w:rsid w:val="00143720"/>
    <w:rsid w:val="00143A53"/>
    <w:rsid w:val="001440AE"/>
    <w:rsid w:val="001441EC"/>
    <w:rsid w:val="00144206"/>
    <w:rsid w:val="00144272"/>
    <w:rsid w:val="00144428"/>
    <w:rsid w:val="00144A5A"/>
    <w:rsid w:val="0014516C"/>
    <w:rsid w:val="00146191"/>
    <w:rsid w:val="001464BA"/>
    <w:rsid w:val="00146A34"/>
    <w:rsid w:val="001478DA"/>
    <w:rsid w:val="00147BFE"/>
    <w:rsid w:val="00150012"/>
    <w:rsid w:val="001509DA"/>
    <w:rsid w:val="0015148B"/>
    <w:rsid w:val="00151523"/>
    <w:rsid w:val="001516EC"/>
    <w:rsid w:val="0015171D"/>
    <w:rsid w:val="0015172C"/>
    <w:rsid w:val="00151ADF"/>
    <w:rsid w:val="00151E06"/>
    <w:rsid w:val="00151FDC"/>
    <w:rsid w:val="0015229E"/>
    <w:rsid w:val="00152673"/>
    <w:rsid w:val="001533E8"/>
    <w:rsid w:val="00153A3D"/>
    <w:rsid w:val="00153F23"/>
    <w:rsid w:val="00154147"/>
    <w:rsid w:val="001544E0"/>
    <w:rsid w:val="00154649"/>
    <w:rsid w:val="0015482B"/>
    <w:rsid w:val="00154AD7"/>
    <w:rsid w:val="00154B37"/>
    <w:rsid w:val="00154C32"/>
    <w:rsid w:val="001553EA"/>
    <w:rsid w:val="001554C2"/>
    <w:rsid w:val="00155A51"/>
    <w:rsid w:val="001566D2"/>
    <w:rsid w:val="00156AFE"/>
    <w:rsid w:val="00156BDF"/>
    <w:rsid w:val="00156FB7"/>
    <w:rsid w:val="0015722B"/>
    <w:rsid w:val="001574E1"/>
    <w:rsid w:val="00157B02"/>
    <w:rsid w:val="00157C69"/>
    <w:rsid w:val="00157EC5"/>
    <w:rsid w:val="001606AE"/>
    <w:rsid w:val="0016095B"/>
    <w:rsid w:val="00160A66"/>
    <w:rsid w:val="00160AFB"/>
    <w:rsid w:val="00161985"/>
    <w:rsid w:val="00162040"/>
    <w:rsid w:val="001621F0"/>
    <w:rsid w:val="0016303B"/>
    <w:rsid w:val="0016311F"/>
    <w:rsid w:val="00163919"/>
    <w:rsid w:val="00163B4A"/>
    <w:rsid w:val="001643CC"/>
    <w:rsid w:val="00164B95"/>
    <w:rsid w:val="00164EEA"/>
    <w:rsid w:val="00165408"/>
    <w:rsid w:val="00165675"/>
    <w:rsid w:val="00165F5F"/>
    <w:rsid w:val="0016615D"/>
    <w:rsid w:val="00166BE4"/>
    <w:rsid w:val="00166C55"/>
    <w:rsid w:val="00166D80"/>
    <w:rsid w:val="00167057"/>
    <w:rsid w:val="00167297"/>
    <w:rsid w:val="0016742E"/>
    <w:rsid w:val="00167469"/>
    <w:rsid w:val="001674BE"/>
    <w:rsid w:val="0016751F"/>
    <w:rsid w:val="00167766"/>
    <w:rsid w:val="00170493"/>
    <w:rsid w:val="00170661"/>
    <w:rsid w:val="00170858"/>
    <w:rsid w:val="00170BE3"/>
    <w:rsid w:val="00170EF2"/>
    <w:rsid w:val="00170FDF"/>
    <w:rsid w:val="00171177"/>
    <w:rsid w:val="00171339"/>
    <w:rsid w:val="001715FB"/>
    <w:rsid w:val="00171983"/>
    <w:rsid w:val="001722C4"/>
    <w:rsid w:val="001724E5"/>
    <w:rsid w:val="0017275F"/>
    <w:rsid w:val="00172832"/>
    <w:rsid w:val="00172AA4"/>
    <w:rsid w:val="00172CF2"/>
    <w:rsid w:val="00172DAF"/>
    <w:rsid w:val="00172E1B"/>
    <w:rsid w:val="0017321D"/>
    <w:rsid w:val="00173E76"/>
    <w:rsid w:val="00173FFF"/>
    <w:rsid w:val="0017418A"/>
    <w:rsid w:val="00174377"/>
    <w:rsid w:val="00174674"/>
    <w:rsid w:val="00174848"/>
    <w:rsid w:val="0017596D"/>
    <w:rsid w:val="00175D7D"/>
    <w:rsid w:val="0017655C"/>
    <w:rsid w:val="00176BFD"/>
    <w:rsid w:val="00177030"/>
    <w:rsid w:val="00177980"/>
    <w:rsid w:val="00177D5C"/>
    <w:rsid w:val="00177F6D"/>
    <w:rsid w:val="00180596"/>
    <w:rsid w:val="00180829"/>
    <w:rsid w:val="00180B2F"/>
    <w:rsid w:val="00181D7E"/>
    <w:rsid w:val="0018224E"/>
    <w:rsid w:val="001828C6"/>
    <w:rsid w:val="00182A83"/>
    <w:rsid w:val="00182CD9"/>
    <w:rsid w:val="001831C5"/>
    <w:rsid w:val="00183505"/>
    <w:rsid w:val="00183E35"/>
    <w:rsid w:val="00183F1D"/>
    <w:rsid w:val="00183F88"/>
    <w:rsid w:val="00184A1F"/>
    <w:rsid w:val="00184BE3"/>
    <w:rsid w:val="00184CD5"/>
    <w:rsid w:val="00184E2D"/>
    <w:rsid w:val="00184F10"/>
    <w:rsid w:val="00184FB0"/>
    <w:rsid w:val="00185154"/>
    <w:rsid w:val="00185158"/>
    <w:rsid w:val="001854A8"/>
    <w:rsid w:val="001858A4"/>
    <w:rsid w:val="001859A7"/>
    <w:rsid w:val="00185B37"/>
    <w:rsid w:val="00185E3E"/>
    <w:rsid w:val="00185F64"/>
    <w:rsid w:val="00187329"/>
    <w:rsid w:val="001875F5"/>
    <w:rsid w:val="00187B35"/>
    <w:rsid w:val="00187ECB"/>
    <w:rsid w:val="00187F04"/>
    <w:rsid w:val="00190C18"/>
    <w:rsid w:val="00191230"/>
    <w:rsid w:val="00191263"/>
    <w:rsid w:val="00191430"/>
    <w:rsid w:val="001914E6"/>
    <w:rsid w:val="001914E9"/>
    <w:rsid w:val="00191A26"/>
    <w:rsid w:val="00191CCE"/>
    <w:rsid w:val="001921F0"/>
    <w:rsid w:val="0019244A"/>
    <w:rsid w:val="00192572"/>
    <w:rsid w:val="00192FB6"/>
    <w:rsid w:val="001931A5"/>
    <w:rsid w:val="00193BCC"/>
    <w:rsid w:val="00194564"/>
    <w:rsid w:val="001945D4"/>
    <w:rsid w:val="00194DC6"/>
    <w:rsid w:val="00194EBF"/>
    <w:rsid w:val="00194F5F"/>
    <w:rsid w:val="001950A8"/>
    <w:rsid w:val="001952A5"/>
    <w:rsid w:val="001959FD"/>
    <w:rsid w:val="00195A52"/>
    <w:rsid w:val="00195A68"/>
    <w:rsid w:val="00195FA8"/>
    <w:rsid w:val="001961E5"/>
    <w:rsid w:val="00196DCF"/>
    <w:rsid w:val="00197363"/>
    <w:rsid w:val="00197765"/>
    <w:rsid w:val="00197F5D"/>
    <w:rsid w:val="001A0835"/>
    <w:rsid w:val="001A0D08"/>
    <w:rsid w:val="001A1314"/>
    <w:rsid w:val="001A1378"/>
    <w:rsid w:val="001A2010"/>
    <w:rsid w:val="001A24C5"/>
    <w:rsid w:val="001A2E1E"/>
    <w:rsid w:val="001A3128"/>
    <w:rsid w:val="001A33CB"/>
    <w:rsid w:val="001A3668"/>
    <w:rsid w:val="001A4498"/>
    <w:rsid w:val="001A452D"/>
    <w:rsid w:val="001A46CC"/>
    <w:rsid w:val="001A495B"/>
    <w:rsid w:val="001A4E3A"/>
    <w:rsid w:val="001A5109"/>
    <w:rsid w:val="001A51AC"/>
    <w:rsid w:val="001A543D"/>
    <w:rsid w:val="001A5E4F"/>
    <w:rsid w:val="001A60A6"/>
    <w:rsid w:val="001A6C40"/>
    <w:rsid w:val="001A6E95"/>
    <w:rsid w:val="001A7130"/>
    <w:rsid w:val="001A7230"/>
    <w:rsid w:val="001A7265"/>
    <w:rsid w:val="001A7577"/>
    <w:rsid w:val="001A7894"/>
    <w:rsid w:val="001A79ED"/>
    <w:rsid w:val="001A79FB"/>
    <w:rsid w:val="001A7D6C"/>
    <w:rsid w:val="001B0764"/>
    <w:rsid w:val="001B09FF"/>
    <w:rsid w:val="001B0C35"/>
    <w:rsid w:val="001B0DF6"/>
    <w:rsid w:val="001B128E"/>
    <w:rsid w:val="001B1467"/>
    <w:rsid w:val="001B1A02"/>
    <w:rsid w:val="001B1B66"/>
    <w:rsid w:val="001B1CB4"/>
    <w:rsid w:val="001B1E94"/>
    <w:rsid w:val="001B2031"/>
    <w:rsid w:val="001B2168"/>
    <w:rsid w:val="001B2A02"/>
    <w:rsid w:val="001B2CD2"/>
    <w:rsid w:val="001B2CEA"/>
    <w:rsid w:val="001B2D1D"/>
    <w:rsid w:val="001B2ED3"/>
    <w:rsid w:val="001B2F94"/>
    <w:rsid w:val="001B30F0"/>
    <w:rsid w:val="001B37AE"/>
    <w:rsid w:val="001B3AFB"/>
    <w:rsid w:val="001B4410"/>
    <w:rsid w:val="001B481E"/>
    <w:rsid w:val="001B4D8C"/>
    <w:rsid w:val="001B5764"/>
    <w:rsid w:val="001B5B89"/>
    <w:rsid w:val="001B6103"/>
    <w:rsid w:val="001B63D2"/>
    <w:rsid w:val="001B6860"/>
    <w:rsid w:val="001B6FFE"/>
    <w:rsid w:val="001B70ED"/>
    <w:rsid w:val="001B7D28"/>
    <w:rsid w:val="001B7E96"/>
    <w:rsid w:val="001B7F39"/>
    <w:rsid w:val="001C0036"/>
    <w:rsid w:val="001C019D"/>
    <w:rsid w:val="001C03A0"/>
    <w:rsid w:val="001C05B2"/>
    <w:rsid w:val="001C06A8"/>
    <w:rsid w:val="001C093C"/>
    <w:rsid w:val="001C095F"/>
    <w:rsid w:val="001C0BA7"/>
    <w:rsid w:val="001C14C0"/>
    <w:rsid w:val="001C18F1"/>
    <w:rsid w:val="001C21FF"/>
    <w:rsid w:val="001C252B"/>
    <w:rsid w:val="001C2EC1"/>
    <w:rsid w:val="001C348B"/>
    <w:rsid w:val="001C3639"/>
    <w:rsid w:val="001C38DD"/>
    <w:rsid w:val="001C3CF0"/>
    <w:rsid w:val="001C3D94"/>
    <w:rsid w:val="001C4DD1"/>
    <w:rsid w:val="001C50B1"/>
    <w:rsid w:val="001C51D8"/>
    <w:rsid w:val="001C5208"/>
    <w:rsid w:val="001C543C"/>
    <w:rsid w:val="001C557F"/>
    <w:rsid w:val="001C5597"/>
    <w:rsid w:val="001C57D8"/>
    <w:rsid w:val="001C5E87"/>
    <w:rsid w:val="001C6182"/>
    <w:rsid w:val="001C6CCE"/>
    <w:rsid w:val="001C6D10"/>
    <w:rsid w:val="001C7162"/>
    <w:rsid w:val="001C74F1"/>
    <w:rsid w:val="001C75C3"/>
    <w:rsid w:val="001C7802"/>
    <w:rsid w:val="001C7D0C"/>
    <w:rsid w:val="001C7D39"/>
    <w:rsid w:val="001D01D8"/>
    <w:rsid w:val="001D0C4F"/>
    <w:rsid w:val="001D0D45"/>
    <w:rsid w:val="001D1444"/>
    <w:rsid w:val="001D14C1"/>
    <w:rsid w:val="001D202D"/>
    <w:rsid w:val="001D2981"/>
    <w:rsid w:val="001D29E2"/>
    <w:rsid w:val="001D2CEA"/>
    <w:rsid w:val="001D39B3"/>
    <w:rsid w:val="001D39CB"/>
    <w:rsid w:val="001D3CA9"/>
    <w:rsid w:val="001D3E42"/>
    <w:rsid w:val="001D4083"/>
    <w:rsid w:val="001D4471"/>
    <w:rsid w:val="001D548B"/>
    <w:rsid w:val="001D54DB"/>
    <w:rsid w:val="001D5609"/>
    <w:rsid w:val="001D5615"/>
    <w:rsid w:val="001D5B15"/>
    <w:rsid w:val="001D6008"/>
    <w:rsid w:val="001D6BF0"/>
    <w:rsid w:val="001D6CD5"/>
    <w:rsid w:val="001D6E08"/>
    <w:rsid w:val="001D6E30"/>
    <w:rsid w:val="001D6EEF"/>
    <w:rsid w:val="001D7108"/>
    <w:rsid w:val="001D723F"/>
    <w:rsid w:val="001D7566"/>
    <w:rsid w:val="001D7696"/>
    <w:rsid w:val="001D79A6"/>
    <w:rsid w:val="001E054E"/>
    <w:rsid w:val="001E05F8"/>
    <w:rsid w:val="001E0721"/>
    <w:rsid w:val="001E097F"/>
    <w:rsid w:val="001E0D0F"/>
    <w:rsid w:val="001E1050"/>
    <w:rsid w:val="001E1138"/>
    <w:rsid w:val="001E13BE"/>
    <w:rsid w:val="001E142E"/>
    <w:rsid w:val="001E1596"/>
    <w:rsid w:val="001E1665"/>
    <w:rsid w:val="001E192D"/>
    <w:rsid w:val="001E1D3C"/>
    <w:rsid w:val="001E2084"/>
    <w:rsid w:val="001E2224"/>
    <w:rsid w:val="001E25CA"/>
    <w:rsid w:val="001E2742"/>
    <w:rsid w:val="001E341B"/>
    <w:rsid w:val="001E3453"/>
    <w:rsid w:val="001E3478"/>
    <w:rsid w:val="001E34F2"/>
    <w:rsid w:val="001E3507"/>
    <w:rsid w:val="001E368D"/>
    <w:rsid w:val="001E38F0"/>
    <w:rsid w:val="001E3910"/>
    <w:rsid w:val="001E3979"/>
    <w:rsid w:val="001E4164"/>
    <w:rsid w:val="001E425F"/>
    <w:rsid w:val="001E4A25"/>
    <w:rsid w:val="001E4A40"/>
    <w:rsid w:val="001E4A65"/>
    <w:rsid w:val="001E4D6B"/>
    <w:rsid w:val="001E4DB1"/>
    <w:rsid w:val="001E5573"/>
    <w:rsid w:val="001E57F6"/>
    <w:rsid w:val="001E5AC3"/>
    <w:rsid w:val="001E5EEF"/>
    <w:rsid w:val="001E6010"/>
    <w:rsid w:val="001E7017"/>
    <w:rsid w:val="001E7EB9"/>
    <w:rsid w:val="001F05DB"/>
    <w:rsid w:val="001F0B58"/>
    <w:rsid w:val="001F0BDC"/>
    <w:rsid w:val="001F0F19"/>
    <w:rsid w:val="001F11AD"/>
    <w:rsid w:val="001F1397"/>
    <w:rsid w:val="001F14B2"/>
    <w:rsid w:val="001F1B38"/>
    <w:rsid w:val="001F1C26"/>
    <w:rsid w:val="001F1E0B"/>
    <w:rsid w:val="001F2585"/>
    <w:rsid w:val="001F27E4"/>
    <w:rsid w:val="001F3199"/>
    <w:rsid w:val="001F3486"/>
    <w:rsid w:val="001F3A3D"/>
    <w:rsid w:val="001F3CEF"/>
    <w:rsid w:val="001F40E0"/>
    <w:rsid w:val="001F4897"/>
    <w:rsid w:val="001F4D33"/>
    <w:rsid w:val="001F4E72"/>
    <w:rsid w:val="001F519C"/>
    <w:rsid w:val="001F52FC"/>
    <w:rsid w:val="001F558F"/>
    <w:rsid w:val="001F58EC"/>
    <w:rsid w:val="001F59E0"/>
    <w:rsid w:val="001F5A3B"/>
    <w:rsid w:val="001F5AA5"/>
    <w:rsid w:val="001F6133"/>
    <w:rsid w:val="001F67C2"/>
    <w:rsid w:val="001F6F6A"/>
    <w:rsid w:val="001F701D"/>
    <w:rsid w:val="001F7305"/>
    <w:rsid w:val="001F75E6"/>
    <w:rsid w:val="001F79E0"/>
    <w:rsid w:val="001F7BCF"/>
    <w:rsid w:val="001F7CB6"/>
    <w:rsid w:val="001F7D2A"/>
    <w:rsid w:val="001F7D81"/>
    <w:rsid w:val="00200459"/>
    <w:rsid w:val="00200599"/>
    <w:rsid w:val="00200687"/>
    <w:rsid w:val="00200B5A"/>
    <w:rsid w:val="00200E14"/>
    <w:rsid w:val="00200F0D"/>
    <w:rsid w:val="0020155C"/>
    <w:rsid w:val="0020178D"/>
    <w:rsid w:val="00201CC4"/>
    <w:rsid w:val="00201EB1"/>
    <w:rsid w:val="0020291E"/>
    <w:rsid w:val="00202E5C"/>
    <w:rsid w:val="0020334F"/>
    <w:rsid w:val="0020395D"/>
    <w:rsid w:val="00203AB3"/>
    <w:rsid w:val="0020410D"/>
    <w:rsid w:val="0020440E"/>
    <w:rsid w:val="00204C4E"/>
    <w:rsid w:val="00204D6C"/>
    <w:rsid w:val="0020558E"/>
    <w:rsid w:val="002056A4"/>
    <w:rsid w:val="00205757"/>
    <w:rsid w:val="00205FB2"/>
    <w:rsid w:val="00206067"/>
    <w:rsid w:val="0020628E"/>
    <w:rsid w:val="00206817"/>
    <w:rsid w:val="00206A0B"/>
    <w:rsid w:val="00206C1F"/>
    <w:rsid w:val="00206C82"/>
    <w:rsid w:val="0020752B"/>
    <w:rsid w:val="002079C8"/>
    <w:rsid w:val="00207A17"/>
    <w:rsid w:val="002101F2"/>
    <w:rsid w:val="0021022D"/>
    <w:rsid w:val="002105D0"/>
    <w:rsid w:val="0021063F"/>
    <w:rsid w:val="0021167B"/>
    <w:rsid w:val="00211732"/>
    <w:rsid w:val="00211CB5"/>
    <w:rsid w:val="00211FB1"/>
    <w:rsid w:val="002125A7"/>
    <w:rsid w:val="00212738"/>
    <w:rsid w:val="00212849"/>
    <w:rsid w:val="00213494"/>
    <w:rsid w:val="002136EC"/>
    <w:rsid w:val="00213918"/>
    <w:rsid w:val="0021418F"/>
    <w:rsid w:val="002147EF"/>
    <w:rsid w:val="002147F7"/>
    <w:rsid w:val="00215480"/>
    <w:rsid w:val="002158C9"/>
    <w:rsid w:val="0021629D"/>
    <w:rsid w:val="0021644E"/>
    <w:rsid w:val="0021696B"/>
    <w:rsid w:val="00217311"/>
    <w:rsid w:val="0021775D"/>
    <w:rsid w:val="00217BF5"/>
    <w:rsid w:val="00217E0D"/>
    <w:rsid w:val="00217E57"/>
    <w:rsid w:val="002201AE"/>
    <w:rsid w:val="00220409"/>
    <w:rsid w:val="00220657"/>
    <w:rsid w:val="00220F02"/>
    <w:rsid w:val="00220F72"/>
    <w:rsid w:val="00221045"/>
    <w:rsid w:val="002213F6"/>
    <w:rsid w:val="0022191B"/>
    <w:rsid w:val="002226D9"/>
    <w:rsid w:val="00223124"/>
    <w:rsid w:val="00223541"/>
    <w:rsid w:val="00223884"/>
    <w:rsid w:val="002238CF"/>
    <w:rsid w:val="0022400F"/>
    <w:rsid w:val="00224178"/>
    <w:rsid w:val="0022438A"/>
    <w:rsid w:val="00224A45"/>
    <w:rsid w:val="00224CFE"/>
    <w:rsid w:val="00224EC0"/>
    <w:rsid w:val="0022518E"/>
    <w:rsid w:val="00225478"/>
    <w:rsid w:val="00225E66"/>
    <w:rsid w:val="002262E0"/>
    <w:rsid w:val="002272D0"/>
    <w:rsid w:val="002275B0"/>
    <w:rsid w:val="00227B41"/>
    <w:rsid w:val="00227D0D"/>
    <w:rsid w:val="00227E66"/>
    <w:rsid w:val="002303DA"/>
    <w:rsid w:val="0023040C"/>
    <w:rsid w:val="0023079B"/>
    <w:rsid w:val="00230FC8"/>
    <w:rsid w:val="002310A6"/>
    <w:rsid w:val="0023172B"/>
    <w:rsid w:val="00231787"/>
    <w:rsid w:val="00231840"/>
    <w:rsid w:val="00231BA3"/>
    <w:rsid w:val="00231BFB"/>
    <w:rsid w:val="0023278C"/>
    <w:rsid w:val="00232E49"/>
    <w:rsid w:val="00233234"/>
    <w:rsid w:val="0023328A"/>
    <w:rsid w:val="002333C7"/>
    <w:rsid w:val="0023344C"/>
    <w:rsid w:val="00233861"/>
    <w:rsid w:val="00233D90"/>
    <w:rsid w:val="00233EC1"/>
    <w:rsid w:val="0023404E"/>
    <w:rsid w:val="002344BC"/>
    <w:rsid w:val="00234C6D"/>
    <w:rsid w:val="00234EB7"/>
    <w:rsid w:val="002359CD"/>
    <w:rsid w:val="00235E60"/>
    <w:rsid w:val="00236B27"/>
    <w:rsid w:val="00236E8F"/>
    <w:rsid w:val="002372FA"/>
    <w:rsid w:val="0023731D"/>
    <w:rsid w:val="002373E8"/>
    <w:rsid w:val="00237A41"/>
    <w:rsid w:val="00237CC0"/>
    <w:rsid w:val="00237E87"/>
    <w:rsid w:val="0024004E"/>
    <w:rsid w:val="00240706"/>
    <w:rsid w:val="0024077C"/>
    <w:rsid w:val="002407A2"/>
    <w:rsid w:val="00240BAA"/>
    <w:rsid w:val="002417F8"/>
    <w:rsid w:val="002423DF"/>
    <w:rsid w:val="002430C6"/>
    <w:rsid w:val="00243D74"/>
    <w:rsid w:val="00244181"/>
    <w:rsid w:val="00244491"/>
    <w:rsid w:val="002445BD"/>
    <w:rsid w:val="00244839"/>
    <w:rsid w:val="00244AC9"/>
    <w:rsid w:val="00244EB7"/>
    <w:rsid w:val="00244FED"/>
    <w:rsid w:val="00245049"/>
    <w:rsid w:val="002454A1"/>
    <w:rsid w:val="00245D56"/>
    <w:rsid w:val="0024604B"/>
    <w:rsid w:val="002464D9"/>
    <w:rsid w:val="00246995"/>
    <w:rsid w:val="00246A17"/>
    <w:rsid w:val="00246D2D"/>
    <w:rsid w:val="00246E2E"/>
    <w:rsid w:val="00247AC2"/>
    <w:rsid w:val="00250005"/>
    <w:rsid w:val="002506DD"/>
    <w:rsid w:val="002506E7"/>
    <w:rsid w:val="002508B6"/>
    <w:rsid w:val="00250A33"/>
    <w:rsid w:val="00250AF5"/>
    <w:rsid w:val="00251670"/>
    <w:rsid w:val="00251876"/>
    <w:rsid w:val="00251984"/>
    <w:rsid w:val="00251BCB"/>
    <w:rsid w:val="00251F8F"/>
    <w:rsid w:val="00252713"/>
    <w:rsid w:val="002529AA"/>
    <w:rsid w:val="0025310D"/>
    <w:rsid w:val="0025333F"/>
    <w:rsid w:val="002536A8"/>
    <w:rsid w:val="0025370F"/>
    <w:rsid w:val="00253947"/>
    <w:rsid w:val="00254854"/>
    <w:rsid w:val="00254869"/>
    <w:rsid w:val="00254AFD"/>
    <w:rsid w:val="00254BD6"/>
    <w:rsid w:val="00254E87"/>
    <w:rsid w:val="0025518B"/>
    <w:rsid w:val="0025524B"/>
    <w:rsid w:val="00255B6C"/>
    <w:rsid w:val="0025610D"/>
    <w:rsid w:val="00256508"/>
    <w:rsid w:val="0025651C"/>
    <w:rsid w:val="0025664E"/>
    <w:rsid w:val="002566E0"/>
    <w:rsid w:val="002569CF"/>
    <w:rsid w:val="00256DF9"/>
    <w:rsid w:val="002575C8"/>
    <w:rsid w:val="00257D0A"/>
    <w:rsid w:val="00257DD9"/>
    <w:rsid w:val="00260274"/>
    <w:rsid w:val="00260BC2"/>
    <w:rsid w:val="00261C6A"/>
    <w:rsid w:val="00262199"/>
    <w:rsid w:val="0026269B"/>
    <w:rsid w:val="002626FE"/>
    <w:rsid w:val="00263101"/>
    <w:rsid w:val="00263B3C"/>
    <w:rsid w:val="00263D34"/>
    <w:rsid w:val="002644B8"/>
    <w:rsid w:val="00264A57"/>
    <w:rsid w:val="00264D85"/>
    <w:rsid w:val="00264FB3"/>
    <w:rsid w:val="00264FC3"/>
    <w:rsid w:val="00265299"/>
    <w:rsid w:val="0026588D"/>
    <w:rsid w:val="002658A9"/>
    <w:rsid w:val="00265A72"/>
    <w:rsid w:val="00265E10"/>
    <w:rsid w:val="002660A0"/>
    <w:rsid w:val="002663E5"/>
    <w:rsid w:val="0026666F"/>
    <w:rsid w:val="0026677F"/>
    <w:rsid w:val="00267355"/>
    <w:rsid w:val="00267C4C"/>
    <w:rsid w:val="00267F8B"/>
    <w:rsid w:val="00270787"/>
    <w:rsid w:val="00270921"/>
    <w:rsid w:val="00270963"/>
    <w:rsid w:val="00271132"/>
    <w:rsid w:val="00271708"/>
    <w:rsid w:val="00271950"/>
    <w:rsid w:val="00271C2D"/>
    <w:rsid w:val="00271DFC"/>
    <w:rsid w:val="00271F19"/>
    <w:rsid w:val="0027270C"/>
    <w:rsid w:val="00272C2B"/>
    <w:rsid w:val="00272E5D"/>
    <w:rsid w:val="002730E7"/>
    <w:rsid w:val="00273101"/>
    <w:rsid w:val="00273706"/>
    <w:rsid w:val="00273D6D"/>
    <w:rsid w:val="00274143"/>
    <w:rsid w:val="00274151"/>
    <w:rsid w:val="00274537"/>
    <w:rsid w:val="0027469F"/>
    <w:rsid w:val="00274A3A"/>
    <w:rsid w:val="00274BF6"/>
    <w:rsid w:val="002752E6"/>
    <w:rsid w:val="00275502"/>
    <w:rsid w:val="00275675"/>
    <w:rsid w:val="00275CF2"/>
    <w:rsid w:val="0027667F"/>
    <w:rsid w:val="00276A06"/>
    <w:rsid w:val="00276D84"/>
    <w:rsid w:val="002771EA"/>
    <w:rsid w:val="002777B8"/>
    <w:rsid w:val="0028002E"/>
    <w:rsid w:val="00280506"/>
    <w:rsid w:val="00280ABC"/>
    <w:rsid w:val="002810BB"/>
    <w:rsid w:val="00281548"/>
    <w:rsid w:val="00281D1E"/>
    <w:rsid w:val="002820C3"/>
    <w:rsid w:val="0028222F"/>
    <w:rsid w:val="00282368"/>
    <w:rsid w:val="002828B2"/>
    <w:rsid w:val="00282EC7"/>
    <w:rsid w:val="002834C4"/>
    <w:rsid w:val="002837A7"/>
    <w:rsid w:val="00283B2E"/>
    <w:rsid w:val="00284238"/>
    <w:rsid w:val="00284C88"/>
    <w:rsid w:val="0028506E"/>
    <w:rsid w:val="00285735"/>
    <w:rsid w:val="002857ED"/>
    <w:rsid w:val="00285969"/>
    <w:rsid w:val="00285BB5"/>
    <w:rsid w:val="0028600F"/>
    <w:rsid w:val="0028601F"/>
    <w:rsid w:val="00287873"/>
    <w:rsid w:val="00287A57"/>
    <w:rsid w:val="00290236"/>
    <w:rsid w:val="002905A5"/>
    <w:rsid w:val="0029104B"/>
    <w:rsid w:val="002918C7"/>
    <w:rsid w:val="00291D0D"/>
    <w:rsid w:val="00291E4C"/>
    <w:rsid w:val="002920CE"/>
    <w:rsid w:val="0029219F"/>
    <w:rsid w:val="002924CA"/>
    <w:rsid w:val="00292B61"/>
    <w:rsid w:val="00292CC0"/>
    <w:rsid w:val="00293179"/>
    <w:rsid w:val="002939B2"/>
    <w:rsid w:val="00293C5E"/>
    <w:rsid w:val="00293DF4"/>
    <w:rsid w:val="0029407C"/>
    <w:rsid w:val="002942F0"/>
    <w:rsid w:val="00294D25"/>
    <w:rsid w:val="0029507C"/>
    <w:rsid w:val="0029512F"/>
    <w:rsid w:val="00295280"/>
    <w:rsid w:val="00295C5A"/>
    <w:rsid w:val="00296264"/>
    <w:rsid w:val="00296A7F"/>
    <w:rsid w:val="00296D11"/>
    <w:rsid w:val="00296FC9"/>
    <w:rsid w:val="0029708B"/>
    <w:rsid w:val="00297CF1"/>
    <w:rsid w:val="00297D80"/>
    <w:rsid w:val="00297F85"/>
    <w:rsid w:val="002A02B5"/>
    <w:rsid w:val="002A042C"/>
    <w:rsid w:val="002A0481"/>
    <w:rsid w:val="002A09BA"/>
    <w:rsid w:val="002A0EDC"/>
    <w:rsid w:val="002A1353"/>
    <w:rsid w:val="002A19F0"/>
    <w:rsid w:val="002A2532"/>
    <w:rsid w:val="002A27C6"/>
    <w:rsid w:val="002A2B3A"/>
    <w:rsid w:val="002A2D3E"/>
    <w:rsid w:val="002A2E4E"/>
    <w:rsid w:val="002A2E76"/>
    <w:rsid w:val="002A302D"/>
    <w:rsid w:val="002A39D4"/>
    <w:rsid w:val="002A39E5"/>
    <w:rsid w:val="002A3BA8"/>
    <w:rsid w:val="002A3FDE"/>
    <w:rsid w:val="002A4B22"/>
    <w:rsid w:val="002A4BAD"/>
    <w:rsid w:val="002A503B"/>
    <w:rsid w:val="002A5123"/>
    <w:rsid w:val="002A55FB"/>
    <w:rsid w:val="002A5656"/>
    <w:rsid w:val="002A5EE0"/>
    <w:rsid w:val="002A60E0"/>
    <w:rsid w:val="002A6398"/>
    <w:rsid w:val="002A63B0"/>
    <w:rsid w:val="002A6527"/>
    <w:rsid w:val="002A680F"/>
    <w:rsid w:val="002A6913"/>
    <w:rsid w:val="002A7484"/>
    <w:rsid w:val="002A779C"/>
    <w:rsid w:val="002A783D"/>
    <w:rsid w:val="002A7D03"/>
    <w:rsid w:val="002A7FB4"/>
    <w:rsid w:val="002B02E8"/>
    <w:rsid w:val="002B0A88"/>
    <w:rsid w:val="002B0FC0"/>
    <w:rsid w:val="002B120E"/>
    <w:rsid w:val="002B1679"/>
    <w:rsid w:val="002B1867"/>
    <w:rsid w:val="002B1BB5"/>
    <w:rsid w:val="002B1E15"/>
    <w:rsid w:val="002B2300"/>
    <w:rsid w:val="002B25A2"/>
    <w:rsid w:val="002B25DA"/>
    <w:rsid w:val="002B25DB"/>
    <w:rsid w:val="002B2601"/>
    <w:rsid w:val="002B26A2"/>
    <w:rsid w:val="002B279D"/>
    <w:rsid w:val="002B2B24"/>
    <w:rsid w:val="002B2CC3"/>
    <w:rsid w:val="002B3577"/>
    <w:rsid w:val="002B3923"/>
    <w:rsid w:val="002B3A73"/>
    <w:rsid w:val="002B3C48"/>
    <w:rsid w:val="002B40C4"/>
    <w:rsid w:val="002B421E"/>
    <w:rsid w:val="002B43BB"/>
    <w:rsid w:val="002B47FB"/>
    <w:rsid w:val="002B4970"/>
    <w:rsid w:val="002B4E40"/>
    <w:rsid w:val="002B54BF"/>
    <w:rsid w:val="002B5645"/>
    <w:rsid w:val="002B56E7"/>
    <w:rsid w:val="002B596B"/>
    <w:rsid w:val="002B59E5"/>
    <w:rsid w:val="002B5FDF"/>
    <w:rsid w:val="002B68BC"/>
    <w:rsid w:val="002B7453"/>
    <w:rsid w:val="002B7489"/>
    <w:rsid w:val="002B750A"/>
    <w:rsid w:val="002B7716"/>
    <w:rsid w:val="002B7901"/>
    <w:rsid w:val="002B7BA7"/>
    <w:rsid w:val="002B7F2F"/>
    <w:rsid w:val="002B7FAC"/>
    <w:rsid w:val="002C00C5"/>
    <w:rsid w:val="002C0E50"/>
    <w:rsid w:val="002C1050"/>
    <w:rsid w:val="002C1374"/>
    <w:rsid w:val="002C1604"/>
    <w:rsid w:val="002C1DDB"/>
    <w:rsid w:val="002C1E60"/>
    <w:rsid w:val="002C1F4A"/>
    <w:rsid w:val="002C241D"/>
    <w:rsid w:val="002C2CE5"/>
    <w:rsid w:val="002C3578"/>
    <w:rsid w:val="002C3808"/>
    <w:rsid w:val="002C3914"/>
    <w:rsid w:val="002C3C6B"/>
    <w:rsid w:val="002C3FEA"/>
    <w:rsid w:val="002C449C"/>
    <w:rsid w:val="002C4D30"/>
    <w:rsid w:val="002C505B"/>
    <w:rsid w:val="002C58DB"/>
    <w:rsid w:val="002C5FB7"/>
    <w:rsid w:val="002C70EF"/>
    <w:rsid w:val="002C73BD"/>
    <w:rsid w:val="002C79B5"/>
    <w:rsid w:val="002C7A88"/>
    <w:rsid w:val="002C7C65"/>
    <w:rsid w:val="002D10F3"/>
    <w:rsid w:val="002D1462"/>
    <w:rsid w:val="002D1576"/>
    <w:rsid w:val="002D16BF"/>
    <w:rsid w:val="002D198A"/>
    <w:rsid w:val="002D2413"/>
    <w:rsid w:val="002D2869"/>
    <w:rsid w:val="002D287E"/>
    <w:rsid w:val="002D2AAE"/>
    <w:rsid w:val="002D2F8B"/>
    <w:rsid w:val="002D3194"/>
    <w:rsid w:val="002D3331"/>
    <w:rsid w:val="002D33CC"/>
    <w:rsid w:val="002D3736"/>
    <w:rsid w:val="002D41D5"/>
    <w:rsid w:val="002D431F"/>
    <w:rsid w:val="002D4541"/>
    <w:rsid w:val="002D49D2"/>
    <w:rsid w:val="002D4E86"/>
    <w:rsid w:val="002D4FFB"/>
    <w:rsid w:val="002D51B0"/>
    <w:rsid w:val="002D5428"/>
    <w:rsid w:val="002D5553"/>
    <w:rsid w:val="002D5824"/>
    <w:rsid w:val="002D588C"/>
    <w:rsid w:val="002D5D25"/>
    <w:rsid w:val="002D61A6"/>
    <w:rsid w:val="002D62DC"/>
    <w:rsid w:val="002D6381"/>
    <w:rsid w:val="002D677F"/>
    <w:rsid w:val="002D6DCD"/>
    <w:rsid w:val="002D6E0C"/>
    <w:rsid w:val="002D6F4E"/>
    <w:rsid w:val="002D7A2F"/>
    <w:rsid w:val="002D7D54"/>
    <w:rsid w:val="002D7F7D"/>
    <w:rsid w:val="002E01A3"/>
    <w:rsid w:val="002E03FE"/>
    <w:rsid w:val="002E077F"/>
    <w:rsid w:val="002E0798"/>
    <w:rsid w:val="002E0863"/>
    <w:rsid w:val="002E0A7D"/>
    <w:rsid w:val="002E1D5B"/>
    <w:rsid w:val="002E2037"/>
    <w:rsid w:val="002E263D"/>
    <w:rsid w:val="002E295F"/>
    <w:rsid w:val="002E2BE3"/>
    <w:rsid w:val="002E2E59"/>
    <w:rsid w:val="002E30E4"/>
    <w:rsid w:val="002E3653"/>
    <w:rsid w:val="002E36F4"/>
    <w:rsid w:val="002E3D1A"/>
    <w:rsid w:val="002E3E30"/>
    <w:rsid w:val="002E489E"/>
    <w:rsid w:val="002E5445"/>
    <w:rsid w:val="002E58C9"/>
    <w:rsid w:val="002E58EC"/>
    <w:rsid w:val="002E59CC"/>
    <w:rsid w:val="002E5D2F"/>
    <w:rsid w:val="002E5D55"/>
    <w:rsid w:val="002E6091"/>
    <w:rsid w:val="002E682A"/>
    <w:rsid w:val="002E683C"/>
    <w:rsid w:val="002E7613"/>
    <w:rsid w:val="002E7803"/>
    <w:rsid w:val="002E78F9"/>
    <w:rsid w:val="002E7CA6"/>
    <w:rsid w:val="002E7F1E"/>
    <w:rsid w:val="002F0277"/>
    <w:rsid w:val="002F037E"/>
    <w:rsid w:val="002F0571"/>
    <w:rsid w:val="002F067F"/>
    <w:rsid w:val="002F0789"/>
    <w:rsid w:val="002F0912"/>
    <w:rsid w:val="002F09CD"/>
    <w:rsid w:val="002F0D7F"/>
    <w:rsid w:val="002F1702"/>
    <w:rsid w:val="002F2C21"/>
    <w:rsid w:val="002F30F1"/>
    <w:rsid w:val="002F310D"/>
    <w:rsid w:val="002F3352"/>
    <w:rsid w:val="002F377A"/>
    <w:rsid w:val="002F3782"/>
    <w:rsid w:val="002F3935"/>
    <w:rsid w:val="002F3B56"/>
    <w:rsid w:val="002F3C1E"/>
    <w:rsid w:val="002F439A"/>
    <w:rsid w:val="002F4B90"/>
    <w:rsid w:val="002F5222"/>
    <w:rsid w:val="002F556D"/>
    <w:rsid w:val="002F57E9"/>
    <w:rsid w:val="002F57FF"/>
    <w:rsid w:val="002F58F5"/>
    <w:rsid w:val="002F5BA1"/>
    <w:rsid w:val="002F6044"/>
    <w:rsid w:val="002F60F9"/>
    <w:rsid w:val="002F624A"/>
    <w:rsid w:val="002F62B4"/>
    <w:rsid w:val="002F65CE"/>
    <w:rsid w:val="002F6A60"/>
    <w:rsid w:val="002F6C61"/>
    <w:rsid w:val="002F75A5"/>
    <w:rsid w:val="002F77BF"/>
    <w:rsid w:val="002F7D0E"/>
    <w:rsid w:val="003000AA"/>
    <w:rsid w:val="00300310"/>
    <w:rsid w:val="00300630"/>
    <w:rsid w:val="00300828"/>
    <w:rsid w:val="00300B60"/>
    <w:rsid w:val="00300E10"/>
    <w:rsid w:val="00300FC5"/>
    <w:rsid w:val="003010EF"/>
    <w:rsid w:val="003014CC"/>
    <w:rsid w:val="0030169C"/>
    <w:rsid w:val="003017B8"/>
    <w:rsid w:val="00301B77"/>
    <w:rsid w:val="003020CA"/>
    <w:rsid w:val="003020D5"/>
    <w:rsid w:val="003020E8"/>
    <w:rsid w:val="003024E5"/>
    <w:rsid w:val="0030265F"/>
    <w:rsid w:val="00302B26"/>
    <w:rsid w:val="0030323E"/>
    <w:rsid w:val="003035BE"/>
    <w:rsid w:val="00303B1F"/>
    <w:rsid w:val="00303C10"/>
    <w:rsid w:val="00303E88"/>
    <w:rsid w:val="00303E9B"/>
    <w:rsid w:val="0030414A"/>
    <w:rsid w:val="0030449C"/>
    <w:rsid w:val="003047DA"/>
    <w:rsid w:val="003049E4"/>
    <w:rsid w:val="00304D16"/>
    <w:rsid w:val="00305300"/>
    <w:rsid w:val="0030574E"/>
    <w:rsid w:val="00305E43"/>
    <w:rsid w:val="00305EC0"/>
    <w:rsid w:val="00305EFC"/>
    <w:rsid w:val="00306AE4"/>
    <w:rsid w:val="00307252"/>
    <w:rsid w:val="003072B2"/>
    <w:rsid w:val="0030739E"/>
    <w:rsid w:val="003074FB"/>
    <w:rsid w:val="00307501"/>
    <w:rsid w:val="0030761C"/>
    <w:rsid w:val="00307BC2"/>
    <w:rsid w:val="003100F1"/>
    <w:rsid w:val="003100FF"/>
    <w:rsid w:val="003101F7"/>
    <w:rsid w:val="00310BFD"/>
    <w:rsid w:val="00311A8E"/>
    <w:rsid w:val="00311FF3"/>
    <w:rsid w:val="00312023"/>
    <w:rsid w:val="00312344"/>
    <w:rsid w:val="003129B7"/>
    <w:rsid w:val="00312A6F"/>
    <w:rsid w:val="00312ACA"/>
    <w:rsid w:val="00312C13"/>
    <w:rsid w:val="00312FA8"/>
    <w:rsid w:val="003130A3"/>
    <w:rsid w:val="00313250"/>
    <w:rsid w:val="00313332"/>
    <w:rsid w:val="00313459"/>
    <w:rsid w:val="00313A39"/>
    <w:rsid w:val="00313CDD"/>
    <w:rsid w:val="00314AB5"/>
    <w:rsid w:val="003159B1"/>
    <w:rsid w:val="00315AD8"/>
    <w:rsid w:val="00315B40"/>
    <w:rsid w:val="00316476"/>
    <w:rsid w:val="003167D5"/>
    <w:rsid w:val="00316A18"/>
    <w:rsid w:val="00316C41"/>
    <w:rsid w:val="00316F6E"/>
    <w:rsid w:val="00316FA6"/>
    <w:rsid w:val="0031752F"/>
    <w:rsid w:val="00317748"/>
    <w:rsid w:val="003177DB"/>
    <w:rsid w:val="003202C0"/>
    <w:rsid w:val="00320676"/>
    <w:rsid w:val="00320FE7"/>
    <w:rsid w:val="0032113B"/>
    <w:rsid w:val="00321529"/>
    <w:rsid w:val="00321E73"/>
    <w:rsid w:val="00322160"/>
    <w:rsid w:val="003228C0"/>
    <w:rsid w:val="00322A4A"/>
    <w:rsid w:val="00322B6D"/>
    <w:rsid w:val="00322FD8"/>
    <w:rsid w:val="0032308B"/>
    <w:rsid w:val="003231AD"/>
    <w:rsid w:val="00323446"/>
    <w:rsid w:val="003238E1"/>
    <w:rsid w:val="00323E12"/>
    <w:rsid w:val="00323E61"/>
    <w:rsid w:val="00323E73"/>
    <w:rsid w:val="00324129"/>
    <w:rsid w:val="0032414E"/>
    <w:rsid w:val="00324739"/>
    <w:rsid w:val="00324819"/>
    <w:rsid w:val="00324CA2"/>
    <w:rsid w:val="00324CE1"/>
    <w:rsid w:val="00324EAB"/>
    <w:rsid w:val="003250B2"/>
    <w:rsid w:val="00325158"/>
    <w:rsid w:val="003252E5"/>
    <w:rsid w:val="003253F0"/>
    <w:rsid w:val="0032583A"/>
    <w:rsid w:val="0032588E"/>
    <w:rsid w:val="00325970"/>
    <w:rsid w:val="0032628B"/>
    <w:rsid w:val="003264BF"/>
    <w:rsid w:val="003268BD"/>
    <w:rsid w:val="0032698E"/>
    <w:rsid w:val="003269B2"/>
    <w:rsid w:val="00327565"/>
    <w:rsid w:val="00327BF5"/>
    <w:rsid w:val="00330067"/>
    <w:rsid w:val="00330374"/>
    <w:rsid w:val="00330390"/>
    <w:rsid w:val="00330519"/>
    <w:rsid w:val="003309E4"/>
    <w:rsid w:val="00330AE2"/>
    <w:rsid w:val="00330E50"/>
    <w:rsid w:val="00330F8B"/>
    <w:rsid w:val="003314A9"/>
    <w:rsid w:val="00331541"/>
    <w:rsid w:val="00331B9D"/>
    <w:rsid w:val="00331BF9"/>
    <w:rsid w:val="00331EA2"/>
    <w:rsid w:val="00331F03"/>
    <w:rsid w:val="00331F88"/>
    <w:rsid w:val="003321BF"/>
    <w:rsid w:val="003323F8"/>
    <w:rsid w:val="00332B6F"/>
    <w:rsid w:val="00333167"/>
    <w:rsid w:val="003332AE"/>
    <w:rsid w:val="003332FE"/>
    <w:rsid w:val="00333531"/>
    <w:rsid w:val="00333967"/>
    <w:rsid w:val="00333A10"/>
    <w:rsid w:val="003345BD"/>
    <w:rsid w:val="0033491C"/>
    <w:rsid w:val="00334E29"/>
    <w:rsid w:val="00335201"/>
    <w:rsid w:val="0033563A"/>
    <w:rsid w:val="0033572C"/>
    <w:rsid w:val="0033577B"/>
    <w:rsid w:val="00335811"/>
    <w:rsid w:val="00335AE5"/>
    <w:rsid w:val="00335E25"/>
    <w:rsid w:val="003362A4"/>
    <w:rsid w:val="0033648C"/>
    <w:rsid w:val="003369B9"/>
    <w:rsid w:val="00336AA6"/>
    <w:rsid w:val="00336CEF"/>
    <w:rsid w:val="00336D24"/>
    <w:rsid w:val="003370B1"/>
    <w:rsid w:val="0033718E"/>
    <w:rsid w:val="0033744E"/>
    <w:rsid w:val="00337827"/>
    <w:rsid w:val="00340101"/>
    <w:rsid w:val="00340190"/>
    <w:rsid w:val="003404EE"/>
    <w:rsid w:val="003407C3"/>
    <w:rsid w:val="00341DF4"/>
    <w:rsid w:val="00342CB9"/>
    <w:rsid w:val="00343183"/>
    <w:rsid w:val="0034429B"/>
    <w:rsid w:val="003442BB"/>
    <w:rsid w:val="00344664"/>
    <w:rsid w:val="00345ED9"/>
    <w:rsid w:val="00346033"/>
    <w:rsid w:val="003463C6"/>
    <w:rsid w:val="00346401"/>
    <w:rsid w:val="003467C1"/>
    <w:rsid w:val="0034686B"/>
    <w:rsid w:val="003469CE"/>
    <w:rsid w:val="00346E48"/>
    <w:rsid w:val="0034793B"/>
    <w:rsid w:val="00347A5A"/>
    <w:rsid w:val="00347C49"/>
    <w:rsid w:val="00347DBC"/>
    <w:rsid w:val="003501A8"/>
    <w:rsid w:val="00350314"/>
    <w:rsid w:val="00350457"/>
    <w:rsid w:val="0035050F"/>
    <w:rsid w:val="003509A4"/>
    <w:rsid w:val="00350AC3"/>
    <w:rsid w:val="00350D74"/>
    <w:rsid w:val="00350F46"/>
    <w:rsid w:val="00351074"/>
    <w:rsid w:val="003510EC"/>
    <w:rsid w:val="003512B4"/>
    <w:rsid w:val="003514E1"/>
    <w:rsid w:val="003514E2"/>
    <w:rsid w:val="00351674"/>
    <w:rsid w:val="00351E2C"/>
    <w:rsid w:val="00352186"/>
    <w:rsid w:val="003522CE"/>
    <w:rsid w:val="003524DB"/>
    <w:rsid w:val="00352585"/>
    <w:rsid w:val="00352C52"/>
    <w:rsid w:val="00353192"/>
    <w:rsid w:val="0035364E"/>
    <w:rsid w:val="00353AF7"/>
    <w:rsid w:val="00354419"/>
    <w:rsid w:val="003546C1"/>
    <w:rsid w:val="00354810"/>
    <w:rsid w:val="00355111"/>
    <w:rsid w:val="0035528A"/>
    <w:rsid w:val="00355291"/>
    <w:rsid w:val="0035659C"/>
    <w:rsid w:val="0035792E"/>
    <w:rsid w:val="003600BB"/>
    <w:rsid w:val="00360628"/>
    <w:rsid w:val="00360D6E"/>
    <w:rsid w:val="00361287"/>
    <w:rsid w:val="0036144E"/>
    <w:rsid w:val="00361BD0"/>
    <w:rsid w:val="00361D62"/>
    <w:rsid w:val="00361E84"/>
    <w:rsid w:val="00361F6D"/>
    <w:rsid w:val="00363170"/>
    <w:rsid w:val="003642C3"/>
    <w:rsid w:val="003644C4"/>
    <w:rsid w:val="0036472B"/>
    <w:rsid w:val="003648D1"/>
    <w:rsid w:val="003651F3"/>
    <w:rsid w:val="00365612"/>
    <w:rsid w:val="00365648"/>
    <w:rsid w:val="00365958"/>
    <w:rsid w:val="003673A0"/>
    <w:rsid w:val="003674F4"/>
    <w:rsid w:val="003677A9"/>
    <w:rsid w:val="00367D32"/>
    <w:rsid w:val="00370078"/>
    <w:rsid w:val="003705CA"/>
    <w:rsid w:val="003708F7"/>
    <w:rsid w:val="00370DA7"/>
    <w:rsid w:val="0037165A"/>
    <w:rsid w:val="00371E5B"/>
    <w:rsid w:val="0037235B"/>
    <w:rsid w:val="0037240D"/>
    <w:rsid w:val="0037268F"/>
    <w:rsid w:val="00372CD2"/>
    <w:rsid w:val="00372EC4"/>
    <w:rsid w:val="0037330F"/>
    <w:rsid w:val="00373BA2"/>
    <w:rsid w:val="00374788"/>
    <w:rsid w:val="003749D2"/>
    <w:rsid w:val="00374C6B"/>
    <w:rsid w:val="003750B3"/>
    <w:rsid w:val="003751A5"/>
    <w:rsid w:val="0037546A"/>
    <w:rsid w:val="003755CE"/>
    <w:rsid w:val="00375859"/>
    <w:rsid w:val="0037589D"/>
    <w:rsid w:val="00376053"/>
    <w:rsid w:val="0037613A"/>
    <w:rsid w:val="0037683A"/>
    <w:rsid w:val="00376A6A"/>
    <w:rsid w:val="00376B15"/>
    <w:rsid w:val="003773C9"/>
    <w:rsid w:val="0037741C"/>
    <w:rsid w:val="003775AF"/>
    <w:rsid w:val="003775CE"/>
    <w:rsid w:val="0037787B"/>
    <w:rsid w:val="00377B83"/>
    <w:rsid w:val="0038013B"/>
    <w:rsid w:val="0038030D"/>
    <w:rsid w:val="0038089B"/>
    <w:rsid w:val="003809F3"/>
    <w:rsid w:val="00380AB0"/>
    <w:rsid w:val="00380F64"/>
    <w:rsid w:val="00381069"/>
    <w:rsid w:val="00381403"/>
    <w:rsid w:val="003814D5"/>
    <w:rsid w:val="00381FC2"/>
    <w:rsid w:val="003822F4"/>
    <w:rsid w:val="003826F2"/>
    <w:rsid w:val="00382F6B"/>
    <w:rsid w:val="00382F9E"/>
    <w:rsid w:val="003830CF"/>
    <w:rsid w:val="00383723"/>
    <w:rsid w:val="00383780"/>
    <w:rsid w:val="00383BFD"/>
    <w:rsid w:val="00383D33"/>
    <w:rsid w:val="00383F9C"/>
    <w:rsid w:val="003843B8"/>
    <w:rsid w:val="00384923"/>
    <w:rsid w:val="00384C2D"/>
    <w:rsid w:val="00384CAC"/>
    <w:rsid w:val="00385688"/>
    <w:rsid w:val="00385FFE"/>
    <w:rsid w:val="00386268"/>
    <w:rsid w:val="00386A71"/>
    <w:rsid w:val="00386EE1"/>
    <w:rsid w:val="00386F84"/>
    <w:rsid w:val="003878F0"/>
    <w:rsid w:val="00387B73"/>
    <w:rsid w:val="00387BC4"/>
    <w:rsid w:val="00387F18"/>
    <w:rsid w:val="0039027F"/>
    <w:rsid w:val="00390B70"/>
    <w:rsid w:val="003915A4"/>
    <w:rsid w:val="00391949"/>
    <w:rsid w:val="00391AA5"/>
    <w:rsid w:val="003922D8"/>
    <w:rsid w:val="00392606"/>
    <w:rsid w:val="00392759"/>
    <w:rsid w:val="00392A79"/>
    <w:rsid w:val="00392CE4"/>
    <w:rsid w:val="003931A6"/>
    <w:rsid w:val="0039331F"/>
    <w:rsid w:val="00393AE9"/>
    <w:rsid w:val="00393CBC"/>
    <w:rsid w:val="0039424D"/>
    <w:rsid w:val="003948CE"/>
    <w:rsid w:val="00394A31"/>
    <w:rsid w:val="0039530A"/>
    <w:rsid w:val="00395860"/>
    <w:rsid w:val="00395870"/>
    <w:rsid w:val="003966EB"/>
    <w:rsid w:val="00396DF9"/>
    <w:rsid w:val="00396FA7"/>
    <w:rsid w:val="003973D1"/>
    <w:rsid w:val="00397702"/>
    <w:rsid w:val="00397AE2"/>
    <w:rsid w:val="00397BE6"/>
    <w:rsid w:val="003A00C7"/>
    <w:rsid w:val="003A057B"/>
    <w:rsid w:val="003A0939"/>
    <w:rsid w:val="003A0CA8"/>
    <w:rsid w:val="003A0D56"/>
    <w:rsid w:val="003A0D84"/>
    <w:rsid w:val="003A1026"/>
    <w:rsid w:val="003A12D5"/>
    <w:rsid w:val="003A13B9"/>
    <w:rsid w:val="003A14FB"/>
    <w:rsid w:val="003A1BA0"/>
    <w:rsid w:val="003A1CF2"/>
    <w:rsid w:val="003A1EF4"/>
    <w:rsid w:val="003A20A6"/>
    <w:rsid w:val="003A20D3"/>
    <w:rsid w:val="003A231B"/>
    <w:rsid w:val="003A2591"/>
    <w:rsid w:val="003A2E6E"/>
    <w:rsid w:val="003A31AC"/>
    <w:rsid w:val="003A3301"/>
    <w:rsid w:val="003A3423"/>
    <w:rsid w:val="003A37F7"/>
    <w:rsid w:val="003A3E27"/>
    <w:rsid w:val="003A41A0"/>
    <w:rsid w:val="003A4236"/>
    <w:rsid w:val="003A430F"/>
    <w:rsid w:val="003A471E"/>
    <w:rsid w:val="003A4900"/>
    <w:rsid w:val="003A4915"/>
    <w:rsid w:val="003A4CC8"/>
    <w:rsid w:val="003A4DCE"/>
    <w:rsid w:val="003A55C3"/>
    <w:rsid w:val="003A57F9"/>
    <w:rsid w:val="003A617D"/>
    <w:rsid w:val="003A6331"/>
    <w:rsid w:val="003A659F"/>
    <w:rsid w:val="003A73A5"/>
    <w:rsid w:val="003A76F7"/>
    <w:rsid w:val="003A7846"/>
    <w:rsid w:val="003A7A54"/>
    <w:rsid w:val="003A7C5A"/>
    <w:rsid w:val="003A7DA3"/>
    <w:rsid w:val="003B00B5"/>
    <w:rsid w:val="003B0247"/>
    <w:rsid w:val="003B0287"/>
    <w:rsid w:val="003B0358"/>
    <w:rsid w:val="003B12E7"/>
    <w:rsid w:val="003B13FF"/>
    <w:rsid w:val="003B1628"/>
    <w:rsid w:val="003B1CAB"/>
    <w:rsid w:val="003B290C"/>
    <w:rsid w:val="003B294F"/>
    <w:rsid w:val="003B3103"/>
    <w:rsid w:val="003B323C"/>
    <w:rsid w:val="003B3295"/>
    <w:rsid w:val="003B3A9B"/>
    <w:rsid w:val="003B3E86"/>
    <w:rsid w:val="003B3F24"/>
    <w:rsid w:val="003B4011"/>
    <w:rsid w:val="003B42FC"/>
    <w:rsid w:val="003B43FD"/>
    <w:rsid w:val="003B498B"/>
    <w:rsid w:val="003B4AA5"/>
    <w:rsid w:val="003B540A"/>
    <w:rsid w:val="003B5901"/>
    <w:rsid w:val="003B5B24"/>
    <w:rsid w:val="003B5C6C"/>
    <w:rsid w:val="003B5DEE"/>
    <w:rsid w:val="003B644C"/>
    <w:rsid w:val="003B658C"/>
    <w:rsid w:val="003B6F51"/>
    <w:rsid w:val="003B6FC6"/>
    <w:rsid w:val="003B7104"/>
    <w:rsid w:val="003B725D"/>
    <w:rsid w:val="003B735F"/>
    <w:rsid w:val="003B73E1"/>
    <w:rsid w:val="003B743A"/>
    <w:rsid w:val="003B7629"/>
    <w:rsid w:val="003B77DD"/>
    <w:rsid w:val="003B78DB"/>
    <w:rsid w:val="003B7EF4"/>
    <w:rsid w:val="003C0119"/>
    <w:rsid w:val="003C039C"/>
    <w:rsid w:val="003C06C9"/>
    <w:rsid w:val="003C06D6"/>
    <w:rsid w:val="003C087B"/>
    <w:rsid w:val="003C094B"/>
    <w:rsid w:val="003C0AA2"/>
    <w:rsid w:val="003C141C"/>
    <w:rsid w:val="003C15D3"/>
    <w:rsid w:val="003C1C5E"/>
    <w:rsid w:val="003C2390"/>
    <w:rsid w:val="003C23D3"/>
    <w:rsid w:val="003C2664"/>
    <w:rsid w:val="003C2A2C"/>
    <w:rsid w:val="003C2FFD"/>
    <w:rsid w:val="003C3300"/>
    <w:rsid w:val="003C3FF9"/>
    <w:rsid w:val="003C447A"/>
    <w:rsid w:val="003C46AF"/>
    <w:rsid w:val="003C48D6"/>
    <w:rsid w:val="003C5583"/>
    <w:rsid w:val="003C568B"/>
    <w:rsid w:val="003C59D9"/>
    <w:rsid w:val="003C5C06"/>
    <w:rsid w:val="003C631E"/>
    <w:rsid w:val="003C63B5"/>
    <w:rsid w:val="003C6974"/>
    <w:rsid w:val="003C6B34"/>
    <w:rsid w:val="003C7CA4"/>
    <w:rsid w:val="003C7E2D"/>
    <w:rsid w:val="003D01C8"/>
    <w:rsid w:val="003D08C1"/>
    <w:rsid w:val="003D0AE3"/>
    <w:rsid w:val="003D0C19"/>
    <w:rsid w:val="003D0F7C"/>
    <w:rsid w:val="003D1077"/>
    <w:rsid w:val="003D1632"/>
    <w:rsid w:val="003D1F28"/>
    <w:rsid w:val="003D2693"/>
    <w:rsid w:val="003D2B37"/>
    <w:rsid w:val="003D2C0C"/>
    <w:rsid w:val="003D2C4A"/>
    <w:rsid w:val="003D2EDD"/>
    <w:rsid w:val="003D30ED"/>
    <w:rsid w:val="003D3302"/>
    <w:rsid w:val="003D33FA"/>
    <w:rsid w:val="003D34B7"/>
    <w:rsid w:val="003D37D6"/>
    <w:rsid w:val="003D3F64"/>
    <w:rsid w:val="003D43AC"/>
    <w:rsid w:val="003D4527"/>
    <w:rsid w:val="003D4BCE"/>
    <w:rsid w:val="003D4DAE"/>
    <w:rsid w:val="003D541D"/>
    <w:rsid w:val="003D548C"/>
    <w:rsid w:val="003D5E50"/>
    <w:rsid w:val="003D5EAA"/>
    <w:rsid w:val="003D5F29"/>
    <w:rsid w:val="003D5F73"/>
    <w:rsid w:val="003D607D"/>
    <w:rsid w:val="003D65BD"/>
    <w:rsid w:val="003D661F"/>
    <w:rsid w:val="003D66F6"/>
    <w:rsid w:val="003D770F"/>
    <w:rsid w:val="003E03BE"/>
    <w:rsid w:val="003E046C"/>
    <w:rsid w:val="003E0539"/>
    <w:rsid w:val="003E0AE8"/>
    <w:rsid w:val="003E0F17"/>
    <w:rsid w:val="003E2378"/>
    <w:rsid w:val="003E2736"/>
    <w:rsid w:val="003E2F3F"/>
    <w:rsid w:val="003E3120"/>
    <w:rsid w:val="003E321C"/>
    <w:rsid w:val="003E385D"/>
    <w:rsid w:val="003E38F1"/>
    <w:rsid w:val="003E39F0"/>
    <w:rsid w:val="003E3B9F"/>
    <w:rsid w:val="003E3EAC"/>
    <w:rsid w:val="003E3F05"/>
    <w:rsid w:val="003E4092"/>
    <w:rsid w:val="003E4A57"/>
    <w:rsid w:val="003E4E3B"/>
    <w:rsid w:val="003E4F22"/>
    <w:rsid w:val="003E511A"/>
    <w:rsid w:val="003E513F"/>
    <w:rsid w:val="003E5BF0"/>
    <w:rsid w:val="003E5E63"/>
    <w:rsid w:val="003E60AF"/>
    <w:rsid w:val="003E6A49"/>
    <w:rsid w:val="003E6AD6"/>
    <w:rsid w:val="003E6C28"/>
    <w:rsid w:val="003E6C8B"/>
    <w:rsid w:val="003E6F73"/>
    <w:rsid w:val="003E7071"/>
    <w:rsid w:val="003E7588"/>
    <w:rsid w:val="003F00B8"/>
    <w:rsid w:val="003F0105"/>
    <w:rsid w:val="003F0428"/>
    <w:rsid w:val="003F06B9"/>
    <w:rsid w:val="003F0CD4"/>
    <w:rsid w:val="003F121E"/>
    <w:rsid w:val="003F12B1"/>
    <w:rsid w:val="003F12E5"/>
    <w:rsid w:val="003F1933"/>
    <w:rsid w:val="003F1D82"/>
    <w:rsid w:val="003F1E20"/>
    <w:rsid w:val="003F239B"/>
    <w:rsid w:val="003F2722"/>
    <w:rsid w:val="003F2868"/>
    <w:rsid w:val="003F29B9"/>
    <w:rsid w:val="003F2AE1"/>
    <w:rsid w:val="003F3224"/>
    <w:rsid w:val="003F3323"/>
    <w:rsid w:val="003F3693"/>
    <w:rsid w:val="003F392A"/>
    <w:rsid w:val="003F3BB7"/>
    <w:rsid w:val="003F3D18"/>
    <w:rsid w:val="003F3D29"/>
    <w:rsid w:val="003F48B9"/>
    <w:rsid w:val="003F492D"/>
    <w:rsid w:val="003F4D97"/>
    <w:rsid w:val="003F4FE2"/>
    <w:rsid w:val="003F5191"/>
    <w:rsid w:val="003F53A6"/>
    <w:rsid w:val="003F5D0C"/>
    <w:rsid w:val="003F63ED"/>
    <w:rsid w:val="003F6522"/>
    <w:rsid w:val="003F6D65"/>
    <w:rsid w:val="003F7127"/>
    <w:rsid w:val="003F758B"/>
    <w:rsid w:val="003F7920"/>
    <w:rsid w:val="003F7A43"/>
    <w:rsid w:val="003F7AE3"/>
    <w:rsid w:val="004000C2"/>
    <w:rsid w:val="0040044A"/>
    <w:rsid w:val="0040067D"/>
    <w:rsid w:val="004008AF"/>
    <w:rsid w:val="004008E9"/>
    <w:rsid w:val="004009F8"/>
    <w:rsid w:val="00400C39"/>
    <w:rsid w:val="00400E5F"/>
    <w:rsid w:val="00400F6A"/>
    <w:rsid w:val="00400FD7"/>
    <w:rsid w:val="0040129E"/>
    <w:rsid w:val="004014C4"/>
    <w:rsid w:val="004018EF"/>
    <w:rsid w:val="00401C0B"/>
    <w:rsid w:val="00401E07"/>
    <w:rsid w:val="004028A8"/>
    <w:rsid w:val="00402919"/>
    <w:rsid w:val="00402B71"/>
    <w:rsid w:val="00402C6A"/>
    <w:rsid w:val="00402EE7"/>
    <w:rsid w:val="0040306A"/>
    <w:rsid w:val="00403342"/>
    <w:rsid w:val="00403553"/>
    <w:rsid w:val="00403937"/>
    <w:rsid w:val="00403D2C"/>
    <w:rsid w:val="00403F7C"/>
    <w:rsid w:val="00404259"/>
    <w:rsid w:val="004043DB"/>
    <w:rsid w:val="00404C70"/>
    <w:rsid w:val="004054B3"/>
    <w:rsid w:val="00405835"/>
    <w:rsid w:val="004058EA"/>
    <w:rsid w:val="00405F8C"/>
    <w:rsid w:val="004063EE"/>
    <w:rsid w:val="0040699A"/>
    <w:rsid w:val="004069EB"/>
    <w:rsid w:val="00406A14"/>
    <w:rsid w:val="00406B3A"/>
    <w:rsid w:val="00406C30"/>
    <w:rsid w:val="00406DA9"/>
    <w:rsid w:val="00407204"/>
    <w:rsid w:val="00407521"/>
    <w:rsid w:val="0040793D"/>
    <w:rsid w:val="0041067E"/>
    <w:rsid w:val="004107DD"/>
    <w:rsid w:val="004108BC"/>
    <w:rsid w:val="00410ACD"/>
    <w:rsid w:val="00410D70"/>
    <w:rsid w:val="00411041"/>
    <w:rsid w:val="0041109D"/>
    <w:rsid w:val="00411AF9"/>
    <w:rsid w:val="00411C4E"/>
    <w:rsid w:val="0041268A"/>
    <w:rsid w:val="00412A67"/>
    <w:rsid w:val="00412C6F"/>
    <w:rsid w:val="0041303F"/>
    <w:rsid w:val="00413589"/>
    <w:rsid w:val="00413955"/>
    <w:rsid w:val="0041480A"/>
    <w:rsid w:val="0041483E"/>
    <w:rsid w:val="00414B0C"/>
    <w:rsid w:val="00414D9A"/>
    <w:rsid w:val="00415396"/>
    <w:rsid w:val="00415659"/>
    <w:rsid w:val="00415A55"/>
    <w:rsid w:val="00415F13"/>
    <w:rsid w:val="00416C0A"/>
    <w:rsid w:val="00416D7C"/>
    <w:rsid w:val="004171B2"/>
    <w:rsid w:val="004172EF"/>
    <w:rsid w:val="00417DF6"/>
    <w:rsid w:val="004201FC"/>
    <w:rsid w:val="004202DD"/>
    <w:rsid w:val="0042037B"/>
    <w:rsid w:val="00420A2C"/>
    <w:rsid w:val="00420B96"/>
    <w:rsid w:val="00420C47"/>
    <w:rsid w:val="00420D67"/>
    <w:rsid w:val="00420E30"/>
    <w:rsid w:val="0042113F"/>
    <w:rsid w:val="00421308"/>
    <w:rsid w:val="00421A83"/>
    <w:rsid w:val="00421D08"/>
    <w:rsid w:val="00421FD0"/>
    <w:rsid w:val="004220B2"/>
    <w:rsid w:val="00422277"/>
    <w:rsid w:val="004224B3"/>
    <w:rsid w:val="00422804"/>
    <w:rsid w:val="00422B78"/>
    <w:rsid w:val="004231D7"/>
    <w:rsid w:val="0042349D"/>
    <w:rsid w:val="00423876"/>
    <w:rsid w:val="004238BD"/>
    <w:rsid w:val="00423A41"/>
    <w:rsid w:val="00423BA5"/>
    <w:rsid w:val="00423C1D"/>
    <w:rsid w:val="00423CCC"/>
    <w:rsid w:val="00423D26"/>
    <w:rsid w:val="00423E4D"/>
    <w:rsid w:val="00424295"/>
    <w:rsid w:val="00425091"/>
    <w:rsid w:val="004252C3"/>
    <w:rsid w:val="00425556"/>
    <w:rsid w:val="004256CF"/>
    <w:rsid w:val="00425F26"/>
    <w:rsid w:val="00425F27"/>
    <w:rsid w:val="004270C6"/>
    <w:rsid w:val="00427180"/>
    <w:rsid w:val="00427550"/>
    <w:rsid w:val="00427832"/>
    <w:rsid w:val="00427EF9"/>
    <w:rsid w:val="00430168"/>
    <w:rsid w:val="004302B1"/>
    <w:rsid w:val="004302F7"/>
    <w:rsid w:val="0043042C"/>
    <w:rsid w:val="0043089A"/>
    <w:rsid w:val="00430B99"/>
    <w:rsid w:val="00432049"/>
    <w:rsid w:val="00432240"/>
    <w:rsid w:val="004324DC"/>
    <w:rsid w:val="004326AD"/>
    <w:rsid w:val="004326DC"/>
    <w:rsid w:val="00432774"/>
    <w:rsid w:val="004327DB"/>
    <w:rsid w:val="00432BD0"/>
    <w:rsid w:val="00432FE1"/>
    <w:rsid w:val="00433024"/>
    <w:rsid w:val="00433318"/>
    <w:rsid w:val="00433846"/>
    <w:rsid w:val="00433B45"/>
    <w:rsid w:val="00433D75"/>
    <w:rsid w:val="00433E4C"/>
    <w:rsid w:val="004344D0"/>
    <w:rsid w:val="00434916"/>
    <w:rsid w:val="004350AB"/>
    <w:rsid w:val="00435615"/>
    <w:rsid w:val="004356F7"/>
    <w:rsid w:val="00435972"/>
    <w:rsid w:val="00435F59"/>
    <w:rsid w:val="00436862"/>
    <w:rsid w:val="004373A6"/>
    <w:rsid w:val="0043757E"/>
    <w:rsid w:val="00437716"/>
    <w:rsid w:val="00440045"/>
    <w:rsid w:val="00440225"/>
    <w:rsid w:val="00440386"/>
    <w:rsid w:val="004403F8"/>
    <w:rsid w:val="0044072F"/>
    <w:rsid w:val="00440F51"/>
    <w:rsid w:val="00441224"/>
    <w:rsid w:val="004415CE"/>
    <w:rsid w:val="0044177A"/>
    <w:rsid w:val="0044205F"/>
    <w:rsid w:val="004428CA"/>
    <w:rsid w:val="004429E4"/>
    <w:rsid w:val="00442B45"/>
    <w:rsid w:val="004434AC"/>
    <w:rsid w:val="004435EA"/>
    <w:rsid w:val="00443B07"/>
    <w:rsid w:val="00444241"/>
    <w:rsid w:val="004443F6"/>
    <w:rsid w:val="00444CF4"/>
    <w:rsid w:val="00444DCA"/>
    <w:rsid w:val="00444E08"/>
    <w:rsid w:val="0044537C"/>
    <w:rsid w:val="00445547"/>
    <w:rsid w:val="00445B07"/>
    <w:rsid w:val="00445B76"/>
    <w:rsid w:val="00445B92"/>
    <w:rsid w:val="00445D10"/>
    <w:rsid w:val="00445DC4"/>
    <w:rsid w:val="004465CC"/>
    <w:rsid w:val="004466D6"/>
    <w:rsid w:val="004467D6"/>
    <w:rsid w:val="00446B97"/>
    <w:rsid w:val="00446F01"/>
    <w:rsid w:val="00446F8C"/>
    <w:rsid w:val="0044706B"/>
    <w:rsid w:val="004476BB"/>
    <w:rsid w:val="004476C4"/>
    <w:rsid w:val="004476D9"/>
    <w:rsid w:val="00447943"/>
    <w:rsid w:val="00447DE4"/>
    <w:rsid w:val="00447E38"/>
    <w:rsid w:val="00447E6F"/>
    <w:rsid w:val="004504BF"/>
    <w:rsid w:val="004506EB"/>
    <w:rsid w:val="00450D40"/>
    <w:rsid w:val="00450D78"/>
    <w:rsid w:val="004512D1"/>
    <w:rsid w:val="00451711"/>
    <w:rsid w:val="004518B2"/>
    <w:rsid w:val="00451997"/>
    <w:rsid w:val="00451A67"/>
    <w:rsid w:val="004520FB"/>
    <w:rsid w:val="00452286"/>
    <w:rsid w:val="00452289"/>
    <w:rsid w:val="0045231A"/>
    <w:rsid w:val="004526FD"/>
    <w:rsid w:val="00452894"/>
    <w:rsid w:val="00452A3A"/>
    <w:rsid w:val="00453196"/>
    <w:rsid w:val="004531F6"/>
    <w:rsid w:val="00453375"/>
    <w:rsid w:val="00453499"/>
    <w:rsid w:val="004536C5"/>
    <w:rsid w:val="00453961"/>
    <w:rsid w:val="00453B03"/>
    <w:rsid w:val="00453B69"/>
    <w:rsid w:val="00453FB6"/>
    <w:rsid w:val="0045404D"/>
    <w:rsid w:val="004540A4"/>
    <w:rsid w:val="0045446C"/>
    <w:rsid w:val="0045465B"/>
    <w:rsid w:val="00454ACD"/>
    <w:rsid w:val="00454E14"/>
    <w:rsid w:val="00454EAF"/>
    <w:rsid w:val="004556AA"/>
    <w:rsid w:val="0045597A"/>
    <w:rsid w:val="00455A96"/>
    <w:rsid w:val="00455D30"/>
    <w:rsid w:val="0045631E"/>
    <w:rsid w:val="004565EC"/>
    <w:rsid w:val="00456A82"/>
    <w:rsid w:val="00456FC2"/>
    <w:rsid w:val="00457077"/>
    <w:rsid w:val="004576BD"/>
    <w:rsid w:val="00457814"/>
    <w:rsid w:val="00460167"/>
    <w:rsid w:val="004602FD"/>
    <w:rsid w:val="0046041F"/>
    <w:rsid w:val="00461008"/>
    <w:rsid w:val="004611D3"/>
    <w:rsid w:val="00461294"/>
    <w:rsid w:val="004613F3"/>
    <w:rsid w:val="0046167F"/>
    <w:rsid w:val="004617EF"/>
    <w:rsid w:val="004619A4"/>
    <w:rsid w:val="00461A4B"/>
    <w:rsid w:val="00461A54"/>
    <w:rsid w:val="00461CCA"/>
    <w:rsid w:val="00462661"/>
    <w:rsid w:val="004631C2"/>
    <w:rsid w:val="00463491"/>
    <w:rsid w:val="004638E4"/>
    <w:rsid w:val="00463B4E"/>
    <w:rsid w:val="00463D10"/>
    <w:rsid w:val="004647B6"/>
    <w:rsid w:val="00464DDB"/>
    <w:rsid w:val="0046527F"/>
    <w:rsid w:val="00465D35"/>
    <w:rsid w:val="00466335"/>
    <w:rsid w:val="00466D52"/>
    <w:rsid w:val="00466F9A"/>
    <w:rsid w:val="004675BA"/>
    <w:rsid w:val="00467C94"/>
    <w:rsid w:val="00470585"/>
    <w:rsid w:val="00470D3E"/>
    <w:rsid w:val="00470E07"/>
    <w:rsid w:val="004711A2"/>
    <w:rsid w:val="0047179A"/>
    <w:rsid w:val="00471B26"/>
    <w:rsid w:val="00471C97"/>
    <w:rsid w:val="00471DA2"/>
    <w:rsid w:val="00471DA9"/>
    <w:rsid w:val="00471F8E"/>
    <w:rsid w:val="004724BF"/>
    <w:rsid w:val="0047262B"/>
    <w:rsid w:val="0047268D"/>
    <w:rsid w:val="00472A0E"/>
    <w:rsid w:val="0047319C"/>
    <w:rsid w:val="004734C0"/>
    <w:rsid w:val="004736CE"/>
    <w:rsid w:val="00473C49"/>
    <w:rsid w:val="004742C9"/>
    <w:rsid w:val="004745A6"/>
    <w:rsid w:val="00474818"/>
    <w:rsid w:val="00474DCB"/>
    <w:rsid w:val="0047536B"/>
    <w:rsid w:val="0047542A"/>
    <w:rsid w:val="00475D4F"/>
    <w:rsid w:val="00475DFA"/>
    <w:rsid w:val="00476572"/>
    <w:rsid w:val="00476A08"/>
    <w:rsid w:val="00476F13"/>
    <w:rsid w:val="004772A2"/>
    <w:rsid w:val="004775B7"/>
    <w:rsid w:val="00478836"/>
    <w:rsid w:val="0047D039"/>
    <w:rsid w:val="0048029D"/>
    <w:rsid w:val="004802B7"/>
    <w:rsid w:val="0048045A"/>
    <w:rsid w:val="004805DC"/>
    <w:rsid w:val="00480715"/>
    <w:rsid w:val="00480D19"/>
    <w:rsid w:val="00481435"/>
    <w:rsid w:val="004817F5"/>
    <w:rsid w:val="00481CF8"/>
    <w:rsid w:val="00481E03"/>
    <w:rsid w:val="00482527"/>
    <w:rsid w:val="00482C6E"/>
    <w:rsid w:val="004830B9"/>
    <w:rsid w:val="00483524"/>
    <w:rsid w:val="004839BE"/>
    <w:rsid w:val="00483E15"/>
    <w:rsid w:val="004844D6"/>
    <w:rsid w:val="00484935"/>
    <w:rsid w:val="004858CE"/>
    <w:rsid w:val="00485971"/>
    <w:rsid w:val="00485A46"/>
    <w:rsid w:val="004862D2"/>
    <w:rsid w:val="004863CE"/>
    <w:rsid w:val="00486774"/>
    <w:rsid w:val="00486918"/>
    <w:rsid w:val="00486B49"/>
    <w:rsid w:val="00486B88"/>
    <w:rsid w:val="0048707E"/>
    <w:rsid w:val="004870E4"/>
    <w:rsid w:val="00487114"/>
    <w:rsid w:val="00487A67"/>
    <w:rsid w:val="0049003B"/>
    <w:rsid w:val="00491147"/>
    <w:rsid w:val="004911D8"/>
    <w:rsid w:val="00491636"/>
    <w:rsid w:val="00491C33"/>
    <w:rsid w:val="00491DAD"/>
    <w:rsid w:val="00492701"/>
    <w:rsid w:val="00492983"/>
    <w:rsid w:val="00492BA6"/>
    <w:rsid w:val="00492FCF"/>
    <w:rsid w:val="004934A6"/>
    <w:rsid w:val="00493A3E"/>
    <w:rsid w:val="004940BF"/>
    <w:rsid w:val="004940CD"/>
    <w:rsid w:val="00494125"/>
    <w:rsid w:val="00494A5C"/>
    <w:rsid w:val="00494A6A"/>
    <w:rsid w:val="0049537B"/>
    <w:rsid w:val="00495443"/>
    <w:rsid w:val="00495551"/>
    <w:rsid w:val="00495754"/>
    <w:rsid w:val="004958F8"/>
    <w:rsid w:val="00496116"/>
    <w:rsid w:val="00496171"/>
    <w:rsid w:val="004966C6"/>
    <w:rsid w:val="004966D0"/>
    <w:rsid w:val="00496C19"/>
    <w:rsid w:val="00497A12"/>
    <w:rsid w:val="00497AE9"/>
    <w:rsid w:val="00497E6D"/>
    <w:rsid w:val="004A0614"/>
    <w:rsid w:val="004A08EC"/>
    <w:rsid w:val="004A0CB0"/>
    <w:rsid w:val="004A0D20"/>
    <w:rsid w:val="004A0DE2"/>
    <w:rsid w:val="004A141B"/>
    <w:rsid w:val="004A14B8"/>
    <w:rsid w:val="004A1643"/>
    <w:rsid w:val="004A1694"/>
    <w:rsid w:val="004A1975"/>
    <w:rsid w:val="004A1CAD"/>
    <w:rsid w:val="004A1D85"/>
    <w:rsid w:val="004A2126"/>
    <w:rsid w:val="004A253D"/>
    <w:rsid w:val="004A2C3A"/>
    <w:rsid w:val="004A2D43"/>
    <w:rsid w:val="004A2E89"/>
    <w:rsid w:val="004A3326"/>
    <w:rsid w:val="004A3330"/>
    <w:rsid w:val="004A34AA"/>
    <w:rsid w:val="004A353A"/>
    <w:rsid w:val="004A35AC"/>
    <w:rsid w:val="004A3753"/>
    <w:rsid w:val="004A39D7"/>
    <w:rsid w:val="004A3AE0"/>
    <w:rsid w:val="004A40B8"/>
    <w:rsid w:val="004A42A2"/>
    <w:rsid w:val="004A4B40"/>
    <w:rsid w:val="004A4EC6"/>
    <w:rsid w:val="004A52DE"/>
    <w:rsid w:val="004A52FA"/>
    <w:rsid w:val="004A5D8A"/>
    <w:rsid w:val="004A61BF"/>
    <w:rsid w:val="004A638E"/>
    <w:rsid w:val="004A7581"/>
    <w:rsid w:val="004A768C"/>
    <w:rsid w:val="004A7A3F"/>
    <w:rsid w:val="004A7E39"/>
    <w:rsid w:val="004B083B"/>
    <w:rsid w:val="004B09FE"/>
    <w:rsid w:val="004B0A10"/>
    <w:rsid w:val="004B1666"/>
    <w:rsid w:val="004B22CF"/>
    <w:rsid w:val="004B252B"/>
    <w:rsid w:val="004B2A6A"/>
    <w:rsid w:val="004B2FEE"/>
    <w:rsid w:val="004B321F"/>
    <w:rsid w:val="004B3B31"/>
    <w:rsid w:val="004B3D03"/>
    <w:rsid w:val="004B3E73"/>
    <w:rsid w:val="004B44D6"/>
    <w:rsid w:val="004B4615"/>
    <w:rsid w:val="004B4679"/>
    <w:rsid w:val="004B498C"/>
    <w:rsid w:val="004B4D36"/>
    <w:rsid w:val="004B4EEE"/>
    <w:rsid w:val="004B5331"/>
    <w:rsid w:val="004B56ED"/>
    <w:rsid w:val="004B5896"/>
    <w:rsid w:val="004B647C"/>
    <w:rsid w:val="004B6A10"/>
    <w:rsid w:val="004B6D6D"/>
    <w:rsid w:val="004B7A4E"/>
    <w:rsid w:val="004C0266"/>
    <w:rsid w:val="004C07F1"/>
    <w:rsid w:val="004C0A52"/>
    <w:rsid w:val="004C0EB1"/>
    <w:rsid w:val="004C1059"/>
    <w:rsid w:val="004C135D"/>
    <w:rsid w:val="004C1D27"/>
    <w:rsid w:val="004C1FBD"/>
    <w:rsid w:val="004C2BC3"/>
    <w:rsid w:val="004C2C9B"/>
    <w:rsid w:val="004C3EDB"/>
    <w:rsid w:val="004C3EFA"/>
    <w:rsid w:val="004C514E"/>
    <w:rsid w:val="004C54C1"/>
    <w:rsid w:val="004C56A9"/>
    <w:rsid w:val="004C5F10"/>
    <w:rsid w:val="004C6348"/>
    <w:rsid w:val="004C6952"/>
    <w:rsid w:val="004C7159"/>
    <w:rsid w:val="004C721C"/>
    <w:rsid w:val="004C7A31"/>
    <w:rsid w:val="004C7D6F"/>
    <w:rsid w:val="004D0052"/>
    <w:rsid w:val="004D0094"/>
    <w:rsid w:val="004D021D"/>
    <w:rsid w:val="004D09F7"/>
    <w:rsid w:val="004D0E83"/>
    <w:rsid w:val="004D1248"/>
    <w:rsid w:val="004D27CC"/>
    <w:rsid w:val="004D337B"/>
    <w:rsid w:val="004D3594"/>
    <w:rsid w:val="004D3605"/>
    <w:rsid w:val="004D3D6E"/>
    <w:rsid w:val="004D3E5E"/>
    <w:rsid w:val="004D3F22"/>
    <w:rsid w:val="004D45C9"/>
    <w:rsid w:val="004D47B9"/>
    <w:rsid w:val="004D4A50"/>
    <w:rsid w:val="004D4A68"/>
    <w:rsid w:val="004D526B"/>
    <w:rsid w:val="004D555C"/>
    <w:rsid w:val="004D5904"/>
    <w:rsid w:val="004D5A07"/>
    <w:rsid w:val="004D5A14"/>
    <w:rsid w:val="004D5CBC"/>
    <w:rsid w:val="004D6133"/>
    <w:rsid w:val="004D63E5"/>
    <w:rsid w:val="004D6672"/>
    <w:rsid w:val="004D69E5"/>
    <w:rsid w:val="004D6B27"/>
    <w:rsid w:val="004D711F"/>
    <w:rsid w:val="004D7228"/>
    <w:rsid w:val="004D7F25"/>
    <w:rsid w:val="004E0D34"/>
    <w:rsid w:val="004E1072"/>
    <w:rsid w:val="004E1080"/>
    <w:rsid w:val="004E14B0"/>
    <w:rsid w:val="004E1BC7"/>
    <w:rsid w:val="004E1BFF"/>
    <w:rsid w:val="004E1E28"/>
    <w:rsid w:val="004E1EB5"/>
    <w:rsid w:val="004E2ED7"/>
    <w:rsid w:val="004E360E"/>
    <w:rsid w:val="004E3904"/>
    <w:rsid w:val="004E3F18"/>
    <w:rsid w:val="004E3FD3"/>
    <w:rsid w:val="004E4181"/>
    <w:rsid w:val="004E43DD"/>
    <w:rsid w:val="004E464B"/>
    <w:rsid w:val="004E4CFA"/>
    <w:rsid w:val="004E4EE6"/>
    <w:rsid w:val="004E4FA3"/>
    <w:rsid w:val="004E5007"/>
    <w:rsid w:val="004E5265"/>
    <w:rsid w:val="004E52C8"/>
    <w:rsid w:val="004E54FC"/>
    <w:rsid w:val="004E55C9"/>
    <w:rsid w:val="004E5819"/>
    <w:rsid w:val="004E5863"/>
    <w:rsid w:val="004E60FF"/>
    <w:rsid w:val="004E68A7"/>
    <w:rsid w:val="004E6D16"/>
    <w:rsid w:val="004E7BC9"/>
    <w:rsid w:val="004E7C8E"/>
    <w:rsid w:val="004F0596"/>
    <w:rsid w:val="004F0626"/>
    <w:rsid w:val="004F0858"/>
    <w:rsid w:val="004F12D8"/>
    <w:rsid w:val="004F13E0"/>
    <w:rsid w:val="004F19A6"/>
    <w:rsid w:val="004F1AA7"/>
    <w:rsid w:val="004F1EC3"/>
    <w:rsid w:val="004F235F"/>
    <w:rsid w:val="004F270F"/>
    <w:rsid w:val="004F2C60"/>
    <w:rsid w:val="004F2CB7"/>
    <w:rsid w:val="004F2D76"/>
    <w:rsid w:val="004F2E47"/>
    <w:rsid w:val="004F2E6A"/>
    <w:rsid w:val="004F37B3"/>
    <w:rsid w:val="004F3E48"/>
    <w:rsid w:val="004F41B7"/>
    <w:rsid w:val="004F4268"/>
    <w:rsid w:val="004F43EB"/>
    <w:rsid w:val="004F45DA"/>
    <w:rsid w:val="004F4CB4"/>
    <w:rsid w:val="004F52EA"/>
    <w:rsid w:val="004F5461"/>
    <w:rsid w:val="004F5CE1"/>
    <w:rsid w:val="004F61BC"/>
    <w:rsid w:val="004F6AA5"/>
    <w:rsid w:val="004F70AC"/>
    <w:rsid w:val="004F7196"/>
    <w:rsid w:val="004F75ED"/>
    <w:rsid w:val="004F7AF3"/>
    <w:rsid w:val="005004EE"/>
    <w:rsid w:val="005007FA"/>
    <w:rsid w:val="005009CF"/>
    <w:rsid w:val="00500DDE"/>
    <w:rsid w:val="00500F5E"/>
    <w:rsid w:val="005012FC"/>
    <w:rsid w:val="00501DDC"/>
    <w:rsid w:val="00501E1E"/>
    <w:rsid w:val="00502060"/>
    <w:rsid w:val="0050265C"/>
    <w:rsid w:val="005026DE"/>
    <w:rsid w:val="005026E8"/>
    <w:rsid w:val="00502CD8"/>
    <w:rsid w:val="00502E44"/>
    <w:rsid w:val="00502F5A"/>
    <w:rsid w:val="00502FB8"/>
    <w:rsid w:val="005030A1"/>
    <w:rsid w:val="00503175"/>
    <w:rsid w:val="00503254"/>
    <w:rsid w:val="005032E9"/>
    <w:rsid w:val="00503BD0"/>
    <w:rsid w:val="00503D25"/>
    <w:rsid w:val="0050416B"/>
    <w:rsid w:val="00504AEE"/>
    <w:rsid w:val="00504C0D"/>
    <w:rsid w:val="00504D67"/>
    <w:rsid w:val="00505170"/>
    <w:rsid w:val="00505320"/>
    <w:rsid w:val="0050532B"/>
    <w:rsid w:val="00505352"/>
    <w:rsid w:val="00505915"/>
    <w:rsid w:val="00505D3B"/>
    <w:rsid w:val="00506E67"/>
    <w:rsid w:val="00506E81"/>
    <w:rsid w:val="00507481"/>
    <w:rsid w:val="0050766B"/>
    <w:rsid w:val="0050794A"/>
    <w:rsid w:val="00507D58"/>
    <w:rsid w:val="00507E2E"/>
    <w:rsid w:val="00510ED7"/>
    <w:rsid w:val="00511134"/>
    <w:rsid w:val="005111F7"/>
    <w:rsid w:val="00511286"/>
    <w:rsid w:val="005117F6"/>
    <w:rsid w:val="00511931"/>
    <w:rsid w:val="0051232B"/>
    <w:rsid w:val="00512384"/>
    <w:rsid w:val="005125D2"/>
    <w:rsid w:val="00512AA1"/>
    <w:rsid w:val="00513B93"/>
    <w:rsid w:val="00513ED6"/>
    <w:rsid w:val="00514121"/>
    <w:rsid w:val="005143F2"/>
    <w:rsid w:val="00514606"/>
    <w:rsid w:val="00514761"/>
    <w:rsid w:val="00514B33"/>
    <w:rsid w:val="00514BDB"/>
    <w:rsid w:val="005152E4"/>
    <w:rsid w:val="00515A18"/>
    <w:rsid w:val="00515B6B"/>
    <w:rsid w:val="00515C4C"/>
    <w:rsid w:val="005160B0"/>
    <w:rsid w:val="00516732"/>
    <w:rsid w:val="00516FDA"/>
    <w:rsid w:val="0051720A"/>
    <w:rsid w:val="005173CC"/>
    <w:rsid w:val="005176C6"/>
    <w:rsid w:val="00517972"/>
    <w:rsid w:val="0051798D"/>
    <w:rsid w:val="00517C5C"/>
    <w:rsid w:val="00519D74"/>
    <w:rsid w:val="005201FE"/>
    <w:rsid w:val="00520216"/>
    <w:rsid w:val="00520834"/>
    <w:rsid w:val="005208DE"/>
    <w:rsid w:val="00521090"/>
    <w:rsid w:val="005212D2"/>
    <w:rsid w:val="00521844"/>
    <w:rsid w:val="00522183"/>
    <w:rsid w:val="00522500"/>
    <w:rsid w:val="00522A59"/>
    <w:rsid w:val="00522D44"/>
    <w:rsid w:val="00522F61"/>
    <w:rsid w:val="0052343E"/>
    <w:rsid w:val="0052351C"/>
    <w:rsid w:val="005244FF"/>
    <w:rsid w:val="00524A0B"/>
    <w:rsid w:val="00524C83"/>
    <w:rsid w:val="00525869"/>
    <w:rsid w:val="00525CC0"/>
    <w:rsid w:val="005262C3"/>
    <w:rsid w:val="00526353"/>
    <w:rsid w:val="00526534"/>
    <w:rsid w:val="005265C1"/>
    <w:rsid w:val="00526D8E"/>
    <w:rsid w:val="005273AC"/>
    <w:rsid w:val="00527703"/>
    <w:rsid w:val="00527EEF"/>
    <w:rsid w:val="00527FA4"/>
    <w:rsid w:val="005307B3"/>
    <w:rsid w:val="00530C90"/>
    <w:rsid w:val="00530FB9"/>
    <w:rsid w:val="0053112A"/>
    <w:rsid w:val="0053254B"/>
    <w:rsid w:val="005334A9"/>
    <w:rsid w:val="00533800"/>
    <w:rsid w:val="005338E3"/>
    <w:rsid w:val="00533A2D"/>
    <w:rsid w:val="00533C8A"/>
    <w:rsid w:val="00533EC4"/>
    <w:rsid w:val="005341C4"/>
    <w:rsid w:val="00534423"/>
    <w:rsid w:val="00534576"/>
    <w:rsid w:val="0053512B"/>
    <w:rsid w:val="005351E8"/>
    <w:rsid w:val="00535392"/>
    <w:rsid w:val="0053594F"/>
    <w:rsid w:val="00535FB0"/>
    <w:rsid w:val="00536042"/>
    <w:rsid w:val="005360C3"/>
    <w:rsid w:val="00536777"/>
    <w:rsid w:val="00536822"/>
    <w:rsid w:val="00536F06"/>
    <w:rsid w:val="005371FB"/>
    <w:rsid w:val="00537262"/>
    <w:rsid w:val="005374BC"/>
    <w:rsid w:val="0053777A"/>
    <w:rsid w:val="00537EF7"/>
    <w:rsid w:val="005402A7"/>
    <w:rsid w:val="005402CB"/>
    <w:rsid w:val="00540B00"/>
    <w:rsid w:val="0054133C"/>
    <w:rsid w:val="00541DAC"/>
    <w:rsid w:val="0054218E"/>
    <w:rsid w:val="005425D3"/>
    <w:rsid w:val="00542BAB"/>
    <w:rsid w:val="00542CB3"/>
    <w:rsid w:val="0054304C"/>
    <w:rsid w:val="00543056"/>
    <w:rsid w:val="005430B8"/>
    <w:rsid w:val="0054314E"/>
    <w:rsid w:val="00543463"/>
    <w:rsid w:val="00543820"/>
    <w:rsid w:val="00543C2A"/>
    <w:rsid w:val="00543E15"/>
    <w:rsid w:val="00543EF3"/>
    <w:rsid w:val="00544465"/>
    <w:rsid w:val="0054483C"/>
    <w:rsid w:val="005448F8"/>
    <w:rsid w:val="00544A75"/>
    <w:rsid w:val="00545032"/>
    <w:rsid w:val="00545171"/>
    <w:rsid w:val="005451B8"/>
    <w:rsid w:val="00545381"/>
    <w:rsid w:val="0054580B"/>
    <w:rsid w:val="005459ED"/>
    <w:rsid w:val="00545AE0"/>
    <w:rsid w:val="00545B7D"/>
    <w:rsid w:val="00545DC1"/>
    <w:rsid w:val="0054607D"/>
    <w:rsid w:val="005460A6"/>
    <w:rsid w:val="0054623F"/>
    <w:rsid w:val="005467D0"/>
    <w:rsid w:val="00546A7A"/>
    <w:rsid w:val="00546C59"/>
    <w:rsid w:val="00546CB1"/>
    <w:rsid w:val="00546DE3"/>
    <w:rsid w:val="005472F3"/>
    <w:rsid w:val="0054737A"/>
    <w:rsid w:val="0054753C"/>
    <w:rsid w:val="005478C6"/>
    <w:rsid w:val="00547DBE"/>
    <w:rsid w:val="00547FBA"/>
    <w:rsid w:val="0055000F"/>
    <w:rsid w:val="005500B2"/>
    <w:rsid w:val="005501A6"/>
    <w:rsid w:val="005502F9"/>
    <w:rsid w:val="00550386"/>
    <w:rsid w:val="0055046F"/>
    <w:rsid w:val="00551120"/>
    <w:rsid w:val="00551375"/>
    <w:rsid w:val="0055164E"/>
    <w:rsid w:val="00551B54"/>
    <w:rsid w:val="00552185"/>
    <w:rsid w:val="0055233E"/>
    <w:rsid w:val="0055241C"/>
    <w:rsid w:val="00552429"/>
    <w:rsid w:val="00552788"/>
    <w:rsid w:val="005529D4"/>
    <w:rsid w:val="00552EA7"/>
    <w:rsid w:val="00552F30"/>
    <w:rsid w:val="005532A4"/>
    <w:rsid w:val="005534A6"/>
    <w:rsid w:val="005535DE"/>
    <w:rsid w:val="00553698"/>
    <w:rsid w:val="005536CC"/>
    <w:rsid w:val="00553DA8"/>
    <w:rsid w:val="00554390"/>
    <w:rsid w:val="005546D8"/>
    <w:rsid w:val="00554878"/>
    <w:rsid w:val="00554BE1"/>
    <w:rsid w:val="00554ED3"/>
    <w:rsid w:val="00554EE8"/>
    <w:rsid w:val="00555141"/>
    <w:rsid w:val="0055546A"/>
    <w:rsid w:val="00555565"/>
    <w:rsid w:val="00555749"/>
    <w:rsid w:val="005559F0"/>
    <w:rsid w:val="00555A30"/>
    <w:rsid w:val="00555B23"/>
    <w:rsid w:val="00555FDF"/>
    <w:rsid w:val="00556064"/>
    <w:rsid w:val="005562E3"/>
    <w:rsid w:val="005562E4"/>
    <w:rsid w:val="005566FC"/>
    <w:rsid w:val="005568C9"/>
    <w:rsid w:val="00557134"/>
    <w:rsid w:val="0055720D"/>
    <w:rsid w:val="005574C0"/>
    <w:rsid w:val="0055755D"/>
    <w:rsid w:val="0055771D"/>
    <w:rsid w:val="00557A64"/>
    <w:rsid w:val="0056037A"/>
    <w:rsid w:val="00561156"/>
    <w:rsid w:val="005613F9"/>
    <w:rsid w:val="0056174C"/>
    <w:rsid w:val="005617BA"/>
    <w:rsid w:val="00561DD4"/>
    <w:rsid w:val="00561F9E"/>
    <w:rsid w:val="0056210F"/>
    <w:rsid w:val="00562137"/>
    <w:rsid w:val="005622F7"/>
    <w:rsid w:val="005625D7"/>
    <w:rsid w:val="00562997"/>
    <w:rsid w:val="005630D5"/>
    <w:rsid w:val="00563509"/>
    <w:rsid w:val="00564A82"/>
    <w:rsid w:val="00564F13"/>
    <w:rsid w:val="00564FD6"/>
    <w:rsid w:val="00565179"/>
    <w:rsid w:val="00565203"/>
    <w:rsid w:val="00565C75"/>
    <w:rsid w:val="00566930"/>
    <w:rsid w:val="00566EE8"/>
    <w:rsid w:val="00567024"/>
    <w:rsid w:val="005670E2"/>
    <w:rsid w:val="005671ED"/>
    <w:rsid w:val="00567E65"/>
    <w:rsid w:val="00567EFF"/>
    <w:rsid w:val="0057037E"/>
    <w:rsid w:val="005704C6"/>
    <w:rsid w:val="0057056D"/>
    <w:rsid w:val="00571405"/>
    <w:rsid w:val="00571581"/>
    <w:rsid w:val="005717A3"/>
    <w:rsid w:val="00571E3F"/>
    <w:rsid w:val="00571E9A"/>
    <w:rsid w:val="00571F36"/>
    <w:rsid w:val="00571F58"/>
    <w:rsid w:val="00572008"/>
    <w:rsid w:val="00572307"/>
    <w:rsid w:val="00572672"/>
    <w:rsid w:val="00572704"/>
    <w:rsid w:val="005728D8"/>
    <w:rsid w:val="005729AB"/>
    <w:rsid w:val="005730CC"/>
    <w:rsid w:val="00573332"/>
    <w:rsid w:val="005734BE"/>
    <w:rsid w:val="00573C86"/>
    <w:rsid w:val="0057426A"/>
    <w:rsid w:val="0057444D"/>
    <w:rsid w:val="00574658"/>
    <w:rsid w:val="00574A9E"/>
    <w:rsid w:val="0057510A"/>
    <w:rsid w:val="005758C7"/>
    <w:rsid w:val="00575AE6"/>
    <w:rsid w:val="00575C31"/>
    <w:rsid w:val="0057683A"/>
    <w:rsid w:val="00576843"/>
    <w:rsid w:val="00577154"/>
    <w:rsid w:val="00577290"/>
    <w:rsid w:val="0057756C"/>
    <w:rsid w:val="005776AC"/>
    <w:rsid w:val="00577C51"/>
    <w:rsid w:val="00577F81"/>
    <w:rsid w:val="0058037F"/>
    <w:rsid w:val="00580A69"/>
    <w:rsid w:val="00580E3B"/>
    <w:rsid w:val="00581031"/>
    <w:rsid w:val="0058107B"/>
    <w:rsid w:val="00581303"/>
    <w:rsid w:val="005813FE"/>
    <w:rsid w:val="005818BE"/>
    <w:rsid w:val="00581B96"/>
    <w:rsid w:val="005825DE"/>
    <w:rsid w:val="0058263F"/>
    <w:rsid w:val="00582DC4"/>
    <w:rsid w:val="005831D7"/>
    <w:rsid w:val="0058426C"/>
    <w:rsid w:val="00584477"/>
    <w:rsid w:val="00584657"/>
    <w:rsid w:val="0058467D"/>
    <w:rsid w:val="00584763"/>
    <w:rsid w:val="00584970"/>
    <w:rsid w:val="005856DD"/>
    <w:rsid w:val="00585824"/>
    <w:rsid w:val="0058583E"/>
    <w:rsid w:val="00585B4F"/>
    <w:rsid w:val="00585D47"/>
    <w:rsid w:val="005861BC"/>
    <w:rsid w:val="005870ED"/>
    <w:rsid w:val="00587121"/>
    <w:rsid w:val="0058756A"/>
    <w:rsid w:val="00587DE6"/>
    <w:rsid w:val="00587EEE"/>
    <w:rsid w:val="00590015"/>
    <w:rsid w:val="0059024A"/>
    <w:rsid w:val="00590601"/>
    <w:rsid w:val="0059069C"/>
    <w:rsid w:val="00590BED"/>
    <w:rsid w:val="00590C35"/>
    <w:rsid w:val="00590CDA"/>
    <w:rsid w:val="005919FE"/>
    <w:rsid w:val="00591AB7"/>
    <w:rsid w:val="0059221D"/>
    <w:rsid w:val="00592763"/>
    <w:rsid w:val="005928DF"/>
    <w:rsid w:val="0059297C"/>
    <w:rsid w:val="00592B59"/>
    <w:rsid w:val="00592E99"/>
    <w:rsid w:val="0059332D"/>
    <w:rsid w:val="005935C9"/>
    <w:rsid w:val="00593A6F"/>
    <w:rsid w:val="00593BA9"/>
    <w:rsid w:val="00593E31"/>
    <w:rsid w:val="00593E4E"/>
    <w:rsid w:val="00595915"/>
    <w:rsid w:val="0059622A"/>
    <w:rsid w:val="005964E3"/>
    <w:rsid w:val="005964E9"/>
    <w:rsid w:val="005965C2"/>
    <w:rsid w:val="00596BC2"/>
    <w:rsid w:val="00597639"/>
    <w:rsid w:val="005977E6"/>
    <w:rsid w:val="00597996"/>
    <w:rsid w:val="005979C3"/>
    <w:rsid w:val="00597C57"/>
    <w:rsid w:val="005A01E2"/>
    <w:rsid w:val="005A0239"/>
    <w:rsid w:val="005A0475"/>
    <w:rsid w:val="005A0587"/>
    <w:rsid w:val="005A0632"/>
    <w:rsid w:val="005A06E6"/>
    <w:rsid w:val="005A0CF4"/>
    <w:rsid w:val="005A0D30"/>
    <w:rsid w:val="005A1109"/>
    <w:rsid w:val="005A1411"/>
    <w:rsid w:val="005A1CE3"/>
    <w:rsid w:val="005A1FF9"/>
    <w:rsid w:val="005A25F6"/>
    <w:rsid w:val="005A30A7"/>
    <w:rsid w:val="005A3AE1"/>
    <w:rsid w:val="005A3B7A"/>
    <w:rsid w:val="005A401B"/>
    <w:rsid w:val="005A41FD"/>
    <w:rsid w:val="005A4533"/>
    <w:rsid w:val="005A4593"/>
    <w:rsid w:val="005A468F"/>
    <w:rsid w:val="005A4876"/>
    <w:rsid w:val="005A4B51"/>
    <w:rsid w:val="005A5166"/>
    <w:rsid w:val="005A5769"/>
    <w:rsid w:val="005A580F"/>
    <w:rsid w:val="005A5B02"/>
    <w:rsid w:val="005A5B92"/>
    <w:rsid w:val="005A5E73"/>
    <w:rsid w:val="005A6216"/>
    <w:rsid w:val="005A6437"/>
    <w:rsid w:val="005A6E5F"/>
    <w:rsid w:val="005A7277"/>
    <w:rsid w:val="005A72D0"/>
    <w:rsid w:val="005A76AA"/>
    <w:rsid w:val="005A779F"/>
    <w:rsid w:val="005A7950"/>
    <w:rsid w:val="005A7B5D"/>
    <w:rsid w:val="005B022D"/>
    <w:rsid w:val="005B0726"/>
    <w:rsid w:val="005B0898"/>
    <w:rsid w:val="005B0968"/>
    <w:rsid w:val="005B1420"/>
    <w:rsid w:val="005B155E"/>
    <w:rsid w:val="005B18B8"/>
    <w:rsid w:val="005B1B11"/>
    <w:rsid w:val="005B1DC2"/>
    <w:rsid w:val="005B256A"/>
    <w:rsid w:val="005B28FF"/>
    <w:rsid w:val="005B2E4B"/>
    <w:rsid w:val="005B2E56"/>
    <w:rsid w:val="005B2EDA"/>
    <w:rsid w:val="005B3067"/>
    <w:rsid w:val="005B340C"/>
    <w:rsid w:val="005B3682"/>
    <w:rsid w:val="005B3A94"/>
    <w:rsid w:val="005B426F"/>
    <w:rsid w:val="005B4592"/>
    <w:rsid w:val="005B47BD"/>
    <w:rsid w:val="005B48EA"/>
    <w:rsid w:val="005B4C29"/>
    <w:rsid w:val="005B4C9F"/>
    <w:rsid w:val="005B5BD9"/>
    <w:rsid w:val="005B626F"/>
    <w:rsid w:val="005B65AD"/>
    <w:rsid w:val="005B69E6"/>
    <w:rsid w:val="005B6A65"/>
    <w:rsid w:val="005B7822"/>
    <w:rsid w:val="005B7DF4"/>
    <w:rsid w:val="005B7EF6"/>
    <w:rsid w:val="005C02F1"/>
    <w:rsid w:val="005C04E5"/>
    <w:rsid w:val="005C13A3"/>
    <w:rsid w:val="005C13D2"/>
    <w:rsid w:val="005C1419"/>
    <w:rsid w:val="005C2024"/>
    <w:rsid w:val="005C23F7"/>
    <w:rsid w:val="005C268A"/>
    <w:rsid w:val="005C2710"/>
    <w:rsid w:val="005C294A"/>
    <w:rsid w:val="005C2D19"/>
    <w:rsid w:val="005C3249"/>
    <w:rsid w:val="005C331D"/>
    <w:rsid w:val="005C36C6"/>
    <w:rsid w:val="005C37A8"/>
    <w:rsid w:val="005C3BDF"/>
    <w:rsid w:val="005C3EA5"/>
    <w:rsid w:val="005C490B"/>
    <w:rsid w:val="005C4961"/>
    <w:rsid w:val="005C4BF3"/>
    <w:rsid w:val="005C4BFA"/>
    <w:rsid w:val="005C5220"/>
    <w:rsid w:val="005C55C7"/>
    <w:rsid w:val="005C5F68"/>
    <w:rsid w:val="005C623D"/>
    <w:rsid w:val="005C68E1"/>
    <w:rsid w:val="005C6B1F"/>
    <w:rsid w:val="005C6BA5"/>
    <w:rsid w:val="005C6C3D"/>
    <w:rsid w:val="005C7053"/>
    <w:rsid w:val="005C7135"/>
    <w:rsid w:val="005C7580"/>
    <w:rsid w:val="005C75A5"/>
    <w:rsid w:val="005C7AB1"/>
    <w:rsid w:val="005C7CA1"/>
    <w:rsid w:val="005C7E64"/>
    <w:rsid w:val="005D05C4"/>
    <w:rsid w:val="005D05E9"/>
    <w:rsid w:val="005D0832"/>
    <w:rsid w:val="005D0AE2"/>
    <w:rsid w:val="005D133A"/>
    <w:rsid w:val="005D1A13"/>
    <w:rsid w:val="005D1FF1"/>
    <w:rsid w:val="005D21C2"/>
    <w:rsid w:val="005D27F4"/>
    <w:rsid w:val="005D28C2"/>
    <w:rsid w:val="005D2BEA"/>
    <w:rsid w:val="005D300D"/>
    <w:rsid w:val="005D345A"/>
    <w:rsid w:val="005D34AE"/>
    <w:rsid w:val="005D36FA"/>
    <w:rsid w:val="005D3785"/>
    <w:rsid w:val="005D386D"/>
    <w:rsid w:val="005D3C87"/>
    <w:rsid w:val="005D3FB9"/>
    <w:rsid w:val="005D41C9"/>
    <w:rsid w:val="005D44DF"/>
    <w:rsid w:val="005D458B"/>
    <w:rsid w:val="005D46C6"/>
    <w:rsid w:val="005D4AAE"/>
    <w:rsid w:val="005D502F"/>
    <w:rsid w:val="005D50AA"/>
    <w:rsid w:val="005D54B7"/>
    <w:rsid w:val="005D5894"/>
    <w:rsid w:val="005D630A"/>
    <w:rsid w:val="005D6405"/>
    <w:rsid w:val="005D6A78"/>
    <w:rsid w:val="005D76FB"/>
    <w:rsid w:val="005D79AD"/>
    <w:rsid w:val="005D7D42"/>
    <w:rsid w:val="005E01D2"/>
    <w:rsid w:val="005E0678"/>
    <w:rsid w:val="005E09FE"/>
    <w:rsid w:val="005E1CE5"/>
    <w:rsid w:val="005E1E6D"/>
    <w:rsid w:val="005E23D0"/>
    <w:rsid w:val="005E247F"/>
    <w:rsid w:val="005E264D"/>
    <w:rsid w:val="005E269F"/>
    <w:rsid w:val="005E2806"/>
    <w:rsid w:val="005E28AA"/>
    <w:rsid w:val="005E3317"/>
    <w:rsid w:val="005E3518"/>
    <w:rsid w:val="005E389D"/>
    <w:rsid w:val="005E3C27"/>
    <w:rsid w:val="005E3DB5"/>
    <w:rsid w:val="005E4704"/>
    <w:rsid w:val="005E4959"/>
    <w:rsid w:val="005E4B60"/>
    <w:rsid w:val="005E4FED"/>
    <w:rsid w:val="005E5694"/>
    <w:rsid w:val="005E5852"/>
    <w:rsid w:val="005E5A1E"/>
    <w:rsid w:val="005E60E3"/>
    <w:rsid w:val="005E6AA4"/>
    <w:rsid w:val="005E7065"/>
    <w:rsid w:val="005E7077"/>
    <w:rsid w:val="005E7223"/>
    <w:rsid w:val="005E77E1"/>
    <w:rsid w:val="005E7BEF"/>
    <w:rsid w:val="005F00B4"/>
    <w:rsid w:val="005F060C"/>
    <w:rsid w:val="005F0BFA"/>
    <w:rsid w:val="005F1318"/>
    <w:rsid w:val="005F18C2"/>
    <w:rsid w:val="005F20B0"/>
    <w:rsid w:val="005F2245"/>
    <w:rsid w:val="005F22CB"/>
    <w:rsid w:val="005F2C65"/>
    <w:rsid w:val="005F2E0A"/>
    <w:rsid w:val="005F3265"/>
    <w:rsid w:val="005F33B6"/>
    <w:rsid w:val="005F3513"/>
    <w:rsid w:val="005F3E40"/>
    <w:rsid w:val="005F3FA2"/>
    <w:rsid w:val="005F41E8"/>
    <w:rsid w:val="005F4846"/>
    <w:rsid w:val="005F48ED"/>
    <w:rsid w:val="005F4B78"/>
    <w:rsid w:val="005F4B85"/>
    <w:rsid w:val="005F53E1"/>
    <w:rsid w:val="005F5DB5"/>
    <w:rsid w:val="005F5EB8"/>
    <w:rsid w:val="005F5EEA"/>
    <w:rsid w:val="005F6D37"/>
    <w:rsid w:val="005F782B"/>
    <w:rsid w:val="005F7FF7"/>
    <w:rsid w:val="00600A07"/>
    <w:rsid w:val="00601C48"/>
    <w:rsid w:val="00602060"/>
    <w:rsid w:val="00602FB8"/>
    <w:rsid w:val="0060339D"/>
    <w:rsid w:val="00603D3B"/>
    <w:rsid w:val="00604019"/>
    <w:rsid w:val="00604401"/>
    <w:rsid w:val="00605336"/>
    <w:rsid w:val="006055F5"/>
    <w:rsid w:val="00605C4F"/>
    <w:rsid w:val="00605D95"/>
    <w:rsid w:val="00606420"/>
    <w:rsid w:val="006066E3"/>
    <w:rsid w:val="00606928"/>
    <w:rsid w:val="00606C8C"/>
    <w:rsid w:val="00606D7F"/>
    <w:rsid w:val="00606FF6"/>
    <w:rsid w:val="00607120"/>
    <w:rsid w:val="00607CD8"/>
    <w:rsid w:val="00607D95"/>
    <w:rsid w:val="0061010E"/>
    <w:rsid w:val="006102AD"/>
    <w:rsid w:val="0061044E"/>
    <w:rsid w:val="00610FEE"/>
    <w:rsid w:val="00611682"/>
    <w:rsid w:val="00611A38"/>
    <w:rsid w:val="00611B24"/>
    <w:rsid w:val="00611C8C"/>
    <w:rsid w:val="00611FD4"/>
    <w:rsid w:val="0061254F"/>
    <w:rsid w:val="00612E1C"/>
    <w:rsid w:val="0061311C"/>
    <w:rsid w:val="006136EC"/>
    <w:rsid w:val="0061393B"/>
    <w:rsid w:val="00613FAB"/>
    <w:rsid w:val="006142A9"/>
    <w:rsid w:val="00615194"/>
    <w:rsid w:val="006158B2"/>
    <w:rsid w:val="006159B8"/>
    <w:rsid w:val="00615E29"/>
    <w:rsid w:val="00615F2D"/>
    <w:rsid w:val="00615FA4"/>
    <w:rsid w:val="006160F3"/>
    <w:rsid w:val="00616195"/>
    <w:rsid w:val="006165C9"/>
    <w:rsid w:val="00616689"/>
    <w:rsid w:val="006167E9"/>
    <w:rsid w:val="00616DF7"/>
    <w:rsid w:val="0061738C"/>
    <w:rsid w:val="006175F2"/>
    <w:rsid w:val="00617820"/>
    <w:rsid w:val="006202CE"/>
    <w:rsid w:val="00620C2E"/>
    <w:rsid w:val="00620EFB"/>
    <w:rsid w:val="00621745"/>
    <w:rsid w:val="00621859"/>
    <w:rsid w:val="006219D1"/>
    <w:rsid w:val="00621A95"/>
    <w:rsid w:val="006225FE"/>
    <w:rsid w:val="00622B1B"/>
    <w:rsid w:val="00622B92"/>
    <w:rsid w:val="00622D20"/>
    <w:rsid w:val="00622F09"/>
    <w:rsid w:val="00622F70"/>
    <w:rsid w:val="00622FDB"/>
    <w:rsid w:val="006238C0"/>
    <w:rsid w:val="006238EB"/>
    <w:rsid w:val="0062391D"/>
    <w:rsid w:val="00623A47"/>
    <w:rsid w:val="00623AC3"/>
    <w:rsid w:val="00623D36"/>
    <w:rsid w:val="00623DF0"/>
    <w:rsid w:val="006240BC"/>
    <w:rsid w:val="006241AC"/>
    <w:rsid w:val="00624423"/>
    <w:rsid w:val="0062444B"/>
    <w:rsid w:val="00624802"/>
    <w:rsid w:val="00624A3A"/>
    <w:rsid w:val="00624ED9"/>
    <w:rsid w:val="006252F3"/>
    <w:rsid w:val="00625444"/>
    <w:rsid w:val="0062550C"/>
    <w:rsid w:val="00625E07"/>
    <w:rsid w:val="00625E0F"/>
    <w:rsid w:val="006261EF"/>
    <w:rsid w:val="006264EB"/>
    <w:rsid w:val="00626C65"/>
    <w:rsid w:val="00627721"/>
    <w:rsid w:val="006278D2"/>
    <w:rsid w:val="00627B9F"/>
    <w:rsid w:val="00627FAB"/>
    <w:rsid w:val="00630312"/>
    <w:rsid w:val="00630989"/>
    <w:rsid w:val="00630A9D"/>
    <w:rsid w:val="00630AD3"/>
    <w:rsid w:val="00630DCD"/>
    <w:rsid w:val="00630E62"/>
    <w:rsid w:val="00630F2B"/>
    <w:rsid w:val="0063157E"/>
    <w:rsid w:val="00632006"/>
    <w:rsid w:val="006320FF"/>
    <w:rsid w:val="00632115"/>
    <w:rsid w:val="0063211B"/>
    <w:rsid w:val="0063242D"/>
    <w:rsid w:val="00632861"/>
    <w:rsid w:val="006328B4"/>
    <w:rsid w:val="00632CD4"/>
    <w:rsid w:val="00632E07"/>
    <w:rsid w:val="00632EE1"/>
    <w:rsid w:val="00633233"/>
    <w:rsid w:val="00633497"/>
    <w:rsid w:val="0063349D"/>
    <w:rsid w:val="006337D0"/>
    <w:rsid w:val="006339A9"/>
    <w:rsid w:val="00633E3E"/>
    <w:rsid w:val="00633FCF"/>
    <w:rsid w:val="00634158"/>
    <w:rsid w:val="006342BA"/>
    <w:rsid w:val="006345DC"/>
    <w:rsid w:val="00634953"/>
    <w:rsid w:val="00634982"/>
    <w:rsid w:val="006350F9"/>
    <w:rsid w:val="00635118"/>
    <w:rsid w:val="0063521A"/>
    <w:rsid w:val="00635781"/>
    <w:rsid w:val="006357B6"/>
    <w:rsid w:val="00635874"/>
    <w:rsid w:val="00635C7D"/>
    <w:rsid w:val="00635F3C"/>
    <w:rsid w:val="00636017"/>
    <w:rsid w:val="00636519"/>
    <w:rsid w:val="00636618"/>
    <w:rsid w:val="00636E8D"/>
    <w:rsid w:val="00637501"/>
    <w:rsid w:val="0063796C"/>
    <w:rsid w:val="006403FE"/>
    <w:rsid w:val="00640B8E"/>
    <w:rsid w:val="00640BC5"/>
    <w:rsid w:val="00640E90"/>
    <w:rsid w:val="00641543"/>
    <w:rsid w:val="0064167F"/>
    <w:rsid w:val="00641A7A"/>
    <w:rsid w:val="00641B55"/>
    <w:rsid w:val="00641B6D"/>
    <w:rsid w:val="006424E9"/>
    <w:rsid w:val="006427F1"/>
    <w:rsid w:val="00643553"/>
    <w:rsid w:val="006435A0"/>
    <w:rsid w:val="00643EF7"/>
    <w:rsid w:val="00643F06"/>
    <w:rsid w:val="00643F4A"/>
    <w:rsid w:val="006441EC"/>
    <w:rsid w:val="00644601"/>
    <w:rsid w:val="0064476B"/>
    <w:rsid w:val="00644CAB"/>
    <w:rsid w:val="00644F35"/>
    <w:rsid w:val="0064516D"/>
    <w:rsid w:val="006452ED"/>
    <w:rsid w:val="0064532D"/>
    <w:rsid w:val="006465EF"/>
    <w:rsid w:val="006466BD"/>
    <w:rsid w:val="00646917"/>
    <w:rsid w:val="00646E27"/>
    <w:rsid w:val="00647649"/>
    <w:rsid w:val="0064771E"/>
    <w:rsid w:val="00647A93"/>
    <w:rsid w:val="00647EDD"/>
    <w:rsid w:val="006502FF"/>
    <w:rsid w:val="00650368"/>
    <w:rsid w:val="0065054A"/>
    <w:rsid w:val="0065061B"/>
    <w:rsid w:val="006508BA"/>
    <w:rsid w:val="00650AFC"/>
    <w:rsid w:val="0065137E"/>
    <w:rsid w:val="00651401"/>
    <w:rsid w:val="00651FA3"/>
    <w:rsid w:val="00652612"/>
    <w:rsid w:val="0065262A"/>
    <w:rsid w:val="00652988"/>
    <w:rsid w:val="00652CCC"/>
    <w:rsid w:val="00652CCD"/>
    <w:rsid w:val="00652D13"/>
    <w:rsid w:val="00653319"/>
    <w:rsid w:val="006537BC"/>
    <w:rsid w:val="006537FF"/>
    <w:rsid w:val="0065388D"/>
    <w:rsid w:val="00653C61"/>
    <w:rsid w:val="00653F70"/>
    <w:rsid w:val="00654065"/>
    <w:rsid w:val="006545F0"/>
    <w:rsid w:val="006549CF"/>
    <w:rsid w:val="00654A8C"/>
    <w:rsid w:val="00654FB6"/>
    <w:rsid w:val="00655311"/>
    <w:rsid w:val="00655523"/>
    <w:rsid w:val="00656506"/>
    <w:rsid w:val="0065683E"/>
    <w:rsid w:val="00656863"/>
    <w:rsid w:val="00656AF1"/>
    <w:rsid w:val="00656B44"/>
    <w:rsid w:val="00656C03"/>
    <w:rsid w:val="0065719B"/>
    <w:rsid w:val="00657286"/>
    <w:rsid w:val="00657B40"/>
    <w:rsid w:val="00657CC5"/>
    <w:rsid w:val="006600CC"/>
    <w:rsid w:val="006609A3"/>
    <w:rsid w:val="00660D36"/>
    <w:rsid w:val="00661166"/>
    <w:rsid w:val="006611AF"/>
    <w:rsid w:val="00661952"/>
    <w:rsid w:val="00661A68"/>
    <w:rsid w:val="00661B1C"/>
    <w:rsid w:val="006620A7"/>
    <w:rsid w:val="00662DFE"/>
    <w:rsid w:val="00663307"/>
    <w:rsid w:val="00663A24"/>
    <w:rsid w:val="00663CD5"/>
    <w:rsid w:val="00664885"/>
    <w:rsid w:val="00664971"/>
    <w:rsid w:val="00664EF1"/>
    <w:rsid w:val="006652DC"/>
    <w:rsid w:val="00665CCB"/>
    <w:rsid w:val="00665F21"/>
    <w:rsid w:val="0066621A"/>
    <w:rsid w:val="006663BB"/>
    <w:rsid w:val="00666754"/>
    <w:rsid w:val="00666828"/>
    <w:rsid w:val="00666AA4"/>
    <w:rsid w:val="006673ED"/>
    <w:rsid w:val="006675B9"/>
    <w:rsid w:val="0066777D"/>
    <w:rsid w:val="00667785"/>
    <w:rsid w:val="00667918"/>
    <w:rsid w:val="00667C46"/>
    <w:rsid w:val="0067010A"/>
    <w:rsid w:val="00670255"/>
    <w:rsid w:val="00670E59"/>
    <w:rsid w:val="0067113F"/>
    <w:rsid w:val="00671473"/>
    <w:rsid w:val="0067150B"/>
    <w:rsid w:val="00672152"/>
    <w:rsid w:val="00672703"/>
    <w:rsid w:val="00672CE2"/>
    <w:rsid w:val="00672E6F"/>
    <w:rsid w:val="00672F2E"/>
    <w:rsid w:val="00673771"/>
    <w:rsid w:val="0067409F"/>
    <w:rsid w:val="00674213"/>
    <w:rsid w:val="00674611"/>
    <w:rsid w:val="0067472E"/>
    <w:rsid w:val="00674E1A"/>
    <w:rsid w:val="006752FC"/>
    <w:rsid w:val="0067619E"/>
    <w:rsid w:val="006765EA"/>
    <w:rsid w:val="00676692"/>
    <w:rsid w:val="00676A96"/>
    <w:rsid w:val="00676ED3"/>
    <w:rsid w:val="00677255"/>
    <w:rsid w:val="00677293"/>
    <w:rsid w:val="0067772C"/>
    <w:rsid w:val="00677739"/>
    <w:rsid w:val="00677B91"/>
    <w:rsid w:val="00680192"/>
    <w:rsid w:val="00680600"/>
    <w:rsid w:val="00680790"/>
    <w:rsid w:val="00680BD6"/>
    <w:rsid w:val="00680E8D"/>
    <w:rsid w:val="00681034"/>
    <w:rsid w:val="00681905"/>
    <w:rsid w:val="00681B95"/>
    <w:rsid w:val="00681F87"/>
    <w:rsid w:val="00681FA3"/>
    <w:rsid w:val="00682654"/>
    <w:rsid w:val="00682989"/>
    <w:rsid w:val="00682D23"/>
    <w:rsid w:val="00683139"/>
    <w:rsid w:val="0068334C"/>
    <w:rsid w:val="006836D8"/>
    <w:rsid w:val="00683819"/>
    <w:rsid w:val="00683F7A"/>
    <w:rsid w:val="0068436B"/>
    <w:rsid w:val="00684376"/>
    <w:rsid w:val="00685185"/>
    <w:rsid w:val="006853FF"/>
    <w:rsid w:val="006854A0"/>
    <w:rsid w:val="006856DC"/>
    <w:rsid w:val="00685CAB"/>
    <w:rsid w:val="00685DB9"/>
    <w:rsid w:val="00686429"/>
    <w:rsid w:val="00686516"/>
    <w:rsid w:val="00686D55"/>
    <w:rsid w:val="00687997"/>
    <w:rsid w:val="00687FED"/>
    <w:rsid w:val="006907A0"/>
    <w:rsid w:val="00690A92"/>
    <w:rsid w:val="00690AB0"/>
    <w:rsid w:val="0069146E"/>
    <w:rsid w:val="00691A32"/>
    <w:rsid w:val="00691CE9"/>
    <w:rsid w:val="0069204D"/>
    <w:rsid w:val="006923C0"/>
    <w:rsid w:val="00692798"/>
    <w:rsid w:val="0069282F"/>
    <w:rsid w:val="0069284C"/>
    <w:rsid w:val="00692C51"/>
    <w:rsid w:val="00692CEB"/>
    <w:rsid w:val="00693263"/>
    <w:rsid w:val="00693D07"/>
    <w:rsid w:val="00694272"/>
    <w:rsid w:val="00694468"/>
    <w:rsid w:val="006944BE"/>
    <w:rsid w:val="006945C1"/>
    <w:rsid w:val="00694954"/>
    <w:rsid w:val="006949F0"/>
    <w:rsid w:val="0069539D"/>
    <w:rsid w:val="00695AA4"/>
    <w:rsid w:val="00695B67"/>
    <w:rsid w:val="006961D2"/>
    <w:rsid w:val="00696615"/>
    <w:rsid w:val="00696723"/>
    <w:rsid w:val="006971C3"/>
    <w:rsid w:val="006972A4"/>
    <w:rsid w:val="00697579"/>
    <w:rsid w:val="006976D3"/>
    <w:rsid w:val="00697982"/>
    <w:rsid w:val="00697A13"/>
    <w:rsid w:val="00697D86"/>
    <w:rsid w:val="006A00B5"/>
    <w:rsid w:val="006A0820"/>
    <w:rsid w:val="006A09B2"/>
    <w:rsid w:val="006A1620"/>
    <w:rsid w:val="006A16D7"/>
    <w:rsid w:val="006A1C13"/>
    <w:rsid w:val="006A2062"/>
    <w:rsid w:val="006A2381"/>
    <w:rsid w:val="006A2D4A"/>
    <w:rsid w:val="006A31C6"/>
    <w:rsid w:val="006A3277"/>
    <w:rsid w:val="006A352C"/>
    <w:rsid w:val="006A39AD"/>
    <w:rsid w:val="006A3C15"/>
    <w:rsid w:val="006A4024"/>
    <w:rsid w:val="006A40CF"/>
    <w:rsid w:val="006A4269"/>
    <w:rsid w:val="006A4807"/>
    <w:rsid w:val="006A4A35"/>
    <w:rsid w:val="006A4AB2"/>
    <w:rsid w:val="006A4FE5"/>
    <w:rsid w:val="006A5241"/>
    <w:rsid w:val="006A543A"/>
    <w:rsid w:val="006A5630"/>
    <w:rsid w:val="006A5846"/>
    <w:rsid w:val="006A5920"/>
    <w:rsid w:val="006A5AFF"/>
    <w:rsid w:val="006A5FC2"/>
    <w:rsid w:val="006A5FDB"/>
    <w:rsid w:val="006A61F1"/>
    <w:rsid w:val="006A645E"/>
    <w:rsid w:val="006A6578"/>
    <w:rsid w:val="006A6732"/>
    <w:rsid w:val="006A6BAC"/>
    <w:rsid w:val="006A6E14"/>
    <w:rsid w:val="006A6F9D"/>
    <w:rsid w:val="006A7154"/>
    <w:rsid w:val="006A71D3"/>
    <w:rsid w:val="006A75D9"/>
    <w:rsid w:val="006A768E"/>
    <w:rsid w:val="006A78B3"/>
    <w:rsid w:val="006A7D3D"/>
    <w:rsid w:val="006A7E46"/>
    <w:rsid w:val="006B02B0"/>
    <w:rsid w:val="006B043C"/>
    <w:rsid w:val="006B0580"/>
    <w:rsid w:val="006B0605"/>
    <w:rsid w:val="006B0A3E"/>
    <w:rsid w:val="006B10B5"/>
    <w:rsid w:val="006B11A8"/>
    <w:rsid w:val="006B121B"/>
    <w:rsid w:val="006B130C"/>
    <w:rsid w:val="006B13F1"/>
    <w:rsid w:val="006B1625"/>
    <w:rsid w:val="006B19AC"/>
    <w:rsid w:val="006B1B5B"/>
    <w:rsid w:val="006B1D30"/>
    <w:rsid w:val="006B2025"/>
    <w:rsid w:val="006B2323"/>
    <w:rsid w:val="006B33C9"/>
    <w:rsid w:val="006B4018"/>
    <w:rsid w:val="006B43D3"/>
    <w:rsid w:val="006B4A1A"/>
    <w:rsid w:val="006B4B10"/>
    <w:rsid w:val="006B4D6B"/>
    <w:rsid w:val="006B5129"/>
    <w:rsid w:val="006B51BB"/>
    <w:rsid w:val="006B557D"/>
    <w:rsid w:val="006B5586"/>
    <w:rsid w:val="006B5CBB"/>
    <w:rsid w:val="006B666F"/>
    <w:rsid w:val="006B66EF"/>
    <w:rsid w:val="006B69E1"/>
    <w:rsid w:val="006B75C2"/>
    <w:rsid w:val="006C0369"/>
    <w:rsid w:val="006C0900"/>
    <w:rsid w:val="006C09A5"/>
    <w:rsid w:val="006C0FD6"/>
    <w:rsid w:val="006C0FDB"/>
    <w:rsid w:val="006C1056"/>
    <w:rsid w:val="006C151F"/>
    <w:rsid w:val="006C16ED"/>
    <w:rsid w:val="006C19BF"/>
    <w:rsid w:val="006C1DA9"/>
    <w:rsid w:val="006C1ECA"/>
    <w:rsid w:val="006C22FD"/>
    <w:rsid w:val="006C386A"/>
    <w:rsid w:val="006C4218"/>
    <w:rsid w:val="006C4620"/>
    <w:rsid w:val="006C4A17"/>
    <w:rsid w:val="006C4F4F"/>
    <w:rsid w:val="006C5105"/>
    <w:rsid w:val="006C5285"/>
    <w:rsid w:val="006C53DE"/>
    <w:rsid w:val="006C54FB"/>
    <w:rsid w:val="006C5723"/>
    <w:rsid w:val="006C5BB2"/>
    <w:rsid w:val="006C5BE1"/>
    <w:rsid w:val="006C5BE6"/>
    <w:rsid w:val="006C6198"/>
    <w:rsid w:val="006C6704"/>
    <w:rsid w:val="006C6C01"/>
    <w:rsid w:val="006C7202"/>
    <w:rsid w:val="006C72B2"/>
    <w:rsid w:val="006C79D1"/>
    <w:rsid w:val="006C7EB8"/>
    <w:rsid w:val="006D0336"/>
    <w:rsid w:val="006D05A2"/>
    <w:rsid w:val="006D0A32"/>
    <w:rsid w:val="006D0E1C"/>
    <w:rsid w:val="006D0E83"/>
    <w:rsid w:val="006D0F1E"/>
    <w:rsid w:val="006D14CB"/>
    <w:rsid w:val="006D1A0E"/>
    <w:rsid w:val="006D29D1"/>
    <w:rsid w:val="006D2B22"/>
    <w:rsid w:val="006D2D1F"/>
    <w:rsid w:val="006D307F"/>
    <w:rsid w:val="006D334B"/>
    <w:rsid w:val="006D34D6"/>
    <w:rsid w:val="006D3691"/>
    <w:rsid w:val="006D3A4C"/>
    <w:rsid w:val="006D3B4C"/>
    <w:rsid w:val="006D3E76"/>
    <w:rsid w:val="006D3ED8"/>
    <w:rsid w:val="006D537D"/>
    <w:rsid w:val="006D5690"/>
    <w:rsid w:val="006D5E24"/>
    <w:rsid w:val="006D6B56"/>
    <w:rsid w:val="006D6D87"/>
    <w:rsid w:val="006D6DB4"/>
    <w:rsid w:val="006D6FD5"/>
    <w:rsid w:val="006D776D"/>
    <w:rsid w:val="006D7BCB"/>
    <w:rsid w:val="006D7C36"/>
    <w:rsid w:val="006D7C83"/>
    <w:rsid w:val="006E0247"/>
    <w:rsid w:val="006E04E2"/>
    <w:rsid w:val="006E05DA"/>
    <w:rsid w:val="006E064B"/>
    <w:rsid w:val="006E107A"/>
    <w:rsid w:val="006E1262"/>
    <w:rsid w:val="006E1338"/>
    <w:rsid w:val="006E134E"/>
    <w:rsid w:val="006E135E"/>
    <w:rsid w:val="006E1612"/>
    <w:rsid w:val="006E18DA"/>
    <w:rsid w:val="006E1CCB"/>
    <w:rsid w:val="006E1E26"/>
    <w:rsid w:val="006E1F81"/>
    <w:rsid w:val="006E1F92"/>
    <w:rsid w:val="006E201E"/>
    <w:rsid w:val="006E203C"/>
    <w:rsid w:val="006E2040"/>
    <w:rsid w:val="006E21C3"/>
    <w:rsid w:val="006E2282"/>
    <w:rsid w:val="006E241F"/>
    <w:rsid w:val="006E2487"/>
    <w:rsid w:val="006E28F5"/>
    <w:rsid w:val="006E33F7"/>
    <w:rsid w:val="006E4190"/>
    <w:rsid w:val="006E44A5"/>
    <w:rsid w:val="006E4740"/>
    <w:rsid w:val="006E4ADB"/>
    <w:rsid w:val="006E5EC4"/>
    <w:rsid w:val="006E62D2"/>
    <w:rsid w:val="006E66CF"/>
    <w:rsid w:val="006E674A"/>
    <w:rsid w:val="006E6D8A"/>
    <w:rsid w:val="006E709F"/>
    <w:rsid w:val="006E74F1"/>
    <w:rsid w:val="006E7CE6"/>
    <w:rsid w:val="006F0266"/>
    <w:rsid w:val="006F03E9"/>
    <w:rsid w:val="006F0724"/>
    <w:rsid w:val="006F0A85"/>
    <w:rsid w:val="006F0BDD"/>
    <w:rsid w:val="006F0C8F"/>
    <w:rsid w:val="006F0CBD"/>
    <w:rsid w:val="006F0E9F"/>
    <w:rsid w:val="006F16C2"/>
    <w:rsid w:val="006F173E"/>
    <w:rsid w:val="006F1EBF"/>
    <w:rsid w:val="006F2185"/>
    <w:rsid w:val="006F27EE"/>
    <w:rsid w:val="006F288E"/>
    <w:rsid w:val="006F29D9"/>
    <w:rsid w:val="006F2C6C"/>
    <w:rsid w:val="006F3312"/>
    <w:rsid w:val="006F34E5"/>
    <w:rsid w:val="006F37B2"/>
    <w:rsid w:val="006F4456"/>
    <w:rsid w:val="006F4AA5"/>
    <w:rsid w:val="006F5109"/>
    <w:rsid w:val="006F53B0"/>
    <w:rsid w:val="006F5610"/>
    <w:rsid w:val="006F5775"/>
    <w:rsid w:val="006F5AD1"/>
    <w:rsid w:val="006F5E52"/>
    <w:rsid w:val="006F5FF2"/>
    <w:rsid w:val="006F6063"/>
    <w:rsid w:val="006F6107"/>
    <w:rsid w:val="006F6F68"/>
    <w:rsid w:val="006F7290"/>
    <w:rsid w:val="006F72D2"/>
    <w:rsid w:val="006F7504"/>
    <w:rsid w:val="006F7E3A"/>
    <w:rsid w:val="006FA5A0"/>
    <w:rsid w:val="00700400"/>
    <w:rsid w:val="00700663"/>
    <w:rsid w:val="0070075F"/>
    <w:rsid w:val="007007D1"/>
    <w:rsid w:val="0070080B"/>
    <w:rsid w:val="0070081D"/>
    <w:rsid w:val="00701202"/>
    <w:rsid w:val="0070163A"/>
    <w:rsid w:val="00701845"/>
    <w:rsid w:val="00701B9A"/>
    <w:rsid w:val="00701E2B"/>
    <w:rsid w:val="00702140"/>
    <w:rsid w:val="00702277"/>
    <w:rsid w:val="00702A6F"/>
    <w:rsid w:val="00702B22"/>
    <w:rsid w:val="00702C2B"/>
    <w:rsid w:val="00702DDD"/>
    <w:rsid w:val="00703230"/>
    <w:rsid w:val="0070376D"/>
    <w:rsid w:val="00703913"/>
    <w:rsid w:val="00703AE6"/>
    <w:rsid w:val="00703D15"/>
    <w:rsid w:val="007043A5"/>
    <w:rsid w:val="00704770"/>
    <w:rsid w:val="00704BFF"/>
    <w:rsid w:val="00704F24"/>
    <w:rsid w:val="007053D8"/>
    <w:rsid w:val="00705C1B"/>
    <w:rsid w:val="00705D0C"/>
    <w:rsid w:val="00705D51"/>
    <w:rsid w:val="00706195"/>
    <w:rsid w:val="007068B7"/>
    <w:rsid w:val="0070762B"/>
    <w:rsid w:val="00707C84"/>
    <w:rsid w:val="00709174"/>
    <w:rsid w:val="00710421"/>
    <w:rsid w:val="00710E3E"/>
    <w:rsid w:val="00710F72"/>
    <w:rsid w:val="007112D0"/>
    <w:rsid w:val="007114BE"/>
    <w:rsid w:val="00711DEA"/>
    <w:rsid w:val="007120DC"/>
    <w:rsid w:val="00712189"/>
    <w:rsid w:val="007125FF"/>
    <w:rsid w:val="0071262F"/>
    <w:rsid w:val="007126A4"/>
    <w:rsid w:val="00712E23"/>
    <w:rsid w:val="0071340A"/>
    <w:rsid w:val="00713900"/>
    <w:rsid w:val="00713B9C"/>
    <w:rsid w:val="00713BAC"/>
    <w:rsid w:val="00713F83"/>
    <w:rsid w:val="007140A0"/>
    <w:rsid w:val="00714364"/>
    <w:rsid w:val="007148D9"/>
    <w:rsid w:val="00715418"/>
    <w:rsid w:val="0071565D"/>
    <w:rsid w:val="00715F7C"/>
    <w:rsid w:val="007160EB"/>
    <w:rsid w:val="00716356"/>
    <w:rsid w:val="007166E1"/>
    <w:rsid w:val="00716824"/>
    <w:rsid w:val="00716A4A"/>
    <w:rsid w:val="00716B39"/>
    <w:rsid w:val="00716CA9"/>
    <w:rsid w:val="007170F1"/>
    <w:rsid w:val="00717698"/>
    <w:rsid w:val="00717919"/>
    <w:rsid w:val="00717AB3"/>
    <w:rsid w:val="00720272"/>
    <w:rsid w:val="00720D89"/>
    <w:rsid w:val="00720FCC"/>
    <w:rsid w:val="007210CC"/>
    <w:rsid w:val="00721276"/>
    <w:rsid w:val="0072172F"/>
    <w:rsid w:val="00721B8F"/>
    <w:rsid w:val="00721F6D"/>
    <w:rsid w:val="00722DE4"/>
    <w:rsid w:val="00722ED1"/>
    <w:rsid w:val="007231C1"/>
    <w:rsid w:val="00723935"/>
    <w:rsid w:val="00723A07"/>
    <w:rsid w:val="00723C63"/>
    <w:rsid w:val="00723D93"/>
    <w:rsid w:val="007243AD"/>
    <w:rsid w:val="00724699"/>
    <w:rsid w:val="00724A41"/>
    <w:rsid w:val="007255ED"/>
    <w:rsid w:val="00725723"/>
    <w:rsid w:val="007257EE"/>
    <w:rsid w:val="00725C72"/>
    <w:rsid w:val="00725DF8"/>
    <w:rsid w:val="0072615B"/>
    <w:rsid w:val="0072677A"/>
    <w:rsid w:val="007268A0"/>
    <w:rsid w:val="00726AA5"/>
    <w:rsid w:val="00726BA5"/>
    <w:rsid w:val="00727073"/>
    <w:rsid w:val="007276C5"/>
    <w:rsid w:val="00727E17"/>
    <w:rsid w:val="0073046A"/>
    <w:rsid w:val="007304D7"/>
    <w:rsid w:val="007306B3"/>
    <w:rsid w:val="00730E31"/>
    <w:rsid w:val="00731876"/>
    <w:rsid w:val="00731A16"/>
    <w:rsid w:val="00732621"/>
    <w:rsid w:val="00732D44"/>
    <w:rsid w:val="00733141"/>
    <w:rsid w:val="00733384"/>
    <w:rsid w:val="00733E3A"/>
    <w:rsid w:val="00734D71"/>
    <w:rsid w:val="00734EE5"/>
    <w:rsid w:val="0073605B"/>
    <w:rsid w:val="007366AA"/>
    <w:rsid w:val="00737459"/>
    <w:rsid w:val="007375B4"/>
    <w:rsid w:val="00737616"/>
    <w:rsid w:val="007378BC"/>
    <w:rsid w:val="00737B26"/>
    <w:rsid w:val="0074016E"/>
    <w:rsid w:val="0074061B"/>
    <w:rsid w:val="00740652"/>
    <w:rsid w:val="007406F0"/>
    <w:rsid w:val="00740855"/>
    <w:rsid w:val="0074140F"/>
    <w:rsid w:val="00741FBA"/>
    <w:rsid w:val="0074272B"/>
    <w:rsid w:val="00742AA3"/>
    <w:rsid w:val="00743027"/>
    <w:rsid w:val="007432FC"/>
    <w:rsid w:val="007434F4"/>
    <w:rsid w:val="00743EF4"/>
    <w:rsid w:val="00744116"/>
    <w:rsid w:val="00744164"/>
    <w:rsid w:val="00744E59"/>
    <w:rsid w:val="00744F46"/>
    <w:rsid w:val="00745079"/>
    <w:rsid w:val="007451A9"/>
    <w:rsid w:val="007452E8"/>
    <w:rsid w:val="00745736"/>
    <w:rsid w:val="007457FA"/>
    <w:rsid w:val="00745BC4"/>
    <w:rsid w:val="00746145"/>
    <w:rsid w:val="0074664B"/>
    <w:rsid w:val="00746BD0"/>
    <w:rsid w:val="007477D3"/>
    <w:rsid w:val="007477D5"/>
    <w:rsid w:val="007478E0"/>
    <w:rsid w:val="00747926"/>
    <w:rsid w:val="00747D6D"/>
    <w:rsid w:val="00747E53"/>
    <w:rsid w:val="0075111B"/>
    <w:rsid w:val="0075162B"/>
    <w:rsid w:val="00751685"/>
    <w:rsid w:val="00751768"/>
    <w:rsid w:val="00751FE4"/>
    <w:rsid w:val="00752901"/>
    <w:rsid w:val="00752A55"/>
    <w:rsid w:val="00752B6C"/>
    <w:rsid w:val="00752BD1"/>
    <w:rsid w:val="00752D97"/>
    <w:rsid w:val="0075304B"/>
    <w:rsid w:val="00753BE4"/>
    <w:rsid w:val="0075406C"/>
    <w:rsid w:val="0075476B"/>
    <w:rsid w:val="007549D3"/>
    <w:rsid w:val="00754C4B"/>
    <w:rsid w:val="00754D0B"/>
    <w:rsid w:val="00755170"/>
    <w:rsid w:val="00755275"/>
    <w:rsid w:val="007552F3"/>
    <w:rsid w:val="007555CB"/>
    <w:rsid w:val="007556C2"/>
    <w:rsid w:val="00755A36"/>
    <w:rsid w:val="0075604E"/>
    <w:rsid w:val="00756B05"/>
    <w:rsid w:val="00756B44"/>
    <w:rsid w:val="00757086"/>
    <w:rsid w:val="0075771C"/>
    <w:rsid w:val="00757D63"/>
    <w:rsid w:val="007604D9"/>
    <w:rsid w:val="00760785"/>
    <w:rsid w:val="0076087D"/>
    <w:rsid w:val="007608B5"/>
    <w:rsid w:val="00760DD8"/>
    <w:rsid w:val="0076155E"/>
    <w:rsid w:val="00761618"/>
    <w:rsid w:val="00761B41"/>
    <w:rsid w:val="00762491"/>
    <w:rsid w:val="00762ACE"/>
    <w:rsid w:val="0076322F"/>
    <w:rsid w:val="0076326E"/>
    <w:rsid w:val="00763663"/>
    <w:rsid w:val="007636A9"/>
    <w:rsid w:val="00764081"/>
    <w:rsid w:val="007643DE"/>
    <w:rsid w:val="0076455B"/>
    <w:rsid w:val="00764865"/>
    <w:rsid w:val="00764942"/>
    <w:rsid w:val="007655A1"/>
    <w:rsid w:val="00765AB0"/>
    <w:rsid w:val="007663C8"/>
    <w:rsid w:val="0076668B"/>
    <w:rsid w:val="007666A7"/>
    <w:rsid w:val="00766716"/>
    <w:rsid w:val="00766DC6"/>
    <w:rsid w:val="00766EA7"/>
    <w:rsid w:val="0076749F"/>
    <w:rsid w:val="0076759E"/>
    <w:rsid w:val="00767619"/>
    <w:rsid w:val="00767C9D"/>
    <w:rsid w:val="00767D6D"/>
    <w:rsid w:val="00767FC8"/>
    <w:rsid w:val="00770113"/>
    <w:rsid w:val="007701D0"/>
    <w:rsid w:val="00770B10"/>
    <w:rsid w:val="00770B7E"/>
    <w:rsid w:val="00770B94"/>
    <w:rsid w:val="007720FA"/>
    <w:rsid w:val="00772176"/>
    <w:rsid w:val="0077272A"/>
    <w:rsid w:val="00772EE0"/>
    <w:rsid w:val="00772FEF"/>
    <w:rsid w:val="007739F7"/>
    <w:rsid w:val="00773C1F"/>
    <w:rsid w:val="00773D60"/>
    <w:rsid w:val="00773FAE"/>
    <w:rsid w:val="007740E9"/>
    <w:rsid w:val="00774DA0"/>
    <w:rsid w:val="00774E1D"/>
    <w:rsid w:val="00775346"/>
    <w:rsid w:val="007754B9"/>
    <w:rsid w:val="00776014"/>
    <w:rsid w:val="007761C7"/>
    <w:rsid w:val="007764F9"/>
    <w:rsid w:val="0077675F"/>
    <w:rsid w:val="007769B2"/>
    <w:rsid w:val="00776B52"/>
    <w:rsid w:val="00776E7B"/>
    <w:rsid w:val="007773ED"/>
    <w:rsid w:val="00777789"/>
    <w:rsid w:val="00777853"/>
    <w:rsid w:val="007779C8"/>
    <w:rsid w:val="00777B3F"/>
    <w:rsid w:val="007800CC"/>
    <w:rsid w:val="007803C3"/>
    <w:rsid w:val="00780BA5"/>
    <w:rsid w:val="00780C67"/>
    <w:rsid w:val="0078140B"/>
    <w:rsid w:val="00781557"/>
    <w:rsid w:val="007821C4"/>
    <w:rsid w:val="00782233"/>
    <w:rsid w:val="007822A3"/>
    <w:rsid w:val="0078245D"/>
    <w:rsid w:val="007827A2"/>
    <w:rsid w:val="007832BA"/>
    <w:rsid w:val="00783658"/>
    <w:rsid w:val="007837F4"/>
    <w:rsid w:val="007838FB"/>
    <w:rsid w:val="007840B2"/>
    <w:rsid w:val="0078432C"/>
    <w:rsid w:val="00784DE7"/>
    <w:rsid w:val="00785230"/>
    <w:rsid w:val="0078527A"/>
    <w:rsid w:val="00785739"/>
    <w:rsid w:val="00785D3B"/>
    <w:rsid w:val="0078633D"/>
    <w:rsid w:val="007864CB"/>
    <w:rsid w:val="0078653A"/>
    <w:rsid w:val="00786DA7"/>
    <w:rsid w:val="00787C5F"/>
    <w:rsid w:val="00787CAB"/>
    <w:rsid w:val="0079005F"/>
    <w:rsid w:val="0079033E"/>
    <w:rsid w:val="00790477"/>
    <w:rsid w:val="007904D1"/>
    <w:rsid w:val="00790701"/>
    <w:rsid w:val="00790F70"/>
    <w:rsid w:val="00791340"/>
    <w:rsid w:val="0079141F"/>
    <w:rsid w:val="00791683"/>
    <w:rsid w:val="007916C9"/>
    <w:rsid w:val="007919DA"/>
    <w:rsid w:val="00791C37"/>
    <w:rsid w:val="00792210"/>
    <w:rsid w:val="00792631"/>
    <w:rsid w:val="00792C30"/>
    <w:rsid w:val="00792E67"/>
    <w:rsid w:val="00793143"/>
    <w:rsid w:val="007936DE"/>
    <w:rsid w:val="00793EBE"/>
    <w:rsid w:val="007940CB"/>
    <w:rsid w:val="00794391"/>
    <w:rsid w:val="007946D2"/>
    <w:rsid w:val="00794C8B"/>
    <w:rsid w:val="00794F5B"/>
    <w:rsid w:val="00795D8A"/>
    <w:rsid w:val="00795FED"/>
    <w:rsid w:val="00795FFC"/>
    <w:rsid w:val="0079615C"/>
    <w:rsid w:val="0079624F"/>
    <w:rsid w:val="0079626F"/>
    <w:rsid w:val="0079708F"/>
    <w:rsid w:val="00797412"/>
    <w:rsid w:val="00797C40"/>
    <w:rsid w:val="007A072A"/>
    <w:rsid w:val="007A09AE"/>
    <w:rsid w:val="007A09DC"/>
    <w:rsid w:val="007A0CB2"/>
    <w:rsid w:val="007A0E21"/>
    <w:rsid w:val="007A1709"/>
    <w:rsid w:val="007A17D2"/>
    <w:rsid w:val="007A19A4"/>
    <w:rsid w:val="007A1C8D"/>
    <w:rsid w:val="007A1E1A"/>
    <w:rsid w:val="007A261D"/>
    <w:rsid w:val="007A267E"/>
    <w:rsid w:val="007A276D"/>
    <w:rsid w:val="007A27E4"/>
    <w:rsid w:val="007A3382"/>
    <w:rsid w:val="007A367A"/>
    <w:rsid w:val="007A3CC4"/>
    <w:rsid w:val="007A3D23"/>
    <w:rsid w:val="007A41D6"/>
    <w:rsid w:val="007A4268"/>
    <w:rsid w:val="007A42CD"/>
    <w:rsid w:val="007A4934"/>
    <w:rsid w:val="007A533E"/>
    <w:rsid w:val="007A5720"/>
    <w:rsid w:val="007A5A01"/>
    <w:rsid w:val="007A602D"/>
    <w:rsid w:val="007A610C"/>
    <w:rsid w:val="007A611F"/>
    <w:rsid w:val="007A61F2"/>
    <w:rsid w:val="007A653B"/>
    <w:rsid w:val="007A665B"/>
    <w:rsid w:val="007A6BED"/>
    <w:rsid w:val="007A7004"/>
    <w:rsid w:val="007A74EC"/>
    <w:rsid w:val="007B0561"/>
    <w:rsid w:val="007B0A89"/>
    <w:rsid w:val="007B0E74"/>
    <w:rsid w:val="007B0EF9"/>
    <w:rsid w:val="007B0FCD"/>
    <w:rsid w:val="007B1010"/>
    <w:rsid w:val="007B1394"/>
    <w:rsid w:val="007B16C8"/>
    <w:rsid w:val="007B1A94"/>
    <w:rsid w:val="007B1E67"/>
    <w:rsid w:val="007B1E78"/>
    <w:rsid w:val="007B1EB2"/>
    <w:rsid w:val="007B1FC0"/>
    <w:rsid w:val="007B2452"/>
    <w:rsid w:val="007B2BE4"/>
    <w:rsid w:val="007B4206"/>
    <w:rsid w:val="007B43C1"/>
    <w:rsid w:val="007B4E54"/>
    <w:rsid w:val="007B4EF5"/>
    <w:rsid w:val="007B5938"/>
    <w:rsid w:val="007B5A2A"/>
    <w:rsid w:val="007B5B05"/>
    <w:rsid w:val="007B5E30"/>
    <w:rsid w:val="007B5E90"/>
    <w:rsid w:val="007B61FF"/>
    <w:rsid w:val="007B66B8"/>
    <w:rsid w:val="007B6B0F"/>
    <w:rsid w:val="007B6CFB"/>
    <w:rsid w:val="007B7A87"/>
    <w:rsid w:val="007B7E30"/>
    <w:rsid w:val="007C008E"/>
    <w:rsid w:val="007C0476"/>
    <w:rsid w:val="007C0690"/>
    <w:rsid w:val="007C0C2B"/>
    <w:rsid w:val="007C1747"/>
    <w:rsid w:val="007C1F5B"/>
    <w:rsid w:val="007C25F6"/>
    <w:rsid w:val="007C3153"/>
    <w:rsid w:val="007C41CB"/>
    <w:rsid w:val="007C4A7C"/>
    <w:rsid w:val="007C4C99"/>
    <w:rsid w:val="007C4E94"/>
    <w:rsid w:val="007C503C"/>
    <w:rsid w:val="007C5383"/>
    <w:rsid w:val="007C54EC"/>
    <w:rsid w:val="007C5688"/>
    <w:rsid w:val="007C5A3B"/>
    <w:rsid w:val="007C5C39"/>
    <w:rsid w:val="007C5C8B"/>
    <w:rsid w:val="007C624E"/>
    <w:rsid w:val="007C6575"/>
    <w:rsid w:val="007C67F1"/>
    <w:rsid w:val="007C6CA6"/>
    <w:rsid w:val="007C6CE5"/>
    <w:rsid w:val="007C71AB"/>
    <w:rsid w:val="007C7753"/>
    <w:rsid w:val="007C7859"/>
    <w:rsid w:val="007C78DF"/>
    <w:rsid w:val="007C7AA7"/>
    <w:rsid w:val="007C7AF8"/>
    <w:rsid w:val="007C7E57"/>
    <w:rsid w:val="007C7E87"/>
    <w:rsid w:val="007D01F6"/>
    <w:rsid w:val="007D0384"/>
    <w:rsid w:val="007D0543"/>
    <w:rsid w:val="007D06AB"/>
    <w:rsid w:val="007D0D46"/>
    <w:rsid w:val="007D161F"/>
    <w:rsid w:val="007D1757"/>
    <w:rsid w:val="007D1957"/>
    <w:rsid w:val="007D19AC"/>
    <w:rsid w:val="007D1B82"/>
    <w:rsid w:val="007D1D64"/>
    <w:rsid w:val="007D1DB6"/>
    <w:rsid w:val="007D1E42"/>
    <w:rsid w:val="007D1F1A"/>
    <w:rsid w:val="007D2066"/>
    <w:rsid w:val="007D21C6"/>
    <w:rsid w:val="007D24BD"/>
    <w:rsid w:val="007D2D07"/>
    <w:rsid w:val="007D3571"/>
    <w:rsid w:val="007D3641"/>
    <w:rsid w:val="007D3AB9"/>
    <w:rsid w:val="007D3DA1"/>
    <w:rsid w:val="007D3E09"/>
    <w:rsid w:val="007D3E97"/>
    <w:rsid w:val="007D435E"/>
    <w:rsid w:val="007D45FB"/>
    <w:rsid w:val="007D4DAA"/>
    <w:rsid w:val="007D4DBA"/>
    <w:rsid w:val="007D5049"/>
    <w:rsid w:val="007D5BA3"/>
    <w:rsid w:val="007D5D9A"/>
    <w:rsid w:val="007D5EF3"/>
    <w:rsid w:val="007D5FC3"/>
    <w:rsid w:val="007D6056"/>
    <w:rsid w:val="007D6058"/>
    <w:rsid w:val="007D6A16"/>
    <w:rsid w:val="007D6B5C"/>
    <w:rsid w:val="007D6C30"/>
    <w:rsid w:val="007D7023"/>
    <w:rsid w:val="007D7BFF"/>
    <w:rsid w:val="007D7D50"/>
    <w:rsid w:val="007E06BE"/>
    <w:rsid w:val="007E0778"/>
    <w:rsid w:val="007E11E7"/>
    <w:rsid w:val="007E122E"/>
    <w:rsid w:val="007E151E"/>
    <w:rsid w:val="007E1550"/>
    <w:rsid w:val="007E299F"/>
    <w:rsid w:val="007E2D75"/>
    <w:rsid w:val="007E368A"/>
    <w:rsid w:val="007E3875"/>
    <w:rsid w:val="007E3D26"/>
    <w:rsid w:val="007E40C7"/>
    <w:rsid w:val="007E424F"/>
    <w:rsid w:val="007E45E2"/>
    <w:rsid w:val="007E4B12"/>
    <w:rsid w:val="007E4EE7"/>
    <w:rsid w:val="007E5026"/>
    <w:rsid w:val="007E5328"/>
    <w:rsid w:val="007E5A9E"/>
    <w:rsid w:val="007E6301"/>
    <w:rsid w:val="007E651C"/>
    <w:rsid w:val="007E6793"/>
    <w:rsid w:val="007E75DE"/>
    <w:rsid w:val="007E75F1"/>
    <w:rsid w:val="007E7FDD"/>
    <w:rsid w:val="007E7FEC"/>
    <w:rsid w:val="007F006B"/>
    <w:rsid w:val="007F061F"/>
    <w:rsid w:val="007F065B"/>
    <w:rsid w:val="007F0E7D"/>
    <w:rsid w:val="007F1314"/>
    <w:rsid w:val="007F176C"/>
    <w:rsid w:val="007F17FC"/>
    <w:rsid w:val="007F1E79"/>
    <w:rsid w:val="007F2539"/>
    <w:rsid w:val="007F28D4"/>
    <w:rsid w:val="007F29E6"/>
    <w:rsid w:val="007F2BAA"/>
    <w:rsid w:val="007F30BD"/>
    <w:rsid w:val="007F3249"/>
    <w:rsid w:val="007F3302"/>
    <w:rsid w:val="007F33EE"/>
    <w:rsid w:val="007F352D"/>
    <w:rsid w:val="007F39A4"/>
    <w:rsid w:val="007F3A7B"/>
    <w:rsid w:val="007F3D0D"/>
    <w:rsid w:val="007F3E17"/>
    <w:rsid w:val="007F4A9D"/>
    <w:rsid w:val="007F4B06"/>
    <w:rsid w:val="007F4BAE"/>
    <w:rsid w:val="007F55AE"/>
    <w:rsid w:val="007F57AA"/>
    <w:rsid w:val="007F5886"/>
    <w:rsid w:val="007F5C4B"/>
    <w:rsid w:val="007F6025"/>
    <w:rsid w:val="007F667B"/>
    <w:rsid w:val="007F6921"/>
    <w:rsid w:val="007F7E34"/>
    <w:rsid w:val="007F7F5F"/>
    <w:rsid w:val="0080000C"/>
    <w:rsid w:val="008003A8"/>
    <w:rsid w:val="008005BD"/>
    <w:rsid w:val="0080093F"/>
    <w:rsid w:val="00800A59"/>
    <w:rsid w:val="00800FAA"/>
    <w:rsid w:val="00801000"/>
    <w:rsid w:val="0080105E"/>
    <w:rsid w:val="0080113E"/>
    <w:rsid w:val="00801867"/>
    <w:rsid w:val="00801CE8"/>
    <w:rsid w:val="00802ADA"/>
    <w:rsid w:val="00803069"/>
    <w:rsid w:val="00803082"/>
    <w:rsid w:val="0080364E"/>
    <w:rsid w:val="00803B3A"/>
    <w:rsid w:val="008040F2"/>
    <w:rsid w:val="00804629"/>
    <w:rsid w:val="00804B05"/>
    <w:rsid w:val="008053BC"/>
    <w:rsid w:val="008053CA"/>
    <w:rsid w:val="00805846"/>
    <w:rsid w:val="00805885"/>
    <w:rsid w:val="00805A13"/>
    <w:rsid w:val="00806059"/>
    <w:rsid w:val="008061D9"/>
    <w:rsid w:val="0080682D"/>
    <w:rsid w:val="00806836"/>
    <w:rsid w:val="00806D58"/>
    <w:rsid w:val="00806F7C"/>
    <w:rsid w:val="00807040"/>
    <w:rsid w:val="00807057"/>
    <w:rsid w:val="00807344"/>
    <w:rsid w:val="00807A7E"/>
    <w:rsid w:val="00810209"/>
    <w:rsid w:val="00810323"/>
    <w:rsid w:val="0081088F"/>
    <w:rsid w:val="008109A2"/>
    <w:rsid w:val="008109DB"/>
    <w:rsid w:val="00810AA5"/>
    <w:rsid w:val="00811106"/>
    <w:rsid w:val="00812521"/>
    <w:rsid w:val="00812A10"/>
    <w:rsid w:val="00812BCE"/>
    <w:rsid w:val="00812C66"/>
    <w:rsid w:val="00813104"/>
    <w:rsid w:val="00813EEA"/>
    <w:rsid w:val="00813F7B"/>
    <w:rsid w:val="00813FB9"/>
    <w:rsid w:val="0081431A"/>
    <w:rsid w:val="00814E14"/>
    <w:rsid w:val="00815515"/>
    <w:rsid w:val="0081599C"/>
    <w:rsid w:val="00815B5F"/>
    <w:rsid w:val="00815D31"/>
    <w:rsid w:val="00815EE8"/>
    <w:rsid w:val="00815FF2"/>
    <w:rsid w:val="008160B5"/>
    <w:rsid w:val="00816527"/>
    <w:rsid w:val="008165A9"/>
    <w:rsid w:val="00816662"/>
    <w:rsid w:val="0081666F"/>
    <w:rsid w:val="00816741"/>
    <w:rsid w:val="00816E19"/>
    <w:rsid w:val="0081765A"/>
    <w:rsid w:val="0081770D"/>
    <w:rsid w:val="00817F60"/>
    <w:rsid w:val="0081A1F9"/>
    <w:rsid w:val="008204B5"/>
    <w:rsid w:val="008207EE"/>
    <w:rsid w:val="00821616"/>
    <w:rsid w:val="00821910"/>
    <w:rsid w:val="00821BDD"/>
    <w:rsid w:val="00822640"/>
    <w:rsid w:val="00822F43"/>
    <w:rsid w:val="00823362"/>
    <w:rsid w:val="008233A6"/>
    <w:rsid w:val="00823469"/>
    <w:rsid w:val="00823747"/>
    <w:rsid w:val="00823A88"/>
    <w:rsid w:val="00823B3A"/>
    <w:rsid w:val="00824132"/>
    <w:rsid w:val="008241FB"/>
    <w:rsid w:val="00824A79"/>
    <w:rsid w:val="00824D28"/>
    <w:rsid w:val="00824E5C"/>
    <w:rsid w:val="0082548C"/>
    <w:rsid w:val="00825B84"/>
    <w:rsid w:val="00825D28"/>
    <w:rsid w:val="00825EC7"/>
    <w:rsid w:val="00825F0D"/>
    <w:rsid w:val="008270E2"/>
    <w:rsid w:val="00827154"/>
    <w:rsid w:val="0082747E"/>
    <w:rsid w:val="008275AD"/>
    <w:rsid w:val="0082771F"/>
    <w:rsid w:val="00827822"/>
    <w:rsid w:val="00827852"/>
    <w:rsid w:val="0082793D"/>
    <w:rsid w:val="00827AF6"/>
    <w:rsid w:val="00827B92"/>
    <w:rsid w:val="00827C90"/>
    <w:rsid w:val="0083064D"/>
    <w:rsid w:val="00830A83"/>
    <w:rsid w:val="00830DFA"/>
    <w:rsid w:val="00830E0D"/>
    <w:rsid w:val="00831675"/>
    <w:rsid w:val="00831A56"/>
    <w:rsid w:val="00831C72"/>
    <w:rsid w:val="008320D6"/>
    <w:rsid w:val="0083232F"/>
    <w:rsid w:val="008326AE"/>
    <w:rsid w:val="00832721"/>
    <w:rsid w:val="00832B69"/>
    <w:rsid w:val="00832B7D"/>
    <w:rsid w:val="00832C3D"/>
    <w:rsid w:val="00832EDB"/>
    <w:rsid w:val="0083321C"/>
    <w:rsid w:val="00833736"/>
    <w:rsid w:val="00833C5F"/>
    <w:rsid w:val="00834ADF"/>
    <w:rsid w:val="00835811"/>
    <w:rsid w:val="008358AD"/>
    <w:rsid w:val="00835A25"/>
    <w:rsid w:val="00835BA0"/>
    <w:rsid w:val="00835CB1"/>
    <w:rsid w:val="00835D80"/>
    <w:rsid w:val="00836391"/>
    <w:rsid w:val="00836504"/>
    <w:rsid w:val="0083659B"/>
    <w:rsid w:val="00836CE8"/>
    <w:rsid w:val="00836D60"/>
    <w:rsid w:val="00836DF8"/>
    <w:rsid w:val="00837B1F"/>
    <w:rsid w:val="008401EA"/>
    <w:rsid w:val="0084079F"/>
    <w:rsid w:val="00840DE4"/>
    <w:rsid w:val="00840E53"/>
    <w:rsid w:val="008411FE"/>
    <w:rsid w:val="0084120E"/>
    <w:rsid w:val="00841280"/>
    <w:rsid w:val="0084149B"/>
    <w:rsid w:val="00841837"/>
    <w:rsid w:val="008418D0"/>
    <w:rsid w:val="00841917"/>
    <w:rsid w:val="00841930"/>
    <w:rsid w:val="00841940"/>
    <w:rsid w:val="008420DA"/>
    <w:rsid w:val="00842569"/>
    <w:rsid w:val="00842F37"/>
    <w:rsid w:val="00842FAC"/>
    <w:rsid w:val="00843260"/>
    <w:rsid w:val="008436AD"/>
    <w:rsid w:val="00843D89"/>
    <w:rsid w:val="008448A2"/>
    <w:rsid w:val="00844A6B"/>
    <w:rsid w:val="00844BF0"/>
    <w:rsid w:val="0084550F"/>
    <w:rsid w:val="008457B0"/>
    <w:rsid w:val="00845A0E"/>
    <w:rsid w:val="00845BA4"/>
    <w:rsid w:val="00845D2D"/>
    <w:rsid w:val="00845F65"/>
    <w:rsid w:val="00845FBF"/>
    <w:rsid w:val="00846253"/>
    <w:rsid w:val="0084671F"/>
    <w:rsid w:val="00846BC4"/>
    <w:rsid w:val="00846FE7"/>
    <w:rsid w:val="0084764A"/>
    <w:rsid w:val="00847686"/>
    <w:rsid w:val="008477C1"/>
    <w:rsid w:val="008503FA"/>
    <w:rsid w:val="0085061D"/>
    <w:rsid w:val="00850A4F"/>
    <w:rsid w:val="00851396"/>
    <w:rsid w:val="008517EE"/>
    <w:rsid w:val="0085181B"/>
    <w:rsid w:val="00852B6C"/>
    <w:rsid w:val="00852E74"/>
    <w:rsid w:val="00853237"/>
    <w:rsid w:val="00853755"/>
    <w:rsid w:val="0085444B"/>
    <w:rsid w:val="00854508"/>
    <w:rsid w:val="008547AA"/>
    <w:rsid w:val="00854B50"/>
    <w:rsid w:val="00855894"/>
    <w:rsid w:val="008559EB"/>
    <w:rsid w:val="00855A01"/>
    <w:rsid w:val="00855BD8"/>
    <w:rsid w:val="00856198"/>
    <w:rsid w:val="008576EA"/>
    <w:rsid w:val="00857F06"/>
    <w:rsid w:val="00857F67"/>
    <w:rsid w:val="00860375"/>
    <w:rsid w:val="008604A8"/>
    <w:rsid w:val="0086087F"/>
    <w:rsid w:val="00860A30"/>
    <w:rsid w:val="00860AA5"/>
    <w:rsid w:val="00860C58"/>
    <w:rsid w:val="00860E62"/>
    <w:rsid w:val="0086105D"/>
    <w:rsid w:val="00861619"/>
    <w:rsid w:val="008616A9"/>
    <w:rsid w:val="008617FB"/>
    <w:rsid w:val="0086180E"/>
    <w:rsid w:val="00861FD7"/>
    <w:rsid w:val="0086220A"/>
    <w:rsid w:val="00862B13"/>
    <w:rsid w:val="0086314B"/>
    <w:rsid w:val="00863923"/>
    <w:rsid w:val="0086433D"/>
    <w:rsid w:val="00864763"/>
    <w:rsid w:val="0086481F"/>
    <w:rsid w:val="00864A24"/>
    <w:rsid w:val="00864C6E"/>
    <w:rsid w:val="00864D7B"/>
    <w:rsid w:val="00864FBD"/>
    <w:rsid w:val="008650E0"/>
    <w:rsid w:val="00865100"/>
    <w:rsid w:val="00865513"/>
    <w:rsid w:val="00865771"/>
    <w:rsid w:val="00865B1F"/>
    <w:rsid w:val="00865E02"/>
    <w:rsid w:val="00865FBF"/>
    <w:rsid w:val="008661AC"/>
    <w:rsid w:val="0086622A"/>
    <w:rsid w:val="008666BD"/>
    <w:rsid w:val="00866C23"/>
    <w:rsid w:val="00866E15"/>
    <w:rsid w:val="00866E7B"/>
    <w:rsid w:val="00866ECD"/>
    <w:rsid w:val="00866F52"/>
    <w:rsid w:val="00867C9E"/>
    <w:rsid w:val="00870351"/>
    <w:rsid w:val="0087044F"/>
    <w:rsid w:val="0087062E"/>
    <w:rsid w:val="00870884"/>
    <w:rsid w:val="00870A3D"/>
    <w:rsid w:val="00870AA1"/>
    <w:rsid w:val="00870E74"/>
    <w:rsid w:val="00871DCE"/>
    <w:rsid w:val="00871F90"/>
    <w:rsid w:val="0087210C"/>
    <w:rsid w:val="008724F5"/>
    <w:rsid w:val="008726E4"/>
    <w:rsid w:val="00872822"/>
    <w:rsid w:val="00872B96"/>
    <w:rsid w:val="00872D00"/>
    <w:rsid w:val="00872F85"/>
    <w:rsid w:val="008734E3"/>
    <w:rsid w:val="00873886"/>
    <w:rsid w:val="008738BE"/>
    <w:rsid w:val="00873A4C"/>
    <w:rsid w:val="00873AE6"/>
    <w:rsid w:val="0087422F"/>
    <w:rsid w:val="00874914"/>
    <w:rsid w:val="00874B67"/>
    <w:rsid w:val="00874E5A"/>
    <w:rsid w:val="008759CD"/>
    <w:rsid w:val="00875A9E"/>
    <w:rsid w:val="00876221"/>
    <w:rsid w:val="008765FA"/>
    <w:rsid w:val="00876AB9"/>
    <w:rsid w:val="00876B7B"/>
    <w:rsid w:val="00876EB5"/>
    <w:rsid w:val="008777BC"/>
    <w:rsid w:val="00877B15"/>
    <w:rsid w:val="00877EBA"/>
    <w:rsid w:val="00877FE5"/>
    <w:rsid w:val="0088029B"/>
    <w:rsid w:val="00880463"/>
    <w:rsid w:val="00880B1B"/>
    <w:rsid w:val="00880B6A"/>
    <w:rsid w:val="00881ACD"/>
    <w:rsid w:val="00881C32"/>
    <w:rsid w:val="00881C3C"/>
    <w:rsid w:val="008820CC"/>
    <w:rsid w:val="008822D8"/>
    <w:rsid w:val="008825B7"/>
    <w:rsid w:val="008826F9"/>
    <w:rsid w:val="00882E67"/>
    <w:rsid w:val="00883102"/>
    <w:rsid w:val="0088331A"/>
    <w:rsid w:val="00883C56"/>
    <w:rsid w:val="00883D10"/>
    <w:rsid w:val="008841A7"/>
    <w:rsid w:val="00884CCD"/>
    <w:rsid w:val="00884DE9"/>
    <w:rsid w:val="00886291"/>
    <w:rsid w:val="00886F82"/>
    <w:rsid w:val="00887491"/>
    <w:rsid w:val="008878FB"/>
    <w:rsid w:val="00887C40"/>
    <w:rsid w:val="008900A9"/>
    <w:rsid w:val="008901D3"/>
    <w:rsid w:val="008902C5"/>
    <w:rsid w:val="0089061D"/>
    <w:rsid w:val="00890897"/>
    <w:rsid w:val="00890C90"/>
    <w:rsid w:val="00890CAE"/>
    <w:rsid w:val="00890D3E"/>
    <w:rsid w:val="008916C5"/>
    <w:rsid w:val="008919B1"/>
    <w:rsid w:val="00891CDF"/>
    <w:rsid w:val="00891F1A"/>
    <w:rsid w:val="00891F8B"/>
    <w:rsid w:val="0089203C"/>
    <w:rsid w:val="008921F4"/>
    <w:rsid w:val="00892406"/>
    <w:rsid w:val="00892C46"/>
    <w:rsid w:val="00893D43"/>
    <w:rsid w:val="00893D44"/>
    <w:rsid w:val="008940D9"/>
    <w:rsid w:val="00894507"/>
    <w:rsid w:val="0089475C"/>
    <w:rsid w:val="008947A6"/>
    <w:rsid w:val="00894D95"/>
    <w:rsid w:val="00895A00"/>
    <w:rsid w:val="00895AAF"/>
    <w:rsid w:val="00896930"/>
    <w:rsid w:val="00896ACE"/>
    <w:rsid w:val="00896D99"/>
    <w:rsid w:val="00897178"/>
    <w:rsid w:val="00897665"/>
    <w:rsid w:val="00897A86"/>
    <w:rsid w:val="008A00AB"/>
    <w:rsid w:val="008A019C"/>
    <w:rsid w:val="008A0804"/>
    <w:rsid w:val="008A0D85"/>
    <w:rsid w:val="008A1090"/>
    <w:rsid w:val="008A1631"/>
    <w:rsid w:val="008A1EDA"/>
    <w:rsid w:val="008A25F4"/>
    <w:rsid w:val="008A2AFD"/>
    <w:rsid w:val="008A2EF8"/>
    <w:rsid w:val="008A35EA"/>
    <w:rsid w:val="008A3605"/>
    <w:rsid w:val="008A3644"/>
    <w:rsid w:val="008A36A3"/>
    <w:rsid w:val="008A383A"/>
    <w:rsid w:val="008A3A89"/>
    <w:rsid w:val="008A42A7"/>
    <w:rsid w:val="008A4C99"/>
    <w:rsid w:val="008A4CE4"/>
    <w:rsid w:val="008A529B"/>
    <w:rsid w:val="008A5A57"/>
    <w:rsid w:val="008A6029"/>
    <w:rsid w:val="008A6171"/>
    <w:rsid w:val="008A6654"/>
    <w:rsid w:val="008A6A94"/>
    <w:rsid w:val="008A6B33"/>
    <w:rsid w:val="008A6CD9"/>
    <w:rsid w:val="008A6E22"/>
    <w:rsid w:val="008A7016"/>
    <w:rsid w:val="008A704A"/>
    <w:rsid w:val="008B042C"/>
    <w:rsid w:val="008B046C"/>
    <w:rsid w:val="008B06D9"/>
    <w:rsid w:val="008B0BCA"/>
    <w:rsid w:val="008B0C65"/>
    <w:rsid w:val="008B0DAC"/>
    <w:rsid w:val="008B0E48"/>
    <w:rsid w:val="008B0F87"/>
    <w:rsid w:val="008B1171"/>
    <w:rsid w:val="008B1561"/>
    <w:rsid w:val="008B1DF8"/>
    <w:rsid w:val="008B1E3B"/>
    <w:rsid w:val="008B246E"/>
    <w:rsid w:val="008B2729"/>
    <w:rsid w:val="008B2733"/>
    <w:rsid w:val="008B286A"/>
    <w:rsid w:val="008B2E89"/>
    <w:rsid w:val="008B309A"/>
    <w:rsid w:val="008B372F"/>
    <w:rsid w:val="008B3B60"/>
    <w:rsid w:val="008B3E93"/>
    <w:rsid w:val="008B4290"/>
    <w:rsid w:val="008B42EA"/>
    <w:rsid w:val="008B43B4"/>
    <w:rsid w:val="008B4765"/>
    <w:rsid w:val="008B4835"/>
    <w:rsid w:val="008B4A55"/>
    <w:rsid w:val="008B5394"/>
    <w:rsid w:val="008B59CB"/>
    <w:rsid w:val="008B5BE8"/>
    <w:rsid w:val="008B609B"/>
    <w:rsid w:val="008B63F2"/>
    <w:rsid w:val="008B64D8"/>
    <w:rsid w:val="008B6C19"/>
    <w:rsid w:val="008B75FA"/>
    <w:rsid w:val="008C0193"/>
    <w:rsid w:val="008C04A1"/>
    <w:rsid w:val="008C0593"/>
    <w:rsid w:val="008C0689"/>
    <w:rsid w:val="008C0925"/>
    <w:rsid w:val="008C12AE"/>
    <w:rsid w:val="008C1352"/>
    <w:rsid w:val="008C196B"/>
    <w:rsid w:val="008C1B35"/>
    <w:rsid w:val="008C25E4"/>
    <w:rsid w:val="008C2FDE"/>
    <w:rsid w:val="008C32A2"/>
    <w:rsid w:val="008C34B7"/>
    <w:rsid w:val="008C35FB"/>
    <w:rsid w:val="008C375E"/>
    <w:rsid w:val="008C3D80"/>
    <w:rsid w:val="008C3DA7"/>
    <w:rsid w:val="008C3F06"/>
    <w:rsid w:val="008C4039"/>
    <w:rsid w:val="008C43D6"/>
    <w:rsid w:val="008C47F8"/>
    <w:rsid w:val="008C49E4"/>
    <w:rsid w:val="008C4A81"/>
    <w:rsid w:val="008C5111"/>
    <w:rsid w:val="008C5648"/>
    <w:rsid w:val="008C5775"/>
    <w:rsid w:val="008C5B7C"/>
    <w:rsid w:val="008C5C93"/>
    <w:rsid w:val="008C5D98"/>
    <w:rsid w:val="008C5DF8"/>
    <w:rsid w:val="008C6082"/>
    <w:rsid w:val="008C62DC"/>
    <w:rsid w:val="008C7404"/>
    <w:rsid w:val="008C75A3"/>
    <w:rsid w:val="008C75B4"/>
    <w:rsid w:val="008C77B2"/>
    <w:rsid w:val="008C7C8D"/>
    <w:rsid w:val="008D03E2"/>
    <w:rsid w:val="008D0B93"/>
    <w:rsid w:val="008D18B7"/>
    <w:rsid w:val="008D1EA4"/>
    <w:rsid w:val="008D288E"/>
    <w:rsid w:val="008D29F8"/>
    <w:rsid w:val="008D34B9"/>
    <w:rsid w:val="008D34D6"/>
    <w:rsid w:val="008D35B2"/>
    <w:rsid w:val="008D3797"/>
    <w:rsid w:val="008D3CB1"/>
    <w:rsid w:val="008D3D1B"/>
    <w:rsid w:val="008D4027"/>
    <w:rsid w:val="008D4157"/>
    <w:rsid w:val="008D44D4"/>
    <w:rsid w:val="008D475A"/>
    <w:rsid w:val="008D4AD3"/>
    <w:rsid w:val="008D4B36"/>
    <w:rsid w:val="008D50E3"/>
    <w:rsid w:val="008D519D"/>
    <w:rsid w:val="008D55DB"/>
    <w:rsid w:val="008D5DAA"/>
    <w:rsid w:val="008D6229"/>
    <w:rsid w:val="008D6F73"/>
    <w:rsid w:val="008D6FED"/>
    <w:rsid w:val="008D78A6"/>
    <w:rsid w:val="008D7EE9"/>
    <w:rsid w:val="008E079F"/>
    <w:rsid w:val="008E10BA"/>
    <w:rsid w:val="008E132E"/>
    <w:rsid w:val="008E13AA"/>
    <w:rsid w:val="008E1567"/>
    <w:rsid w:val="008E1D38"/>
    <w:rsid w:val="008E31E1"/>
    <w:rsid w:val="008E32C1"/>
    <w:rsid w:val="008E3764"/>
    <w:rsid w:val="008E3D78"/>
    <w:rsid w:val="008E3EF3"/>
    <w:rsid w:val="008E3FD9"/>
    <w:rsid w:val="008E434E"/>
    <w:rsid w:val="008E4575"/>
    <w:rsid w:val="008E46CC"/>
    <w:rsid w:val="008E477E"/>
    <w:rsid w:val="008E4791"/>
    <w:rsid w:val="008E4BC4"/>
    <w:rsid w:val="008E4C68"/>
    <w:rsid w:val="008E5258"/>
    <w:rsid w:val="008E60BA"/>
    <w:rsid w:val="008E631A"/>
    <w:rsid w:val="008E69A2"/>
    <w:rsid w:val="008E69DE"/>
    <w:rsid w:val="008E6ECC"/>
    <w:rsid w:val="008E7A4B"/>
    <w:rsid w:val="008E7D88"/>
    <w:rsid w:val="008E7E8F"/>
    <w:rsid w:val="008F0196"/>
    <w:rsid w:val="008F0600"/>
    <w:rsid w:val="008F082F"/>
    <w:rsid w:val="008F09F6"/>
    <w:rsid w:val="008F1520"/>
    <w:rsid w:val="008F1EB7"/>
    <w:rsid w:val="008F1EE8"/>
    <w:rsid w:val="008F1F8A"/>
    <w:rsid w:val="008F20F1"/>
    <w:rsid w:val="008F2153"/>
    <w:rsid w:val="008F25C0"/>
    <w:rsid w:val="008F2771"/>
    <w:rsid w:val="008F2AFD"/>
    <w:rsid w:val="008F2BFE"/>
    <w:rsid w:val="008F2C28"/>
    <w:rsid w:val="008F2D6F"/>
    <w:rsid w:val="008F30BE"/>
    <w:rsid w:val="008F367E"/>
    <w:rsid w:val="008F37DC"/>
    <w:rsid w:val="008F388B"/>
    <w:rsid w:val="008F3C00"/>
    <w:rsid w:val="008F3F6F"/>
    <w:rsid w:val="008F4B5E"/>
    <w:rsid w:val="008F533C"/>
    <w:rsid w:val="008F5441"/>
    <w:rsid w:val="008F57BA"/>
    <w:rsid w:val="008F5CD2"/>
    <w:rsid w:val="008F6775"/>
    <w:rsid w:val="008F6918"/>
    <w:rsid w:val="008F6AAD"/>
    <w:rsid w:val="008F6BAF"/>
    <w:rsid w:val="008F74C6"/>
    <w:rsid w:val="008F771C"/>
    <w:rsid w:val="008F7D56"/>
    <w:rsid w:val="00900064"/>
    <w:rsid w:val="00900212"/>
    <w:rsid w:val="0090091E"/>
    <w:rsid w:val="00900B95"/>
    <w:rsid w:val="00901205"/>
    <w:rsid w:val="0090158E"/>
    <w:rsid w:val="009016FF"/>
    <w:rsid w:val="00901B5B"/>
    <w:rsid w:val="00902068"/>
    <w:rsid w:val="009028DF"/>
    <w:rsid w:val="00903089"/>
    <w:rsid w:val="009031AE"/>
    <w:rsid w:val="009035F1"/>
    <w:rsid w:val="009036B0"/>
    <w:rsid w:val="009037A2"/>
    <w:rsid w:val="00903A50"/>
    <w:rsid w:val="00903A52"/>
    <w:rsid w:val="009041FE"/>
    <w:rsid w:val="009042B5"/>
    <w:rsid w:val="00904562"/>
    <w:rsid w:val="009045F6"/>
    <w:rsid w:val="00905115"/>
    <w:rsid w:val="0090541A"/>
    <w:rsid w:val="00905BA0"/>
    <w:rsid w:val="00905CE7"/>
    <w:rsid w:val="00905DEF"/>
    <w:rsid w:val="00905F70"/>
    <w:rsid w:val="00905F95"/>
    <w:rsid w:val="009062ED"/>
    <w:rsid w:val="009066FF"/>
    <w:rsid w:val="00906A24"/>
    <w:rsid w:val="00906ABA"/>
    <w:rsid w:val="00907447"/>
    <w:rsid w:val="00907983"/>
    <w:rsid w:val="009079A6"/>
    <w:rsid w:val="0091034B"/>
    <w:rsid w:val="00910656"/>
    <w:rsid w:val="00910E90"/>
    <w:rsid w:val="00911449"/>
    <w:rsid w:val="0091153B"/>
    <w:rsid w:val="00911588"/>
    <w:rsid w:val="009122A4"/>
    <w:rsid w:val="009127F2"/>
    <w:rsid w:val="00912FF8"/>
    <w:rsid w:val="0091315C"/>
    <w:rsid w:val="009131EF"/>
    <w:rsid w:val="0091348B"/>
    <w:rsid w:val="009135AF"/>
    <w:rsid w:val="00913889"/>
    <w:rsid w:val="00913B89"/>
    <w:rsid w:val="00913D7F"/>
    <w:rsid w:val="00913E0C"/>
    <w:rsid w:val="00913F7E"/>
    <w:rsid w:val="009144BD"/>
    <w:rsid w:val="0091464A"/>
    <w:rsid w:val="00914CBF"/>
    <w:rsid w:val="00914DC4"/>
    <w:rsid w:val="00914F0B"/>
    <w:rsid w:val="009151CE"/>
    <w:rsid w:val="00915341"/>
    <w:rsid w:val="0091577A"/>
    <w:rsid w:val="00916455"/>
    <w:rsid w:val="00916849"/>
    <w:rsid w:val="00916A13"/>
    <w:rsid w:val="00916A7C"/>
    <w:rsid w:val="00916F01"/>
    <w:rsid w:val="009172E7"/>
    <w:rsid w:val="009174DC"/>
    <w:rsid w:val="0091753A"/>
    <w:rsid w:val="0091782F"/>
    <w:rsid w:val="00917C2C"/>
    <w:rsid w:val="00917D7F"/>
    <w:rsid w:val="0092021D"/>
    <w:rsid w:val="00920516"/>
    <w:rsid w:val="0092055F"/>
    <w:rsid w:val="00920567"/>
    <w:rsid w:val="0092063F"/>
    <w:rsid w:val="00920862"/>
    <w:rsid w:val="00920878"/>
    <w:rsid w:val="00920E46"/>
    <w:rsid w:val="00920E7E"/>
    <w:rsid w:val="009212B1"/>
    <w:rsid w:val="009212E6"/>
    <w:rsid w:val="0092185C"/>
    <w:rsid w:val="009218A4"/>
    <w:rsid w:val="00921A95"/>
    <w:rsid w:val="00921AB5"/>
    <w:rsid w:val="00921C9A"/>
    <w:rsid w:val="00921E57"/>
    <w:rsid w:val="009221E3"/>
    <w:rsid w:val="0092237B"/>
    <w:rsid w:val="00922387"/>
    <w:rsid w:val="009223A3"/>
    <w:rsid w:val="00922695"/>
    <w:rsid w:val="00922872"/>
    <w:rsid w:val="00922AA0"/>
    <w:rsid w:val="00922D03"/>
    <w:rsid w:val="0092311C"/>
    <w:rsid w:val="0092346E"/>
    <w:rsid w:val="009241F5"/>
    <w:rsid w:val="0092421F"/>
    <w:rsid w:val="0092466F"/>
    <w:rsid w:val="00924AAC"/>
    <w:rsid w:val="009252B4"/>
    <w:rsid w:val="00925789"/>
    <w:rsid w:val="00925B8B"/>
    <w:rsid w:val="00925CC3"/>
    <w:rsid w:val="009267D4"/>
    <w:rsid w:val="009268FC"/>
    <w:rsid w:val="00926BDC"/>
    <w:rsid w:val="00926ED0"/>
    <w:rsid w:val="0092701E"/>
    <w:rsid w:val="009271B5"/>
    <w:rsid w:val="00927393"/>
    <w:rsid w:val="009273A7"/>
    <w:rsid w:val="009273F8"/>
    <w:rsid w:val="00927483"/>
    <w:rsid w:val="00927C68"/>
    <w:rsid w:val="0093021E"/>
    <w:rsid w:val="00930411"/>
    <w:rsid w:val="009308DA"/>
    <w:rsid w:val="009311C9"/>
    <w:rsid w:val="0093135A"/>
    <w:rsid w:val="009313C4"/>
    <w:rsid w:val="00931773"/>
    <w:rsid w:val="0093179A"/>
    <w:rsid w:val="009317A2"/>
    <w:rsid w:val="009317AC"/>
    <w:rsid w:val="00931964"/>
    <w:rsid w:val="00931DDA"/>
    <w:rsid w:val="009320B7"/>
    <w:rsid w:val="009327F1"/>
    <w:rsid w:val="00932C72"/>
    <w:rsid w:val="00932F2B"/>
    <w:rsid w:val="00933A30"/>
    <w:rsid w:val="00933DB2"/>
    <w:rsid w:val="00933DC0"/>
    <w:rsid w:val="00933DE0"/>
    <w:rsid w:val="00933E50"/>
    <w:rsid w:val="00934795"/>
    <w:rsid w:val="00934927"/>
    <w:rsid w:val="0093494E"/>
    <w:rsid w:val="009351AE"/>
    <w:rsid w:val="00935307"/>
    <w:rsid w:val="00935580"/>
    <w:rsid w:val="0093596E"/>
    <w:rsid w:val="00935984"/>
    <w:rsid w:val="00935A07"/>
    <w:rsid w:val="00936021"/>
    <w:rsid w:val="009360E7"/>
    <w:rsid w:val="009362BC"/>
    <w:rsid w:val="00936462"/>
    <w:rsid w:val="00936494"/>
    <w:rsid w:val="0093707F"/>
    <w:rsid w:val="009373D3"/>
    <w:rsid w:val="00937C0F"/>
    <w:rsid w:val="00937E7B"/>
    <w:rsid w:val="00937F01"/>
    <w:rsid w:val="00940335"/>
    <w:rsid w:val="00940342"/>
    <w:rsid w:val="00940365"/>
    <w:rsid w:val="00940501"/>
    <w:rsid w:val="00940B26"/>
    <w:rsid w:val="00940B3E"/>
    <w:rsid w:val="00940C14"/>
    <w:rsid w:val="009410CA"/>
    <w:rsid w:val="009411FC"/>
    <w:rsid w:val="00941467"/>
    <w:rsid w:val="00941620"/>
    <w:rsid w:val="009417DB"/>
    <w:rsid w:val="0094213E"/>
    <w:rsid w:val="0094238D"/>
    <w:rsid w:val="0094246B"/>
    <w:rsid w:val="009424F4"/>
    <w:rsid w:val="0094265B"/>
    <w:rsid w:val="00942C95"/>
    <w:rsid w:val="00943737"/>
    <w:rsid w:val="00943A3F"/>
    <w:rsid w:val="00943DF2"/>
    <w:rsid w:val="00944370"/>
    <w:rsid w:val="009446DE"/>
    <w:rsid w:val="00945123"/>
    <w:rsid w:val="009451CE"/>
    <w:rsid w:val="00946029"/>
    <w:rsid w:val="0094653E"/>
    <w:rsid w:val="009467B5"/>
    <w:rsid w:val="009475AE"/>
    <w:rsid w:val="0094765F"/>
    <w:rsid w:val="00947A2C"/>
    <w:rsid w:val="00947F18"/>
    <w:rsid w:val="00950526"/>
    <w:rsid w:val="0095085D"/>
    <w:rsid w:val="00950DCD"/>
    <w:rsid w:val="00951383"/>
    <w:rsid w:val="009518E5"/>
    <w:rsid w:val="00951FCF"/>
    <w:rsid w:val="0095214A"/>
    <w:rsid w:val="00952623"/>
    <w:rsid w:val="009526B5"/>
    <w:rsid w:val="00952915"/>
    <w:rsid w:val="00952EF7"/>
    <w:rsid w:val="0095390C"/>
    <w:rsid w:val="00953C7D"/>
    <w:rsid w:val="00953D76"/>
    <w:rsid w:val="00953FDE"/>
    <w:rsid w:val="009543CD"/>
    <w:rsid w:val="009546A8"/>
    <w:rsid w:val="009549CB"/>
    <w:rsid w:val="009554FB"/>
    <w:rsid w:val="00955D8B"/>
    <w:rsid w:val="00955E00"/>
    <w:rsid w:val="0095624A"/>
    <w:rsid w:val="00956432"/>
    <w:rsid w:val="00956AA6"/>
    <w:rsid w:val="00956B40"/>
    <w:rsid w:val="00956CB9"/>
    <w:rsid w:val="00956F36"/>
    <w:rsid w:val="0095706A"/>
    <w:rsid w:val="0095745F"/>
    <w:rsid w:val="009574E6"/>
    <w:rsid w:val="00957F2F"/>
    <w:rsid w:val="009606D0"/>
    <w:rsid w:val="0096076F"/>
    <w:rsid w:val="00961671"/>
    <w:rsid w:val="00961C88"/>
    <w:rsid w:val="0096218D"/>
    <w:rsid w:val="0096234E"/>
    <w:rsid w:val="00962631"/>
    <w:rsid w:val="009627B8"/>
    <w:rsid w:val="00962B03"/>
    <w:rsid w:val="00962B68"/>
    <w:rsid w:val="00962C60"/>
    <w:rsid w:val="00962DC4"/>
    <w:rsid w:val="00963FB7"/>
    <w:rsid w:val="00964C51"/>
    <w:rsid w:val="00965205"/>
    <w:rsid w:val="00965283"/>
    <w:rsid w:val="009652E4"/>
    <w:rsid w:val="0096545A"/>
    <w:rsid w:val="009658E2"/>
    <w:rsid w:val="00965E44"/>
    <w:rsid w:val="009666F4"/>
    <w:rsid w:val="00967077"/>
    <w:rsid w:val="00967379"/>
    <w:rsid w:val="00967FAA"/>
    <w:rsid w:val="00970A49"/>
    <w:rsid w:val="00970A91"/>
    <w:rsid w:val="00970CFF"/>
    <w:rsid w:val="00970D70"/>
    <w:rsid w:val="00971865"/>
    <w:rsid w:val="00971914"/>
    <w:rsid w:val="00971A26"/>
    <w:rsid w:val="0097241D"/>
    <w:rsid w:val="00972484"/>
    <w:rsid w:val="009724A2"/>
    <w:rsid w:val="00972B0A"/>
    <w:rsid w:val="00973031"/>
    <w:rsid w:val="00973280"/>
    <w:rsid w:val="009734AE"/>
    <w:rsid w:val="009735E9"/>
    <w:rsid w:val="009739A9"/>
    <w:rsid w:val="00973D7A"/>
    <w:rsid w:val="0097437A"/>
    <w:rsid w:val="009745B6"/>
    <w:rsid w:val="00974832"/>
    <w:rsid w:val="00974BB1"/>
    <w:rsid w:val="00974D18"/>
    <w:rsid w:val="00974D62"/>
    <w:rsid w:val="00976021"/>
    <w:rsid w:val="009763FD"/>
    <w:rsid w:val="00976434"/>
    <w:rsid w:val="00976F33"/>
    <w:rsid w:val="00977028"/>
    <w:rsid w:val="009772A0"/>
    <w:rsid w:val="00977588"/>
    <w:rsid w:val="00977956"/>
    <w:rsid w:val="00977BBB"/>
    <w:rsid w:val="0098049A"/>
    <w:rsid w:val="00980E0E"/>
    <w:rsid w:val="009810E7"/>
    <w:rsid w:val="009812EB"/>
    <w:rsid w:val="0098174A"/>
    <w:rsid w:val="00981C4C"/>
    <w:rsid w:val="00981E62"/>
    <w:rsid w:val="00982BD2"/>
    <w:rsid w:val="00982C41"/>
    <w:rsid w:val="009837B7"/>
    <w:rsid w:val="00983A23"/>
    <w:rsid w:val="00983F68"/>
    <w:rsid w:val="00983FE9"/>
    <w:rsid w:val="009840B5"/>
    <w:rsid w:val="009843C4"/>
    <w:rsid w:val="00984431"/>
    <w:rsid w:val="00984438"/>
    <w:rsid w:val="00984DCE"/>
    <w:rsid w:val="00984E95"/>
    <w:rsid w:val="0098505A"/>
    <w:rsid w:val="0098529C"/>
    <w:rsid w:val="009858EE"/>
    <w:rsid w:val="0098652F"/>
    <w:rsid w:val="00986644"/>
    <w:rsid w:val="009867EF"/>
    <w:rsid w:val="0098707C"/>
    <w:rsid w:val="0098718F"/>
    <w:rsid w:val="00987315"/>
    <w:rsid w:val="00987886"/>
    <w:rsid w:val="00987A27"/>
    <w:rsid w:val="00987D74"/>
    <w:rsid w:val="009900F8"/>
    <w:rsid w:val="00990DD0"/>
    <w:rsid w:val="009917AA"/>
    <w:rsid w:val="00991BFC"/>
    <w:rsid w:val="00992E4E"/>
    <w:rsid w:val="00992EF4"/>
    <w:rsid w:val="00992F5F"/>
    <w:rsid w:val="00992FEB"/>
    <w:rsid w:val="00993433"/>
    <w:rsid w:val="00993AC0"/>
    <w:rsid w:val="00993D8C"/>
    <w:rsid w:val="00994000"/>
    <w:rsid w:val="0099414B"/>
    <w:rsid w:val="0099439C"/>
    <w:rsid w:val="009944ED"/>
    <w:rsid w:val="0099475B"/>
    <w:rsid w:val="00994AC5"/>
    <w:rsid w:val="0099542A"/>
    <w:rsid w:val="00995604"/>
    <w:rsid w:val="009959FA"/>
    <w:rsid w:val="00995BE2"/>
    <w:rsid w:val="00995C67"/>
    <w:rsid w:val="00995E25"/>
    <w:rsid w:val="009962CB"/>
    <w:rsid w:val="009962FB"/>
    <w:rsid w:val="009965EF"/>
    <w:rsid w:val="009966A5"/>
    <w:rsid w:val="009969DE"/>
    <w:rsid w:val="0099717E"/>
    <w:rsid w:val="009971CA"/>
    <w:rsid w:val="0099794A"/>
    <w:rsid w:val="00997C73"/>
    <w:rsid w:val="00997CE5"/>
    <w:rsid w:val="00997E27"/>
    <w:rsid w:val="00997F15"/>
    <w:rsid w:val="009A04CE"/>
    <w:rsid w:val="009A0F23"/>
    <w:rsid w:val="009A121E"/>
    <w:rsid w:val="009A1832"/>
    <w:rsid w:val="009A1A33"/>
    <w:rsid w:val="009A2803"/>
    <w:rsid w:val="009A2A90"/>
    <w:rsid w:val="009A31D9"/>
    <w:rsid w:val="009A3414"/>
    <w:rsid w:val="009A34FA"/>
    <w:rsid w:val="009A3D58"/>
    <w:rsid w:val="009A43AD"/>
    <w:rsid w:val="009A45F1"/>
    <w:rsid w:val="009A561C"/>
    <w:rsid w:val="009A579B"/>
    <w:rsid w:val="009A57A4"/>
    <w:rsid w:val="009A5EA2"/>
    <w:rsid w:val="009A610F"/>
    <w:rsid w:val="009A68DE"/>
    <w:rsid w:val="009A6C1A"/>
    <w:rsid w:val="009A6EB1"/>
    <w:rsid w:val="009A728B"/>
    <w:rsid w:val="009A7425"/>
    <w:rsid w:val="009A7526"/>
    <w:rsid w:val="009A7897"/>
    <w:rsid w:val="009A7C80"/>
    <w:rsid w:val="009B00B7"/>
    <w:rsid w:val="009B059F"/>
    <w:rsid w:val="009B0757"/>
    <w:rsid w:val="009B0A32"/>
    <w:rsid w:val="009B0C1D"/>
    <w:rsid w:val="009B0FE4"/>
    <w:rsid w:val="009B1234"/>
    <w:rsid w:val="009B1765"/>
    <w:rsid w:val="009B17FB"/>
    <w:rsid w:val="009B1BEE"/>
    <w:rsid w:val="009B24E8"/>
    <w:rsid w:val="009B2996"/>
    <w:rsid w:val="009B3293"/>
    <w:rsid w:val="009B3389"/>
    <w:rsid w:val="009B3427"/>
    <w:rsid w:val="009B384D"/>
    <w:rsid w:val="009B3DF9"/>
    <w:rsid w:val="009B3FC0"/>
    <w:rsid w:val="009B437D"/>
    <w:rsid w:val="009B475D"/>
    <w:rsid w:val="009B4CE8"/>
    <w:rsid w:val="009B4E23"/>
    <w:rsid w:val="009B4FA7"/>
    <w:rsid w:val="009B5C3A"/>
    <w:rsid w:val="009B5D81"/>
    <w:rsid w:val="009B5E3B"/>
    <w:rsid w:val="009B6566"/>
    <w:rsid w:val="009B664A"/>
    <w:rsid w:val="009B66EC"/>
    <w:rsid w:val="009B6CEC"/>
    <w:rsid w:val="009B6DAF"/>
    <w:rsid w:val="009B743F"/>
    <w:rsid w:val="009B77EF"/>
    <w:rsid w:val="009B7C46"/>
    <w:rsid w:val="009B7E6B"/>
    <w:rsid w:val="009C0186"/>
    <w:rsid w:val="009C0EAB"/>
    <w:rsid w:val="009C0F20"/>
    <w:rsid w:val="009C10AC"/>
    <w:rsid w:val="009C10AF"/>
    <w:rsid w:val="009C1284"/>
    <w:rsid w:val="009C1303"/>
    <w:rsid w:val="009C1311"/>
    <w:rsid w:val="009C18A8"/>
    <w:rsid w:val="009C1E10"/>
    <w:rsid w:val="009C1EA6"/>
    <w:rsid w:val="009C21DF"/>
    <w:rsid w:val="009C21F4"/>
    <w:rsid w:val="009C2456"/>
    <w:rsid w:val="009C269B"/>
    <w:rsid w:val="009C271F"/>
    <w:rsid w:val="009C2AA6"/>
    <w:rsid w:val="009C3046"/>
    <w:rsid w:val="009C30C2"/>
    <w:rsid w:val="009C3119"/>
    <w:rsid w:val="009C3627"/>
    <w:rsid w:val="009C3715"/>
    <w:rsid w:val="009C3800"/>
    <w:rsid w:val="009C4122"/>
    <w:rsid w:val="009C442A"/>
    <w:rsid w:val="009C4561"/>
    <w:rsid w:val="009C47EA"/>
    <w:rsid w:val="009C523B"/>
    <w:rsid w:val="009C53DE"/>
    <w:rsid w:val="009C5896"/>
    <w:rsid w:val="009C5C56"/>
    <w:rsid w:val="009C5CAC"/>
    <w:rsid w:val="009C5D27"/>
    <w:rsid w:val="009C6089"/>
    <w:rsid w:val="009C63D6"/>
    <w:rsid w:val="009C6B60"/>
    <w:rsid w:val="009C6D9C"/>
    <w:rsid w:val="009C72F6"/>
    <w:rsid w:val="009C7350"/>
    <w:rsid w:val="009C7E02"/>
    <w:rsid w:val="009C7E76"/>
    <w:rsid w:val="009D01F6"/>
    <w:rsid w:val="009D0B72"/>
    <w:rsid w:val="009D136B"/>
    <w:rsid w:val="009D13D6"/>
    <w:rsid w:val="009D179D"/>
    <w:rsid w:val="009D18AF"/>
    <w:rsid w:val="009D2916"/>
    <w:rsid w:val="009D2931"/>
    <w:rsid w:val="009D30C8"/>
    <w:rsid w:val="009D3599"/>
    <w:rsid w:val="009D3D5A"/>
    <w:rsid w:val="009D4E63"/>
    <w:rsid w:val="009D518A"/>
    <w:rsid w:val="009D5753"/>
    <w:rsid w:val="009D6242"/>
    <w:rsid w:val="009D6DC0"/>
    <w:rsid w:val="009D733F"/>
    <w:rsid w:val="009D769A"/>
    <w:rsid w:val="009D7C77"/>
    <w:rsid w:val="009D7CF0"/>
    <w:rsid w:val="009D7EC5"/>
    <w:rsid w:val="009E0542"/>
    <w:rsid w:val="009E0957"/>
    <w:rsid w:val="009E0CBF"/>
    <w:rsid w:val="009E0E86"/>
    <w:rsid w:val="009E0F0A"/>
    <w:rsid w:val="009E1A69"/>
    <w:rsid w:val="009E1EBB"/>
    <w:rsid w:val="009E1F4A"/>
    <w:rsid w:val="009E2452"/>
    <w:rsid w:val="009E2BB8"/>
    <w:rsid w:val="009E301B"/>
    <w:rsid w:val="009E33E4"/>
    <w:rsid w:val="009E35E7"/>
    <w:rsid w:val="009E392F"/>
    <w:rsid w:val="009E39F4"/>
    <w:rsid w:val="009E3A2B"/>
    <w:rsid w:val="009E3B99"/>
    <w:rsid w:val="009E40F0"/>
    <w:rsid w:val="009E4201"/>
    <w:rsid w:val="009E43D0"/>
    <w:rsid w:val="009E481A"/>
    <w:rsid w:val="009E4961"/>
    <w:rsid w:val="009E5194"/>
    <w:rsid w:val="009E52F7"/>
    <w:rsid w:val="009E5364"/>
    <w:rsid w:val="009E56A0"/>
    <w:rsid w:val="009E57E5"/>
    <w:rsid w:val="009E5C97"/>
    <w:rsid w:val="009E5CF8"/>
    <w:rsid w:val="009E63F4"/>
    <w:rsid w:val="009E727A"/>
    <w:rsid w:val="009E742A"/>
    <w:rsid w:val="009E7603"/>
    <w:rsid w:val="009E76C3"/>
    <w:rsid w:val="009E77B0"/>
    <w:rsid w:val="009E7AC0"/>
    <w:rsid w:val="009F0DC3"/>
    <w:rsid w:val="009F1379"/>
    <w:rsid w:val="009F14DC"/>
    <w:rsid w:val="009F15CE"/>
    <w:rsid w:val="009F16A5"/>
    <w:rsid w:val="009F1805"/>
    <w:rsid w:val="009F1AE0"/>
    <w:rsid w:val="009F1BCC"/>
    <w:rsid w:val="009F1D61"/>
    <w:rsid w:val="009F1EE6"/>
    <w:rsid w:val="009F20A6"/>
    <w:rsid w:val="009F250D"/>
    <w:rsid w:val="009F2CE5"/>
    <w:rsid w:val="009F3EBA"/>
    <w:rsid w:val="009F418D"/>
    <w:rsid w:val="009F4311"/>
    <w:rsid w:val="009F4751"/>
    <w:rsid w:val="009F546D"/>
    <w:rsid w:val="009F54CA"/>
    <w:rsid w:val="009F555C"/>
    <w:rsid w:val="009F5831"/>
    <w:rsid w:val="009F5F8F"/>
    <w:rsid w:val="009F614B"/>
    <w:rsid w:val="009F6151"/>
    <w:rsid w:val="009F661C"/>
    <w:rsid w:val="009F6656"/>
    <w:rsid w:val="009F6781"/>
    <w:rsid w:val="009F6A68"/>
    <w:rsid w:val="009F6A9B"/>
    <w:rsid w:val="009F6BFE"/>
    <w:rsid w:val="009F708B"/>
    <w:rsid w:val="009F70E0"/>
    <w:rsid w:val="009F75C5"/>
    <w:rsid w:val="009F7AAD"/>
    <w:rsid w:val="00A001F1"/>
    <w:rsid w:val="00A00466"/>
    <w:rsid w:val="00A00853"/>
    <w:rsid w:val="00A00A08"/>
    <w:rsid w:val="00A00BF1"/>
    <w:rsid w:val="00A010D9"/>
    <w:rsid w:val="00A013D9"/>
    <w:rsid w:val="00A015D8"/>
    <w:rsid w:val="00A01648"/>
    <w:rsid w:val="00A01CD6"/>
    <w:rsid w:val="00A0207A"/>
    <w:rsid w:val="00A020A3"/>
    <w:rsid w:val="00A021CF"/>
    <w:rsid w:val="00A02421"/>
    <w:rsid w:val="00A02481"/>
    <w:rsid w:val="00A02B28"/>
    <w:rsid w:val="00A02D04"/>
    <w:rsid w:val="00A02E30"/>
    <w:rsid w:val="00A02ED9"/>
    <w:rsid w:val="00A02F7B"/>
    <w:rsid w:val="00A02FCD"/>
    <w:rsid w:val="00A033CD"/>
    <w:rsid w:val="00A03541"/>
    <w:rsid w:val="00A03E93"/>
    <w:rsid w:val="00A0406B"/>
    <w:rsid w:val="00A045B2"/>
    <w:rsid w:val="00A046BF"/>
    <w:rsid w:val="00A04CF9"/>
    <w:rsid w:val="00A04D98"/>
    <w:rsid w:val="00A058A5"/>
    <w:rsid w:val="00A05BB4"/>
    <w:rsid w:val="00A05CA1"/>
    <w:rsid w:val="00A06640"/>
    <w:rsid w:val="00A06B5C"/>
    <w:rsid w:val="00A07877"/>
    <w:rsid w:val="00A1060F"/>
    <w:rsid w:val="00A1097A"/>
    <w:rsid w:val="00A10D45"/>
    <w:rsid w:val="00A11D25"/>
    <w:rsid w:val="00A1206D"/>
    <w:rsid w:val="00A121D4"/>
    <w:rsid w:val="00A12717"/>
    <w:rsid w:val="00A12912"/>
    <w:rsid w:val="00A13039"/>
    <w:rsid w:val="00A13179"/>
    <w:rsid w:val="00A13182"/>
    <w:rsid w:val="00A13190"/>
    <w:rsid w:val="00A1334A"/>
    <w:rsid w:val="00A1344C"/>
    <w:rsid w:val="00A137E6"/>
    <w:rsid w:val="00A13DBE"/>
    <w:rsid w:val="00A1404D"/>
    <w:rsid w:val="00A14360"/>
    <w:rsid w:val="00A146D1"/>
    <w:rsid w:val="00A14C24"/>
    <w:rsid w:val="00A154C1"/>
    <w:rsid w:val="00A158A3"/>
    <w:rsid w:val="00A158C8"/>
    <w:rsid w:val="00A159AB"/>
    <w:rsid w:val="00A15A54"/>
    <w:rsid w:val="00A15E21"/>
    <w:rsid w:val="00A15EA1"/>
    <w:rsid w:val="00A15F19"/>
    <w:rsid w:val="00A16EC0"/>
    <w:rsid w:val="00A178BD"/>
    <w:rsid w:val="00A17B89"/>
    <w:rsid w:val="00A203DD"/>
    <w:rsid w:val="00A20411"/>
    <w:rsid w:val="00A2048D"/>
    <w:rsid w:val="00A2073B"/>
    <w:rsid w:val="00A210D1"/>
    <w:rsid w:val="00A21208"/>
    <w:rsid w:val="00A2172E"/>
    <w:rsid w:val="00A21A18"/>
    <w:rsid w:val="00A21D95"/>
    <w:rsid w:val="00A22763"/>
    <w:rsid w:val="00A22B7E"/>
    <w:rsid w:val="00A232AF"/>
    <w:rsid w:val="00A232D5"/>
    <w:rsid w:val="00A236A7"/>
    <w:rsid w:val="00A23F64"/>
    <w:rsid w:val="00A246DA"/>
    <w:rsid w:val="00A246FA"/>
    <w:rsid w:val="00A250C4"/>
    <w:rsid w:val="00A253E1"/>
    <w:rsid w:val="00A259FA"/>
    <w:rsid w:val="00A25D94"/>
    <w:rsid w:val="00A26713"/>
    <w:rsid w:val="00A26D96"/>
    <w:rsid w:val="00A270C5"/>
    <w:rsid w:val="00A2725A"/>
    <w:rsid w:val="00A2789D"/>
    <w:rsid w:val="00A27901"/>
    <w:rsid w:val="00A27A9B"/>
    <w:rsid w:val="00A27D4F"/>
    <w:rsid w:val="00A27D56"/>
    <w:rsid w:val="00A27F69"/>
    <w:rsid w:val="00A30A14"/>
    <w:rsid w:val="00A30A27"/>
    <w:rsid w:val="00A30B4E"/>
    <w:rsid w:val="00A30DA6"/>
    <w:rsid w:val="00A30DF0"/>
    <w:rsid w:val="00A31265"/>
    <w:rsid w:val="00A3145E"/>
    <w:rsid w:val="00A32C36"/>
    <w:rsid w:val="00A3315C"/>
    <w:rsid w:val="00A338ED"/>
    <w:rsid w:val="00A3392C"/>
    <w:rsid w:val="00A33954"/>
    <w:rsid w:val="00A33E43"/>
    <w:rsid w:val="00A3408D"/>
    <w:rsid w:val="00A34216"/>
    <w:rsid w:val="00A344A1"/>
    <w:rsid w:val="00A34943"/>
    <w:rsid w:val="00A34B22"/>
    <w:rsid w:val="00A34D55"/>
    <w:rsid w:val="00A34DE3"/>
    <w:rsid w:val="00A35072"/>
    <w:rsid w:val="00A35237"/>
    <w:rsid w:val="00A35C4C"/>
    <w:rsid w:val="00A35E14"/>
    <w:rsid w:val="00A35EC6"/>
    <w:rsid w:val="00A35FA2"/>
    <w:rsid w:val="00A363CC"/>
    <w:rsid w:val="00A36A96"/>
    <w:rsid w:val="00A36B50"/>
    <w:rsid w:val="00A36C06"/>
    <w:rsid w:val="00A36DBD"/>
    <w:rsid w:val="00A372A2"/>
    <w:rsid w:val="00A37574"/>
    <w:rsid w:val="00A3766B"/>
    <w:rsid w:val="00A3794E"/>
    <w:rsid w:val="00A37CB8"/>
    <w:rsid w:val="00A37E00"/>
    <w:rsid w:val="00A40099"/>
    <w:rsid w:val="00A40DC5"/>
    <w:rsid w:val="00A411BE"/>
    <w:rsid w:val="00A412CA"/>
    <w:rsid w:val="00A41334"/>
    <w:rsid w:val="00A414F1"/>
    <w:rsid w:val="00A415D6"/>
    <w:rsid w:val="00A41712"/>
    <w:rsid w:val="00A417CB"/>
    <w:rsid w:val="00A41B5B"/>
    <w:rsid w:val="00A41BE5"/>
    <w:rsid w:val="00A4291B"/>
    <w:rsid w:val="00A42A82"/>
    <w:rsid w:val="00A42B5C"/>
    <w:rsid w:val="00A42EC4"/>
    <w:rsid w:val="00A43AAB"/>
    <w:rsid w:val="00A43AB0"/>
    <w:rsid w:val="00A44394"/>
    <w:rsid w:val="00A443F4"/>
    <w:rsid w:val="00A4494F"/>
    <w:rsid w:val="00A44C36"/>
    <w:rsid w:val="00A44D77"/>
    <w:rsid w:val="00A45CE8"/>
    <w:rsid w:val="00A45FE7"/>
    <w:rsid w:val="00A465E7"/>
    <w:rsid w:val="00A46A1B"/>
    <w:rsid w:val="00A46E0B"/>
    <w:rsid w:val="00A472E8"/>
    <w:rsid w:val="00A47683"/>
    <w:rsid w:val="00A478BC"/>
    <w:rsid w:val="00A47933"/>
    <w:rsid w:val="00A507F1"/>
    <w:rsid w:val="00A50C83"/>
    <w:rsid w:val="00A50D22"/>
    <w:rsid w:val="00A50FE8"/>
    <w:rsid w:val="00A511EA"/>
    <w:rsid w:val="00A518D0"/>
    <w:rsid w:val="00A52590"/>
    <w:rsid w:val="00A5290E"/>
    <w:rsid w:val="00A53571"/>
    <w:rsid w:val="00A53660"/>
    <w:rsid w:val="00A537D9"/>
    <w:rsid w:val="00A53A5F"/>
    <w:rsid w:val="00A53F1D"/>
    <w:rsid w:val="00A54572"/>
    <w:rsid w:val="00A54837"/>
    <w:rsid w:val="00A54891"/>
    <w:rsid w:val="00A54DCB"/>
    <w:rsid w:val="00A54E37"/>
    <w:rsid w:val="00A55010"/>
    <w:rsid w:val="00A554C7"/>
    <w:rsid w:val="00A5575B"/>
    <w:rsid w:val="00A55C95"/>
    <w:rsid w:val="00A56063"/>
    <w:rsid w:val="00A56103"/>
    <w:rsid w:val="00A5633A"/>
    <w:rsid w:val="00A56531"/>
    <w:rsid w:val="00A565CC"/>
    <w:rsid w:val="00A571D8"/>
    <w:rsid w:val="00A57214"/>
    <w:rsid w:val="00A5722D"/>
    <w:rsid w:val="00A57437"/>
    <w:rsid w:val="00A575E7"/>
    <w:rsid w:val="00A5794E"/>
    <w:rsid w:val="00A57A64"/>
    <w:rsid w:val="00A57FF0"/>
    <w:rsid w:val="00A6048A"/>
    <w:rsid w:val="00A6059F"/>
    <w:rsid w:val="00A60890"/>
    <w:rsid w:val="00A60951"/>
    <w:rsid w:val="00A609C0"/>
    <w:rsid w:val="00A60ADA"/>
    <w:rsid w:val="00A60AED"/>
    <w:rsid w:val="00A610E2"/>
    <w:rsid w:val="00A613FC"/>
    <w:rsid w:val="00A61725"/>
    <w:rsid w:val="00A61727"/>
    <w:rsid w:val="00A61874"/>
    <w:rsid w:val="00A626CB"/>
    <w:rsid w:val="00A62782"/>
    <w:rsid w:val="00A62CA9"/>
    <w:rsid w:val="00A62F4B"/>
    <w:rsid w:val="00A63233"/>
    <w:rsid w:val="00A63C02"/>
    <w:rsid w:val="00A64443"/>
    <w:rsid w:val="00A6457B"/>
    <w:rsid w:val="00A6556F"/>
    <w:rsid w:val="00A655A4"/>
    <w:rsid w:val="00A6584B"/>
    <w:rsid w:val="00A65943"/>
    <w:rsid w:val="00A65F99"/>
    <w:rsid w:val="00A66045"/>
    <w:rsid w:val="00A666BD"/>
    <w:rsid w:val="00A667AA"/>
    <w:rsid w:val="00A66A12"/>
    <w:rsid w:val="00A66AEA"/>
    <w:rsid w:val="00A66D63"/>
    <w:rsid w:val="00A670CB"/>
    <w:rsid w:val="00A6730B"/>
    <w:rsid w:val="00A7026C"/>
    <w:rsid w:val="00A708D7"/>
    <w:rsid w:val="00A7097A"/>
    <w:rsid w:val="00A70AE5"/>
    <w:rsid w:val="00A70BC2"/>
    <w:rsid w:val="00A70BE5"/>
    <w:rsid w:val="00A71559"/>
    <w:rsid w:val="00A715F6"/>
    <w:rsid w:val="00A7167D"/>
    <w:rsid w:val="00A71829"/>
    <w:rsid w:val="00A71830"/>
    <w:rsid w:val="00A71A18"/>
    <w:rsid w:val="00A71C15"/>
    <w:rsid w:val="00A7294B"/>
    <w:rsid w:val="00A72D2A"/>
    <w:rsid w:val="00A72F3E"/>
    <w:rsid w:val="00A72F87"/>
    <w:rsid w:val="00A7348F"/>
    <w:rsid w:val="00A737B8"/>
    <w:rsid w:val="00A738E0"/>
    <w:rsid w:val="00A73A87"/>
    <w:rsid w:val="00A73C3E"/>
    <w:rsid w:val="00A7409D"/>
    <w:rsid w:val="00A74370"/>
    <w:rsid w:val="00A743D1"/>
    <w:rsid w:val="00A74A9F"/>
    <w:rsid w:val="00A75084"/>
    <w:rsid w:val="00A75499"/>
    <w:rsid w:val="00A75A91"/>
    <w:rsid w:val="00A75B6B"/>
    <w:rsid w:val="00A75BC4"/>
    <w:rsid w:val="00A7618A"/>
    <w:rsid w:val="00A7679D"/>
    <w:rsid w:val="00A768B3"/>
    <w:rsid w:val="00A76A9C"/>
    <w:rsid w:val="00A7711F"/>
    <w:rsid w:val="00A776AE"/>
    <w:rsid w:val="00A77F32"/>
    <w:rsid w:val="00A77FA5"/>
    <w:rsid w:val="00A80BB7"/>
    <w:rsid w:val="00A80F2B"/>
    <w:rsid w:val="00A816D3"/>
    <w:rsid w:val="00A81C49"/>
    <w:rsid w:val="00A81FCB"/>
    <w:rsid w:val="00A82061"/>
    <w:rsid w:val="00A82C30"/>
    <w:rsid w:val="00A82DED"/>
    <w:rsid w:val="00A832E1"/>
    <w:rsid w:val="00A8330B"/>
    <w:rsid w:val="00A83673"/>
    <w:rsid w:val="00A83D1E"/>
    <w:rsid w:val="00A83F67"/>
    <w:rsid w:val="00A84BA1"/>
    <w:rsid w:val="00A851B7"/>
    <w:rsid w:val="00A853FD"/>
    <w:rsid w:val="00A85B04"/>
    <w:rsid w:val="00A85C86"/>
    <w:rsid w:val="00A85D1A"/>
    <w:rsid w:val="00A85E21"/>
    <w:rsid w:val="00A861E8"/>
    <w:rsid w:val="00A86294"/>
    <w:rsid w:val="00A8713C"/>
    <w:rsid w:val="00A8720C"/>
    <w:rsid w:val="00A87424"/>
    <w:rsid w:val="00A905D9"/>
    <w:rsid w:val="00A90D7A"/>
    <w:rsid w:val="00A9157E"/>
    <w:rsid w:val="00A916C1"/>
    <w:rsid w:val="00A91BC4"/>
    <w:rsid w:val="00A9205B"/>
    <w:rsid w:val="00A923DC"/>
    <w:rsid w:val="00A924E0"/>
    <w:rsid w:val="00A927DF"/>
    <w:rsid w:val="00A929D6"/>
    <w:rsid w:val="00A92BD4"/>
    <w:rsid w:val="00A93257"/>
    <w:rsid w:val="00A933FF"/>
    <w:rsid w:val="00A93638"/>
    <w:rsid w:val="00A9377B"/>
    <w:rsid w:val="00A9383A"/>
    <w:rsid w:val="00A93CFD"/>
    <w:rsid w:val="00A93F9F"/>
    <w:rsid w:val="00A94190"/>
    <w:rsid w:val="00A9445D"/>
    <w:rsid w:val="00A9477C"/>
    <w:rsid w:val="00A94C74"/>
    <w:rsid w:val="00A94E9F"/>
    <w:rsid w:val="00A94EF8"/>
    <w:rsid w:val="00A95553"/>
    <w:rsid w:val="00A957DC"/>
    <w:rsid w:val="00A95C1B"/>
    <w:rsid w:val="00A95E0C"/>
    <w:rsid w:val="00A95E6B"/>
    <w:rsid w:val="00A96329"/>
    <w:rsid w:val="00A970F3"/>
    <w:rsid w:val="00A97299"/>
    <w:rsid w:val="00A975C1"/>
    <w:rsid w:val="00A9788F"/>
    <w:rsid w:val="00A978FF"/>
    <w:rsid w:val="00AA0237"/>
    <w:rsid w:val="00AA0736"/>
    <w:rsid w:val="00AA0955"/>
    <w:rsid w:val="00AA09A7"/>
    <w:rsid w:val="00AA0CCB"/>
    <w:rsid w:val="00AA0E1F"/>
    <w:rsid w:val="00AA0FAD"/>
    <w:rsid w:val="00AA105C"/>
    <w:rsid w:val="00AA11A0"/>
    <w:rsid w:val="00AA1219"/>
    <w:rsid w:val="00AA141F"/>
    <w:rsid w:val="00AA1467"/>
    <w:rsid w:val="00AA1816"/>
    <w:rsid w:val="00AA1AB2"/>
    <w:rsid w:val="00AA1C17"/>
    <w:rsid w:val="00AA1DB4"/>
    <w:rsid w:val="00AA2022"/>
    <w:rsid w:val="00AA2065"/>
    <w:rsid w:val="00AA23D5"/>
    <w:rsid w:val="00AA2419"/>
    <w:rsid w:val="00AA26FF"/>
    <w:rsid w:val="00AA32EA"/>
    <w:rsid w:val="00AA3C78"/>
    <w:rsid w:val="00AA3D6A"/>
    <w:rsid w:val="00AA3D80"/>
    <w:rsid w:val="00AA3E3B"/>
    <w:rsid w:val="00AA4423"/>
    <w:rsid w:val="00AA4EE4"/>
    <w:rsid w:val="00AA5067"/>
    <w:rsid w:val="00AA50CC"/>
    <w:rsid w:val="00AA5975"/>
    <w:rsid w:val="00AA5E6F"/>
    <w:rsid w:val="00AA5EAA"/>
    <w:rsid w:val="00AA6308"/>
    <w:rsid w:val="00AA6527"/>
    <w:rsid w:val="00AA65D4"/>
    <w:rsid w:val="00AA68BC"/>
    <w:rsid w:val="00AA6A00"/>
    <w:rsid w:val="00AA6CDE"/>
    <w:rsid w:val="00AA6D98"/>
    <w:rsid w:val="00AA74A7"/>
    <w:rsid w:val="00AA78D9"/>
    <w:rsid w:val="00AA79FC"/>
    <w:rsid w:val="00AA7C13"/>
    <w:rsid w:val="00AA7C96"/>
    <w:rsid w:val="00AA7FDD"/>
    <w:rsid w:val="00AB004B"/>
    <w:rsid w:val="00AB00A1"/>
    <w:rsid w:val="00AB068E"/>
    <w:rsid w:val="00AB0829"/>
    <w:rsid w:val="00AB091A"/>
    <w:rsid w:val="00AB0DA2"/>
    <w:rsid w:val="00AB152B"/>
    <w:rsid w:val="00AB1A14"/>
    <w:rsid w:val="00AB1EA9"/>
    <w:rsid w:val="00AB218C"/>
    <w:rsid w:val="00AB222B"/>
    <w:rsid w:val="00AB2326"/>
    <w:rsid w:val="00AB23F9"/>
    <w:rsid w:val="00AB2784"/>
    <w:rsid w:val="00AB326F"/>
    <w:rsid w:val="00AB334E"/>
    <w:rsid w:val="00AB36D5"/>
    <w:rsid w:val="00AB3807"/>
    <w:rsid w:val="00AB390A"/>
    <w:rsid w:val="00AB3A19"/>
    <w:rsid w:val="00AB3AFD"/>
    <w:rsid w:val="00AB3C1B"/>
    <w:rsid w:val="00AB3CC6"/>
    <w:rsid w:val="00AB3F82"/>
    <w:rsid w:val="00AB3F95"/>
    <w:rsid w:val="00AB4E11"/>
    <w:rsid w:val="00AB4E22"/>
    <w:rsid w:val="00AB51C9"/>
    <w:rsid w:val="00AB5538"/>
    <w:rsid w:val="00AB5819"/>
    <w:rsid w:val="00AB5E73"/>
    <w:rsid w:val="00AB7437"/>
    <w:rsid w:val="00AB7652"/>
    <w:rsid w:val="00AB7CB3"/>
    <w:rsid w:val="00AB7DFC"/>
    <w:rsid w:val="00AB7FBD"/>
    <w:rsid w:val="00AC0544"/>
    <w:rsid w:val="00AC06EE"/>
    <w:rsid w:val="00AC0751"/>
    <w:rsid w:val="00AC0ADA"/>
    <w:rsid w:val="00AC0E14"/>
    <w:rsid w:val="00AC0E92"/>
    <w:rsid w:val="00AC130C"/>
    <w:rsid w:val="00AC196F"/>
    <w:rsid w:val="00AC1B23"/>
    <w:rsid w:val="00AC1DDA"/>
    <w:rsid w:val="00AC1E13"/>
    <w:rsid w:val="00AC1EA8"/>
    <w:rsid w:val="00AC1ECF"/>
    <w:rsid w:val="00AC2389"/>
    <w:rsid w:val="00AC28AD"/>
    <w:rsid w:val="00AC2996"/>
    <w:rsid w:val="00AC2AF6"/>
    <w:rsid w:val="00AC2E8A"/>
    <w:rsid w:val="00AC30FD"/>
    <w:rsid w:val="00AC367A"/>
    <w:rsid w:val="00AC4095"/>
    <w:rsid w:val="00AC430D"/>
    <w:rsid w:val="00AC43E0"/>
    <w:rsid w:val="00AC456A"/>
    <w:rsid w:val="00AC48C7"/>
    <w:rsid w:val="00AC4B0E"/>
    <w:rsid w:val="00AC4F53"/>
    <w:rsid w:val="00AC50D0"/>
    <w:rsid w:val="00AC548E"/>
    <w:rsid w:val="00AC6054"/>
    <w:rsid w:val="00AC60A7"/>
    <w:rsid w:val="00AC6663"/>
    <w:rsid w:val="00AC6A26"/>
    <w:rsid w:val="00AC6DB3"/>
    <w:rsid w:val="00AC6DEA"/>
    <w:rsid w:val="00AC7119"/>
    <w:rsid w:val="00AC7140"/>
    <w:rsid w:val="00AC737E"/>
    <w:rsid w:val="00AD058E"/>
    <w:rsid w:val="00AD08EF"/>
    <w:rsid w:val="00AD0BD0"/>
    <w:rsid w:val="00AD17C1"/>
    <w:rsid w:val="00AD1A89"/>
    <w:rsid w:val="00AD1BBB"/>
    <w:rsid w:val="00AD1CC4"/>
    <w:rsid w:val="00AD1F42"/>
    <w:rsid w:val="00AD20B3"/>
    <w:rsid w:val="00AD2721"/>
    <w:rsid w:val="00AD38C3"/>
    <w:rsid w:val="00AD4173"/>
    <w:rsid w:val="00AD462A"/>
    <w:rsid w:val="00AD4715"/>
    <w:rsid w:val="00AD49CD"/>
    <w:rsid w:val="00AD4DA4"/>
    <w:rsid w:val="00AD505A"/>
    <w:rsid w:val="00AD524C"/>
    <w:rsid w:val="00AD5602"/>
    <w:rsid w:val="00AD5DBD"/>
    <w:rsid w:val="00AD64CD"/>
    <w:rsid w:val="00AD6B61"/>
    <w:rsid w:val="00AD6C42"/>
    <w:rsid w:val="00AD6D3C"/>
    <w:rsid w:val="00AD6E0E"/>
    <w:rsid w:val="00AD7606"/>
    <w:rsid w:val="00AD795C"/>
    <w:rsid w:val="00AD7A5E"/>
    <w:rsid w:val="00AD7CEE"/>
    <w:rsid w:val="00AD7D86"/>
    <w:rsid w:val="00AE0108"/>
    <w:rsid w:val="00AE0F47"/>
    <w:rsid w:val="00AE0F5D"/>
    <w:rsid w:val="00AE1018"/>
    <w:rsid w:val="00AE17F0"/>
    <w:rsid w:val="00AE1836"/>
    <w:rsid w:val="00AE2039"/>
    <w:rsid w:val="00AE22D5"/>
    <w:rsid w:val="00AE24CA"/>
    <w:rsid w:val="00AE2522"/>
    <w:rsid w:val="00AE2587"/>
    <w:rsid w:val="00AE27A8"/>
    <w:rsid w:val="00AE27D9"/>
    <w:rsid w:val="00AE2A74"/>
    <w:rsid w:val="00AE2CD1"/>
    <w:rsid w:val="00AE32C2"/>
    <w:rsid w:val="00AE34F2"/>
    <w:rsid w:val="00AE3E52"/>
    <w:rsid w:val="00AE3ECB"/>
    <w:rsid w:val="00AE40DA"/>
    <w:rsid w:val="00AE4962"/>
    <w:rsid w:val="00AE5111"/>
    <w:rsid w:val="00AE5403"/>
    <w:rsid w:val="00AE58AC"/>
    <w:rsid w:val="00AE58C8"/>
    <w:rsid w:val="00AE59C4"/>
    <w:rsid w:val="00AE5DEC"/>
    <w:rsid w:val="00AE6C48"/>
    <w:rsid w:val="00AE6C8A"/>
    <w:rsid w:val="00AE77A3"/>
    <w:rsid w:val="00AE7B80"/>
    <w:rsid w:val="00AE7DED"/>
    <w:rsid w:val="00AF0285"/>
    <w:rsid w:val="00AF08F7"/>
    <w:rsid w:val="00AF0917"/>
    <w:rsid w:val="00AF0AA9"/>
    <w:rsid w:val="00AF0C5B"/>
    <w:rsid w:val="00AF0E10"/>
    <w:rsid w:val="00AF1133"/>
    <w:rsid w:val="00AF192D"/>
    <w:rsid w:val="00AF1A98"/>
    <w:rsid w:val="00AF230A"/>
    <w:rsid w:val="00AF26A2"/>
    <w:rsid w:val="00AF2E5F"/>
    <w:rsid w:val="00AF30D7"/>
    <w:rsid w:val="00AF31C1"/>
    <w:rsid w:val="00AF32A5"/>
    <w:rsid w:val="00AF37B7"/>
    <w:rsid w:val="00AF42A2"/>
    <w:rsid w:val="00AF4664"/>
    <w:rsid w:val="00AF50AA"/>
    <w:rsid w:val="00AF5205"/>
    <w:rsid w:val="00AF56F8"/>
    <w:rsid w:val="00AF5E77"/>
    <w:rsid w:val="00AF627B"/>
    <w:rsid w:val="00AF6713"/>
    <w:rsid w:val="00AF691B"/>
    <w:rsid w:val="00AF6C1E"/>
    <w:rsid w:val="00AF6CFA"/>
    <w:rsid w:val="00AF6DA2"/>
    <w:rsid w:val="00AF7833"/>
    <w:rsid w:val="00AF7C00"/>
    <w:rsid w:val="00AF7CC1"/>
    <w:rsid w:val="00AF7D02"/>
    <w:rsid w:val="00AF7FEA"/>
    <w:rsid w:val="00B0001F"/>
    <w:rsid w:val="00B00BC1"/>
    <w:rsid w:val="00B00DC4"/>
    <w:rsid w:val="00B015A4"/>
    <w:rsid w:val="00B01D5F"/>
    <w:rsid w:val="00B01E45"/>
    <w:rsid w:val="00B023C8"/>
    <w:rsid w:val="00B024A7"/>
    <w:rsid w:val="00B02EFA"/>
    <w:rsid w:val="00B02F09"/>
    <w:rsid w:val="00B02F7C"/>
    <w:rsid w:val="00B02FCC"/>
    <w:rsid w:val="00B031B0"/>
    <w:rsid w:val="00B033A5"/>
    <w:rsid w:val="00B035FA"/>
    <w:rsid w:val="00B0397E"/>
    <w:rsid w:val="00B03B46"/>
    <w:rsid w:val="00B03E48"/>
    <w:rsid w:val="00B03E8A"/>
    <w:rsid w:val="00B03F79"/>
    <w:rsid w:val="00B04173"/>
    <w:rsid w:val="00B04291"/>
    <w:rsid w:val="00B04390"/>
    <w:rsid w:val="00B04CAE"/>
    <w:rsid w:val="00B04F5F"/>
    <w:rsid w:val="00B051E2"/>
    <w:rsid w:val="00B05C33"/>
    <w:rsid w:val="00B0660E"/>
    <w:rsid w:val="00B067C2"/>
    <w:rsid w:val="00B0719E"/>
    <w:rsid w:val="00B079E7"/>
    <w:rsid w:val="00B07FED"/>
    <w:rsid w:val="00B10A4D"/>
    <w:rsid w:val="00B10BAF"/>
    <w:rsid w:val="00B11567"/>
    <w:rsid w:val="00B1187A"/>
    <w:rsid w:val="00B11B53"/>
    <w:rsid w:val="00B11D45"/>
    <w:rsid w:val="00B12C33"/>
    <w:rsid w:val="00B12E39"/>
    <w:rsid w:val="00B130B6"/>
    <w:rsid w:val="00B133C8"/>
    <w:rsid w:val="00B1362C"/>
    <w:rsid w:val="00B13D1A"/>
    <w:rsid w:val="00B13F61"/>
    <w:rsid w:val="00B1479F"/>
    <w:rsid w:val="00B147C4"/>
    <w:rsid w:val="00B14980"/>
    <w:rsid w:val="00B14C17"/>
    <w:rsid w:val="00B150A4"/>
    <w:rsid w:val="00B151B8"/>
    <w:rsid w:val="00B152D0"/>
    <w:rsid w:val="00B15378"/>
    <w:rsid w:val="00B154AC"/>
    <w:rsid w:val="00B1553D"/>
    <w:rsid w:val="00B1570C"/>
    <w:rsid w:val="00B15EB2"/>
    <w:rsid w:val="00B163D0"/>
    <w:rsid w:val="00B165C0"/>
    <w:rsid w:val="00B16A52"/>
    <w:rsid w:val="00B16FCA"/>
    <w:rsid w:val="00B17A2C"/>
    <w:rsid w:val="00B17B6E"/>
    <w:rsid w:val="00B20003"/>
    <w:rsid w:val="00B202C8"/>
    <w:rsid w:val="00B20329"/>
    <w:rsid w:val="00B205B2"/>
    <w:rsid w:val="00B20682"/>
    <w:rsid w:val="00B20AAE"/>
    <w:rsid w:val="00B21073"/>
    <w:rsid w:val="00B211BE"/>
    <w:rsid w:val="00B21218"/>
    <w:rsid w:val="00B221CA"/>
    <w:rsid w:val="00B22746"/>
    <w:rsid w:val="00B22863"/>
    <w:rsid w:val="00B228D6"/>
    <w:rsid w:val="00B22ABB"/>
    <w:rsid w:val="00B22F92"/>
    <w:rsid w:val="00B23270"/>
    <w:rsid w:val="00B23B62"/>
    <w:rsid w:val="00B23CA8"/>
    <w:rsid w:val="00B23EDD"/>
    <w:rsid w:val="00B242D6"/>
    <w:rsid w:val="00B2500B"/>
    <w:rsid w:val="00B2503E"/>
    <w:rsid w:val="00B25302"/>
    <w:rsid w:val="00B25492"/>
    <w:rsid w:val="00B256C1"/>
    <w:rsid w:val="00B26160"/>
    <w:rsid w:val="00B26A0B"/>
    <w:rsid w:val="00B26C6E"/>
    <w:rsid w:val="00B2730E"/>
    <w:rsid w:val="00B27E31"/>
    <w:rsid w:val="00B27F24"/>
    <w:rsid w:val="00B30611"/>
    <w:rsid w:val="00B30639"/>
    <w:rsid w:val="00B31128"/>
    <w:rsid w:val="00B31520"/>
    <w:rsid w:val="00B3201D"/>
    <w:rsid w:val="00B3202B"/>
    <w:rsid w:val="00B320B0"/>
    <w:rsid w:val="00B322D2"/>
    <w:rsid w:val="00B3277F"/>
    <w:rsid w:val="00B32995"/>
    <w:rsid w:val="00B33092"/>
    <w:rsid w:val="00B3359A"/>
    <w:rsid w:val="00B3395D"/>
    <w:rsid w:val="00B33A32"/>
    <w:rsid w:val="00B33E0C"/>
    <w:rsid w:val="00B3416B"/>
    <w:rsid w:val="00B3466D"/>
    <w:rsid w:val="00B34A5C"/>
    <w:rsid w:val="00B34D30"/>
    <w:rsid w:val="00B352B9"/>
    <w:rsid w:val="00B35570"/>
    <w:rsid w:val="00B35AFB"/>
    <w:rsid w:val="00B3624C"/>
    <w:rsid w:val="00B3630A"/>
    <w:rsid w:val="00B36B34"/>
    <w:rsid w:val="00B373B3"/>
    <w:rsid w:val="00B37484"/>
    <w:rsid w:val="00B4015B"/>
    <w:rsid w:val="00B401DA"/>
    <w:rsid w:val="00B4088E"/>
    <w:rsid w:val="00B409E4"/>
    <w:rsid w:val="00B418C4"/>
    <w:rsid w:val="00B42020"/>
    <w:rsid w:val="00B42275"/>
    <w:rsid w:val="00B422B5"/>
    <w:rsid w:val="00B42F9B"/>
    <w:rsid w:val="00B4390A"/>
    <w:rsid w:val="00B43AAE"/>
    <w:rsid w:val="00B44618"/>
    <w:rsid w:val="00B447E5"/>
    <w:rsid w:val="00B449A8"/>
    <w:rsid w:val="00B44EE5"/>
    <w:rsid w:val="00B45E53"/>
    <w:rsid w:val="00B46101"/>
    <w:rsid w:val="00B46373"/>
    <w:rsid w:val="00B46526"/>
    <w:rsid w:val="00B46552"/>
    <w:rsid w:val="00B4685C"/>
    <w:rsid w:val="00B47272"/>
    <w:rsid w:val="00B47723"/>
    <w:rsid w:val="00B500D9"/>
    <w:rsid w:val="00B50901"/>
    <w:rsid w:val="00B50A3A"/>
    <w:rsid w:val="00B50BCF"/>
    <w:rsid w:val="00B50E0D"/>
    <w:rsid w:val="00B50EA5"/>
    <w:rsid w:val="00B51085"/>
    <w:rsid w:val="00B511EF"/>
    <w:rsid w:val="00B51429"/>
    <w:rsid w:val="00B518CD"/>
    <w:rsid w:val="00B52980"/>
    <w:rsid w:val="00B52BA4"/>
    <w:rsid w:val="00B532C9"/>
    <w:rsid w:val="00B53597"/>
    <w:rsid w:val="00B53BBC"/>
    <w:rsid w:val="00B542EF"/>
    <w:rsid w:val="00B545DA"/>
    <w:rsid w:val="00B54B4A"/>
    <w:rsid w:val="00B54E4A"/>
    <w:rsid w:val="00B5516B"/>
    <w:rsid w:val="00B554F4"/>
    <w:rsid w:val="00B55854"/>
    <w:rsid w:val="00B55863"/>
    <w:rsid w:val="00B55E1D"/>
    <w:rsid w:val="00B55E30"/>
    <w:rsid w:val="00B55F1A"/>
    <w:rsid w:val="00B56077"/>
    <w:rsid w:val="00B5697B"/>
    <w:rsid w:val="00B569D5"/>
    <w:rsid w:val="00B56C85"/>
    <w:rsid w:val="00B575B1"/>
    <w:rsid w:val="00B57864"/>
    <w:rsid w:val="00B57A50"/>
    <w:rsid w:val="00B57B75"/>
    <w:rsid w:val="00B57D47"/>
    <w:rsid w:val="00B600C1"/>
    <w:rsid w:val="00B60227"/>
    <w:rsid w:val="00B60B0E"/>
    <w:rsid w:val="00B60D15"/>
    <w:rsid w:val="00B60D37"/>
    <w:rsid w:val="00B60DAF"/>
    <w:rsid w:val="00B613BF"/>
    <w:rsid w:val="00B61903"/>
    <w:rsid w:val="00B62262"/>
    <w:rsid w:val="00B628C3"/>
    <w:rsid w:val="00B6290B"/>
    <w:rsid w:val="00B62A1F"/>
    <w:rsid w:val="00B62E2A"/>
    <w:rsid w:val="00B632D3"/>
    <w:rsid w:val="00B6334F"/>
    <w:rsid w:val="00B6392E"/>
    <w:rsid w:val="00B63DFF"/>
    <w:rsid w:val="00B63F3C"/>
    <w:rsid w:val="00B64379"/>
    <w:rsid w:val="00B64395"/>
    <w:rsid w:val="00B64C61"/>
    <w:rsid w:val="00B651C8"/>
    <w:rsid w:val="00B65E2B"/>
    <w:rsid w:val="00B65EF9"/>
    <w:rsid w:val="00B66C18"/>
    <w:rsid w:val="00B670A3"/>
    <w:rsid w:val="00B676BD"/>
    <w:rsid w:val="00B67A9E"/>
    <w:rsid w:val="00B7006E"/>
    <w:rsid w:val="00B701BE"/>
    <w:rsid w:val="00B7086A"/>
    <w:rsid w:val="00B7115D"/>
    <w:rsid w:val="00B71328"/>
    <w:rsid w:val="00B71429"/>
    <w:rsid w:val="00B714E0"/>
    <w:rsid w:val="00B7197B"/>
    <w:rsid w:val="00B71A1A"/>
    <w:rsid w:val="00B72130"/>
    <w:rsid w:val="00B72265"/>
    <w:rsid w:val="00B72304"/>
    <w:rsid w:val="00B72678"/>
    <w:rsid w:val="00B726FC"/>
    <w:rsid w:val="00B72B53"/>
    <w:rsid w:val="00B72D4C"/>
    <w:rsid w:val="00B73187"/>
    <w:rsid w:val="00B7346E"/>
    <w:rsid w:val="00B73B06"/>
    <w:rsid w:val="00B73BCE"/>
    <w:rsid w:val="00B74009"/>
    <w:rsid w:val="00B740BA"/>
    <w:rsid w:val="00B74183"/>
    <w:rsid w:val="00B744A6"/>
    <w:rsid w:val="00B757C5"/>
    <w:rsid w:val="00B75B9F"/>
    <w:rsid w:val="00B76417"/>
    <w:rsid w:val="00B76765"/>
    <w:rsid w:val="00B774E2"/>
    <w:rsid w:val="00B774E4"/>
    <w:rsid w:val="00B77696"/>
    <w:rsid w:val="00B77DBA"/>
    <w:rsid w:val="00B8009C"/>
    <w:rsid w:val="00B8060F"/>
    <w:rsid w:val="00B807E0"/>
    <w:rsid w:val="00B80986"/>
    <w:rsid w:val="00B80C1C"/>
    <w:rsid w:val="00B80C67"/>
    <w:rsid w:val="00B80E7A"/>
    <w:rsid w:val="00B80F69"/>
    <w:rsid w:val="00B81577"/>
    <w:rsid w:val="00B815A3"/>
    <w:rsid w:val="00B8184C"/>
    <w:rsid w:val="00B8224C"/>
    <w:rsid w:val="00B82570"/>
    <w:rsid w:val="00B83829"/>
    <w:rsid w:val="00B83CC4"/>
    <w:rsid w:val="00B84D0B"/>
    <w:rsid w:val="00B855F2"/>
    <w:rsid w:val="00B85847"/>
    <w:rsid w:val="00B85895"/>
    <w:rsid w:val="00B85AC6"/>
    <w:rsid w:val="00B86125"/>
    <w:rsid w:val="00B8698F"/>
    <w:rsid w:val="00B86B80"/>
    <w:rsid w:val="00B87798"/>
    <w:rsid w:val="00B879A8"/>
    <w:rsid w:val="00B90148"/>
    <w:rsid w:val="00B90723"/>
    <w:rsid w:val="00B907D7"/>
    <w:rsid w:val="00B90987"/>
    <w:rsid w:val="00B90A7B"/>
    <w:rsid w:val="00B90E2C"/>
    <w:rsid w:val="00B91345"/>
    <w:rsid w:val="00B91468"/>
    <w:rsid w:val="00B9146F"/>
    <w:rsid w:val="00B9163C"/>
    <w:rsid w:val="00B9163E"/>
    <w:rsid w:val="00B91975"/>
    <w:rsid w:val="00B91B51"/>
    <w:rsid w:val="00B91DEC"/>
    <w:rsid w:val="00B9235B"/>
    <w:rsid w:val="00B92472"/>
    <w:rsid w:val="00B924F2"/>
    <w:rsid w:val="00B9250A"/>
    <w:rsid w:val="00B92AF1"/>
    <w:rsid w:val="00B92E14"/>
    <w:rsid w:val="00B93176"/>
    <w:rsid w:val="00B932EF"/>
    <w:rsid w:val="00B940D2"/>
    <w:rsid w:val="00B94579"/>
    <w:rsid w:val="00B945AE"/>
    <w:rsid w:val="00B9566F"/>
    <w:rsid w:val="00B95751"/>
    <w:rsid w:val="00B959E5"/>
    <w:rsid w:val="00B95A4A"/>
    <w:rsid w:val="00B96039"/>
    <w:rsid w:val="00B96710"/>
    <w:rsid w:val="00B96B52"/>
    <w:rsid w:val="00B96F4E"/>
    <w:rsid w:val="00B9749B"/>
    <w:rsid w:val="00B9783E"/>
    <w:rsid w:val="00B978F1"/>
    <w:rsid w:val="00B97AE2"/>
    <w:rsid w:val="00BA006F"/>
    <w:rsid w:val="00BA02A3"/>
    <w:rsid w:val="00BA074D"/>
    <w:rsid w:val="00BA0B65"/>
    <w:rsid w:val="00BA0B8A"/>
    <w:rsid w:val="00BA0D63"/>
    <w:rsid w:val="00BA0EF0"/>
    <w:rsid w:val="00BA112A"/>
    <w:rsid w:val="00BA137B"/>
    <w:rsid w:val="00BA156D"/>
    <w:rsid w:val="00BA18EC"/>
    <w:rsid w:val="00BA19BD"/>
    <w:rsid w:val="00BA1B6B"/>
    <w:rsid w:val="00BA262B"/>
    <w:rsid w:val="00BA2C99"/>
    <w:rsid w:val="00BA311C"/>
    <w:rsid w:val="00BA3737"/>
    <w:rsid w:val="00BA3E5B"/>
    <w:rsid w:val="00BA4973"/>
    <w:rsid w:val="00BA5395"/>
    <w:rsid w:val="00BA59A3"/>
    <w:rsid w:val="00BA5DA8"/>
    <w:rsid w:val="00BA5F87"/>
    <w:rsid w:val="00BA6462"/>
    <w:rsid w:val="00BA6610"/>
    <w:rsid w:val="00BA66B5"/>
    <w:rsid w:val="00BA6709"/>
    <w:rsid w:val="00BA6889"/>
    <w:rsid w:val="00BA698B"/>
    <w:rsid w:val="00BA7205"/>
    <w:rsid w:val="00BA7B85"/>
    <w:rsid w:val="00BB0222"/>
    <w:rsid w:val="00BB026C"/>
    <w:rsid w:val="00BB0372"/>
    <w:rsid w:val="00BB1293"/>
    <w:rsid w:val="00BB12DD"/>
    <w:rsid w:val="00BB25B6"/>
    <w:rsid w:val="00BB27C9"/>
    <w:rsid w:val="00BB27D1"/>
    <w:rsid w:val="00BB27F7"/>
    <w:rsid w:val="00BB2B6F"/>
    <w:rsid w:val="00BB2E30"/>
    <w:rsid w:val="00BB2E47"/>
    <w:rsid w:val="00BB327C"/>
    <w:rsid w:val="00BB35F5"/>
    <w:rsid w:val="00BB3C32"/>
    <w:rsid w:val="00BB3CB1"/>
    <w:rsid w:val="00BB3DB7"/>
    <w:rsid w:val="00BB3F15"/>
    <w:rsid w:val="00BB4DFE"/>
    <w:rsid w:val="00BB4F76"/>
    <w:rsid w:val="00BB56E2"/>
    <w:rsid w:val="00BB5788"/>
    <w:rsid w:val="00BB5A7B"/>
    <w:rsid w:val="00BB5C86"/>
    <w:rsid w:val="00BB5DED"/>
    <w:rsid w:val="00BB6413"/>
    <w:rsid w:val="00BB67EF"/>
    <w:rsid w:val="00BB6C3B"/>
    <w:rsid w:val="00BB7104"/>
    <w:rsid w:val="00BB72A6"/>
    <w:rsid w:val="00BB7570"/>
    <w:rsid w:val="00BB75BA"/>
    <w:rsid w:val="00BB79A4"/>
    <w:rsid w:val="00BB7A7C"/>
    <w:rsid w:val="00BB7BF5"/>
    <w:rsid w:val="00BB7BFB"/>
    <w:rsid w:val="00BB7E4E"/>
    <w:rsid w:val="00BB7E9B"/>
    <w:rsid w:val="00BC015C"/>
    <w:rsid w:val="00BC021F"/>
    <w:rsid w:val="00BC0560"/>
    <w:rsid w:val="00BC075B"/>
    <w:rsid w:val="00BC07A4"/>
    <w:rsid w:val="00BC0E6A"/>
    <w:rsid w:val="00BC0F37"/>
    <w:rsid w:val="00BC11F3"/>
    <w:rsid w:val="00BC127F"/>
    <w:rsid w:val="00BC1CD3"/>
    <w:rsid w:val="00BC1D21"/>
    <w:rsid w:val="00BC1E94"/>
    <w:rsid w:val="00BC211C"/>
    <w:rsid w:val="00BC2AC8"/>
    <w:rsid w:val="00BC3655"/>
    <w:rsid w:val="00BC37D8"/>
    <w:rsid w:val="00BC4487"/>
    <w:rsid w:val="00BC455C"/>
    <w:rsid w:val="00BC46AD"/>
    <w:rsid w:val="00BC4EE7"/>
    <w:rsid w:val="00BC5898"/>
    <w:rsid w:val="00BC5C88"/>
    <w:rsid w:val="00BC5D53"/>
    <w:rsid w:val="00BC60B5"/>
    <w:rsid w:val="00BC6176"/>
    <w:rsid w:val="00BC6227"/>
    <w:rsid w:val="00BC65EE"/>
    <w:rsid w:val="00BC6EAF"/>
    <w:rsid w:val="00BC6F57"/>
    <w:rsid w:val="00BC70C6"/>
    <w:rsid w:val="00BC7384"/>
    <w:rsid w:val="00BC7671"/>
    <w:rsid w:val="00BC7783"/>
    <w:rsid w:val="00BC7B7D"/>
    <w:rsid w:val="00BC7BEE"/>
    <w:rsid w:val="00BC7CA7"/>
    <w:rsid w:val="00BD082B"/>
    <w:rsid w:val="00BD0F77"/>
    <w:rsid w:val="00BD134D"/>
    <w:rsid w:val="00BD1C38"/>
    <w:rsid w:val="00BD3206"/>
    <w:rsid w:val="00BD4000"/>
    <w:rsid w:val="00BD408D"/>
    <w:rsid w:val="00BD40DE"/>
    <w:rsid w:val="00BD419F"/>
    <w:rsid w:val="00BD4444"/>
    <w:rsid w:val="00BD4D17"/>
    <w:rsid w:val="00BD4DF8"/>
    <w:rsid w:val="00BD4FD9"/>
    <w:rsid w:val="00BD4FF6"/>
    <w:rsid w:val="00BD5199"/>
    <w:rsid w:val="00BD53B2"/>
    <w:rsid w:val="00BD56EC"/>
    <w:rsid w:val="00BD5710"/>
    <w:rsid w:val="00BD576A"/>
    <w:rsid w:val="00BD5A00"/>
    <w:rsid w:val="00BD5C8F"/>
    <w:rsid w:val="00BD5C9C"/>
    <w:rsid w:val="00BD5EB8"/>
    <w:rsid w:val="00BD6145"/>
    <w:rsid w:val="00BD6715"/>
    <w:rsid w:val="00BD68AA"/>
    <w:rsid w:val="00BD68D0"/>
    <w:rsid w:val="00BD6968"/>
    <w:rsid w:val="00BD6A3A"/>
    <w:rsid w:val="00BD6DCC"/>
    <w:rsid w:val="00BD782C"/>
    <w:rsid w:val="00BE06D4"/>
    <w:rsid w:val="00BE06E3"/>
    <w:rsid w:val="00BE0B65"/>
    <w:rsid w:val="00BE1107"/>
    <w:rsid w:val="00BE1137"/>
    <w:rsid w:val="00BE190E"/>
    <w:rsid w:val="00BE1B58"/>
    <w:rsid w:val="00BE1FC0"/>
    <w:rsid w:val="00BE2057"/>
    <w:rsid w:val="00BE2068"/>
    <w:rsid w:val="00BE256A"/>
    <w:rsid w:val="00BE257B"/>
    <w:rsid w:val="00BE2ADF"/>
    <w:rsid w:val="00BE3AAD"/>
    <w:rsid w:val="00BE3BCD"/>
    <w:rsid w:val="00BE3CF3"/>
    <w:rsid w:val="00BE3D49"/>
    <w:rsid w:val="00BE47C0"/>
    <w:rsid w:val="00BE47F7"/>
    <w:rsid w:val="00BE4F4A"/>
    <w:rsid w:val="00BE52AA"/>
    <w:rsid w:val="00BE5CBF"/>
    <w:rsid w:val="00BE620C"/>
    <w:rsid w:val="00BE643F"/>
    <w:rsid w:val="00BE64F5"/>
    <w:rsid w:val="00BE6595"/>
    <w:rsid w:val="00BE666F"/>
    <w:rsid w:val="00BE6933"/>
    <w:rsid w:val="00BE6CD0"/>
    <w:rsid w:val="00BE6E5F"/>
    <w:rsid w:val="00BE6F40"/>
    <w:rsid w:val="00BE7139"/>
    <w:rsid w:val="00BE74AD"/>
    <w:rsid w:val="00BE7564"/>
    <w:rsid w:val="00BE7CA8"/>
    <w:rsid w:val="00BF0075"/>
    <w:rsid w:val="00BF02DB"/>
    <w:rsid w:val="00BF0683"/>
    <w:rsid w:val="00BF0942"/>
    <w:rsid w:val="00BF0BE2"/>
    <w:rsid w:val="00BF0E8D"/>
    <w:rsid w:val="00BF1D52"/>
    <w:rsid w:val="00BF209B"/>
    <w:rsid w:val="00BF226C"/>
    <w:rsid w:val="00BF2399"/>
    <w:rsid w:val="00BF266E"/>
    <w:rsid w:val="00BF2772"/>
    <w:rsid w:val="00BF2962"/>
    <w:rsid w:val="00BF2C55"/>
    <w:rsid w:val="00BF2CBA"/>
    <w:rsid w:val="00BF2DA5"/>
    <w:rsid w:val="00BF344D"/>
    <w:rsid w:val="00BF3775"/>
    <w:rsid w:val="00BF48D3"/>
    <w:rsid w:val="00BF4979"/>
    <w:rsid w:val="00BF598B"/>
    <w:rsid w:val="00BF611A"/>
    <w:rsid w:val="00BF6BFF"/>
    <w:rsid w:val="00BF6ECF"/>
    <w:rsid w:val="00BF7132"/>
    <w:rsid w:val="00BF7304"/>
    <w:rsid w:val="00BF76F6"/>
    <w:rsid w:val="00BF7A4D"/>
    <w:rsid w:val="00BF7C7E"/>
    <w:rsid w:val="00BF7DFA"/>
    <w:rsid w:val="00C002FB"/>
    <w:rsid w:val="00C00506"/>
    <w:rsid w:val="00C0070D"/>
    <w:rsid w:val="00C007A9"/>
    <w:rsid w:val="00C01130"/>
    <w:rsid w:val="00C011FE"/>
    <w:rsid w:val="00C014C0"/>
    <w:rsid w:val="00C01901"/>
    <w:rsid w:val="00C024A4"/>
    <w:rsid w:val="00C027E1"/>
    <w:rsid w:val="00C02C81"/>
    <w:rsid w:val="00C03445"/>
    <w:rsid w:val="00C03542"/>
    <w:rsid w:val="00C04271"/>
    <w:rsid w:val="00C043FD"/>
    <w:rsid w:val="00C04611"/>
    <w:rsid w:val="00C04D58"/>
    <w:rsid w:val="00C05970"/>
    <w:rsid w:val="00C05D4D"/>
    <w:rsid w:val="00C0639E"/>
    <w:rsid w:val="00C063DE"/>
    <w:rsid w:val="00C06A5F"/>
    <w:rsid w:val="00C06B62"/>
    <w:rsid w:val="00C06D2A"/>
    <w:rsid w:val="00C06E65"/>
    <w:rsid w:val="00C06FEA"/>
    <w:rsid w:val="00C0758D"/>
    <w:rsid w:val="00C07D3C"/>
    <w:rsid w:val="00C07F69"/>
    <w:rsid w:val="00C07F92"/>
    <w:rsid w:val="00C1016B"/>
    <w:rsid w:val="00C10466"/>
    <w:rsid w:val="00C104FC"/>
    <w:rsid w:val="00C10686"/>
    <w:rsid w:val="00C108A3"/>
    <w:rsid w:val="00C10F3C"/>
    <w:rsid w:val="00C11078"/>
    <w:rsid w:val="00C110BB"/>
    <w:rsid w:val="00C111C1"/>
    <w:rsid w:val="00C1139F"/>
    <w:rsid w:val="00C11D10"/>
    <w:rsid w:val="00C13211"/>
    <w:rsid w:val="00C1339F"/>
    <w:rsid w:val="00C1354E"/>
    <w:rsid w:val="00C1364A"/>
    <w:rsid w:val="00C13B34"/>
    <w:rsid w:val="00C14048"/>
    <w:rsid w:val="00C14081"/>
    <w:rsid w:val="00C14857"/>
    <w:rsid w:val="00C148AB"/>
    <w:rsid w:val="00C14BEB"/>
    <w:rsid w:val="00C14D6E"/>
    <w:rsid w:val="00C14E43"/>
    <w:rsid w:val="00C15120"/>
    <w:rsid w:val="00C15350"/>
    <w:rsid w:val="00C15723"/>
    <w:rsid w:val="00C15F10"/>
    <w:rsid w:val="00C15F1B"/>
    <w:rsid w:val="00C16155"/>
    <w:rsid w:val="00C16245"/>
    <w:rsid w:val="00C1651B"/>
    <w:rsid w:val="00C1681B"/>
    <w:rsid w:val="00C16888"/>
    <w:rsid w:val="00C17027"/>
    <w:rsid w:val="00C174C0"/>
    <w:rsid w:val="00C17572"/>
    <w:rsid w:val="00C17F6F"/>
    <w:rsid w:val="00C202D3"/>
    <w:rsid w:val="00C20707"/>
    <w:rsid w:val="00C20C06"/>
    <w:rsid w:val="00C20DFC"/>
    <w:rsid w:val="00C20F1F"/>
    <w:rsid w:val="00C20FB8"/>
    <w:rsid w:val="00C21595"/>
    <w:rsid w:val="00C21629"/>
    <w:rsid w:val="00C21786"/>
    <w:rsid w:val="00C21916"/>
    <w:rsid w:val="00C21A6A"/>
    <w:rsid w:val="00C21D80"/>
    <w:rsid w:val="00C22099"/>
    <w:rsid w:val="00C223CF"/>
    <w:rsid w:val="00C2255B"/>
    <w:rsid w:val="00C22CE8"/>
    <w:rsid w:val="00C22D92"/>
    <w:rsid w:val="00C22DCE"/>
    <w:rsid w:val="00C22FBF"/>
    <w:rsid w:val="00C233BD"/>
    <w:rsid w:val="00C23BB1"/>
    <w:rsid w:val="00C23E4A"/>
    <w:rsid w:val="00C24327"/>
    <w:rsid w:val="00C2476B"/>
    <w:rsid w:val="00C24970"/>
    <w:rsid w:val="00C24DC0"/>
    <w:rsid w:val="00C250BD"/>
    <w:rsid w:val="00C257A2"/>
    <w:rsid w:val="00C2582C"/>
    <w:rsid w:val="00C25B83"/>
    <w:rsid w:val="00C25BB7"/>
    <w:rsid w:val="00C25E14"/>
    <w:rsid w:val="00C2616E"/>
    <w:rsid w:val="00C26365"/>
    <w:rsid w:val="00C264DC"/>
    <w:rsid w:val="00C2684E"/>
    <w:rsid w:val="00C26B16"/>
    <w:rsid w:val="00C26C39"/>
    <w:rsid w:val="00C26CAD"/>
    <w:rsid w:val="00C27397"/>
    <w:rsid w:val="00C277B1"/>
    <w:rsid w:val="00C27872"/>
    <w:rsid w:val="00C27C0F"/>
    <w:rsid w:val="00C27C39"/>
    <w:rsid w:val="00C27DB2"/>
    <w:rsid w:val="00C27EFD"/>
    <w:rsid w:val="00C31E61"/>
    <w:rsid w:val="00C31FE3"/>
    <w:rsid w:val="00C32459"/>
    <w:rsid w:val="00C326D0"/>
    <w:rsid w:val="00C32827"/>
    <w:rsid w:val="00C32938"/>
    <w:rsid w:val="00C3307F"/>
    <w:rsid w:val="00C33DD6"/>
    <w:rsid w:val="00C33FD1"/>
    <w:rsid w:val="00C342AF"/>
    <w:rsid w:val="00C343CD"/>
    <w:rsid w:val="00C34BCF"/>
    <w:rsid w:val="00C34EAF"/>
    <w:rsid w:val="00C3581A"/>
    <w:rsid w:val="00C3625C"/>
    <w:rsid w:val="00C3676D"/>
    <w:rsid w:val="00C3699C"/>
    <w:rsid w:val="00C36A1A"/>
    <w:rsid w:val="00C36B34"/>
    <w:rsid w:val="00C374D0"/>
    <w:rsid w:val="00C37821"/>
    <w:rsid w:val="00C37833"/>
    <w:rsid w:val="00C37BED"/>
    <w:rsid w:val="00C40025"/>
    <w:rsid w:val="00C401CA"/>
    <w:rsid w:val="00C404F6"/>
    <w:rsid w:val="00C408CE"/>
    <w:rsid w:val="00C408DD"/>
    <w:rsid w:val="00C40AB4"/>
    <w:rsid w:val="00C40BC2"/>
    <w:rsid w:val="00C40BFD"/>
    <w:rsid w:val="00C40D0C"/>
    <w:rsid w:val="00C41254"/>
    <w:rsid w:val="00C41717"/>
    <w:rsid w:val="00C4171D"/>
    <w:rsid w:val="00C41822"/>
    <w:rsid w:val="00C41C52"/>
    <w:rsid w:val="00C41DE6"/>
    <w:rsid w:val="00C42087"/>
    <w:rsid w:val="00C4222D"/>
    <w:rsid w:val="00C424A4"/>
    <w:rsid w:val="00C43699"/>
    <w:rsid w:val="00C43B7B"/>
    <w:rsid w:val="00C43D93"/>
    <w:rsid w:val="00C43E31"/>
    <w:rsid w:val="00C44C86"/>
    <w:rsid w:val="00C4527B"/>
    <w:rsid w:val="00C453FF"/>
    <w:rsid w:val="00C45F48"/>
    <w:rsid w:val="00C45FCB"/>
    <w:rsid w:val="00C46B4F"/>
    <w:rsid w:val="00C46BBA"/>
    <w:rsid w:val="00C46BBE"/>
    <w:rsid w:val="00C46C0E"/>
    <w:rsid w:val="00C46D70"/>
    <w:rsid w:val="00C47181"/>
    <w:rsid w:val="00C4765F"/>
    <w:rsid w:val="00C47B82"/>
    <w:rsid w:val="00C5019B"/>
    <w:rsid w:val="00C505DD"/>
    <w:rsid w:val="00C50A04"/>
    <w:rsid w:val="00C50A45"/>
    <w:rsid w:val="00C50C47"/>
    <w:rsid w:val="00C50F80"/>
    <w:rsid w:val="00C5111A"/>
    <w:rsid w:val="00C51438"/>
    <w:rsid w:val="00C517DD"/>
    <w:rsid w:val="00C51ADB"/>
    <w:rsid w:val="00C51F5D"/>
    <w:rsid w:val="00C520E7"/>
    <w:rsid w:val="00C52387"/>
    <w:rsid w:val="00C52715"/>
    <w:rsid w:val="00C52844"/>
    <w:rsid w:val="00C52B61"/>
    <w:rsid w:val="00C52F06"/>
    <w:rsid w:val="00C52FAA"/>
    <w:rsid w:val="00C52FF5"/>
    <w:rsid w:val="00C5300B"/>
    <w:rsid w:val="00C5336B"/>
    <w:rsid w:val="00C53374"/>
    <w:rsid w:val="00C53CDC"/>
    <w:rsid w:val="00C53E20"/>
    <w:rsid w:val="00C53F45"/>
    <w:rsid w:val="00C543B8"/>
    <w:rsid w:val="00C543DC"/>
    <w:rsid w:val="00C543E0"/>
    <w:rsid w:val="00C54A29"/>
    <w:rsid w:val="00C54E87"/>
    <w:rsid w:val="00C5508E"/>
    <w:rsid w:val="00C554B3"/>
    <w:rsid w:val="00C55714"/>
    <w:rsid w:val="00C5587A"/>
    <w:rsid w:val="00C56888"/>
    <w:rsid w:val="00C56A2B"/>
    <w:rsid w:val="00C56B6D"/>
    <w:rsid w:val="00C56E72"/>
    <w:rsid w:val="00C56EA8"/>
    <w:rsid w:val="00C56FA9"/>
    <w:rsid w:val="00C57656"/>
    <w:rsid w:val="00C57EF5"/>
    <w:rsid w:val="00C600FB"/>
    <w:rsid w:val="00C60495"/>
    <w:rsid w:val="00C61353"/>
    <w:rsid w:val="00C616DD"/>
    <w:rsid w:val="00C6170D"/>
    <w:rsid w:val="00C61C6D"/>
    <w:rsid w:val="00C61D94"/>
    <w:rsid w:val="00C6262D"/>
    <w:rsid w:val="00C626CC"/>
    <w:rsid w:val="00C62E22"/>
    <w:rsid w:val="00C62EE1"/>
    <w:rsid w:val="00C63273"/>
    <w:rsid w:val="00C633F8"/>
    <w:rsid w:val="00C6385B"/>
    <w:rsid w:val="00C63A57"/>
    <w:rsid w:val="00C63AF6"/>
    <w:rsid w:val="00C63CF3"/>
    <w:rsid w:val="00C63DE4"/>
    <w:rsid w:val="00C64056"/>
    <w:rsid w:val="00C6405B"/>
    <w:rsid w:val="00C64376"/>
    <w:rsid w:val="00C6458B"/>
    <w:rsid w:val="00C646F2"/>
    <w:rsid w:val="00C64A94"/>
    <w:rsid w:val="00C65251"/>
    <w:rsid w:val="00C655EA"/>
    <w:rsid w:val="00C656A2"/>
    <w:rsid w:val="00C65A3D"/>
    <w:rsid w:val="00C65F8E"/>
    <w:rsid w:val="00C6609A"/>
    <w:rsid w:val="00C66215"/>
    <w:rsid w:val="00C665EB"/>
    <w:rsid w:val="00C66A75"/>
    <w:rsid w:val="00C66AEB"/>
    <w:rsid w:val="00C66C3D"/>
    <w:rsid w:val="00C66E98"/>
    <w:rsid w:val="00C67311"/>
    <w:rsid w:val="00C674E0"/>
    <w:rsid w:val="00C67571"/>
    <w:rsid w:val="00C679C3"/>
    <w:rsid w:val="00C67BEF"/>
    <w:rsid w:val="00C67FD2"/>
    <w:rsid w:val="00C70299"/>
    <w:rsid w:val="00C702A3"/>
    <w:rsid w:val="00C70311"/>
    <w:rsid w:val="00C70436"/>
    <w:rsid w:val="00C7054F"/>
    <w:rsid w:val="00C705E1"/>
    <w:rsid w:val="00C712EE"/>
    <w:rsid w:val="00C718F2"/>
    <w:rsid w:val="00C71A03"/>
    <w:rsid w:val="00C71BD8"/>
    <w:rsid w:val="00C71C2F"/>
    <w:rsid w:val="00C71EB4"/>
    <w:rsid w:val="00C7224A"/>
    <w:rsid w:val="00C729E7"/>
    <w:rsid w:val="00C72B9C"/>
    <w:rsid w:val="00C72DF7"/>
    <w:rsid w:val="00C72F0A"/>
    <w:rsid w:val="00C730EE"/>
    <w:rsid w:val="00C73416"/>
    <w:rsid w:val="00C7350A"/>
    <w:rsid w:val="00C739D6"/>
    <w:rsid w:val="00C7405C"/>
    <w:rsid w:val="00C74128"/>
    <w:rsid w:val="00C74217"/>
    <w:rsid w:val="00C7430F"/>
    <w:rsid w:val="00C74C3E"/>
    <w:rsid w:val="00C75397"/>
    <w:rsid w:val="00C766F4"/>
    <w:rsid w:val="00C769B4"/>
    <w:rsid w:val="00C77F31"/>
    <w:rsid w:val="00C80175"/>
    <w:rsid w:val="00C80AAB"/>
    <w:rsid w:val="00C80C8B"/>
    <w:rsid w:val="00C8131B"/>
    <w:rsid w:val="00C8139C"/>
    <w:rsid w:val="00C815C8"/>
    <w:rsid w:val="00C8199B"/>
    <w:rsid w:val="00C81C20"/>
    <w:rsid w:val="00C81D0B"/>
    <w:rsid w:val="00C82B27"/>
    <w:rsid w:val="00C82CE3"/>
    <w:rsid w:val="00C831D9"/>
    <w:rsid w:val="00C83391"/>
    <w:rsid w:val="00C83744"/>
    <w:rsid w:val="00C838FB"/>
    <w:rsid w:val="00C83EF9"/>
    <w:rsid w:val="00C845F6"/>
    <w:rsid w:val="00C86053"/>
    <w:rsid w:val="00C86146"/>
    <w:rsid w:val="00C86E01"/>
    <w:rsid w:val="00C874D9"/>
    <w:rsid w:val="00C87730"/>
    <w:rsid w:val="00C8773E"/>
    <w:rsid w:val="00C87BC6"/>
    <w:rsid w:val="00C9014C"/>
    <w:rsid w:val="00C9083F"/>
    <w:rsid w:val="00C90A34"/>
    <w:rsid w:val="00C90C50"/>
    <w:rsid w:val="00C90FF5"/>
    <w:rsid w:val="00C91C74"/>
    <w:rsid w:val="00C920E6"/>
    <w:rsid w:val="00C9210C"/>
    <w:rsid w:val="00C92204"/>
    <w:rsid w:val="00C929A6"/>
    <w:rsid w:val="00C92B4A"/>
    <w:rsid w:val="00C92E8E"/>
    <w:rsid w:val="00C92EC0"/>
    <w:rsid w:val="00C92ED6"/>
    <w:rsid w:val="00C93215"/>
    <w:rsid w:val="00C935B1"/>
    <w:rsid w:val="00C936DF"/>
    <w:rsid w:val="00C9376E"/>
    <w:rsid w:val="00C93A1C"/>
    <w:rsid w:val="00C94ADD"/>
    <w:rsid w:val="00C94F09"/>
    <w:rsid w:val="00C94F66"/>
    <w:rsid w:val="00C9552B"/>
    <w:rsid w:val="00C95770"/>
    <w:rsid w:val="00C95B74"/>
    <w:rsid w:val="00C96000"/>
    <w:rsid w:val="00C96035"/>
    <w:rsid w:val="00C96099"/>
    <w:rsid w:val="00C960A5"/>
    <w:rsid w:val="00C962AC"/>
    <w:rsid w:val="00C96D29"/>
    <w:rsid w:val="00C96E85"/>
    <w:rsid w:val="00C97539"/>
    <w:rsid w:val="00C97EEF"/>
    <w:rsid w:val="00CA0114"/>
    <w:rsid w:val="00CA148E"/>
    <w:rsid w:val="00CA1A95"/>
    <w:rsid w:val="00CA1C15"/>
    <w:rsid w:val="00CA2395"/>
    <w:rsid w:val="00CA29CB"/>
    <w:rsid w:val="00CA2B13"/>
    <w:rsid w:val="00CA2CDF"/>
    <w:rsid w:val="00CA3042"/>
    <w:rsid w:val="00CA37CC"/>
    <w:rsid w:val="00CA38DD"/>
    <w:rsid w:val="00CA3AEB"/>
    <w:rsid w:val="00CA3B44"/>
    <w:rsid w:val="00CA4071"/>
    <w:rsid w:val="00CA4079"/>
    <w:rsid w:val="00CA433D"/>
    <w:rsid w:val="00CA4509"/>
    <w:rsid w:val="00CA451B"/>
    <w:rsid w:val="00CA4B44"/>
    <w:rsid w:val="00CA502C"/>
    <w:rsid w:val="00CA5D9B"/>
    <w:rsid w:val="00CA5E7C"/>
    <w:rsid w:val="00CA5E7D"/>
    <w:rsid w:val="00CA6059"/>
    <w:rsid w:val="00CA6B17"/>
    <w:rsid w:val="00CA6D08"/>
    <w:rsid w:val="00CA6D85"/>
    <w:rsid w:val="00CA71DD"/>
    <w:rsid w:val="00CA73DD"/>
    <w:rsid w:val="00CA74CA"/>
    <w:rsid w:val="00CA7E2A"/>
    <w:rsid w:val="00CA7F04"/>
    <w:rsid w:val="00CB07FB"/>
    <w:rsid w:val="00CB0B32"/>
    <w:rsid w:val="00CB0BEB"/>
    <w:rsid w:val="00CB0CD7"/>
    <w:rsid w:val="00CB0D7B"/>
    <w:rsid w:val="00CB1174"/>
    <w:rsid w:val="00CB137F"/>
    <w:rsid w:val="00CB13CC"/>
    <w:rsid w:val="00CB16DD"/>
    <w:rsid w:val="00CB174C"/>
    <w:rsid w:val="00CB1E1D"/>
    <w:rsid w:val="00CB1FF9"/>
    <w:rsid w:val="00CB218D"/>
    <w:rsid w:val="00CB287F"/>
    <w:rsid w:val="00CB2AA5"/>
    <w:rsid w:val="00CB2EC7"/>
    <w:rsid w:val="00CB3A28"/>
    <w:rsid w:val="00CB3D2B"/>
    <w:rsid w:val="00CB3E1F"/>
    <w:rsid w:val="00CB3FA5"/>
    <w:rsid w:val="00CB4207"/>
    <w:rsid w:val="00CB4BC1"/>
    <w:rsid w:val="00CB4FD0"/>
    <w:rsid w:val="00CB5091"/>
    <w:rsid w:val="00CB55CB"/>
    <w:rsid w:val="00CB5C62"/>
    <w:rsid w:val="00CB5CA5"/>
    <w:rsid w:val="00CB5DFC"/>
    <w:rsid w:val="00CB60AF"/>
    <w:rsid w:val="00CB6225"/>
    <w:rsid w:val="00CB627B"/>
    <w:rsid w:val="00CB68A1"/>
    <w:rsid w:val="00CB68C3"/>
    <w:rsid w:val="00CB7014"/>
    <w:rsid w:val="00CB74FF"/>
    <w:rsid w:val="00CB7578"/>
    <w:rsid w:val="00CB75BB"/>
    <w:rsid w:val="00CB77BE"/>
    <w:rsid w:val="00CB7A85"/>
    <w:rsid w:val="00CC00F8"/>
    <w:rsid w:val="00CC014D"/>
    <w:rsid w:val="00CC0160"/>
    <w:rsid w:val="00CC04F3"/>
    <w:rsid w:val="00CC0BE9"/>
    <w:rsid w:val="00CC12AA"/>
    <w:rsid w:val="00CC1F01"/>
    <w:rsid w:val="00CC1F13"/>
    <w:rsid w:val="00CC26E3"/>
    <w:rsid w:val="00CC2DC3"/>
    <w:rsid w:val="00CC2E40"/>
    <w:rsid w:val="00CC3060"/>
    <w:rsid w:val="00CC3063"/>
    <w:rsid w:val="00CC361D"/>
    <w:rsid w:val="00CC3BDD"/>
    <w:rsid w:val="00CC3C32"/>
    <w:rsid w:val="00CC3C5F"/>
    <w:rsid w:val="00CC431A"/>
    <w:rsid w:val="00CC469B"/>
    <w:rsid w:val="00CC48C2"/>
    <w:rsid w:val="00CC51AD"/>
    <w:rsid w:val="00CC5501"/>
    <w:rsid w:val="00CC59D1"/>
    <w:rsid w:val="00CC5F14"/>
    <w:rsid w:val="00CC61AB"/>
    <w:rsid w:val="00CC698C"/>
    <w:rsid w:val="00CC75F3"/>
    <w:rsid w:val="00CC7682"/>
    <w:rsid w:val="00CC7CE8"/>
    <w:rsid w:val="00CD01BD"/>
    <w:rsid w:val="00CD01D7"/>
    <w:rsid w:val="00CD0295"/>
    <w:rsid w:val="00CD03C1"/>
    <w:rsid w:val="00CD0414"/>
    <w:rsid w:val="00CD05AD"/>
    <w:rsid w:val="00CD0682"/>
    <w:rsid w:val="00CD08E8"/>
    <w:rsid w:val="00CD0964"/>
    <w:rsid w:val="00CD10B8"/>
    <w:rsid w:val="00CD129C"/>
    <w:rsid w:val="00CD1461"/>
    <w:rsid w:val="00CD1473"/>
    <w:rsid w:val="00CD1956"/>
    <w:rsid w:val="00CD1A9F"/>
    <w:rsid w:val="00CD1B05"/>
    <w:rsid w:val="00CD2474"/>
    <w:rsid w:val="00CD251F"/>
    <w:rsid w:val="00CD2571"/>
    <w:rsid w:val="00CD26E2"/>
    <w:rsid w:val="00CD2807"/>
    <w:rsid w:val="00CD34E7"/>
    <w:rsid w:val="00CD3687"/>
    <w:rsid w:val="00CD3738"/>
    <w:rsid w:val="00CD37AA"/>
    <w:rsid w:val="00CD3F18"/>
    <w:rsid w:val="00CD40D4"/>
    <w:rsid w:val="00CD490A"/>
    <w:rsid w:val="00CD4C30"/>
    <w:rsid w:val="00CD4C74"/>
    <w:rsid w:val="00CD505A"/>
    <w:rsid w:val="00CD5B5C"/>
    <w:rsid w:val="00CD5BFD"/>
    <w:rsid w:val="00CD5E37"/>
    <w:rsid w:val="00CD5FFF"/>
    <w:rsid w:val="00CD6354"/>
    <w:rsid w:val="00CD63EF"/>
    <w:rsid w:val="00CD6748"/>
    <w:rsid w:val="00CD6B99"/>
    <w:rsid w:val="00CD74DA"/>
    <w:rsid w:val="00CD778F"/>
    <w:rsid w:val="00CD7AE0"/>
    <w:rsid w:val="00CD7CB0"/>
    <w:rsid w:val="00CE0958"/>
    <w:rsid w:val="00CE0B79"/>
    <w:rsid w:val="00CE0F04"/>
    <w:rsid w:val="00CE1194"/>
    <w:rsid w:val="00CE12CE"/>
    <w:rsid w:val="00CE1309"/>
    <w:rsid w:val="00CE1520"/>
    <w:rsid w:val="00CE17FD"/>
    <w:rsid w:val="00CE1923"/>
    <w:rsid w:val="00CE1DBF"/>
    <w:rsid w:val="00CE1E4F"/>
    <w:rsid w:val="00CE1ED9"/>
    <w:rsid w:val="00CE23B2"/>
    <w:rsid w:val="00CE26CF"/>
    <w:rsid w:val="00CE2754"/>
    <w:rsid w:val="00CE2C2C"/>
    <w:rsid w:val="00CE300F"/>
    <w:rsid w:val="00CE3039"/>
    <w:rsid w:val="00CE35C8"/>
    <w:rsid w:val="00CE40A6"/>
    <w:rsid w:val="00CE4280"/>
    <w:rsid w:val="00CE4322"/>
    <w:rsid w:val="00CE45F8"/>
    <w:rsid w:val="00CE4603"/>
    <w:rsid w:val="00CE47E6"/>
    <w:rsid w:val="00CE4A3B"/>
    <w:rsid w:val="00CE4B91"/>
    <w:rsid w:val="00CE4F59"/>
    <w:rsid w:val="00CE4FC4"/>
    <w:rsid w:val="00CE5841"/>
    <w:rsid w:val="00CE5D6F"/>
    <w:rsid w:val="00CE5FC2"/>
    <w:rsid w:val="00CE642E"/>
    <w:rsid w:val="00CE6902"/>
    <w:rsid w:val="00CE6BA7"/>
    <w:rsid w:val="00CE70E8"/>
    <w:rsid w:val="00CE7343"/>
    <w:rsid w:val="00CE7950"/>
    <w:rsid w:val="00CF0698"/>
    <w:rsid w:val="00CF0780"/>
    <w:rsid w:val="00CF0C07"/>
    <w:rsid w:val="00CF1F07"/>
    <w:rsid w:val="00CF1F61"/>
    <w:rsid w:val="00CF21FD"/>
    <w:rsid w:val="00CF2A1D"/>
    <w:rsid w:val="00CF2C7C"/>
    <w:rsid w:val="00CF2D0B"/>
    <w:rsid w:val="00CF30D1"/>
    <w:rsid w:val="00CF3198"/>
    <w:rsid w:val="00CF31BE"/>
    <w:rsid w:val="00CF31FA"/>
    <w:rsid w:val="00CF342B"/>
    <w:rsid w:val="00CF37B4"/>
    <w:rsid w:val="00CF3BA0"/>
    <w:rsid w:val="00CF3BCB"/>
    <w:rsid w:val="00CF42F7"/>
    <w:rsid w:val="00CF4B83"/>
    <w:rsid w:val="00CF4ED1"/>
    <w:rsid w:val="00CF513F"/>
    <w:rsid w:val="00CF545D"/>
    <w:rsid w:val="00CF567E"/>
    <w:rsid w:val="00CF56B0"/>
    <w:rsid w:val="00CF57F5"/>
    <w:rsid w:val="00CF5CF0"/>
    <w:rsid w:val="00CF6058"/>
    <w:rsid w:val="00CF65EB"/>
    <w:rsid w:val="00CF6ED4"/>
    <w:rsid w:val="00CF71B5"/>
    <w:rsid w:val="00CF7220"/>
    <w:rsid w:val="00CF7585"/>
    <w:rsid w:val="00CF786A"/>
    <w:rsid w:val="00CF78E8"/>
    <w:rsid w:val="00CF7987"/>
    <w:rsid w:val="00CF7B9A"/>
    <w:rsid w:val="00D00070"/>
    <w:rsid w:val="00D00679"/>
    <w:rsid w:val="00D007BF"/>
    <w:rsid w:val="00D009C5"/>
    <w:rsid w:val="00D009E8"/>
    <w:rsid w:val="00D00CC6"/>
    <w:rsid w:val="00D00E4C"/>
    <w:rsid w:val="00D00FCA"/>
    <w:rsid w:val="00D0115A"/>
    <w:rsid w:val="00D014C5"/>
    <w:rsid w:val="00D0154A"/>
    <w:rsid w:val="00D01A12"/>
    <w:rsid w:val="00D01BE3"/>
    <w:rsid w:val="00D01E78"/>
    <w:rsid w:val="00D01FF0"/>
    <w:rsid w:val="00D02193"/>
    <w:rsid w:val="00D021AD"/>
    <w:rsid w:val="00D02DED"/>
    <w:rsid w:val="00D0306D"/>
    <w:rsid w:val="00D0341F"/>
    <w:rsid w:val="00D03440"/>
    <w:rsid w:val="00D03772"/>
    <w:rsid w:val="00D03867"/>
    <w:rsid w:val="00D04130"/>
    <w:rsid w:val="00D0508E"/>
    <w:rsid w:val="00D051E0"/>
    <w:rsid w:val="00D0534E"/>
    <w:rsid w:val="00D056FD"/>
    <w:rsid w:val="00D05CF3"/>
    <w:rsid w:val="00D05D76"/>
    <w:rsid w:val="00D06199"/>
    <w:rsid w:val="00D062C4"/>
    <w:rsid w:val="00D06701"/>
    <w:rsid w:val="00D067D9"/>
    <w:rsid w:val="00D06E21"/>
    <w:rsid w:val="00D071B0"/>
    <w:rsid w:val="00D071C6"/>
    <w:rsid w:val="00D0722F"/>
    <w:rsid w:val="00D07A99"/>
    <w:rsid w:val="00D07C83"/>
    <w:rsid w:val="00D10259"/>
    <w:rsid w:val="00D10306"/>
    <w:rsid w:val="00D1045A"/>
    <w:rsid w:val="00D10670"/>
    <w:rsid w:val="00D108A5"/>
    <w:rsid w:val="00D10F23"/>
    <w:rsid w:val="00D11530"/>
    <w:rsid w:val="00D116A8"/>
    <w:rsid w:val="00D11830"/>
    <w:rsid w:val="00D11D5E"/>
    <w:rsid w:val="00D12343"/>
    <w:rsid w:val="00D1244B"/>
    <w:rsid w:val="00D1247A"/>
    <w:rsid w:val="00D12491"/>
    <w:rsid w:val="00D124C1"/>
    <w:rsid w:val="00D12D15"/>
    <w:rsid w:val="00D12D9D"/>
    <w:rsid w:val="00D12DAF"/>
    <w:rsid w:val="00D12E31"/>
    <w:rsid w:val="00D13239"/>
    <w:rsid w:val="00D1335A"/>
    <w:rsid w:val="00D134E1"/>
    <w:rsid w:val="00D1352E"/>
    <w:rsid w:val="00D13545"/>
    <w:rsid w:val="00D13F08"/>
    <w:rsid w:val="00D14273"/>
    <w:rsid w:val="00D147E8"/>
    <w:rsid w:val="00D14985"/>
    <w:rsid w:val="00D14A2D"/>
    <w:rsid w:val="00D14B5F"/>
    <w:rsid w:val="00D15D13"/>
    <w:rsid w:val="00D15D8E"/>
    <w:rsid w:val="00D16236"/>
    <w:rsid w:val="00D1659D"/>
    <w:rsid w:val="00D16668"/>
    <w:rsid w:val="00D17389"/>
    <w:rsid w:val="00D174AB"/>
    <w:rsid w:val="00D17804"/>
    <w:rsid w:val="00D179C1"/>
    <w:rsid w:val="00D17B1B"/>
    <w:rsid w:val="00D17D6B"/>
    <w:rsid w:val="00D17D7C"/>
    <w:rsid w:val="00D203A5"/>
    <w:rsid w:val="00D204AA"/>
    <w:rsid w:val="00D2075C"/>
    <w:rsid w:val="00D20E51"/>
    <w:rsid w:val="00D20EAD"/>
    <w:rsid w:val="00D21210"/>
    <w:rsid w:val="00D217FF"/>
    <w:rsid w:val="00D21C07"/>
    <w:rsid w:val="00D22295"/>
    <w:rsid w:val="00D2258D"/>
    <w:rsid w:val="00D227E7"/>
    <w:rsid w:val="00D228D9"/>
    <w:rsid w:val="00D22EE1"/>
    <w:rsid w:val="00D22F93"/>
    <w:rsid w:val="00D237AB"/>
    <w:rsid w:val="00D23CFB"/>
    <w:rsid w:val="00D23E84"/>
    <w:rsid w:val="00D2407D"/>
    <w:rsid w:val="00D24853"/>
    <w:rsid w:val="00D24CE5"/>
    <w:rsid w:val="00D24EF7"/>
    <w:rsid w:val="00D25636"/>
    <w:rsid w:val="00D2589A"/>
    <w:rsid w:val="00D25F0D"/>
    <w:rsid w:val="00D26205"/>
    <w:rsid w:val="00D269E9"/>
    <w:rsid w:val="00D26A3C"/>
    <w:rsid w:val="00D26B47"/>
    <w:rsid w:val="00D2703B"/>
    <w:rsid w:val="00D27121"/>
    <w:rsid w:val="00D271AA"/>
    <w:rsid w:val="00D272CD"/>
    <w:rsid w:val="00D27CB6"/>
    <w:rsid w:val="00D27DE4"/>
    <w:rsid w:val="00D30010"/>
    <w:rsid w:val="00D3006E"/>
    <w:rsid w:val="00D30458"/>
    <w:rsid w:val="00D30467"/>
    <w:rsid w:val="00D304D0"/>
    <w:rsid w:val="00D30916"/>
    <w:rsid w:val="00D3106B"/>
    <w:rsid w:val="00D310A2"/>
    <w:rsid w:val="00D31267"/>
    <w:rsid w:val="00D31607"/>
    <w:rsid w:val="00D31DBC"/>
    <w:rsid w:val="00D321CB"/>
    <w:rsid w:val="00D32427"/>
    <w:rsid w:val="00D3290F"/>
    <w:rsid w:val="00D32C98"/>
    <w:rsid w:val="00D32EC5"/>
    <w:rsid w:val="00D33330"/>
    <w:rsid w:val="00D3337C"/>
    <w:rsid w:val="00D339ED"/>
    <w:rsid w:val="00D347BF"/>
    <w:rsid w:val="00D34EE2"/>
    <w:rsid w:val="00D350DC"/>
    <w:rsid w:val="00D365FE"/>
    <w:rsid w:val="00D36961"/>
    <w:rsid w:val="00D36C3D"/>
    <w:rsid w:val="00D36D1F"/>
    <w:rsid w:val="00D37153"/>
    <w:rsid w:val="00D37774"/>
    <w:rsid w:val="00D37830"/>
    <w:rsid w:val="00D378ED"/>
    <w:rsid w:val="00D37A77"/>
    <w:rsid w:val="00D403A3"/>
    <w:rsid w:val="00D40D27"/>
    <w:rsid w:val="00D40DC9"/>
    <w:rsid w:val="00D413C0"/>
    <w:rsid w:val="00D4149C"/>
    <w:rsid w:val="00D4153D"/>
    <w:rsid w:val="00D41708"/>
    <w:rsid w:val="00D4170E"/>
    <w:rsid w:val="00D420B1"/>
    <w:rsid w:val="00D4291B"/>
    <w:rsid w:val="00D42B61"/>
    <w:rsid w:val="00D42C9A"/>
    <w:rsid w:val="00D42D7F"/>
    <w:rsid w:val="00D42F3B"/>
    <w:rsid w:val="00D430A3"/>
    <w:rsid w:val="00D430B1"/>
    <w:rsid w:val="00D430F7"/>
    <w:rsid w:val="00D434A6"/>
    <w:rsid w:val="00D43BF4"/>
    <w:rsid w:val="00D43D67"/>
    <w:rsid w:val="00D43DC3"/>
    <w:rsid w:val="00D44545"/>
    <w:rsid w:val="00D445D3"/>
    <w:rsid w:val="00D44663"/>
    <w:rsid w:val="00D44684"/>
    <w:rsid w:val="00D44C8D"/>
    <w:rsid w:val="00D451CC"/>
    <w:rsid w:val="00D45354"/>
    <w:rsid w:val="00D45931"/>
    <w:rsid w:val="00D45C06"/>
    <w:rsid w:val="00D45D9D"/>
    <w:rsid w:val="00D45F8E"/>
    <w:rsid w:val="00D45FF1"/>
    <w:rsid w:val="00D4614A"/>
    <w:rsid w:val="00D46614"/>
    <w:rsid w:val="00D4674B"/>
    <w:rsid w:val="00D46E40"/>
    <w:rsid w:val="00D46F9C"/>
    <w:rsid w:val="00D47097"/>
    <w:rsid w:val="00D4714A"/>
    <w:rsid w:val="00D504B7"/>
    <w:rsid w:val="00D50A45"/>
    <w:rsid w:val="00D50C12"/>
    <w:rsid w:val="00D5140D"/>
    <w:rsid w:val="00D517B3"/>
    <w:rsid w:val="00D521F2"/>
    <w:rsid w:val="00D5237A"/>
    <w:rsid w:val="00D529A8"/>
    <w:rsid w:val="00D53326"/>
    <w:rsid w:val="00D5335D"/>
    <w:rsid w:val="00D53654"/>
    <w:rsid w:val="00D53C0F"/>
    <w:rsid w:val="00D53F51"/>
    <w:rsid w:val="00D541C5"/>
    <w:rsid w:val="00D54D2C"/>
    <w:rsid w:val="00D54FE2"/>
    <w:rsid w:val="00D5517A"/>
    <w:rsid w:val="00D554E1"/>
    <w:rsid w:val="00D55B1E"/>
    <w:rsid w:val="00D55E64"/>
    <w:rsid w:val="00D56258"/>
    <w:rsid w:val="00D56745"/>
    <w:rsid w:val="00D56A90"/>
    <w:rsid w:val="00D56B39"/>
    <w:rsid w:val="00D572C8"/>
    <w:rsid w:val="00D57F70"/>
    <w:rsid w:val="00D6012E"/>
    <w:rsid w:val="00D6027F"/>
    <w:rsid w:val="00D604FA"/>
    <w:rsid w:val="00D607BF"/>
    <w:rsid w:val="00D60E18"/>
    <w:rsid w:val="00D61159"/>
    <w:rsid w:val="00D612F9"/>
    <w:rsid w:val="00D616A5"/>
    <w:rsid w:val="00D618E6"/>
    <w:rsid w:val="00D61C8E"/>
    <w:rsid w:val="00D6283C"/>
    <w:rsid w:val="00D62B06"/>
    <w:rsid w:val="00D62C7A"/>
    <w:rsid w:val="00D633C0"/>
    <w:rsid w:val="00D63471"/>
    <w:rsid w:val="00D634FF"/>
    <w:rsid w:val="00D6358E"/>
    <w:rsid w:val="00D63D16"/>
    <w:rsid w:val="00D63E8B"/>
    <w:rsid w:val="00D64360"/>
    <w:rsid w:val="00D645FB"/>
    <w:rsid w:val="00D64AE4"/>
    <w:rsid w:val="00D64ECF"/>
    <w:rsid w:val="00D65353"/>
    <w:rsid w:val="00D656BF"/>
    <w:rsid w:val="00D65A59"/>
    <w:rsid w:val="00D65CB4"/>
    <w:rsid w:val="00D65EED"/>
    <w:rsid w:val="00D65F40"/>
    <w:rsid w:val="00D660C9"/>
    <w:rsid w:val="00D6658D"/>
    <w:rsid w:val="00D66626"/>
    <w:rsid w:val="00D66630"/>
    <w:rsid w:val="00D66B42"/>
    <w:rsid w:val="00D66FF4"/>
    <w:rsid w:val="00D672CB"/>
    <w:rsid w:val="00D6767A"/>
    <w:rsid w:val="00D67A0C"/>
    <w:rsid w:val="00D67BA3"/>
    <w:rsid w:val="00D67CFB"/>
    <w:rsid w:val="00D7023D"/>
    <w:rsid w:val="00D70755"/>
    <w:rsid w:val="00D70C66"/>
    <w:rsid w:val="00D70C7A"/>
    <w:rsid w:val="00D70CCE"/>
    <w:rsid w:val="00D713BE"/>
    <w:rsid w:val="00D716E6"/>
    <w:rsid w:val="00D71A95"/>
    <w:rsid w:val="00D71FF1"/>
    <w:rsid w:val="00D72CFD"/>
    <w:rsid w:val="00D72E0A"/>
    <w:rsid w:val="00D72EA1"/>
    <w:rsid w:val="00D731BE"/>
    <w:rsid w:val="00D737FB"/>
    <w:rsid w:val="00D73A4E"/>
    <w:rsid w:val="00D73BE2"/>
    <w:rsid w:val="00D73D74"/>
    <w:rsid w:val="00D73F03"/>
    <w:rsid w:val="00D740BC"/>
    <w:rsid w:val="00D7441C"/>
    <w:rsid w:val="00D7442A"/>
    <w:rsid w:val="00D74B0D"/>
    <w:rsid w:val="00D750DB"/>
    <w:rsid w:val="00D75D0A"/>
    <w:rsid w:val="00D760DA"/>
    <w:rsid w:val="00D76126"/>
    <w:rsid w:val="00D76194"/>
    <w:rsid w:val="00D76767"/>
    <w:rsid w:val="00D7679B"/>
    <w:rsid w:val="00D76FEA"/>
    <w:rsid w:val="00D7726F"/>
    <w:rsid w:val="00D7756C"/>
    <w:rsid w:val="00D776D0"/>
    <w:rsid w:val="00D77A80"/>
    <w:rsid w:val="00D77A87"/>
    <w:rsid w:val="00D80097"/>
    <w:rsid w:val="00D8014C"/>
    <w:rsid w:val="00D80694"/>
    <w:rsid w:val="00D8092B"/>
    <w:rsid w:val="00D80C07"/>
    <w:rsid w:val="00D80D4B"/>
    <w:rsid w:val="00D80E99"/>
    <w:rsid w:val="00D80F0D"/>
    <w:rsid w:val="00D816B1"/>
    <w:rsid w:val="00D816BE"/>
    <w:rsid w:val="00D81A3A"/>
    <w:rsid w:val="00D81BD1"/>
    <w:rsid w:val="00D81BED"/>
    <w:rsid w:val="00D81E7F"/>
    <w:rsid w:val="00D81EC8"/>
    <w:rsid w:val="00D82088"/>
    <w:rsid w:val="00D82355"/>
    <w:rsid w:val="00D82419"/>
    <w:rsid w:val="00D82CC7"/>
    <w:rsid w:val="00D82E54"/>
    <w:rsid w:val="00D8309F"/>
    <w:rsid w:val="00D83C33"/>
    <w:rsid w:val="00D83E8F"/>
    <w:rsid w:val="00D84383"/>
    <w:rsid w:val="00D843AF"/>
    <w:rsid w:val="00D84F4F"/>
    <w:rsid w:val="00D85071"/>
    <w:rsid w:val="00D8518E"/>
    <w:rsid w:val="00D85367"/>
    <w:rsid w:val="00D854D9"/>
    <w:rsid w:val="00D85C11"/>
    <w:rsid w:val="00D85DBC"/>
    <w:rsid w:val="00D85E16"/>
    <w:rsid w:val="00D85F93"/>
    <w:rsid w:val="00D86239"/>
    <w:rsid w:val="00D866F3"/>
    <w:rsid w:val="00D866FA"/>
    <w:rsid w:val="00D8673D"/>
    <w:rsid w:val="00D86A9E"/>
    <w:rsid w:val="00D86B2C"/>
    <w:rsid w:val="00D8721D"/>
    <w:rsid w:val="00D87427"/>
    <w:rsid w:val="00D8746D"/>
    <w:rsid w:val="00D87528"/>
    <w:rsid w:val="00D87661"/>
    <w:rsid w:val="00D87A47"/>
    <w:rsid w:val="00D87CA9"/>
    <w:rsid w:val="00D87F31"/>
    <w:rsid w:val="00D9001F"/>
    <w:rsid w:val="00D90027"/>
    <w:rsid w:val="00D90839"/>
    <w:rsid w:val="00D909DC"/>
    <w:rsid w:val="00D90E6B"/>
    <w:rsid w:val="00D910DF"/>
    <w:rsid w:val="00D91259"/>
    <w:rsid w:val="00D91580"/>
    <w:rsid w:val="00D92917"/>
    <w:rsid w:val="00D92AB4"/>
    <w:rsid w:val="00D92D30"/>
    <w:rsid w:val="00D92E30"/>
    <w:rsid w:val="00D93236"/>
    <w:rsid w:val="00D934C5"/>
    <w:rsid w:val="00D93A0F"/>
    <w:rsid w:val="00D93D6D"/>
    <w:rsid w:val="00D93EF0"/>
    <w:rsid w:val="00D946C7"/>
    <w:rsid w:val="00D94D9F"/>
    <w:rsid w:val="00D94E7E"/>
    <w:rsid w:val="00D94EFA"/>
    <w:rsid w:val="00D9521E"/>
    <w:rsid w:val="00D95DD1"/>
    <w:rsid w:val="00D95EF2"/>
    <w:rsid w:val="00D95FBE"/>
    <w:rsid w:val="00D965CE"/>
    <w:rsid w:val="00D969A0"/>
    <w:rsid w:val="00D96F12"/>
    <w:rsid w:val="00D972DF"/>
    <w:rsid w:val="00D973A1"/>
    <w:rsid w:val="00D975A6"/>
    <w:rsid w:val="00D97C16"/>
    <w:rsid w:val="00D97DB8"/>
    <w:rsid w:val="00D97DBE"/>
    <w:rsid w:val="00D97E57"/>
    <w:rsid w:val="00D97F91"/>
    <w:rsid w:val="00D97FC9"/>
    <w:rsid w:val="00DA01B1"/>
    <w:rsid w:val="00DA01FD"/>
    <w:rsid w:val="00DA0DA5"/>
    <w:rsid w:val="00DA0E27"/>
    <w:rsid w:val="00DA0FCF"/>
    <w:rsid w:val="00DA1568"/>
    <w:rsid w:val="00DA15E8"/>
    <w:rsid w:val="00DA2869"/>
    <w:rsid w:val="00DA309A"/>
    <w:rsid w:val="00DA4329"/>
    <w:rsid w:val="00DA4811"/>
    <w:rsid w:val="00DA48AB"/>
    <w:rsid w:val="00DA4986"/>
    <w:rsid w:val="00DA4D60"/>
    <w:rsid w:val="00DA4D6D"/>
    <w:rsid w:val="00DA5269"/>
    <w:rsid w:val="00DA57E6"/>
    <w:rsid w:val="00DA58B8"/>
    <w:rsid w:val="00DA59D7"/>
    <w:rsid w:val="00DA5F1B"/>
    <w:rsid w:val="00DA5F41"/>
    <w:rsid w:val="00DA6454"/>
    <w:rsid w:val="00DA654D"/>
    <w:rsid w:val="00DA6871"/>
    <w:rsid w:val="00DA6985"/>
    <w:rsid w:val="00DA72E1"/>
    <w:rsid w:val="00DA79A0"/>
    <w:rsid w:val="00DA7E1A"/>
    <w:rsid w:val="00DA7E87"/>
    <w:rsid w:val="00DB098B"/>
    <w:rsid w:val="00DB0BC8"/>
    <w:rsid w:val="00DB1127"/>
    <w:rsid w:val="00DB14C3"/>
    <w:rsid w:val="00DB1CE3"/>
    <w:rsid w:val="00DB207F"/>
    <w:rsid w:val="00DB27DB"/>
    <w:rsid w:val="00DB2D8C"/>
    <w:rsid w:val="00DB2ED7"/>
    <w:rsid w:val="00DB34CE"/>
    <w:rsid w:val="00DB3C1C"/>
    <w:rsid w:val="00DB3C34"/>
    <w:rsid w:val="00DB3CC4"/>
    <w:rsid w:val="00DB3F1F"/>
    <w:rsid w:val="00DB4404"/>
    <w:rsid w:val="00DB4AD2"/>
    <w:rsid w:val="00DB5A4F"/>
    <w:rsid w:val="00DB6155"/>
    <w:rsid w:val="00DB6261"/>
    <w:rsid w:val="00DB668C"/>
    <w:rsid w:val="00DB6BE0"/>
    <w:rsid w:val="00DB6F0A"/>
    <w:rsid w:val="00DB702F"/>
    <w:rsid w:val="00DB74EF"/>
    <w:rsid w:val="00DB7A7E"/>
    <w:rsid w:val="00DC00E0"/>
    <w:rsid w:val="00DC03C1"/>
    <w:rsid w:val="00DC0494"/>
    <w:rsid w:val="00DC0865"/>
    <w:rsid w:val="00DC0B02"/>
    <w:rsid w:val="00DC0B41"/>
    <w:rsid w:val="00DC0FF3"/>
    <w:rsid w:val="00DC18A3"/>
    <w:rsid w:val="00DC1A8B"/>
    <w:rsid w:val="00DC1C56"/>
    <w:rsid w:val="00DC2047"/>
    <w:rsid w:val="00DC230A"/>
    <w:rsid w:val="00DC2329"/>
    <w:rsid w:val="00DC295A"/>
    <w:rsid w:val="00DC2A70"/>
    <w:rsid w:val="00DC2C6B"/>
    <w:rsid w:val="00DC2C86"/>
    <w:rsid w:val="00DC2FAA"/>
    <w:rsid w:val="00DC40B9"/>
    <w:rsid w:val="00DC4157"/>
    <w:rsid w:val="00DC4235"/>
    <w:rsid w:val="00DC457B"/>
    <w:rsid w:val="00DC46CE"/>
    <w:rsid w:val="00DC4CE7"/>
    <w:rsid w:val="00DC5157"/>
    <w:rsid w:val="00DC57F6"/>
    <w:rsid w:val="00DC5D83"/>
    <w:rsid w:val="00DC657A"/>
    <w:rsid w:val="00DC66F6"/>
    <w:rsid w:val="00DC6A70"/>
    <w:rsid w:val="00DC6D07"/>
    <w:rsid w:val="00DC6DAF"/>
    <w:rsid w:val="00DC721A"/>
    <w:rsid w:val="00DC75A0"/>
    <w:rsid w:val="00DC78B2"/>
    <w:rsid w:val="00DC7F91"/>
    <w:rsid w:val="00DD0261"/>
    <w:rsid w:val="00DD0A07"/>
    <w:rsid w:val="00DD13F0"/>
    <w:rsid w:val="00DD18B2"/>
    <w:rsid w:val="00DD1916"/>
    <w:rsid w:val="00DD1C06"/>
    <w:rsid w:val="00DD1F0D"/>
    <w:rsid w:val="00DD233B"/>
    <w:rsid w:val="00DD26D2"/>
    <w:rsid w:val="00DD28CD"/>
    <w:rsid w:val="00DD2A83"/>
    <w:rsid w:val="00DD2E77"/>
    <w:rsid w:val="00DD2F06"/>
    <w:rsid w:val="00DD3005"/>
    <w:rsid w:val="00DD3006"/>
    <w:rsid w:val="00DD34A2"/>
    <w:rsid w:val="00DD3944"/>
    <w:rsid w:val="00DD3F1D"/>
    <w:rsid w:val="00DD4095"/>
    <w:rsid w:val="00DD4206"/>
    <w:rsid w:val="00DD42DA"/>
    <w:rsid w:val="00DD5017"/>
    <w:rsid w:val="00DD5187"/>
    <w:rsid w:val="00DD584E"/>
    <w:rsid w:val="00DD5FA4"/>
    <w:rsid w:val="00DD65D8"/>
    <w:rsid w:val="00DD6D82"/>
    <w:rsid w:val="00DD72D5"/>
    <w:rsid w:val="00DD771F"/>
    <w:rsid w:val="00DE0101"/>
    <w:rsid w:val="00DE0375"/>
    <w:rsid w:val="00DE068F"/>
    <w:rsid w:val="00DE10FC"/>
    <w:rsid w:val="00DE14C2"/>
    <w:rsid w:val="00DE1900"/>
    <w:rsid w:val="00DE1B0F"/>
    <w:rsid w:val="00DE2309"/>
    <w:rsid w:val="00DE2B37"/>
    <w:rsid w:val="00DE33DE"/>
    <w:rsid w:val="00DE351C"/>
    <w:rsid w:val="00DE359F"/>
    <w:rsid w:val="00DE47AF"/>
    <w:rsid w:val="00DE4B44"/>
    <w:rsid w:val="00DE4D8C"/>
    <w:rsid w:val="00DE59F6"/>
    <w:rsid w:val="00DE5E6F"/>
    <w:rsid w:val="00DE60BA"/>
    <w:rsid w:val="00DE61CA"/>
    <w:rsid w:val="00DE6732"/>
    <w:rsid w:val="00DE782C"/>
    <w:rsid w:val="00DF0006"/>
    <w:rsid w:val="00DF0325"/>
    <w:rsid w:val="00DF04F9"/>
    <w:rsid w:val="00DF071B"/>
    <w:rsid w:val="00DF0F23"/>
    <w:rsid w:val="00DF1AB2"/>
    <w:rsid w:val="00DF1DC6"/>
    <w:rsid w:val="00DF2CF5"/>
    <w:rsid w:val="00DF2F91"/>
    <w:rsid w:val="00DF3288"/>
    <w:rsid w:val="00DF3562"/>
    <w:rsid w:val="00DF3FB0"/>
    <w:rsid w:val="00DF484A"/>
    <w:rsid w:val="00DF51BD"/>
    <w:rsid w:val="00DF53B6"/>
    <w:rsid w:val="00DF5A9D"/>
    <w:rsid w:val="00DF5B49"/>
    <w:rsid w:val="00DF5BB7"/>
    <w:rsid w:val="00DF5C58"/>
    <w:rsid w:val="00DF60D9"/>
    <w:rsid w:val="00DF63F9"/>
    <w:rsid w:val="00DF65C9"/>
    <w:rsid w:val="00DF6E28"/>
    <w:rsid w:val="00DF737B"/>
    <w:rsid w:val="00DF7497"/>
    <w:rsid w:val="00DF7A82"/>
    <w:rsid w:val="00DF7C61"/>
    <w:rsid w:val="00DF7FDF"/>
    <w:rsid w:val="00DFCD71"/>
    <w:rsid w:val="00E0014B"/>
    <w:rsid w:val="00E003F1"/>
    <w:rsid w:val="00E00FAE"/>
    <w:rsid w:val="00E01290"/>
    <w:rsid w:val="00E01686"/>
    <w:rsid w:val="00E01F2B"/>
    <w:rsid w:val="00E024D7"/>
    <w:rsid w:val="00E0268E"/>
    <w:rsid w:val="00E02B83"/>
    <w:rsid w:val="00E02CA5"/>
    <w:rsid w:val="00E02CF2"/>
    <w:rsid w:val="00E031D9"/>
    <w:rsid w:val="00E0335D"/>
    <w:rsid w:val="00E03489"/>
    <w:rsid w:val="00E037D8"/>
    <w:rsid w:val="00E03C98"/>
    <w:rsid w:val="00E03D33"/>
    <w:rsid w:val="00E0400A"/>
    <w:rsid w:val="00E04501"/>
    <w:rsid w:val="00E048E1"/>
    <w:rsid w:val="00E048E6"/>
    <w:rsid w:val="00E048E7"/>
    <w:rsid w:val="00E0497E"/>
    <w:rsid w:val="00E0527C"/>
    <w:rsid w:val="00E05424"/>
    <w:rsid w:val="00E05472"/>
    <w:rsid w:val="00E05480"/>
    <w:rsid w:val="00E05FBC"/>
    <w:rsid w:val="00E06093"/>
    <w:rsid w:val="00E0622C"/>
    <w:rsid w:val="00E06577"/>
    <w:rsid w:val="00E0676A"/>
    <w:rsid w:val="00E06ED7"/>
    <w:rsid w:val="00E06EDB"/>
    <w:rsid w:val="00E07832"/>
    <w:rsid w:val="00E079B6"/>
    <w:rsid w:val="00E10281"/>
    <w:rsid w:val="00E108AF"/>
    <w:rsid w:val="00E10917"/>
    <w:rsid w:val="00E10B61"/>
    <w:rsid w:val="00E10F4A"/>
    <w:rsid w:val="00E10FA1"/>
    <w:rsid w:val="00E11272"/>
    <w:rsid w:val="00E11374"/>
    <w:rsid w:val="00E113EF"/>
    <w:rsid w:val="00E11471"/>
    <w:rsid w:val="00E11639"/>
    <w:rsid w:val="00E1176F"/>
    <w:rsid w:val="00E117A6"/>
    <w:rsid w:val="00E12051"/>
    <w:rsid w:val="00E12787"/>
    <w:rsid w:val="00E12A19"/>
    <w:rsid w:val="00E12DD7"/>
    <w:rsid w:val="00E132E8"/>
    <w:rsid w:val="00E1378A"/>
    <w:rsid w:val="00E1395F"/>
    <w:rsid w:val="00E13E57"/>
    <w:rsid w:val="00E14551"/>
    <w:rsid w:val="00E145B4"/>
    <w:rsid w:val="00E146DA"/>
    <w:rsid w:val="00E15194"/>
    <w:rsid w:val="00E15366"/>
    <w:rsid w:val="00E15678"/>
    <w:rsid w:val="00E1593C"/>
    <w:rsid w:val="00E15BA4"/>
    <w:rsid w:val="00E15D33"/>
    <w:rsid w:val="00E15FE2"/>
    <w:rsid w:val="00E1658B"/>
    <w:rsid w:val="00E16A8B"/>
    <w:rsid w:val="00E17292"/>
    <w:rsid w:val="00E177B4"/>
    <w:rsid w:val="00E17974"/>
    <w:rsid w:val="00E17B7A"/>
    <w:rsid w:val="00E17EC6"/>
    <w:rsid w:val="00E208E7"/>
    <w:rsid w:val="00E20A16"/>
    <w:rsid w:val="00E20B1A"/>
    <w:rsid w:val="00E20C03"/>
    <w:rsid w:val="00E20CA5"/>
    <w:rsid w:val="00E20E56"/>
    <w:rsid w:val="00E21058"/>
    <w:rsid w:val="00E214B6"/>
    <w:rsid w:val="00E21CAF"/>
    <w:rsid w:val="00E21D25"/>
    <w:rsid w:val="00E21E0B"/>
    <w:rsid w:val="00E21F34"/>
    <w:rsid w:val="00E2259C"/>
    <w:rsid w:val="00E22754"/>
    <w:rsid w:val="00E22E8D"/>
    <w:rsid w:val="00E23630"/>
    <w:rsid w:val="00E24533"/>
    <w:rsid w:val="00E24681"/>
    <w:rsid w:val="00E24DDF"/>
    <w:rsid w:val="00E24F76"/>
    <w:rsid w:val="00E250CA"/>
    <w:rsid w:val="00E250EC"/>
    <w:rsid w:val="00E251C6"/>
    <w:rsid w:val="00E252D9"/>
    <w:rsid w:val="00E253E7"/>
    <w:rsid w:val="00E25646"/>
    <w:rsid w:val="00E25E9C"/>
    <w:rsid w:val="00E2629E"/>
    <w:rsid w:val="00E26465"/>
    <w:rsid w:val="00E26BB9"/>
    <w:rsid w:val="00E26C22"/>
    <w:rsid w:val="00E27407"/>
    <w:rsid w:val="00E279D7"/>
    <w:rsid w:val="00E301BB"/>
    <w:rsid w:val="00E3083B"/>
    <w:rsid w:val="00E30A40"/>
    <w:rsid w:val="00E31501"/>
    <w:rsid w:val="00E31671"/>
    <w:rsid w:val="00E31B9B"/>
    <w:rsid w:val="00E31ED1"/>
    <w:rsid w:val="00E32066"/>
    <w:rsid w:val="00E3254E"/>
    <w:rsid w:val="00E329E0"/>
    <w:rsid w:val="00E32ABD"/>
    <w:rsid w:val="00E33021"/>
    <w:rsid w:val="00E33472"/>
    <w:rsid w:val="00E33ACF"/>
    <w:rsid w:val="00E33CA8"/>
    <w:rsid w:val="00E341CB"/>
    <w:rsid w:val="00E34319"/>
    <w:rsid w:val="00E34771"/>
    <w:rsid w:val="00E34C88"/>
    <w:rsid w:val="00E353C6"/>
    <w:rsid w:val="00E35482"/>
    <w:rsid w:val="00E3548E"/>
    <w:rsid w:val="00E3559B"/>
    <w:rsid w:val="00E35661"/>
    <w:rsid w:val="00E35D8E"/>
    <w:rsid w:val="00E35E11"/>
    <w:rsid w:val="00E363FB"/>
    <w:rsid w:val="00E370F7"/>
    <w:rsid w:val="00E3719B"/>
    <w:rsid w:val="00E3734A"/>
    <w:rsid w:val="00E37455"/>
    <w:rsid w:val="00E37A39"/>
    <w:rsid w:val="00E37D40"/>
    <w:rsid w:val="00E40188"/>
    <w:rsid w:val="00E405CB"/>
    <w:rsid w:val="00E40896"/>
    <w:rsid w:val="00E408C2"/>
    <w:rsid w:val="00E40D37"/>
    <w:rsid w:val="00E40D96"/>
    <w:rsid w:val="00E412FF"/>
    <w:rsid w:val="00E416E2"/>
    <w:rsid w:val="00E41808"/>
    <w:rsid w:val="00E424A9"/>
    <w:rsid w:val="00E428F5"/>
    <w:rsid w:val="00E42D64"/>
    <w:rsid w:val="00E42FAE"/>
    <w:rsid w:val="00E431FD"/>
    <w:rsid w:val="00E43263"/>
    <w:rsid w:val="00E433A0"/>
    <w:rsid w:val="00E44060"/>
    <w:rsid w:val="00E44135"/>
    <w:rsid w:val="00E44596"/>
    <w:rsid w:val="00E4466F"/>
    <w:rsid w:val="00E446C2"/>
    <w:rsid w:val="00E455DC"/>
    <w:rsid w:val="00E455EA"/>
    <w:rsid w:val="00E45A08"/>
    <w:rsid w:val="00E45A3C"/>
    <w:rsid w:val="00E46062"/>
    <w:rsid w:val="00E4633F"/>
    <w:rsid w:val="00E46BC3"/>
    <w:rsid w:val="00E46D02"/>
    <w:rsid w:val="00E46EF6"/>
    <w:rsid w:val="00E4715D"/>
    <w:rsid w:val="00E47411"/>
    <w:rsid w:val="00E47E81"/>
    <w:rsid w:val="00E47FB8"/>
    <w:rsid w:val="00E500C4"/>
    <w:rsid w:val="00E50219"/>
    <w:rsid w:val="00E50625"/>
    <w:rsid w:val="00E50B01"/>
    <w:rsid w:val="00E50CC5"/>
    <w:rsid w:val="00E512B5"/>
    <w:rsid w:val="00E520B4"/>
    <w:rsid w:val="00E5212F"/>
    <w:rsid w:val="00E523DB"/>
    <w:rsid w:val="00E52A80"/>
    <w:rsid w:val="00E52BCB"/>
    <w:rsid w:val="00E52C47"/>
    <w:rsid w:val="00E52D46"/>
    <w:rsid w:val="00E52E1C"/>
    <w:rsid w:val="00E537F8"/>
    <w:rsid w:val="00E53909"/>
    <w:rsid w:val="00E53DED"/>
    <w:rsid w:val="00E5412D"/>
    <w:rsid w:val="00E544B8"/>
    <w:rsid w:val="00E5454F"/>
    <w:rsid w:val="00E54FD2"/>
    <w:rsid w:val="00E55207"/>
    <w:rsid w:val="00E5577C"/>
    <w:rsid w:val="00E55981"/>
    <w:rsid w:val="00E55C6F"/>
    <w:rsid w:val="00E55F6A"/>
    <w:rsid w:val="00E55F9D"/>
    <w:rsid w:val="00E5610C"/>
    <w:rsid w:val="00E568C2"/>
    <w:rsid w:val="00E56954"/>
    <w:rsid w:val="00E571F1"/>
    <w:rsid w:val="00E57492"/>
    <w:rsid w:val="00E5766A"/>
    <w:rsid w:val="00E57739"/>
    <w:rsid w:val="00E57A9B"/>
    <w:rsid w:val="00E60018"/>
    <w:rsid w:val="00E603A0"/>
    <w:rsid w:val="00E60A35"/>
    <w:rsid w:val="00E61C84"/>
    <w:rsid w:val="00E62040"/>
    <w:rsid w:val="00E6216B"/>
    <w:rsid w:val="00E6299A"/>
    <w:rsid w:val="00E63A39"/>
    <w:rsid w:val="00E63CA8"/>
    <w:rsid w:val="00E63E63"/>
    <w:rsid w:val="00E6414D"/>
    <w:rsid w:val="00E647D5"/>
    <w:rsid w:val="00E64B73"/>
    <w:rsid w:val="00E6511F"/>
    <w:rsid w:val="00E65155"/>
    <w:rsid w:val="00E65289"/>
    <w:rsid w:val="00E658AC"/>
    <w:rsid w:val="00E65AD5"/>
    <w:rsid w:val="00E65F6A"/>
    <w:rsid w:val="00E65FE0"/>
    <w:rsid w:val="00E66048"/>
    <w:rsid w:val="00E66201"/>
    <w:rsid w:val="00E66C66"/>
    <w:rsid w:val="00E66E76"/>
    <w:rsid w:val="00E6700D"/>
    <w:rsid w:val="00E671DC"/>
    <w:rsid w:val="00E67891"/>
    <w:rsid w:val="00E67CD7"/>
    <w:rsid w:val="00E67F81"/>
    <w:rsid w:val="00E700F3"/>
    <w:rsid w:val="00E70395"/>
    <w:rsid w:val="00E7057F"/>
    <w:rsid w:val="00E7062B"/>
    <w:rsid w:val="00E70667"/>
    <w:rsid w:val="00E706BA"/>
    <w:rsid w:val="00E70C94"/>
    <w:rsid w:val="00E70C9A"/>
    <w:rsid w:val="00E70EA7"/>
    <w:rsid w:val="00E70F51"/>
    <w:rsid w:val="00E70F70"/>
    <w:rsid w:val="00E71509"/>
    <w:rsid w:val="00E71B95"/>
    <w:rsid w:val="00E71CB0"/>
    <w:rsid w:val="00E7261D"/>
    <w:rsid w:val="00E72995"/>
    <w:rsid w:val="00E72B52"/>
    <w:rsid w:val="00E72CE9"/>
    <w:rsid w:val="00E73B3C"/>
    <w:rsid w:val="00E73C30"/>
    <w:rsid w:val="00E73CBC"/>
    <w:rsid w:val="00E74139"/>
    <w:rsid w:val="00E741EC"/>
    <w:rsid w:val="00E745D8"/>
    <w:rsid w:val="00E74855"/>
    <w:rsid w:val="00E74E1F"/>
    <w:rsid w:val="00E75265"/>
    <w:rsid w:val="00E75888"/>
    <w:rsid w:val="00E75F64"/>
    <w:rsid w:val="00E76546"/>
    <w:rsid w:val="00E76DBA"/>
    <w:rsid w:val="00E76F2D"/>
    <w:rsid w:val="00E7726A"/>
    <w:rsid w:val="00E77511"/>
    <w:rsid w:val="00E77E65"/>
    <w:rsid w:val="00E80A08"/>
    <w:rsid w:val="00E80D27"/>
    <w:rsid w:val="00E80E60"/>
    <w:rsid w:val="00E80EA3"/>
    <w:rsid w:val="00E8124C"/>
    <w:rsid w:val="00E81A4D"/>
    <w:rsid w:val="00E81A88"/>
    <w:rsid w:val="00E81F68"/>
    <w:rsid w:val="00E8273C"/>
    <w:rsid w:val="00E82856"/>
    <w:rsid w:val="00E82CC9"/>
    <w:rsid w:val="00E82ECA"/>
    <w:rsid w:val="00E830EF"/>
    <w:rsid w:val="00E832CD"/>
    <w:rsid w:val="00E8362D"/>
    <w:rsid w:val="00E836B6"/>
    <w:rsid w:val="00E83792"/>
    <w:rsid w:val="00E837BF"/>
    <w:rsid w:val="00E83CB3"/>
    <w:rsid w:val="00E83EAF"/>
    <w:rsid w:val="00E83F51"/>
    <w:rsid w:val="00E83F53"/>
    <w:rsid w:val="00E83F69"/>
    <w:rsid w:val="00E843AE"/>
    <w:rsid w:val="00E843DE"/>
    <w:rsid w:val="00E84906"/>
    <w:rsid w:val="00E84C41"/>
    <w:rsid w:val="00E84F74"/>
    <w:rsid w:val="00E850D1"/>
    <w:rsid w:val="00E850FD"/>
    <w:rsid w:val="00E85AB3"/>
    <w:rsid w:val="00E85B5B"/>
    <w:rsid w:val="00E85D34"/>
    <w:rsid w:val="00E86243"/>
    <w:rsid w:val="00E864FE"/>
    <w:rsid w:val="00E86BE8"/>
    <w:rsid w:val="00E86C57"/>
    <w:rsid w:val="00E86E10"/>
    <w:rsid w:val="00E87059"/>
    <w:rsid w:val="00E87173"/>
    <w:rsid w:val="00E872CC"/>
    <w:rsid w:val="00E87613"/>
    <w:rsid w:val="00E87660"/>
    <w:rsid w:val="00E87686"/>
    <w:rsid w:val="00E8780B"/>
    <w:rsid w:val="00E8786C"/>
    <w:rsid w:val="00E87B89"/>
    <w:rsid w:val="00E9034A"/>
    <w:rsid w:val="00E90EED"/>
    <w:rsid w:val="00E916E1"/>
    <w:rsid w:val="00E9197D"/>
    <w:rsid w:val="00E920D8"/>
    <w:rsid w:val="00E92171"/>
    <w:rsid w:val="00E9269F"/>
    <w:rsid w:val="00E92EBB"/>
    <w:rsid w:val="00E92F92"/>
    <w:rsid w:val="00E9301E"/>
    <w:rsid w:val="00E93215"/>
    <w:rsid w:val="00E93BC6"/>
    <w:rsid w:val="00E93CE7"/>
    <w:rsid w:val="00E93DBE"/>
    <w:rsid w:val="00E9443D"/>
    <w:rsid w:val="00E9449F"/>
    <w:rsid w:val="00E948E7"/>
    <w:rsid w:val="00E94B79"/>
    <w:rsid w:val="00E956CC"/>
    <w:rsid w:val="00E959DF"/>
    <w:rsid w:val="00E96321"/>
    <w:rsid w:val="00E96587"/>
    <w:rsid w:val="00E96758"/>
    <w:rsid w:val="00E96768"/>
    <w:rsid w:val="00E9684F"/>
    <w:rsid w:val="00E96AD8"/>
    <w:rsid w:val="00E96C4F"/>
    <w:rsid w:val="00E973EA"/>
    <w:rsid w:val="00E97458"/>
    <w:rsid w:val="00E97483"/>
    <w:rsid w:val="00E978B7"/>
    <w:rsid w:val="00E978F3"/>
    <w:rsid w:val="00EA042B"/>
    <w:rsid w:val="00EA0C11"/>
    <w:rsid w:val="00EA1B07"/>
    <w:rsid w:val="00EA21A3"/>
    <w:rsid w:val="00EA2703"/>
    <w:rsid w:val="00EA27B9"/>
    <w:rsid w:val="00EA2818"/>
    <w:rsid w:val="00EA3095"/>
    <w:rsid w:val="00EA376E"/>
    <w:rsid w:val="00EA393B"/>
    <w:rsid w:val="00EA3A35"/>
    <w:rsid w:val="00EA3E14"/>
    <w:rsid w:val="00EA3E34"/>
    <w:rsid w:val="00EA48EC"/>
    <w:rsid w:val="00EA4A49"/>
    <w:rsid w:val="00EA4B47"/>
    <w:rsid w:val="00EA4C15"/>
    <w:rsid w:val="00EA4C80"/>
    <w:rsid w:val="00EA4E40"/>
    <w:rsid w:val="00EA5362"/>
    <w:rsid w:val="00EA5E4C"/>
    <w:rsid w:val="00EA628B"/>
    <w:rsid w:val="00EA633A"/>
    <w:rsid w:val="00EA6D3A"/>
    <w:rsid w:val="00EA6D9A"/>
    <w:rsid w:val="00EA71DE"/>
    <w:rsid w:val="00EA749C"/>
    <w:rsid w:val="00EA79D9"/>
    <w:rsid w:val="00EA79E3"/>
    <w:rsid w:val="00EA7B65"/>
    <w:rsid w:val="00EA7D48"/>
    <w:rsid w:val="00EA7DB7"/>
    <w:rsid w:val="00EA7FFC"/>
    <w:rsid w:val="00EB003A"/>
    <w:rsid w:val="00EB0099"/>
    <w:rsid w:val="00EB1088"/>
    <w:rsid w:val="00EB1A75"/>
    <w:rsid w:val="00EB1AE8"/>
    <w:rsid w:val="00EB1B45"/>
    <w:rsid w:val="00EB1E36"/>
    <w:rsid w:val="00EB21C6"/>
    <w:rsid w:val="00EB2365"/>
    <w:rsid w:val="00EB27EF"/>
    <w:rsid w:val="00EB29E4"/>
    <w:rsid w:val="00EB2EB4"/>
    <w:rsid w:val="00EB2EE7"/>
    <w:rsid w:val="00EB325F"/>
    <w:rsid w:val="00EB3801"/>
    <w:rsid w:val="00EB3A07"/>
    <w:rsid w:val="00EB4B14"/>
    <w:rsid w:val="00EB52E1"/>
    <w:rsid w:val="00EB5614"/>
    <w:rsid w:val="00EB5AFF"/>
    <w:rsid w:val="00EB5CD8"/>
    <w:rsid w:val="00EB5DC8"/>
    <w:rsid w:val="00EB5FAE"/>
    <w:rsid w:val="00EB624B"/>
    <w:rsid w:val="00EB659D"/>
    <w:rsid w:val="00EB6B7F"/>
    <w:rsid w:val="00EB74A4"/>
    <w:rsid w:val="00EB7888"/>
    <w:rsid w:val="00EB7CB9"/>
    <w:rsid w:val="00EB7CC8"/>
    <w:rsid w:val="00EC0198"/>
    <w:rsid w:val="00EC05E2"/>
    <w:rsid w:val="00EC0663"/>
    <w:rsid w:val="00EC09A7"/>
    <w:rsid w:val="00EC09DA"/>
    <w:rsid w:val="00EC1181"/>
    <w:rsid w:val="00EC1584"/>
    <w:rsid w:val="00EC16B6"/>
    <w:rsid w:val="00EC29CB"/>
    <w:rsid w:val="00EC429E"/>
    <w:rsid w:val="00EC4317"/>
    <w:rsid w:val="00EC46D1"/>
    <w:rsid w:val="00EC50E9"/>
    <w:rsid w:val="00EC52AF"/>
    <w:rsid w:val="00EC53C2"/>
    <w:rsid w:val="00EC54C0"/>
    <w:rsid w:val="00EC55AC"/>
    <w:rsid w:val="00EC62CB"/>
    <w:rsid w:val="00EC6854"/>
    <w:rsid w:val="00EC6955"/>
    <w:rsid w:val="00EC722F"/>
    <w:rsid w:val="00ED0351"/>
    <w:rsid w:val="00ED0645"/>
    <w:rsid w:val="00ED0D60"/>
    <w:rsid w:val="00ED0EF7"/>
    <w:rsid w:val="00ED0F86"/>
    <w:rsid w:val="00ED14C1"/>
    <w:rsid w:val="00ED1738"/>
    <w:rsid w:val="00ED1E77"/>
    <w:rsid w:val="00ED2215"/>
    <w:rsid w:val="00ED2244"/>
    <w:rsid w:val="00ED23E5"/>
    <w:rsid w:val="00ED2473"/>
    <w:rsid w:val="00ED2675"/>
    <w:rsid w:val="00ED26A4"/>
    <w:rsid w:val="00ED2A7D"/>
    <w:rsid w:val="00ED316C"/>
    <w:rsid w:val="00ED3326"/>
    <w:rsid w:val="00ED3ACE"/>
    <w:rsid w:val="00ED3B16"/>
    <w:rsid w:val="00ED3CFE"/>
    <w:rsid w:val="00ED4101"/>
    <w:rsid w:val="00ED41A1"/>
    <w:rsid w:val="00ED4491"/>
    <w:rsid w:val="00ED4E1C"/>
    <w:rsid w:val="00ED4F9A"/>
    <w:rsid w:val="00ED509A"/>
    <w:rsid w:val="00ED52B8"/>
    <w:rsid w:val="00ED564D"/>
    <w:rsid w:val="00ED5793"/>
    <w:rsid w:val="00ED5ABA"/>
    <w:rsid w:val="00ED5E4E"/>
    <w:rsid w:val="00ED6ACD"/>
    <w:rsid w:val="00ED708C"/>
    <w:rsid w:val="00ED7689"/>
    <w:rsid w:val="00ED7DDC"/>
    <w:rsid w:val="00EE050E"/>
    <w:rsid w:val="00EE0742"/>
    <w:rsid w:val="00EE0875"/>
    <w:rsid w:val="00EE0B85"/>
    <w:rsid w:val="00EE0C32"/>
    <w:rsid w:val="00EE0D1F"/>
    <w:rsid w:val="00EE0DB9"/>
    <w:rsid w:val="00EE0E96"/>
    <w:rsid w:val="00EE0EF7"/>
    <w:rsid w:val="00EE0FE9"/>
    <w:rsid w:val="00EE117A"/>
    <w:rsid w:val="00EE1360"/>
    <w:rsid w:val="00EE16B1"/>
    <w:rsid w:val="00EE1A6D"/>
    <w:rsid w:val="00EE2287"/>
    <w:rsid w:val="00EE229C"/>
    <w:rsid w:val="00EE22CE"/>
    <w:rsid w:val="00EE23E8"/>
    <w:rsid w:val="00EE2D30"/>
    <w:rsid w:val="00EE2FAD"/>
    <w:rsid w:val="00EE2FFA"/>
    <w:rsid w:val="00EE34AA"/>
    <w:rsid w:val="00EE3A8D"/>
    <w:rsid w:val="00EE3AFB"/>
    <w:rsid w:val="00EE3C74"/>
    <w:rsid w:val="00EE43A7"/>
    <w:rsid w:val="00EE4AAD"/>
    <w:rsid w:val="00EE4DBD"/>
    <w:rsid w:val="00EE52EF"/>
    <w:rsid w:val="00EE5649"/>
    <w:rsid w:val="00EE5A21"/>
    <w:rsid w:val="00EE5FE7"/>
    <w:rsid w:val="00EE6081"/>
    <w:rsid w:val="00EE62C3"/>
    <w:rsid w:val="00EE65B3"/>
    <w:rsid w:val="00EE6825"/>
    <w:rsid w:val="00EE691B"/>
    <w:rsid w:val="00EE6AE5"/>
    <w:rsid w:val="00EE6E57"/>
    <w:rsid w:val="00EE7174"/>
    <w:rsid w:val="00EE733F"/>
    <w:rsid w:val="00EE741A"/>
    <w:rsid w:val="00EE75EC"/>
    <w:rsid w:val="00EE7835"/>
    <w:rsid w:val="00EE7C00"/>
    <w:rsid w:val="00EE7CA1"/>
    <w:rsid w:val="00EF0BED"/>
    <w:rsid w:val="00EF0D8B"/>
    <w:rsid w:val="00EF135B"/>
    <w:rsid w:val="00EF165E"/>
    <w:rsid w:val="00EF1773"/>
    <w:rsid w:val="00EF177C"/>
    <w:rsid w:val="00EF1860"/>
    <w:rsid w:val="00EF190E"/>
    <w:rsid w:val="00EF1A01"/>
    <w:rsid w:val="00EF1D06"/>
    <w:rsid w:val="00EF1E03"/>
    <w:rsid w:val="00EF2214"/>
    <w:rsid w:val="00EF251E"/>
    <w:rsid w:val="00EF2C23"/>
    <w:rsid w:val="00EF3596"/>
    <w:rsid w:val="00EF3832"/>
    <w:rsid w:val="00EF3B07"/>
    <w:rsid w:val="00EF3F01"/>
    <w:rsid w:val="00EF409E"/>
    <w:rsid w:val="00EF4196"/>
    <w:rsid w:val="00EF4563"/>
    <w:rsid w:val="00EF4694"/>
    <w:rsid w:val="00EF4A69"/>
    <w:rsid w:val="00EF4C0C"/>
    <w:rsid w:val="00EF4C66"/>
    <w:rsid w:val="00EF4F76"/>
    <w:rsid w:val="00EF535E"/>
    <w:rsid w:val="00EF5863"/>
    <w:rsid w:val="00EF5C00"/>
    <w:rsid w:val="00EF5E3A"/>
    <w:rsid w:val="00EF6365"/>
    <w:rsid w:val="00EF63E0"/>
    <w:rsid w:val="00EF65B8"/>
    <w:rsid w:val="00EF68B7"/>
    <w:rsid w:val="00EF6999"/>
    <w:rsid w:val="00EF6BAC"/>
    <w:rsid w:val="00EF7248"/>
    <w:rsid w:val="00EF74DC"/>
    <w:rsid w:val="00EF74E1"/>
    <w:rsid w:val="00EF7765"/>
    <w:rsid w:val="00F007C8"/>
    <w:rsid w:val="00F00CBF"/>
    <w:rsid w:val="00F00F7A"/>
    <w:rsid w:val="00F0113B"/>
    <w:rsid w:val="00F011D3"/>
    <w:rsid w:val="00F01248"/>
    <w:rsid w:val="00F0168B"/>
    <w:rsid w:val="00F021DB"/>
    <w:rsid w:val="00F02431"/>
    <w:rsid w:val="00F0291C"/>
    <w:rsid w:val="00F02CC0"/>
    <w:rsid w:val="00F02F89"/>
    <w:rsid w:val="00F0309F"/>
    <w:rsid w:val="00F0359F"/>
    <w:rsid w:val="00F03721"/>
    <w:rsid w:val="00F03A1E"/>
    <w:rsid w:val="00F03B7E"/>
    <w:rsid w:val="00F03DC8"/>
    <w:rsid w:val="00F03E3C"/>
    <w:rsid w:val="00F04340"/>
    <w:rsid w:val="00F04CB1"/>
    <w:rsid w:val="00F04EC7"/>
    <w:rsid w:val="00F05947"/>
    <w:rsid w:val="00F059AF"/>
    <w:rsid w:val="00F05A21"/>
    <w:rsid w:val="00F05E1A"/>
    <w:rsid w:val="00F0653C"/>
    <w:rsid w:val="00F06BF0"/>
    <w:rsid w:val="00F06FDE"/>
    <w:rsid w:val="00F07813"/>
    <w:rsid w:val="00F0789A"/>
    <w:rsid w:val="00F07A54"/>
    <w:rsid w:val="00F07B40"/>
    <w:rsid w:val="00F07C44"/>
    <w:rsid w:val="00F0CED2"/>
    <w:rsid w:val="00F1011A"/>
    <w:rsid w:val="00F101E6"/>
    <w:rsid w:val="00F109B8"/>
    <w:rsid w:val="00F10F19"/>
    <w:rsid w:val="00F1120F"/>
    <w:rsid w:val="00F11821"/>
    <w:rsid w:val="00F11CB1"/>
    <w:rsid w:val="00F12201"/>
    <w:rsid w:val="00F1259D"/>
    <w:rsid w:val="00F12685"/>
    <w:rsid w:val="00F1282F"/>
    <w:rsid w:val="00F129F9"/>
    <w:rsid w:val="00F12C3B"/>
    <w:rsid w:val="00F133EE"/>
    <w:rsid w:val="00F133F9"/>
    <w:rsid w:val="00F13599"/>
    <w:rsid w:val="00F139D4"/>
    <w:rsid w:val="00F13DAC"/>
    <w:rsid w:val="00F14092"/>
    <w:rsid w:val="00F1493B"/>
    <w:rsid w:val="00F15184"/>
    <w:rsid w:val="00F1519A"/>
    <w:rsid w:val="00F154C5"/>
    <w:rsid w:val="00F155E0"/>
    <w:rsid w:val="00F15A67"/>
    <w:rsid w:val="00F160A8"/>
    <w:rsid w:val="00F16475"/>
    <w:rsid w:val="00F169E1"/>
    <w:rsid w:val="00F169FA"/>
    <w:rsid w:val="00F17770"/>
    <w:rsid w:val="00F177B0"/>
    <w:rsid w:val="00F178B8"/>
    <w:rsid w:val="00F178E8"/>
    <w:rsid w:val="00F17C3C"/>
    <w:rsid w:val="00F17D48"/>
    <w:rsid w:val="00F17F7B"/>
    <w:rsid w:val="00F20016"/>
    <w:rsid w:val="00F2049D"/>
    <w:rsid w:val="00F207C6"/>
    <w:rsid w:val="00F20BDE"/>
    <w:rsid w:val="00F21199"/>
    <w:rsid w:val="00F212A3"/>
    <w:rsid w:val="00F2153F"/>
    <w:rsid w:val="00F21A4C"/>
    <w:rsid w:val="00F21DB5"/>
    <w:rsid w:val="00F21E50"/>
    <w:rsid w:val="00F220B4"/>
    <w:rsid w:val="00F220D4"/>
    <w:rsid w:val="00F224A0"/>
    <w:rsid w:val="00F224CF"/>
    <w:rsid w:val="00F226A9"/>
    <w:rsid w:val="00F226C1"/>
    <w:rsid w:val="00F2329C"/>
    <w:rsid w:val="00F2388C"/>
    <w:rsid w:val="00F24054"/>
    <w:rsid w:val="00F2442E"/>
    <w:rsid w:val="00F2463D"/>
    <w:rsid w:val="00F24822"/>
    <w:rsid w:val="00F25E2A"/>
    <w:rsid w:val="00F26102"/>
    <w:rsid w:val="00F26EE0"/>
    <w:rsid w:val="00F27C96"/>
    <w:rsid w:val="00F27E7B"/>
    <w:rsid w:val="00F27FA8"/>
    <w:rsid w:val="00F3021E"/>
    <w:rsid w:val="00F30B68"/>
    <w:rsid w:val="00F30BBA"/>
    <w:rsid w:val="00F30DEC"/>
    <w:rsid w:val="00F3122A"/>
    <w:rsid w:val="00F315A7"/>
    <w:rsid w:val="00F315BE"/>
    <w:rsid w:val="00F315FE"/>
    <w:rsid w:val="00F319D3"/>
    <w:rsid w:val="00F31B4B"/>
    <w:rsid w:val="00F31DDF"/>
    <w:rsid w:val="00F31F55"/>
    <w:rsid w:val="00F3212F"/>
    <w:rsid w:val="00F32BCE"/>
    <w:rsid w:val="00F33034"/>
    <w:rsid w:val="00F34440"/>
    <w:rsid w:val="00F344E2"/>
    <w:rsid w:val="00F3467F"/>
    <w:rsid w:val="00F34EED"/>
    <w:rsid w:val="00F35944"/>
    <w:rsid w:val="00F35BEC"/>
    <w:rsid w:val="00F35DF6"/>
    <w:rsid w:val="00F36865"/>
    <w:rsid w:val="00F36A42"/>
    <w:rsid w:val="00F36FAE"/>
    <w:rsid w:val="00F371C7"/>
    <w:rsid w:val="00F3797D"/>
    <w:rsid w:val="00F37AD5"/>
    <w:rsid w:val="00F37BBA"/>
    <w:rsid w:val="00F403E8"/>
    <w:rsid w:val="00F405D3"/>
    <w:rsid w:val="00F40981"/>
    <w:rsid w:val="00F40DB6"/>
    <w:rsid w:val="00F41CC5"/>
    <w:rsid w:val="00F420E4"/>
    <w:rsid w:val="00F425E7"/>
    <w:rsid w:val="00F42910"/>
    <w:rsid w:val="00F42B81"/>
    <w:rsid w:val="00F42D6F"/>
    <w:rsid w:val="00F43382"/>
    <w:rsid w:val="00F435CB"/>
    <w:rsid w:val="00F43997"/>
    <w:rsid w:val="00F439C8"/>
    <w:rsid w:val="00F43FA1"/>
    <w:rsid w:val="00F4419C"/>
    <w:rsid w:val="00F4420E"/>
    <w:rsid w:val="00F445BF"/>
    <w:rsid w:val="00F44DAA"/>
    <w:rsid w:val="00F4513C"/>
    <w:rsid w:val="00F45557"/>
    <w:rsid w:val="00F45886"/>
    <w:rsid w:val="00F458DC"/>
    <w:rsid w:val="00F45C98"/>
    <w:rsid w:val="00F45DAA"/>
    <w:rsid w:val="00F45E2B"/>
    <w:rsid w:val="00F46652"/>
    <w:rsid w:val="00F46696"/>
    <w:rsid w:val="00F46D85"/>
    <w:rsid w:val="00F47A75"/>
    <w:rsid w:val="00F50007"/>
    <w:rsid w:val="00F50A36"/>
    <w:rsid w:val="00F50B7E"/>
    <w:rsid w:val="00F50D15"/>
    <w:rsid w:val="00F50E23"/>
    <w:rsid w:val="00F50FA6"/>
    <w:rsid w:val="00F5120A"/>
    <w:rsid w:val="00F5161B"/>
    <w:rsid w:val="00F519DF"/>
    <w:rsid w:val="00F51A24"/>
    <w:rsid w:val="00F524E5"/>
    <w:rsid w:val="00F52605"/>
    <w:rsid w:val="00F528B9"/>
    <w:rsid w:val="00F52C31"/>
    <w:rsid w:val="00F52C95"/>
    <w:rsid w:val="00F53066"/>
    <w:rsid w:val="00F53623"/>
    <w:rsid w:val="00F537C0"/>
    <w:rsid w:val="00F53D81"/>
    <w:rsid w:val="00F54061"/>
    <w:rsid w:val="00F541D0"/>
    <w:rsid w:val="00F54302"/>
    <w:rsid w:val="00F549CE"/>
    <w:rsid w:val="00F550DC"/>
    <w:rsid w:val="00F5550F"/>
    <w:rsid w:val="00F55D8D"/>
    <w:rsid w:val="00F56A3B"/>
    <w:rsid w:val="00F56EB0"/>
    <w:rsid w:val="00F57284"/>
    <w:rsid w:val="00F5759E"/>
    <w:rsid w:val="00F577DA"/>
    <w:rsid w:val="00F57A29"/>
    <w:rsid w:val="00F57CF1"/>
    <w:rsid w:val="00F57D45"/>
    <w:rsid w:val="00F57EE5"/>
    <w:rsid w:val="00F6008D"/>
    <w:rsid w:val="00F600F5"/>
    <w:rsid w:val="00F60949"/>
    <w:rsid w:val="00F60ADA"/>
    <w:rsid w:val="00F61304"/>
    <w:rsid w:val="00F61314"/>
    <w:rsid w:val="00F6144D"/>
    <w:rsid w:val="00F61572"/>
    <w:rsid w:val="00F6170F"/>
    <w:rsid w:val="00F61D58"/>
    <w:rsid w:val="00F61DFC"/>
    <w:rsid w:val="00F62592"/>
    <w:rsid w:val="00F626DD"/>
    <w:rsid w:val="00F627AD"/>
    <w:rsid w:val="00F6341E"/>
    <w:rsid w:val="00F63877"/>
    <w:rsid w:val="00F63CD2"/>
    <w:rsid w:val="00F643B3"/>
    <w:rsid w:val="00F64BBD"/>
    <w:rsid w:val="00F64E1C"/>
    <w:rsid w:val="00F65226"/>
    <w:rsid w:val="00F66300"/>
    <w:rsid w:val="00F668AA"/>
    <w:rsid w:val="00F6789B"/>
    <w:rsid w:val="00F67D71"/>
    <w:rsid w:val="00F67FCF"/>
    <w:rsid w:val="00F70037"/>
    <w:rsid w:val="00F7046A"/>
    <w:rsid w:val="00F70480"/>
    <w:rsid w:val="00F7061A"/>
    <w:rsid w:val="00F70671"/>
    <w:rsid w:val="00F706C8"/>
    <w:rsid w:val="00F708E9"/>
    <w:rsid w:val="00F70946"/>
    <w:rsid w:val="00F70CCD"/>
    <w:rsid w:val="00F71160"/>
    <w:rsid w:val="00F714F6"/>
    <w:rsid w:val="00F71D9D"/>
    <w:rsid w:val="00F720F5"/>
    <w:rsid w:val="00F72148"/>
    <w:rsid w:val="00F72A23"/>
    <w:rsid w:val="00F72A5F"/>
    <w:rsid w:val="00F72CF9"/>
    <w:rsid w:val="00F731C2"/>
    <w:rsid w:val="00F733D4"/>
    <w:rsid w:val="00F735CE"/>
    <w:rsid w:val="00F7383A"/>
    <w:rsid w:val="00F7398B"/>
    <w:rsid w:val="00F73F72"/>
    <w:rsid w:val="00F7482C"/>
    <w:rsid w:val="00F749D0"/>
    <w:rsid w:val="00F74E1A"/>
    <w:rsid w:val="00F74F9C"/>
    <w:rsid w:val="00F751D2"/>
    <w:rsid w:val="00F75292"/>
    <w:rsid w:val="00F75295"/>
    <w:rsid w:val="00F761BA"/>
    <w:rsid w:val="00F764C9"/>
    <w:rsid w:val="00F767E6"/>
    <w:rsid w:val="00F768F7"/>
    <w:rsid w:val="00F771DB"/>
    <w:rsid w:val="00F772FE"/>
    <w:rsid w:val="00F773C6"/>
    <w:rsid w:val="00F7741D"/>
    <w:rsid w:val="00F77776"/>
    <w:rsid w:val="00F77963"/>
    <w:rsid w:val="00F77997"/>
    <w:rsid w:val="00F77BEA"/>
    <w:rsid w:val="00F8018A"/>
    <w:rsid w:val="00F8072F"/>
    <w:rsid w:val="00F80A89"/>
    <w:rsid w:val="00F80D00"/>
    <w:rsid w:val="00F812B9"/>
    <w:rsid w:val="00F825EB"/>
    <w:rsid w:val="00F8275F"/>
    <w:rsid w:val="00F82BB0"/>
    <w:rsid w:val="00F82D0B"/>
    <w:rsid w:val="00F82F64"/>
    <w:rsid w:val="00F833B5"/>
    <w:rsid w:val="00F83533"/>
    <w:rsid w:val="00F83A48"/>
    <w:rsid w:val="00F83B10"/>
    <w:rsid w:val="00F84439"/>
    <w:rsid w:val="00F84A54"/>
    <w:rsid w:val="00F85604"/>
    <w:rsid w:val="00F856EB"/>
    <w:rsid w:val="00F85951"/>
    <w:rsid w:val="00F85BDC"/>
    <w:rsid w:val="00F85BE5"/>
    <w:rsid w:val="00F85FEB"/>
    <w:rsid w:val="00F86C7E"/>
    <w:rsid w:val="00F86ECB"/>
    <w:rsid w:val="00F8718D"/>
    <w:rsid w:val="00F87396"/>
    <w:rsid w:val="00F87584"/>
    <w:rsid w:val="00F87C94"/>
    <w:rsid w:val="00F90548"/>
    <w:rsid w:val="00F90B16"/>
    <w:rsid w:val="00F90DF7"/>
    <w:rsid w:val="00F91367"/>
    <w:rsid w:val="00F9169C"/>
    <w:rsid w:val="00F91B8A"/>
    <w:rsid w:val="00F91B94"/>
    <w:rsid w:val="00F91D3A"/>
    <w:rsid w:val="00F92709"/>
    <w:rsid w:val="00F92FF4"/>
    <w:rsid w:val="00F931DB"/>
    <w:rsid w:val="00F93475"/>
    <w:rsid w:val="00F93673"/>
    <w:rsid w:val="00F938B9"/>
    <w:rsid w:val="00F93F14"/>
    <w:rsid w:val="00F93F6D"/>
    <w:rsid w:val="00F9400B"/>
    <w:rsid w:val="00F94463"/>
    <w:rsid w:val="00F94799"/>
    <w:rsid w:val="00F94CB5"/>
    <w:rsid w:val="00F95988"/>
    <w:rsid w:val="00F95AA2"/>
    <w:rsid w:val="00F95F89"/>
    <w:rsid w:val="00F95FBB"/>
    <w:rsid w:val="00F965FD"/>
    <w:rsid w:val="00F966CC"/>
    <w:rsid w:val="00F966F7"/>
    <w:rsid w:val="00F96C31"/>
    <w:rsid w:val="00F96CF8"/>
    <w:rsid w:val="00F96DE6"/>
    <w:rsid w:val="00F9722A"/>
    <w:rsid w:val="00F97C13"/>
    <w:rsid w:val="00F97F50"/>
    <w:rsid w:val="00FA0551"/>
    <w:rsid w:val="00FA06D5"/>
    <w:rsid w:val="00FA0B9A"/>
    <w:rsid w:val="00FA0E70"/>
    <w:rsid w:val="00FA1167"/>
    <w:rsid w:val="00FA19C9"/>
    <w:rsid w:val="00FA2633"/>
    <w:rsid w:val="00FA2A36"/>
    <w:rsid w:val="00FA2A3B"/>
    <w:rsid w:val="00FA2B94"/>
    <w:rsid w:val="00FA35B2"/>
    <w:rsid w:val="00FA3B2E"/>
    <w:rsid w:val="00FA3DA1"/>
    <w:rsid w:val="00FA401A"/>
    <w:rsid w:val="00FA4203"/>
    <w:rsid w:val="00FA47FC"/>
    <w:rsid w:val="00FA48A4"/>
    <w:rsid w:val="00FA48CA"/>
    <w:rsid w:val="00FA4B00"/>
    <w:rsid w:val="00FA4B6A"/>
    <w:rsid w:val="00FA4C98"/>
    <w:rsid w:val="00FA4D20"/>
    <w:rsid w:val="00FA51E8"/>
    <w:rsid w:val="00FA52AA"/>
    <w:rsid w:val="00FA52CD"/>
    <w:rsid w:val="00FA55B1"/>
    <w:rsid w:val="00FA663C"/>
    <w:rsid w:val="00FA6CEE"/>
    <w:rsid w:val="00FA7321"/>
    <w:rsid w:val="00FA74BE"/>
    <w:rsid w:val="00FA770D"/>
    <w:rsid w:val="00FA777F"/>
    <w:rsid w:val="00FA7D30"/>
    <w:rsid w:val="00FA7D39"/>
    <w:rsid w:val="00FB02EB"/>
    <w:rsid w:val="00FB03E6"/>
    <w:rsid w:val="00FB0D2F"/>
    <w:rsid w:val="00FB0F89"/>
    <w:rsid w:val="00FB106B"/>
    <w:rsid w:val="00FB1216"/>
    <w:rsid w:val="00FB14C8"/>
    <w:rsid w:val="00FB1605"/>
    <w:rsid w:val="00FB18AD"/>
    <w:rsid w:val="00FB1AC9"/>
    <w:rsid w:val="00FB2291"/>
    <w:rsid w:val="00FB22F3"/>
    <w:rsid w:val="00FB2760"/>
    <w:rsid w:val="00FB2774"/>
    <w:rsid w:val="00FB3473"/>
    <w:rsid w:val="00FB3928"/>
    <w:rsid w:val="00FB3936"/>
    <w:rsid w:val="00FB3D37"/>
    <w:rsid w:val="00FB3F54"/>
    <w:rsid w:val="00FB4037"/>
    <w:rsid w:val="00FB42BC"/>
    <w:rsid w:val="00FB441A"/>
    <w:rsid w:val="00FB4753"/>
    <w:rsid w:val="00FB49A4"/>
    <w:rsid w:val="00FB49F5"/>
    <w:rsid w:val="00FB4E02"/>
    <w:rsid w:val="00FB5D63"/>
    <w:rsid w:val="00FB5F64"/>
    <w:rsid w:val="00FB6634"/>
    <w:rsid w:val="00FB6AA1"/>
    <w:rsid w:val="00FB6AF3"/>
    <w:rsid w:val="00FB6C9F"/>
    <w:rsid w:val="00FB6D1E"/>
    <w:rsid w:val="00FB70C2"/>
    <w:rsid w:val="00FB726A"/>
    <w:rsid w:val="00FB73D5"/>
    <w:rsid w:val="00FB759B"/>
    <w:rsid w:val="00FB77A3"/>
    <w:rsid w:val="00FC0145"/>
    <w:rsid w:val="00FC0490"/>
    <w:rsid w:val="00FC0A12"/>
    <w:rsid w:val="00FC0CAC"/>
    <w:rsid w:val="00FC0D44"/>
    <w:rsid w:val="00FC1026"/>
    <w:rsid w:val="00FC10C4"/>
    <w:rsid w:val="00FC180C"/>
    <w:rsid w:val="00FC18EE"/>
    <w:rsid w:val="00FC1A73"/>
    <w:rsid w:val="00FC2798"/>
    <w:rsid w:val="00FC2993"/>
    <w:rsid w:val="00FC2BF8"/>
    <w:rsid w:val="00FC2C3A"/>
    <w:rsid w:val="00FC2EA6"/>
    <w:rsid w:val="00FC321B"/>
    <w:rsid w:val="00FC3238"/>
    <w:rsid w:val="00FC3261"/>
    <w:rsid w:val="00FC3300"/>
    <w:rsid w:val="00FC3A40"/>
    <w:rsid w:val="00FC3DC9"/>
    <w:rsid w:val="00FC3DD9"/>
    <w:rsid w:val="00FC44E9"/>
    <w:rsid w:val="00FC4616"/>
    <w:rsid w:val="00FC462F"/>
    <w:rsid w:val="00FC481E"/>
    <w:rsid w:val="00FC4A27"/>
    <w:rsid w:val="00FC52F8"/>
    <w:rsid w:val="00FC57EE"/>
    <w:rsid w:val="00FC5947"/>
    <w:rsid w:val="00FC5CAC"/>
    <w:rsid w:val="00FC6A2D"/>
    <w:rsid w:val="00FC6A6B"/>
    <w:rsid w:val="00FC6C0E"/>
    <w:rsid w:val="00FC771C"/>
    <w:rsid w:val="00FC7927"/>
    <w:rsid w:val="00FD0160"/>
    <w:rsid w:val="00FD06F6"/>
    <w:rsid w:val="00FD09E0"/>
    <w:rsid w:val="00FD0FBD"/>
    <w:rsid w:val="00FD11FE"/>
    <w:rsid w:val="00FD1ABE"/>
    <w:rsid w:val="00FD1DE5"/>
    <w:rsid w:val="00FD2916"/>
    <w:rsid w:val="00FD296F"/>
    <w:rsid w:val="00FD2BAD"/>
    <w:rsid w:val="00FD2BEE"/>
    <w:rsid w:val="00FD3805"/>
    <w:rsid w:val="00FD3B74"/>
    <w:rsid w:val="00FD42BE"/>
    <w:rsid w:val="00FD47C7"/>
    <w:rsid w:val="00FD4853"/>
    <w:rsid w:val="00FD4BA8"/>
    <w:rsid w:val="00FD4C36"/>
    <w:rsid w:val="00FD5032"/>
    <w:rsid w:val="00FD5145"/>
    <w:rsid w:val="00FD528A"/>
    <w:rsid w:val="00FD5B4E"/>
    <w:rsid w:val="00FD5CA0"/>
    <w:rsid w:val="00FD65DB"/>
    <w:rsid w:val="00FD687C"/>
    <w:rsid w:val="00FD6CD6"/>
    <w:rsid w:val="00FD6CF8"/>
    <w:rsid w:val="00FD733D"/>
    <w:rsid w:val="00FD7C36"/>
    <w:rsid w:val="00FE003E"/>
    <w:rsid w:val="00FE0519"/>
    <w:rsid w:val="00FE079F"/>
    <w:rsid w:val="00FE1A7E"/>
    <w:rsid w:val="00FE1E9B"/>
    <w:rsid w:val="00FE1F87"/>
    <w:rsid w:val="00FE20A9"/>
    <w:rsid w:val="00FE21FB"/>
    <w:rsid w:val="00FE22FF"/>
    <w:rsid w:val="00FE24B9"/>
    <w:rsid w:val="00FE2A80"/>
    <w:rsid w:val="00FE2B0C"/>
    <w:rsid w:val="00FE311B"/>
    <w:rsid w:val="00FE3462"/>
    <w:rsid w:val="00FE381A"/>
    <w:rsid w:val="00FE39B0"/>
    <w:rsid w:val="00FE4288"/>
    <w:rsid w:val="00FE45D1"/>
    <w:rsid w:val="00FE45E0"/>
    <w:rsid w:val="00FE462F"/>
    <w:rsid w:val="00FE4ED2"/>
    <w:rsid w:val="00FE529D"/>
    <w:rsid w:val="00FE55AD"/>
    <w:rsid w:val="00FE55F5"/>
    <w:rsid w:val="00FE5613"/>
    <w:rsid w:val="00FE5704"/>
    <w:rsid w:val="00FE5AE9"/>
    <w:rsid w:val="00FE5EAA"/>
    <w:rsid w:val="00FE649E"/>
    <w:rsid w:val="00FE6737"/>
    <w:rsid w:val="00FE69BB"/>
    <w:rsid w:val="00FE69CE"/>
    <w:rsid w:val="00FE6C29"/>
    <w:rsid w:val="00FE6C7A"/>
    <w:rsid w:val="00FE6CEB"/>
    <w:rsid w:val="00FE7522"/>
    <w:rsid w:val="00FE7B66"/>
    <w:rsid w:val="00FE7C26"/>
    <w:rsid w:val="00FF0681"/>
    <w:rsid w:val="00FF0B8B"/>
    <w:rsid w:val="00FF0E7D"/>
    <w:rsid w:val="00FF11A7"/>
    <w:rsid w:val="00FF15F1"/>
    <w:rsid w:val="00FF168D"/>
    <w:rsid w:val="00FF1730"/>
    <w:rsid w:val="00FF17BE"/>
    <w:rsid w:val="00FF18CF"/>
    <w:rsid w:val="00FF190E"/>
    <w:rsid w:val="00FF191E"/>
    <w:rsid w:val="00FF1FAC"/>
    <w:rsid w:val="00FF3265"/>
    <w:rsid w:val="00FF3389"/>
    <w:rsid w:val="00FF344A"/>
    <w:rsid w:val="00FF3ECF"/>
    <w:rsid w:val="00FF3FA6"/>
    <w:rsid w:val="00FF43B1"/>
    <w:rsid w:val="00FF43B4"/>
    <w:rsid w:val="00FF4E1D"/>
    <w:rsid w:val="00FF4F88"/>
    <w:rsid w:val="00FF52C3"/>
    <w:rsid w:val="00FF5567"/>
    <w:rsid w:val="00FF58E4"/>
    <w:rsid w:val="00FF5AFE"/>
    <w:rsid w:val="00FF5E95"/>
    <w:rsid w:val="00FF625F"/>
    <w:rsid w:val="00FF629D"/>
    <w:rsid w:val="00FF62D5"/>
    <w:rsid w:val="00FF6DD9"/>
    <w:rsid w:val="00FF703C"/>
    <w:rsid w:val="00FF70B0"/>
    <w:rsid w:val="00FF70C5"/>
    <w:rsid w:val="00FF75CA"/>
    <w:rsid w:val="00FF7B8D"/>
    <w:rsid w:val="01142677"/>
    <w:rsid w:val="01166963"/>
    <w:rsid w:val="01413927"/>
    <w:rsid w:val="0143C747"/>
    <w:rsid w:val="015D8ED1"/>
    <w:rsid w:val="01600CE6"/>
    <w:rsid w:val="0163925B"/>
    <w:rsid w:val="01697275"/>
    <w:rsid w:val="0169C04E"/>
    <w:rsid w:val="016ECE59"/>
    <w:rsid w:val="017ECAB0"/>
    <w:rsid w:val="01838300"/>
    <w:rsid w:val="01879C80"/>
    <w:rsid w:val="0193EC5F"/>
    <w:rsid w:val="01993600"/>
    <w:rsid w:val="019CF11A"/>
    <w:rsid w:val="01AEE359"/>
    <w:rsid w:val="01B115B7"/>
    <w:rsid w:val="01B141CA"/>
    <w:rsid w:val="01B385BE"/>
    <w:rsid w:val="01B69928"/>
    <w:rsid w:val="01BA4BA3"/>
    <w:rsid w:val="01BF26BF"/>
    <w:rsid w:val="01CAD3E3"/>
    <w:rsid w:val="01E0918C"/>
    <w:rsid w:val="01E9A580"/>
    <w:rsid w:val="01ED6DD5"/>
    <w:rsid w:val="01FC4FA3"/>
    <w:rsid w:val="020A4C6C"/>
    <w:rsid w:val="020E11F6"/>
    <w:rsid w:val="021037A2"/>
    <w:rsid w:val="0212377B"/>
    <w:rsid w:val="0215191A"/>
    <w:rsid w:val="0215AB90"/>
    <w:rsid w:val="021AF3B0"/>
    <w:rsid w:val="021DA64F"/>
    <w:rsid w:val="0225D6E1"/>
    <w:rsid w:val="0228BDD1"/>
    <w:rsid w:val="022B14B8"/>
    <w:rsid w:val="0239F3D0"/>
    <w:rsid w:val="025E8D65"/>
    <w:rsid w:val="025F9E88"/>
    <w:rsid w:val="02698BEB"/>
    <w:rsid w:val="028A70E6"/>
    <w:rsid w:val="029A4E24"/>
    <w:rsid w:val="02AC8DCF"/>
    <w:rsid w:val="02BD7F22"/>
    <w:rsid w:val="02DC4201"/>
    <w:rsid w:val="02F8F4A8"/>
    <w:rsid w:val="0300EE87"/>
    <w:rsid w:val="03022D62"/>
    <w:rsid w:val="03089A09"/>
    <w:rsid w:val="0325A66E"/>
    <w:rsid w:val="032D1EB1"/>
    <w:rsid w:val="032FE551"/>
    <w:rsid w:val="03373661"/>
    <w:rsid w:val="0350DB93"/>
    <w:rsid w:val="03529954"/>
    <w:rsid w:val="0353D723"/>
    <w:rsid w:val="0364CA8F"/>
    <w:rsid w:val="03696536"/>
    <w:rsid w:val="0379C240"/>
    <w:rsid w:val="038C05AA"/>
    <w:rsid w:val="0394C0A3"/>
    <w:rsid w:val="039950AE"/>
    <w:rsid w:val="039C06D9"/>
    <w:rsid w:val="03A5C134"/>
    <w:rsid w:val="03A9F7F3"/>
    <w:rsid w:val="03D6CB76"/>
    <w:rsid w:val="03EE92C1"/>
    <w:rsid w:val="03F0B6D0"/>
    <w:rsid w:val="03F47F48"/>
    <w:rsid w:val="03F9790A"/>
    <w:rsid w:val="03FAA033"/>
    <w:rsid w:val="0402C9E5"/>
    <w:rsid w:val="0403FE8F"/>
    <w:rsid w:val="04053352"/>
    <w:rsid w:val="04264147"/>
    <w:rsid w:val="0434531D"/>
    <w:rsid w:val="04508DCD"/>
    <w:rsid w:val="046BD76A"/>
    <w:rsid w:val="046FAB21"/>
    <w:rsid w:val="04725A2D"/>
    <w:rsid w:val="048FB726"/>
    <w:rsid w:val="0498F7B8"/>
    <w:rsid w:val="049AC7D0"/>
    <w:rsid w:val="04DD33D5"/>
    <w:rsid w:val="04ED13D7"/>
    <w:rsid w:val="04F112B7"/>
    <w:rsid w:val="050BE63A"/>
    <w:rsid w:val="051C94CE"/>
    <w:rsid w:val="05393DCB"/>
    <w:rsid w:val="053A2CB9"/>
    <w:rsid w:val="053C3AAA"/>
    <w:rsid w:val="054185BA"/>
    <w:rsid w:val="05453074"/>
    <w:rsid w:val="054CB9DC"/>
    <w:rsid w:val="054EA55D"/>
    <w:rsid w:val="0553EA0F"/>
    <w:rsid w:val="055A4C23"/>
    <w:rsid w:val="05748C05"/>
    <w:rsid w:val="05789E6C"/>
    <w:rsid w:val="05880E21"/>
    <w:rsid w:val="059BB5AC"/>
    <w:rsid w:val="05ABA872"/>
    <w:rsid w:val="05B82BE4"/>
    <w:rsid w:val="05C5B42E"/>
    <w:rsid w:val="05CFA0DD"/>
    <w:rsid w:val="05D14D44"/>
    <w:rsid w:val="05D9138D"/>
    <w:rsid w:val="05E16BFC"/>
    <w:rsid w:val="05F43A38"/>
    <w:rsid w:val="060065B6"/>
    <w:rsid w:val="060D822A"/>
    <w:rsid w:val="061E22CC"/>
    <w:rsid w:val="06209C24"/>
    <w:rsid w:val="06243150"/>
    <w:rsid w:val="0628F31F"/>
    <w:rsid w:val="062E072C"/>
    <w:rsid w:val="063CC395"/>
    <w:rsid w:val="0640D3F1"/>
    <w:rsid w:val="06431A83"/>
    <w:rsid w:val="0656A153"/>
    <w:rsid w:val="0677972D"/>
    <w:rsid w:val="068283C5"/>
    <w:rsid w:val="06856F6F"/>
    <w:rsid w:val="068D1303"/>
    <w:rsid w:val="068D14B8"/>
    <w:rsid w:val="06933277"/>
    <w:rsid w:val="06994010"/>
    <w:rsid w:val="0699BB7B"/>
    <w:rsid w:val="06A41B9C"/>
    <w:rsid w:val="06B383B1"/>
    <w:rsid w:val="06B8A660"/>
    <w:rsid w:val="06E1B9FF"/>
    <w:rsid w:val="070022E3"/>
    <w:rsid w:val="07046CF0"/>
    <w:rsid w:val="070A9E52"/>
    <w:rsid w:val="0718CC5C"/>
    <w:rsid w:val="072735BA"/>
    <w:rsid w:val="0733F680"/>
    <w:rsid w:val="075412B6"/>
    <w:rsid w:val="0754CA43"/>
    <w:rsid w:val="07563232"/>
    <w:rsid w:val="075A1348"/>
    <w:rsid w:val="075D9102"/>
    <w:rsid w:val="077F0807"/>
    <w:rsid w:val="07801B18"/>
    <w:rsid w:val="078A7BCC"/>
    <w:rsid w:val="07913FFF"/>
    <w:rsid w:val="07A60E67"/>
    <w:rsid w:val="07CFB5FD"/>
    <w:rsid w:val="07DF4B2F"/>
    <w:rsid w:val="07E495B8"/>
    <w:rsid w:val="07E951DA"/>
    <w:rsid w:val="07F170A0"/>
    <w:rsid w:val="07F2E393"/>
    <w:rsid w:val="0800BB83"/>
    <w:rsid w:val="080146CA"/>
    <w:rsid w:val="0802DA2E"/>
    <w:rsid w:val="080CC738"/>
    <w:rsid w:val="081D415C"/>
    <w:rsid w:val="082319CB"/>
    <w:rsid w:val="082D97DB"/>
    <w:rsid w:val="0833ED11"/>
    <w:rsid w:val="0852A854"/>
    <w:rsid w:val="085AB075"/>
    <w:rsid w:val="08602413"/>
    <w:rsid w:val="087902BA"/>
    <w:rsid w:val="0887589D"/>
    <w:rsid w:val="088D709E"/>
    <w:rsid w:val="08944646"/>
    <w:rsid w:val="089D91AC"/>
    <w:rsid w:val="089F648C"/>
    <w:rsid w:val="08AEF8DA"/>
    <w:rsid w:val="08AF0956"/>
    <w:rsid w:val="08AF1E08"/>
    <w:rsid w:val="08BEA643"/>
    <w:rsid w:val="08BF048E"/>
    <w:rsid w:val="08D9ECB2"/>
    <w:rsid w:val="08DA04D4"/>
    <w:rsid w:val="08E04BA9"/>
    <w:rsid w:val="08E407C5"/>
    <w:rsid w:val="08E48743"/>
    <w:rsid w:val="08F3C12E"/>
    <w:rsid w:val="08F9B26A"/>
    <w:rsid w:val="08FDD9D7"/>
    <w:rsid w:val="090D5C37"/>
    <w:rsid w:val="0919B0BE"/>
    <w:rsid w:val="09385065"/>
    <w:rsid w:val="093B7870"/>
    <w:rsid w:val="09428912"/>
    <w:rsid w:val="095AE9F9"/>
    <w:rsid w:val="095C0DCD"/>
    <w:rsid w:val="0968D1C3"/>
    <w:rsid w:val="09757FD3"/>
    <w:rsid w:val="09833798"/>
    <w:rsid w:val="098546FB"/>
    <w:rsid w:val="09948846"/>
    <w:rsid w:val="09952659"/>
    <w:rsid w:val="099D0533"/>
    <w:rsid w:val="099D8EB4"/>
    <w:rsid w:val="09D21EA0"/>
    <w:rsid w:val="09DF575D"/>
    <w:rsid w:val="09E43C16"/>
    <w:rsid w:val="09E8B325"/>
    <w:rsid w:val="09F6F6BB"/>
    <w:rsid w:val="0A13C9AA"/>
    <w:rsid w:val="0A18131A"/>
    <w:rsid w:val="0A1852F1"/>
    <w:rsid w:val="0A2A5709"/>
    <w:rsid w:val="0A2BBECC"/>
    <w:rsid w:val="0A36BA2D"/>
    <w:rsid w:val="0A3CB042"/>
    <w:rsid w:val="0A3FD3A6"/>
    <w:rsid w:val="0A451BEA"/>
    <w:rsid w:val="0A5CD060"/>
    <w:rsid w:val="0A67A9E7"/>
    <w:rsid w:val="0A702AEC"/>
    <w:rsid w:val="0A71FBB3"/>
    <w:rsid w:val="0A7E0219"/>
    <w:rsid w:val="0A8074A2"/>
    <w:rsid w:val="0A87F717"/>
    <w:rsid w:val="0A88960F"/>
    <w:rsid w:val="0A889DE1"/>
    <w:rsid w:val="0A898823"/>
    <w:rsid w:val="0A912893"/>
    <w:rsid w:val="0A92F714"/>
    <w:rsid w:val="0A9661C0"/>
    <w:rsid w:val="0AA23F91"/>
    <w:rsid w:val="0AB5CF6F"/>
    <w:rsid w:val="0AEB3002"/>
    <w:rsid w:val="0AF82199"/>
    <w:rsid w:val="0AF97370"/>
    <w:rsid w:val="0B042118"/>
    <w:rsid w:val="0B05C297"/>
    <w:rsid w:val="0B13AA38"/>
    <w:rsid w:val="0B13EDF2"/>
    <w:rsid w:val="0B2F71C1"/>
    <w:rsid w:val="0B33A09B"/>
    <w:rsid w:val="0B3663E3"/>
    <w:rsid w:val="0B3C2819"/>
    <w:rsid w:val="0B503FBC"/>
    <w:rsid w:val="0B530B06"/>
    <w:rsid w:val="0B5B2E8A"/>
    <w:rsid w:val="0B6188AD"/>
    <w:rsid w:val="0B6C70B3"/>
    <w:rsid w:val="0B75B22A"/>
    <w:rsid w:val="0B77ED8C"/>
    <w:rsid w:val="0BA19645"/>
    <w:rsid w:val="0BB0193E"/>
    <w:rsid w:val="0BBC8DD6"/>
    <w:rsid w:val="0BC04627"/>
    <w:rsid w:val="0BC4D3B4"/>
    <w:rsid w:val="0BC5DF93"/>
    <w:rsid w:val="0BCEF79D"/>
    <w:rsid w:val="0BD2BABE"/>
    <w:rsid w:val="0BE5B9E2"/>
    <w:rsid w:val="0BF18F36"/>
    <w:rsid w:val="0BF7E628"/>
    <w:rsid w:val="0C064B71"/>
    <w:rsid w:val="0C2834CD"/>
    <w:rsid w:val="0C35FDCF"/>
    <w:rsid w:val="0C3CF2B3"/>
    <w:rsid w:val="0C5E8CB5"/>
    <w:rsid w:val="0C6996B5"/>
    <w:rsid w:val="0C6EEAB1"/>
    <w:rsid w:val="0C8350D3"/>
    <w:rsid w:val="0C84DC1A"/>
    <w:rsid w:val="0C91E6AC"/>
    <w:rsid w:val="0C9AE3BE"/>
    <w:rsid w:val="0CB2A485"/>
    <w:rsid w:val="0CB58DC0"/>
    <w:rsid w:val="0CD0A5AC"/>
    <w:rsid w:val="0CD3C26C"/>
    <w:rsid w:val="0CE1F0E2"/>
    <w:rsid w:val="0CE45811"/>
    <w:rsid w:val="0CEA8917"/>
    <w:rsid w:val="0CED58B9"/>
    <w:rsid w:val="0D045ABF"/>
    <w:rsid w:val="0D0A2A17"/>
    <w:rsid w:val="0D0E06F1"/>
    <w:rsid w:val="0D0F32DA"/>
    <w:rsid w:val="0D116F2C"/>
    <w:rsid w:val="0D19F8AE"/>
    <w:rsid w:val="0D229427"/>
    <w:rsid w:val="0D270E3F"/>
    <w:rsid w:val="0D34144C"/>
    <w:rsid w:val="0D36EFD8"/>
    <w:rsid w:val="0D499147"/>
    <w:rsid w:val="0D4C6E53"/>
    <w:rsid w:val="0D5961CC"/>
    <w:rsid w:val="0D60AB76"/>
    <w:rsid w:val="0D6273DC"/>
    <w:rsid w:val="0D6AC7FE"/>
    <w:rsid w:val="0D6D9DA1"/>
    <w:rsid w:val="0D70981F"/>
    <w:rsid w:val="0D73E87B"/>
    <w:rsid w:val="0D8797CA"/>
    <w:rsid w:val="0D88189D"/>
    <w:rsid w:val="0DADF72A"/>
    <w:rsid w:val="0DB6E76F"/>
    <w:rsid w:val="0DC98DA4"/>
    <w:rsid w:val="0DDD606D"/>
    <w:rsid w:val="0E05E61B"/>
    <w:rsid w:val="0E138D09"/>
    <w:rsid w:val="0E18C83A"/>
    <w:rsid w:val="0E198CF9"/>
    <w:rsid w:val="0E23E905"/>
    <w:rsid w:val="0E53A26A"/>
    <w:rsid w:val="0E578ABF"/>
    <w:rsid w:val="0E6C13D5"/>
    <w:rsid w:val="0E74072E"/>
    <w:rsid w:val="0E7957DA"/>
    <w:rsid w:val="0E7C69E0"/>
    <w:rsid w:val="0E7CE69B"/>
    <w:rsid w:val="0E7D8408"/>
    <w:rsid w:val="0E8E02E3"/>
    <w:rsid w:val="0EBCC694"/>
    <w:rsid w:val="0EC146D9"/>
    <w:rsid w:val="0ED91424"/>
    <w:rsid w:val="0EEEE029"/>
    <w:rsid w:val="0EFD92F9"/>
    <w:rsid w:val="0F02227A"/>
    <w:rsid w:val="0F05B878"/>
    <w:rsid w:val="0F096901"/>
    <w:rsid w:val="0F10A4E3"/>
    <w:rsid w:val="0F1761D8"/>
    <w:rsid w:val="0F1D8297"/>
    <w:rsid w:val="0F264259"/>
    <w:rsid w:val="0F3DD9A3"/>
    <w:rsid w:val="0F453628"/>
    <w:rsid w:val="0F4636DF"/>
    <w:rsid w:val="0F49CA7A"/>
    <w:rsid w:val="0F691861"/>
    <w:rsid w:val="0F6C4B09"/>
    <w:rsid w:val="0F8A7534"/>
    <w:rsid w:val="0F9284F6"/>
    <w:rsid w:val="0FA4F161"/>
    <w:rsid w:val="0FA68B73"/>
    <w:rsid w:val="0FBA0DF3"/>
    <w:rsid w:val="0FCF5A9D"/>
    <w:rsid w:val="0FCFC648"/>
    <w:rsid w:val="0FE1060A"/>
    <w:rsid w:val="0FE6F9A7"/>
    <w:rsid w:val="0FF02DB9"/>
    <w:rsid w:val="0FFE45F2"/>
    <w:rsid w:val="100EADC0"/>
    <w:rsid w:val="1032E935"/>
    <w:rsid w:val="103E8D1B"/>
    <w:rsid w:val="10457E98"/>
    <w:rsid w:val="1051D0BD"/>
    <w:rsid w:val="1057396F"/>
    <w:rsid w:val="1077DA31"/>
    <w:rsid w:val="107D681B"/>
    <w:rsid w:val="108CBEFB"/>
    <w:rsid w:val="1096B289"/>
    <w:rsid w:val="10A0D529"/>
    <w:rsid w:val="10A2DD0B"/>
    <w:rsid w:val="10A9F11A"/>
    <w:rsid w:val="10ACE7F0"/>
    <w:rsid w:val="10AE9223"/>
    <w:rsid w:val="10C33C72"/>
    <w:rsid w:val="10C9E56B"/>
    <w:rsid w:val="10D39643"/>
    <w:rsid w:val="10DACABD"/>
    <w:rsid w:val="10E630BF"/>
    <w:rsid w:val="10F1F88D"/>
    <w:rsid w:val="1105B458"/>
    <w:rsid w:val="1121F05C"/>
    <w:rsid w:val="1128D215"/>
    <w:rsid w:val="113E9D71"/>
    <w:rsid w:val="1141FC6F"/>
    <w:rsid w:val="116D5AE2"/>
    <w:rsid w:val="118D6C33"/>
    <w:rsid w:val="118E4CE6"/>
    <w:rsid w:val="1190D355"/>
    <w:rsid w:val="119947C7"/>
    <w:rsid w:val="11ACB00A"/>
    <w:rsid w:val="11BEF09D"/>
    <w:rsid w:val="11C8FDBD"/>
    <w:rsid w:val="11C982D1"/>
    <w:rsid w:val="11DCC93D"/>
    <w:rsid w:val="11E864BC"/>
    <w:rsid w:val="11F82FBF"/>
    <w:rsid w:val="1202AD0E"/>
    <w:rsid w:val="121A52CC"/>
    <w:rsid w:val="122BB35A"/>
    <w:rsid w:val="122F52B2"/>
    <w:rsid w:val="1238B1E7"/>
    <w:rsid w:val="12492FB8"/>
    <w:rsid w:val="1259B762"/>
    <w:rsid w:val="125D6C4C"/>
    <w:rsid w:val="125F235E"/>
    <w:rsid w:val="126B3ECC"/>
    <w:rsid w:val="1285CABA"/>
    <w:rsid w:val="12860784"/>
    <w:rsid w:val="1290791C"/>
    <w:rsid w:val="1292C5D5"/>
    <w:rsid w:val="12936BF7"/>
    <w:rsid w:val="1297B41D"/>
    <w:rsid w:val="129D4F5E"/>
    <w:rsid w:val="12A31C67"/>
    <w:rsid w:val="12A40CB8"/>
    <w:rsid w:val="12B807BB"/>
    <w:rsid w:val="12B9D99D"/>
    <w:rsid w:val="12BC859F"/>
    <w:rsid w:val="12C7C29F"/>
    <w:rsid w:val="12D4BE26"/>
    <w:rsid w:val="12D5C545"/>
    <w:rsid w:val="12E14AA0"/>
    <w:rsid w:val="130568B5"/>
    <w:rsid w:val="131F924D"/>
    <w:rsid w:val="132516BB"/>
    <w:rsid w:val="13390ABB"/>
    <w:rsid w:val="133C9BC3"/>
    <w:rsid w:val="1369008B"/>
    <w:rsid w:val="136BDBE0"/>
    <w:rsid w:val="136DA33E"/>
    <w:rsid w:val="136DA781"/>
    <w:rsid w:val="1370A6E5"/>
    <w:rsid w:val="137230D4"/>
    <w:rsid w:val="138639A3"/>
    <w:rsid w:val="138B581E"/>
    <w:rsid w:val="139AB53D"/>
    <w:rsid w:val="13A91A00"/>
    <w:rsid w:val="13BFE428"/>
    <w:rsid w:val="13D231FD"/>
    <w:rsid w:val="13F34DAD"/>
    <w:rsid w:val="13F387BB"/>
    <w:rsid w:val="13F3BDCC"/>
    <w:rsid w:val="1407C14B"/>
    <w:rsid w:val="1422A512"/>
    <w:rsid w:val="142DED4C"/>
    <w:rsid w:val="143F9CB2"/>
    <w:rsid w:val="144F52FB"/>
    <w:rsid w:val="1459B91F"/>
    <w:rsid w:val="145D3252"/>
    <w:rsid w:val="146726B4"/>
    <w:rsid w:val="1467B45B"/>
    <w:rsid w:val="148A9F25"/>
    <w:rsid w:val="148C7371"/>
    <w:rsid w:val="14A1A7DB"/>
    <w:rsid w:val="14A9770D"/>
    <w:rsid w:val="14AC2E08"/>
    <w:rsid w:val="14BA0DD2"/>
    <w:rsid w:val="14CB4313"/>
    <w:rsid w:val="14D19750"/>
    <w:rsid w:val="14D844F5"/>
    <w:rsid w:val="14DF7C2C"/>
    <w:rsid w:val="14E8D8CB"/>
    <w:rsid w:val="14FB864E"/>
    <w:rsid w:val="1502EE98"/>
    <w:rsid w:val="1520086C"/>
    <w:rsid w:val="15220A04"/>
    <w:rsid w:val="152BEE5B"/>
    <w:rsid w:val="152EB8F8"/>
    <w:rsid w:val="153B6D66"/>
    <w:rsid w:val="153D81F6"/>
    <w:rsid w:val="1545AF24"/>
    <w:rsid w:val="15498959"/>
    <w:rsid w:val="155727DC"/>
    <w:rsid w:val="1558369E"/>
    <w:rsid w:val="155B1EB8"/>
    <w:rsid w:val="155E32F9"/>
    <w:rsid w:val="157159BB"/>
    <w:rsid w:val="157527B5"/>
    <w:rsid w:val="15820ADA"/>
    <w:rsid w:val="15846A4A"/>
    <w:rsid w:val="159221E7"/>
    <w:rsid w:val="159DBF83"/>
    <w:rsid w:val="159E71E7"/>
    <w:rsid w:val="15C65050"/>
    <w:rsid w:val="15D33D2E"/>
    <w:rsid w:val="15D40231"/>
    <w:rsid w:val="15D82223"/>
    <w:rsid w:val="15EDA6D8"/>
    <w:rsid w:val="15F05AB2"/>
    <w:rsid w:val="15F818B2"/>
    <w:rsid w:val="1613E707"/>
    <w:rsid w:val="161E498C"/>
    <w:rsid w:val="163264AD"/>
    <w:rsid w:val="1645FA80"/>
    <w:rsid w:val="16505119"/>
    <w:rsid w:val="165648B6"/>
    <w:rsid w:val="16AD22E5"/>
    <w:rsid w:val="16B99C05"/>
    <w:rsid w:val="16CEF1D1"/>
    <w:rsid w:val="170082FA"/>
    <w:rsid w:val="17024CAF"/>
    <w:rsid w:val="170C4E56"/>
    <w:rsid w:val="1717154D"/>
    <w:rsid w:val="1723655E"/>
    <w:rsid w:val="173115D4"/>
    <w:rsid w:val="17340D19"/>
    <w:rsid w:val="173A132C"/>
    <w:rsid w:val="175A45D4"/>
    <w:rsid w:val="17618C35"/>
    <w:rsid w:val="17691419"/>
    <w:rsid w:val="17698BB0"/>
    <w:rsid w:val="177198E8"/>
    <w:rsid w:val="17808FDC"/>
    <w:rsid w:val="1793A004"/>
    <w:rsid w:val="179D6D34"/>
    <w:rsid w:val="179F4976"/>
    <w:rsid w:val="17B47C76"/>
    <w:rsid w:val="17B8FE14"/>
    <w:rsid w:val="17DB3D5A"/>
    <w:rsid w:val="17DDB2BA"/>
    <w:rsid w:val="18005FC3"/>
    <w:rsid w:val="1805B8F2"/>
    <w:rsid w:val="18144746"/>
    <w:rsid w:val="1814EF54"/>
    <w:rsid w:val="181B1308"/>
    <w:rsid w:val="18230636"/>
    <w:rsid w:val="1823DF68"/>
    <w:rsid w:val="18335522"/>
    <w:rsid w:val="1838CF0F"/>
    <w:rsid w:val="18412706"/>
    <w:rsid w:val="184251AA"/>
    <w:rsid w:val="185B3F32"/>
    <w:rsid w:val="1861C1D9"/>
    <w:rsid w:val="18A00C4F"/>
    <w:rsid w:val="18AF9BCF"/>
    <w:rsid w:val="18B82ED7"/>
    <w:rsid w:val="18B88B65"/>
    <w:rsid w:val="18C44822"/>
    <w:rsid w:val="18C45899"/>
    <w:rsid w:val="18DD3893"/>
    <w:rsid w:val="18E9D750"/>
    <w:rsid w:val="18F2A8AF"/>
    <w:rsid w:val="18F4A641"/>
    <w:rsid w:val="18F786BE"/>
    <w:rsid w:val="1901871B"/>
    <w:rsid w:val="1903F3A6"/>
    <w:rsid w:val="191CA6F9"/>
    <w:rsid w:val="191EF1B4"/>
    <w:rsid w:val="1939DE34"/>
    <w:rsid w:val="193B0230"/>
    <w:rsid w:val="1946E347"/>
    <w:rsid w:val="1957769E"/>
    <w:rsid w:val="1957B989"/>
    <w:rsid w:val="1959BFB6"/>
    <w:rsid w:val="1974DA80"/>
    <w:rsid w:val="1983E9D3"/>
    <w:rsid w:val="19916F87"/>
    <w:rsid w:val="19991D17"/>
    <w:rsid w:val="19ABB516"/>
    <w:rsid w:val="19C88F36"/>
    <w:rsid w:val="19CC3C5B"/>
    <w:rsid w:val="19CDC571"/>
    <w:rsid w:val="19CE0845"/>
    <w:rsid w:val="19D75F5C"/>
    <w:rsid w:val="19E58D75"/>
    <w:rsid w:val="19F57B27"/>
    <w:rsid w:val="19F8264A"/>
    <w:rsid w:val="1A04EDB4"/>
    <w:rsid w:val="1A05BB44"/>
    <w:rsid w:val="1A091408"/>
    <w:rsid w:val="1A120CBF"/>
    <w:rsid w:val="1A1E326E"/>
    <w:rsid w:val="1A2B4D07"/>
    <w:rsid w:val="1A3F8A11"/>
    <w:rsid w:val="1A439D3E"/>
    <w:rsid w:val="1A6A1A01"/>
    <w:rsid w:val="1A776582"/>
    <w:rsid w:val="1A787CB6"/>
    <w:rsid w:val="1A7DDC6C"/>
    <w:rsid w:val="1A7DE00F"/>
    <w:rsid w:val="1A80F1BE"/>
    <w:rsid w:val="1A8A7D14"/>
    <w:rsid w:val="1A8F3FA3"/>
    <w:rsid w:val="1A9B811C"/>
    <w:rsid w:val="1AB0DE04"/>
    <w:rsid w:val="1AB66B7D"/>
    <w:rsid w:val="1ABAC0F5"/>
    <w:rsid w:val="1ACFB8CC"/>
    <w:rsid w:val="1AD83221"/>
    <w:rsid w:val="1AD8E180"/>
    <w:rsid w:val="1AE3CC28"/>
    <w:rsid w:val="1AF15EA3"/>
    <w:rsid w:val="1AF3F3BD"/>
    <w:rsid w:val="1AF7F214"/>
    <w:rsid w:val="1AFE775E"/>
    <w:rsid w:val="1B078F55"/>
    <w:rsid w:val="1B158B87"/>
    <w:rsid w:val="1B238DB3"/>
    <w:rsid w:val="1B458C7A"/>
    <w:rsid w:val="1B461560"/>
    <w:rsid w:val="1B474278"/>
    <w:rsid w:val="1B53905F"/>
    <w:rsid w:val="1B5AE32D"/>
    <w:rsid w:val="1B5E8031"/>
    <w:rsid w:val="1B646FE8"/>
    <w:rsid w:val="1B6E9598"/>
    <w:rsid w:val="1B6EAF09"/>
    <w:rsid w:val="1B7A8973"/>
    <w:rsid w:val="1B822831"/>
    <w:rsid w:val="1B933DEA"/>
    <w:rsid w:val="1BA68272"/>
    <w:rsid w:val="1BB20E44"/>
    <w:rsid w:val="1BB30E10"/>
    <w:rsid w:val="1BBCBD2C"/>
    <w:rsid w:val="1BCA0C04"/>
    <w:rsid w:val="1BE3A0C6"/>
    <w:rsid w:val="1BF15D38"/>
    <w:rsid w:val="1BF68FA2"/>
    <w:rsid w:val="1C1B6D8A"/>
    <w:rsid w:val="1C1FDBBB"/>
    <w:rsid w:val="1C250241"/>
    <w:rsid w:val="1C3F1DCB"/>
    <w:rsid w:val="1C469BA2"/>
    <w:rsid w:val="1C7439DF"/>
    <w:rsid w:val="1C77EC13"/>
    <w:rsid w:val="1C80A345"/>
    <w:rsid w:val="1C98F49F"/>
    <w:rsid w:val="1CA3252B"/>
    <w:rsid w:val="1CA9338C"/>
    <w:rsid w:val="1CAC6C33"/>
    <w:rsid w:val="1CB016A3"/>
    <w:rsid w:val="1CB31457"/>
    <w:rsid w:val="1CBE83D5"/>
    <w:rsid w:val="1CC67493"/>
    <w:rsid w:val="1CC9E129"/>
    <w:rsid w:val="1CD2A43B"/>
    <w:rsid w:val="1CD83CBA"/>
    <w:rsid w:val="1CE80A18"/>
    <w:rsid w:val="1CF02520"/>
    <w:rsid w:val="1D03C34B"/>
    <w:rsid w:val="1D17274A"/>
    <w:rsid w:val="1D2F4FD1"/>
    <w:rsid w:val="1D31CF3D"/>
    <w:rsid w:val="1D895847"/>
    <w:rsid w:val="1D942190"/>
    <w:rsid w:val="1D9A81EB"/>
    <w:rsid w:val="1DA87D08"/>
    <w:rsid w:val="1DB21D29"/>
    <w:rsid w:val="1DB6B223"/>
    <w:rsid w:val="1DCF9B9C"/>
    <w:rsid w:val="1DD03021"/>
    <w:rsid w:val="1DED6E1E"/>
    <w:rsid w:val="1E0468B8"/>
    <w:rsid w:val="1E0A3DAC"/>
    <w:rsid w:val="1E18C1DE"/>
    <w:rsid w:val="1E30C9FD"/>
    <w:rsid w:val="1E3399A9"/>
    <w:rsid w:val="1E4517FB"/>
    <w:rsid w:val="1E4C029F"/>
    <w:rsid w:val="1E6C124A"/>
    <w:rsid w:val="1E743055"/>
    <w:rsid w:val="1E7D90ED"/>
    <w:rsid w:val="1E81A678"/>
    <w:rsid w:val="1E84B9A1"/>
    <w:rsid w:val="1EB2E762"/>
    <w:rsid w:val="1EC3FDCA"/>
    <w:rsid w:val="1ED2B117"/>
    <w:rsid w:val="1EED28D0"/>
    <w:rsid w:val="1F067044"/>
    <w:rsid w:val="1F081AA9"/>
    <w:rsid w:val="1F0BFA38"/>
    <w:rsid w:val="1F291880"/>
    <w:rsid w:val="1F38E563"/>
    <w:rsid w:val="1F428239"/>
    <w:rsid w:val="1F4A8D3D"/>
    <w:rsid w:val="1F5607E7"/>
    <w:rsid w:val="1F68B443"/>
    <w:rsid w:val="1F6ED944"/>
    <w:rsid w:val="1F91076E"/>
    <w:rsid w:val="1FB31B19"/>
    <w:rsid w:val="1FC87714"/>
    <w:rsid w:val="1FCA1161"/>
    <w:rsid w:val="1FD2430A"/>
    <w:rsid w:val="1FD76878"/>
    <w:rsid w:val="1FDFF7E9"/>
    <w:rsid w:val="1FE79A00"/>
    <w:rsid w:val="1FF4485D"/>
    <w:rsid w:val="2001E752"/>
    <w:rsid w:val="20049019"/>
    <w:rsid w:val="20304D8C"/>
    <w:rsid w:val="203D864D"/>
    <w:rsid w:val="2041F6D6"/>
    <w:rsid w:val="20526B6D"/>
    <w:rsid w:val="2054B0A2"/>
    <w:rsid w:val="2061CCA0"/>
    <w:rsid w:val="2077FB1E"/>
    <w:rsid w:val="20899E19"/>
    <w:rsid w:val="2091F5D7"/>
    <w:rsid w:val="2097235A"/>
    <w:rsid w:val="2098C704"/>
    <w:rsid w:val="209CE2AB"/>
    <w:rsid w:val="209D2718"/>
    <w:rsid w:val="20AFDDF3"/>
    <w:rsid w:val="20B47286"/>
    <w:rsid w:val="20DD800A"/>
    <w:rsid w:val="20DDF1CE"/>
    <w:rsid w:val="20DE3C24"/>
    <w:rsid w:val="20E0C9F4"/>
    <w:rsid w:val="20E382E2"/>
    <w:rsid w:val="20FF505C"/>
    <w:rsid w:val="21038D69"/>
    <w:rsid w:val="210DE0CE"/>
    <w:rsid w:val="21297AEA"/>
    <w:rsid w:val="2133F4DE"/>
    <w:rsid w:val="2135E234"/>
    <w:rsid w:val="21361D42"/>
    <w:rsid w:val="217D2D64"/>
    <w:rsid w:val="218588B0"/>
    <w:rsid w:val="218EFDE1"/>
    <w:rsid w:val="21932720"/>
    <w:rsid w:val="219F90C6"/>
    <w:rsid w:val="21B02B2D"/>
    <w:rsid w:val="21C974CE"/>
    <w:rsid w:val="21CA2819"/>
    <w:rsid w:val="21CFFB7E"/>
    <w:rsid w:val="21D04710"/>
    <w:rsid w:val="21F47BDF"/>
    <w:rsid w:val="22190674"/>
    <w:rsid w:val="2219800E"/>
    <w:rsid w:val="221D1F42"/>
    <w:rsid w:val="221DB64A"/>
    <w:rsid w:val="22289E60"/>
    <w:rsid w:val="223A64AD"/>
    <w:rsid w:val="223A8E29"/>
    <w:rsid w:val="223B71A3"/>
    <w:rsid w:val="22454A4A"/>
    <w:rsid w:val="2249EBF5"/>
    <w:rsid w:val="224E9720"/>
    <w:rsid w:val="2257CE71"/>
    <w:rsid w:val="225C273A"/>
    <w:rsid w:val="22687B68"/>
    <w:rsid w:val="22806F53"/>
    <w:rsid w:val="228DB426"/>
    <w:rsid w:val="229E7B99"/>
    <w:rsid w:val="22B021B2"/>
    <w:rsid w:val="22B16DF4"/>
    <w:rsid w:val="22BF9609"/>
    <w:rsid w:val="22C3DEBC"/>
    <w:rsid w:val="22C5441E"/>
    <w:rsid w:val="22E986BF"/>
    <w:rsid w:val="22E9C82B"/>
    <w:rsid w:val="22F97F45"/>
    <w:rsid w:val="230B287F"/>
    <w:rsid w:val="23121FD3"/>
    <w:rsid w:val="2312976C"/>
    <w:rsid w:val="231B92AA"/>
    <w:rsid w:val="231FC5B7"/>
    <w:rsid w:val="234AE324"/>
    <w:rsid w:val="235CE1A4"/>
    <w:rsid w:val="23666B68"/>
    <w:rsid w:val="236703AD"/>
    <w:rsid w:val="2373105E"/>
    <w:rsid w:val="237B61E8"/>
    <w:rsid w:val="238B16DD"/>
    <w:rsid w:val="23943A7A"/>
    <w:rsid w:val="23A2F069"/>
    <w:rsid w:val="23C9A673"/>
    <w:rsid w:val="23D5CE16"/>
    <w:rsid w:val="23F2C895"/>
    <w:rsid w:val="23F81AD2"/>
    <w:rsid w:val="24003C76"/>
    <w:rsid w:val="240E0BB2"/>
    <w:rsid w:val="2422E530"/>
    <w:rsid w:val="24256B93"/>
    <w:rsid w:val="244B6386"/>
    <w:rsid w:val="24534E2E"/>
    <w:rsid w:val="2455D55F"/>
    <w:rsid w:val="24669B69"/>
    <w:rsid w:val="248C8237"/>
    <w:rsid w:val="24B2626C"/>
    <w:rsid w:val="24B6C518"/>
    <w:rsid w:val="24C590E0"/>
    <w:rsid w:val="250531FC"/>
    <w:rsid w:val="25065F6B"/>
    <w:rsid w:val="250C8D16"/>
    <w:rsid w:val="250DFCD4"/>
    <w:rsid w:val="251E6879"/>
    <w:rsid w:val="251F8D19"/>
    <w:rsid w:val="252A9360"/>
    <w:rsid w:val="252D47E4"/>
    <w:rsid w:val="252DE2A1"/>
    <w:rsid w:val="253E306B"/>
    <w:rsid w:val="254C2122"/>
    <w:rsid w:val="256EAB5F"/>
    <w:rsid w:val="2580A921"/>
    <w:rsid w:val="25A01C2A"/>
    <w:rsid w:val="25A4645D"/>
    <w:rsid w:val="25ADB32C"/>
    <w:rsid w:val="25AFAE21"/>
    <w:rsid w:val="25C02370"/>
    <w:rsid w:val="25DD1E65"/>
    <w:rsid w:val="25E5032F"/>
    <w:rsid w:val="25F0BED0"/>
    <w:rsid w:val="25FEA261"/>
    <w:rsid w:val="26050919"/>
    <w:rsid w:val="260ED2D3"/>
    <w:rsid w:val="2618D638"/>
    <w:rsid w:val="261B0E5F"/>
    <w:rsid w:val="261D5E29"/>
    <w:rsid w:val="2629E4E7"/>
    <w:rsid w:val="2633903F"/>
    <w:rsid w:val="263C68EE"/>
    <w:rsid w:val="2661F0D1"/>
    <w:rsid w:val="2663ADDA"/>
    <w:rsid w:val="2676B381"/>
    <w:rsid w:val="26851080"/>
    <w:rsid w:val="26862A53"/>
    <w:rsid w:val="2688373D"/>
    <w:rsid w:val="2689749C"/>
    <w:rsid w:val="268F282D"/>
    <w:rsid w:val="26A1D65F"/>
    <w:rsid w:val="26A73172"/>
    <w:rsid w:val="26AAC58B"/>
    <w:rsid w:val="26ACCC8B"/>
    <w:rsid w:val="26B16B60"/>
    <w:rsid w:val="26B8FAEF"/>
    <w:rsid w:val="26D28230"/>
    <w:rsid w:val="26E7320C"/>
    <w:rsid w:val="26F3007E"/>
    <w:rsid w:val="2703BA32"/>
    <w:rsid w:val="272023EE"/>
    <w:rsid w:val="272E27FD"/>
    <w:rsid w:val="273192DA"/>
    <w:rsid w:val="273B30A0"/>
    <w:rsid w:val="27468D54"/>
    <w:rsid w:val="274BF8FB"/>
    <w:rsid w:val="275C4010"/>
    <w:rsid w:val="27661EAD"/>
    <w:rsid w:val="2768B1E9"/>
    <w:rsid w:val="276CC9F8"/>
    <w:rsid w:val="276DCE00"/>
    <w:rsid w:val="277F62E1"/>
    <w:rsid w:val="27843BCE"/>
    <w:rsid w:val="2784882F"/>
    <w:rsid w:val="2794DC4A"/>
    <w:rsid w:val="27A775DB"/>
    <w:rsid w:val="27AAF995"/>
    <w:rsid w:val="27AB487E"/>
    <w:rsid w:val="27CBF8DB"/>
    <w:rsid w:val="27D82B2D"/>
    <w:rsid w:val="27DC44E5"/>
    <w:rsid w:val="27E2AE88"/>
    <w:rsid w:val="27E72696"/>
    <w:rsid w:val="28063626"/>
    <w:rsid w:val="28217425"/>
    <w:rsid w:val="2826F4A2"/>
    <w:rsid w:val="282CA49A"/>
    <w:rsid w:val="282CA711"/>
    <w:rsid w:val="2843F021"/>
    <w:rsid w:val="2847EA6C"/>
    <w:rsid w:val="2858E993"/>
    <w:rsid w:val="285ADEF2"/>
    <w:rsid w:val="285EEA45"/>
    <w:rsid w:val="286D16A7"/>
    <w:rsid w:val="287051F4"/>
    <w:rsid w:val="287593EB"/>
    <w:rsid w:val="28856481"/>
    <w:rsid w:val="28A297BB"/>
    <w:rsid w:val="28AED431"/>
    <w:rsid w:val="28CA598C"/>
    <w:rsid w:val="28CACEC3"/>
    <w:rsid w:val="28D16386"/>
    <w:rsid w:val="28E21CCA"/>
    <w:rsid w:val="28FEB6FA"/>
    <w:rsid w:val="2901B1E0"/>
    <w:rsid w:val="2904101C"/>
    <w:rsid w:val="2915DC4F"/>
    <w:rsid w:val="29253E19"/>
    <w:rsid w:val="292D03A3"/>
    <w:rsid w:val="292F0DFB"/>
    <w:rsid w:val="2946E4C0"/>
    <w:rsid w:val="294A7526"/>
    <w:rsid w:val="294AF5B7"/>
    <w:rsid w:val="294F00E5"/>
    <w:rsid w:val="29538B99"/>
    <w:rsid w:val="29553C4F"/>
    <w:rsid w:val="2955BBC6"/>
    <w:rsid w:val="29874FB6"/>
    <w:rsid w:val="29C0FA8D"/>
    <w:rsid w:val="29C15C23"/>
    <w:rsid w:val="29E0E7EB"/>
    <w:rsid w:val="29ED1238"/>
    <w:rsid w:val="29F17DE4"/>
    <w:rsid w:val="29FA2112"/>
    <w:rsid w:val="2A0BD5DF"/>
    <w:rsid w:val="2A231D18"/>
    <w:rsid w:val="2A27C6DA"/>
    <w:rsid w:val="2A2E9388"/>
    <w:rsid w:val="2A2EDEE8"/>
    <w:rsid w:val="2A31AA00"/>
    <w:rsid w:val="2A39B367"/>
    <w:rsid w:val="2A4BF6CB"/>
    <w:rsid w:val="2A5FE2F6"/>
    <w:rsid w:val="2A6A6090"/>
    <w:rsid w:val="2A77721A"/>
    <w:rsid w:val="2A848ECC"/>
    <w:rsid w:val="2A89CD7E"/>
    <w:rsid w:val="2A98BDDF"/>
    <w:rsid w:val="2A998B23"/>
    <w:rsid w:val="2A9D8EAA"/>
    <w:rsid w:val="2AA2E896"/>
    <w:rsid w:val="2AB6B98F"/>
    <w:rsid w:val="2AC6BFA9"/>
    <w:rsid w:val="2ACC93BC"/>
    <w:rsid w:val="2ACEAAFE"/>
    <w:rsid w:val="2ADB269B"/>
    <w:rsid w:val="2AE0DFD9"/>
    <w:rsid w:val="2AED779E"/>
    <w:rsid w:val="2AF30079"/>
    <w:rsid w:val="2AFD0B77"/>
    <w:rsid w:val="2AFD90D2"/>
    <w:rsid w:val="2AFFA5C8"/>
    <w:rsid w:val="2B0F7AD7"/>
    <w:rsid w:val="2B0F8BA6"/>
    <w:rsid w:val="2B13CCED"/>
    <w:rsid w:val="2B41A78D"/>
    <w:rsid w:val="2B5D0E6B"/>
    <w:rsid w:val="2B782DE1"/>
    <w:rsid w:val="2B7DED4B"/>
    <w:rsid w:val="2B811902"/>
    <w:rsid w:val="2B87AF6B"/>
    <w:rsid w:val="2B9C8968"/>
    <w:rsid w:val="2B9D3063"/>
    <w:rsid w:val="2B9F91D1"/>
    <w:rsid w:val="2BA37AE3"/>
    <w:rsid w:val="2BB99EED"/>
    <w:rsid w:val="2BE7A167"/>
    <w:rsid w:val="2BF92D5E"/>
    <w:rsid w:val="2BFF4BA1"/>
    <w:rsid w:val="2C266C5F"/>
    <w:rsid w:val="2C26C56E"/>
    <w:rsid w:val="2C2B41A5"/>
    <w:rsid w:val="2C31284E"/>
    <w:rsid w:val="2C331B2B"/>
    <w:rsid w:val="2C3F1D31"/>
    <w:rsid w:val="2C580790"/>
    <w:rsid w:val="2C60383D"/>
    <w:rsid w:val="2C62900A"/>
    <w:rsid w:val="2C760493"/>
    <w:rsid w:val="2C8A0110"/>
    <w:rsid w:val="2CAE5BE4"/>
    <w:rsid w:val="2CC61577"/>
    <w:rsid w:val="2CC69FDD"/>
    <w:rsid w:val="2CD4388F"/>
    <w:rsid w:val="2CEC2A57"/>
    <w:rsid w:val="2CF1527D"/>
    <w:rsid w:val="2CF835E5"/>
    <w:rsid w:val="2D09FBA9"/>
    <w:rsid w:val="2D126AE3"/>
    <w:rsid w:val="2D12A3A9"/>
    <w:rsid w:val="2D2364CA"/>
    <w:rsid w:val="2D25F8DD"/>
    <w:rsid w:val="2D27721A"/>
    <w:rsid w:val="2D29092E"/>
    <w:rsid w:val="2D2B2D9D"/>
    <w:rsid w:val="2D2D9A78"/>
    <w:rsid w:val="2D448444"/>
    <w:rsid w:val="2D646F6F"/>
    <w:rsid w:val="2D65EE85"/>
    <w:rsid w:val="2D700ED4"/>
    <w:rsid w:val="2D72A160"/>
    <w:rsid w:val="2D782A29"/>
    <w:rsid w:val="2D79953A"/>
    <w:rsid w:val="2D88B428"/>
    <w:rsid w:val="2D8CC888"/>
    <w:rsid w:val="2D90248F"/>
    <w:rsid w:val="2DA59F9F"/>
    <w:rsid w:val="2DADE453"/>
    <w:rsid w:val="2DB4EAFD"/>
    <w:rsid w:val="2DBC6E99"/>
    <w:rsid w:val="2DBCC679"/>
    <w:rsid w:val="2DBCEC37"/>
    <w:rsid w:val="2DCAD89E"/>
    <w:rsid w:val="2DE99A45"/>
    <w:rsid w:val="2DF5DA37"/>
    <w:rsid w:val="2E01C275"/>
    <w:rsid w:val="2E02F9ED"/>
    <w:rsid w:val="2E05F76F"/>
    <w:rsid w:val="2E072855"/>
    <w:rsid w:val="2E19B997"/>
    <w:rsid w:val="2E34F680"/>
    <w:rsid w:val="2E4144BB"/>
    <w:rsid w:val="2E4F0C79"/>
    <w:rsid w:val="2E506B3F"/>
    <w:rsid w:val="2E5636EF"/>
    <w:rsid w:val="2E5CD8EF"/>
    <w:rsid w:val="2E5D1256"/>
    <w:rsid w:val="2E5EF096"/>
    <w:rsid w:val="2E6B37E7"/>
    <w:rsid w:val="2E6BB750"/>
    <w:rsid w:val="2E701691"/>
    <w:rsid w:val="2E7825D0"/>
    <w:rsid w:val="2E8393F4"/>
    <w:rsid w:val="2E8752E7"/>
    <w:rsid w:val="2E8957E4"/>
    <w:rsid w:val="2E9A198B"/>
    <w:rsid w:val="2EA4F2B2"/>
    <w:rsid w:val="2EA7A7EA"/>
    <w:rsid w:val="2EAF1434"/>
    <w:rsid w:val="2EB23435"/>
    <w:rsid w:val="2EBB01CD"/>
    <w:rsid w:val="2EBFA93E"/>
    <w:rsid w:val="2EC564BA"/>
    <w:rsid w:val="2EF2AE22"/>
    <w:rsid w:val="2F0140A2"/>
    <w:rsid w:val="2F0184C4"/>
    <w:rsid w:val="2F1922ED"/>
    <w:rsid w:val="2F1A652A"/>
    <w:rsid w:val="2F2DD613"/>
    <w:rsid w:val="2F3B7FEC"/>
    <w:rsid w:val="2F4E3766"/>
    <w:rsid w:val="2F530354"/>
    <w:rsid w:val="2F77DD51"/>
    <w:rsid w:val="2F8B639D"/>
    <w:rsid w:val="2F8C5DB6"/>
    <w:rsid w:val="2F9EDD3A"/>
    <w:rsid w:val="2F9FBA75"/>
    <w:rsid w:val="2FA03E2F"/>
    <w:rsid w:val="2FA37F88"/>
    <w:rsid w:val="2FAF1748"/>
    <w:rsid w:val="2FBF75EE"/>
    <w:rsid w:val="2FC93F9E"/>
    <w:rsid w:val="2FC97901"/>
    <w:rsid w:val="2FCF1C4A"/>
    <w:rsid w:val="2FEC96F9"/>
    <w:rsid w:val="2FECD062"/>
    <w:rsid w:val="2FF05BD0"/>
    <w:rsid w:val="2FF5B8EF"/>
    <w:rsid w:val="2FF6A198"/>
    <w:rsid w:val="3000423C"/>
    <w:rsid w:val="30279221"/>
    <w:rsid w:val="30312F28"/>
    <w:rsid w:val="3045E03D"/>
    <w:rsid w:val="30810CD5"/>
    <w:rsid w:val="30842C90"/>
    <w:rsid w:val="308A6A32"/>
    <w:rsid w:val="309310D0"/>
    <w:rsid w:val="309B85F4"/>
    <w:rsid w:val="30A60745"/>
    <w:rsid w:val="30B82340"/>
    <w:rsid w:val="30BFFA9D"/>
    <w:rsid w:val="30C0414A"/>
    <w:rsid w:val="30C6A79A"/>
    <w:rsid w:val="30CADB67"/>
    <w:rsid w:val="30F23B1C"/>
    <w:rsid w:val="30F8A61C"/>
    <w:rsid w:val="30F9523C"/>
    <w:rsid w:val="31050716"/>
    <w:rsid w:val="310A4FE6"/>
    <w:rsid w:val="3117F8C8"/>
    <w:rsid w:val="3135AC35"/>
    <w:rsid w:val="3137A5DA"/>
    <w:rsid w:val="3142C5AC"/>
    <w:rsid w:val="3143BDC8"/>
    <w:rsid w:val="314FF7BE"/>
    <w:rsid w:val="315F6F54"/>
    <w:rsid w:val="3167BC86"/>
    <w:rsid w:val="316D796C"/>
    <w:rsid w:val="318A205C"/>
    <w:rsid w:val="31937A69"/>
    <w:rsid w:val="319A07F7"/>
    <w:rsid w:val="319C129D"/>
    <w:rsid w:val="31A60C6C"/>
    <w:rsid w:val="31A7BC98"/>
    <w:rsid w:val="31A93689"/>
    <w:rsid w:val="31AE1A8B"/>
    <w:rsid w:val="31B23F76"/>
    <w:rsid w:val="31B44EC7"/>
    <w:rsid w:val="31B996C4"/>
    <w:rsid w:val="31D170AD"/>
    <w:rsid w:val="31D4345C"/>
    <w:rsid w:val="31D6A644"/>
    <w:rsid w:val="3205D0AA"/>
    <w:rsid w:val="32137C14"/>
    <w:rsid w:val="3215ECCA"/>
    <w:rsid w:val="3235376D"/>
    <w:rsid w:val="3241993A"/>
    <w:rsid w:val="32450096"/>
    <w:rsid w:val="3245A2FF"/>
    <w:rsid w:val="325595DC"/>
    <w:rsid w:val="3259E28C"/>
    <w:rsid w:val="327266BF"/>
    <w:rsid w:val="327E5E2E"/>
    <w:rsid w:val="3296888E"/>
    <w:rsid w:val="32A07383"/>
    <w:rsid w:val="32A3D0BD"/>
    <w:rsid w:val="32B6C40B"/>
    <w:rsid w:val="32BDFA4D"/>
    <w:rsid w:val="32C609BA"/>
    <w:rsid w:val="32D0309B"/>
    <w:rsid w:val="32EE37D1"/>
    <w:rsid w:val="32F9A672"/>
    <w:rsid w:val="32FC0582"/>
    <w:rsid w:val="330135EF"/>
    <w:rsid w:val="33096BC0"/>
    <w:rsid w:val="330F8944"/>
    <w:rsid w:val="3320E276"/>
    <w:rsid w:val="33264773"/>
    <w:rsid w:val="33288F9B"/>
    <w:rsid w:val="33410901"/>
    <w:rsid w:val="33494797"/>
    <w:rsid w:val="335E10AD"/>
    <w:rsid w:val="335F2960"/>
    <w:rsid w:val="3361AC37"/>
    <w:rsid w:val="33622AD2"/>
    <w:rsid w:val="3363805A"/>
    <w:rsid w:val="3377CF29"/>
    <w:rsid w:val="3381FA3E"/>
    <w:rsid w:val="33843BCB"/>
    <w:rsid w:val="338DB3E6"/>
    <w:rsid w:val="339DE4FB"/>
    <w:rsid w:val="33A471AB"/>
    <w:rsid w:val="33B387AD"/>
    <w:rsid w:val="33D074E3"/>
    <w:rsid w:val="33EE2C8D"/>
    <w:rsid w:val="33EFD222"/>
    <w:rsid w:val="33F4FA1E"/>
    <w:rsid w:val="34014736"/>
    <w:rsid w:val="34235F41"/>
    <w:rsid w:val="342B7F3E"/>
    <w:rsid w:val="343652CF"/>
    <w:rsid w:val="343D6AB5"/>
    <w:rsid w:val="3446401A"/>
    <w:rsid w:val="344F18A3"/>
    <w:rsid w:val="346D144A"/>
    <w:rsid w:val="34903701"/>
    <w:rsid w:val="34950953"/>
    <w:rsid w:val="3497D3C5"/>
    <w:rsid w:val="34A6BC9B"/>
    <w:rsid w:val="34B3AB9B"/>
    <w:rsid w:val="34BFE241"/>
    <w:rsid w:val="34C5217A"/>
    <w:rsid w:val="34D5C07F"/>
    <w:rsid w:val="34D5DCF5"/>
    <w:rsid w:val="34D66F6B"/>
    <w:rsid w:val="34DF8575"/>
    <w:rsid w:val="34E84B03"/>
    <w:rsid w:val="34EC4B35"/>
    <w:rsid w:val="34F7EE3F"/>
    <w:rsid w:val="351424F2"/>
    <w:rsid w:val="352342F0"/>
    <w:rsid w:val="352698D3"/>
    <w:rsid w:val="352A4351"/>
    <w:rsid w:val="35363B50"/>
    <w:rsid w:val="353D4E02"/>
    <w:rsid w:val="35414EFD"/>
    <w:rsid w:val="354A5589"/>
    <w:rsid w:val="355EEDE2"/>
    <w:rsid w:val="356816EE"/>
    <w:rsid w:val="3580D8BD"/>
    <w:rsid w:val="35A35175"/>
    <w:rsid w:val="35A44932"/>
    <w:rsid w:val="35A6F04F"/>
    <w:rsid w:val="35C01AA0"/>
    <w:rsid w:val="35C18B91"/>
    <w:rsid w:val="35CC3600"/>
    <w:rsid w:val="35E5FAB9"/>
    <w:rsid w:val="35ECB95F"/>
    <w:rsid w:val="35F211B9"/>
    <w:rsid w:val="35FD84DF"/>
    <w:rsid w:val="35FFECDA"/>
    <w:rsid w:val="36006CBD"/>
    <w:rsid w:val="3603A9A4"/>
    <w:rsid w:val="36043283"/>
    <w:rsid w:val="360953D5"/>
    <w:rsid w:val="360E9288"/>
    <w:rsid w:val="3615AEEF"/>
    <w:rsid w:val="3617F737"/>
    <w:rsid w:val="3637883E"/>
    <w:rsid w:val="36493CEB"/>
    <w:rsid w:val="364A7627"/>
    <w:rsid w:val="364B7423"/>
    <w:rsid w:val="364F9A9E"/>
    <w:rsid w:val="36590C46"/>
    <w:rsid w:val="365B7B70"/>
    <w:rsid w:val="36605D76"/>
    <w:rsid w:val="3679AC32"/>
    <w:rsid w:val="368DD706"/>
    <w:rsid w:val="368FCFDF"/>
    <w:rsid w:val="369B0489"/>
    <w:rsid w:val="369D1222"/>
    <w:rsid w:val="36A8E834"/>
    <w:rsid w:val="36AF7596"/>
    <w:rsid w:val="36B60BDB"/>
    <w:rsid w:val="36D2A9B4"/>
    <w:rsid w:val="36D6EC53"/>
    <w:rsid w:val="36E16DD6"/>
    <w:rsid w:val="36E76C0B"/>
    <w:rsid w:val="37048CEC"/>
    <w:rsid w:val="3704D537"/>
    <w:rsid w:val="37229897"/>
    <w:rsid w:val="37249B18"/>
    <w:rsid w:val="372CC199"/>
    <w:rsid w:val="37412DE2"/>
    <w:rsid w:val="37480632"/>
    <w:rsid w:val="3761F376"/>
    <w:rsid w:val="3789A37C"/>
    <w:rsid w:val="37993FD2"/>
    <w:rsid w:val="37A56CD0"/>
    <w:rsid w:val="37AA62E9"/>
    <w:rsid w:val="37B1E5E0"/>
    <w:rsid w:val="37C10D95"/>
    <w:rsid w:val="37C5762F"/>
    <w:rsid w:val="37CF2072"/>
    <w:rsid w:val="37E69B1E"/>
    <w:rsid w:val="37F2F0FA"/>
    <w:rsid w:val="3802D6BE"/>
    <w:rsid w:val="3804BBF9"/>
    <w:rsid w:val="382094C2"/>
    <w:rsid w:val="382A8399"/>
    <w:rsid w:val="38384421"/>
    <w:rsid w:val="38464E9C"/>
    <w:rsid w:val="3846E120"/>
    <w:rsid w:val="3849704A"/>
    <w:rsid w:val="3851BA9A"/>
    <w:rsid w:val="385376A8"/>
    <w:rsid w:val="38580FCD"/>
    <w:rsid w:val="385CA5F0"/>
    <w:rsid w:val="386E962E"/>
    <w:rsid w:val="38725A9E"/>
    <w:rsid w:val="38727398"/>
    <w:rsid w:val="38804BA3"/>
    <w:rsid w:val="388657CB"/>
    <w:rsid w:val="388A267C"/>
    <w:rsid w:val="388A6132"/>
    <w:rsid w:val="3893F130"/>
    <w:rsid w:val="38A3AF12"/>
    <w:rsid w:val="38CC8AC1"/>
    <w:rsid w:val="38D0293E"/>
    <w:rsid w:val="38D0948E"/>
    <w:rsid w:val="38D4E576"/>
    <w:rsid w:val="38DD2725"/>
    <w:rsid w:val="38E1CBBD"/>
    <w:rsid w:val="38E56862"/>
    <w:rsid w:val="38FD1AA3"/>
    <w:rsid w:val="3906E94F"/>
    <w:rsid w:val="39089C35"/>
    <w:rsid w:val="390B64A1"/>
    <w:rsid w:val="391C0ABC"/>
    <w:rsid w:val="39203374"/>
    <w:rsid w:val="392E57BD"/>
    <w:rsid w:val="39301A18"/>
    <w:rsid w:val="3949BBEF"/>
    <w:rsid w:val="3959D497"/>
    <w:rsid w:val="395B69BB"/>
    <w:rsid w:val="39758208"/>
    <w:rsid w:val="397C609A"/>
    <w:rsid w:val="397CFA3C"/>
    <w:rsid w:val="399EC6A0"/>
    <w:rsid w:val="39A6AA04"/>
    <w:rsid w:val="39AA18DB"/>
    <w:rsid w:val="39B40CA8"/>
    <w:rsid w:val="39D2F9A5"/>
    <w:rsid w:val="39ED2D9E"/>
    <w:rsid w:val="39F6123F"/>
    <w:rsid w:val="39F8EBC2"/>
    <w:rsid w:val="3A1DC6AC"/>
    <w:rsid w:val="3A1EB760"/>
    <w:rsid w:val="3A20DD11"/>
    <w:rsid w:val="3A284AE9"/>
    <w:rsid w:val="3A288AFB"/>
    <w:rsid w:val="3A2976BB"/>
    <w:rsid w:val="3A2D3688"/>
    <w:rsid w:val="3A2F2D93"/>
    <w:rsid w:val="3A39D234"/>
    <w:rsid w:val="3A4094BF"/>
    <w:rsid w:val="3A665F06"/>
    <w:rsid w:val="3A8604BC"/>
    <w:rsid w:val="3A90D508"/>
    <w:rsid w:val="3A991BD9"/>
    <w:rsid w:val="3AA4F186"/>
    <w:rsid w:val="3AB4E3EC"/>
    <w:rsid w:val="3AB69B00"/>
    <w:rsid w:val="3ABA2543"/>
    <w:rsid w:val="3AC0932E"/>
    <w:rsid w:val="3ACB5832"/>
    <w:rsid w:val="3AD38EE9"/>
    <w:rsid w:val="3AE39014"/>
    <w:rsid w:val="3AE64D83"/>
    <w:rsid w:val="3AE69A19"/>
    <w:rsid w:val="3AECE3E5"/>
    <w:rsid w:val="3AF19DF1"/>
    <w:rsid w:val="3AF62361"/>
    <w:rsid w:val="3AFFE5A5"/>
    <w:rsid w:val="3B057830"/>
    <w:rsid w:val="3B109D64"/>
    <w:rsid w:val="3B1CC3E7"/>
    <w:rsid w:val="3B43F79E"/>
    <w:rsid w:val="3B4BCC9A"/>
    <w:rsid w:val="3B516669"/>
    <w:rsid w:val="3B63A02B"/>
    <w:rsid w:val="3B662FD6"/>
    <w:rsid w:val="3B7044C3"/>
    <w:rsid w:val="3B8EBC1A"/>
    <w:rsid w:val="3BB69CD1"/>
    <w:rsid w:val="3BBA0E52"/>
    <w:rsid w:val="3BC8CD36"/>
    <w:rsid w:val="3BD373DE"/>
    <w:rsid w:val="3BD6A072"/>
    <w:rsid w:val="3BE77882"/>
    <w:rsid w:val="3BE9F83C"/>
    <w:rsid w:val="3BF80DCA"/>
    <w:rsid w:val="3BF9B571"/>
    <w:rsid w:val="3BFCF3A4"/>
    <w:rsid w:val="3C0677C0"/>
    <w:rsid w:val="3C1C0B25"/>
    <w:rsid w:val="3C3C42C0"/>
    <w:rsid w:val="3C4888D6"/>
    <w:rsid w:val="3C5350EB"/>
    <w:rsid w:val="3C72AA6F"/>
    <w:rsid w:val="3C7BC1A3"/>
    <w:rsid w:val="3C834264"/>
    <w:rsid w:val="3C93C220"/>
    <w:rsid w:val="3CA94713"/>
    <w:rsid w:val="3CD52BFB"/>
    <w:rsid w:val="3CEEFF16"/>
    <w:rsid w:val="3CF6743C"/>
    <w:rsid w:val="3D0CF6B5"/>
    <w:rsid w:val="3D0F2E34"/>
    <w:rsid w:val="3D163B7D"/>
    <w:rsid w:val="3D4003A2"/>
    <w:rsid w:val="3D43A785"/>
    <w:rsid w:val="3D4DD950"/>
    <w:rsid w:val="3D4E3B03"/>
    <w:rsid w:val="3D5345D6"/>
    <w:rsid w:val="3D632324"/>
    <w:rsid w:val="3D7561D2"/>
    <w:rsid w:val="3D85DC68"/>
    <w:rsid w:val="3DB78132"/>
    <w:rsid w:val="3DB7D036"/>
    <w:rsid w:val="3DB94A07"/>
    <w:rsid w:val="3DD15A2A"/>
    <w:rsid w:val="3DEB0039"/>
    <w:rsid w:val="3DF442CC"/>
    <w:rsid w:val="3E080877"/>
    <w:rsid w:val="3E13F92A"/>
    <w:rsid w:val="3E24DDE7"/>
    <w:rsid w:val="3E314E3F"/>
    <w:rsid w:val="3E31ED56"/>
    <w:rsid w:val="3E4A78D8"/>
    <w:rsid w:val="3E5855DB"/>
    <w:rsid w:val="3E74AA00"/>
    <w:rsid w:val="3E7CA0A4"/>
    <w:rsid w:val="3E830102"/>
    <w:rsid w:val="3E8EC5C2"/>
    <w:rsid w:val="3E945848"/>
    <w:rsid w:val="3E98DFB8"/>
    <w:rsid w:val="3E9B26B4"/>
    <w:rsid w:val="3EB29A82"/>
    <w:rsid w:val="3EB483E3"/>
    <w:rsid w:val="3EC99B35"/>
    <w:rsid w:val="3ECC9553"/>
    <w:rsid w:val="3EDA00CC"/>
    <w:rsid w:val="3EDA333E"/>
    <w:rsid w:val="3EE7ED4C"/>
    <w:rsid w:val="3EE9223E"/>
    <w:rsid w:val="3F090EC8"/>
    <w:rsid w:val="3F127E5A"/>
    <w:rsid w:val="3F22CB34"/>
    <w:rsid w:val="3F2A60A1"/>
    <w:rsid w:val="3F41A7D3"/>
    <w:rsid w:val="3F446031"/>
    <w:rsid w:val="3F5359F7"/>
    <w:rsid w:val="3F6E5623"/>
    <w:rsid w:val="3F7E2007"/>
    <w:rsid w:val="3F7FCFC9"/>
    <w:rsid w:val="3F8B9249"/>
    <w:rsid w:val="3F8CA47E"/>
    <w:rsid w:val="3FA276E4"/>
    <w:rsid w:val="3FB35552"/>
    <w:rsid w:val="3FB35B42"/>
    <w:rsid w:val="3FCD3426"/>
    <w:rsid w:val="3FD148AB"/>
    <w:rsid w:val="3FD20123"/>
    <w:rsid w:val="3FDD0D3F"/>
    <w:rsid w:val="40069232"/>
    <w:rsid w:val="4013B5E9"/>
    <w:rsid w:val="401AA696"/>
    <w:rsid w:val="402244B3"/>
    <w:rsid w:val="402A2884"/>
    <w:rsid w:val="402F42F8"/>
    <w:rsid w:val="404A1AE1"/>
    <w:rsid w:val="404CEC40"/>
    <w:rsid w:val="404E70D5"/>
    <w:rsid w:val="40526726"/>
    <w:rsid w:val="4055D7D6"/>
    <w:rsid w:val="4071C516"/>
    <w:rsid w:val="4074BF0B"/>
    <w:rsid w:val="407A69A8"/>
    <w:rsid w:val="4097A3CA"/>
    <w:rsid w:val="4098556A"/>
    <w:rsid w:val="409D75DA"/>
    <w:rsid w:val="409F1C7F"/>
    <w:rsid w:val="40BAE82C"/>
    <w:rsid w:val="40C4F9B7"/>
    <w:rsid w:val="40D7087C"/>
    <w:rsid w:val="40D74182"/>
    <w:rsid w:val="40D8DC8F"/>
    <w:rsid w:val="41069824"/>
    <w:rsid w:val="410A28F9"/>
    <w:rsid w:val="4115E6A5"/>
    <w:rsid w:val="41214282"/>
    <w:rsid w:val="414973F6"/>
    <w:rsid w:val="4155FA85"/>
    <w:rsid w:val="415C5744"/>
    <w:rsid w:val="415DEB2C"/>
    <w:rsid w:val="41704D2A"/>
    <w:rsid w:val="4170F881"/>
    <w:rsid w:val="41823429"/>
    <w:rsid w:val="419EA1DD"/>
    <w:rsid w:val="41A3302B"/>
    <w:rsid w:val="41BF85C4"/>
    <w:rsid w:val="41C76C89"/>
    <w:rsid w:val="41D5896D"/>
    <w:rsid w:val="41D5FD7D"/>
    <w:rsid w:val="41DC1228"/>
    <w:rsid w:val="41EE792C"/>
    <w:rsid w:val="41F0A6AD"/>
    <w:rsid w:val="41FC18BB"/>
    <w:rsid w:val="421A64A7"/>
    <w:rsid w:val="421AA656"/>
    <w:rsid w:val="4228E875"/>
    <w:rsid w:val="42299707"/>
    <w:rsid w:val="422A01C6"/>
    <w:rsid w:val="422E5B72"/>
    <w:rsid w:val="4232201C"/>
    <w:rsid w:val="424B3F56"/>
    <w:rsid w:val="424BAB05"/>
    <w:rsid w:val="424F156D"/>
    <w:rsid w:val="426393D8"/>
    <w:rsid w:val="426DEF07"/>
    <w:rsid w:val="428218C2"/>
    <w:rsid w:val="4282CC3A"/>
    <w:rsid w:val="4293181D"/>
    <w:rsid w:val="42941002"/>
    <w:rsid w:val="42A20FC6"/>
    <w:rsid w:val="42A72417"/>
    <w:rsid w:val="42B13115"/>
    <w:rsid w:val="42B1B74C"/>
    <w:rsid w:val="42B7A2F6"/>
    <w:rsid w:val="42D52138"/>
    <w:rsid w:val="43065BB3"/>
    <w:rsid w:val="4315700A"/>
    <w:rsid w:val="43373433"/>
    <w:rsid w:val="433F9BC6"/>
    <w:rsid w:val="4377DC9B"/>
    <w:rsid w:val="4383432C"/>
    <w:rsid w:val="43888B9D"/>
    <w:rsid w:val="4398D854"/>
    <w:rsid w:val="439A1890"/>
    <w:rsid w:val="43A38555"/>
    <w:rsid w:val="43A7CA04"/>
    <w:rsid w:val="43ADF8FB"/>
    <w:rsid w:val="43C88022"/>
    <w:rsid w:val="43D20878"/>
    <w:rsid w:val="43D366A4"/>
    <w:rsid w:val="43EA00F4"/>
    <w:rsid w:val="43EAD243"/>
    <w:rsid w:val="442408AF"/>
    <w:rsid w:val="442B0504"/>
    <w:rsid w:val="4444FEB9"/>
    <w:rsid w:val="44767327"/>
    <w:rsid w:val="4487BCC9"/>
    <w:rsid w:val="4488EBF0"/>
    <w:rsid w:val="44A24B9F"/>
    <w:rsid w:val="44A7344B"/>
    <w:rsid w:val="44BA1A79"/>
    <w:rsid w:val="44BD74C6"/>
    <w:rsid w:val="44CABAF2"/>
    <w:rsid w:val="44D46E6D"/>
    <w:rsid w:val="44D9EDA1"/>
    <w:rsid w:val="44E35E65"/>
    <w:rsid w:val="44EE675B"/>
    <w:rsid w:val="44FB2A4D"/>
    <w:rsid w:val="450DA210"/>
    <w:rsid w:val="4522AE7A"/>
    <w:rsid w:val="4526D598"/>
    <w:rsid w:val="45324586"/>
    <w:rsid w:val="4537B549"/>
    <w:rsid w:val="4539888D"/>
    <w:rsid w:val="45584263"/>
    <w:rsid w:val="4593E60A"/>
    <w:rsid w:val="4599A930"/>
    <w:rsid w:val="45AAD037"/>
    <w:rsid w:val="45B63590"/>
    <w:rsid w:val="45D7C123"/>
    <w:rsid w:val="45FE5BBC"/>
    <w:rsid w:val="4611153B"/>
    <w:rsid w:val="46211247"/>
    <w:rsid w:val="463018B9"/>
    <w:rsid w:val="46338292"/>
    <w:rsid w:val="46340571"/>
    <w:rsid w:val="4657E7AD"/>
    <w:rsid w:val="465D1CB6"/>
    <w:rsid w:val="4661E2F2"/>
    <w:rsid w:val="4663B4CA"/>
    <w:rsid w:val="46640F5A"/>
    <w:rsid w:val="4669B577"/>
    <w:rsid w:val="46761BE1"/>
    <w:rsid w:val="46799448"/>
    <w:rsid w:val="4679CA01"/>
    <w:rsid w:val="467BA972"/>
    <w:rsid w:val="46895B2C"/>
    <w:rsid w:val="468BDAF0"/>
    <w:rsid w:val="4695DEA0"/>
    <w:rsid w:val="46BD06D3"/>
    <w:rsid w:val="46C0D167"/>
    <w:rsid w:val="46C87B4D"/>
    <w:rsid w:val="46C9D48F"/>
    <w:rsid w:val="46CEE317"/>
    <w:rsid w:val="46D1F44E"/>
    <w:rsid w:val="46E54028"/>
    <w:rsid w:val="46EBB957"/>
    <w:rsid w:val="46F19823"/>
    <w:rsid w:val="46F47504"/>
    <w:rsid w:val="470ADE96"/>
    <w:rsid w:val="474142C5"/>
    <w:rsid w:val="474BE7D4"/>
    <w:rsid w:val="476E30D1"/>
    <w:rsid w:val="4784561E"/>
    <w:rsid w:val="478A1D54"/>
    <w:rsid w:val="4790CF4C"/>
    <w:rsid w:val="479EB2A5"/>
    <w:rsid w:val="47C15537"/>
    <w:rsid w:val="47CD4F3B"/>
    <w:rsid w:val="47E31AE1"/>
    <w:rsid w:val="47E9A2BF"/>
    <w:rsid w:val="47F8EEF3"/>
    <w:rsid w:val="480E61DE"/>
    <w:rsid w:val="481B72A4"/>
    <w:rsid w:val="481ED85C"/>
    <w:rsid w:val="4821E875"/>
    <w:rsid w:val="482367D9"/>
    <w:rsid w:val="48331F1B"/>
    <w:rsid w:val="48357D0F"/>
    <w:rsid w:val="4835C732"/>
    <w:rsid w:val="485BCB45"/>
    <w:rsid w:val="48623269"/>
    <w:rsid w:val="48713CA7"/>
    <w:rsid w:val="4871F7CD"/>
    <w:rsid w:val="487B57C8"/>
    <w:rsid w:val="487EE976"/>
    <w:rsid w:val="488BF8E4"/>
    <w:rsid w:val="488EB8B0"/>
    <w:rsid w:val="4896FB42"/>
    <w:rsid w:val="48AC64BA"/>
    <w:rsid w:val="48B059AC"/>
    <w:rsid w:val="48CC4667"/>
    <w:rsid w:val="48D11F7E"/>
    <w:rsid w:val="48D7421A"/>
    <w:rsid w:val="48E446D2"/>
    <w:rsid w:val="48EA76F6"/>
    <w:rsid w:val="490AA3E1"/>
    <w:rsid w:val="490D7835"/>
    <w:rsid w:val="4910100A"/>
    <w:rsid w:val="49182577"/>
    <w:rsid w:val="492431C9"/>
    <w:rsid w:val="492A2EF8"/>
    <w:rsid w:val="49342A66"/>
    <w:rsid w:val="49419FD9"/>
    <w:rsid w:val="49494F52"/>
    <w:rsid w:val="494AF210"/>
    <w:rsid w:val="49628CA9"/>
    <w:rsid w:val="496355F1"/>
    <w:rsid w:val="497194C6"/>
    <w:rsid w:val="49785C2A"/>
    <w:rsid w:val="497E9E40"/>
    <w:rsid w:val="49994D6F"/>
    <w:rsid w:val="499B017C"/>
    <w:rsid w:val="499DC18F"/>
    <w:rsid w:val="49AA1C7E"/>
    <w:rsid w:val="49B30B04"/>
    <w:rsid w:val="49C1C628"/>
    <w:rsid w:val="49E057B4"/>
    <w:rsid w:val="49FC8A31"/>
    <w:rsid w:val="4A258904"/>
    <w:rsid w:val="4A5938D6"/>
    <w:rsid w:val="4A5BFF56"/>
    <w:rsid w:val="4A5DA8EA"/>
    <w:rsid w:val="4A616671"/>
    <w:rsid w:val="4A69750B"/>
    <w:rsid w:val="4A7869BA"/>
    <w:rsid w:val="4A7D16D6"/>
    <w:rsid w:val="4A830F6D"/>
    <w:rsid w:val="4A894073"/>
    <w:rsid w:val="4A8EE643"/>
    <w:rsid w:val="4A90215E"/>
    <w:rsid w:val="4A9DD060"/>
    <w:rsid w:val="4A9E16BE"/>
    <w:rsid w:val="4AA733DC"/>
    <w:rsid w:val="4AA8B16B"/>
    <w:rsid w:val="4ABFFF0D"/>
    <w:rsid w:val="4AC27DE6"/>
    <w:rsid w:val="4ACB2FA5"/>
    <w:rsid w:val="4ACB8296"/>
    <w:rsid w:val="4ADB364B"/>
    <w:rsid w:val="4ADF0230"/>
    <w:rsid w:val="4AF6C544"/>
    <w:rsid w:val="4AFAB840"/>
    <w:rsid w:val="4B182A29"/>
    <w:rsid w:val="4B292BF4"/>
    <w:rsid w:val="4B2C6541"/>
    <w:rsid w:val="4B49FFBE"/>
    <w:rsid w:val="4B4FC3E6"/>
    <w:rsid w:val="4B5079A3"/>
    <w:rsid w:val="4B5661B6"/>
    <w:rsid w:val="4B578EAC"/>
    <w:rsid w:val="4B5E3A53"/>
    <w:rsid w:val="4B72C44B"/>
    <w:rsid w:val="4B7E839D"/>
    <w:rsid w:val="4B82FD62"/>
    <w:rsid w:val="4B83FD92"/>
    <w:rsid w:val="4B9F16BF"/>
    <w:rsid w:val="4BA18F04"/>
    <w:rsid w:val="4BA5855E"/>
    <w:rsid w:val="4BA8603F"/>
    <w:rsid w:val="4BBAD3D5"/>
    <w:rsid w:val="4BC08802"/>
    <w:rsid w:val="4BCCBC09"/>
    <w:rsid w:val="4BFD66C2"/>
    <w:rsid w:val="4C0D51A4"/>
    <w:rsid w:val="4C1AC25B"/>
    <w:rsid w:val="4C3534D9"/>
    <w:rsid w:val="4C39D955"/>
    <w:rsid w:val="4C3ADAC5"/>
    <w:rsid w:val="4C4C19B9"/>
    <w:rsid w:val="4C4C74B6"/>
    <w:rsid w:val="4C56A67A"/>
    <w:rsid w:val="4C5729A8"/>
    <w:rsid w:val="4C5A20CD"/>
    <w:rsid w:val="4C615F8B"/>
    <w:rsid w:val="4C666D42"/>
    <w:rsid w:val="4C8301F7"/>
    <w:rsid w:val="4C8AF06B"/>
    <w:rsid w:val="4C90A445"/>
    <w:rsid w:val="4C9B85B2"/>
    <w:rsid w:val="4CC32619"/>
    <w:rsid w:val="4CC33891"/>
    <w:rsid w:val="4CD212AC"/>
    <w:rsid w:val="4CEECC77"/>
    <w:rsid w:val="4CF0156C"/>
    <w:rsid w:val="4CFEFDD3"/>
    <w:rsid w:val="4D18C12D"/>
    <w:rsid w:val="4D1D7173"/>
    <w:rsid w:val="4D26EA3B"/>
    <w:rsid w:val="4D2FAE15"/>
    <w:rsid w:val="4D3DBDA7"/>
    <w:rsid w:val="4D53AB60"/>
    <w:rsid w:val="4D5A27B7"/>
    <w:rsid w:val="4D5BB19C"/>
    <w:rsid w:val="4D648397"/>
    <w:rsid w:val="4D848163"/>
    <w:rsid w:val="4D92FE76"/>
    <w:rsid w:val="4DAC331B"/>
    <w:rsid w:val="4DAD0CEA"/>
    <w:rsid w:val="4DAE9C7A"/>
    <w:rsid w:val="4DB1C80C"/>
    <w:rsid w:val="4DB529D4"/>
    <w:rsid w:val="4DB578FE"/>
    <w:rsid w:val="4DC6A07F"/>
    <w:rsid w:val="4DC73540"/>
    <w:rsid w:val="4DDA5C1D"/>
    <w:rsid w:val="4DDD33F8"/>
    <w:rsid w:val="4DEDFCEC"/>
    <w:rsid w:val="4E24F5A8"/>
    <w:rsid w:val="4E35DD23"/>
    <w:rsid w:val="4E39FE92"/>
    <w:rsid w:val="4E42FA84"/>
    <w:rsid w:val="4E4EB011"/>
    <w:rsid w:val="4E5836C4"/>
    <w:rsid w:val="4E6E25A4"/>
    <w:rsid w:val="4E8519B6"/>
    <w:rsid w:val="4E8A9876"/>
    <w:rsid w:val="4E8F69D2"/>
    <w:rsid w:val="4E91C8D9"/>
    <w:rsid w:val="4E91CBFB"/>
    <w:rsid w:val="4E9B19EF"/>
    <w:rsid w:val="4E9BFEC3"/>
    <w:rsid w:val="4EA1B0F3"/>
    <w:rsid w:val="4EA1F356"/>
    <w:rsid w:val="4EAA2664"/>
    <w:rsid w:val="4EAC5B6D"/>
    <w:rsid w:val="4EB2DBA1"/>
    <w:rsid w:val="4ED1DBA6"/>
    <w:rsid w:val="4EE1930D"/>
    <w:rsid w:val="4EF2C7BE"/>
    <w:rsid w:val="4EFE4FF8"/>
    <w:rsid w:val="4F093170"/>
    <w:rsid w:val="4F222A8E"/>
    <w:rsid w:val="4F377478"/>
    <w:rsid w:val="4F39A1A4"/>
    <w:rsid w:val="4F3B9A62"/>
    <w:rsid w:val="4F43ED2D"/>
    <w:rsid w:val="4F4A5B09"/>
    <w:rsid w:val="4F5021E5"/>
    <w:rsid w:val="4F661F53"/>
    <w:rsid w:val="4F6D7D9B"/>
    <w:rsid w:val="4F726EF2"/>
    <w:rsid w:val="4F915078"/>
    <w:rsid w:val="4F9D8D2C"/>
    <w:rsid w:val="4FA9BFF3"/>
    <w:rsid w:val="4FAFFC5F"/>
    <w:rsid w:val="4FCBDCBF"/>
    <w:rsid w:val="4FE5839B"/>
    <w:rsid w:val="4FECFAEF"/>
    <w:rsid w:val="4FEFB0C4"/>
    <w:rsid w:val="4FF2376F"/>
    <w:rsid w:val="4FFB1501"/>
    <w:rsid w:val="4FFD9EE3"/>
    <w:rsid w:val="50046DC8"/>
    <w:rsid w:val="5004CBDF"/>
    <w:rsid w:val="500A5175"/>
    <w:rsid w:val="5031403E"/>
    <w:rsid w:val="5034B83D"/>
    <w:rsid w:val="50399ADF"/>
    <w:rsid w:val="504AE276"/>
    <w:rsid w:val="504C107A"/>
    <w:rsid w:val="5052B303"/>
    <w:rsid w:val="50579DF5"/>
    <w:rsid w:val="505CBD3D"/>
    <w:rsid w:val="507ABE68"/>
    <w:rsid w:val="50804625"/>
    <w:rsid w:val="5087C079"/>
    <w:rsid w:val="508A023B"/>
    <w:rsid w:val="508D9A28"/>
    <w:rsid w:val="509958C7"/>
    <w:rsid w:val="509EA7B8"/>
    <w:rsid w:val="50AC8F68"/>
    <w:rsid w:val="50C1F999"/>
    <w:rsid w:val="50C43EA0"/>
    <w:rsid w:val="50C4DF5B"/>
    <w:rsid w:val="50C91318"/>
    <w:rsid w:val="50CB5F67"/>
    <w:rsid w:val="50CD166D"/>
    <w:rsid w:val="50D3073C"/>
    <w:rsid w:val="50E3F746"/>
    <w:rsid w:val="50EBE4CC"/>
    <w:rsid w:val="50F947CB"/>
    <w:rsid w:val="50F968D7"/>
    <w:rsid w:val="50FBC7E3"/>
    <w:rsid w:val="50FD20D6"/>
    <w:rsid w:val="50FE8310"/>
    <w:rsid w:val="5100955C"/>
    <w:rsid w:val="5104AFEF"/>
    <w:rsid w:val="5105528F"/>
    <w:rsid w:val="5124C4B0"/>
    <w:rsid w:val="513B0B85"/>
    <w:rsid w:val="5149135B"/>
    <w:rsid w:val="5178A917"/>
    <w:rsid w:val="518153FC"/>
    <w:rsid w:val="51827DBE"/>
    <w:rsid w:val="51832A41"/>
    <w:rsid w:val="518DCAC7"/>
    <w:rsid w:val="5199AB04"/>
    <w:rsid w:val="51AE4132"/>
    <w:rsid w:val="51C268B2"/>
    <w:rsid w:val="51C7B7FD"/>
    <w:rsid w:val="51D135A8"/>
    <w:rsid w:val="51DC26B6"/>
    <w:rsid w:val="51EC41AA"/>
    <w:rsid w:val="51F7C719"/>
    <w:rsid w:val="52004821"/>
    <w:rsid w:val="520702C4"/>
    <w:rsid w:val="5211E9A2"/>
    <w:rsid w:val="5217BD5A"/>
    <w:rsid w:val="522514AE"/>
    <w:rsid w:val="522580CB"/>
    <w:rsid w:val="5272004E"/>
    <w:rsid w:val="52839035"/>
    <w:rsid w:val="5285F022"/>
    <w:rsid w:val="528BF600"/>
    <w:rsid w:val="52B02F5E"/>
    <w:rsid w:val="52D7E40C"/>
    <w:rsid w:val="52E9BFAF"/>
    <w:rsid w:val="52EE586E"/>
    <w:rsid w:val="52F5815B"/>
    <w:rsid w:val="52F7E060"/>
    <w:rsid w:val="52FC912E"/>
    <w:rsid w:val="53015F9A"/>
    <w:rsid w:val="53049F8A"/>
    <w:rsid w:val="530FD0B3"/>
    <w:rsid w:val="531D3392"/>
    <w:rsid w:val="53338CB6"/>
    <w:rsid w:val="533B6DDD"/>
    <w:rsid w:val="5348737A"/>
    <w:rsid w:val="534FF550"/>
    <w:rsid w:val="5350B871"/>
    <w:rsid w:val="53837362"/>
    <w:rsid w:val="538B23B2"/>
    <w:rsid w:val="53A14A9B"/>
    <w:rsid w:val="53C808D2"/>
    <w:rsid w:val="53CD8052"/>
    <w:rsid w:val="53D11B93"/>
    <w:rsid w:val="53D81AB9"/>
    <w:rsid w:val="53DE8D27"/>
    <w:rsid w:val="53DFBD8F"/>
    <w:rsid w:val="540F456B"/>
    <w:rsid w:val="5427D0B8"/>
    <w:rsid w:val="542AEDD2"/>
    <w:rsid w:val="5437B43C"/>
    <w:rsid w:val="543A0C16"/>
    <w:rsid w:val="54400669"/>
    <w:rsid w:val="5442F4C5"/>
    <w:rsid w:val="5465D8A0"/>
    <w:rsid w:val="546B98B7"/>
    <w:rsid w:val="548AA61A"/>
    <w:rsid w:val="54ACC986"/>
    <w:rsid w:val="54ADBB57"/>
    <w:rsid w:val="54B01FB2"/>
    <w:rsid w:val="54BE9B36"/>
    <w:rsid w:val="54D0945B"/>
    <w:rsid w:val="54D0B2DE"/>
    <w:rsid w:val="54D770FF"/>
    <w:rsid w:val="54E9B004"/>
    <w:rsid w:val="54EEC01C"/>
    <w:rsid w:val="54F0755B"/>
    <w:rsid w:val="54F0AE11"/>
    <w:rsid w:val="54F74630"/>
    <w:rsid w:val="54FBD7D3"/>
    <w:rsid w:val="55040098"/>
    <w:rsid w:val="554A2770"/>
    <w:rsid w:val="555214E9"/>
    <w:rsid w:val="55797721"/>
    <w:rsid w:val="557A5823"/>
    <w:rsid w:val="557DEE29"/>
    <w:rsid w:val="55A08FE6"/>
    <w:rsid w:val="55B743A5"/>
    <w:rsid w:val="55BA9698"/>
    <w:rsid w:val="55C0C49E"/>
    <w:rsid w:val="55CC89EA"/>
    <w:rsid w:val="55FEA68F"/>
    <w:rsid w:val="55FF3D79"/>
    <w:rsid w:val="5601669A"/>
    <w:rsid w:val="5602845F"/>
    <w:rsid w:val="5604323D"/>
    <w:rsid w:val="5609283A"/>
    <w:rsid w:val="5614748C"/>
    <w:rsid w:val="561F8F74"/>
    <w:rsid w:val="562C34AD"/>
    <w:rsid w:val="5636388F"/>
    <w:rsid w:val="5645F23C"/>
    <w:rsid w:val="564952C8"/>
    <w:rsid w:val="564B1821"/>
    <w:rsid w:val="5653337C"/>
    <w:rsid w:val="5687B5CE"/>
    <w:rsid w:val="5693B1C9"/>
    <w:rsid w:val="56964E29"/>
    <w:rsid w:val="569CDE83"/>
    <w:rsid w:val="569D65EE"/>
    <w:rsid w:val="56A681C6"/>
    <w:rsid w:val="56BCFC32"/>
    <w:rsid w:val="56BF6F2E"/>
    <w:rsid w:val="56C09190"/>
    <w:rsid w:val="56C6A47D"/>
    <w:rsid w:val="56F45551"/>
    <w:rsid w:val="56F72019"/>
    <w:rsid w:val="56FDF607"/>
    <w:rsid w:val="5714887D"/>
    <w:rsid w:val="57151217"/>
    <w:rsid w:val="572F676C"/>
    <w:rsid w:val="5735F20C"/>
    <w:rsid w:val="573FA964"/>
    <w:rsid w:val="5740605B"/>
    <w:rsid w:val="575653A1"/>
    <w:rsid w:val="575DE76F"/>
    <w:rsid w:val="576197C2"/>
    <w:rsid w:val="5765E3A4"/>
    <w:rsid w:val="57713972"/>
    <w:rsid w:val="57969889"/>
    <w:rsid w:val="57975C6D"/>
    <w:rsid w:val="579D8F54"/>
    <w:rsid w:val="579EE53B"/>
    <w:rsid w:val="57AF8350"/>
    <w:rsid w:val="57C2354A"/>
    <w:rsid w:val="57C925F4"/>
    <w:rsid w:val="57CAEF9C"/>
    <w:rsid w:val="57DE7FF0"/>
    <w:rsid w:val="57E93443"/>
    <w:rsid w:val="57EBBE36"/>
    <w:rsid w:val="57F3975C"/>
    <w:rsid w:val="5805FA94"/>
    <w:rsid w:val="581357B7"/>
    <w:rsid w:val="583B74C5"/>
    <w:rsid w:val="583DEA72"/>
    <w:rsid w:val="583EC000"/>
    <w:rsid w:val="585D0A1F"/>
    <w:rsid w:val="586D55C4"/>
    <w:rsid w:val="58808F3C"/>
    <w:rsid w:val="588C75F3"/>
    <w:rsid w:val="589E924E"/>
    <w:rsid w:val="58A4BEF2"/>
    <w:rsid w:val="58A4C080"/>
    <w:rsid w:val="58BF5DD7"/>
    <w:rsid w:val="58C34290"/>
    <w:rsid w:val="58C54E9E"/>
    <w:rsid w:val="58D40BC1"/>
    <w:rsid w:val="58DA35C7"/>
    <w:rsid w:val="58DB79C5"/>
    <w:rsid w:val="58DC28F8"/>
    <w:rsid w:val="58E6D924"/>
    <w:rsid w:val="5902BCFE"/>
    <w:rsid w:val="591E56B8"/>
    <w:rsid w:val="591F4FC6"/>
    <w:rsid w:val="5925ACEB"/>
    <w:rsid w:val="59287DBC"/>
    <w:rsid w:val="594B78FA"/>
    <w:rsid w:val="59513C79"/>
    <w:rsid w:val="5969D04D"/>
    <w:rsid w:val="596A6878"/>
    <w:rsid w:val="598556E1"/>
    <w:rsid w:val="5989CF56"/>
    <w:rsid w:val="598AA4A5"/>
    <w:rsid w:val="598AA7B6"/>
    <w:rsid w:val="598CDFA1"/>
    <w:rsid w:val="59A57025"/>
    <w:rsid w:val="59A5CC7E"/>
    <w:rsid w:val="59A604CF"/>
    <w:rsid w:val="59BA7CF4"/>
    <w:rsid w:val="59CB3AF2"/>
    <w:rsid w:val="59CCA371"/>
    <w:rsid w:val="59D23735"/>
    <w:rsid w:val="59DB2EAE"/>
    <w:rsid w:val="59E315F7"/>
    <w:rsid w:val="5A002AB6"/>
    <w:rsid w:val="5A031016"/>
    <w:rsid w:val="5A119733"/>
    <w:rsid w:val="5A155E37"/>
    <w:rsid w:val="5A207042"/>
    <w:rsid w:val="5A25C91D"/>
    <w:rsid w:val="5A32AE20"/>
    <w:rsid w:val="5A422499"/>
    <w:rsid w:val="5A447C78"/>
    <w:rsid w:val="5A500C4B"/>
    <w:rsid w:val="5A522E52"/>
    <w:rsid w:val="5A6D6B60"/>
    <w:rsid w:val="5A7F5A29"/>
    <w:rsid w:val="5A81DEF0"/>
    <w:rsid w:val="5A8434CD"/>
    <w:rsid w:val="5A8FC8B7"/>
    <w:rsid w:val="5A97B3C9"/>
    <w:rsid w:val="5ABF55EF"/>
    <w:rsid w:val="5ACA0019"/>
    <w:rsid w:val="5AD68F11"/>
    <w:rsid w:val="5AEF9B41"/>
    <w:rsid w:val="5AF93C60"/>
    <w:rsid w:val="5B00F824"/>
    <w:rsid w:val="5B109F0F"/>
    <w:rsid w:val="5B172DFF"/>
    <w:rsid w:val="5B2915BE"/>
    <w:rsid w:val="5B2B3D27"/>
    <w:rsid w:val="5B3235DC"/>
    <w:rsid w:val="5B377648"/>
    <w:rsid w:val="5B43CE59"/>
    <w:rsid w:val="5B4B6F66"/>
    <w:rsid w:val="5B549AB2"/>
    <w:rsid w:val="5B7D1B42"/>
    <w:rsid w:val="5B896E0C"/>
    <w:rsid w:val="5B8F83EF"/>
    <w:rsid w:val="5BA328E0"/>
    <w:rsid w:val="5BA8D101"/>
    <w:rsid w:val="5BC050E9"/>
    <w:rsid w:val="5BC5081D"/>
    <w:rsid w:val="5BC70A42"/>
    <w:rsid w:val="5BDC0262"/>
    <w:rsid w:val="5BE0647F"/>
    <w:rsid w:val="5BE6CABE"/>
    <w:rsid w:val="5BE807AE"/>
    <w:rsid w:val="5BECCC2B"/>
    <w:rsid w:val="5BED94BA"/>
    <w:rsid w:val="5BF9DC91"/>
    <w:rsid w:val="5BFDCC48"/>
    <w:rsid w:val="5C139A67"/>
    <w:rsid w:val="5C2A0546"/>
    <w:rsid w:val="5C2DAD72"/>
    <w:rsid w:val="5C33BD44"/>
    <w:rsid w:val="5C3E1589"/>
    <w:rsid w:val="5C4D1854"/>
    <w:rsid w:val="5C56AF57"/>
    <w:rsid w:val="5C69219F"/>
    <w:rsid w:val="5C7C6937"/>
    <w:rsid w:val="5C976E4E"/>
    <w:rsid w:val="5CA80E86"/>
    <w:rsid w:val="5CAB3D2C"/>
    <w:rsid w:val="5CB0DD8A"/>
    <w:rsid w:val="5CB1D856"/>
    <w:rsid w:val="5CB2F096"/>
    <w:rsid w:val="5CCF4AB9"/>
    <w:rsid w:val="5D24791B"/>
    <w:rsid w:val="5D2EA232"/>
    <w:rsid w:val="5D2FF95F"/>
    <w:rsid w:val="5D34E8CD"/>
    <w:rsid w:val="5D35A486"/>
    <w:rsid w:val="5D3E1216"/>
    <w:rsid w:val="5D3F6E36"/>
    <w:rsid w:val="5D47F856"/>
    <w:rsid w:val="5D725403"/>
    <w:rsid w:val="5D76906B"/>
    <w:rsid w:val="5D779143"/>
    <w:rsid w:val="5D89A370"/>
    <w:rsid w:val="5D8F87A0"/>
    <w:rsid w:val="5D965F45"/>
    <w:rsid w:val="5DA3E8B8"/>
    <w:rsid w:val="5DB05FE8"/>
    <w:rsid w:val="5DB29839"/>
    <w:rsid w:val="5DC5A274"/>
    <w:rsid w:val="5DC9171B"/>
    <w:rsid w:val="5DD1911B"/>
    <w:rsid w:val="5DE0645D"/>
    <w:rsid w:val="5DE1C563"/>
    <w:rsid w:val="5DED97DB"/>
    <w:rsid w:val="5DF10C4C"/>
    <w:rsid w:val="5DF1B4E5"/>
    <w:rsid w:val="5DF7F624"/>
    <w:rsid w:val="5DF97EEF"/>
    <w:rsid w:val="5E09304B"/>
    <w:rsid w:val="5E12614B"/>
    <w:rsid w:val="5E26F423"/>
    <w:rsid w:val="5E2AD570"/>
    <w:rsid w:val="5E434EC7"/>
    <w:rsid w:val="5E4B2476"/>
    <w:rsid w:val="5E4E3787"/>
    <w:rsid w:val="5E560522"/>
    <w:rsid w:val="5E5C2BBC"/>
    <w:rsid w:val="5E5D1738"/>
    <w:rsid w:val="5E705F1B"/>
    <w:rsid w:val="5E70EAB1"/>
    <w:rsid w:val="5E7A8FE4"/>
    <w:rsid w:val="5E7EAA16"/>
    <w:rsid w:val="5E84D134"/>
    <w:rsid w:val="5EB92851"/>
    <w:rsid w:val="5EBA514C"/>
    <w:rsid w:val="5EBAA40D"/>
    <w:rsid w:val="5EBDA316"/>
    <w:rsid w:val="5EC33E2B"/>
    <w:rsid w:val="5ED917B2"/>
    <w:rsid w:val="5EE6DBD6"/>
    <w:rsid w:val="5EF3A242"/>
    <w:rsid w:val="5EF9BCE2"/>
    <w:rsid w:val="5EFF10FB"/>
    <w:rsid w:val="5F008397"/>
    <w:rsid w:val="5F15E9F3"/>
    <w:rsid w:val="5F259E63"/>
    <w:rsid w:val="5F25AA5A"/>
    <w:rsid w:val="5F42CDC3"/>
    <w:rsid w:val="5F56D436"/>
    <w:rsid w:val="5F71301B"/>
    <w:rsid w:val="5F7946C1"/>
    <w:rsid w:val="5F7AE419"/>
    <w:rsid w:val="5F91C7B6"/>
    <w:rsid w:val="5F97994C"/>
    <w:rsid w:val="5FA9980E"/>
    <w:rsid w:val="5FCAFA15"/>
    <w:rsid w:val="5FD557B4"/>
    <w:rsid w:val="5FD84E5A"/>
    <w:rsid w:val="5FF3349E"/>
    <w:rsid w:val="5FFAE98C"/>
    <w:rsid w:val="5FFAF013"/>
    <w:rsid w:val="601E4696"/>
    <w:rsid w:val="6030F487"/>
    <w:rsid w:val="603D7F63"/>
    <w:rsid w:val="603FB768"/>
    <w:rsid w:val="604484F3"/>
    <w:rsid w:val="6044EBDB"/>
    <w:rsid w:val="6048F38C"/>
    <w:rsid w:val="6057844E"/>
    <w:rsid w:val="605BE626"/>
    <w:rsid w:val="605D644B"/>
    <w:rsid w:val="605ECE71"/>
    <w:rsid w:val="605EF019"/>
    <w:rsid w:val="6079E120"/>
    <w:rsid w:val="60924469"/>
    <w:rsid w:val="60992DBF"/>
    <w:rsid w:val="60B59BD0"/>
    <w:rsid w:val="60BF0D9C"/>
    <w:rsid w:val="60C8262B"/>
    <w:rsid w:val="60CA2440"/>
    <w:rsid w:val="60CCA4A0"/>
    <w:rsid w:val="60DA3146"/>
    <w:rsid w:val="60E93426"/>
    <w:rsid w:val="60F2C528"/>
    <w:rsid w:val="60F2FCEE"/>
    <w:rsid w:val="610513D9"/>
    <w:rsid w:val="610E3D6A"/>
    <w:rsid w:val="611191FA"/>
    <w:rsid w:val="614FF140"/>
    <w:rsid w:val="6159FF43"/>
    <w:rsid w:val="615E4BB7"/>
    <w:rsid w:val="615F2814"/>
    <w:rsid w:val="6163E60C"/>
    <w:rsid w:val="616C0C3A"/>
    <w:rsid w:val="617818FA"/>
    <w:rsid w:val="619A4935"/>
    <w:rsid w:val="619B2E35"/>
    <w:rsid w:val="61AB072F"/>
    <w:rsid w:val="61B6035D"/>
    <w:rsid w:val="61B9D574"/>
    <w:rsid w:val="61BC6BE5"/>
    <w:rsid w:val="61E7CB11"/>
    <w:rsid w:val="61E7EA22"/>
    <w:rsid w:val="61E83B8C"/>
    <w:rsid w:val="61EF89CA"/>
    <w:rsid w:val="61F535F7"/>
    <w:rsid w:val="621D2B90"/>
    <w:rsid w:val="621F2C5E"/>
    <w:rsid w:val="622074A3"/>
    <w:rsid w:val="62428ECE"/>
    <w:rsid w:val="624CF214"/>
    <w:rsid w:val="624DB985"/>
    <w:rsid w:val="62719AC4"/>
    <w:rsid w:val="62778264"/>
    <w:rsid w:val="6287AD4D"/>
    <w:rsid w:val="629493CA"/>
    <w:rsid w:val="62C7957E"/>
    <w:rsid w:val="62DAD17A"/>
    <w:rsid w:val="62DE03C9"/>
    <w:rsid w:val="62EE7DA2"/>
    <w:rsid w:val="62F42D7A"/>
    <w:rsid w:val="62F5CFA4"/>
    <w:rsid w:val="62F9C230"/>
    <w:rsid w:val="6300702E"/>
    <w:rsid w:val="63047885"/>
    <w:rsid w:val="63186ADA"/>
    <w:rsid w:val="631F5F1C"/>
    <w:rsid w:val="6321A4ED"/>
    <w:rsid w:val="633FB453"/>
    <w:rsid w:val="63417996"/>
    <w:rsid w:val="635A6D0A"/>
    <w:rsid w:val="636833A4"/>
    <w:rsid w:val="638462E9"/>
    <w:rsid w:val="6387F629"/>
    <w:rsid w:val="639C273F"/>
    <w:rsid w:val="63A21578"/>
    <w:rsid w:val="63A729A2"/>
    <w:rsid w:val="63AF3C32"/>
    <w:rsid w:val="63B40BC0"/>
    <w:rsid w:val="63D0F185"/>
    <w:rsid w:val="63EDF1B5"/>
    <w:rsid w:val="63F77AA3"/>
    <w:rsid w:val="63FEDB32"/>
    <w:rsid w:val="64216AAA"/>
    <w:rsid w:val="6426BE04"/>
    <w:rsid w:val="643EE2C1"/>
    <w:rsid w:val="64489654"/>
    <w:rsid w:val="64514724"/>
    <w:rsid w:val="646846BD"/>
    <w:rsid w:val="64742744"/>
    <w:rsid w:val="647D5EFC"/>
    <w:rsid w:val="64986229"/>
    <w:rsid w:val="649F2D2B"/>
    <w:rsid w:val="64A1D6F3"/>
    <w:rsid w:val="64A38869"/>
    <w:rsid w:val="64A6663F"/>
    <w:rsid w:val="64B1481A"/>
    <w:rsid w:val="64BB2F7D"/>
    <w:rsid w:val="64C07721"/>
    <w:rsid w:val="64CEE573"/>
    <w:rsid w:val="64CF03FE"/>
    <w:rsid w:val="64D0DE0E"/>
    <w:rsid w:val="64E06273"/>
    <w:rsid w:val="64E07CE2"/>
    <w:rsid w:val="64E4FCAC"/>
    <w:rsid w:val="64ECDF1E"/>
    <w:rsid w:val="650004B2"/>
    <w:rsid w:val="65085D97"/>
    <w:rsid w:val="650AEECE"/>
    <w:rsid w:val="6514B77C"/>
    <w:rsid w:val="6518F759"/>
    <w:rsid w:val="6538B6A5"/>
    <w:rsid w:val="65472F01"/>
    <w:rsid w:val="654EEB49"/>
    <w:rsid w:val="6552175C"/>
    <w:rsid w:val="656BC95D"/>
    <w:rsid w:val="656E2594"/>
    <w:rsid w:val="6578895D"/>
    <w:rsid w:val="657B3BD1"/>
    <w:rsid w:val="6580F607"/>
    <w:rsid w:val="65832D42"/>
    <w:rsid w:val="65865330"/>
    <w:rsid w:val="65A2238B"/>
    <w:rsid w:val="65AF58EA"/>
    <w:rsid w:val="65B9148F"/>
    <w:rsid w:val="65C51FC0"/>
    <w:rsid w:val="65C7189E"/>
    <w:rsid w:val="65D0BE82"/>
    <w:rsid w:val="65D1968A"/>
    <w:rsid w:val="65D2265A"/>
    <w:rsid w:val="65EAFAA5"/>
    <w:rsid w:val="65F445EE"/>
    <w:rsid w:val="660028BE"/>
    <w:rsid w:val="6600DCD0"/>
    <w:rsid w:val="660F5BF4"/>
    <w:rsid w:val="6610D8DA"/>
    <w:rsid w:val="661B621D"/>
    <w:rsid w:val="661D7A24"/>
    <w:rsid w:val="661FFF53"/>
    <w:rsid w:val="6631DB8A"/>
    <w:rsid w:val="66364D7C"/>
    <w:rsid w:val="663E37E1"/>
    <w:rsid w:val="664BF608"/>
    <w:rsid w:val="666B8612"/>
    <w:rsid w:val="6670E11E"/>
    <w:rsid w:val="6672B1B7"/>
    <w:rsid w:val="66835E30"/>
    <w:rsid w:val="6687ED59"/>
    <w:rsid w:val="66AA93AF"/>
    <w:rsid w:val="66AF6AB9"/>
    <w:rsid w:val="66B5BD5B"/>
    <w:rsid w:val="66C61A08"/>
    <w:rsid w:val="66D67B99"/>
    <w:rsid w:val="66DB231F"/>
    <w:rsid w:val="66E0285B"/>
    <w:rsid w:val="66E60BAA"/>
    <w:rsid w:val="66E7E906"/>
    <w:rsid w:val="66EAF021"/>
    <w:rsid w:val="66EDF130"/>
    <w:rsid w:val="66FA9351"/>
    <w:rsid w:val="6737ADBA"/>
    <w:rsid w:val="6745837F"/>
    <w:rsid w:val="674FB0A8"/>
    <w:rsid w:val="6758B651"/>
    <w:rsid w:val="6765F819"/>
    <w:rsid w:val="676DF4DA"/>
    <w:rsid w:val="6780B0B4"/>
    <w:rsid w:val="6784AA28"/>
    <w:rsid w:val="6787B6B2"/>
    <w:rsid w:val="678849E5"/>
    <w:rsid w:val="67AD5771"/>
    <w:rsid w:val="67B37675"/>
    <w:rsid w:val="67CA0F06"/>
    <w:rsid w:val="67D6B626"/>
    <w:rsid w:val="67D774DF"/>
    <w:rsid w:val="67E748B6"/>
    <w:rsid w:val="67E7BF90"/>
    <w:rsid w:val="67F2D03F"/>
    <w:rsid w:val="67F8CA6B"/>
    <w:rsid w:val="680F8C95"/>
    <w:rsid w:val="68132576"/>
    <w:rsid w:val="68190AE0"/>
    <w:rsid w:val="68199B13"/>
    <w:rsid w:val="68275927"/>
    <w:rsid w:val="68287A3E"/>
    <w:rsid w:val="682C4540"/>
    <w:rsid w:val="68355994"/>
    <w:rsid w:val="68420F57"/>
    <w:rsid w:val="68431152"/>
    <w:rsid w:val="6846E1C2"/>
    <w:rsid w:val="684F71B0"/>
    <w:rsid w:val="68629C15"/>
    <w:rsid w:val="686D3976"/>
    <w:rsid w:val="687B55A4"/>
    <w:rsid w:val="687EEA0C"/>
    <w:rsid w:val="68812538"/>
    <w:rsid w:val="6892057F"/>
    <w:rsid w:val="689B9BE0"/>
    <w:rsid w:val="68AAE901"/>
    <w:rsid w:val="68B2923E"/>
    <w:rsid w:val="68B71E2A"/>
    <w:rsid w:val="68BBA940"/>
    <w:rsid w:val="68C26ED7"/>
    <w:rsid w:val="68C665C4"/>
    <w:rsid w:val="68CAE2AB"/>
    <w:rsid w:val="68D7B268"/>
    <w:rsid w:val="68DE92E7"/>
    <w:rsid w:val="68E6B029"/>
    <w:rsid w:val="68EA62EE"/>
    <w:rsid w:val="68F1DEB5"/>
    <w:rsid w:val="68F21D55"/>
    <w:rsid w:val="68F2F511"/>
    <w:rsid w:val="68FDA21E"/>
    <w:rsid w:val="690503B8"/>
    <w:rsid w:val="6911043D"/>
    <w:rsid w:val="6920D4BF"/>
    <w:rsid w:val="6945C65C"/>
    <w:rsid w:val="69795175"/>
    <w:rsid w:val="697DF1C7"/>
    <w:rsid w:val="69925053"/>
    <w:rsid w:val="69B24B68"/>
    <w:rsid w:val="69B479E8"/>
    <w:rsid w:val="69CB394C"/>
    <w:rsid w:val="69D1B8A1"/>
    <w:rsid w:val="69D201E2"/>
    <w:rsid w:val="69D3FBDC"/>
    <w:rsid w:val="69D664AF"/>
    <w:rsid w:val="69E5ECA2"/>
    <w:rsid w:val="69F1EE96"/>
    <w:rsid w:val="69F94A75"/>
    <w:rsid w:val="6A0160DC"/>
    <w:rsid w:val="6A103FC1"/>
    <w:rsid w:val="6A249917"/>
    <w:rsid w:val="6A269DAE"/>
    <w:rsid w:val="6A30C3F2"/>
    <w:rsid w:val="6A40E8B1"/>
    <w:rsid w:val="6A4846B1"/>
    <w:rsid w:val="6A488EC7"/>
    <w:rsid w:val="6A54F459"/>
    <w:rsid w:val="6A558B16"/>
    <w:rsid w:val="6A5BF138"/>
    <w:rsid w:val="6A5CEAC7"/>
    <w:rsid w:val="6A769193"/>
    <w:rsid w:val="6A79F3F8"/>
    <w:rsid w:val="6A82CA5F"/>
    <w:rsid w:val="6A8D6DF0"/>
    <w:rsid w:val="6AA54AC6"/>
    <w:rsid w:val="6AA8FAE9"/>
    <w:rsid w:val="6AB1EA1A"/>
    <w:rsid w:val="6AB2E5D3"/>
    <w:rsid w:val="6AB46956"/>
    <w:rsid w:val="6AB51935"/>
    <w:rsid w:val="6AB7C63D"/>
    <w:rsid w:val="6ABD53A6"/>
    <w:rsid w:val="6ACD9AF0"/>
    <w:rsid w:val="6ADA8755"/>
    <w:rsid w:val="6AE11A98"/>
    <w:rsid w:val="6AE4069F"/>
    <w:rsid w:val="6AE78ACC"/>
    <w:rsid w:val="6AEFBE26"/>
    <w:rsid w:val="6AFDAA6C"/>
    <w:rsid w:val="6B00ABC3"/>
    <w:rsid w:val="6B041A29"/>
    <w:rsid w:val="6B0606FE"/>
    <w:rsid w:val="6B0A857A"/>
    <w:rsid w:val="6B284998"/>
    <w:rsid w:val="6B2B39ED"/>
    <w:rsid w:val="6B2E9EE6"/>
    <w:rsid w:val="6B32835C"/>
    <w:rsid w:val="6B34D019"/>
    <w:rsid w:val="6B5AC26B"/>
    <w:rsid w:val="6B6B320D"/>
    <w:rsid w:val="6B928348"/>
    <w:rsid w:val="6B93596B"/>
    <w:rsid w:val="6B9C1ABE"/>
    <w:rsid w:val="6BA0064D"/>
    <w:rsid w:val="6BA3AB0A"/>
    <w:rsid w:val="6BB073E6"/>
    <w:rsid w:val="6BBB6677"/>
    <w:rsid w:val="6BC58BAB"/>
    <w:rsid w:val="6BD75FC1"/>
    <w:rsid w:val="6BE289A6"/>
    <w:rsid w:val="6BE844D4"/>
    <w:rsid w:val="6BF318E8"/>
    <w:rsid w:val="6C0069C5"/>
    <w:rsid w:val="6C00C8C3"/>
    <w:rsid w:val="6C0501DF"/>
    <w:rsid w:val="6C075F39"/>
    <w:rsid w:val="6C0A1F72"/>
    <w:rsid w:val="6C14F1BB"/>
    <w:rsid w:val="6C18F4A2"/>
    <w:rsid w:val="6C288771"/>
    <w:rsid w:val="6C299D9F"/>
    <w:rsid w:val="6C2D1E12"/>
    <w:rsid w:val="6C427033"/>
    <w:rsid w:val="6C48F01E"/>
    <w:rsid w:val="6C52542F"/>
    <w:rsid w:val="6C57FC20"/>
    <w:rsid w:val="6C771161"/>
    <w:rsid w:val="6C7CEAF9"/>
    <w:rsid w:val="6C804C3C"/>
    <w:rsid w:val="6C8CB4A4"/>
    <w:rsid w:val="6C944D01"/>
    <w:rsid w:val="6C9FDC42"/>
    <w:rsid w:val="6CC29588"/>
    <w:rsid w:val="6CC63E79"/>
    <w:rsid w:val="6CD5ACB8"/>
    <w:rsid w:val="6CD85502"/>
    <w:rsid w:val="6CF4FC59"/>
    <w:rsid w:val="6CF75B33"/>
    <w:rsid w:val="6CF9A720"/>
    <w:rsid w:val="6D134FD5"/>
    <w:rsid w:val="6D279A60"/>
    <w:rsid w:val="6D351D76"/>
    <w:rsid w:val="6D3D5179"/>
    <w:rsid w:val="6D4680B5"/>
    <w:rsid w:val="6D47A2F4"/>
    <w:rsid w:val="6D483D20"/>
    <w:rsid w:val="6D4C7CBC"/>
    <w:rsid w:val="6D6F4AFB"/>
    <w:rsid w:val="6D78E7F3"/>
    <w:rsid w:val="6D78E9BC"/>
    <w:rsid w:val="6D7C2DB5"/>
    <w:rsid w:val="6D831869"/>
    <w:rsid w:val="6D877DC2"/>
    <w:rsid w:val="6D88A992"/>
    <w:rsid w:val="6D8A879E"/>
    <w:rsid w:val="6D8E9271"/>
    <w:rsid w:val="6D95A948"/>
    <w:rsid w:val="6D9B89BB"/>
    <w:rsid w:val="6DA87A2A"/>
    <w:rsid w:val="6DAA1001"/>
    <w:rsid w:val="6DC2FE15"/>
    <w:rsid w:val="6DC36F42"/>
    <w:rsid w:val="6DC6E2F0"/>
    <w:rsid w:val="6DC956CC"/>
    <w:rsid w:val="6DDBA7D7"/>
    <w:rsid w:val="6DEF1C9D"/>
    <w:rsid w:val="6E05EFE2"/>
    <w:rsid w:val="6E088BDD"/>
    <w:rsid w:val="6E18BB5A"/>
    <w:rsid w:val="6E1DC2FD"/>
    <w:rsid w:val="6E25AD09"/>
    <w:rsid w:val="6E3CD624"/>
    <w:rsid w:val="6E423A40"/>
    <w:rsid w:val="6E4B1432"/>
    <w:rsid w:val="6E53BB0D"/>
    <w:rsid w:val="6E6FAFD0"/>
    <w:rsid w:val="6E7E4C86"/>
    <w:rsid w:val="6E842C3D"/>
    <w:rsid w:val="6E875F28"/>
    <w:rsid w:val="6E96FE74"/>
    <w:rsid w:val="6EA0A3C3"/>
    <w:rsid w:val="6EA4D444"/>
    <w:rsid w:val="6EA891FC"/>
    <w:rsid w:val="6EB9F070"/>
    <w:rsid w:val="6EC19DBC"/>
    <w:rsid w:val="6EC783F2"/>
    <w:rsid w:val="6EC8326A"/>
    <w:rsid w:val="6EDA054E"/>
    <w:rsid w:val="6EEB06FD"/>
    <w:rsid w:val="6EEDC8A8"/>
    <w:rsid w:val="6EF3337F"/>
    <w:rsid w:val="6F0509BA"/>
    <w:rsid w:val="6F11B260"/>
    <w:rsid w:val="6F23CEFA"/>
    <w:rsid w:val="6F2CFC28"/>
    <w:rsid w:val="6F3090B9"/>
    <w:rsid w:val="6F374792"/>
    <w:rsid w:val="6F38982E"/>
    <w:rsid w:val="6F43B536"/>
    <w:rsid w:val="6F442466"/>
    <w:rsid w:val="6F48EA8E"/>
    <w:rsid w:val="6F5CC282"/>
    <w:rsid w:val="6F610A54"/>
    <w:rsid w:val="6F627C58"/>
    <w:rsid w:val="6F669A03"/>
    <w:rsid w:val="6F6840A3"/>
    <w:rsid w:val="6F6A1960"/>
    <w:rsid w:val="6F6E0727"/>
    <w:rsid w:val="6F6F8E7B"/>
    <w:rsid w:val="6F728E6A"/>
    <w:rsid w:val="6F8A3EDC"/>
    <w:rsid w:val="6FA2EBD0"/>
    <w:rsid w:val="6FA8E8C1"/>
    <w:rsid w:val="6FADD2ED"/>
    <w:rsid w:val="6FCB0C03"/>
    <w:rsid w:val="6FEDA30E"/>
    <w:rsid w:val="6FF42206"/>
    <w:rsid w:val="6FF4C3C5"/>
    <w:rsid w:val="700AF0BA"/>
    <w:rsid w:val="70132AE4"/>
    <w:rsid w:val="70189413"/>
    <w:rsid w:val="702E47AA"/>
    <w:rsid w:val="7031A689"/>
    <w:rsid w:val="703FCD2E"/>
    <w:rsid w:val="70412F0D"/>
    <w:rsid w:val="704241C1"/>
    <w:rsid w:val="705313C1"/>
    <w:rsid w:val="705C2DF8"/>
    <w:rsid w:val="7066F788"/>
    <w:rsid w:val="706B2543"/>
    <w:rsid w:val="706B98A7"/>
    <w:rsid w:val="7074F23B"/>
    <w:rsid w:val="70846459"/>
    <w:rsid w:val="70935333"/>
    <w:rsid w:val="709A7CB5"/>
    <w:rsid w:val="70BD00D1"/>
    <w:rsid w:val="70BF18CF"/>
    <w:rsid w:val="70CD7C7C"/>
    <w:rsid w:val="70CF7AB2"/>
    <w:rsid w:val="710C37C9"/>
    <w:rsid w:val="7112E2C9"/>
    <w:rsid w:val="71162829"/>
    <w:rsid w:val="7116A1CF"/>
    <w:rsid w:val="711FABC2"/>
    <w:rsid w:val="71268A0F"/>
    <w:rsid w:val="713DB20C"/>
    <w:rsid w:val="71485E4C"/>
    <w:rsid w:val="71509795"/>
    <w:rsid w:val="71737000"/>
    <w:rsid w:val="7179AED6"/>
    <w:rsid w:val="71808A28"/>
    <w:rsid w:val="7191B10B"/>
    <w:rsid w:val="719698E2"/>
    <w:rsid w:val="7197B202"/>
    <w:rsid w:val="71AE4812"/>
    <w:rsid w:val="71B0A7DA"/>
    <w:rsid w:val="71B246B7"/>
    <w:rsid w:val="71C329B5"/>
    <w:rsid w:val="71CF7911"/>
    <w:rsid w:val="71E1CA73"/>
    <w:rsid w:val="71E6D1D1"/>
    <w:rsid w:val="7211576D"/>
    <w:rsid w:val="721E0C92"/>
    <w:rsid w:val="72294DB9"/>
    <w:rsid w:val="7232D8E8"/>
    <w:rsid w:val="723C21C5"/>
    <w:rsid w:val="724687F4"/>
    <w:rsid w:val="7252F6B0"/>
    <w:rsid w:val="72750D0D"/>
    <w:rsid w:val="727619C9"/>
    <w:rsid w:val="72987FD5"/>
    <w:rsid w:val="729931BF"/>
    <w:rsid w:val="729A39F6"/>
    <w:rsid w:val="72A6EA73"/>
    <w:rsid w:val="72ABEE0D"/>
    <w:rsid w:val="72AF93B9"/>
    <w:rsid w:val="72C02B1A"/>
    <w:rsid w:val="72CB169F"/>
    <w:rsid w:val="72D05B34"/>
    <w:rsid w:val="730C1D06"/>
    <w:rsid w:val="73277083"/>
    <w:rsid w:val="7327B874"/>
    <w:rsid w:val="73478531"/>
    <w:rsid w:val="7357E4B0"/>
    <w:rsid w:val="736A2B75"/>
    <w:rsid w:val="73718A98"/>
    <w:rsid w:val="7371B20F"/>
    <w:rsid w:val="738147C2"/>
    <w:rsid w:val="738A4EEC"/>
    <w:rsid w:val="73970C76"/>
    <w:rsid w:val="73AE522F"/>
    <w:rsid w:val="73B3EE0D"/>
    <w:rsid w:val="73BD3862"/>
    <w:rsid w:val="73BD5E1A"/>
    <w:rsid w:val="73C04F6E"/>
    <w:rsid w:val="73C592CD"/>
    <w:rsid w:val="73E40685"/>
    <w:rsid w:val="73E9D65F"/>
    <w:rsid w:val="73F0E105"/>
    <w:rsid w:val="73FE60A3"/>
    <w:rsid w:val="73FF1F1B"/>
    <w:rsid w:val="74026D1C"/>
    <w:rsid w:val="74161ACE"/>
    <w:rsid w:val="7419C878"/>
    <w:rsid w:val="743136D9"/>
    <w:rsid w:val="7440737F"/>
    <w:rsid w:val="7442182E"/>
    <w:rsid w:val="74489D2F"/>
    <w:rsid w:val="744900B7"/>
    <w:rsid w:val="7455962A"/>
    <w:rsid w:val="747FAEF2"/>
    <w:rsid w:val="747FC5D1"/>
    <w:rsid w:val="7494510C"/>
    <w:rsid w:val="74964397"/>
    <w:rsid w:val="74A1C772"/>
    <w:rsid w:val="74AC8E69"/>
    <w:rsid w:val="74B67744"/>
    <w:rsid w:val="74C43065"/>
    <w:rsid w:val="74C96F9C"/>
    <w:rsid w:val="74CE9443"/>
    <w:rsid w:val="74DAD11F"/>
    <w:rsid w:val="74DFA6C5"/>
    <w:rsid w:val="74E1D134"/>
    <w:rsid w:val="74E7AEF9"/>
    <w:rsid w:val="74E7C98C"/>
    <w:rsid w:val="74F26F74"/>
    <w:rsid w:val="74F47A19"/>
    <w:rsid w:val="74F83405"/>
    <w:rsid w:val="74F99604"/>
    <w:rsid w:val="74FE229E"/>
    <w:rsid w:val="74FF4A8A"/>
    <w:rsid w:val="74FFF3FA"/>
    <w:rsid w:val="750A704D"/>
    <w:rsid w:val="750B083A"/>
    <w:rsid w:val="7522CF67"/>
    <w:rsid w:val="752A8FDB"/>
    <w:rsid w:val="7532DCD7"/>
    <w:rsid w:val="7538BFE7"/>
    <w:rsid w:val="75487689"/>
    <w:rsid w:val="754D94D8"/>
    <w:rsid w:val="755F2CBB"/>
    <w:rsid w:val="756B1BEA"/>
    <w:rsid w:val="756CEF1C"/>
    <w:rsid w:val="756E664C"/>
    <w:rsid w:val="758B9312"/>
    <w:rsid w:val="759482CF"/>
    <w:rsid w:val="75A779D2"/>
    <w:rsid w:val="75B8573D"/>
    <w:rsid w:val="75C9441F"/>
    <w:rsid w:val="75CA3CF8"/>
    <w:rsid w:val="75CFCED1"/>
    <w:rsid w:val="75F6E387"/>
    <w:rsid w:val="75FF0E07"/>
    <w:rsid w:val="760289BC"/>
    <w:rsid w:val="7602FE84"/>
    <w:rsid w:val="760CADC2"/>
    <w:rsid w:val="760F1726"/>
    <w:rsid w:val="76147AF6"/>
    <w:rsid w:val="76163D25"/>
    <w:rsid w:val="761ABADE"/>
    <w:rsid w:val="761B9E33"/>
    <w:rsid w:val="762CBA5F"/>
    <w:rsid w:val="7633CFFD"/>
    <w:rsid w:val="7636E77F"/>
    <w:rsid w:val="765CA8C3"/>
    <w:rsid w:val="76640549"/>
    <w:rsid w:val="76692C08"/>
    <w:rsid w:val="766A34A2"/>
    <w:rsid w:val="766C6954"/>
    <w:rsid w:val="767EE4DF"/>
    <w:rsid w:val="7694970F"/>
    <w:rsid w:val="7697C773"/>
    <w:rsid w:val="769B6DFC"/>
    <w:rsid w:val="76B818ED"/>
    <w:rsid w:val="76BF780A"/>
    <w:rsid w:val="76BF9EF7"/>
    <w:rsid w:val="76C9EC11"/>
    <w:rsid w:val="76CA46A1"/>
    <w:rsid w:val="76D8B9C5"/>
    <w:rsid w:val="76DE52BC"/>
    <w:rsid w:val="76E09CFF"/>
    <w:rsid w:val="76E473F6"/>
    <w:rsid w:val="76EA22AA"/>
    <w:rsid w:val="76EE66C4"/>
    <w:rsid w:val="770B5F4C"/>
    <w:rsid w:val="770F92E8"/>
    <w:rsid w:val="770FB446"/>
    <w:rsid w:val="771E6A2D"/>
    <w:rsid w:val="7734C166"/>
    <w:rsid w:val="7747C06E"/>
    <w:rsid w:val="77651480"/>
    <w:rsid w:val="776B60C9"/>
    <w:rsid w:val="77774F4C"/>
    <w:rsid w:val="777E5DC6"/>
    <w:rsid w:val="7784F305"/>
    <w:rsid w:val="779ED8AA"/>
    <w:rsid w:val="77A7B935"/>
    <w:rsid w:val="77D005F4"/>
    <w:rsid w:val="77D572A0"/>
    <w:rsid w:val="77DDCC90"/>
    <w:rsid w:val="77E9247F"/>
    <w:rsid w:val="77EF0806"/>
    <w:rsid w:val="77F0F35C"/>
    <w:rsid w:val="77FB07C2"/>
    <w:rsid w:val="7802DAE2"/>
    <w:rsid w:val="780516BB"/>
    <w:rsid w:val="7821604F"/>
    <w:rsid w:val="7825575D"/>
    <w:rsid w:val="7825A7DE"/>
    <w:rsid w:val="7825EB70"/>
    <w:rsid w:val="784B2FD8"/>
    <w:rsid w:val="7850BBB1"/>
    <w:rsid w:val="785D2633"/>
    <w:rsid w:val="7860713F"/>
    <w:rsid w:val="787D25E1"/>
    <w:rsid w:val="787FF8C5"/>
    <w:rsid w:val="78860194"/>
    <w:rsid w:val="788EBCF8"/>
    <w:rsid w:val="78ABA914"/>
    <w:rsid w:val="78C8FBC4"/>
    <w:rsid w:val="78CAEE0D"/>
    <w:rsid w:val="78CECEA2"/>
    <w:rsid w:val="78D788AE"/>
    <w:rsid w:val="78DBC58C"/>
    <w:rsid w:val="78DD975D"/>
    <w:rsid w:val="78E84EB0"/>
    <w:rsid w:val="78F2CF3B"/>
    <w:rsid w:val="79090ADF"/>
    <w:rsid w:val="791134CA"/>
    <w:rsid w:val="7912036E"/>
    <w:rsid w:val="79150021"/>
    <w:rsid w:val="791974A1"/>
    <w:rsid w:val="791A5635"/>
    <w:rsid w:val="79314FBF"/>
    <w:rsid w:val="793BC507"/>
    <w:rsid w:val="79471F61"/>
    <w:rsid w:val="7949DB42"/>
    <w:rsid w:val="794C35EF"/>
    <w:rsid w:val="794E603A"/>
    <w:rsid w:val="794E99D2"/>
    <w:rsid w:val="79561C87"/>
    <w:rsid w:val="795B98D7"/>
    <w:rsid w:val="798BB658"/>
    <w:rsid w:val="7995DA1B"/>
    <w:rsid w:val="79C05C11"/>
    <w:rsid w:val="79CC6CCE"/>
    <w:rsid w:val="79CCA1C8"/>
    <w:rsid w:val="79D56FF0"/>
    <w:rsid w:val="79DBF19D"/>
    <w:rsid w:val="79E98E4B"/>
    <w:rsid w:val="7A00E21B"/>
    <w:rsid w:val="7A0388D3"/>
    <w:rsid w:val="7A0BF4DA"/>
    <w:rsid w:val="7A22256A"/>
    <w:rsid w:val="7A400FE5"/>
    <w:rsid w:val="7A4A74D6"/>
    <w:rsid w:val="7A5085DF"/>
    <w:rsid w:val="7A6AED4E"/>
    <w:rsid w:val="7A786A3D"/>
    <w:rsid w:val="7A7C59D1"/>
    <w:rsid w:val="7A7FE189"/>
    <w:rsid w:val="7A94F8CB"/>
    <w:rsid w:val="7A9D8B19"/>
    <w:rsid w:val="7AA15CED"/>
    <w:rsid w:val="7AA45B4E"/>
    <w:rsid w:val="7AA49102"/>
    <w:rsid w:val="7AA53E43"/>
    <w:rsid w:val="7AB3AAAD"/>
    <w:rsid w:val="7AB622EE"/>
    <w:rsid w:val="7ACE6C6C"/>
    <w:rsid w:val="7ADE1605"/>
    <w:rsid w:val="7AE483EB"/>
    <w:rsid w:val="7AE91132"/>
    <w:rsid w:val="7AF53CEF"/>
    <w:rsid w:val="7AF7930C"/>
    <w:rsid w:val="7AFA740C"/>
    <w:rsid w:val="7B141804"/>
    <w:rsid w:val="7B281078"/>
    <w:rsid w:val="7B2D06EB"/>
    <w:rsid w:val="7B2DBD6B"/>
    <w:rsid w:val="7B3952CA"/>
    <w:rsid w:val="7B41B9A7"/>
    <w:rsid w:val="7B43C746"/>
    <w:rsid w:val="7B52D4FE"/>
    <w:rsid w:val="7B53A597"/>
    <w:rsid w:val="7B79088D"/>
    <w:rsid w:val="7B82B0D0"/>
    <w:rsid w:val="7B8EE1FC"/>
    <w:rsid w:val="7B93BE2D"/>
    <w:rsid w:val="7BA130A0"/>
    <w:rsid w:val="7BBCDE35"/>
    <w:rsid w:val="7BCFEA6C"/>
    <w:rsid w:val="7BD57081"/>
    <w:rsid w:val="7BD7EED1"/>
    <w:rsid w:val="7BEEF43D"/>
    <w:rsid w:val="7BF2C2F2"/>
    <w:rsid w:val="7C04CC2F"/>
    <w:rsid w:val="7C0D61E4"/>
    <w:rsid w:val="7C1306BD"/>
    <w:rsid w:val="7C1E87E2"/>
    <w:rsid w:val="7C3A2379"/>
    <w:rsid w:val="7C3E4E11"/>
    <w:rsid w:val="7C4F7B0E"/>
    <w:rsid w:val="7C516F9C"/>
    <w:rsid w:val="7C5691AE"/>
    <w:rsid w:val="7C68D80F"/>
    <w:rsid w:val="7C7048A8"/>
    <w:rsid w:val="7C7A49B8"/>
    <w:rsid w:val="7C98BE74"/>
    <w:rsid w:val="7CA19ADD"/>
    <w:rsid w:val="7CB1A916"/>
    <w:rsid w:val="7CCBA42F"/>
    <w:rsid w:val="7CD0182C"/>
    <w:rsid w:val="7CD154F0"/>
    <w:rsid w:val="7CD57AE8"/>
    <w:rsid w:val="7CD6B1E2"/>
    <w:rsid w:val="7D121A62"/>
    <w:rsid w:val="7D15B19E"/>
    <w:rsid w:val="7D3A49AE"/>
    <w:rsid w:val="7D418173"/>
    <w:rsid w:val="7D4CF034"/>
    <w:rsid w:val="7D60200D"/>
    <w:rsid w:val="7D7E8928"/>
    <w:rsid w:val="7D8A0864"/>
    <w:rsid w:val="7D92BABD"/>
    <w:rsid w:val="7D99B17A"/>
    <w:rsid w:val="7DB33F44"/>
    <w:rsid w:val="7DB9109F"/>
    <w:rsid w:val="7DC08C04"/>
    <w:rsid w:val="7DC53AE7"/>
    <w:rsid w:val="7DCF48E7"/>
    <w:rsid w:val="7DD20629"/>
    <w:rsid w:val="7DDB2B04"/>
    <w:rsid w:val="7DE57491"/>
    <w:rsid w:val="7DEECB2D"/>
    <w:rsid w:val="7DF2523A"/>
    <w:rsid w:val="7E003666"/>
    <w:rsid w:val="7E05D21E"/>
    <w:rsid w:val="7E0A5554"/>
    <w:rsid w:val="7E0AA9EF"/>
    <w:rsid w:val="7E0DF565"/>
    <w:rsid w:val="7E0E1DB9"/>
    <w:rsid w:val="7E2120DE"/>
    <w:rsid w:val="7E29847D"/>
    <w:rsid w:val="7E4B8EC4"/>
    <w:rsid w:val="7E509C97"/>
    <w:rsid w:val="7E5656B0"/>
    <w:rsid w:val="7E76540C"/>
    <w:rsid w:val="7E7A7119"/>
    <w:rsid w:val="7E96F773"/>
    <w:rsid w:val="7EAE2182"/>
    <w:rsid w:val="7EC78A72"/>
    <w:rsid w:val="7EF7332A"/>
    <w:rsid w:val="7EFE1E4F"/>
    <w:rsid w:val="7F140923"/>
    <w:rsid w:val="7F259406"/>
    <w:rsid w:val="7F25DDFD"/>
    <w:rsid w:val="7F29A74F"/>
    <w:rsid w:val="7F458D87"/>
    <w:rsid w:val="7F49E9B2"/>
    <w:rsid w:val="7F5495DE"/>
    <w:rsid w:val="7F5F1C81"/>
    <w:rsid w:val="7F68ACEA"/>
    <w:rsid w:val="7F6BCED6"/>
    <w:rsid w:val="7F733E5C"/>
    <w:rsid w:val="7F7468A4"/>
    <w:rsid w:val="7F8548FB"/>
    <w:rsid w:val="7F8AED79"/>
    <w:rsid w:val="7FA1F751"/>
    <w:rsid w:val="7FAC5822"/>
    <w:rsid w:val="7FACD133"/>
    <w:rsid w:val="7FB9ECAA"/>
    <w:rsid w:val="7FC2D479"/>
    <w:rsid w:val="7FD56067"/>
    <w:rsid w:val="7FD6B2BF"/>
    <w:rsid w:val="7FFCC7EF"/>
    <w:rsid w:val="7FFCE02D"/>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D56B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hu" w:eastAsia="en-I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6C1F"/>
  </w:style>
  <w:style w:type="paragraph" w:styleId="Heading1">
    <w:name w:val="heading 1"/>
    <w:basedOn w:val="Normal"/>
    <w:next w:val="Text1"/>
    <w:link w:val="Heading1Char"/>
    <w:uiPriority w:val="9"/>
    <w:qFormat/>
    <w:pPr>
      <w:keepNext/>
      <w:spacing w:before="360" w:after="360" w:line="240" w:lineRule="auto"/>
      <w:jc w:val="center"/>
      <w:outlineLvl w:val="0"/>
    </w:pPr>
    <w:rPr>
      <w:rFonts w:ascii="Symbol" w:hAnsi="Symbol" w:cs="Symbol"/>
      <w:b/>
      <w:smallCaps/>
      <w:sz w:val="28"/>
    </w:rPr>
  </w:style>
  <w:style w:type="paragraph" w:styleId="Heading2">
    <w:name w:val="heading 2"/>
    <w:basedOn w:val="Normal"/>
    <w:next w:val="Text1"/>
    <w:link w:val="Heading2Char"/>
    <w:uiPriority w:val="9"/>
    <w:unhideWhenUsed/>
    <w:qFormat/>
    <w:pPr>
      <w:keepNext/>
      <w:numPr>
        <w:ilvl w:val="1"/>
        <w:numId w:val="51"/>
      </w:numPr>
      <w:spacing w:before="120" w:after="120" w:line="240" w:lineRule="auto"/>
      <w:jc w:val="both"/>
      <w:outlineLvl w:val="1"/>
    </w:pPr>
    <w:rPr>
      <w:rFonts w:ascii="Symbol" w:eastAsiaTheme="majorEastAsia" w:hAnsi="Symbol" w:cs="Symbol"/>
      <w:b/>
      <w:sz w:val="24"/>
    </w:rPr>
  </w:style>
  <w:style w:type="paragraph" w:styleId="Heading3">
    <w:name w:val="heading 3"/>
    <w:basedOn w:val="Normal"/>
    <w:next w:val="Text1"/>
    <w:link w:val="Heading3Char"/>
    <w:uiPriority w:val="9"/>
    <w:unhideWhenUsed/>
    <w:qFormat/>
    <w:pPr>
      <w:keepNext/>
      <w:numPr>
        <w:ilvl w:val="2"/>
        <w:numId w:val="51"/>
      </w:numPr>
      <w:spacing w:before="120" w:after="120" w:line="240" w:lineRule="auto"/>
      <w:jc w:val="both"/>
      <w:outlineLvl w:val="2"/>
    </w:pPr>
    <w:rPr>
      <w:rFonts w:ascii="Symbol" w:eastAsiaTheme="majorEastAsia" w:hAnsi="Symbol" w:cs="Symbol"/>
      <w:i/>
      <w:sz w:val="24"/>
    </w:rPr>
  </w:style>
  <w:style w:type="paragraph" w:styleId="Heading4">
    <w:name w:val="heading 4"/>
    <w:basedOn w:val="Normal"/>
    <w:next w:val="Text1"/>
    <w:link w:val="Heading4Char"/>
    <w:uiPriority w:val="9"/>
    <w:unhideWhenUsed/>
    <w:qFormat/>
    <w:pPr>
      <w:keepNext/>
      <w:numPr>
        <w:ilvl w:val="3"/>
        <w:numId w:val="51"/>
      </w:numPr>
      <w:spacing w:before="120" w:after="120" w:line="240" w:lineRule="auto"/>
      <w:jc w:val="both"/>
      <w:outlineLvl w:val="3"/>
    </w:pPr>
    <w:rPr>
      <w:rFonts w:ascii="Symbol" w:eastAsiaTheme="majorEastAsia" w:hAnsi="Symbol" w:cs="Symbol"/>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Symbol" w:hAnsi="Symbol" w:cs="Symbol"/>
      <w:b/>
      <w:smallCaps/>
      <w:sz w:val="28"/>
    </w:rPr>
  </w:style>
  <w:style w:type="character" w:customStyle="1" w:styleId="Heading2Char">
    <w:name w:val="Heading 2 Char"/>
    <w:basedOn w:val="DefaultParagraphFont"/>
    <w:link w:val="Heading2"/>
    <w:uiPriority w:val="9"/>
    <w:rPr>
      <w:rFonts w:ascii="Symbol" w:eastAsiaTheme="majorEastAsia" w:hAnsi="Symbol" w:cs="Symbol"/>
      <w:b/>
      <w:sz w:val="24"/>
    </w:rPr>
  </w:style>
  <w:style w:type="character" w:customStyle="1" w:styleId="Heading3Char">
    <w:name w:val="Heading 3 Char"/>
    <w:basedOn w:val="DefaultParagraphFont"/>
    <w:link w:val="Heading3"/>
    <w:uiPriority w:val="9"/>
    <w:rPr>
      <w:rFonts w:ascii="Symbol" w:eastAsiaTheme="majorEastAsia" w:hAnsi="Symbol" w:cs="Symbol"/>
      <w:i/>
      <w:sz w:val="24"/>
    </w:rPr>
  </w:style>
  <w:style w:type="character" w:customStyle="1" w:styleId="Heading4Char">
    <w:name w:val="Heading 4 Char"/>
    <w:basedOn w:val="DefaultParagraphFont"/>
    <w:link w:val="Heading4"/>
    <w:uiPriority w:val="9"/>
    <w:rPr>
      <w:rFonts w:ascii="Symbol" w:eastAsiaTheme="majorEastAsia" w:hAnsi="Symbol" w:cs="Symbol"/>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Symbol" w:hAnsi="Symbol" w:cs="Symbol"/>
      <w:sz w:val="24"/>
    </w:rPr>
  </w:style>
  <w:style w:type="character" w:customStyle="1" w:styleId="HeaderChar">
    <w:name w:val="Header Char"/>
    <w:basedOn w:val="DefaultParagraphFont"/>
    <w:link w:val="Header"/>
    <w:uiPriority w:val="99"/>
    <w:rPr>
      <w:rFonts w:ascii="Symbol" w:hAnsi="Symbol" w:cs="Symbol"/>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Symbol" w:hAnsi="Symbol" w:cs="Symbol"/>
      <w:sz w:val="24"/>
    </w:rPr>
  </w:style>
  <w:style w:type="character" w:customStyle="1" w:styleId="FooterChar">
    <w:name w:val="Footer Char"/>
    <w:basedOn w:val="DefaultParagraphFont"/>
    <w:link w:val="Footer"/>
    <w:uiPriority w:val="99"/>
    <w:rPr>
      <w:rFonts w:ascii="Symbol" w:hAnsi="Symbol" w:cs="Symbol"/>
      <w:sz w:val="24"/>
    </w:rPr>
  </w:style>
  <w:style w:type="paragraph" w:styleId="FootnoteText">
    <w:name w:val="footnote text"/>
    <w:basedOn w:val="Normal"/>
    <w:link w:val="FootnoteTextChar"/>
    <w:uiPriority w:val="99"/>
    <w:unhideWhenUsed/>
    <w:pPr>
      <w:spacing w:after="0" w:line="240" w:lineRule="auto"/>
      <w:ind w:left="720" w:hanging="720"/>
      <w:jc w:val="both"/>
    </w:pPr>
    <w:rPr>
      <w:rFonts w:ascii="Symbol" w:hAnsi="Symbol" w:cs="Symbol"/>
      <w:sz w:val="20"/>
    </w:rPr>
  </w:style>
  <w:style w:type="character" w:customStyle="1" w:styleId="FootnoteTextChar">
    <w:name w:val="Footnote Text Char"/>
    <w:basedOn w:val="DefaultParagraphFont"/>
    <w:link w:val="FootnoteText"/>
    <w:uiPriority w:val="99"/>
    <w:rPr>
      <w:rFonts w:ascii="Symbol" w:hAnsi="Symbol" w:cs="Symbol"/>
      <w:sz w:val="20"/>
    </w:rPr>
  </w:style>
  <w:style w:type="paragraph" w:styleId="TOCHeading">
    <w:name w:val="TOC Heading"/>
    <w:basedOn w:val="Normal"/>
    <w:next w:val="Normal"/>
    <w:uiPriority w:val="39"/>
    <w:semiHidden/>
    <w:unhideWhenUsed/>
    <w:qFormat/>
    <w:pPr>
      <w:spacing w:before="120" w:after="240" w:line="240" w:lineRule="auto"/>
      <w:jc w:val="center"/>
    </w:pPr>
    <w:rPr>
      <w:rFonts w:ascii="Symbol" w:hAnsi="Symbol" w:cs="Symbol"/>
      <w:b/>
      <w:sz w:val="28"/>
    </w:rPr>
  </w:style>
  <w:style w:type="paragraph" w:styleId="TOC1">
    <w:name w:val="toc 1"/>
    <w:basedOn w:val="Normal"/>
    <w:next w:val="Normal"/>
    <w:uiPriority w:val="39"/>
    <w:semiHidden/>
    <w:unhideWhenUsed/>
    <w:pPr>
      <w:tabs>
        <w:tab w:val="right" w:leader="dot" w:pos="9071"/>
      </w:tabs>
      <w:spacing w:before="60" w:after="120" w:line="240" w:lineRule="auto"/>
      <w:ind w:left="850" w:hanging="850"/>
    </w:pPr>
    <w:rPr>
      <w:rFonts w:ascii="Symbol" w:hAnsi="Symbol" w:cs="Symbol"/>
      <w:sz w:val="24"/>
    </w:rPr>
  </w:style>
  <w:style w:type="paragraph" w:styleId="TOC2">
    <w:name w:val="toc 2"/>
    <w:basedOn w:val="Normal"/>
    <w:next w:val="Normal"/>
    <w:uiPriority w:val="39"/>
    <w:semiHidden/>
    <w:unhideWhenUsed/>
    <w:pPr>
      <w:tabs>
        <w:tab w:val="right" w:leader="dot" w:pos="9071"/>
      </w:tabs>
      <w:spacing w:before="60" w:after="120" w:line="240" w:lineRule="auto"/>
      <w:ind w:left="850" w:hanging="850"/>
    </w:pPr>
    <w:rPr>
      <w:rFonts w:ascii="Symbol" w:hAnsi="Symbol" w:cs="Symbol"/>
      <w:sz w:val="24"/>
    </w:rPr>
  </w:style>
  <w:style w:type="paragraph" w:styleId="TOC3">
    <w:name w:val="toc 3"/>
    <w:basedOn w:val="Normal"/>
    <w:next w:val="Normal"/>
    <w:uiPriority w:val="39"/>
    <w:semiHidden/>
    <w:unhideWhenUsed/>
    <w:pPr>
      <w:tabs>
        <w:tab w:val="right" w:leader="dot" w:pos="9071"/>
      </w:tabs>
      <w:spacing w:before="60" w:after="120" w:line="240" w:lineRule="auto"/>
      <w:ind w:left="850" w:hanging="850"/>
    </w:pPr>
    <w:rPr>
      <w:rFonts w:ascii="Symbol" w:hAnsi="Symbol" w:cs="Symbol"/>
      <w:sz w:val="24"/>
    </w:rPr>
  </w:style>
  <w:style w:type="paragraph" w:styleId="TOC4">
    <w:name w:val="toc 4"/>
    <w:basedOn w:val="Normal"/>
    <w:next w:val="Normal"/>
    <w:uiPriority w:val="39"/>
    <w:semiHidden/>
    <w:unhideWhenUsed/>
    <w:pPr>
      <w:tabs>
        <w:tab w:val="right" w:leader="dot" w:pos="9071"/>
      </w:tabs>
      <w:spacing w:before="60" w:after="120" w:line="240" w:lineRule="auto"/>
      <w:ind w:left="850" w:hanging="850"/>
    </w:pPr>
    <w:rPr>
      <w:rFonts w:ascii="Symbol" w:hAnsi="Symbol" w:cs="Symbol"/>
      <w:sz w:val="24"/>
    </w:rPr>
  </w:style>
  <w:style w:type="paragraph" w:styleId="TOC5">
    <w:name w:val="toc 5"/>
    <w:basedOn w:val="Normal"/>
    <w:next w:val="Normal"/>
    <w:uiPriority w:val="39"/>
    <w:semiHidden/>
    <w:unhideWhenUsed/>
    <w:pPr>
      <w:tabs>
        <w:tab w:val="right" w:leader="dot" w:pos="9071"/>
      </w:tabs>
      <w:spacing w:before="300" w:after="120" w:line="240" w:lineRule="auto"/>
    </w:pPr>
    <w:rPr>
      <w:rFonts w:ascii="Symbol" w:hAnsi="Symbol" w:cs="Symbol"/>
      <w:sz w:val="24"/>
    </w:rPr>
  </w:style>
  <w:style w:type="paragraph" w:styleId="TOC6">
    <w:name w:val="toc 6"/>
    <w:basedOn w:val="Normal"/>
    <w:next w:val="Normal"/>
    <w:uiPriority w:val="39"/>
    <w:semiHidden/>
    <w:unhideWhenUsed/>
    <w:pPr>
      <w:tabs>
        <w:tab w:val="right" w:leader="dot" w:pos="9071"/>
      </w:tabs>
      <w:spacing w:before="240" w:after="120" w:line="240" w:lineRule="auto"/>
    </w:pPr>
    <w:rPr>
      <w:rFonts w:ascii="Symbol" w:hAnsi="Symbol" w:cs="Symbol"/>
      <w:sz w:val="24"/>
    </w:rPr>
  </w:style>
  <w:style w:type="paragraph" w:styleId="TOC7">
    <w:name w:val="toc 7"/>
    <w:basedOn w:val="Normal"/>
    <w:next w:val="Normal"/>
    <w:uiPriority w:val="39"/>
    <w:semiHidden/>
    <w:unhideWhenUsed/>
    <w:pPr>
      <w:tabs>
        <w:tab w:val="right" w:leader="dot" w:pos="9071"/>
      </w:tabs>
      <w:spacing w:before="180" w:after="120" w:line="240" w:lineRule="auto"/>
    </w:pPr>
    <w:rPr>
      <w:rFonts w:ascii="Symbol" w:hAnsi="Symbol" w:cs="Symbol"/>
      <w:sz w:val="24"/>
    </w:rPr>
  </w:style>
  <w:style w:type="paragraph" w:styleId="TOC8">
    <w:name w:val="toc 8"/>
    <w:basedOn w:val="Normal"/>
    <w:next w:val="Normal"/>
    <w:uiPriority w:val="39"/>
    <w:semiHidden/>
    <w:unhideWhenUsed/>
    <w:pPr>
      <w:tabs>
        <w:tab w:val="right" w:leader="dot" w:pos="9071"/>
      </w:tabs>
      <w:spacing w:before="120" w:after="120" w:line="240" w:lineRule="auto"/>
    </w:pPr>
    <w:rPr>
      <w:rFonts w:ascii="Symbol" w:hAnsi="Symbol" w:cs="Symbol"/>
      <w:sz w:val="24"/>
    </w:rPr>
  </w:style>
  <w:style w:type="paragraph" w:styleId="TOC9">
    <w:name w:val="toc 9"/>
    <w:basedOn w:val="Normal"/>
    <w:next w:val="Normal"/>
    <w:uiPriority w:val="39"/>
    <w:semiHidden/>
    <w:unhideWhenUsed/>
    <w:pPr>
      <w:tabs>
        <w:tab w:val="right" w:leader="dot" w:pos="9071"/>
      </w:tabs>
      <w:spacing w:before="120" w:after="120" w:line="240" w:lineRule="auto"/>
      <w:jc w:val="both"/>
    </w:pPr>
    <w:rPr>
      <w:rFonts w:ascii="Symbol" w:hAnsi="Symbol" w:cs="Symbol"/>
      <w:sz w:val="24"/>
    </w:rPr>
  </w:style>
  <w:style w:type="paragraph" w:customStyle="1" w:styleId="HeaderLandscape">
    <w:name w:val="HeaderLandscape"/>
    <w:basedOn w:val="Normal"/>
    <w:pPr>
      <w:tabs>
        <w:tab w:val="center" w:pos="7285"/>
        <w:tab w:val="right" w:pos="14003"/>
      </w:tabs>
      <w:spacing w:after="120" w:line="240" w:lineRule="auto"/>
      <w:jc w:val="both"/>
    </w:pPr>
    <w:rPr>
      <w:rFonts w:ascii="Symbol" w:hAnsi="Symbol" w:cs="Symbol"/>
      <w:sz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Symbol" w:hAnsi="Symbol" w:cs="Symbol"/>
      <w:sz w:val="24"/>
    </w:rPr>
  </w:style>
  <w:style w:type="character" w:styleId="FootnoteReference">
    <w:name w:val="footnote reference"/>
    <w:basedOn w:val="DefaultParagraphFont"/>
    <w:uiPriority w:val="99"/>
    <w:unhideWhenUsed/>
    <w:rPr>
      <w:shd w:val="clear" w:color="auto" w:fill="auto"/>
      <w:vertAlign w:val="superscript"/>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HeaderSensitivityRight">
    <w:name w:val="Header Sensitivity Right"/>
    <w:basedOn w:val="Normal"/>
    <w:link w:val="HeaderSensitivityRightChar"/>
    <w:rsid w:val="009C3800"/>
    <w:pPr>
      <w:spacing w:after="120" w:line="240" w:lineRule="auto"/>
      <w:jc w:val="right"/>
    </w:pPr>
    <w:rPr>
      <w:rFonts w:ascii="Times New Roman" w:hAnsi="Times New Roman" w:cs="Times New Roman"/>
      <w:sz w:val="28"/>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Text1">
    <w:name w:val="Text 1"/>
    <w:basedOn w:val="Normal"/>
    <w:pPr>
      <w:spacing w:before="120" w:after="120" w:line="240" w:lineRule="auto"/>
      <w:ind w:left="850"/>
      <w:jc w:val="both"/>
    </w:pPr>
    <w:rPr>
      <w:rFonts w:ascii="Symbol" w:hAnsi="Symbol" w:cs="Symbol"/>
      <w:sz w:val="24"/>
    </w:rPr>
  </w:style>
  <w:style w:type="paragraph" w:customStyle="1" w:styleId="Text2">
    <w:name w:val="Text 2"/>
    <w:basedOn w:val="Normal"/>
    <w:pPr>
      <w:spacing w:before="120" w:after="120" w:line="240" w:lineRule="auto"/>
      <w:ind w:left="1417"/>
      <w:jc w:val="both"/>
    </w:pPr>
    <w:rPr>
      <w:rFonts w:ascii="Symbol" w:hAnsi="Symbol" w:cs="Symbol"/>
      <w:sz w:val="24"/>
    </w:rPr>
  </w:style>
  <w:style w:type="paragraph" w:customStyle="1" w:styleId="Text3">
    <w:name w:val="Text 3"/>
    <w:basedOn w:val="Normal"/>
    <w:pPr>
      <w:spacing w:before="120" w:after="120" w:line="240" w:lineRule="auto"/>
      <w:ind w:left="1984"/>
      <w:jc w:val="both"/>
    </w:pPr>
    <w:rPr>
      <w:rFonts w:ascii="Symbol" w:hAnsi="Symbol" w:cs="Symbol"/>
      <w:sz w:val="24"/>
    </w:rPr>
  </w:style>
  <w:style w:type="paragraph" w:customStyle="1" w:styleId="Text4">
    <w:name w:val="Text 4"/>
    <w:basedOn w:val="Normal"/>
    <w:pPr>
      <w:spacing w:before="120" w:after="120" w:line="240" w:lineRule="auto"/>
      <w:ind w:left="2551"/>
      <w:jc w:val="both"/>
    </w:pPr>
    <w:rPr>
      <w:rFonts w:ascii="Symbol" w:hAnsi="Symbol" w:cs="Symbol"/>
      <w:sz w:val="24"/>
    </w:rPr>
  </w:style>
  <w:style w:type="paragraph" w:customStyle="1" w:styleId="NormalCentered">
    <w:name w:val="Normal Centered"/>
    <w:basedOn w:val="Normal"/>
    <w:pPr>
      <w:spacing w:before="120" w:after="120" w:line="240" w:lineRule="auto"/>
      <w:jc w:val="center"/>
    </w:pPr>
    <w:rPr>
      <w:rFonts w:ascii="Symbol" w:hAnsi="Symbol" w:cs="Symbol"/>
      <w:sz w:val="24"/>
    </w:rPr>
  </w:style>
  <w:style w:type="paragraph" w:customStyle="1" w:styleId="NormalLeft">
    <w:name w:val="Normal Left"/>
    <w:basedOn w:val="Normal"/>
    <w:pPr>
      <w:spacing w:before="120" w:after="120" w:line="240" w:lineRule="auto"/>
    </w:pPr>
    <w:rPr>
      <w:rFonts w:ascii="Symbol" w:hAnsi="Symbol" w:cs="Symbol"/>
      <w:sz w:val="24"/>
    </w:rPr>
  </w:style>
  <w:style w:type="paragraph" w:customStyle="1" w:styleId="NormalRight">
    <w:name w:val="Normal Right"/>
    <w:basedOn w:val="Normal"/>
    <w:pPr>
      <w:spacing w:before="120" w:after="120" w:line="240" w:lineRule="auto"/>
      <w:jc w:val="right"/>
    </w:pPr>
    <w:rPr>
      <w:rFonts w:ascii="Symbol" w:hAnsi="Symbol" w:cs="Symbol"/>
      <w:sz w:val="24"/>
    </w:rPr>
  </w:style>
  <w:style w:type="paragraph" w:customStyle="1" w:styleId="QuotedText">
    <w:name w:val="Quoted Text"/>
    <w:basedOn w:val="Normal"/>
    <w:pPr>
      <w:spacing w:before="120" w:after="120" w:line="240" w:lineRule="auto"/>
      <w:ind w:left="1417"/>
      <w:jc w:val="both"/>
    </w:pPr>
    <w:rPr>
      <w:rFonts w:ascii="Symbol" w:hAnsi="Symbol" w:cs="Symbol"/>
      <w:sz w:val="24"/>
    </w:rPr>
  </w:style>
  <w:style w:type="paragraph" w:customStyle="1" w:styleId="Point0">
    <w:name w:val="Point 0"/>
    <w:basedOn w:val="Normal"/>
    <w:pPr>
      <w:spacing w:before="120" w:after="120" w:line="240" w:lineRule="auto"/>
      <w:ind w:left="850" w:hanging="850"/>
      <w:jc w:val="both"/>
    </w:pPr>
    <w:rPr>
      <w:rFonts w:ascii="Symbol" w:hAnsi="Symbol" w:cs="Symbol"/>
      <w:sz w:val="24"/>
    </w:rPr>
  </w:style>
  <w:style w:type="paragraph" w:customStyle="1" w:styleId="Point1">
    <w:name w:val="Point 1"/>
    <w:basedOn w:val="Normal"/>
    <w:pPr>
      <w:spacing w:before="120" w:after="120" w:line="240" w:lineRule="auto"/>
      <w:ind w:left="1417" w:hanging="567"/>
      <w:jc w:val="both"/>
    </w:pPr>
    <w:rPr>
      <w:rFonts w:ascii="Symbol" w:hAnsi="Symbol" w:cs="Symbol"/>
      <w:sz w:val="24"/>
    </w:rPr>
  </w:style>
  <w:style w:type="paragraph" w:customStyle="1" w:styleId="Point2">
    <w:name w:val="Point 2"/>
    <w:basedOn w:val="Normal"/>
    <w:pPr>
      <w:spacing w:before="120" w:after="120" w:line="240" w:lineRule="auto"/>
      <w:ind w:left="1984" w:hanging="567"/>
      <w:jc w:val="both"/>
    </w:pPr>
    <w:rPr>
      <w:rFonts w:ascii="Symbol" w:hAnsi="Symbol" w:cs="Symbol"/>
      <w:sz w:val="24"/>
    </w:rPr>
  </w:style>
  <w:style w:type="paragraph" w:customStyle="1" w:styleId="Point3">
    <w:name w:val="Point 3"/>
    <w:basedOn w:val="Normal"/>
    <w:pPr>
      <w:spacing w:before="120" w:after="120" w:line="240" w:lineRule="auto"/>
      <w:ind w:left="2551" w:hanging="567"/>
      <w:jc w:val="both"/>
    </w:pPr>
    <w:rPr>
      <w:rFonts w:ascii="Symbol" w:hAnsi="Symbol" w:cs="Symbol"/>
      <w:sz w:val="24"/>
    </w:rPr>
  </w:style>
  <w:style w:type="paragraph" w:customStyle="1" w:styleId="Point4">
    <w:name w:val="Point 4"/>
    <w:basedOn w:val="Normal"/>
    <w:pPr>
      <w:spacing w:before="120" w:after="120" w:line="240" w:lineRule="auto"/>
      <w:ind w:left="3118" w:hanging="567"/>
      <w:jc w:val="both"/>
    </w:pPr>
    <w:rPr>
      <w:rFonts w:ascii="Symbol" w:hAnsi="Symbol" w:cs="Symbol"/>
      <w:sz w:val="24"/>
    </w:rPr>
  </w:style>
  <w:style w:type="paragraph" w:customStyle="1" w:styleId="Tiret0">
    <w:name w:val="Tiret 0"/>
    <w:basedOn w:val="Point0"/>
    <w:pPr>
      <w:numPr>
        <w:numId w:val="45"/>
      </w:numPr>
    </w:pPr>
  </w:style>
  <w:style w:type="paragraph" w:customStyle="1" w:styleId="Tiret1">
    <w:name w:val="Tiret 1"/>
    <w:basedOn w:val="Point1"/>
    <w:pPr>
      <w:numPr>
        <w:numId w:val="46"/>
      </w:numPr>
    </w:pPr>
  </w:style>
  <w:style w:type="paragraph" w:customStyle="1" w:styleId="Tiret2">
    <w:name w:val="Tiret 2"/>
    <w:basedOn w:val="Point2"/>
    <w:pPr>
      <w:numPr>
        <w:numId w:val="47"/>
      </w:numPr>
    </w:pPr>
  </w:style>
  <w:style w:type="paragraph" w:customStyle="1" w:styleId="Tiret3">
    <w:name w:val="Tiret 3"/>
    <w:basedOn w:val="Point3"/>
    <w:pPr>
      <w:numPr>
        <w:numId w:val="48"/>
      </w:numPr>
    </w:pPr>
  </w:style>
  <w:style w:type="paragraph" w:customStyle="1" w:styleId="Tiret4">
    <w:name w:val="Tiret 4"/>
    <w:basedOn w:val="Point4"/>
    <w:pPr>
      <w:numPr>
        <w:numId w:val="49"/>
      </w:numPr>
    </w:pPr>
  </w:style>
  <w:style w:type="paragraph" w:customStyle="1" w:styleId="PointDouble0">
    <w:name w:val="PointDouble 0"/>
    <w:basedOn w:val="Normal"/>
    <w:pPr>
      <w:tabs>
        <w:tab w:val="left" w:pos="850"/>
      </w:tabs>
      <w:spacing w:before="120" w:after="120" w:line="240" w:lineRule="auto"/>
      <w:ind w:left="1417" w:hanging="1417"/>
      <w:jc w:val="both"/>
    </w:pPr>
    <w:rPr>
      <w:rFonts w:ascii="Symbol" w:hAnsi="Symbol" w:cs="Symbol"/>
      <w:sz w:val="24"/>
    </w:rPr>
  </w:style>
  <w:style w:type="paragraph" w:customStyle="1" w:styleId="PointDouble1">
    <w:name w:val="PointDouble 1"/>
    <w:basedOn w:val="Normal"/>
    <w:pPr>
      <w:tabs>
        <w:tab w:val="left" w:pos="1417"/>
      </w:tabs>
      <w:spacing w:before="120" w:after="120" w:line="240" w:lineRule="auto"/>
      <w:ind w:left="1984" w:hanging="1134"/>
      <w:jc w:val="both"/>
    </w:pPr>
    <w:rPr>
      <w:rFonts w:ascii="Symbol" w:hAnsi="Symbol" w:cs="Symbol"/>
      <w:sz w:val="24"/>
    </w:rPr>
  </w:style>
  <w:style w:type="paragraph" w:customStyle="1" w:styleId="PointDouble2">
    <w:name w:val="PointDouble 2"/>
    <w:basedOn w:val="Normal"/>
    <w:pPr>
      <w:tabs>
        <w:tab w:val="left" w:pos="1984"/>
      </w:tabs>
      <w:spacing w:before="120" w:after="120" w:line="240" w:lineRule="auto"/>
      <w:ind w:left="2551" w:hanging="1134"/>
      <w:jc w:val="both"/>
    </w:pPr>
    <w:rPr>
      <w:rFonts w:ascii="Symbol" w:hAnsi="Symbol" w:cs="Symbol"/>
      <w:sz w:val="24"/>
    </w:rPr>
  </w:style>
  <w:style w:type="paragraph" w:customStyle="1" w:styleId="PointDouble3">
    <w:name w:val="PointDouble 3"/>
    <w:basedOn w:val="Normal"/>
    <w:pPr>
      <w:tabs>
        <w:tab w:val="left" w:pos="2551"/>
      </w:tabs>
      <w:spacing w:before="120" w:after="120" w:line="240" w:lineRule="auto"/>
      <w:ind w:left="3118" w:hanging="1134"/>
      <w:jc w:val="both"/>
    </w:pPr>
    <w:rPr>
      <w:rFonts w:ascii="Symbol" w:hAnsi="Symbol" w:cs="Symbol"/>
      <w:sz w:val="24"/>
    </w:rPr>
  </w:style>
  <w:style w:type="paragraph" w:customStyle="1" w:styleId="PointDouble4">
    <w:name w:val="PointDouble 4"/>
    <w:basedOn w:val="Normal"/>
    <w:pPr>
      <w:tabs>
        <w:tab w:val="left" w:pos="3118"/>
      </w:tabs>
      <w:spacing w:before="120" w:after="120" w:line="240" w:lineRule="auto"/>
      <w:ind w:left="3685" w:hanging="1134"/>
      <w:jc w:val="both"/>
    </w:pPr>
    <w:rPr>
      <w:rFonts w:ascii="Symbol" w:hAnsi="Symbol" w:cs="Symbol"/>
      <w:sz w:val="24"/>
    </w:rPr>
  </w:style>
  <w:style w:type="paragraph" w:customStyle="1" w:styleId="PointTriple0">
    <w:name w:val="PointTriple 0"/>
    <w:basedOn w:val="Normal"/>
    <w:pPr>
      <w:tabs>
        <w:tab w:val="left" w:pos="850"/>
        <w:tab w:val="left" w:pos="1417"/>
      </w:tabs>
      <w:spacing w:before="120" w:after="120" w:line="240" w:lineRule="auto"/>
      <w:ind w:left="1984" w:hanging="1984"/>
      <w:jc w:val="both"/>
    </w:pPr>
    <w:rPr>
      <w:rFonts w:ascii="Symbol" w:hAnsi="Symbol" w:cs="Symbol"/>
      <w:sz w:val="24"/>
    </w:rPr>
  </w:style>
  <w:style w:type="paragraph" w:customStyle="1" w:styleId="PointTriple1">
    <w:name w:val="PointTriple 1"/>
    <w:basedOn w:val="Normal"/>
    <w:pPr>
      <w:tabs>
        <w:tab w:val="left" w:pos="1417"/>
        <w:tab w:val="left" w:pos="1984"/>
      </w:tabs>
      <w:spacing w:before="120" w:after="120" w:line="240" w:lineRule="auto"/>
      <w:ind w:left="2551" w:hanging="1701"/>
      <w:jc w:val="both"/>
    </w:pPr>
    <w:rPr>
      <w:rFonts w:ascii="Symbol" w:hAnsi="Symbol" w:cs="Symbol"/>
      <w:sz w:val="24"/>
    </w:rPr>
  </w:style>
  <w:style w:type="paragraph" w:customStyle="1" w:styleId="PointTriple2">
    <w:name w:val="PointTriple 2"/>
    <w:basedOn w:val="Normal"/>
    <w:pPr>
      <w:tabs>
        <w:tab w:val="left" w:pos="1984"/>
        <w:tab w:val="left" w:pos="2551"/>
      </w:tabs>
      <w:spacing w:before="120" w:after="120" w:line="240" w:lineRule="auto"/>
      <w:ind w:left="3118" w:hanging="1701"/>
      <w:jc w:val="both"/>
    </w:pPr>
    <w:rPr>
      <w:rFonts w:ascii="Symbol" w:hAnsi="Symbol" w:cs="Symbol"/>
      <w:sz w:val="24"/>
    </w:rPr>
  </w:style>
  <w:style w:type="paragraph" w:customStyle="1" w:styleId="PointTriple3">
    <w:name w:val="PointTriple 3"/>
    <w:basedOn w:val="Normal"/>
    <w:pPr>
      <w:tabs>
        <w:tab w:val="left" w:pos="2551"/>
        <w:tab w:val="left" w:pos="3118"/>
      </w:tabs>
      <w:spacing w:before="120" w:after="120" w:line="240" w:lineRule="auto"/>
      <w:ind w:left="3685" w:hanging="1701"/>
      <w:jc w:val="both"/>
    </w:pPr>
    <w:rPr>
      <w:rFonts w:ascii="Symbol" w:hAnsi="Symbol" w:cs="Symbol"/>
      <w:sz w:val="24"/>
    </w:rPr>
  </w:style>
  <w:style w:type="paragraph" w:customStyle="1" w:styleId="PointTriple4">
    <w:name w:val="PointTriple 4"/>
    <w:basedOn w:val="Normal"/>
    <w:pPr>
      <w:tabs>
        <w:tab w:val="left" w:pos="3118"/>
        <w:tab w:val="left" w:pos="3685"/>
      </w:tabs>
      <w:spacing w:before="120" w:after="120" w:line="240" w:lineRule="auto"/>
      <w:ind w:left="4252" w:hanging="1701"/>
      <w:jc w:val="both"/>
    </w:pPr>
    <w:rPr>
      <w:rFonts w:ascii="Symbol" w:hAnsi="Symbol" w:cs="Symbol"/>
      <w:sz w:val="24"/>
    </w:rPr>
  </w:style>
  <w:style w:type="paragraph" w:customStyle="1" w:styleId="NumPar1">
    <w:name w:val="NumPar 1"/>
    <w:basedOn w:val="Normal"/>
    <w:next w:val="Text1"/>
    <w:pPr>
      <w:numPr>
        <w:numId w:val="50"/>
      </w:numPr>
      <w:spacing w:before="120" w:after="120" w:line="240" w:lineRule="auto"/>
      <w:jc w:val="both"/>
    </w:pPr>
    <w:rPr>
      <w:rFonts w:ascii="Segoe UI" w:hAnsi="Segoe UI" w:cs="Segoe UI"/>
      <w:sz w:val="24"/>
    </w:rPr>
  </w:style>
  <w:style w:type="paragraph" w:customStyle="1" w:styleId="NumPar2">
    <w:name w:val="NumPar 2"/>
    <w:basedOn w:val="Normal"/>
    <w:next w:val="Text1"/>
    <w:pPr>
      <w:numPr>
        <w:ilvl w:val="1"/>
        <w:numId w:val="50"/>
      </w:numPr>
      <w:tabs>
        <w:tab w:val="clear" w:pos="6236"/>
        <w:tab w:val="num" w:pos="850"/>
      </w:tabs>
      <w:spacing w:before="120" w:after="120" w:line="240" w:lineRule="auto"/>
      <w:ind w:left="850"/>
      <w:jc w:val="both"/>
    </w:pPr>
    <w:rPr>
      <w:rFonts w:ascii="Symbol" w:hAnsi="Symbol" w:cs="Symbol"/>
      <w:sz w:val="24"/>
    </w:rPr>
  </w:style>
  <w:style w:type="paragraph" w:customStyle="1" w:styleId="NumPar3">
    <w:name w:val="NumPar 3"/>
    <w:basedOn w:val="Normal"/>
    <w:next w:val="Text1"/>
    <w:pPr>
      <w:numPr>
        <w:ilvl w:val="2"/>
        <w:numId w:val="50"/>
      </w:numPr>
      <w:spacing w:before="120" w:after="120" w:line="240" w:lineRule="auto"/>
      <w:jc w:val="both"/>
    </w:pPr>
    <w:rPr>
      <w:rFonts w:ascii="Symbol" w:hAnsi="Symbol" w:cs="Symbol"/>
      <w:sz w:val="24"/>
    </w:rPr>
  </w:style>
  <w:style w:type="paragraph" w:customStyle="1" w:styleId="NumPar4">
    <w:name w:val="NumPar 4"/>
    <w:basedOn w:val="Normal"/>
    <w:next w:val="Text1"/>
    <w:pPr>
      <w:numPr>
        <w:ilvl w:val="3"/>
        <w:numId w:val="50"/>
      </w:numPr>
      <w:spacing w:before="120" w:after="120" w:line="240" w:lineRule="auto"/>
      <w:jc w:val="both"/>
    </w:pPr>
    <w:rPr>
      <w:rFonts w:ascii="Symbol" w:hAnsi="Symbol" w:cs="Symbol"/>
      <w:sz w:val="24"/>
    </w:rPr>
  </w:style>
  <w:style w:type="paragraph" w:customStyle="1" w:styleId="ManualNumPar1">
    <w:name w:val="Manual NumPar 1"/>
    <w:basedOn w:val="Normal"/>
    <w:next w:val="Text1"/>
    <w:pPr>
      <w:spacing w:before="120" w:after="120" w:line="240" w:lineRule="auto"/>
      <w:ind w:left="850" w:hanging="850"/>
      <w:jc w:val="both"/>
    </w:pPr>
    <w:rPr>
      <w:rFonts w:ascii="Symbol" w:hAnsi="Symbol" w:cs="Symbol"/>
      <w:sz w:val="24"/>
    </w:rPr>
  </w:style>
  <w:style w:type="paragraph" w:customStyle="1" w:styleId="ManualNumPar2">
    <w:name w:val="Manual NumPar 2"/>
    <w:basedOn w:val="Normal"/>
    <w:next w:val="Text1"/>
    <w:pPr>
      <w:spacing w:before="120" w:after="120" w:line="240" w:lineRule="auto"/>
      <w:ind w:left="850" w:hanging="850"/>
      <w:jc w:val="both"/>
    </w:pPr>
    <w:rPr>
      <w:rFonts w:ascii="Symbol" w:hAnsi="Symbol" w:cs="Symbol"/>
      <w:sz w:val="24"/>
    </w:rPr>
  </w:style>
  <w:style w:type="paragraph" w:customStyle="1" w:styleId="ManualNumPar3">
    <w:name w:val="Manual NumPar 3"/>
    <w:basedOn w:val="Normal"/>
    <w:next w:val="Text1"/>
    <w:pPr>
      <w:spacing w:before="120" w:after="120" w:line="240" w:lineRule="auto"/>
      <w:ind w:left="850" w:hanging="850"/>
      <w:jc w:val="both"/>
    </w:pPr>
    <w:rPr>
      <w:rFonts w:ascii="Symbol" w:hAnsi="Symbol" w:cs="Symbol"/>
      <w:sz w:val="24"/>
    </w:rPr>
  </w:style>
  <w:style w:type="paragraph" w:customStyle="1" w:styleId="ManualNumPar4">
    <w:name w:val="Manual NumPar 4"/>
    <w:basedOn w:val="Normal"/>
    <w:next w:val="Text1"/>
    <w:pPr>
      <w:spacing w:before="120" w:after="120" w:line="240" w:lineRule="auto"/>
      <w:ind w:left="850" w:hanging="850"/>
      <w:jc w:val="both"/>
    </w:pPr>
    <w:rPr>
      <w:rFonts w:ascii="Symbol" w:hAnsi="Symbol" w:cs="Symbol"/>
      <w:sz w:val="24"/>
    </w:rPr>
  </w:style>
  <w:style w:type="paragraph" w:customStyle="1" w:styleId="QuotedNumPar">
    <w:name w:val="Quoted NumPar"/>
    <w:basedOn w:val="Normal"/>
    <w:pPr>
      <w:spacing w:before="120" w:after="120" w:line="240" w:lineRule="auto"/>
      <w:ind w:left="1417" w:hanging="567"/>
      <w:jc w:val="both"/>
    </w:pPr>
    <w:rPr>
      <w:rFonts w:ascii="Symbol" w:hAnsi="Symbol" w:cs="Symbol"/>
      <w:sz w:val="24"/>
    </w:rPr>
  </w:style>
  <w:style w:type="paragraph" w:customStyle="1" w:styleId="ManualHeading1">
    <w:name w:val="Manual Heading 1"/>
    <w:basedOn w:val="Normal"/>
    <w:next w:val="Text1"/>
    <w:pPr>
      <w:keepNext/>
      <w:tabs>
        <w:tab w:val="left" w:pos="850"/>
      </w:tabs>
      <w:spacing w:before="360" w:after="120" w:line="240" w:lineRule="auto"/>
      <w:ind w:left="850" w:hanging="850"/>
      <w:jc w:val="both"/>
      <w:outlineLvl w:val="0"/>
    </w:pPr>
    <w:rPr>
      <w:rFonts w:ascii="Symbol" w:hAnsi="Symbol" w:cs="Symbol"/>
      <w:b/>
      <w:smallCaps/>
      <w:sz w:val="24"/>
    </w:rPr>
  </w:style>
  <w:style w:type="paragraph" w:customStyle="1" w:styleId="ManualHeading2">
    <w:name w:val="Manual Heading 2"/>
    <w:basedOn w:val="Normal"/>
    <w:next w:val="Text1"/>
    <w:pPr>
      <w:keepNext/>
      <w:tabs>
        <w:tab w:val="left" w:pos="850"/>
      </w:tabs>
      <w:spacing w:before="120" w:after="120" w:line="240" w:lineRule="auto"/>
      <w:ind w:left="850" w:hanging="850"/>
      <w:jc w:val="both"/>
      <w:outlineLvl w:val="1"/>
    </w:pPr>
    <w:rPr>
      <w:rFonts w:ascii="Symbol" w:hAnsi="Symbol" w:cs="Symbol"/>
      <w:b/>
      <w:sz w:val="24"/>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ascii="Symbol" w:hAnsi="Symbol" w:cs="Symbol"/>
      <w:i/>
      <w:sz w:val="24"/>
    </w:rPr>
  </w:style>
  <w:style w:type="paragraph" w:customStyle="1" w:styleId="ManualHeading4">
    <w:name w:val="Manual Heading 4"/>
    <w:basedOn w:val="Normal"/>
    <w:next w:val="Text1"/>
    <w:pPr>
      <w:keepNext/>
      <w:tabs>
        <w:tab w:val="left" w:pos="850"/>
      </w:tabs>
      <w:spacing w:before="120" w:after="120" w:line="240" w:lineRule="auto"/>
      <w:ind w:left="850" w:hanging="850"/>
      <w:jc w:val="both"/>
      <w:outlineLvl w:val="3"/>
    </w:pPr>
    <w:rPr>
      <w:rFonts w:ascii="Symbol" w:hAnsi="Symbol" w:cs="Symbol"/>
      <w:sz w:val="24"/>
    </w:rPr>
  </w:style>
  <w:style w:type="paragraph" w:customStyle="1" w:styleId="ChapterTitle">
    <w:name w:val="ChapterTitle"/>
    <w:basedOn w:val="Normal"/>
    <w:next w:val="Normal"/>
    <w:pPr>
      <w:keepNext/>
      <w:spacing w:before="120" w:after="360" w:line="240" w:lineRule="auto"/>
      <w:jc w:val="center"/>
    </w:pPr>
    <w:rPr>
      <w:rFonts w:ascii="Symbol" w:hAnsi="Symbol" w:cs="Symbol"/>
      <w:b/>
      <w:sz w:val="32"/>
    </w:rPr>
  </w:style>
  <w:style w:type="paragraph" w:customStyle="1" w:styleId="PartTitle">
    <w:name w:val="PartTitle"/>
    <w:basedOn w:val="Normal"/>
    <w:next w:val="ChapterTitle"/>
    <w:pPr>
      <w:keepNext/>
      <w:pageBreakBefore/>
      <w:spacing w:before="120" w:after="360" w:line="240" w:lineRule="auto"/>
      <w:jc w:val="center"/>
    </w:pPr>
    <w:rPr>
      <w:rFonts w:ascii="Symbol" w:hAnsi="Symbol" w:cs="Symbol"/>
      <w:b/>
      <w:sz w:val="36"/>
    </w:rPr>
  </w:style>
  <w:style w:type="paragraph" w:customStyle="1" w:styleId="SectionTitle">
    <w:name w:val="SectionTitle"/>
    <w:basedOn w:val="Normal"/>
    <w:next w:val="Heading1"/>
    <w:pPr>
      <w:keepNext/>
      <w:spacing w:before="120" w:after="360" w:line="240" w:lineRule="auto"/>
      <w:jc w:val="center"/>
    </w:pPr>
    <w:rPr>
      <w:rFonts w:ascii="Symbol" w:hAnsi="Symbol" w:cs="Symbol"/>
      <w:b/>
      <w:smallCaps/>
      <w:sz w:val="28"/>
    </w:rPr>
  </w:style>
  <w:style w:type="paragraph" w:customStyle="1" w:styleId="TableTitle">
    <w:name w:val="Table Title"/>
    <w:basedOn w:val="Normal"/>
    <w:next w:val="Normal"/>
    <w:pPr>
      <w:spacing w:before="120" w:after="120" w:line="240" w:lineRule="auto"/>
      <w:jc w:val="center"/>
    </w:pPr>
    <w:rPr>
      <w:rFonts w:ascii="Symbol" w:hAnsi="Symbol" w:cs="Symbol"/>
      <w:b/>
      <w:sz w:val="24"/>
    </w:rPr>
  </w:style>
  <w:style w:type="character" w:customStyle="1" w:styleId="Marker">
    <w:name w:val="Marker"/>
    <w:basedOn w:val="DefaultParagraphFont"/>
    <w:rsid w:val="00AD7D86"/>
    <w:rPr>
      <w:color w:val="0000FF"/>
      <w:bdr w:val="none" w:sz="0" w:space="0" w:color="auto"/>
      <w:shd w:val="clear" w:color="auto" w:fill="auto"/>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52"/>
      </w:numPr>
      <w:spacing w:before="120" w:after="120" w:line="240" w:lineRule="auto"/>
      <w:jc w:val="both"/>
    </w:pPr>
    <w:rPr>
      <w:rFonts w:ascii="Segoe UI" w:hAnsi="Segoe UI" w:cs="Segoe UI"/>
      <w:sz w:val="24"/>
    </w:rPr>
  </w:style>
  <w:style w:type="paragraph" w:customStyle="1" w:styleId="Point1number">
    <w:name w:val="Point 1 (number)"/>
    <w:basedOn w:val="Normal"/>
    <w:pPr>
      <w:numPr>
        <w:ilvl w:val="2"/>
        <w:numId w:val="52"/>
      </w:numPr>
      <w:spacing w:before="120" w:after="120" w:line="240" w:lineRule="auto"/>
      <w:jc w:val="both"/>
    </w:pPr>
    <w:rPr>
      <w:rFonts w:ascii="Symbol" w:hAnsi="Symbol" w:cs="Symbol"/>
      <w:sz w:val="24"/>
    </w:rPr>
  </w:style>
  <w:style w:type="paragraph" w:customStyle="1" w:styleId="Point2number">
    <w:name w:val="Point 2 (number)"/>
    <w:basedOn w:val="Normal"/>
    <w:pPr>
      <w:numPr>
        <w:ilvl w:val="4"/>
        <w:numId w:val="52"/>
      </w:numPr>
      <w:spacing w:before="120" w:after="120" w:line="240" w:lineRule="auto"/>
      <w:jc w:val="both"/>
    </w:pPr>
    <w:rPr>
      <w:rFonts w:ascii="Symbol" w:hAnsi="Symbol" w:cs="Symbol"/>
      <w:sz w:val="24"/>
    </w:rPr>
  </w:style>
  <w:style w:type="paragraph" w:customStyle="1" w:styleId="Point3number">
    <w:name w:val="Point 3 (number)"/>
    <w:basedOn w:val="Normal"/>
    <w:pPr>
      <w:numPr>
        <w:ilvl w:val="6"/>
        <w:numId w:val="52"/>
      </w:numPr>
      <w:spacing w:before="120" w:after="120" w:line="240" w:lineRule="auto"/>
      <w:jc w:val="both"/>
    </w:pPr>
    <w:rPr>
      <w:rFonts w:ascii="Symbol" w:hAnsi="Symbol" w:cs="Symbol"/>
      <w:sz w:val="24"/>
    </w:rPr>
  </w:style>
  <w:style w:type="paragraph" w:customStyle="1" w:styleId="Point0letter">
    <w:name w:val="Point 0 (letter)"/>
    <w:basedOn w:val="Normal"/>
    <w:pPr>
      <w:numPr>
        <w:ilvl w:val="1"/>
        <w:numId w:val="52"/>
      </w:numPr>
      <w:spacing w:before="120" w:after="120" w:line="240" w:lineRule="auto"/>
      <w:jc w:val="both"/>
    </w:pPr>
    <w:rPr>
      <w:rFonts w:ascii="Symbol" w:hAnsi="Symbol" w:cs="Symbol"/>
      <w:sz w:val="24"/>
    </w:rPr>
  </w:style>
  <w:style w:type="paragraph" w:customStyle="1" w:styleId="Point1letter">
    <w:name w:val="Point 1 (letter)"/>
    <w:basedOn w:val="Normal"/>
    <w:pPr>
      <w:numPr>
        <w:ilvl w:val="3"/>
        <w:numId w:val="52"/>
      </w:numPr>
      <w:spacing w:before="120" w:after="120" w:line="240" w:lineRule="auto"/>
      <w:jc w:val="both"/>
    </w:pPr>
    <w:rPr>
      <w:rFonts w:ascii="Symbol" w:hAnsi="Symbol" w:cs="Symbol"/>
      <w:sz w:val="24"/>
    </w:rPr>
  </w:style>
  <w:style w:type="paragraph" w:customStyle="1" w:styleId="Point2letter">
    <w:name w:val="Point 2 (letter)"/>
    <w:basedOn w:val="Normal"/>
    <w:pPr>
      <w:numPr>
        <w:ilvl w:val="5"/>
        <w:numId w:val="52"/>
      </w:numPr>
      <w:spacing w:before="120" w:after="120" w:line="240" w:lineRule="auto"/>
      <w:jc w:val="both"/>
    </w:pPr>
    <w:rPr>
      <w:rFonts w:ascii="Symbol" w:hAnsi="Symbol" w:cs="Symbol"/>
      <w:sz w:val="24"/>
    </w:rPr>
  </w:style>
  <w:style w:type="paragraph" w:customStyle="1" w:styleId="Point3letter">
    <w:name w:val="Point 3 (letter)"/>
    <w:basedOn w:val="Normal"/>
    <w:pPr>
      <w:numPr>
        <w:ilvl w:val="7"/>
        <w:numId w:val="52"/>
      </w:numPr>
      <w:spacing w:before="120" w:after="120" w:line="240" w:lineRule="auto"/>
      <w:jc w:val="both"/>
    </w:pPr>
    <w:rPr>
      <w:rFonts w:ascii="Symbol" w:hAnsi="Symbol" w:cs="Symbol"/>
      <w:sz w:val="24"/>
    </w:rPr>
  </w:style>
  <w:style w:type="paragraph" w:customStyle="1" w:styleId="Point4letter">
    <w:name w:val="Point 4 (letter)"/>
    <w:basedOn w:val="Normal"/>
    <w:pPr>
      <w:numPr>
        <w:ilvl w:val="8"/>
        <w:numId w:val="52"/>
      </w:numPr>
      <w:spacing w:before="120" w:after="120" w:line="240" w:lineRule="auto"/>
      <w:jc w:val="both"/>
    </w:pPr>
    <w:rPr>
      <w:rFonts w:ascii="Symbol" w:hAnsi="Symbol" w:cs="Symbol"/>
      <w:sz w:val="24"/>
    </w:rPr>
  </w:style>
  <w:style w:type="paragraph" w:customStyle="1" w:styleId="Bullet0">
    <w:name w:val="Bullet 0"/>
    <w:basedOn w:val="Normal"/>
    <w:pPr>
      <w:numPr>
        <w:numId w:val="53"/>
      </w:numPr>
      <w:spacing w:before="120" w:after="120" w:line="240" w:lineRule="auto"/>
      <w:jc w:val="both"/>
    </w:pPr>
    <w:rPr>
      <w:rFonts w:ascii="Segoe UI" w:hAnsi="Segoe UI" w:cs="Segoe UI"/>
      <w:sz w:val="24"/>
    </w:rPr>
  </w:style>
  <w:style w:type="paragraph" w:customStyle="1" w:styleId="Bullet1">
    <w:name w:val="Bullet 1"/>
    <w:basedOn w:val="Normal"/>
    <w:link w:val="Bullet1Char"/>
    <w:qFormat/>
    <w:pPr>
      <w:numPr>
        <w:numId w:val="54"/>
      </w:numPr>
      <w:spacing w:before="120" w:after="120" w:line="240" w:lineRule="auto"/>
      <w:jc w:val="both"/>
    </w:pPr>
    <w:rPr>
      <w:rFonts w:ascii="Segoe UI" w:hAnsi="Segoe UI" w:cs="Segoe UI"/>
      <w:sz w:val="24"/>
    </w:rPr>
  </w:style>
  <w:style w:type="paragraph" w:customStyle="1" w:styleId="Bullet20">
    <w:name w:val="Bullet 2"/>
    <w:basedOn w:val="Normal"/>
    <w:pPr>
      <w:numPr>
        <w:numId w:val="55"/>
      </w:numPr>
      <w:spacing w:before="120" w:after="120" w:line="240" w:lineRule="auto"/>
      <w:jc w:val="both"/>
    </w:pPr>
    <w:rPr>
      <w:rFonts w:ascii="Segoe UI" w:hAnsi="Segoe UI" w:cs="Segoe UI"/>
      <w:sz w:val="24"/>
    </w:rPr>
  </w:style>
  <w:style w:type="paragraph" w:customStyle="1" w:styleId="Bullet3">
    <w:name w:val="Bullet 3"/>
    <w:basedOn w:val="Normal"/>
    <w:pPr>
      <w:numPr>
        <w:numId w:val="56"/>
      </w:numPr>
      <w:spacing w:before="120" w:after="120" w:line="240" w:lineRule="auto"/>
      <w:jc w:val="both"/>
    </w:pPr>
    <w:rPr>
      <w:rFonts w:ascii="Segoe UI" w:hAnsi="Segoe UI" w:cs="Segoe UI"/>
      <w:sz w:val="24"/>
    </w:rPr>
  </w:style>
  <w:style w:type="paragraph" w:customStyle="1" w:styleId="Bullet4">
    <w:name w:val="Bullet 4"/>
    <w:basedOn w:val="Normal"/>
    <w:pPr>
      <w:numPr>
        <w:numId w:val="57"/>
      </w:numPr>
      <w:spacing w:before="120" w:after="120" w:line="240" w:lineRule="auto"/>
      <w:jc w:val="both"/>
    </w:pPr>
    <w:rPr>
      <w:rFonts w:ascii="Segoe UI" w:hAnsi="Segoe UI" w:cs="Segoe UI"/>
      <w:sz w:val="24"/>
    </w:rPr>
  </w:style>
  <w:style w:type="paragraph" w:customStyle="1" w:styleId="Langue">
    <w:name w:val="Langue"/>
    <w:basedOn w:val="Normal"/>
    <w:next w:val="Rfrenceinterne"/>
    <w:pPr>
      <w:framePr w:wrap="around" w:vAnchor="page" w:hAnchor="text" w:xAlign="center" w:y="14741"/>
      <w:spacing w:after="600" w:line="240" w:lineRule="auto"/>
      <w:jc w:val="center"/>
    </w:pPr>
    <w:rPr>
      <w:rFonts w:ascii="Symbol" w:hAnsi="Symbol" w:cs="Symbol"/>
      <w:b/>
      <w:caps/>
      <w:sz w:val="24"/>
    </w:rPr>
  </w:style>
  <w:style w:type="paragraph" w:customStyle="1" w:styleId="Nomdelinstitution">
    <w:name w:val="Nom de l'institution"/>
    <w:basedOn w:val="Normal"/>
    <w:next w:val="Emission"/>
    <w:pPr>
      <w:spacing w:after="0" w:line="240" w:lineRule="auto"/>
    </w:pPr>
    <w:rPr>
      <w:rFonts w:ascii="Aptos" w:hAnsi="Aptos" w:cs="Aptos"/>
      <w:sz w:val="24"/>
    </w:rPr>
  </w:style>
  <w:style w:type="paragraph" w:customStyle="1" w:styleId="Emission">
    <w:name w:val="Emission"/>
    <w:basedOn w:val="Normal"/>
    <w:next w:val="Rfrenceinstitutionnelle"/>
    <w:pPr>
      <w:spacing w:after="0" w:line="240" w:lineRule="auto"/>
      <w:ind w:left="5103"/>
    </w:pPr>
    <w:rPr>
      <w:rFonts w:ascii="Symbol" w:hAnsi="Symbol" w:cs="Symbol"/>
      <w:sz w:val="24"/>
    </w:rPr>
  </w:style>
  <w:style w:type="paragraph" w:customStyle="1" w:styleId="Rfrenceinstitutionnelle">
    <w:name w:val="Référence institutionnelle"/>
    <w:basedOn w:val="Normal"/>
    <w:next w:val="Confidentialit"/>
    <w:pPr>
      <w:spacing w:after="240" w:line="240" w:lineRule="auto"/>
      <w:ind w:left="5103"/>
    </w:pPr>
    <w:rPr>
      <w:rFonts w:ascii="Symbol" w:hAnsi="Symbol" w:cs="Symbol"/>
      <w:sz w:val="24"/>
    </w:rPr>
  </w:style>
  <w:style w:type="paragraph" w:customStyle="1" w:styleId="Pagedecouverture">
    <w:name w:val="Page de couverture"/>
    <w:basedOn w:val="Normal"/>
    <w:next w:val="Normal"/>
    <w:pPr>
      <w:spacing w:after="0" w:line="240" w:lineRule="auto"/>
      <w:jc w:val="both"/>
    </w:pPr>
    <w:rPr>
      <w:rFonts w:ascii="Symbol" w:hAnsi="Symbol" w:cs="Symbol"/>
      <w:sz w:val="24"/>
    </w:rPr>
  </w:style>
  <w:style w:type="paragraph" w:customStyle="1" w:styleId="Declassification">
    <w:name w:val="Declassification"/>
    <w:basedOn w:val="Normal"/>
    <w:next w:val="Normal"/>
    <w:pPr>
      <w:spacing w:after="0" w:line="240" w:lineRule="auto"/>
      <w:jc w:val="both"/>
    </w:pPr>
    <w:rPr>
      <w:rFonts w:ascii="Symbol" w:hAnsi="Symbol" w:cs="Symbol"/>
      <w:sz w:val="24"/>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Symbol" w:hAnsi="Symbol" w:cs="Symbol"/>
      <w:sz w:val="24"/>
    </w:rPr>
  </w:style>
  <w:style w:type="paragraph" w:customStyle="1" w:styleId="SecurityMarking">
    <w:name w:val="SecurityMarking"/>
    <w:basedOn w:val="Normal"/>
    <w:rsid w:val="009C3800"/>
    <w:pPr>
      <w:spacing w:after="0"/>
      <w:ind w:left="5103"/>
    </w:pPr>
    <w:rPr>
      <w:rFonts w:ascii="Times New Roman" w:hAnsi="Times New Roman" w:cs="Times New Roman"/>
      <w:sz w:val="28"/>
    </w:rPr>
  </w:style>
  <w:style w:type="paragraph" w:customStyle="1" w:styleId="DateMarking">
    <w:name w:val="DateMarking"/>
    <w:basedOn w:val="Normal"/>
    <w:rsid w:val="009C3800"/>
    <w:pPr>
      <w:spacing w:after="0"/>
      <w:ind w:left="5103"/>
    </w:pPr>
    <w:rPr>
      <w:rFonts w:ascii="Times New Roman" w:hAnsi="Times New Roman" w:cs="Times New Roman"/>
      <w:i/>
      <w:sz w:val="28"/>
    </w:rPr>
  </w:style>
  <w:style w:type="paragraph" w:customStyle="1" w:styleId="ReleasableTo">
    <w:name w:val="ReleasableTo"/>
    <w:basedOn w:val="Normal"/>
    <w:rsid w:val="009C3800"/>
    <w:pPr>
      <w:spacing w:after="0"/>
      <w:ind w:left="5103"/>
    </w:pPr>
    <w:rPr>
      <w:rFonts w:ascii="Times New Roman" w:hAnsi="Times New Roman" w:cs="Times New Roman"/>
      <w:i/>
      <w:sz w:val="28"/>
    </w:rPr>
  </w:style>
  <w:style w:type="paragraph" w:customStyle="1" w:styleId="Annexetitreexpos">
    <w:name w:val="Annexe titre (exposé)"/>
    <w:basedOn w:val="Normal"/>
    <w:next w:val="Normal"/>
    <w:pPr>
      <w:spacing w:before="120" w:after="120" w:line="240" w:lineRule="auto"/>
      <w:jc w:val="center"/>
    </w:pPr>
    <w:rPr>
      <w:rFonts w:ascii="Symbol" w:hAnsi="Symbol" w:cs="Symbol"/>
      <w:b/>
      <w:sz w:val="24"/>
      <w:u w:val="single"/>
    </w:rPr>
  </w:style>
  <w:style w:type="paragraph" w:customStyle="1" w:styleId="Annexetitre">
    <w:name w:val="Annexe titre"/>
    <w:basedOn w:val="Normal"/>
    <w:next w:val="Normal"/>
    <w:pPr>
      <w:spacing w:before="120" w:after="120" w:line="240" w:lineRule="auto"/>
      <w:jc w:val="center"/>
    </w:pPr>
    <w:rPr>
      <w:rFonts w:ascii="Symbol" w:hAnsi="Symbol" w:cs="Symbol"/>
      <w:b/>
      <w:sz w:val="24"/>
      <w:u w:val="single"/>
    </w:rPr>
  </w:style>
  <w:style w:type="paragraph" w:customStyle="1" w:styleId="Annexetitrefichefinancire">
    <w:name w:val="Annexe titre (fiche financière)"/>
    <w:basedOn w:val="Normal"/>
    <w:next w:val="Normal"/>
    <w:pPr>
      <w:spacing w:before="120" w:after="120" w:line="240" w:lineRule="auto"/>
      <w:jc w:val="center"/>
    </w:pPr>
    <w:rPr>
      <w:rFonts w:ascii="Symbol" w:hAnsi="Symbol" w:cs="Symbol"/>
      <w:b/>
      <w:sz w:val="24"/>
      <w:u w:val="single"/>
    </w:rPr>
  </w:style>
  <w:style w:type="paragraph" w:customStyle="1" w:styleId="Applicationdirecte">
    <w:name w:val="Application directe"/>
    <w:basedOn w:val="Normal"/>
    <w:next w:val="Fait"/>
    <w:pPr>
      <w:spacing w:before="480" w:after="120" w:line="240" w:lineRule="auto"/>
      <w:jc w:val="both"/>
    </w:pPr>
    <w:rPr>
      <w:rFonts w:ascii="Symbol" w:hAnsi="Symbol" w:cs="Symbol"/>
      <w:sz w:val="24"/>
    </w:rPr>
  </w:style>
  <w:style w:type="paragraph" w:customStyle="1" w:styleId="Avertissementtitre">
    <w:name w:val="Avertissement titre"/>
    <w:basedOn w:val="Normal"/>
    <w:next w:val="Normal"/>
    <w:pPr>
      <w:keepNext/>
      <w:spacing w:before="480" w:after="120" w:line="240" w:lineRule="auto"/>
      <w:jc w:val="both"/>
    </w:pPr>
    <w:rPr>
      <w:rFonts w:ascii="Symbol" w:hAnsi="Symbol" w:cs="Symbol"/>
      <w:sz w:val="24"/>
      <w:u w:val="single"/>
    </w:rPr>
  </w:style>
  <w:style w:type="paragraph" w:customStyle="1" w:styleId="Confidence">
    <w:name w:val="Confidence"/>
    <w:basedOn w:val="Normal"/>
    <w:next w:val="Normal"/>
    <w:pPr>
      <w:spacing w:before="360" w:after="120" w:line="240" w:lineRule="auto"/>
      <w:jc w:val="center"/>
    </w:pPr>
    <w:rPr>
      <w:rFonts w:ascii="Symbol" w:hAnsi="Symbol" w:cs="Symbol"/>
      <w:sz w:val="24"/>
    </w:rPr>
  </w:style>
  <w:style w:type="paragraph" w:customStyle="1" w:styleId="Confidentialit">
    <w:name w:val="Confidentialité"/>
    <w:basedOn w:val="Normal"/>
    <w:next w:val="TypedudocumentPagedecouverture"/>
    <w:pPr>
      <w:spacing w:before="240" w:after="240" w:line="240" w:lineRule="auto"/>
      <w:ind w:left="5103"/>
    </w:pPr>
    <w:rPr>
      <w:rFonts w:ascii="Symbol" w:hAnsi="Symbol" w:cs="Symbol"/>
      <w:i/>
      <w:sz w:val="32"/>
    </w:rPr>
  </w:style>
  <w:style w:type="paragraph" w:customStyle="1" w:styleId="Considrant">
    <w:name w:val="Considérant"/>
    <w:basedOn w:val="Normal"/>
    <w:pPr>
      <w:numPr>
        <w:numId w:val="58"/>
      </w:numPr>
      <w:spacing w:before="120" w:after="120" w:line="240" w:lineRule="auto"/>
      <w:jc w:val="both"/>
    </w:pPr>
    <w:rPr>
      <w:rFonts w:ascii="Segoe UI" w:hAnsi="Segoe UI" w:cs="Segoe UI"/>
      <w:sz w:val="24"/>
    </w:rPr>
  </w:style>
  <w:style w:type="paragraph" w:customStyle="1" w:styleId="Corrigendum">
    <w:name w:val="Corrigendum"/>
    <w:basedOn w:val="Normal"/>
    <w:next w:val="Normal"/>
    <w:pPr>
      <w:spacing w:after="240" w:line="240" w:lineRule="auto"/>
    </w:pPr>
    <w:rPr>
      <w:rFonts w:ascii="Symbol" w:hAnsi="Symbol" w:cs="Symbol"/>
      <w:sz w:val="24"/>
    </w:rPr>
  </w:style>
  <w:style w:type="paragraph" w:customStyle="1" w:styleId="Datedadoption">
    <w:name w:val="Date d'adoption"/>
    <w:basedOn w:val="Normal"/>
    <w:next w:val="IntrtEEE"/>
    <w:pPr>
      <w:spacing w:before="360" w:after="0" w:line="240" w:lineRule="auto"/>
      <w:jc w:val="center"/>
    </w:pPr>
    <w:rPr>
      <w:rFonts w:ascii="Symbol" w:hAnsi="Symbol" w:cs="Symbol"/>
      <w:b/>
      <w:sz w:val="24"/>
    </w:rPr>
  </w:style>
  <w:style w:type="paragraph" w:customStyle="1" w:styleId="Exposdesmotifstitre">
    <w:name w:val="Exposé des motifs titre"/>
    <w:basedOn w:val="Normal"/>
    <w:next w:val="Normal"/>
    <w:pPr>
      <w:spacing w:before="120" w:after="120" w:line="240" w:lineRule="auto"/>
      <w:jc w:val="center"/>
    </w:pPr>
    <w:rPr>
      <w:rFonts w:ascii="Symbol" w:hAnsi="Symbol" w:cs="Symbol"/>
      <w:b/>
      <w:sz w:val="24"/>
      <w:u w:val="single"/>
    </w:rPr>
  </w:style>
  <w:style w:type="paragraph" w:customStyle="1" w:styleId="Fait">
    <w:name w:val="Fait à"/>
    <w:basedOn w:val="Normal"/>
    <w:next w:val="Institutionquisigne"/>
    <w:pPr>
      <w:keepNext/>
      <w:spacing w:before="120" w:after="0" w:line="240" w:lineRule="auto"/>
      <w:jc w:val="both"/>
    </w:pPr>
    <w:rPr>
      <w:rFonts w:ascii="Symbol" w:hAnsi="Symbol" w:cs="Symbol"/>
      <w:sz w:val="24"/>
    </w:rPr>
  </w:style>
  <w:style w:type="paragraph" w:customStyle="1" w:styleId="Formuledadoption">
    <w:name w:val="Formule d'adoption"/>
    <w:basedOn w:val="Normal"/>
    <w:next w:val="Titrearticle"/>
    <w:pPr>
      <w:keepNext/>
      <w:spacing w:before="120" w:after="120" w:line="240" w:lineRule="auto"/>
      <w:jc w:val="both"/>
    </w:pPr>
    <w:rPr>
      <w:rFonts w:ascii="Symbol" w:hAnsi="Symbol" w:cs="Symbol"/>
      <w:sz w:val="24"/>
    </w:rPr>
  </w:style>
  <w:style w:type="paragraph" w:customStyle="1" w:styleId="Institutionquiagit">
    <w:name w:val="Institution qui agit"/>
    <w:basedOn w:val="Normal"/>
    <w:next w:val="Normal"/>
    <w:pPr>
      <w:keepNext/>
      <w:spacing w:before="600" w:after="120" w:line="240" w:lineRule="auto"/>
      <w:jc w:val="both"/>
    </w:pPr>
    <w:rPr>
      <w:rFonts w:ascii="Symbol" w:hAnsi="Symbol" w:cs="Symbol"/>
      <w:sz w:val="24"/>
    </w:rPr>
  </w:style>
  <w:style w:type="paragraph" w:customStyle="1" w:styleId="Institutionquisigne">
    <w:name w:val="Institution qui signe"/>
    <w:basedOn w:val="Normal"/>
    <w:next w:val="Personnequisigne"/>
    <w:pPr>
      <w:keepNext/>
      <w:tabs>
        <w:tab w:val="left" w:pos="4252"/>
      </w:tabs>
      <w:spacing w:before="720" w:after="0" w:line="240" w:lineRule="auto"/>
      <w:jc w:val="both"/>
    </w:pPr>
    <w:rPr>
      <w:rFonts w:ascii="Symbol" w:hAnsi="Symbol" w:cs="Symbol"/>
      <w:i/>
      <w:sz w:val="24"/>
    </w:rPr>
  </w:style>
  <w:style w:type="paragraph" w:customStyle="1" w:styleId="ManualConsidrant">
    <w:name w:val="Manual Considérant"/>
    <w:basedOn w:val="Normal"/>
    <w:pPr>
      <w:spacing w:before="120" w:after="120" w:line="240" w:lineRule="auto"/>
      <w:ind w:left="709" w:hanging="709"/>
      <w:jc w:val="both"/>
    </w:pPr>
    <w:rPr>
      <w:rFonts w:ascii="Symbol" w:hAnsi="Symbol" w:cs="Symbol"/>
      <w:sz w:val="24"/>
    </w:rPr>
  </w:style>
  <w:style w:type="paragraph" w:customStyle="1" w:styleId="Personnequisigne">
    <w:name w:val="Personne qui signe"/>
    <w:basedOn w:val="Normal"/>
    <w:next w:val="Institutionquisigne"/>
    <w:pPr>
      <w:tabs>
        <w:tab w:val="left" w:pos="4252"/>
      </w:tabs>
      <w:spacing w:after="0" w:line="240" w:lineRule="auto"/>
    </w:pPr>
    <w:rPr>
      <w:rFonts w:ascii="Symbol" w:hAnsi="Symbol" w:cs="Symbol"/>
      <w:i/>
      <w:sz w:val="24"/>
    </w:rPr>
  </w:style>
  <w:style w:type="paragraph" w:customStyle="1" w:styleId="Rfrenceinterinstitutionnelle">
    <w:name w:val="Référence interinstitutionnelle"/>
    <w:basedOn w:val="Normal"/>
    <w:next w:val="Statut"/>
    <w:pPr>
      <w:spacing w:after="0" w:line="240" w:lineRule="auto"/>
      <w:ind w:left="5103"/>
    </w:pPr>
    <w:rPr>
      <w:rFonts w:ascii="Symbol" w:hAnsi="Symbol" w:cs="Symbol"/>
      <w:sz w:val="24"/>
    </w:rPr>
  </w:style>
  <w:style w:type="paragraph" w:customStyle="1" w:styleId="Rfrenceinterne">
    <w:name w:val="Référence interne"/>
    <w:basedOn w:val="Normal"/>
    <w:next w:val="Rfrenceinterinstitutionnelle"/>
    <w:pPr>
      <w:spacing w:after="0" w:line="240" w:lineRule="auto"/>
      <w:ind w:left="5103"/>
    </w:pPr>
    <w:rPr>
      <w:rFonts w:ascii="Symbol" w:hAnsi="Symbol" w:cs="Symbol"/>
      <w:sz w:val="24"/>
    </w:rPr>
  </w:style>
  <w:style w:type="paragraph" w:customStyle="1" w:styleId="Statut">
    <w:name w:val="Statut"/>
    <w:basedOn w:val="Normal"/>
    <w:next w:val="Typedudocument"/>
    <w:pPr>
      <w:spacing w:after="240" w:line="240" w:lineRule="auto"/>
      <w:jc w:val="center"/>
    </w:pPr>
    <w:rPr>
      <w:rFonts w:ascii="Symbol" w:hAnsi="Symbol" w:cs="Symbol"/>
      <w:sz w:val="24"/>
    </w:rPr>
  </w:style>
  <w:style w:type="paragraph" w:customStyle="1" w:styleId="Titrearticle">
    <w:name w:val="Titre article"/>
    <w:basedOn w:val="Normal"/>
    <w:next w:val="Normal"/>
    <w:pPr>
      <w:keepNext/>
      <w:spacing w:before="360" w:after="120" w:line="240" w:lineRule="auto"/>
      <w:jc w:val="center"/>
    </w:pPr>
    <w:rPr>
      <w:rFonts w:ascii="Symbol" w:hAnsi="Symbol" w:cs="Symbol"/>
      <w:i/>
      <w:sz w:val="24"/>
    </w:rPr>
  </w:style>
  <w:style w:type="paragraph" w:customStyle="1" w:styleId="Typedudocument">
    <w:name w:val="Type du document"/>
    <w:basedOn w:val="Normal"/>
    <w:next w:val="Accompagnant"/>
    <w:pPr>
      <w:spacing w:before="360" w:after="180" w:line="240" w:lineRule="auto"/>
      <w:jc w:val="center"/>
    </w:pPr>
    <w:rPr>
      <w:rFonts w:ascii="Symbol" w:hAnsi="Symbol" w:cs="Symbol"/>
      <w:b/>
      <w:sz w:val="24"/>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before="120" w:after="120" w:line="360" w:lineRule="auto"/>
      <w:ind w:left="3402"/>
    </w:pPr>
    <w:rPr>
      <w:rFonts w:ascii="Symbol" w:hAnsi="Symbol" w:cs="Symbol"/>
      <w:sz w:val="24"/>
    </w:rPr>
  </w:style>
  <w:style w:type="paragraph" w:customStyle="1" w:styleId="Objetexterne">
    <w:name w:val="Objet externe"/>
    <w:basedOn w:val="Normal"/>
    <w:next w:val="Normal"/>
    <w:pPr>
      <w:spacing w:before="120" w:after="120" w:line="240" w:lineRule="auto"/>
      <w:jc w:val="both"/>
    </w:pPr>
    <w:rPr>
      <w:rFonts w:ascii="Symbol" w:hAnsi="Symbol" w:cs="Symbol"/>
      <w:i/>
      <w:caps/>
      <w:sz w:val="24"/>
    </w:rPr>
  </w:style>
  <w:style w:type="paragraph" w:customStyle="1" w:styleId="Supertitre">
    <w:name w:val="Supertitre"/>
    <w:basedOn w:val="Normal"/>
    <w:next w:val="Normal"/>
    <w:pPr>
      <w:spacing w:after="600" w:line="240" w:lineRule="auto"/>
      <w:jc w:val="center"/>
    </w:pPr>
    <w:rPr>
      <w:rFonts w:ascii="Symbol" w:hAnsi="Symbol" w:cs="Symbol"/>
      <w:b/>
      <w:sz w:val="24"/>
    </w:rPr>
  </w:style>
  <w:style w:type="paragraph" w:customStyle="1" w:styleId="Languesfaisantfoi">
    <w:name w:val="Langues faisant foi"/>
    <w:basedOn w:val="Normal"/>
    <w:next w:val="Normal"/>
    <w:pPr>
      <w:spacing w:before="360" w:after="0" w:line="240" w:lineRule="auto"/>
      <w:jc w:val="center"/>
    </w:pPr>
    <w:rPr>
      <w:rFonts w:ascii="Symbol" w:hAnsi="Symbol" w:cs="Symbol"/>
      <w:sz w:val="24"/>
    </w:rPr>
  </w:style>
  <w:style w:type="paragraph" w:customStyle="1" w:styleId="Rfrencecroise">
    <w:name w:val="Référence croisée"/>
    <w:basedOn w:val="Normal"/>
    <w:pPr>
      <w:spacing w:after="0" w:line="240" w:lineRule="auto"/>
      <w:jc w:val="center"/>
    </w:pPr>
    <w:rPr>
      <w:rFonts w:ascii="Symbol" w:hAnsi="Symbol" w:cs="Symbol"/>
      <w:sz w:val="24"/>
    </w:rPr>
  </w:style>
  <w:style w:type="paragraph" w:customStyle="1" w:styleId="Fichefinanciretitre">
    <w:name w:val="Fiche financière titre"/>
    <w:basedOn w:val="Normal"/>
    <w:next w:val="Normal"/>
    <w:pPr>
      <w:spacing w:before="120" w:after="120" w:line="240" w:lineRule="auto"/>
      <w:jc w:val="center"/>
    </w:pPr>
    <w:rPr>
      <w:rFonts w:ascii="Symbol" w:hAnsi="Symbol" w:cs="Symbol"/>
      <w:b/>
      <w:sz w:val="24"/>
      <w:u w:val="single"/>
    </w:rPr>
  </w:style>
  <w:style w:type="paragraph" w:customStyle="1" w:styleId="DatedadoptionPagedecouverture">
    <w:name w:val="Date d'adoption (Page de couverture)"/>
    <w:basedOn w:val="Datedadoption"/>
    <w:next w:val="IntrtEEE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TypedudocumentPagedecouverture">
    <w:name w:val="Type du document (Page de couverture)"/>
    <w:basedOn w:val="Typedudocument"/>
    <w:next w:val="AccompagnantPagedecouverture"/>
  </w:style>
  <w:style w:type="paragraph" w:customStyle="1" w:styleId="Volume">
    <w:name w:val="Volume"/>
    <w:basedOn w:val="Normal"/>
    <w:next w:val="Confidentialit"/>
    <w:pPr>
      <w:spacing w:after="240" w:line="240" w:lineRule="auto"/>
      <w:ind w:left="5103"/>
    </w:pPr>
    <w:rPr>
      <w:rFonts w:ascii="Symbol" w:hAnsi="Symbol" w:cs="Symbol"/>
      <w:sz w:val="24"/>
    </w:r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180" w:after="240" w:line="240" w:lineRule="auto"/>
      <w:jc w:val="center"/>
    </w:pPr>
    <w:rPr>
      <w:rFonts w:ascii="Symbol" w:hAnsi="Symbol" w:cs="Symbol"/>
      <w:b/>
      <w:sz w:val="24"/>
    </w:rPr>
  </w:style>
  <w:style w:type="paragraph" w:customStyle="1" w:styleId="Typeacteprincipal">
    <w:name w:val="Type acte principal"/>
    <w:basedOn w:val="Normal"/>
    <w:next w:val="Objetacteprincipal"/>
    <w:pPr>
      <w:spacing w:after="240" w:line="240" w:lineRule="auto"/>
      <w:jc w:val="center"/>
    </w:pPr>
    <w:rPr>
      <w:rFonts w:ascii="Symbol" w:hAnsi="Symbol" w:cs="Symbol"/>
      <w:b/>
      <w:sz w:val="24"/>
    </w:rPr>
  </w:style>
  <w:style w:type="paragraph" w:customStyle="1" w:styleId="Objetacteprincipal">
    <w:name w:val="Objet acte principal"/>
    <w:basedOn w:val="Normal"/>
    <w:next w:val="Titrearticle"/>
    <w:pPr>
      <w:spacing w:after="360" w:line="240" w:lineRule="auto"/>
      <w:jc w:val="center"/>
    </w:pPr>
    <w:rPr>
      <w:rFonts w:ascii="Symbol" w:hAnsi="Symbol" w:cs="Symbol"/>
      <w:b/>
      <w:sz w:val="24"/>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line="240" w:lineRule="auto"/>
      <w:jc w:val="center"/>
    </w:pPr>
    <w:rPr>
      <w:rFonts w:ascii="Symbol" w:hAnsi="Symbol" w:cs="Symbol"/>
      <w:sz w:val="24"/>
    </w:rPr>
  </w:style>
  <w:style w:type="character" w:styleId="CommentReference">
    <w:name w:val="annotation reference"/>
    <w:basedOn w:val="DefaultParagraphFont"/>
    <w:uiPriority w:val="99"/>
    <w:unhideWhenUsed/>
    <w:rPr>
      <w:sz w:val="16"/>
    </w:rPr>
  </w:style>
  <w:style w:type="paragraph" w:styleId="CommentText">
    <w:name w:val="annotation text"/>
    <w:basedOn w:val="Normal"/>
    <w:link w:val="CommentTextChar"/>
    <w:uiPriority w:val="99"/>
    <w:unhideWhenUsed/>
    <w:rsid w:val="00206C1F"/>
    <w:pPr>
      <w:spacing w:before="120" w:after="120" w:line="240" w:lineRule="auto"/>
      <w:jc w:val="both"/>
    </w:pPr>
    <w:rPr>
      <w:rFonts w:cs="Symbol"/>
      <w:sz w:val="20"/>
    </w:rPr>
  </w:style>
  <w:style w:type="character" w:customStyle="1" w:styleId="CommentTextChar">
    <w:name w:val="Comment Text Char"/>
    <w:basedOn w:val="DefaultParagraphFont"/>
    <w:link w:val="CommentText"/>
    <w:uiPriority w:val="99"/>
    <w:rsid w:val="00206C1F"/>
    <w:rPr>
      <w:rFonts w:cs="Symbol"/>
      <w:sz w:val="20"/>
    </w:rPr>
  </w:style>
  <w:style w:type="paragraph" w:styleId="ListParagraph">
    <w:name w:val="List Paragraph"/>
    <w:aliases w:val="numbered list,2,OBC Bullet,Normal 1,Task Body,Viñetas (Inicio Parrafo),Paragrafo elenco,3 Txt tabla,Zerrenda-paragrafoa,Fiche List Paragraph,Dot pt,F5 List Paragraph,List Paragraph1,No Spacing1,List Paragraph Char Char Char,Indicator Text"/>
    <w:basedOn w:val="Normal"/>
    <w:link w:val="ListParagraphChar"/>
    <w:uiPriority w:val="34"/>
    <w:qFormat/>
    <w:pPr>
      <w:spacing w:after="160" w:line="259" w:lineRule="auto"/>
      <w:ind w:left="720"/>
      <w:contextualSpacing/>
    </w:pPr>
  </w:style>
  <w:style w:type="character" w:customStyle="1" w:styleId="ListParagraphChar">
    <w:name w:val="List Paragraph Char"/>
    <w:aliases w:val="numbered list Char,2 Char,OBC Bullet Char,Normal 1 Char,Task Body Char,Viñetas (Inicio Parrafo) Char,Paragrafo elenco Char,3 Txt tabla Char,Zerrenda-paragrafoa Char,Fiche List Paragraph Char,Dot pt Char,F5 List Paragraph Char"/>
    <w:basedOn w:val="DefaultParagraphFont"/>
    <w:link w:val="ListParagraph"/>
    <w:uiPriority w:val="34"/>
    <w:qFormat/>
    <w:locked/>
  </w:style>
  <w:style w:type="character" w:styleId="IntenseEmphasis">
    <w:name w:val="Intense Emphasis"/>
    <w:basedOn w:val="DefaultParagraphFont"/>
    <w:uiPriority w:val="21"/>
    <w:qFormat/>
    <w:rPr>
      <w:i/>
      <w:color w:val="4F81BD" w:themeColor="accent1"/>
    </w:rPr>
  </w:style>
  <w:style w:type="paragraph" w:styleId="BalloonText">
    <w:name w:val="Balloon Text"/>
    <w:basedOn w:val="Normal"/>
    <w:link w:val="BalloonTextChar"/>
    <w:uiPriority w:val="99"/>
    <w:semiHidden/>
    <w:unhideWhenUsed/>
    <w:rsid w:val="00A61727"/>
    <w:pPr>
      <w:spacing w:after="0" w:line="240" w:lineRule="auto"/>
      <w:jc w:val="both"/>
    </w:pPr>
    <w:rPr>
      <w:rFonts w:ascii="Times New Roman" w:hAnsi="Times New Roman" w:cs="MS Gothic"/>
      <w:sz w:val="18"/>
    </w:rPr>
  </w:style>
  <w:style w:type="character" w:customStyle="1" w:styleId="BalloonTextChar">
    <w:name w:val="Balloon Text Char"/>
    <w:basedOn w:val="DefaultParagraphFont"/>
    <w:link w:val="BalloonText"/>
    <w:uiPriority w:val="99"/>
    <w:semiHidden/>
    <w:rsid w:val="00A61727"/>
    <w:rPr>
      <w:rFonts w:ascii="Times New Roman" w:hAnsi="Times New Roman" w:cs="MS Gothic"/>
      <w:sz w:val="18"/>
    </w:rPr>
  </w:style>
  <w:style w:type="paragraph" w:styleId="ListBullet">
    <w:name w:val="List Bullet"/>
    <w:basedOn w:val="Normal"/>
    <w:uiPriority w:val="99"/>
    <w:semiHidden/>
    <w:unhideWhenUsed/>
    <w:pPr>
      <w:numPr>
        <w:numId w:val="59"/>
      </w:numPr>
      <w:spacing w:before="120" w:after="120" w:line="240" w:lineRule="auto"/>
      <w:contextualSpacing/>
      <w:jc w:val="both"/>
    </w:pPr>
    <w:rPr>
      <w:rFonts w:ascii="Segoe UI" w:hAnsi="Segoe UI" w:cs="Segoe UI"/>
      <w:sz w:val="24"/>
    </w:rPr>
  </w:style>
  <w:style w:type="paragraph" w:styleId="ListBullet2">
    <w:name w:val="List Bullet 2"/>
    <w:basedOn w:val="Normal"/>
    <w:uiPriority w:val="99"/>
    <w:semiHidden/>
    <w:unhideWhenUsed/>
    <w:pPr>
      <w:numPr>
        <w:numId w:val="60"/>
      </w:numPr>
      <w:spacing w:before="120" w:after="120" w:line="240" w:lineRule="auto"/>
      <w:contextualSpacing/>
      <w:jc w:val="both"/>
    </w:pPr>
    <w:rPr>
      <w:rFonts w:ascii="Segoe UI" w:hAnsi="Segoe UI" w:cs="Segoe UI"/>
      <w:sz w:val="24"/>
    </w:rPr>
  </w:style>
  <w:style w:type="paragraph" w:styleId="ListBullet3">
    <w:name w:val="List Bullet 3"/>
    <w:basedOn w:val="Normal"/>
    <w:uiPriority w:val="99"/>
    <w:semiHidden/>
    <w:unhideWhenUsed/>
    <w:pPr>
      <w:numPr>
        <w:numId w:val="61"/>
      </w:numPr>
      <w:spacing w:before="120" w:after="120" w:line="240" w:lineRule="auto"/>
      <w:contextualSpacing/>
      <w:jc w:val="both"/>
    </w:pPr>
    <w:rPr>
      <w:rFonts w:ascii="Segoe UI" w:hAnsi="Segoe UI" w:cs="Segoe UI"/>
      <w:sz w:val="24"/>
    </w:rPr>
  </w:style>
  <w:style w:type="paragraph" w:styleId="ListBullet4">
    <w:name w:val="List Bullet 4"/>
    <w:basedOn w:val="Normal"/>
    <w:uiPriority w:val="99"/>
    <w:semiHidden/>
    <w:unhideWhenUsed/>
    <w:pPr>
      <w:numPr>
        <w:numId w:val="62"/>
      </w:numPr>
      <w:spacing w:before="120" w:after="120" w:line="240" w:lineRule="auto"/>
      <w:contextualSpacing/>
      <w:jc w:val="both"/>
    </w:pPr>
    <w:rPr>
      <w:rFonts w:ascii="Segoe UI" w:hAnsi="Segoe UI" w:cs="Segoe UI"/>
      <w:sz w:val="24"/>
    </w:rPr>
  </w:style>
  <w:style w:type="paragraph" w:styleId="CommentSubject">
    <w:name w:val="annotation subject"/>
    <w:basedOn w:val="CommentText"/>
    <w:next w:val="CommentText"/>
    <w:link w:val="CommentSubjectChar"/>
    <w:uiPriority w:val="99"/>
    <w:semiHidden/>
    <w:unhideWhenUsed/>
    <w:rPr>
      <w:b/>
    </w:rPr>
  </w:style>
  <w:style w:type="character" w:customStyle="1" w:styleId="CommentSubjectChar">
    <w:name w:val="Comment Subject Char"/>
    <w:basedOn w:val="CommentTextChar"/>
    <w:link w:val="CommentSubject"/>
    <w:uiPriority w:val="99"/>
    <w:semiHidden/>
    <w:rPr>
      <w:rFonts w:ascii="Times New Roman" w:hAnsi="Times New Roman" w:cs="Times New Roman"/>
      <w:b/>
      <w:sz w:val="20"/>
    </w:rPr>
  </w:style>
  <w:style w:type="paragraph" w:styleId="Revision">
    <w:name w:val="Revision"/>
    <w:hidden/>
    <w:uiPriority w:val="99"/>
    <w:semiHidden/>
    <w:pPr>
      <w:spacing w:after="0" w:line="240" w:lineRule="auto"/>
    </w:pPr>
    <w:rPr>
      <w:rFonts w:ascii="Symbol" w:hAnsi="Symbol" w:cs="Symbol"/>
      <w:sz w:val="24"/>
    </w:rPr>
  </w:style>
  <w:style w:type="character" w:customStyle="1" w:styleId="Bullet1Char">
    <w:name w:val="Bullet 1 Char"/>
    <w:basedOn w:val="DefaultParagraphFont"/>
    <w:link w:val="Bullet1"/>
    <w:rPr>
      <w:rFonts w:ascii="Segoe UI" w:hAnsi="Segoe UI" w:cs="Segoe UI"/>
      <w:sz w:val="24"/>
    </w:rPr>
  </w:style>
  <w:style w:type="paragraph" w:customStyle="1" w:styleId="bullet2">
    <w:name w:val="bullet 2"/>
    <w:basedOn w:val="Normal"/>
    <w:link w:val="bullet2Char"/>
    <w:qFormat/>
    <w:pPr>
      <w:numPr>
        <w:ilvl w:val="1"/>
        <w:numId w:val="66"/>
      </w:numPr>
      <w:spacing w:before="120" w:after="120" w:line="240" w:lineRule="auto"/>
    </w:pPr>
    <w:rPr>
      <w:rFonts w:eastAsia="Arial" w:cstheme="minorHAnsi"/>
      <w:color w:val="000000" w:themeColor="text1"/>
      <w:sz w:val="24"/>
    </w:rPr>
  </w:style>
  <w:style w:type="character" w:customStyle="1" w:styleId="bullet2Char">
    <w:name w:val="bullet 2 Char"/>
    <w:basedOn w:val="DefaultParagraphFont"/>
    <w:link w:val="bullet2"/>
    <w:rPr>
      <w:rFonts w:eastAsia="Arial" w:cstheme="minorHAnsi"/>
      <w:color w:val="000000" w:themeColor="text1"/>
      <w:sz w:val="24"/>
    </w:rPr>
  </w:style>
  <w:style w:type="character" w:styleId="Hyperlink">
    <w:name w:val="Hyperlink"/>
    <w:basedOn w:val="DefaultParagraphFont"/>
    <w:uiPriority w:val="99"/>
    <w:unhideWhenUsed/>
    <w:rPr>
      <w:color w:val="0563C1"/>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Default">
    <w:name w:val="Default"/>
    <w:pPr>
      <w:autoSpaceDE w:val="0"/>
      <w:autoSpaceDN w:val="0"/>
      <w:adjustRightInd w:val="0"/>
      <w:spacing w:after="0" w:line="240" w:lineRule="auto"/>
    </w:pPr>
    <w:rPr>
      <w:rFonts w:ascii="Symbol" w:hAnsi="Symbol" w:cs="Symbol"/>
      <w:color w:val="000000"/>
      <w:sz w:val="24"/>
    </w:rPr>
  </w:style>
  <w:style w:type="character" w:customStyle="1" w:styleId="eop">
    <w:name w:val="eop"/>
    <w:basedOn w:val="DefaultParagraphFont"/>
  </w:style>
  <w:style w:type="paragraph" w:styleId="NormalWeb">
    <w:name w:val="Normal (Web)"/>
    <w:basedOn w:val="Normal"/>
    <w:uiPriority w:val="99"/>
    <w:unhideWhenUsed/>
    <w:pPr>
      <w:spacing w:before="100" w:beforeAutospacing="1" w:after="100" w:afterAutospacing="1" w:line="240" w:lineRule="auto"/>
    </w:pPr>
    <w:rPr>
      <w:rFonts w:ascii="Symbol" w:eastAsia="Symbol" w:hAnsi="Symbol" w:cs="Symbol"/>
      <w:sz w:val="24"/>
    </w:rPr>
  </w:style>
  <w:style w:type="character" w:customStyle="1" w:styleId="normaltextrun">
    <w:name w:val="normaltextrun"/>
    <w:basedOn w:val="DefaultParagraphFont"/>
  </w:style>
  <w:style w:type="paragraph" w:customStyle="1" w:styleId="paragraph">
    <w:name w:val="paragraph"/>
    <w:basedOn w:val="Normal"/>
    <w:pPr>
      <w:spacing w:before="100" w:beforeAutospacing="1" w:after="100" w:afterAutospacing="1" w:line="240" w:lineRule="auto"/>
    </w:pPr>
    <w:rPr>
      <w:rFonts w:ascii="Symbol" w:eastAsia="Symbol" w:hAnsi="Symbol" w:cs="Symbol"/>
      <w:sz w:val="24"/>
    </w:rPr>
  </w:style>
  <w:style w:type="paragraph" w:customStyle="1" w:styleId="Titreobjet">
    <w:name w:val="Titre objet"/>
    <w:basedOn w:val="Normal"/>
    <w:next w:val="IntrtEEE"/>
    <w:pPr>
      <w:spacing w:before="360" w:after="360" w:line="240" w:lineRule="auto"/>
      <w:jc w:val="center"/>
    </w:pPr>
    <w:rPr>
      <w:rFonts w:ascii="Symbol" w:hAnsi="Symbol" w:cs="Symbol"/>
      <w:b/>
      <w:sz w:val="24"/>
    </w:rPr>
  </w:style>
  <w:style w:type="paragraph" w:customStyle="1" w:styleId="TitreobjetPagedecouverture">
    <w:name w:val="Titre objet (Page de couverture)"/>
    <w:basedOn w:val="Titreobjet"/>
    <w:next w:val="IntrtEEEPagedecouverture"/>
  </w:style>
  <w:style w:type="paragraph" w:customStyle="1" w:styleId="FooterCoverPage">
    <w:name w:val="Footer Cover Page"/>
    <w:basedOn w:val="Normal"/>
    <w:link w:val="FooterCoverPageChar"/>
    <w:pPr>
      <w:keepNext/>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keepNext/>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Symbol" w:hAnsi="Courier New" w:cs="Courier New"/>
      <w:sz w:val="20"/>
    </w:rPr>
  </w:style>
  <w:style w:type="character" w:customStyle="1" w:styleId="HTMLPreformattedChar">
    <w:name w:val="HTML Preformatted Char"/>
    <w:basedOn w:val="DefaultParagraphFont"/>
    <w:link w:val="HTMLPreformatted"/>
    <w:uiPriority w:val="99"/>
    <w:semiHidden/>
    <w:rPr>
      <w:rFonts w:ascii="Courier New" w:eastAsia="Symbol" w:hAnsi="Courier New" w:cs="Courier New"/>
      <w:sz w:val="20"/>
    </w:rPr>
  </w:style>
  <w:style w:type="character" w:customStyle="1" w:styleId="y2iqfc">
    <w:name w:val="y2iqfc"/>
    <w:basedOn w:val="DefaultParagraphFont"/>
  </w:style>
  <w:style w:type="paragraph" w:styleId="ListNumber">
    <w:name w:val="List Number"/>
    <w:basedOn w:val="Normal"/>
    <w:uiPriority w:val="99"/>
    <w:semiHidden/>
    <w:unhideWhenUsed/>
    <w:pPr>
      <w:numPr>
        <w:numId w:val="192"/>
      </w:numPr>
      <w:spacing w:before="120" w:after="120" w:line="240" w:lineRule="auto"/>
      <w:contextualSpacing/>
      <w:jc w:val="both"/>
    </w:pPr>
    <w:rPr>
      <w:rFonts w:ascii="Segoe UI" w:hAnsi="Segoe UI" w:cs="Segoe UI"/>
      <w:sz w:val="24"/>
    </w:rPr>
  </w:style>
  <w:style w:type="character" w:customStyle="1" w:styleId="oj-super">
    <w:name w:val="oj-super"/>
    <w:basedOn w:val="DefaultParagraphFont"/>
  </w:style>
  <w:style w:type="paragraph" w:customStyle="1" w:styleId="xmsonormal">
    <w:name w:val="x_msonormal"/>
    <w:basedOn w:val="Normal"/>
    <w:pPr>
      <w:spacing w:after="0" w:line="240" w:lineRule="auto"/>
    </w:pPr>
    <w:rPr>
      <w:rFonts w:ascii="Wingdings" w:hAnsi="Wingdings" w:cs="Wingding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rynqvb">
    <w:name w:val="rynqvb"/>
    <w:basedOn w:val="DefaultParagraphFont"/>
    <w:rsid w:val="00026F22"/>
  </w:style>
  <w:style w:type="character" w:customStyle="1" w:styleId="UnresolvedMention1">
    <w:name w:val="Unresolved Mention1"/>
    <w:basedOn w:val="DefaultParagraphFont"/>
    <w:uiPriority w:val="99"/>
    <w:unhideWhenUsed/>
    <w:rsid w:val="00F92FF4"/>
    <w:rPr>
      <w:color w:val="605E5C"/>
      <w:shd w:val="clear" w:color="auto" w:fill="E1DFDD"/>
    </w:rPr>
  </w:style>
  <w:style w:type="character" w:customStyle="1" w:styleId="Mention1">
    <w:name w:val="Mention1"/>
    <w:basedOn w:val="DefaultParagraphFont"/>
    <w:uiPriority w:val="99"/>
    <w:unhideWhenUsed/>
    <w:rsid w:val="00F92FF4"/>
    <w:rPr>
      <w:color w:val="2B579A"/>
      <w:shd w:val="clear" w:color="auto" w:fill="E1DFDD"/>
    </w:rPr>
  </w:style>
  <w:style w:type="character" w:styleId="Strong">
    <w:name w:val="Strong"/>
    <w:basedOn w:val="DefaultParagraphFont"/>
    <w:uiPriority w:val="22"/>
    <w:qFormat/>
    <w:rsid w:val="00C41254"/>
    <w:rPr>
      <w:b/>
    </w:rPr>
  </w:style>
  <w:style w:type="paragraph" w:customStyle="1" w:styleId="Heading2blue">
    <w:name w:val="Heading 2 (blue)"/>
    <w:basedOn w:val="Heading2"/>
    <w:link w:val="Heading2blueChar"/>
    <w:qFormat/>
    <w:rsid w:val="0080105E"/>
    <w:pPr>
      <w:keepNext w:val="0"/>
      <w:numPr>
        <w:ilvl w:val="0"/>
        <w:numId w:val="0"/>
      </w:numPr>
      <w:ind w:left="709"/>
    </w:pPr>
    <w:rPr>
      <w:rFonts w:ascii="Times New Roman" w:hAnsi="Times New Roman" w:cs="Times New Roman"/>
      <w:color w:val="4F81BD" w:themeColor="accent1"/>
      <w:u w:val="single"/>
    </w:rPr>
  </w:style>
  <w:style w:type="paragraph" w:customStyle="1" w:styleId="Heading3blue">
    <w:name w:val="Heading 3 (blue)"/>
    <w:basedOn w:val="Heading3"/>
    <w:link w:val="Heading3blueChar"/>
    <w:qFormat/>
    <w:rsid w:val="0080105E"/>
    <w:pPr>
      <w:numPr>
        <w:ilvl w:val="0"/>
        <w:numId w:val="0"/>
      </w:numPr>
    </w:pPr>
    <w:rPr>
      <w:rFonts w:ascii="Times New Roman" w:hAnsi="Times New Roman" w:cs="Times New Roman"/>
      <w:i w:val="0"/>
      <w:color w:val="4F81BD" w:themeColor="accent1"/>
      <w:u w:val="single"/>
    </w:rPr>
  </w:style>
  <w:style w:type="character" w:customStyle="1" w:styleId="Heading2blueChar">
    <w:name w:val="Heading 2 (blue) Char"/>
    <w:basedOn w:val="Heading2Char"/>
    <w:link w:val="Heading2blue"/>
    <w:rsid w:val="0080105E"/>
    <w:rPr>
      <w:rFonts w:ascii="Times New Roman" w:eastAsiaTheme="majorEastAsia" w:hAnsi="Times New Roman" w:cs="Times New Roman"/>
      <w:b/>
      <w:color w:val="4F81BD" w:themeColor="accent1"/>
      <w:sz w:val="24"/>
      <w:u w:val="single"/>
    </w:rPr>
  </w:style>
  <w:style w:type="paragraph" w:customStyle="1" w:styleId="maintext">
    <w:name w:val="main text"/>
    <w:basedOn w:val="Normal"/>
    <w:link w:val="maintextChar"/>
    <w:qFormat/>
    <w:rsid w:val="0080105E"/>
    <w:pPr>
      <w:keepNext/>
      <w:spacing w:before="120" w:after="120" w:line="240" w:lineRule="auto"/>
      <w:jc w:val="both"/>
    </w:pPr>
    <w:rPr>
      <w:rFonts w:ascii="Times New Roman" w:hAnsi="Times New Roman" w:cs="Times New Roman"/>
      <w:sz w:val="24"/>
    </w:rPr>
  </w:style>
  <w:style w:type="character" w:customStyle="1" w:styleId="Heading3blueChar">
    <w:name w:val="Heading 3 (blue) Char"/>
    <w:basedOn w:val="Heading3Char"/>
    <w:link w:val="Heading3blue"/>
    <w:rsid w:val="0080105E"/>
    <w:rPr>
      <w:rFonts w:ascii="Times New Roman" w:eastAsiaTheme="majorEastAsia" w:hAnsi="Times New Roman" w:cs="Times New Roman"/>
      <w:i w:val="0"/>
      <w:color w:val="4F81BD" w:themeColor="accent1"/>
      <w:sz w:val="24"/>
      <w:u w:val="single"/>
    </w:rPr>
  </w:style>
  <w:style w:type="character" w:customStyle="1" w:styleId="maintextChar">
    <w:name w:val="main text Char"/>
    <w:basedOn w:val="DefaultParagraphFont"/>
    <w:link w:val="maintext"/>
    <w:rsid w:val="0080105E"/>
    <w:rPr>
      <w:rFonts w:ascii="Times New Roman" w:hAnsi="Times New Roman" w:cs="Times New Roman"/>
      <w:sz w:val="24"/>
    </w:rPr>
  </w:style>
  <w:style w:type="paragraph" w:customStyle="1" w:styleId="P68B1DB1-Normal9">
    <w:name w:val="P68B1DB1-Normal9"/>
    <w:basedOn w:val="Normal"/>
    <w:rsid w:val="0080105E"/>
    <w:pPr>
      <w:shd w:val="clear" w:color="auto" w:fill="FF0000"/>
    </w:pPr>
    <w:rPr>
      <w:rFonts w:ascii="Times New Roman" w:hAnsi="Times New Roman"/>
      <w:color w:val="000000"/>
      <w:sz w:val="18"/>
    </w:rPr>
  </w:style>
  <w:style w:type="paragraph" w:customStyle="1" w:styleId="P68B1DB1-Normal10">
    <w:name w:val="P68B1DB1-Normal10"/>
    <w:basedOn w:val="Normal"/>
    <w:rsid w:val="0080105E"/>
    <w:rPr>
      <w:rFonts w:ascii="Times New Roman" w:hAnsi="Times New Roman"/>
      <w:color w:val="000000"/>
      <w:sz w:val="18"/>
    </w:rPr>
  </w:style>
  <w:style w:type="paragraph" w:customStyle="1" w:styleId="P68B1DB1-Normal11">
    <w:name w:val="P68B1DB1-Normal11"/>
    <w:basedOn w:val="Normal"/>
    <w:rsid w:val="0080105E"/>
    <w:pPr>
      <w:shd w:val="clear" w:color="auto" w:fill="FF0000"/>
    </w:pPr>
    <w:rPr>
      <w:rFonts w:ascii="Times New Roman" w:hAnsi="Times New Roman"/>
      <w:color w:val="000000"/>
      <w:sz w:val="18"/>
    </w:rPr>
  </w:style>
  <w:style w:type="character" w:customStyle="1" w:styleId="superscript">
    <w:name w:val="superscript"/>
    <w:basedOn w:val="DefaultParagraphFont"/>
    <w:rsid w:val="0080105E"/>
  </w:style>
  <w:style w:type="character" w:customStyle="1" w:styleId="scxw48877978">
    <w:name w:val="scxw48877978"/>
    <w:basedOn w:val="DefaultParagraphFont"/>
    <w:rsid w:val="0080105E"/>
  </w:style>
  <w:style w:type="paragraph" w:customStyle="1" w:styleId="P68B1DB1-Prrafodelista9">
    <w:name w:val="P68B1DB1-Prrafodelista9"/>
    <w:basedOn w:val="ListParagraph"/>
    <w:rsid w:val="0080105E"/>
    <w:pPr>
      <w:spacing w:before="120" w:after="120" w:line="240" w:lineRule="auto"/>
    </w:pPr>
    <w:rPr>
      <w:rFonts w:eastAsia="Times New Roman" w:cstheme="minorHAnsi"/>
    </w:rPr>
  </w:style>
  <w:style w:type="character" w:customStyle="1" w:styleId="scxw101381782">
    <w:name w:val="scxw101381782"/>
    <w:basedOn w:val="DefaultParagraphFont"/>
    <w:rsid w:val="0080105E"/>
  </w:style>
  <w:style w:type="character" w:customStyle="1" w:styleId="Mention21">
    <w:name w:val="Mention21"/>
    <w:basedOn w:val="DefaultParagraphFont"/>
    <w:uiPriority w:val="99"/>
    <w:unhideWhenUsed/>
    <w:rsid w:val="0080105E"/>
    <w:rPr>
      <w:color w:val="2B579A"/>
      <w:shd w:val="clear" w:color="auto" w:fill="E6E6E6"/>
    </w:rPr>
  </w:style>
  <w:style w:type="character" w:customStyle="1" w:styleId="Mention2">
    <w:name w:val="Mention2"/>
    <w:basedOn w:val="DefaultParagraphFont"/>
    <w:uiPriority w:val="99"/>
    <w:unhideWhenUsed/>
    <w:rsid w:val="005E4FED"/>
    <w:rPr>
      <w:color w:val="2B579A"/>
      <w:shd w:val="clear" w:color="auto" w:fill="E1DFDD"/>
    </w:rPr>
  </w:style>
  <w:style w:type="character" w:customStyle="1" w:styleId="UnresolvedMention2">
    <w:name w:val="Unresolved Mention2"/>
    <w:basedOn w:val="DefaultParagraphFont"/>
    <w:uiPriority w:val="99"/>
    <w:unhideWhenUsed/>
    <w:rsid w:val="0080105E"/>
    <w:rPr>
      <w:color w:val="605E5C"/>
      <w:shd w:val="clear" w:color="auto" w:fill="E1DFDD"/>
    </w:rPr>
  </w:style>
  <w:style w:type="character" w:customStyle="1" w:styleId="Mention20">
    <w:name w:val="Mention20"/>
    <w:basedOn w:val="DefaultParagraphFont"/>
    <w:uiPriority w:val="99"/>
    <w:unhideWhenUsed/>
    <w:rsid w:val="0080105E"/>
    <w:rPr>
      <w:color w:val="2B579A"/>
      <w:shd w:val="clear" w:color="auto" w:fill="E6E6E6"/>
    </w:rPr>
  </w:style>
  <w:style w:type="character" w:customStyle="1" w:styleId="Mention3">
    <w:name w:val="Mention3"/>
    <w:basedOn w:val="DefaultParagraphFont"/>
    <w:uiPriority w:val="99"/>
    <w:unhideWhenUsed/>
    <w:rsid w:val="0080105E"/>
    <w:rPr>
      <w:color w:val="2B579A"/>
      <w:shd w:val="clear" w:color="auto" w:fill="E1DFDD"/>
    </w:rPr>
  </w:style>
  <w:style w:type="character" w:customStyle="1" w:styleId="UnresolvedMention3">
    <w:name w:val="Unresolved Mention3"/>
    <w:basedOn w:val="DefaultParagraphFont"/>
    <w:uiPriority w:val="99"/>
    <w:unhideWhenUsed/>
    <w:rsid w:val="0080105E"/>
    <w:rPr>
      <w:color w:val="605E5C"/>
      <w:shd w:val="clear" w:color="auto" w:fill="E1DFDD"/>
    </w:rPr>
  </w:style>
  <w:style w:type="character" w:customStyle="1" w:styleId="UnresolvedMention4">
    <w:name w:val="Unresolved Mention4"/>
    <w:basedOn w:val="DefaultParagraphFont"/>
    <w:uiPriority w:val="99"/>
    <w:unhideWhenUsed/>
    <w:rsid w:val="0080105E"/>
    <w:rPr>
      <w:color w:val="605E5C"/>
      <w:shd w:val="clear" w:color="auto" w:fill="E1DFDD"/>
    </w:rPr>
  </w:style>
  <w:style w:type="character" w:customStyle="1" w:styleId="Mention4">
    <w:name w:val="Mention4"/>
    <w:basedOn w:val="DefaultParagraphFont"/>
    <w:uiPriority w:val="99"/>
    <w:unhideWhenUsed/>
    <w:rsid w:val="0080105E"/>
    <w:rPr>
      <w:color w:val="2B579A"/>
      <w:shd w:val="clear" w:color="auto" w:fill="E1DFDD"/>
    </w:rPr>
  </w:style>
  <w:style w:type="character" w:customStyle="1" w:styleId="Mention5">
    <w:name w:val="Mention5"/>
    <w:basedOn w:val="DefaultParagraphFont"/>
    <w:uiPriority w:val="99"/>
    <w:unhideWhenUsed/>
    <w:rsid w:val="0080105E"/>
    <w:rPr>
      <w:color w:val="2B579A"/>
      <w:shd w:val="clear" w:color="auto" w:fill="E6E6E6"/>
    </w:rPr>
  </w:style>
  <w:style w:type="character" w:customStyle="1" w:styleId="UnresolvedMention5">
    <w:name w:val="Unresolved Mention5"/>
    <w:basedOn w:val="DefaultParagraphFont"/>
    <w:uiPriority w:val="99"/>
    <w:unhideWhenUsed/>
    <w:rsid w:val="0080105E"/>
    <w:rPr>
      <w:color w:val="605E5C"/>
      <w:shd w:val="clear" w:color="auto" w:fill="E1DFDD"/>
    </w:rPr>
  </w:style>
  <w:style w:type="character" w:customStyle="1" w:styleId="UnresolvedMention6">
    <w:name w:val="Unresolved Mention6"/>
    <w:basedOn w:val="DefaultParagraphFont"/>
    <w:uiPriority w:val="99"/>
    <w:unhideWhenUsed/>
    <w:rsid w:val="0080105E"/>
    <w:rPr>
      <w:color w:val="605E5C"/>
      <w:shd w:val="clear" w:color="auto" w:fill="E1DFDD"/>
    </w:rPr>
  </w:style>
  <w:style w:type="character" w:customStyle="1" w:styleId="Mention6">
    <w:name w:val="Mention6"/>
    <w:basedOn w:val="DefaultParagraphFont"/>
    <w:uiPriority w:val="99"/>
    <w:unhideWhenUsed/>
    <w:rsid w:val="0080105E"/>
    <w:rPr>
      <w:color w:val="2B579A"/>
      <w:shd w:val="clear" w:color="auto" w:fill="E1DFDD"/>
    </w:rPr>
  </w:style>
  <w:style w:type="character" w:customStyle="1" w:styleId="UnresolvedMention60">
    <w:name w:val="Unresolved Mention60"/>
    <w:basedOn w:val="DefaultParagraphFont"/>
    <w:uiPriority w:val="99"/>
    <w:unhideWhenUsed/>
    <w:rsid w:val="0080105E"/>
    <w:rPr>
      <w:color w:val="605E5C"/>
      <w:shd w:val="clear" w:color="auto" w:fill="E1DFDD"/>
    </w:rPr>
  </w:style>
  <w:style w:type="character" w:customStyle="1" w:styleId="UnresolvedMention7">
    <w:name w:val="Unresolved Mention7"/>
    <w:basedOn w:val="DefaultParagraphFont"/>
    <w:uiPriority w:val="99"/>
    <w:unhideWhenUsed/>
    <w:rsid w:val="0080105E"/>
    <w:rPr>
      <w:color w:val="605E5C"/>
      <w:shd w:val="clear" w:color="auto" w:fill="E1DFDD"/>
    </w:rPr>
  </w:style>
  <w:style w:type="character" w:customStyle="1" w:styleId="Mention60">
    <w:name w:val="Mention60"/>
    <w:basedOn w:val="DefaultParagraphFont"/>
    <w:uiPriority w:val="99"/>
    <w:unhideWhenUsed/>
    <w:rsid w:val="0080105E"/>
    <w:rPr>
      <w:color w:val="2B579A"/>
      <w:shd w:val="clear" w:color="auto" w:fill="E1DFDD"/>
    </w:rPr>
  </w:style>
  <w:style w:type="character" w:customStyle="1" w:styleId="Mention7">
    <w:name w:val="Mention7"/>
    <w:basedOn w:val="DefaultParagraphFont"/>
    <w:uiPriority w:val="99"/>
    <w:unhideWhenUsed/>
    <w:rsid w:val="0080105E"/>
    <w:rPr>
      <w:color w:val="2B579A"/>
      <w:shd w:val="clear" w:color="auto" w:fill="E1DFDD"/>
    </w:rPr>
  </w:style>
  <w:style w:type="character" w:customStyle="1" w:styleId="UnresolvedMention600">
    <w:name w:val="Unresolved Mention600"/>
    <w:basedOn w:val="DefaultParagraphFont"/>
    <w:uiPriority w:val="99"/>
    <w:unhideWhenUsed/>
    <w:rsid w:val="0080105E"/>
    <w:rPr>
      <w:color w:val="605E5C"/>
      <w:shd w:val="clear" w:color="auto" w:fill="E1DFDD"/>
    </w:rPr>
  </w:style>
  <w:style w:type="character" w:customStyle="1" w:styleId="Mention600">
    <w:name w:val="Mention600"/>
    <w:basedOn w:val="DefaultParagraphFont"/>
    <w:uiPriority w:val="99"/>
    <w:unhideWhenUsed/>
    <w:rsid w:val="0080105E"/>
    <w:rPr>
      <w:color w:val="2B579A"/>
      <w:shd w:val="clear" w:color="auto" w:fill="E1DFDD"/>
    </w:rPr>
  </w:style>
  <w:style w:type="character" w:customStyle="1" w:styleId="UnresolvedMention6000">
    <w:name w:val="Unresolved Mention6000"/>
    <w:basedOn w:val="DefaultParagraphFont"/>
    <w:uiPriority w:val="99"/>
    <w:unhideWhenUsed/>
    <w:rsid w:val="0080105E"/>
    <w:rPr>
      <w:color w:val="605E5C"/>
      <w:shd w:val="clear" w:color="auto" w:fill="E1DFDD"/>
    </w:rPr>
  </w:style>
  <w:style w:type="character" w:customStyle="1" w:styleId="Mention6000">
    <w:name w:val="Mention6000"/>
    <w:basedOn w:val="DefaultParagraphFont"/>
    <w:uiPriority w:val="99"/>
    <w:unhideWhenUsed/>
    <w:rsid w:val="0080105E"/>
    <w:rPr>
      <w:color w:val="2B579A"/>
      <w:shd w:val="clear" w:color="auto" w:fill="E6E6E6"/>
    </w:rPr>
  </w:style>
  <w:style w:type="character" w:customStyle="1" w:styleId="UnresolvedMention8">
    <w:name w:val="Unresolved Mention8"/>
    <w:basedOn w:val="DefaultParagraphFont"/>
    <w:uiPriority w:val="99"/>
    <w:unhideWhenUsed/>
    <w:rsid w:val="0080105E"/>
    <w:rPr>
      <w:color w:val="605E5C"/>
      <w:shd w:val="clear" w:color="auto" w:fill="E1DFDD"/>
    </w:rPr>
  </w:style>
  <w:style w:type="character" w:customStyle="1" w:styleId="Mention8">
    <w:name w:val="Mention8"/>
    <w:basedOn w:val="DefaultParagraphFont"/>
    <w:uiPriority w:val="99"/>
    <w:unhideWhenUsed/>
    <w:rsid w:val="0080105E"/>
    <w:rPr>
      <w:color w:val="2B579A"/>
      <w:shd w:val="clear" w:color="auto" w:fill="E1DFDD"/>
    </w:rPr>
  </w:style>
  <w:style w:type="character" w:customStyle="1" w:styleId="scxw72124611">
    <w:name w:val="scxw72124611"/>
    <w:basedOn w:val="DefaultParagraphFont"/>
    <w:rsid w:val="0080105E"/>
  </w:style>
  <w:style w:type="character" w:customStyle="1" w:styleId="Mention9">
    <w:name w:val="Mention9"/>
    <w:basedOn w:val="DefaultParagraphFont"/>
    <w:uiPriority w:val="99"/>
    <w:unhideWhenUsed/>
    <w:rsid w:val="0080105E"/>
    <w:rPr>
      <w:color w:val="2B579A"/>
      <w:shd w:val="clear" w:color="auto" w:fill="E1DFDD"/>
    </w:rPr>
  </w:style>
  <w:style w:type="table" w:styleId="PlainTable2">
    <w:name w:val="Plain Table 2"/>
    <w:basedOn w:val="TableNormal"/>
    <w:uiPriority w:val="42"/>
    <w:rsid w:val="0080105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tion90">
    <w:name w:val="Mention90"/>
    <w:basedOn w:val="DefaultParagraphFont"/>
    <w:uiPriority w:val="99"/>
    <w:unhideWhenUsed/>
    <w:rsid w:val="0080105E"/>
    <w:rPr>
      <w:color w:val="2B579A"/>
      <w:shd w:val="clear" w:color="auto" w:fill="E1DFDD"/>
    </w:rPr>
  </w:style>
  <w:style w:type="character" w:customStyle="1" w:styleId="Mention900">
    <w:name w:val="Mention900"/>
    <w:basedOn w:val="DefaultParagraphFont"/>
    <w:uiPriority w:val="99"/>
    <w:unhideWhenUsed/>
    <w:rsid w:val="0080105E"/>
    <w:rPr>
      <w:color w:val="2B579A"/>
      <w:shd w:val="clear" w:color="auto" w:fill="E1DFDD"/>
    </w:rPr>
  </w:style>
  <w:style w:type="character" w:customStyle="1" w:styleId="Mention10">
    <w:name w:val="Mention10"/>
    <w:basedOn w:val="DefaultParagraphFont"/>
    <w:uiPriority w:val="99"/>
    <w:unhideWhenUsed/>
    <w:rsid w:val="0080105E"/>
    <w:rPr>
      <w:color w:val="2B579A"/>
      <w:shd w:val="clear" w:color="auto" w:fill="E1DFDD"/>
    </w:rPr>
  </w:style>
  <w:style w:type="character" w:customStyle="1" w:styleId="Mention100">
    <w:name w:val="Mention100"/>
    <w:basedOn w:val="DefaultParagraphFont"/>
    <w:uiPriority w:val="99"/>
    <w:unhideWhenUsed/>
    <w:rsid w:val="0080105E"/>
    <w:rPr>
      <w:color w:val="2B579A"/>
      <w:shd w:val="clear" w:color="auto" w:fill="E1DFDD"/>
    </w:rPr>
  </w:style>
  <w:style w:type="paragraph" w:customStyle="1" w:styleId="P68B1DB1-Normal2">
    <w:name w:val="P68B1DB1-Normal2"/>
    <w:basedOn w:val="Normal"/>
    <w:rsid w:val="001C2EC1"/>
    <w:pPr>
      <w:spacing w:after="160" w:line="256" w:lineRule="auto"/>
    </w:pPr>
    <w:rPr>
      <w:rFonts w:ascii="Times New Roman" w:hAnsi="Times New Roman" w:cs="Times New Roman"/>
      <w:b/>
    </w:rPr>
  </w:style>
  <w:style w:type="character" w:customStyle="1" w:styleId="hwtze">
    <w:name w:val="hwtze"/>
    <w:basedOn w:val="DefaultParagraphFont"/>
    <w:rsid w:val="001C2EC1"/>
  </w:style>
  <w:style w:type="paragraph" w:customStyle="1" w:styleId="P68B1DB1-Normal3">
    <w:name w:val="P68B1DB1-Normal3"/>
    <w:basedOn w:val="Normal"/>
    <w:rsid w:val="001C2EC1"/>
    <w:pPr>
      <w:spacing w:after="160" w:line="256" w:lineRule="auto"/>
    </w:pPr>
    <w:rPr>
      <w:rFonts w:ascii="Times New Roman" w:hAnsi="Times New Roman" w:cs="Times New Roman"/>
    </w:rPr>
  </w:style>
  <w:style w:type="character" w:customStyle="1" w:styleId="Bodytext1">
    <w:name w:val="Body text|1_"/>
    <w:basedOn w:val="DefaultParagraphFont"/>
    <w:link w:val="Bodytext10"/>
    <w:rsid w:val="001C2EC1"/>
    <w:rPr>
      <w:rFonts w:ascii="Arial" w:eastAsia="Arial" w:hAnsi="Arial" w:cs="Arial"/>
      <w:sz w:val="20"/>
    </w:rPr>
  </w:style>
  <w:style w:type="paragraph" w:customStyle="1" w:styleId="Bodytext10">
    <w:name w:val="Body text|1"/>
    <w:basedOn w:val="Normal"/>
    <w:link w:val="Bodytext1"/>
    <w:rsid w:val="001C2EC1"/>
    <w:pPr>
      <w:widowControl w:val="0"/>
      <w:spacing w:after="0" w:line="252" w:lineRule="auto"/>
      <w:ind w:firstLine="360"/>
    </w:pPr>
    <w:rPr>
      <w:rFonts w:ascii="Arial" w:eastAsia="Arial" w:hAnsi="Arial" w:cs="Arial"/>
      <w:sz w:val="20"/>
    </w:rPr>
  </w:style>
  <w:style w:type="character" w:customStyle="1" w:styleId="UnresolvedMention20">
    <w:name w:val="Unresolved Mention20"/>
    <w:basedOn w:val="DefaultParagraphFont"/>
    <w:uiPriority w:val="99"/>
    <w:unhideWhenUsed/>
    <w:rsid w:val="00C936DF"/>
    <w:rPr>
      <w:color w:val="605E5C"/>
      <w:shd w:val="clear" w:color="auto" w:fill="E1DFDD"/>
    </w:rPr>
  </w:style>
  <w:style w:type="character" w:customStyle="1" w:styleId="Mention200">
    <w:name w:val="Mention200"/>
    <w:basedOn w:val="DefaultParagraphFont"/>
    <w:uiPriority w:val="99"/>
    <w:unhideWhenUsed/>
    <w:rsid w:val="00C936DF"/>
    <w:rPr>
      <w:color w:val="2B579A"/>
      <w:shd w:val="clear" w:color="auto" w:fill="E1DFDD"/>
    </w:rPr>
  </w:style>
  <w:style w:type="paragraph" w:customStyle="1" w:styleId="LegalNumPar3">
    <w:name w:val="LegalNumPar3"/>
    <w:basedOn w:val="Normal"/>
    <w:uiPriority w:val="1"/>
    <w:rsid w:val="00A34B22"/>
    <w:pPr>
      <w:numPr>
        <w:ilvl w:val="2"/>
        <w:numId w:val="12"/>
      </w:numPr>
      <w:spacing w:after="160" w:line="259" w:lineRule="auto"/>
    </w:pPr>
  </w:style>
  <w:style w:type="paragraph" w:customStyle="1" w:styleId="LegalNumPar">
    <w:name w:val="LegalNumPar"/>
    <w:basedOn w:val="Normal"/>
    <w:rsid w:val="007043A5"/>
    <w:pPr>
      <w:spacing w:after="160" w:line="259" w:lineRule="auto"/>
      <w:ind w:left="476" w:hanging="476"/>
    </w:pPr>
  </w:style>
  <w:style w:type="paragraph" w:customStyle="1" w:styleId="LegalNumPar2">
    <w:name w:val="LegalNumPar2"/>
    <w:basedOn w:val="Normal"/>
    <w:rsid w:val="007043A5"/>
    <w:pPr>
      <w:spacing w:after="160" w:line="259" w:lineRule="auto"/>
      <w:ind w:left="953" w:hanging="477"/>
    </w:pPr>
  </w:style>
  <w:style w:type="character" w:customStyle="1" w:styleId="Mention11">
    <w:name w:val="Mention11"/>
    <w:basedOn w:val="DefaultParagraphFont"/>
    <w:uiPriority w:val="99"/>
    <w:unhideWhenUsed/>
    <w:rsid w:val="00621745"/>
    <w:rPr>
      <w:color w:val="2B579A"/>
      <w:shd w:val="clear" w:color="auto" w:fill="E1DFDD"/>
    </w:rPr>
  </w:style>
  <w:style w:type="character" w:customStyle="1" w:styleId="Mention110">
    <w:name w:val="Mention110"/>
    <w:basedOn w:val="DefaultParagraphFont"/>
    <w:uiPriority w:val="99"/>
    <w:unhideWhenUsed/>
    <w:rsid w:val="00674213"/>
    <w:rPr>
      <w:color w:val="2B579A"/>
      <w:shd w:val="clear" w:color="auto" w:fill="E1DFDD"/>
    </w:rPr>
  </w:style>
  <w:style w:type="character" w:customStyle="1" w:styleId="Mention1100">
    <w:name w:val="Mention1100"/>
    <w:basedOn w:val="DefaultParagraphFont"/>
    <w:uiPriority w:val="99"/>
    <w:unhideWhenUsed/>
    <w:rsid w:val="00674213"/>
    <w:rPr>
      <w:color w:val="2B579A"/>
      <w:shd w:val="clear" w:color="auto" w:fill="E1DFDD"/>
    </w:rPr>
  </w:style>
  <w:style w:type="character" w:customStyle="1" w:styleId="Mention11000">
    <w:name w:val="Mention11000"/>
    <w:basedOn w:val="DefaultParagraphFont"/>
    <w:uiPriority w:val="99"/>
    <w:unhideWhenUsed/>
    <w:rsid w:val="00674213"/>
    <w:rPr>
      <w:color w:val="2B579A"/>
      <w:shd w:val="clear" w:color="auto" w:fill="E1DFDD"/>
    </w:rPr>
  </w:style>
  <w:style w:type="character" w:customStyle="1" w:styleId="Mention110000">
    <w:name w:val="Mention110000"/>
    <w:basedOn w:val="DefaultParagraphFont"/>
    <w:uiPriority w:val="99"/>
    <w:unhideWhenUsed/>
    <w:rsid w:val="00674213"/>
    <w:rPr>
      <w:color w:val="2B579A"/>
      <w:shd w:val="clear" w:color="auto" w:fill="E1DFDD"/>
    </w:rPr>
  </w:style>
  <w:style w:type="character" w:customStyle="1" w:styleId="Mention1100000">
    <w:name w:val="Mention1100000"/>
    <w:basedOn w:val="DefaultParagraphFont"/>
    <w:uiPriority w:val="99"/>
    <w:unhideWhenUsed/>
    <w:rsid w:val="00674213"/>
    <w:rPr>
      <w:color w:val="2B579A"/>
      <w:shd w:val="clear" w:color="auto" w:fill="E1DFDD"/>
    </w:rPr>
  </w:style>
  <w:style w:type="character" w:customStyle="1" w:styleId="Mention12">
    <w:name w:val="Mention12"/>
    <w:basedOn w:val="DefaultParagraphFont"/>
    <w:uiPriority w:val="99"/>
    <w:unhideWhenUsed/>
    <w:rsid w:val="00674213"/>
    <w:rPr>
      <w:color w:val="2B579A"/>
      <w:shd w:val="clear" w:color="auto" w:fill="E1DFDD"/>
    </w:rPr>
  </w:style>
  <w:style w:type="character" w:customStyle="1" w:styleId="Mention11000000">
    <w:name w:val="Mention11000000"/>
    <w:basedOn w:val="DefaultParagraphFont"/>
    <w:uiPriority w:val="99"/>
    <w:unhideWhenUsed/>
    <w:rsid w:val="00674213"/>
    <w:rPr>
      <w:color w:val="2B579A"/>
      <w:shd w:val="clear" w:color="auto" w:fill="E1DFDD"/>
    </w:rPr>
  </w:style>
  <w:style w:type="character" w:customStyle="1" w:styleId="Mention110000000">
    <w:name w:val="Mention110000000"/>
    <w:basedOn w:val="DefaultParagraphFont"/>
    <w:uiPriority w:val="99"/>
    <w:unhideWhenUsed/>
    <w:rsid w:val="00674213"/>
    <w:rPr>
      <w:color w:val="2B579A"/>
      <w:shd w:val="clear" w:color="auto" w:fill="E1DFDD"/>
    </w:rPr>
  </w:style>
  <w:style w:type="character" w:customStyle="1" w:styleId="Mention1100000000">
    <w:name w:val="Mention1100000000"/>
    <w:basedOn w:val="DefaultParagraphFont"/>
    <w:uiPriority w:val="99"/>
    <w:unhideWhenUsed/>
    <w:rsid w:val="00674213"/>
    <w:rPr>
      <w:color w:val="2B579A"/>
      <w:shd w:val="clear" w:color="auto" w:fill="E1DFDD"/>
    </w:rPr>
  </w:style>
  <w:style w:type="character" w:customStyle="1" w:styleId="Mention11000000000">
    <w:name w:val="Mention11000000000"/>
    <w:basedOn w:val="DefaultParagraphFont"/>
    <w:uiPriority w:val="99"/>
    <w:unhideWhenUsed/>
    <w:rsid w:val="00674213"/>
    <w:rPr>
      <w:color w:val="2B579A"/>
      <w:shd w:val="clear" w:color="auto" w:fill="E1DFDD"/>
    </w:rPr>
  </w:style>
  <w:style w:type="character" w:customStyle="1" w:styleId="Mention110000000000">
    <w:name w:val="Mention110000000000"/>
    <w:basedOn w:val="DefaultParagraphFont"/>
    <w:uiPriority w:val="99"/>
    <w:unhideWhenUsed/>
    <w:rsid w:val="00674213"/>
    <w:rPr>
      <w:color w:val="2B579A"/>
      <w:shd w:val="clear" w:color="auto" w:fill="E1DFDD"/>
    </w:rPr>
  </w:style>
  <w:style w:type="character" w:customStyle="1" w:styleId="Mention1100000000000">
    <w:name w:val="Mention1100000000000"/>
    <w:basedOn w:val="DefaultParagraphFont"/>
    <w:uiPriority w:val="99"/>
    <w:unhideWhenUsed/>
    <w:rsid w:val="00674213"/>
    <w:rPr>
      <w:color w:val="2B579A"/>
      <w:shd w:val="clear" w:color="auto" w:fill="E1DFDD"/>
    </w:rPr>
  </w:style>
  <w:style w:type="character" w:customStyle="1" w:styleId="Mention11000000000000">
    <w:name w:val="Mention11000000000000"/>
    <w:basedOn w:val="DefaultParagraphFont"/>
    <w:uiPriority w:val="99"/>
    <w:unhideWhenUsed/>
    <w:rsid w:val="008320D6"/>
    <w:rPr>
      <w:color w:val="2B579A"/>
      <w:shd w:val="clear" w:color="auto" w:fill="E1DFDD"/>
    </w:rPr>
  </w:style>
  <w:style w:type="character" w:customStyle="1" w:styleId="Mention13">
    <w:name w:val="Mention13"/>
    <w:basedOn w:val="DefaultParagraphFont"/>
    <w:uiPriority w:val="99"/>
    <w:unhideWhenUsed/>
    <w:rsid w:val="00995BE2"/>
    <w:rPr>
      <w:color w:val="2B579A"/>
      <w:shd w:val="clear" w:color="auto" w:fill="E1DFDD"/>
    </w:rPr>
  </w:style>
  <w:style w:type="character" w:customStyle="1" w:styleId="FooterSensitivityChar">
    <w:name w:val="Footer Sensitivity Char"/>
    <w:basedOn w:val="DefaultParagraphFont"/>
    <w:link w:val="FooterSensitivity"/>
    <w:rsid w:val="008616A9"/>
    <w:rPr>
      <w:rFonts w:ascii="Times New Roman" w:hAnsi="Times New Roman" w:cs="Times New Roman"/>
      <w:b/>
      <w:sz w:val="32"/>
    </w:rPr>
  </w:style>
  <w:style w:type="character" w:customStyle="1" w:styleId="HeaderSensitivityChar">
    <w:name w:val="Header Sensitivity Char"/>
    <w:basedOn w:val="DefaultParagraphFont"/>
    <w:link w:val="HeaderSensitivity"/>
    <w:rsid w:val="008616A9"/>
    <w:rPr>
      <w:rFonts w:ascii="Times New Roman" w:hAnsi="Times New Roman" w:cs="Times New Roman"/>
      <w:b/>
      <w:sz w:val="32"/>
    </w:rPr>
  </w:style>
  <w:style w:type="character" w:customStyle="1" w:styleId="HeaderSensitivityRightChar">
    <w:name w:val="Header Sensitivity Right Char"/>
    <w:basedOn w:val="DefaultParagraphFont"/>
    <w:link w:val="HeaderSensitivityRight"/>
    <w:rsid w:val="008616A9"/>
    <w:rPr>
      <w:rFonts w:ascii="Times New Roman" w:hAnsi="Times New Roman" w:cs="Times New Roman"/>
      <w:sz w:val="28"/>
    </w:rPr>
  </w:style>
  <w:style w:type="character" w:customStyle="1" w:styleId="Mention14">
    <w:name w:val="Mention14"/>
    <w:basedOn w:val="DefaultParagraphFont"/>
    <w:uiPriority w:val="99"/>
    <w:unhideWhenUsed/>
    <w:rsid w:val="005E3317"/>
    <w:rPr>
      <w:color w:val="2B579A"/>
      <w:shd w:val="clear" w:color="auto" w:fill="E1DFDD"/>
    </w:rPr>
  </w:style>
  <w:style w:type="character" w:customStyle="1" w:styleId="UnresolvedMention9">
    <w:name w:val="Unresolved Mention9"/>
    <w:basedOn w:val="DefaultParagraphFont"/>
    <w:uiPriority w:val="99"/>
    <w:semiHidden/>
    <w:unhideWhenUsed/>
    <w:rsid w:val="001F52FC"/>
    <w:rPr>
      <w:color w:val="605E5C"/>
      <w:shd w:val="clear" w:color="auto" w:fill="E1DFDD"/>
    </w:rPr>
  </w:style>
  <w:style w:type="paragraph" w:customStyle="1" w:styleId="TechnicalBlock">
    <w:name w:val="Technical Block"/>
    <w:basedOn w:val="Normal"/>
    <w:link w:val="TechnicalBlockChar"/>
    <w:rsid w:val="00337827"/>
    <w:pPr>
      <w:spacing w:after="240" w:line="240" w:lineRule="auto"/>
      <w:jc w:val="center"/>
    </w:pPr>
  </w:style>
  <w:style w:type="character" w:customStyle="1" w:styleId="TechnicalBlockChar">
    <w:name w:val="Technical Block Char"/>
    <w:basedOn w:val="DefaultParagraphFont"/>
    <w:link w:val="TechnicalBlock"/>
    <w:rsid w:val="00337827"/>
  </w:style>
  <w:style w:type="paragraph" w:customStyle="1" w:styleId="EntText">
    <w:name w:val="EntText"/>
    <w:basedOn w:val="Normal"/>
    <w:rsid w:val="00AD7D86"/>
    <w:pPr>
      <w:spacing w:before="120" w:after="120" w:line="360" w:lineRule="auto"/>
    </w:pPr>
    <w:rPr>
      <w:rFonts w:ascii="Times New Roman" w:hAnsi="Times New Roman" w:cs="Times New Roman"/>
      <w:sz w:val="24"/>
    </w:rPr>
  </w:style>
  <w:style w:type="paragraph" w:customStyle="1" w:styleId="Lignefinal">
    <w:name w:val="Ligne final"/>
    <w:basedOn w:val="Normal"/>
    <w:next w:val="Normal"/>
    <w:rsid w:val="00AD7D86"/>
    <w:pPr>
      <w:pBdr>
        <w:bottom w:val="single" w:sz="4" w:space="0" w:color="000000"/>
      </w:pBdr>
      <w:spacing w:before="360" w:after="120" w:line="360" w:lineRule="auto"/>
      <w:ind w:left="3400" w:right="3400"/>
      <w:jc w:val="center"/>
    </w:pPr>
    <w:rPr>
      <w:rFonts w:ascii="Times New Roman" w:hAnsi="Times New Roman" w:cs="Times New Roman"/>
      <w:b/>
      <w:sz w:val="24"/>
    </w:rPr>
  </w:style>
  <w:style w:type="paragraph" w:customStyle="1" w:styleId="pj">
    <w:name w:val="p.j."/>
    <w:basedOn w:val="Normal"/>
    <w:link w:val="pjChar"/>
    <w:rsid w:val="00337827"/>
    <w:pPr>
      <w:spacing w:before="1200" w:after="120" w:line="240" w:lineRule="auto"/>
      <w:ind w:left="1440" w:hanging="1440"/>
    </w:pPr>
    <w:rPr>
      <w:rFonts w:ascii="Times New Roman" w:hAnsi="Times New Roman" w:cs="Times New Roman"/>
      <w:sz w:val="24"/>
    </w:rPr>
  </w:style>
  <w:style w:type="character" w:customStyle="1" w:styleId="pjChar">
    <w:name w:val="p.j. Char"/>
    <w:basedOn w:val="TechnicalBlockChar"/>
    <w:link w:val="pj"/>
    <w:rsid w:val="00337827"/>
    <w:rPr>
      <w:rFonts w:ascii="Times New Roman" w:hAnsi="Times New Roman" w:cs="Times New Roman"/>
      <w:sz w:val="24"/>
    </w:rPr>
  </w:style>
  <w:style w:type="paragraph" w:customStyle="1" w:styleId="nbbordered">
    <w:name w:val="nb bordered"/>
    <w:basedOn w:val="Normal"/>
    <w:link w:val="nbborderedChar"/>
    <w:rsid w:val="00337827"/>
    <w:pPr>
      <w:pBdr>
        <w:top w:val="single" w:sz="4" w:space="1" w:color="auto"/>
        <w:left w:val="single" w:sz="4" w:space="4" w:color="auto"/>
        <w:bottom w:val="single" w:sz="4" w:space="1" w:color="auto"/>
        <w:right w:val="single" w:sz="4" w:space="4" w:color="auto"/>
        <w:between w:val="single" w:sz="4" w:space="0" w:color="auto"/>
      </w:pBdr>
      <w:spacing w:after="160" w:line="240" w:lineRule="auto"/>
      <w:ind w:left="480" w:hanging="480"/>
    </w:pPr>
    <w:rPr>
      <w:rFonts w:ascii="Times New Roman" w:hAnsi="Times New Roman" w:cs="Times New Roman"/>
      <w:b/>
      <w:sz w:val="24"/>
    </w:rPr>
  </w:style>
  <w:style w:type="character" w:customStyle="1" w:styleId="nbborderedChar">
    <w:name w:val="nb bordered Char"/>
    <w:basedOn w:val="TechnicalBlockChar"/>
    <w:link w:val="nbbordered"/>
    <w:rsid w:val="00337827"/>
    <w:rPr>
      <w:rFonts w:ascii="Times New Roman" w:hAnsi="Times New Roman" w:cs="Times New Roman"/>
      <w:b/>
      <w:sz w:val="24"/>
    </w:rPr>
  </w:style>
  <w:style w:type="paragraph" w:customStyle="1" w:styleId="HeaderCouncil">
    <w:name w:val="Header Council"/>
    <w:basedOn w:val="Normal"/>
    <w:link w:val="HeaderCouncilChar"/>
    <w:rsid w:val="00337827"/>
    <w:pPr>
      <w:spacing w:after="0"/>
    </w:pPr>
    <w:rPr>
      <w:sz w:val="2"/>
    </w:rPr>
  </w:style>
  <w:style w:type="character" w:customStyle="1" w:styleId="HeaderCouncilChar">
    <w:name w:val="Header Council Char"/>
    <w:basedOn w:val="DefaultParagraphFont"/>
    <w:link w:val="HeaderCouncil"/>
    <w:rsid w:val="00337827"/>
    <w:rPr>
      <w:sz w:val="2"/>
    </w:rPr>
  </w:style>
  <w:style w:type="paragraph" w:customStyle="1" w:styleId="HeaderCouncilLarge">
    <w:name w:val="Header Council Large"/>
    <w:basedOn w:val="Normal"/>
    <w:link w:val="HeaderCouncilLargeChar"/>
    <w:rsid w:val="00337827"/>
    <w:pPr>
      <w:spacing w:after="440"/>
    </w:pPr>
    <w:rPr>
      <w:sz w:val="2"/>
    </w:rPr>
  </w:style>
  <w:style w:type="character" w:customStyle="1" w:styleId="HeaderCouncilLargeChar">
    <w:name w:val="Header Council Large Char"/>
    <w:basedOn w:val="DefaultParagraphFont"/>
    <w:link w:val="HeaderCouncilLarge"/>
    <w:rsid w:val="00337827"/>
    <w:rPr>
      <w:sz w:val="2"/>
    </w:rPr>
  </w:style>
  <w:style w:type="paragraph" w:customStyle="1" w:styleId="FooterCouncil">
    <w:name w:val="Footer Council"/>
    <w:basedOn w:val="Normal"/>
    <w:link w:val="FooterCouncilChar"/>
    <w:rsid w:val="00337827"/>
    <w:pPr>
      <w:spacing w:after="0"/>
    </w:pPr>
    <w:rPr>
      <w:sz w:val="2"/>
    </w:rPr>
  </w:style>
  <w:style w:type="character" w:customStyle="1" w:styleId="FooterCouncilChar">
    <w:name w:val="Footer Council Char"/>
    <w:basedOn w:val="DefaultParagraphFont"/>
    <w:link w:val="FooterCouncil"/>
    <w:rsid w:val="00337827"/>
    <w:rPr>
      <w:sz w:val="2"/>
    </w:rPr>
  </w:style>
  <w:style w:type="paragraph" w:customStyle="1" w:styleId="FooterText">
    <w:name w:val="Footer Text"/>
    <w:basedOn w:val="Normal"/>
    <w:rsid w:val="00337827"/>
    <w:pPr>
      <w:spacing w:after="0" w:line="240" w:lineRule="auto"/>
    </w:pPr>
    <w:rPr>
      <w:rFonts w:ascii="Times New Roman" w:eastAsia="Times New Roman" w:hAnsi="Times New Roman" w:cs="Times New Roman"/>
      <w:sz w:val="24"/>
    </w:rPr>
  </w:style>
  <w:style w:type="character" w:styleId="PlaceholderText">
    <w:name w:val="Placeholder Text"/>
    <w:basedOn w:val="DefaultParagraphFont"/>
    <w:uiPriority w:val="99"/>
    <w:semiHidden/>
    <w:rsid w:val="00337827"/>
    <w:rPr>
      <w:color w:val="808080"/>
    </w:rPr>
  </w:style>
  <w:style w:type="character" w:customStyle="1" w:styleId="Mention">
    <w:name w:val="Mention"/>
    <w:basedOn w:val="DefaultParagraphFont"/>
    <w:uiPriority w:val="99"/>
    <w:unhideWhenUsed/>
    <w:rsid w:val="000B7EBD"/>
    <w:rPr>
      <w:color w:val="2B579A"/>
      <w:shd w:val="clear" w:color="auto" w:fill="E1DFDD"/>
    </w:rPr>
  </w:style>
  <w:style w:type="character" w:customStyle="1" w:styleId="UnresolvedMention">
    <w:name w:val="Unresolved Mention"/>
    <w:basedOn w:val="DefaultParagraphFont"/>
    <w:uiPriority w:val="99"/>
    <w:semiHidden/>
    <w:unhideWhenUsed/>
    <w:rsid w:val="002A302D"/>
    <w:rPr>
      <w:color w:val="605E5C"/>
      <w:shd w:val="clear" w:color="auto" w:fill="E1DFDD"/>
    </w:rPr>
  </w:style>
  <w:style w:type="paragraph" w:customStyle="1" w:styleId="P68B1DB1-Normal1">
    <w:name w:val="P68B1DB1-Normal1"/>
    <w:basedOn w:val="Normal"/>
    <w:rPr>
      <w:rFonts w:ascii="Times New Roman" w:hAnsi="Times New Roman"/>
      <w:b/>
      <w:sz w:val="28"/>
    </w:rPr>
  </w:style>
  <w:style w:type="paragraph" w:customStyle="1" w:styleId="P68B1DB1-Heading12">
    <w:name w:val="P68B1DB1-Heading12"/>
    <w:basedOn w:val="Heading1"/>
    <w:rPr>
      <w:rFonts w:ascii="Times New Roman" w:hAnsi="Times New Roman"/>
    </w:rPr>
  </w:style>
  <w:style w:type="paragraph" w:customStyle="1" w:styleId="P68B1DB1-Normal4">
    <w:name w:val="P68B1DB1-Normal4"/>
    <w:basedOn w:val="Normal"/>
    <w:rPr>
      <w:rFonts w:ascii="Times New Roman" w:hAnsi="Times New Roman"/>
      <w:sz w:val="24"/>
    </w:rPr>
  </w:style>
  <w:style w:type="paragraph" w:customStyle="1" w:styleId="P68B1DB1-Normal5">
    <w:name w:val="P68B1DB1-Normal5"/>
    <w:basedOn w:val="Normal"/>
    <w:rPr>
      <w:rFonts w:ascii="Times New Roman" w:hAnsi="Times New Roman"/>
      <w:sz w:val="24"/>
      <w:u w:val="single"/>
    </w:rPr>
  </w:style>
  <w:style w:type="paragraph" w:customStyle="1" w:styleId="P68B1DB1-ListParagraph6">
    <w:name w:val="P68B1DB1-ListParagraph6"/>
    <w:basedOn w:val="ListParagraph"/>
    <w:rPr>
      <w:rFonts w:ascii="Times New Roman" w:hAnsi="Times New Roman"/>
      <w:sz w:val="24"/>
    </w:rPr>
  </w:style>
  <w:style w:type="paragraph" w:customStyle="1" w:styleId="P68B1DB1-Normal7">
    <w:name w:val="P68B1DB1-Normal7"/>
    <w:basedOn w:val="Normal"/>
    <w:rPr>
      <w:rFonts w:ascii="Times New Roman" w:hAnsi="Times New Roman"/>
    </w:rPr>
  </w:style>
  <w:style w:type="paragraph" w:customStyle="1" w:styleId="P68B1DB1-Normal8">
    <w:name w:val="P68B1DB1-Normal8"/>
    <w:basedOn w:val="Normal"/>
    <w:rPr>
      <w:rFonts w:ascii="Times New Roman" w:hAnsi="Times New Roman"/>
      <w:b/>
      <w:sz w:val="18"/>
    </w:rPr>
  </w:style>
  <w:style w:type="paragraph" w:customStyle="1" w:styleId="P68B1DB1-Normal12">
    <w:name w:val="P68B1DB1-Normal12"/>
    <w:basedOn w:val="Normal"/>
    <w:rPr>
      <w:rFonts w:ascii="Times New Roman" w:hAnsi="Times New Roman"/>
      <w:sz w:val="18"/>
    </w:rPr>
  </w:style>
  <w:style w:type="paragraph" w:customStyle="1" w:styleId="P68B1DB1-ListParagraph13">
    <w:name w:val="P68B1DB1-ListParagraph13"/>
    <w:basedOn w:val="ListParagraph"/>
    <w:rPr>
      <w:rFonts w:ascii="Times New Roman" w:hAnsi="Times New Roman"/>
      <w:sz w:val="18"/>
    </w:rPr>
  </w:style>
  <w:style w:type="paragraph" w:customStyle="1" w:styleId="P68B1DB1-xmsonormal14">
    <w:name w:val="P68B1DB1-xmsonormal14"/>
    <w:basedOn w:val="xmsonormal"/>
    <w:rPr>
      <w:rFonts w:ascii="Times New Roman" w:hAnsi="Times New Roman"/>
      <w:sz w:val="24"/>
    </w:rPr>
  </w:style>
  <w:style w:type="paragraph" w:customStyle="1" w:styleId="P68B1DB1-Normal15">
    <w:name w:val="P68B1DB1-Normal15"/>
    <w:basedOn w:val="Normal"/>
    <w:rPr>
      <w:rFonts w:ascii="Times New Roman" w:hAnsi="Times New Roman"/>
      <w:b/>
      <w:sz w:val="24"/>
      <w:u w:val="single"/>
    </w:rPr>
  </w:style>
  <w:style w:type="paragraph" w:customStyle="1" w:styleId="P68B1DB1-LegalNumPar316">
    <w:name w:val="P68B1DB1-LegalNumPar316"/>
    <w:basedOn w:val="LegalNumPar3"/>
    <w:rPr>
      <w:rFonts w:ascii="Times New Roman" w:hAnsi="Times New Roman"/>
      <w:sz w:val="24"/>
    </w:rPr>
  </w:style>
  <w:style w:type="paragraph" w:customStyle="1" w:styleId="P68B1DB1-Normal17">
    <w:name w:val="P68B1DB1-Normal17"/>
    <w:basedOn w:val="Normal"/>
    <w:rPr>
      <w:rFonts w:ascii="Times New Roman" w:hAnsi="Times New Roman"/>
      <w:i/>
      <w:sz w:val="24"/>
    </w:rPr>
  </w:style>
  <w:style w:type="paragraph" w:customStyle="1" w:styleId="P68B1DB1-Text118">
    <w:name w:val="P68B1DB1-Text118"/>
    <w:basedOn w:val="Text1"/>
    <w:rPr>
      <w:rFonts w:ascii="Times New Roman" w:hAnsi="Times New Roman"/>
    </w:rPr>
  </w:style>
  <w:style w:type="paragraph" w:customStyle="1" w:styleId="P68B1DB1-Text119">
    <w:name w:val="P68B1DB1-Text119"/>
    <w:basedOn w:val="Text1"/>
    <w:rPr>
      <w:rFonts w:ascii="Times New Roman" w:hAnsi="Times New Roman"/>
      <w:u w:val="single"/>
    </w:rPr>
  </w:style>
  <w:style w:type="paragraph" w:customStyle="1" w:styleId="P68B1DB1-Normal20">
    <w:name w:val="P68B1DB1-Normal20"/>
    <w:basedOn w:val="Normal"/>
    <w:rPr>
      <w:rFonts w:ascii="Times New Roman" w:hAnsi="Times New Roman"/>
      <w:i/>
      <w:sz w:val="18"/>
    </w:rPr>
  </w:style>
  <w:style w:type="paragraph" w:customStyle="1" w:styleId="P68B1DB1-Normal21">
    <w:name w:val="P68B1DB1-Normal21"/>
    <w:basedOn w:val="Normal"/>
    <w:rPr>
      <w:rFonts w:ascii="Times New Roman" w:hAnsi="Times New Roman"/>
      <w:sz w:val="24"/>
      <w:shd w:val="clear" w:color="auto" w:fill="FFFFFF"/>
    </w:rPr>
  </w:style>
  <w:style w:type="paragraph" w:customStyle="1" w:styleId="P68B1DB1-Normal22">
    <w:name w:val="P68B1DB1-Normal22"/>
    <w:basedOn w:val="Normal"/>
    <w:rPr>
      <w:rFonts w:ascii="Times New Roman" w:hAnsi="Times New Roman"/>
      <w:sz w:val="24"/>
      <w:u w:val="single"/>
      <w:shd w:val="clear" w:color="auto" w:fill="FFFFFF"/>
    </w:rPr>
  </w:style>
  <w:style w:type="paragraph" w:customStyle="1" w:styleId="P68B1DB1-ListParagraph23">
    <w:name w:val="P68B1DB1-ListParagraph23"/>
    <w:basedOn w:val="ListParagraph"/>
    <w:rPr>
      <w:rFonts w:ascii="Times New Roman" w:hAnsi="Times New Roman"/>
    </w:rPr>
  </w:style>
  <w:style w:type="paragraph" w:customStyle="1" w:styleId="P68B1DB1-paragraph24">
    <w:name w:val="P68B1DB1-paragraph24"/>
    <w:basedOn w:val="paragraph"/>
    <w:rPr>
      <w:rFonts w:ascii="Times New Roman" w:hAnsi="Times New Roman"/>
    </w:rPr>
  </w:style>
  <w:style w:type="paragraph" w:customStyle="1" w:styleId="P68B1DB1-paragraph25">
    <w:name w:val="P68B1DB1-paragraph25"/>
    <w:basedOn w:val="paragraph"/>
    <w:rPr>
      <w:rFonts w:ascii="Times New Roman" w:hAnsi="Times New Roman"/>
      <w:u w:val="single"/>
    </w:rPr>
  </w:style>
  <w:style w:type="paragraph" w:customStyle="1" w:styleId="P68B1DB1-Text126">
    <w:name w:val="P68B1DB1-Text126"/>
    <w:basedOn w:val="Text1"/>
    <w:rPr>
      <w:rFonts w:ascii="Times New Roman" w:hAnsi="Times New Roman"/>
      <w:sz w:val="18"/>
    </w:rPr>
  </w:style>
  <w:style w:type="paragraph" w:customStyle="1" w:styleId="P68B1DB1-LegalNumPar27">
    <w:name w:val="P68B1DB1-LegalNumPar27"/>
    <w:basedOn w:val="LegalNumPar"/>
    <w:rPr>
      <w:rFonts w:ascii="Times New Roman" w:hAnsi="Times New Roman"/>
      <w:sz w:val="24"/>
    </w:rPr>
  </w:style>
  <w:style w:type="paragraph" w:customStyle="1" w:styleId="P68B1DB1-LegalNumPar228">
    <w:name w:val="P68B1DB1-LegalNumPar228"/>
    <w:basedOn w:val="LegalNumPar2"/>
    <w:rPr>
      <w:rFonts w:ascii="Times New Roman" w:hAnsi="Times New Roman"/>
      <w:sz w:val="24"/>
    </w:rPr>
  </w:style>
  <w:style w:type="paragraph" w:customStyle="1" w:styleId="P68B1DB1-paragraph29">
    <w:name w:val="P68B1DB1-paragraph29"/>
    <w:basedOn w:val="paragraph"/>
    <w:rPr>
      <w:rFonts w:ascii="Times New Roman" w:hAnsi="Times New Roman"/>
      <w:sz w:val="18"/>
    </w:rPr>
  </w:style>
  <w:style w:type="paragraph" w:customStyle="1" w:styleId="P68B1DB1-Normal30">
    <w:name w:val="P68B1DB1-Normal30"/>
    <w:basedOn w:val="Normal"/>
    <w:rPr>
      <w:rFonts w:ascii="Times New Roman" w:hAnsi="Times New Roman"/>
      <w:sz w:val="18"/>
      <w:shd w:val="clear" w:color="auto" w:fill="E6E6E6"/>
    </w:rPr>
  </w:style>
  <w:style w:type="paragraph" w:customStyle="1" w:styleId="P68B1DB1-Heading2blue31">
    <w:name w:val="P68B1DB1-Heading2blue31"/>
    <w:basedOn w:val="Heading2blue"/>
    <w:rPr>
      <w:color w:val="auto"/>
    </w:rPr>
  </w:style>
  <w:style w:type="paragraph" w:customStyle="1" w:styleId="P68B1DB1-Heading3blue32">
    <w:name w:val="P68B1DB1-Heading3blue32"/>
    <w:basedOn w:val="Heading3blue"/>
    <w:rPr>
      <w:color w:val="auto"/>
    </w:rPr>
  </w:style>
  <w:style w:type="paragraph" w:customStyle="1" w:styleId="P68B1DB1-Heading333">
    <w:name w:val="P68B1DB1-Heading333"/>
    <w:basedOn w:val="Heading3"/>
    <w:rPr>
      <w:rFonts w:ascii="Times New Roman" w:hAnsi="Times New Roman"/>
      <w:i w:val="0"/>
      <w:u w:val="single"/>
    </w:rPr>
  </w:style>
  <w:style w:type="paragraph" w:customStyle="1" w:styleId="P68B1DB1-P68B1DB1-Normal334">
    <w:name w:val="P68B1DB1-P68B1DB1-Normal334"/>
    <w:basedOn w:val="P68B1DB1-Normal3"/>
    <w:rPr>
      <w:sz w:val="24"/>
    </w:rPr>
  </w:style>
  <w:style w:type="paragraph" w:customStyle="1" w:styleId="P68B1DB1-Text135">
    <w:name w:val="P68B1DB1-Text135"/>
    <w:basedOn w:val="Text1"/>
    <w:rPr>
      <w:rFonts w:ascii="Times New Roman" w:hAnsi="Times New Roman"/>
      <w:i/>
    </w:rPr>
  </w:style>
  <w:style w:type="paragraph" w:customStyle="1" w:styleId="P68B1DB1-Normal36">
    <w:name w:val="P68B1DB1-Normal36"/>
    <w:basedOn w:val="Normal"/>
    <w:rPr>
      <w:rFonts w:ascii="Times New Roman" w:hAnsi="Times New Roman"/>
      <w:b/>
      <w:sz w:val="24"/>
    </w:rPr>
  </w:style>
  <w:style w:type="paragraph" w:customStyle="1" w:styleId="P68B1DB1-NumPar137">
    <w:name w:val="P68B1DB1-NumPar137"/>
    <w:basedOn w:val="NumPar1"/>
    <w:rPr>
      <w:rFonts w:ascii="Times New Roman" w:hAnsi="Times New Roman"/>
      <w:b/>
    </w:rPr>
  </w:style>
  <w:style w:type="paragraph" w:customStyle="1" w:styleId="P68B1DB1-Normal38">
    <w:name w:val="P68B1DB1-Normal38"/>
    <w:basedOn w:val="Normal"/>
    <w:rPr>
      <w:rFonts w:ascii="Times New Roman" w:hAnsi="Times New Roman"/>
      <w:b/>
      <w:sz w:val="20"/>
    </w:rPr>
  </w:style>
  <w:style w:type="paragraph" w:customStyle="1" w:styleId="P68B1DB1-Normal39">
    <w:name w:val="P68B1DB1-Normal39"/>
    <w:basedOn w:val="Normal"/>
    <w:rPr>
      <w:rFonts w:ascii="Times New Roman" w:hAnsi="Times New Roman"/>
      <w:sz w:val="20"/>
    </w:rPr>
  </w:style>
  <w:style w:type="paragraph" w:customStyle="1" w:styleId="P68B1DB1-Footer40">
    <w:name w:val="P68B1DB1-Footer40"/>
    <w:basedOn w:val="Footer"/>
    <w:rPr>
      <w:rFonts w:ascii="Times New Roman" w:hAnsi="Times New Roman" w:cs="Times New Roman"/>
    </w:rPr>
  </w:style>
  <w:style w:type="paragraph" w:customStyle="1" w:styleId="P68B1DB1-FootnoteText41">
    <w:name w:val="P68B1DB1-FootnoteText41"/>
    <w:basedOn w:val="FootnoteText"/>
    <w:rPr>
      <w:rFonts w:ascii="Times New Roman" w:hAnsi="Times New Roman"/>
    </w:rPr>
  </w:style>
  <w:style w:type="paragraph" w:customStyle="1" w:styleId="P68B1DB1-Text142">
    <w:name w:val="P68B1DB1-Text142"/>
    <w:basedOn w:val="Text1"/>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8581">
      <w:bodyDiv w:val="1"/>
      <w:marLeft w:val="0"/>
      <w:marRight w:val="0"/>
      <w:marTop w:val="0"/>
      <w:marBottom w:val="0"/>
      <w:divBdr>
        <w:top w:val="none" w:sz="0" w:space="0" w:color="auto"/>
        <w:left w:val="none" w:sz="0" w:space="0" w:color="auto"/>
        <w:bottom w:val="none" w:sz="0" w:space="0" w:color="auto"/>
        <w:right w:val="none" w:sz="0" w:space="0" w:color="auto"/>
      </w:divBdr>
    </w:div>
    <w:div w:id="88818095">
      <w:bodyDiv w:val="1"/>
      <w:marLeft w:val="0"/>
      <w:marRight w:val="0"/>
      <w:marTop w:val="0"/>
      <w:marBottom w:val="0"/>
      <w:divBdr>
        <w:top w:val="none" w:sz="0" w:space="0" w:color="auto"/>
        <w:left w:val="none" w:sz="0" w:space="0" w:color="auto"/>
        <w:bottom w:val="none" w:sz="0" w:space="0" w:color="auto"/>
        <w:right w:val="none" w:sz="0" w:space="0" w:color="auto"/>
      </w:divBdr>
    </w:div>
    <w:div w:id="101993847">
      <w:bodyDiv w:val="1"/>
      <w:marLeft w:val="0"/>
      <w:marRight w:val="0"/>
      <w:marTop w:val="0"/>
      <w:marBottom w:val="0"/>
      <w:divBdr>
        <w:top w:val="none" w:sz="0" w:space="0" w:color="auto"/>
        <w:left w:val="none" w:sz="0" w:space="0" w:color="auto"/>
        <w:bottom w:val="none" w:sz="0" w:space="0" w:color="auto"/>
        <w:right w:val="none" w:sz="0" w:space="0" w:color="auto"/>
      </w:divBdr>
      <w:divsChild>
        <w:div w:id="249848255">
          <w:marLeft w:val="0"/>
          <w:marRight w:val="0"/>
          <w:marTop w:val="0"/>
          <w:marBottom w:val="0"/>
          <w:divBdr>
            <w:top w:val="none" w:sz="0" w:space="0" w:color="auto"/>
            <w:left w:val="none" w:sz="0" w:space="0" w:color="auto"/>
            <w:bottom w:val="none" w:sz="0" w:space="0" w:color="auto"/>
            <w:right w:val="none" w:sz="0" w:space="0" w:color="auto"/>
          </w:divBdr>
        </w:div>
        <w:div w:id="336690782">
          <w:marLeft w:val="0"/>
          <w:marRight w:val="0"/>
          <w:marTop w:val="0"/>
          <w:marBottom w:val="0"/>
          <w:divBdr>
            <w:top w:val="none" w:sz="0" w:space="0" w:color="auto"/>
            <w:left w:val="none" w:sz="0" w:space="0" w:color="auto"/>
            <w:bottom w:val="none" w:sz="0" w:space="0" w:color="auto"/>
            <w:right w:val="none" w:sz="0" w:space="0" w:color="auto"/>
          </w:divBdr>
        </w:div>
        <w:div w:id="533269353">
          <w:marLeft w:val="0"/>
          <w:marRight w:val="0"/>
          <w:marTop w:val="0"/>
          <w:marBottom w:val="0"/>
          <w:divBdr>
            <w:top w:val="none" w:sz="0" w:space="0" w:color="auto"/>
            <w:left w:val="none" w:sz="0" w:space="0" w:color="auto"/>
            <w:bottom w:val="none" w:sz="0" w:space="0" w:color="auto"/>
            <w:right w:val="none" w:sz="0" w:space="0" w:color="auto"/>
          </w:divBdr>
        </w:div>
        <w:div w:id="774591405">
          <w:marLeft w:val="0"/>
          <w:marRight w:val="0"/>
          <w:marTop w:val="0"/>
          <w:marBottom w:val="0"/>
          <w:divBdr>
            <w:top w:val="none" w:sz="0" w:space="0" w:color="auto"/>
            <w:left w:val="none" w:sz="0" w:space="0" w:color="auto"/>
            <w:bottom w:val="none" w:sz="0" w:space="0" w:color="auto"/>
            <w:right w:val="none" w:sz="0" w:space="0" w:color="auto"/>
          </w:divBdr>
        </w:div>
      </w:divsChild>
    </w:div>
    <w:div w:id="153767423">
      <w:bodyDiv w:val="1"/>
      <w:marLeft w:val="0"/>
      <w:marRight w:val="0"/>
      <w:marTop w:val="0"/>
      <w:marBottom w:val="0"/>
      <w:divBdr>
        <w:top w:val="none" w:sz="0" w:space="0" w:color="auto"/>
        <w:left w:val="none" w:sz="0" w:space="0" w:color="auto"/>
        <w:bottom w:val="none" w:sz="0" w:space="0" w:color="auto"/>
        <w:right w:val="none" w:sz="0" w:space="0" w:color="auto"/>
      </w:divBdr>
    </w:div>
    <w:div w:id="213470010">
      <w:bodyDiv w:val="1"/>
      <w:marLeft w:val="0"/>
      <w:marRight w:val="0"/>
      <w:marTop w:val="0"/>
      <w:marBottom w:val="0"/>
      <w:divBdr>
        <w:top w:val="none" w:sz="0" w:space="0" w:color="auto"/>
        <w:left w:val="none" w:sz="0" w:space="0" w:color="auto"/>
        <w:bottom w:val="none" w:sz="0" w:space="0" w:color="auto"/>
        <w:right w:val="none" w:sz="0" w:space="0" w:color="auto"/>
      </w:divBdr>
    </w:div>
    <w:div w:id="225646797">
      <w:bodyDiv w:val="1"/>
      <w:marLeft w:val="0"/>
      <w:marRight w:val="0"/>
      <w:marTop w:val="0"/>
      <w:marBottom w:val="0"/>
      <w:divBdr>
        <w:top w:val="none" w:sz="0" w:space="0" w:color="auto"/>
        <w:left w:val="none" w:sz="0" w:space="0" w:color="auto"/>
        <w:bottom w:val="none" w:sz="0" w:space="0" w:color="auto"/>
        <w:right w:val="none" w:sz="0" w:space="0" w:color="auto"/>
      </w:divBdr>
    </w:div>
    <w:div w:id="234516724">
      <w:bodyDiv w:val="1"/>
      <w:marLeft w:val="0"/>
      <w:marRight w:val="0"/>
      <w:marTop w:val="0"/>
      <w:marBottom w:val="0"/>
      <w:divBdr>
        <w:top w:val="none" w:sz="0" w:space="0" w:color="auto"/>
        <w:left w:val="none" w:sz="0" w:space="0" w:color="auto"/>
        <w:bottom w:val="none" w:sz="0" w:space="0" w:color="auto"/>
        <w:right w:val="none" w:sz="0" w:space="0" w:color="auto"/>
      </w:divBdr>
    </w:div>
    <w:div w:id="264113178">
      <w:bodyDiv w:val="1"/>
      <w:marLeft w:val="0"/>
      <w:marRight w:val="0"/>
      <w:marTop w:val="0"/>
      <w:marBottom w:val="0"/>
      <w:divBdr>
        <w:top w:val="none" w:sz="0" w:space="0" w:color="auto"/>
        <w:left w:val="none" w:sz="0" w:space="0" w:color="auto"/>
        <w:bottom w:val="none" w:sz="0" w:space="0" w:color="auto"/>
        <w:right w:val="none" w:sz="0" w:space="0" w:color="auto"/>
      </w:divBdr>
    </w:div>
    <w:div w:id="272782931">
      <w:bodyDiv w:val="1"/>
      <w:marLeft w:val="0"/>
      <w:marRight w:val="0"/>
      <w:marTop w:val="0"/>
      <w:marBottom w:val="0"/>
      <w:divBdr>
        <w:top w:val="none" w:sz="0" w:space="0" w:color="auto"/>
        <w:left w:val="none" w:sz="0" w:space="0" w:color="auto"/>
        <w:bottom w:val="none" w:sz="0" w:space="0" w:color="auto"/>
        <w:right w:val="none" w:sz="0" w:space="0" w:color="auto"/>
      </w:divBdr>
    </w:div>
    <w:div w:id="276840304">
      <w:bodyDiv w:val="1"/>
      <w:marLeft w:val="0"/>
      <w:marRight w:val="0"/>
      <w:marTop w:val="0"/>
      <w:marBottom w:val="0"/>
      <w:divBdr>
        <w:top w:val="none" w:sz="0" w:space="0" w:color="auto"/>
        <w:left w:val="none" w:sz="0" w:space="0" w:color="auto"/>
        <w:bottom w:val="none" w:sz="0" w:space="0" w:color="auto"/>
        <w:right w:val="none" w:sz="0" w:space="0" w:color="auto"/>
      </w:divBdr>
    </w:div>
    <w:div w:id="316883706">
      <w:bodyDiv w:val="1"/>
      <w:marLeft w:val="0"/>
      <w:marRight w:val="0"/>
      <w:marTop w:val="0"/>
      <w:marBottom w:val="0"/>
      <w:divBdr>
        <w:top w:val="none" w:sz="0" w:space="0" w:color="auto"/>
        <w:left w:val="none" w:sz="0" w:space="0" w:color="auto"/>
        <w:bottom w:val="none" w:sz="0" w:space="0" w:color="auto"/>
        <w:right w:val="none" w:sz="0" w:space="0" w:color="auto"/>
      </w:divBdr>
    </w:div>
    <w:div w:id="443230782">
      <w:bodyDiv w:val="1"/>
      <w:marLeft w:val="0"/>
      <w:marRight w:val="0"/>
      <w:marTop w:val="0"/>
      <w:marBottom w:val="0"/>
      <w:divBdr>
        <w:top w:val="none" w:sz="0" w:space="0" w:color="auto"/>
        <w:left w:val="none" w:sz="0" w:space="0" w:color="auto"/>
        <w:bottom w:val="none" w:sz="0" w:space="0" w:color="auto"/>
        <w:right w:val="none" w:sz="0" w:space="0" w:color="auto"/>
      </w:divBdr>
    </w:div>
    <w:div w:id="454952789">
      <w:bodyDiv w:val="1"/>
      <w:marLeft w:val="0"/>
      <w:marRight w:val="0"/>
      <w:marTop w:val="0"/>
      <w:marBottom w:val="0"/>
      <w:divBdr>
        <w:top w:val="none" w:sz="0" w:space="0" w:color="auto"/>
        <w:left w:val="none" w:sz="0" w:space="0" w:color="auto"/>
        <w:bottom w:val="none" w:sz="0" w:space="0" w:color="auto"/>
        <w:right w:val="none" w:sz="0" w:space="0" w:color="auto"/>
      </w:divBdr>
    </w:div>
    <w:div w:id="467209046">
      <w:bodyDiv w:val="1"/>
      <w:marLeft w:val="0"/>
      <w:marRight w:val="0"/>
      <w:marTop w:val="0"/>
      <w:marBottom w:val="0"/>
      <w:divBdr>
        <w:top w:val="none" w:sz="0" w:space="0" w:color="auto"/>
        <w:left w:val="none" w:sz="0" w:space="0" w:color="auto"/>
        <w:bottom w:val="none" w:sz="0" w:space="0" w:color="auto"/>
        <w:right w:val="none" w:sz="0" w:space="0" w:color="auto"/>
      </w:divBdr>
    </w:div>
    <w:div w:id="467286903">
      <w:bodyDiv w:val="1"/>
      <w:marLeft w:val="0"/>
      <w:marRight w:val="0"/>
      <w:marTop w:val="0"/>
      <w:marBottom w:val="0"/>
      <w:divBdr>
        <w:top w:val="none" w:sz="0" w:space="0" w:color="auto"/>
        <w:left w:val="none" w:sz="0" w:space="0" w:color="auto"/>
        <w:bottom w:val="none" w:sz="0" w:space="0" w:color="auto"/>
        <w:right w:val="none" w:sz="0" w:space="0" w:color="auto"/>
      </w:divBdr>
    </w:div>
    <w:div w:id="665594515">
      <w:bodyDiv w:val="1"/>
      <w:marLeft w:val="0"/>
      <w:marRight w:val="0"/>
      <w:marTop w:val="0"/>
      <w:marBottom w:val="0"/>
      <w:divBdr>
        <w:top w:val="none" w:sz="0" w:space="0" w:color="auto"/>
        <w:left w:val="none" w:sz="0" w:space="0" w:color="auto"/>
        <w:bottom w:val="none" w:sz="0" w:space="0" w:color="auto"/>
        <w:right w:val="none" w:sz="0" w:space="0" w:color="auto"/>
      </w:divBdr>
    </w:div>
    <w:div w:id="679158170">
      <w:bodyDiv w:val="1"/>
      <w:marLeft w:val="0"/>
      <w:marRight w:val="0"/>
      <w:marTop w:val="0"/>
      <w:marBottom w:val="0"/>
      <w:divBdr>
        <w:top w:val="none" w:sz="0" w:space="0" w:color="auto"/>
        <w:left w:val="none" w:sz="0" w:space="0" w:color="auto"/>
        <w:bottom w:val="none" w:sz="0" w:space="0" w:color="auto"/>
        <w:right w:val="none" w:sz="0" w:space="0" w:color="auto"/>
      </w:divBdr>
    </w:div>
    <w:div w:id="717585710">
      <w:bodyDiv w:val="1"/>
      <w:marLeft w:val="0"/>
      <w:marRight w:val="0"/>
      <w:marTop w:val="0"/>
      <w:marBottom w:val="0"/>
      <w:divBdr>
        <w:top w:val="none" w:sz="0" w:space="0" w:color="auto"/>
        <w:left w:val="none" w:sz="0" w:space="0" w:color="auto"/>
        <w:bottom w:val="none" w:sz="0" w:space="0" w:color="auto"/>
        <w:right w:val="none" w:sz="0" w:space="0" w:color="auto"/>
      </w:divBdr>
    </w:div>
    <w:div w:id="751897515">
      <w:bodyDiv w:val="1"/>
      <w:marLeft w:val="0"/>
      <w:marRight w:val="0"/>
      <w:marTop w:val="0"/>
      <w:marBottom w:val="0"/>
      <w:divBdr>
        <w:top w:val="none" w:sz="0" w:space="0" w:color="auto"/>
        <w:left w:val="none" w:sz="0" w:space="0" w:color="auto"/>
        <w:bottom w:val="none" w:sz="0" w:space="0" w:color="auto"/>
        <w:right w:val="none" w:sz="0" w:space="0" w:color="auto"/>
      </w:divBdr>
    </w:div>
    <w:div w:id="809857752">
      <w:bodyDiv w:val="1"/>
      <w:marLeft w:val="0"/>
      <w:marRight w:val="0"/>
      <w:marTop w:val="0"/>
      <w:marBottom w:val="0"/>
      <w:divBdr>
        <w:top w:val="none" w:sz="0" w:space="0" w:color="auto"/>
        <w:left w:val="none" w:sz="0" w:space="0" w:color="auto"/>
        <w:bottom w:val="none" w:sz="0" w:space="0" w:color="auto"/>
        <w:right w:val="none" w:sz="0" w:space="0" w:color="auto"/>
      </w:divBdr>
    </w:div>
    <w:div w:id="864371267">
      <w:bodyDiv w:val="1"/>
      <w:marLeft w:val="0"/>
      <w:marRight w:val="0"/>
      <w:marTop w:val="0"/>
      <w:marBottom w:val="0"/>
      <w:divBdr>
        <w:top w:val="none" w:sz="0" w:space="0" w:color="auto"/>
        <w:left w:val="none" w:sz="0" w:space="0" w:color="auto"/>
        <w:bottom w:val="none" w:sz="0" w:space="0" w:color="auto"/>
        <w:right w:val="none" w:sz="0" w:space="0" w:color="auto"/>
      </w:divBdr>
    </w:div>
    <w:div w:id="864750509">
      <w:bodyDiv w:val="1"/>
      <w:marLeft w:val="0"/>
      <w:marRight w:val="0"/>
      <w:marTop w:val="0"/>
      <w:marBottom w:val="0"/>
      <w:divBdr>
        <w:top w:val="none" w:sz="0" w:space="0" w:color="auto"/>
        <w:left w:val="none" w:sz="0" w:space="0" w:color="auto"/>
        <w:bottom w:val="none" w:sz="0" w:space="0" w:color="auto"/>
        <w:right w:val="none" w:sz="0" w:space="0" w:color="auto"/>
      </w:divBdr>
    </w:div>
    <w:div w:id="898634094">
      <w:bodyDiv w:val="1"/>
      <w:marLeft w:val="0"/>
      <w:marRight w:val="0"/>
      <w:marTop w:val="0"/>
      <w:marBottom w:val="0"/>
      <w:divBdr>
        <w:top w:val="none" w:sz="0" w:space="0" w:color="auto"/>
        <w:left w:val="none" w:sz="0" w:space="0" w:color="auto"/>
        <w:bottom w:val="none" w:sz="0" w:space="0" w:color="auto"/>
        <w:right w:val="none" w:sz="0" w:space="0" w:color="auto"/>
      </w:divBdr>
    </w:div>
    <w:div w:id="931088145">
      <w:bodyDiv w:val="1"/>
      <w:marLeft w:val="0"/>
      <w:marRight w:val="0"/>
      <w:marTop w:val="0"/>
      <w:marBottom w:val="0"/>
      <w:divBdr>
        <w:top w:val="none" w:sz="0" w:space="0" w:color="auto"/>
        <w:left w:val="none" w:sz="0" w:space="0" w:color="auto"/>
        <w:bottom w:val="none" w:sz="0" w:space="0" w:color="auto"/>
        <w:right w:val="none" w:sz="0" w:space="0" w:color="auto"/>
      </w:divBdr>
    </w:div>
    <w:div w:id="988555034">
      <w:bodyDiv w:val="1"/>
      <w:marLeft w:val="0"/>
      <w:marRight w:val="0"/>
      <w:marTop w:val="0"/>
      <w:marBottom w:val="0"/>
      <w:divBdr>
        <w:top w:val="none" w:sz="0" w:space="0" w:color="auto"/>
        <w:left w:val="none" w:sz="0" w:space="0" w:color="auto"/>
        <w:bottom w:val="none" w:sz="0" w:space="0" w:color="auto"/>
        <w:right w:val="none" w:sz="0" w:space="0" w:color="auto"/>
      </w:divBdr>
    </w:div>
    <w:div w:id="1069619329">
      <w:bodyDiv w:val="1"/>
      <w:marLeft w:val="0"/>
      <w:marRight w:val="0"/>
      <w:marTop w:val="0"/>
      <w:marBottom w:val="0"/>
      <w:divBdr>
        <w:top w:val="none" w:sz="0" w:space="0" w:color="auto"/>
        <w:left w:val="none" w:sz="0" w:space="0" w:color="auto"/>
        <w:bottom w:val="none" w:sz="0" w:space="0" w:color="auto"/>
        <w:right w:val="none" w:sz="0" w:space="0" w:color="auto"/>
      </w:divBdr>
    </w:div>
    <w:div w:id="1095636219">
      <w:bodyDiv w:val="1"/>
      <w:marLeft w:val="0"/>
      <w:marRight w:val="0"/>
      <w:marTop w:val="0"/>
      <w:marBottom w:val="0"/>
      <w:divBdr>
        <w:top w:val="none" w:sz="0" w:space="0" w:color="auto"/>
        <w:left w:val="none" w:sz="0" w:space="0" w:color="auto"/>
        <w:bottom w:val="none" w:sz="0" w:space="0" w:color="auto"/>
        <w:right w:val="none" w:sz="0" w:space="0" w:color="auto"/>
      </w:divBdr>
    </w:div>
    <w:div w:id="1102842384">
      <w:bodyDiv w:val="1"/>
      <w:marLeft w:val="0"/>
      <w:marRight w:val="0"/>
      <w:marTop w:val="0"/>
      <w:marBottom w:val="0"/>
      <w:divBdr>
        <w:top w:val="none" w:sz="0" w:space="0" w:color="auto"/>
        <w:left w:val="none" w:sz="0" w:space="0" w:color="auto"/>
        <w:bottom w:val="none" w:sz="0" w:space="0" w:color="auto"/>
        <w:right w:val="none" w:sz="0" w:space="0" w:color="auto"/>
      </w:divBdr>
    </w:div>
    <w:div w:id="1136753145">
      <w:bodyDiv w:val="1"/>
      <w:marLeft w:val="0"/>
      <w:marRight w:val="0"/>
      <w:marTop w:val="0"/>
      <w:marBottom w:val="0"/>
      <w:divBdr>
        <w:top w:val="none" w:sz="0" w:space="0" w:color="auto"/>
        <w:left w:val="none" w:sz="0" w:space="0" w:color="auto"/>
        <w:bottom w:val="none" w:sz="0" w:space="0" w:color="auto"/>
        <w:right w:val="none" w:sz="0" w:space="0" w:color="auto"/>
      </w:divBdr>
    </w:div>
    <w:div w:id="1164247691">
      <w:bodyDiv w:val="1"/>
      <w:marLeft w:val="0"/>
      <w:marRight w:val="0"/>
      <w:marTop w:val="0"/>
      <w:marBottom w:val="0"/>
      <w:divBdr>
        <w:top w:val="none" w:sz="0" w:space="0" w:color="auto"/>
        <w:left w:val="none" w:sz="0" w:space="0" w:color="auto"/>
        <w:bottom w:val="none" w:sz="0" w:space="0" w:color="auto"/>
        <w:right w:val="none" w:sz="0" w:space="0" w:color="auto"/>
      </w:divBdr>
    </w:div>
    <w:div w:id="1173255207">
      <w:bodyDiv w:val="1"/>
      <w:marLeft w:val="0"/>
      <w:marRight w:val="0"/>
      <w:marTop w:val="0"/>
      <w:marBottom w:val="0"/>
      <w:divBdr>
        <w:top w:val="none" w:sz="0" w:space="0" w:color="auto"/>
        <w:left w:val="none" w:sz="0" w:space="0" w:color="auto"/>
        <w:bottom w:val="none" w:sz="0" w:space="0" w:color="auto"/>
        <w:right w:val="none" w:sz="0" w:space="0" w:color="auto"/>
      </w:divBdr>
    </w:div>
    <w:div w:id="1283224405">
      <w:bodyDiv w:val="1"/>
      <w:marLeft w:val="0"/>
      <w:marRight w:val="0"/>
      <w:marTop w:val="0"/>
      <w:marBottom w:val="0"/>
      <w:divBdr>
        <w:top w:val="none" w:sz="0" w:space="0" w:color="auto"/>
        <w:left w:val="none" w:sz="0" w:space="0" w:color="auto"/>
        <w:bottom w:val="none" w:sz="0" w:space="0" w:color="auto"/>
        <w:right w:val="none" w:sz="0" w:space="0" w:color="auto"/>
      </w:divBdr>
    </w:div>
    <w:div w:id="1286887197">
      <w:bodyDiv w:val="1"/>
      <w:marLeft w:val="0"/>
      <w:marRight w:val="0"/>
      <w:marTop w:val="0"/>
      <w:marBottom w:val="0"/>
      <w:divBdr>
        <w:top w:val="none" w:sz="0" w:space="0" w:color="auto"/>
        <w:left w:val="none" w:sz="0" w:space="0" w:color="auto"/>
        <w:bottom w:val="none" w:sz="0" w:space="0" w:color="auto"/>
        <w:right w:val="none" w:sz="0" w:space="0" w:color="auto"/>
      </w:divBdr>
    </w:div>
    <w:div w:id="1329480903">
      <w:bodyDiv w:val="1"/>
      <w:marLeft w:val="0"/>
      <w:marRight w:val="0"/>
      <w:marTop w:val="0"/>
      <w:marBottom w:val="0"/>
      <w:divBdr>
        <w:top w:val="none" w:sz="0" w:space="0" w:color="auto"/>
        <w:left w:val="none" w:sz="0" w:space="0" w:color="auto"/>
        <w:bottom w:val="none" w:sz="0" w:space="0" w:color="auto"/>
        <w:right w:val="none" w:sz="0" w:space="0" w:color="auto"/>
      </w:divBdr>
    </w:div>
    <w:div w:id="1362559755">
      <w:bodyDiv w:val="1"/>
      <w:marLeft w:val="0"/>
      <w:marRight w:val="0"/>
      <w:marTop w:val="0"/>
      <w:marBottom w:val="0"/>
      <w:divBdr>
        <w:top w:val="none" w:sz="0" w:space="0" w:color="auto"/>
        <w:left w:val="none" w:sz="0" w:space="0" w:color="auto"/>
        <w:bottom w:val="none" w:sz="0" w:space="0" w:color="auto"/>
        <w:right w:val="none" w:sz="0" w:space="0" w:color="auto"/>
      </w:divBdr>
    </w:div>
    <w:div w:id="1377312750">
      <w:bodyDiv w:val="1"/>
      <w:marLeft w:val="0"/>
      <w:marRight w:val="0"/>
      <w:marTop w:val="0"/>
      <w:marBottom w:val="0"/>
      <w:divBdr>
        <w:top w:val="none" w:sz="0" w:space="0" w:color="auto"/>
        <w:left w:val="none" w:sz="0" w:space="0" w:color="auto"/>
        <w:bottom w:val="none" w:sz="0" w:space="0" w:color="auto"/>
        <w:right w:val="none" w:sz="0" w:space="0" w:color="auto"/>
      </w:divBdr>
    </w:div>
    <w:div w:id="1392579075">
      <w:bodyDiv w:val="1"/>
      <w:marLeft w:val="0"/>
      <w:marRight w:val="0"/>
      <w:marTop w:val="0"/>
      <w:marBottom w:val="0"/>
      <w:divBdr>
        <w:top w:val="none" w:sz="0" w:space="0" w:color="auto"/>
        <w:left w:val="none" w:sz="0" w:space="0" w:color="auto"/>
        <w:bottom w:val="none" w:sz="0" w:space="0" w:color="auto"/>
        <w:right w:val="none" w:sz="0" w:space="0" w:color="auto"/>
      </w:divBdr>
    </w:div>
    <w:div w:id="1406686731">
      <w:bodyDiv w:val="1"/>
      <w:marLeft w:val="0"/>
      <w:marRight w:val="0"/>
      <w:marTop w:val="0"/>
      <w:marBottom w:val="0"/>
      <w:divBdr>
        <w:top w:val="none" w:sz="0" w:space="0" w:color="auto"/>
        <w:left w:val="none" w:sz="0" w:space="0" w:color="auto"/>
        <w:bottom w:val="none" w:sz="0" w:space="0" w:color="auto"/>
        <w:right w:val="none" w:sz="0" w:space="0" w:color="auto"/>
      </w:divBdr>
    </w:div>
    <w:div w:id="1463035405">
      <w:bodyDiv w:val="1"/>
      <w:marLeft w:val="0"/>
      <w:marRight w:val="0"/>
      <w:marTop w:val="0"/>
      <w:marBottom w:val="0"/>
      <w:divBdr>
        <w:top w:val="none" w:sz="0" w:space="0" w:color="auto"/>
        <w:left w:val="none" w:sz="0" w:space="0" w:color="auto"/>
        <w:bottom w:val="none" w:sz="0" w:space="0" w:color="auto"/>
        <w:right w:val="none" w:sz="0" w:space="0" w:color="auto"/>
      </w:divBdr>
    </w:div>
    <w:div w:id="1466314078">
      <w:bodyDiv w:val="1"/>
      <w:marLeft w:val="0"/>
      <w:marRight w:val="0"/>
      <w:marTop w:val="0"/>
      <w:marBottom w:val="0"/>
      <w:divBdr>
        <w:top w:val="none" w:sz="0" w:space="0" w:color="auto"/>
        <w:left w:val="none" w:sz="0" w:space="0" w:color="auto"/>
        <w:bottom w:val="none" w:sz="0" w:space="0" w:color="auto"/>
        <w:right w:val="none" w:sz="0" w:space="0" w:color="auto"/>
      </w:divBdr>
    </w:div>
    <w:div w:id="1533155139">
      <w:bodyDiv w:val="1"/>
      <w:marLeft w:val="0"/>
      <w:marRight w:val="0"/>
      <w:marTop w:val="0"/>
      <w:marBottom w:val="0"/>
      <w:divBdr>
        <w:top w:val="none" w:sz="0" w:space="0" w:color="auto"/>
        <w:left w:val="none" w:sz="0" w:space="0" w:color="auto"/>
        <w:bottom w:val="none" w:sz="0" w:space="0" w:color="auto"/>
        <w:right w:val="none" w:sz="0" w:space="0" w:color="auto"/>
      </w:divBdr>
    </w:div>
    <w:div w:id="1604454644">
      <w:bodyDiv w:val="1"/>
      <w:marLeft w:val="0"/>
      <w:marRight w:val="0"/>
      <w:marTop w:val="0"/>
      <w:marBottom w:val="0"/>
      <w:divBdr>
        <w:top w:val="none" w:sz="0" w:space="0" w:color="auto"/>
        <w:left w:val="none" w:sz="0" w:space="0" w:color="auto"/>
        <w:bottom w:val="none" w:sz="0" w:space="0" w:color="auto"/>
        <w:right w:val="none" w:sz="0" w:space="0" w:color="auto"/>
      </w:divBdr>
    </w:div>
    <w:div w:id="1648590147">
      <w:bodyDiv w:val="1"/>
      <w:marLeft w:val="0"/>
      <w:marRight w:val="0"/>
      <w:marTop w:val="0"/>
      <w:marBottom w:val="0"/>
      <w:divBdr>
        <w:top w:val="none" w:sz="0" w:space="0" w:color="auto"/>
        <w:left w:val="none" w:sz="0" w:space="0" w:color="auto"/>
        <w:bottom w:val="none" w:sz="0" w:space="0" w:color="auto"/>
        <w:right w:val="none" w:sz="0" w:space="0" w:color="auto"/>
      </w:divBdr>
    </w:div>
    <w:div w:id="1814708925">
      <w:bodyDiv w:val="1"/>
      <w:marLeft w:val="0"/>
      <w:marRight w:val="0"/>
      <w:marTop w:val="0"/>
      <w:marBottom w:val="0"/>
      <w:divBdr>
        <w:top w:val="none" w:sz="0" w:space="0" w:color="auto"/>
        <w:left w:val="none" w:sz="0" w:space="0" w:color="auto"/>
        <w:bottom w:val="none" w:sz="0" w:space="0" w:color="auto"/>
        <w:right w:val="none" w:sz="0" w:space="0" w:color="auto"/>
      </w:divBdr>
    </w:div>
    <w:div w:id="1853957364">
      <w:bodyDiv w:val="1"/>
      <w:marLeft w:val="0"/>
      <w:marRight w:val="0"/>
      <w:marTop w:val="0"/>
      <w:marBottom w:val="0"/>
      <w:divBdr>
        <w:top w:val="none" w:sz="0" w:space="0" w:color="auto"/>
        <w:left w:val="none" w:sz="0" w:space="0" w:color="auto"/>
        <w:bottom w:val="none" w:sz="0" w:space="0" w:color="auto"/>
        <w:right w:val="none" w:sz="0" w:space="0" w:color="auto"/>
      </w:divBdr>
    </w:div>
    <w:div w:id="1904634433">
      <w:bodyDiv w:val="1"/>
      <w:marLeft w:val="0"/>
      <w:marRight w:val="0"/>
      <w:marTop w:val="0"/>
      <w:marBottom w:val="0"/>
      <w:divBdr>
        <w:top w:val="none" w:sz="0" w:space="0" w:color="auto"/>
        <w:left w:val="none" w:sz="0" w:space="0" w:color="auto"/>
        <w:bottom w:val="none" w:sz="0" w:space="0" w:color="auto"/>
        <w:right w:val="none" w:sz="0" w:space="0" w:color="auto"/>
      </w:divBdr>
    </w:div>
    <w:div w:id="1925989349">
      <w:bodyDiv w:val="1"/>
      <w:marLeft w:val="0"/>
      <w:marRight w:val="0"/>
      <w:marTop w:val="0"/>
      <w:marBottom w:val="0"/>
      <w:divBdr>
        <w:top w:val="none" w:sz="0" w:space="0" w:color="auto"/>
        <w:left w:val="none" w:sz="0" w:space="0" w:color="auto"/>
        <w:bottom w:val="none" w:sz="0" w:space="0" w:color="auto"/>
        <w:right w:val="none" w:sz="0" w:space="0" w:color="auto"/>
      </w:divBdr>
    </w:div>
    <w:div w:id="1950358844">
      <w:bodyDiv w:val="1"/>
      <w:marLeft w:val="0"/>
      <w:marRight w:val="0"/>
      <w:marTop w:val="0"/>
      <w:marBottom w:val="0"/>
      <w:divBdr>
        <w:top w:val="none" w:sz="0" w:space="0" w:color="auto"/>
        <w:left w:val="none" w:sz="0" w:space="0" w:color="auto"/>
        <w:bottom w:val="none" w:sz="0" w:space="0" w:color="auto"/>
        <w:right w:val="none" w:sz="0" w:space="0" w:color="auto"/>
      </w:divBdr>
    </w:div>
    <w:div w:id="2049910264">
      <w:bodyDiv w:val="1"/>
      <w:marLeft w:val="0"/>
      <w:marRight w:val="0"/>
      <w:marTop w:val="0"/>
      <w:marBottom w:val="0"/>
      <w:divBdr>
        <w:top w:val="none" w:sz="0" w:space="0" w:color="auto"/>
        <w:left w:val="none" w:sz="0" w:space="0" w:color="auto"/>
        <w:bottom w:val="none" w:sz="0" w:space="0" w:color="auto"/>
        <w:right w:val="none" w:sz="0" w:space="0" w:color="auto"/>
      </w:divBdr>
    </w:div>
    <w:div w:id="2056658042">
      <w:bodyDiv w:val="1"/>
      <w:marLeft w:val="0"/>
      <w:marRight w:val="0"/>
      <w:marTop w:val="0"/>
      <w:marBottom w:val="0"/>
      <w:divBdr>
        <w:top w:val="none" w:sz="0" w:space="0" w:color="auto"/>
        <w:left w:val="none" w:sz="0" w:space="0" w:color="auto"/>
        <w:bottom w:val="none" w:sz="0" w:space="0" w:color="auto"/>
        <w:right w:val="none" w:sz="0" w:space="0" w:color="auto"/>
      </w:divBdr>
    </w:div>
    <w:div w:id="2113743474">
      <w:bodyDiv w:val="1"/>
      <w:marLeft w:val="0"/>
      <w:marRight w:val="0"/>
      <w:marTop w:val="0"/>
      <w:marBottom w:val="0"/>
      <w:divBdr>
        <w:top w:val="none" w:sz="0" w:space="0" w:color="auto"/>
        <w:left w:val="none" w:sz="0" w:space="0" w:color="auto"/>
        <w:bottom w:val="none" w:sz="0" w:space="0" w:color="auto"/>
        <w:right w:val="none" w:sz="0" w:space="0" w:color="auto"/>
      </w:divBdr>
      <w:divsChild>
        <w:div w:id="875703359">
          <w:marLeft w:val="0"/>
          <w:marRight w:val="0"/>
          <w:marTop w:val="0"/>
          <w:marBottom w:val="0"/>
          <w:divBdr>
            <w:top w:val="none" w:sz="0" w:space="0" w:color="auto"/>
            <w:left w:val="none" w:sz="0" w:space="0" w:color="auto"/>
            <w:bottom w:val="none" w:sz="0" w:space="0" w:color="auto"/>
            <w:right w:val="none" w:sz="0" w:space="0" w:color="auto"/>
          </w:divBdr>
          <w:divsChild>
            <w:div w:id="8842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3589">
      <w:bodyDiv w:val="1"/>
      <w:marLeft w:val="0"/>
      <w:marRight w:val="0"/>
      <w:marTop w:val="0"/>
      <w:marBottom w:val="0"/>
      <w:divBdr>
        <w:top w:val="none" w:sz="0" w:space="0" w:color="auto"/>
        <w:left w:val="none" w:sz="0" w:space="0" w:color="auto"/>
        <w:bottom w:val="none" w:sz="0" w:space="0" w:color="auto"/>
        <w:right w:val="none" w:sz="0" w:space="0" w:color="auto"/>
      </w:divBdr>
    </w:div>
    <w:div w:id="2135057185">
      <w:bodyDiv w:val="1"/>
      <w:marLeft w:val="0"/>
      <w:marRight w:val="0"/>
      <w:marTop w:val="0"/>
      <w:marBottom w:val="0"/>
      <w:divBdr>
        <w:top w:val="none" w:sz="0" w:space="0" w:color="auto"/>
        <w:left w:val="none" w:sz="0" w:space="0" w:color="auto"/>
        <w:bottom w:val="none" w:sz="0" w:space="0" w:color="auto"/>
        <w:right w:val="none" w:sz="0" w:space="0" w:color="auto"/>
      </w:divBdr>
    </w:div>
    <w:div w:id="2137212541">
      <w:bodyDiv w:val="1"/>
      <w:marLeft w:val="0"/>
      <w:marRight w:val="0"/>
      <w:marTop w:val="0"/>
      <w:marBottom w:val="0"/>
      <w:divBdr>
        <w:top w:val="none" w:sz="0" w:space="0" w:color="auto"/>
        <w:left w:val="none" w:sz="0" w:space="0" w:color="auto"/>
        <w:bottom w:val="none" w:sz="0" w:space="0" w:color="auto"/>
        <w:right w:val="none" w:sz="0" w:space="0" w:color="auto"/>
      </w:divBdr>
    </w:div>
    <w:div w:id="2139373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99" Type="http://schemas.openxmlformats.org/officeDocument/2006/relationships/footer" Target="footer145.xml"/><Relationship Id="rId21" Type="http://schemas.openxmlformats.org/officeDocument/2006/relationships/header" Target="header7.xml"/><Relationship Id="rId63" Type="http://schemas.openxmlformats.org/officeDocument/2006/relationships/header" Target="header28.xml"/><Relationship Id="rId159" Type="http://schemas.openxmlformats.org/officeDocument/2006/relationships/header" Target="header76.xml"/><Relationship Id="rId324" Type="http://schemas.openxmlformats.org/officeDocument/2006/relationships/footer" Target="footer158.xml"/><Relationship Id="rId366" Type="http://schemas.openxmlformats.org/officeDocument/2006/relationships/footer" Target="footer179.xml"/><Relationship Id="rId531" Type="http://schemas.openxmlformats.org/officeDocument/2006/relationships/footer" Target="footer261.xml"/><Relationship Id="rId573" Type="http://schemas.openxmlformats.org/officeDocument/2006/relationships/footer" Target="footer282.xml"/><Relationship Id="rId629" Type="http://schemas.openxmlformats.org/officeDocument/2006/relationships/header" Target="header311.xml"/><Relationship Id="rId170" Type="http://schemas.openxmlformats.org/officeDocument/2006/relationships/footer" Target="footer81.xml"/><Relationship Id="rId226" Type="http://schemas.openxmlformats.org/officeDocument/2006/relationships/header" Target="header110.xml"/><Relationship Id="rId433" Type="http://schemas.openxmlformats.org/officeDocument/2006/relationships/footer" Target="footer212.xml"/><Relationship Id="rId268" Type="http://schemas.openxmlformats.org/officeDocument/2006/relationships/header" Target="header131.xml"/><Relationship Id="rId475" Type="http://schemas.openxmlformats.org/officeDocument/2006/relationships/footer" Target="footer233.xml"/><Relationship Id="rId640" Type="http://schemas.openxmlformats.org/officeDocument/2006/relationships/header" Target="header316.xml"/><Relationship Id="rId32" Type="http://schemas.openxmlformats.org/officeDocument/2006/relationships/footer" Target="footer12.xml"/><Relationship Id="rId74" Type="http://schemas.openxmlformats.org/officeDocument/2006/relationships/footer" Target="footer33.xml"/><Relationship Id="rId128" Type="http://schemas.openxmlformats.org/officeDocument/2006/relationships/footer" Target="footer60.xml"/><Relationship Id="rId335" Type="http://schemas.openxmlformats.org/officeDocument/2006/relationships/footer" Target="footer163.xml"/><Relationship Id="rId377" Type="http://schemas.openxmlformats.org/officeDocument/2006/relationships/header" Target="header185.xml"/><Relationship Id="rId500" Type="http://schemas.openxmlformats.org/officeDocument/2006/relationships/header" Target="header246.xml"/><Relationship Id="rId542" Type="http://schemas.openxmlformats.org/officeDocument/2006/relationships/header" Target="header267.xml"/><Relationship Id="rId584" Type="http://schemas.openxmlformats.org/officeDocument/2006/relationships/header" Target="header288.xml"/><Relationship Id="rId5" Type="http://schemas.openxmlformats.org/officeDocument/2006/relationships/webSettings" Target="webSettings.xml"/><Relationship Id="rId181" Type="http://schemas.openxmlformats.org/officeDocument/2006/relationships/header" Target="header87.xml"/><Relationship Id="rId237" Type="http://schemas.openxmlformats.org/officeDocument/2006/relationships/header" Target="header115.xml"/><Relationship Id="rId402" Type="http://schemas.openxmlformats.org/officeDocument/2006/relationships/footer" Target="footer196.xml"/><Relationship Id="rId279" Type="http://schemas.openxmlformats.org/officeDocument/2006/relationships/header" Target="header136.xml"/><Relationship Id="rId444" Type="http://schemas.openxmlformats.org/officeDocument/2006/relationships/footer" Target="footer217.xml"/><Relationship Id="rId486" Type="http://schemas.openxmlformats.org/officeDocument/2006/relationships/footer" Target="footer238.xml"/><Relationship Id="rId651" Type="http://schemas.openxmlformats.org/officeDocument/2006/relationships/footer" Target="footer321.xml"/><Relationship Id="rId43" Type="http://schemas.openxmlformats.org/officeDocument/2006/relationships/header" Target="header18.xml"/><Relationship Id="rId139" Type="http://schemas.openxmlformats.org/officeDocument/2006/relationships/header" Target="header66.xml"/><Relationship Id="rId290" Type="http://schemas.openxmlformats.org/officeDocument/2006/relationships/footer" Target="footer141.xml"/><Relationship Id="rId304" Type="http://schemas.openxmlformats.org/officeDocument/2006/relationships/header" Target="header149.xml"/><Relationship Id="rId346" Type="http://schemas.openxmlformats.org/officeDocument/2006/relationships/header" Target="header170.xml"/><Relationship Id="rId388" Type="http://schemas.openxmlformats.org/officeDocument/2006/relationships/header" Target="header190.xml"/><Relationship Id="rId511" Type="http://schemas.openxmlformats.org/officeDocument/2006/relationships/footer" Target="footer251.xml"/><Relationship Id="rId553" Type="http://schemas.openxmlformats.org/officeDocument/2006/relationships/footer" Target="footer272.xml"/><Relationship Id="rId609" Type="http://schemas.openxmlformats.org/officeDocument/2006/relationships/footer" Target="footer300.xml"/><Relationship Id="rId85" Type="http://schemas.openxmlformats.org/officeDocument/2006/relationships/header" Target="header39.xml"/><Relationship Id="rId150" Type="http://schemas.openxmlformats.org/officeDocument/2006/relationships/footer" Target="footer71.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header" Target="header203.xml"/><Relationship Id="rId595" Type="http://schemas.openxmlformats.org/officeDocument/2006/relationships/footer" Target="footer293.xml"/><Relationship Id="rId248" Type="http://schemas.openxmlformats.org/officeDocument/2006/relationships/footer" Target="footer120.xml"/><Relationship Id="rId455" Type="http://schemas.openxmlformats.org/officeDocument/2006/relationships/header" Target="header224.xml"/><Relationship Id="rId497" Type="http://schemas.openxmlformats.org/officeDocument/2006/relationships/header" Target="header245.xml"/><Relationship Id="rId620" Type="http://schemas.openxmlformats.org/officeDocument/2006/relationships/header" Target="header306.xml"/><Relationship Id="rId12" Type="http://schemas.openxmlformats.org/officeDocument/2006/relationships/footer" Target="footer2.xml"/><Relationship Id="rId108" Type="http://schemas.openxmlformats.org/officeDocument/2006/relationships/footer" Target="footer50.xml"/><Relationship Id="rId315" Type="http://schemas.openxmlformats.org/officeDocument/2006/relationships/header" Target="header154.xml"/><Relationship Id="rId357" Type="http://schemas.openxmlformats.org/officeDocument/2006/relationships/header" Target="header175.xml"/><Relationship Id="rId522" Type="http://schemas.openxmlformats.org/officeDocument/2006/relationships/footer" Target="footer256.xml"/><Relationship Id="rId54" Type="http://schemas.openxmlformats.org/officeDocument/2006/relationships/footer" Target="footer23.xml"/><Relationship Id="rId96" Type="http://schemas.openxmlformats.org/officeDocument/2006/relationships/footer" Target="footer44.xml"/><Relationship Id="rId161" Type="http://schemas.openxmlformats.org/officeDocument/2006/relationships/footer" Target="footer76.xml"/><Relationship Id="rId217" Type="http://schemas.openxmlformats.org/officeDocument/2006/relationships/header" Target="header105.xml"/><Relationship Id="rId399" Type="http://schemas.openxmlformats.org/officeDocument/2006/relationships/footer" Target="footer195.xml"/><Relationship Id="rId564" Type="http://schemas.openxmlformats.org/officeDocument/2006/relationships/footer" Target="footer277.xml"/><Relationship Id="rId259" Type="http://schemas.openxmlformats.org/officeDocument/2006/relationships/header" Target="header126.xml"/><Relationship Id="rId424" Type="http://schemas.openxmlformats.org/officeDocument/2006/relationships/header" Target="header208.xml"/><Relationship Id="rId466" Type="http://schemas.openxmlformats.org/officeDocument/2006/relationships/header" Target="header229.xml"/><Relationship Id="rId631" Type="http://schemas.openxmlformats.org/officeDocument/2006/relationships/footer" Target="footer311.xml"/><Relationship Id="rId23" Type="http://schemas.openxmlformats.org/officeDocument/2006/relationships/footer" Target="footer7.xml"/><Relationship Id="rId119" Type="http://schemas.openxmlformats.org/officeDocument/2006/relationships/footer" Target="footer55.xml"/><Relationship Id="rId270" Type="http://schemas.openxmlformats.org/officeDocument/2006/relationships/footer" Target="footer131.xml"/><Relationship Id="rId326" Type="http://schemas.openxmlformats.org/officeDocument/2006/relationships/footer" Target="footer159.xml"/><Relationship Id="rId533" Type="http://schemas.openxmlformats.org/officeDocument/2006/relationships/header" Target="header263.xml"/><Relationship Id="rId65" Type="http://schemas.openxmlformats.org/officeDocument/2006/relationships/footer" Target="footer28.xml"/><Relationship Id="rId130" Type="http://schemas.openxmlformats.org/officeDocument/2006/relationships/header" Target="header62.xml"/><Relationship Id="rId368" Type="http://schemas.openxmlformats.org/officeDocument/2006/relationships/footer" Target="footer180.xml"/><Relationship Id="rId575" Type="http://schemas.openxmlformats.org/officeDocument/2006/relationships/header" Target="header284.xml"/><Relationship Id="rId172" Type="http://schemas.openxmlformats.org/officeDocument/2006/relationships/header" Target="header83.xml"/><Relationship Id="rId228" Type="http://schemas.openxmlformats.org/officeDocument/2006/relationships/footer" Target="footer110.xml"/><Relationship Id="rId435" Type="http://schemas.openxmlformats.org/officeDocument/2006/relationships/footer" Target="footer213.xml"/><Relationship Id="rId477" Type="http://schemas.openxmlformats.org/officeDocument/2006/relationships/footer" Target="footer234.xml"/><Relationship Id="rId600" Type="http://schemas.openxmlformats.org/officeDocument/2006/relationships/footer" Target="footer295.xml"/><Relationship Id="rId642" Type="http://schemas.openxmlformats.org/officeDocument/2006/relationships/footer" Target="footer316.xml"/><Relationship Id="rId281" Type="http://schemas.openxmlformats.org/officeDocument/2006/relationships/footer" Target="footer136.xml"/><Relationship Id="rId337" Type="http://schemas.openxmlformats.org/officeDocument/2006/relationships/header" Target="header165.xml"/><Relationship Id="rId502" Type="http://schemas.openxmlformats.org/officeDocument/2006/relationships/header" Target="header247.xml"/><Relationship Id="rId34" Type="http://schemas.openxmlformats.org/officeDocument/2006/relationships/header" Target="header14.xml"/><Relationship Id="rId76" Type="http://schemas.openxmlformats.org/officeDocument/2006/relationships/header" Target="header35.xml"/><Relationship Id="rId141" Type="http://schemas.openxmlformats.org/officeDocument/2006/relationships/header" Target="header67.xml"/><Relationship Id="rId379" Type="http://schemas.openxmlformats.org/officeDocument/2006/relationships/footer" Target="footer185.xml"/><Relationship Id="rId544" Type="http://schemas.openxmlformats.org/officeDocument/2006/relationships/header" Target="header268.xml"/><Relationship Id="rId586" Type="http://schemas.openxmlformats.org/officeDocument/2006/relationships/header" Target="header289.xml"/><Relationship Id="rId7" Type="http://schemas.openxmlformats.org/officeDocument/2006/relationships/endnotes" Target="endnotes.xml"/><Relationship Id="rId183" Type="http://schemas.openxmlformats.org/officeDocument/2006/relationships/header" Target="header88.xml"/><Relationship Id="rId239" Type="http://schemas.openxmlformats.org/officeDocument/2006/relationships/footer" Target="footer115.xml"/><Relationship Id="rId390" Type="http://schemas.openxmlformats.org/officeDocument/2006/relationships/footer" Target="footer190.xml"/><Relationship Id="rId404" Type="http://schemas.openxmlformats.org/officeDocument/2006/relationships/header" Target="header198.xml"/><Relationship Id="rId446" Type="http://schemas.openxmlformats.org/officeDocument/2006/relationships/header" Target="header219.xml"/><Relationship Id="rId611" Type="http://schemas.openxmlformats.org/officeDocument/2006/relationships/header" Target="header302.xml"/><Relationship Id="rId653" Type="http://schemas.openxmlformats.org/officeDocument/2006/relationships/header" Target="header323.xml"/><Relationship Id="rId250" Type="http://schemas.openxmlformats.org/officeDocument/2006/relationships/header" Target="header122.xml"/><Relationship Id="rId292" Type="http://schemas.openxmlformats.org/officeDocument/2006/relationships/header" Target="header143.xml"/><Relationship Id="rId306" Type="http://schemas.openxmlformats.org/officeDocument/2006/relationships/footer" Target="footer149.xml"/><Relationship Id="rId488" Type="http://schemas.openxmlformats.org/officeDocument/2006/relationships/header" Target="header240.xml"/><Relationship Id="rId45" Type="http://schemas.openxmlformats.org/officeDocument/2006/relationships/header" Target="header19.xml"/><Relationship Id="rId87" Type="http://schemas.openxmlformats.org/officeDocument/2006/relationships/header" Target="header40.xml"/><Relationship Id="rId110" Type="http://schemas.openxmlformats.org/officeDocument/2006/relationships/footer" Target="footer51.xml"/><Relationship Id="rId348" Type="http://schemas.openxmlformats.org/officeDocument/2006/relationships/footer" Target="footer170.xml"/><Relationship Id="rId513" Type="http://schemas.openxmlformats.org/officeDocument/2006/relationships/footer" Target="footer252.xml"/><Relationship Id="rId555" Type="http://schemas.openxmlformats.org/officeDocument/2006/relationships/footer" Target="footer273.xml"/><Relationship Id="rId597" Type="http://schemas.openxmlformats.org/officeDocument/2006/relationships/footer" Target="footer294.xml"/><Relationship Id="rId152" Type="http://schemas.openxmlformats.org/officeDocument/2006/relationships/footer" Target="footer72.xml"/><Relationship Id="rId194" Type="http://schemas.openxmlformats.org/officeDocument/2006/relationships/footer" Target="footer93.xml"/><Relationship Id="rId208" Type="http://schemas.openxmlformats.org/officeDocument/2006/relationships/header" Target="header101.xml"/><Relationship Id="rId415" Type="http://schemas.openxmlformats.org/officeDocument/2006/relationships/footer" Target="footer203.xml"/><Relationship Id="rId457" Type="http://schemas.openxmlformats.org/officeDocument/2006/relationships/footer" Target="footer224.xml"/><Relationship Id="rId622" Type="http://schemas.openxmlformats.org/officeDocument/2006/relationships/header" Target="header307.xml"/><Relationship Id="rId261" Type="http://schemas.openxmlformats.org/officeDocument/2006/relationships/header" Target="header127.xml"/><Relationship Id="rId499" Type="http://schemas.openxmlformats.org/officeDocument/2006/relationships/footer" Target="footer245.xml"/><Relationship Id="rId14" Type="http://schemas.openxmlformats.org/officeDocument/2006/relationships/footer" Target="footer3.xml"/><Relationship Id="rId56" Type="http://schemas.openxmlformats.org/officeDocument/2006/relationships/footer" Target="footer24.xml"/><Relationship Id="rId317" Type="http://schemas.openxmlformats.org/officeDocument/2006/relationships/footer" Target="footer154.xml"/><Relationship Id="rId359" Type="http://schemas.openxmlformats.org/officeDocument/2006/relationships/footer" Target="footer175.xml"/><Relationship Id="rId524" Type="http://schemas.openxmlformats.org/officeDocument/2006/relationships/header" Target="header258.xml"/><Relationship Id="rId566" Type="http://schemas.openxmlformats.org/officeDocument/2006/relationships/header" Target="header279.xml"/><Relationship Id="rId98" Type="http://schemas.openxmlformats.org/officeDocument/2006/relationships/footer" Target="footer45.xml"/><Relationship Id="rId121" Type="http://schemas.openxmlformats.org/officeDocument/2006/relationships/header" Target="header57.xml"/><Relationship Id="rId163" Type="http://schemas.openxmlformats.org/officeDocument/2006/relationships/header" Target="header78.xml"/><Relationship Id="rId219" Type="http://schemas.openxmlformats.org/officeDocument/2006/relationships/header" Target="header106.xml"/><Relationship Id="rId370" Type="http://schemas.openxmlformats.org/officeDocument/2006/relationships/header" Target="header181.xml"/><Relationship Id="rId426" Type="http://schemas.openxmlformats.org/officeDocument/2006/relationships/footer" Target="footer208.xml"/><Relationship Id="rId633" Type="http://schemas.openxmlformats.org/officeDocument/2006/relationships/footer" Target="footer312.xml"/><Relationship Id="rId230" Type="http://schemas.openxmlformats.org/officeDocument/2006/relationships/footer" Target="footer111.xml"/><Relationship Id="rId468" Type="http://schemas.openxmlformats.org/officeDocument/2006/relationships/footer" Target="footer229.xml"/><Relationship Id="rId25" Type="http://schemas.openxmlformats.org/officeDocument/2006/relationships/header" Target="header9.xml"/><Relationship Id="rId67" Type="http://schemas.openxmlformats.org/officeDocument/2006/relationships/header" Target="header30.xml"/><Relationship Id="rId272" Type="http://schemas.openxmlformats.org/officeDocument/2006/relationships/footer" Target="footer132.xml"/><Relationship Id="rId328" Type="http://schemas.openxmlformats.org/officeDocument/2006/relationships/header" Target="header161.xml"/><Relationship Id="rId535" Type="http://schemas.openxmlformats.org/officeDocument/2006/relationships/footer" Target="footer263.xml"/><Relationship Id="rId577" Type="http://schemas.openxmlformats.org/officeDocument/2006/relationships/footer" Target="footer284.xml"/><Relationship Id="rId132" Type="http://schemas.openxmlformats.org/officeDocument/2006/relationships/footer" Target="footer62.xml"/><Relationship Id="rId174" Type="http://schemas.openxmlformats.org/officeDocument/2006/relationships/footer" Target="footer83.xml"/><Relationship Id="rId381" Type="http://schemas.openxmlformats.org/officeDocument/2006/relationships/footer" Target="footer186.xml"/><Relationship Id="rId602" Type="http://schemas.openxmlformats.org/officeDocument/2006/relationships/header" Target="header297.xml"/><Relationship Id="rId241" Type="http://schemas.openxmlformats.org/officeDocument/2006/relationships/header" Target="header117.xml"/><Relationship Id="rId437" Type="http://schemas.openxmlformats.org/officeDocument/2006/relationships/header" Target="header215.xml"/><Relationship Id="rId479" Type="http://schemas.openxmlformats.org/officeDocument/2006/relationships/header" Target="header236.xml"/><Relationship Id="rId644" Type="http://schemas.openxmlformats.org/officeDocument/2006/relationships/header" Target="header318.xml"/><Relationship Id="rId36" Type="http://schemas.openxmlformats.org/officeDocument/2006/relationships/footer" Target="footer14.xml"/><Relationship Id="rId283" Type="http://schemas.openxmlformats.org/officeDocument/2006/relationships/header" Target="header138.xml"/><Relationship Id="rId339" Type="http://schemas.openxmlformats.org/officeDocument/2006/relationships/header" Target="header166.xml"/><Relationship Id="rId490" Type="http://schemas.openxmlformats.org/officeDocument/2006/relationships/header" Target="header241.xml"/><Relationship Id="rId504" Type="http://schemas.openxmlformats.org/officeDocument/2006/relationships/footer" Target="footer247.xml"/><Relationship Id="rId546" Type="http://schemas.openxmlformats.org/officeDocument/2006/relationships/footer" Target="footer268.xml"/><Relationship Id="rId78" Type="http://schemas.openxmlformats.org/officeDocument/2006/relationships/footer" Target="footer35.xml"/><Relationship Id="rId101" Type="http://schemas.openxmlformats.org/officeDocument/2006/relationships/footer" Target="footer46.xml"/><Relationship Id="rId143" Type="http://schemas.openxmlformats.org/officeDocument/2006/relationships/footer" Target="footer67.xml"/><Relationship Id="rId185" Type="http://schemas.openxmlformats.org/officeDocument/2006/relationships/footer" Target="footer88.xml"/><Relationship Id="rId350" Type="http://schemas.openxmlformats.org/officeDocument/2006/relationships/footer" Target="footer171.xml"/><Relationship Id="rId406" Type="http://schemas.openxmlformats.org/officeDocument/2006/relationships/header" Target="header199.xml"/><Relationship Id="rId588" Type="http://schemas.openxmlformats.org/officeDocument/2006/relationships/footer" Target="footer289.xml"/><Relationship Id="rId9" Type="http://schemas.openxmlformats.org/officeDocument/2006/relationships/header" Target="header1.xml"/><Relationship Id="rId210" Type="http://schemas.openxmlformats.org/officeDocument/2006/relationships/footer" Target="footer101.xml"/><Relationship Id="rId392" Type="http://schemas.openxmlformats.org/officeDocument/2006/relationships/header" Target="header192.xml"/><Relationship Id="rId448" Type="http://schemas.openxmlformats.org/officeDocument/2006/relationships/header" Target="header220.xml"/><Relationship Id="rId613" Type="http://schemas.openxmlformats.org/officeDocument/2006/relationships/footer" Target="footer302.xml"/><Relationship Id="rId655" Type="http://schemas.openxmlformats.org/officeDocument/2006/relationships/footer" Target="footer323.xml"/><Relationship Id="rId252" Type="http://schemas.openxmlformats.org/officeDocument/2006/relationships/footer" Target="footer122.xml"/><Relationship Id="rId294" Type="http://schemas.openxmlformats.org/officeDocument/2006/relationships/footer" Target="footer143.xml"/><Relationship Id="rId308" Type="http://schemas.openxmlformats.org/officeDocument/2006/relationships/footer" Target="footer150.xml"/><Relationship Id="rId515" Type="http://schemas.openxmlformats.org/officeDocument/2006/relationships/header" Target="header254.xml"/><Relationship Id="rId47" Type="http://schemas.openxmlformats.org/officeDocument/2006/relationships/footer" Target="footer19.xml"/><Relationship Id="rId89" Type="http://schemas.openxmlformats.org/officeDocument/2006/relationships/footer" Target="footer40.xml"/><Relationship Id="rId112" Type="http://schemas.openxmlformats.org/officeDocument/2006/relationships/header" Target="header53.xml"/><Relationship Id="rId154" Type="http://schemas.openxmlformats.org/officeDocument/2006/relationships/header" Target="header74.xml"/><Relationship Id="rId361" Type="http://schemas.openxmlformats.org/officeDocument/2006/relationships/header" Target="header177.xml"/><Relationship Id="rId557" Type="http://schemas.openxmlformats.org/officeDocument/2006/relationships/header" Target="header275.xml"/><Relationship Id="rId599" Type="http://schemas.openxmlformats.org/officeDocument/2006/relationships/header" Target="header296.xml"/><Relationship Id="rId196" Type="http://schemas.openxmlformats.org/officeDocument/2006/relationships/header" Target="header95.xml"/><Relationship Id="rId417" Type="http://schemas.openxmlformats.org/officeDocument/2006/relationships/footer" Target="footer204.xml"/><Relationship Id="rId459" Type="http://schemas.openxmlformats.org/officeDocument/2006/relationships/footer" Target="footer225.xml"/><Relationship Id="rId624" Type="http://schemas.openxmlformats.org/officeDocument/2006/relationships/footer" Target="footer307.xml"/><Relationship Id="rId16" Type="http://schemas.openxmlformats.org/officeDocument/2006/relationships/header" Target="header5.xml"/><Relationship Id="rId221" Type="http://schemas.openxmlformats.org/officeDocument/2006/relationships/footer" Target="footer106.xml"/><Relationship Id="rId263" Type="http://schemas.openxmlformats.org/officeDocument/2006/relationships/footer" Target="footer127.xml"/><Relationship Id="rId319" Type="http://schemas.openxmlformats.org/officeDocument/2006/relationships/header" Target="header156.xml"/><Relationship Id="rId470" Type="http://schemas.openxmlformats.org/officeDocument/2006/relationships/header" Target="header231.xml"/><Relationship Id="rId526" Type="http://schemas.openxmlformats.org/officeDocument/2006/relationships/header" Target="header259.xml"/><Relationship Id="rId58" Type="http://schemas.openxmlformats.org/officeDocument/2006/relationships/header" Target="header26.xml"/><Relationship Id="rId123" Type="http://schemas.openxmlformats.org/officeDocument/2006/relationships/header" Target="header58.xml"/><Relationship Id="rId330" Type="http://schemas.openxmlformats.org/officeDocument/2006/relationships/footer" Target="footer161.xml"/><Relationship Id="rId568" Type="http://schemas.openxmlformats.org/officeDocument/2006/relationships/header" Target="header280.xml"/><Relationship Id="rId165" Type="http://schemas.openxmlformats.org/officeDocument/2006/relationships/header" Target="header79.xml"/><Relationship Id="rId372" Type="http://schemas.openxmlformats.org/officeDocument/2006/relationships/footer" Target="footer181.xml"/><Relationship Id="rId428" Type="http://schemas.openxmlformats.org/officeDocument/2006/relationships/header" Target="header210.xml"/><Relationship Id="rId635" Type="http://schemas.openxmlformats.org/officeDocument/2006/relationships/header" Target="header314.xml"/><Relationship Id="rId232" Type="http://schemas.openxmlformats.org/officeDocument/2006/relationships/header" Target="header113.xml"/><Relationship Id="rId274" Type="http://schemas.openxmlformats.org/officeDocument/2006/relationships/header" Target="header134.xml"/><Relationship Id="rId481" Type="http://schemas.openxmlformats.org/officeDocument/2006/relationships/footer" Target="footer236.xml"/><Relationship Id="rId27" Type="http://schemas.openxmlformats.org/officeDocument/2006/relationships/header" Target="header10.xml"/><Relationship Id="rId69" Type="http://schemas.openxmlformats.org/officeDocument/2006/relationships/header" Target="header31.xml"/><Relationship Id="rId134" Type="http://schemas.openxmlformats.org/officeDocument/2006/relationships/footer" Target="footer63.xml"/><Relationship Id="rId537" Type="http://schemas.openxmlformats.org/officeDocument/2006/relationships/footer" Target="footer264.xml"/><Relationship Id="rId579" Type="http://schemas.openxmlformats.org/officeDocument/2006/relationships/footer" Target="footer285.xml"/><Relationship Id="rId80" Type="http://schemas.openxmlformats.org/officeDocument/2006/relationships/footer" Target="footer36.xml"/><Relationship Id="rId176" Type="http://schemas.openxmlformats.org/officeDocument/2006/relationships/footer" Target="footer84.xml"/><Relationship Id="rId341" Type="http://schemas.openxmlformats.org/officeDocument/2006/relationships/footer" Target="footer166.xml"/><Relationship Id="rId383" Type="http://schemas.openxmlformats.org/officeDocument/2006/relationships/header" Target="header188.xml"/><Relationship Id="rId439" Type="http://schemas.openxmlformats.org/officeDocument/2006/relationships/footer" Target="footer215.xml"/><Relationship Id="rId590" Type="http://schemas.openxmlformats.org/officeDocument/2006/relationships/header" Target="header291.xml"/><Relationship Id="rId604" Type="http://schemas.openxmlformats.org/officeDocument/2006/relationships/header" Target="header298.xml"/><Relationship Id="rId646" Type="http://schemas.openxmlformats.org/officeDocument/2006/relationships/header" Target="header319.xml"/><Relationship Id="rId201" Type="http://schemas.openxmlformats.org/officeDocument/2006/relationships/header" Target="header97.xml"/><Relationship Id="rId243" Type="http://schemas.openxmlformats.org/officeDocument/2006/relationships/header" Target="header118.xml"/><Relationship Id="rId285" Type="http://schemas.openxmlformats.org/officeDocument/2006/relationships/header" Target="header139.xml"/><Relationship Id="rId450" Type="http://schemas.openxmlformats.org/officeDocument/2006/relationships/footer" Target="footer220.xml"/><Relationship Id="rId506" Type="http://schemas.openxmlformats.org/officeDocument/2006/relationships/header" Target="header249.xml"/><Relationship Id="rId38" Type="http://schemas.openxmlformats.org/officeDocument/2006/relationships/footer" Target="footer15.xml"/><Relationship Id="rId103" Type="http://schemas.openxmlformats.org/officeDocument/2006/relationships/header" Target="header48.xml"/><Relationship Id="rId310" Type="http://schemas.openxmlformats.org/officeDocument/2006/relationships/header" Target="header152.xml"/><Relationship Id="rId492" Type="http://schemas.openxmlformats.org/officeDocument/2006/relationships/footer" Target="footer241.xml"/><Relationship Id="rId548" Type="http://schemas.openxmlformats.org/officeDocument/2006/relationships/header" Target="header270.xml"/><Relationship Id="rId91" Type="http://schemas.openxmlformats.org/officeDocument/2006/relationships/header" Target="header42.xml"/><Relationship Id="rId145" Type="http://schemas.openxmlformats.org/officeDocument/2006/relationships/header" Target="header69.xml"/><Relationship Id="rId187" Type="http://schemas.openxmlformats.org/officeDocument/2006/relationships/header" Target="header90.xml"/><Relationship Id="rId352" Type="http://schemas.openxmlformats.org/officeDocument/2006/relationships/header" Target="header173.xml"/><Relationship Id="rId394" Type="http://schemas.openxmlformats.org/officeDocument/2006/relationships/header" Target="header193.xml"/><Relationship Id="rId408" Type="http://schemas.openxmlformats.org/officeDocument/2006/relationships/footer" Target="footer199.xml"/><Relationship Id="rId615" Type="http://schemas.openxmlformats.org/officeDocument/2006/relationships/footer" Target="footer303.xml"/><Relationship Id="rId212" Type="http://schemas.openxmlformats.org/officeDocument/2006/relationships/footer" Target="footer102.xml"/><Relationship Id="rId254" Type="http://schemas.openxmlformats.org/officeDocument/2006/relationships/footer" Target="footer123.xml"/><Relationship Id="rId657" Type="http://schemas.openxmlformats.org/officeDocument/2006/relationships/footer" Target="footer324.xml"/><Relationship Id="rId49" Type="http://schemas.openxmlformats.org/officeDocument/2006/relationships/header" Target="header21.xml"/><Relationship Id="rId114" Type="http://schemas.openxmlformats.org/officeDocument/2006/relationships/footer" Target="footer53.xml"/><Relationship Id="rId296" Type="http://schemas.openxmlformats.org/officeDocument/2006/relationships/footer" Target="footer144.xml"/><Relationship Id="rId461" Type="http://schemas.openxmlformats.org/officeDocument/2006/relationships/header" Target="header227.xml"/><Relationship Id="rId517" Type="http://schemas.openxmlformats.org/officeDocument/2006/relationships/footer" Target="footer254.xml"/><Relationship Id="rId559" Type="http://schemas.openxmlformats.org/officeDocument/2006/relationships/footer" Target="footer275.xml"/><Relationship Id="rId60" Type="http://schemas.openxmlformats.org/officeDocument/2006/relationships/footer" Target="footer26.xml"/><Relationship Id="rId81" Type="http://schemas.openxmlformats.org/officeDocument/2006/relationships/header" Target="header37.xml"/><Relationship Id="rId135" Type="http://schemas.openxmlformats.org/officeDocument/2006/relationships/header" Target="header64.xml"/><Relationship Id="rId156" Type="http://schemas.openxmlformats.org/officeDocument/2006/relationships/footer" Target="footer74.xml"/><Relationship Id="rId177" Type="http://schemas.openxmlformats.org/officeDocument/2006/relationships/header" Target="header85.xml"/><Relationship Id="rId198" Type="http://schemas.openxmlformats.org/officeDocument/2006/relationships/footer" Target="footer95.xml"/><Relationship Id="rId321" Type="http://schemas.openxmlformats.org/officeDocument/2006/relationships/header" Target="header157.xml"/><Relationship Id="rId342" Type="http://schemas.openxmlformats.org/officeDocument/2006/relationships/footer" Target="footer167.xml"/><Relationship Id="rId363" Type="http://schemas.openxmlformats.org/officeDocument/2006/relationships/header" Target="header178.xml"/><Relationship Id="rId384" Type="http://schemas.openxmlformats.org/officeDocument/2006/relationships/footer" Target="footer187.xml"/><Relationship Id="rId419" Type="http://schemas.openxmlformats.org/officeDocument/2006/relationships/header" Target="header206.xml"/><Relationship Id="rId570" Type="http://schemas.openxmlformats.org/officeDocument/2006/relationships/footer" Target="footer280.xml"/><Relationship Id="rId591" Type="http://schemas.openxmlformats.org/officeDocument/2006/relationships/footer" Target="footer291.xml"/><Relationship Id="rId605" Type="http://schemas.openxmlformats.org/officeDocument/2006/relationships/header" Target="header299.xml"/><Relationship Id="rId626" Type="http://schemas.openxmlformats.org/officeDocument/2006/relationships/header" Target="header309.xml"/><Relationship Id="rId202" Type="http://schemas.openxmlformats.org/officeDocument/2006/relationships/header" Target="header98.xml"/><Relationship Id="rId223" Type="http://schemas.openxmlformats.org/officeDocument/2006/relationships/header" Target="header108.xml"/><Relationship Id="rId244" Type="http://schemas.openxmlformats.org/officeDocument/2006/relationships/header" Target="header119.xml"/><Relationship Id="rId430" Type="http://schemas.openxmlformats.org/officeDocument/2006/relationships/header" Target="header211.xml"/><Relationship Id="rId647" Type="http://schemas.openxmlformats.org/officeDocument/2006/relationships/header" Target="header320.xml"/><Relationship Id="rId18" Type="http://schemas.openxmlformats.org/officeDocument/2006/relationships/footer" Target="footer5.xml"/><Relationship Id="rId39" Type="http://schemas.openxmlformats.org/officeDocument/2006/relationships/header" Target="header16.xml"/><Relationship Id="rId265" Type="http://schemas.openxmlformats.org/officeDocument/2006/relationships/header" Target="header129.xml"/><Relationship Id="rId286" Type="http://schemas.openxmlformats.org/officeDocument/2006/relationships/header" Target="header140.xml"/><Relationship Id="rId451" Type="http://schemas.openxmlformats.org/officeDocument/2006/relationships/footer" Target="footer221.xml"/><Relationship Id="rId472" Type="http://schemas.openxmlformats.org/officeDocument/2006/relationships/header" Target="header232.xml"/><Relationship Id="rId493" Type="http://schemas.openxmlformats.org/officeDocument/2006/relationships/footer" Target="footer242.xml"/><Relationship Id="rId507" Type="http://schemas.openxmlformats.org/officeDocument/2006/relationships/footer" Target="footer249.xml"/><Relationship Id="rId528" Type="http://schemas.openxmlformats.org/officeDocument/2006/relationships/footer" Target="footer259.xml"/><Relationship Id="rId549" Type="http://schemas.openxmlformats.org/officeDocument/2006/relationships/footer" Target="footer270.xml"/><Relationship Id="rId50" Type="http://schemas.openxmlformats.org/officeDocument/2006/relationships/footer" Target="footer21.xml"/><Relationship Id="rId104" Type="http://schemas.openxmlformats.org/officeDocument/2006/relationships/footer" Target="footer48.xml"/><Relationship Id="rId125" Type="http://schemas.openxmlformats.org/officeDocument/2006/relationships/footer" Target="footer58.xml"/><Relationship Id="rId146" Type="http://schemas.openxmlformats.org/officeDocument/2006/relationships/footer" Target="footer69.xml"/><Relationship Id="rId167" Type="http://schemas.openxmlformats.org/officeDocument/2006/relationships/footer" Target="footer79.xml"/><Relationship Id="rId188" Type="http://schemas.openxmlformats.org/officeDocument/2006/relationships/footer" Target="footer90.xml"/><Relationship Id="rId311" Type="http://schemas.openxmlformats.org/officeDocument/2006/relationships/footer" Target="footer151.xml"/><Relationship Id="rId332" Type="http://schemas.openxmlformats.org/officeDocument/2006/relationships/footer" Target="footer162.xml"/><Relationship Id="rId353" Type="http://schemas.openxmlformats.org/officeDocument/2006/relationships/footer" Target="footer172.xml"/><Relationship Id="rId374" Type="http://schemas.openxmlformats.org/officeDocument/2006/relationships/header" Target="header183.xml"/><Relationship Id="rId395" Type="http://schemas.openxmlformats.org/officeDocument/2006/relationships/header" Target="header194.xml"/><Relationship Id="rId409" Type="http://schemas.openxmlformats.org/officeDocument/2006/relationships/footer" Target="footer200.xml"/><Relationship Id="rId560" Type="http://schemas.openxmlformats.org/officeDocument/2006/relationships/header" Target="header276.xml"/><Relationship Id="rId581" Type="http://schemas.openxmlformats.org/officeDocument/2006/relationships/header" Target="header287.xml"/><Relationship Id="rId71" Type="http://schemas.openxmlformats.org/officeDocument/2006/relationships/footer" Target="footer31.xml"/><Relationship Id="rId92" Type="http://schemas.openxmlformats.org/officeDocument/2006/relationships/footer" Target="footer42.xml"/><Relationship Id="rId213" Type="http://schemas.openxmlformats.org/officeDocument/2006/relationships/header" Target="header103.xml"/><Relationship Id="rId234" Type="http://schemas.openxmlformats.org/officeDocument/2006/relationships/footer" Target="footer113.xml"/><Relationship Id="rId420" Type="http://schemas.openxmlformats.org/officeDocument/2006/relationships/footer" Target="footer205.xml"/><Relationship Id="rId616" Type="http://schemas.openxmlformats.org/officeDocument/2006/relationships/header" Target="header304.xml"/><Relationship Id="rId637" Type="http://schemas.openxmlformats.org/officeDocument/2006/relationships/footer" Target="footer314.xml"/><Relationship Id="rId658"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footer" Target="footer10.xml"/><Relationship Id="rId255" Type="http://schemas.openxmlformats.org/officeDocument/2006/relationships/header" Target="header124.xml"/><Relationship Id="rId276" Type="http://schemas.openxmlformats.org/officeDocument/2006/relationships/footer" Target="footer134.xml"/><Relationship Id="rId297" Type="http://schemas.openxmlformats.org/officeDocument/2006/relationships/header" Target="header145.xml"/><Relationship Id="rId441" Type="http://schemas.openxmlformats.org/officeDocument/2006/relationships/footer" Target="footer216.xml"/><Relationship Id="rId462" Type="http://schemas.openxmlformats.org/officeDocument/2006/relationships/footer" Target="footer226.xml"/><Relationship Id="rId483" Type="http://schemas.openxmlformats.org/officeDocument/2006/relationships/footer" Target="footer237.xml"/><Relationship Id="rId518" Type="http://schemas.openxmlformats.org/officeDocument/2006/relationships/header" Target="header255.xml"/><Relationship Id="rId539" Type="http://schemas.openxmlformats.org/officeDocument/2006/relationships/header" Target="header266.xml"/><Relationship Id="rId40" Type="http://schemas.openxmlformats.org/officeDocument/2006/relationships/header" Target="header17.xml"/><Relationship Id="rId115" Type="http://schemas.openxmlformats.org/officeDocument/2006/relationships/header" Target="header54.xml"/><Relationship Id="rId136" Type="http://schemas.openxmlformats.org/officeDocument/2006/relationships/header" Target="header65.xml"/><Relationship Id="rId157" Type="http://schemas.openxmlformats.org/officeDocument/2006/relationships/header" Target="header75.xml"/><Relationship Id="rId178" Type="http://schemas.openxmlformats.org/officeDocument/2006/relationships/header" Target="header86.xml"/><Relationship Id="rId301" Type="http://schemas.openxmlformats.org/officeDocument/2006/relationships/header" Target="header147.xml"/><Relationship Id="rId322" Type="http://schemas.openxmlformats.org/officeDocument/2006/relationships/header" Target="header158.xml"/><Relationship Id="rId343" Type="http://schemas.openxmlformats.org/officeDocument/2006/relationships/header" Target="header168.xml"/><Relationship Id="rId364" Type="http://schemas.openxmlformats.org/officeDocument/2006/relationships/header" Target="header179.xml"/><Relationship Id="rId550" Type="http://schemas.openxmlformats.org/officeDocument/2006/relationships/header" Target="header271.xml"/><Relationship Id="rId61" Type="http://schemas.openxmlformats.org/officeDocument/2006/relationships/header" Target="header27.xml"/><Relationship Id="rId82" Type="http://schemas.openxmlformats.org/officeDocument/2006/relationships/header" Target="header38.xml"/><Relationship Id="rId199" Type="http://schemas.openxmlformats.org/officeDocument/2006/relationships/header" Target="header96.xml"/><Relationship Id="rId203" Type="http://schemas.openxmlformats.org/officeDocument/2006/relationships/footer" Target="footer97.xml"/><Relationship Id="rId385" Type="http://schemas.openxmlformats.org/officeDocument/2006/relationships/footer" Target="footer188.xml"/><Relationship Id="rId571" Type="http://schemas.openxmlformats.org/officeDocument/2006/relationships/footer" Target="footer281.xml"/><Relationship Id="rId592" Type="http://schemas.openxmlformats.org/officeDocument/2006/relationships/header" Target="header292.xml"/><Relationship Id="rId606" Type="http://schemas.openxmlformats.org/officeDocument/2006/relationships/footer" Target="footer298.xml"/><Relationship Id="rId627" Type="http://schemas.openxmlformats.org/officeDocument/2006/relationships/footer" Target="footer309.xml"/><Relationship Id="rId648" Type="http://schemas.openxmlformats.org/officeDocument/2006/relationships/footer" Target="footer319.xml"/><Relationship Id="rId19" Type="http://schemas.openxmlformats.org/officeDocument/2006/relationships/header" Target="header6.xml"/><Relationship Id="rId224" Type="http://schemas.openxmlformats.org/officeDocument/2006/relationships/footer" Target="footer108.xml"/><Relationship Id="rId245" Type="http://schemas.openxmlformats.org/officeDocument/2006/relationships/footer" Target="footer118.xml"/><Relationship Id="rId266" Type="http://schemas.openxmlformats.org/officeDocument/2006/relationships/footer" Target="footer129.xml"/><Relationship Id="rId287" Type="http://schemas.openxmlformats.org/officeDocument/2006/relationships/footer" Target="footer139.xml"/><Relationship Id="rId410" Type="http://schemas.openxmlformats.org/officeDocument/2006/relationships/header" Target="header201.xml"/><Relationship Id="rId431" Type="http://schemas.openxmlformats.org/officeDocument/2006/relationships/header" Target="header212.xml"/><Relationship Id="rId452" Type="http://schemas.openxmlformats.org/officeDocument/2006/relationships/header" Target="header222.xml"/><Relationship Id="rId473" Type="http://schemas.openxmlformats.org/officeDocument/2006/relationships/header" Target="header233.xml"/><Relationship Id="rId494" Type="http://schemas.openxmlformats.org/officeDocument/2006/relationships/header" Target="header243.xml"/><Relationship Id="rId508" Type="http://schemas.openxmlformats.org/officeDocument/2006/relationships/header" Target="header250.xml"/><Relationship Id="rId529" Type="http://schemas.openxmlformats.org/officeDocument/2006/relationships/footer" Target="footer260.xml"/><Relationship Id="rId30" Type="http://schemas.openxmlformats.org/officeDocument/2006/relationships/footer" Target="footer11.xml"/><Relationship Id="rId105" Type="http://schemas.openxmlformats.org/officeDocument/2006/relationships/header" Target="header49.xml"/><Relationship Id="rId126" Type="http://schemas.openxmlformats.org/officeDocument/2006/relationships/footer" Target="footer59.xml"/><Relationship Id="rId147" Type="http://schemas.openxmlformats.org/officeDocument/2006/relationships/header" Target="header70.xml"/><Relationship Id="rId168" Type="http://schemas.openxmlformats.org/officeDocument/2006/relationships/footer" Target="footer80.xml"/><Relationship Id="rId312" Type="http://schemas.openxmlformats.org/officeDocument/2006/relationships/footer" Target="footer152.xml"/><Relationship Id="rId333" Type="http://schemas.openxmlformats.org/officeDocument/2006/relationships/header" Target="header163.xml"/><Relationship Id="rId354" Type="http://schemas.openxmlformats.org/officeDocument/2006/relationships/footer" Target="footer173.xml"/><Relationship Id="rId540" Type="http://schemas.openxmlformats.org/officeDocument/2006/relationships/footer" Target="footer265.xml"/><Relationship Id="rId51" Type="http://schemas.openxmlformats.org/officeDocument/2006/relationships/header" Target="header22.xml"/><Relationship Id="rId72" Type="http://schemas.openxmlformats.org/officeDocument/2006/relationships/footer" Target="footer32.xml"/><Relationship Id="rId93" Type="http://schemas.openxmlformats.org/officeDocument/2006/relationships/header" Target="header43.xml"/><Relationship Id="rId189" Type="http://schemas.openxmlformats.org/officeDocument/2006/relationships/header" Target="header91.xml"/><Relationship Id="rId375" Type="http://schemas.openxmlformats.org/officeDocument/2006/relationships/footer" Target="footer183.xml"/><Relationship Id="rId396" Type="http://schemas.openxmlformats.org/officeDocument/2006/relationships/footer" Target="footer193.xml"/><Relationship Id="rId561" Type="http://schemas.openxmlformats.org/officeDocument/2006/relationships/footer" Target="footer276.xml"/><Relationship Id="rId582" Type="http://schemas.openxmlformats.org/officeDocument/2006/relationships/footer" Target="footer286.xml"/><Relationship Id="rId617" Type="http://schemas.openxmlformats.org/officeDocument/2006/relationships/header" Target="header305.xml"/><Relationship Id="rId638" Type="http://schemas.openxmlformats.org/officeDocument/2006/relationships/header" Target="header315.xml"/><Relationship Id="rId65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header" Target="header104.xml"/><Relationship Id="rId235" Type="http://schemas.openxmlformats.org/officeDocument/2006/relationships/header" Target="header114.xml"/><Relationship Id="rId256" Type="http://schemas.openxmlformats.org/officeDocument/2006/relationships/header" Target="header125.xml"/><Relationship Id="rId277" Type="http://schemas.openxmlformats.org/officeDocument/2006/relationships/header" Target="header135.xml"/><Relationship Id="rId298" Type="http://schemas.openxmlformats.org/officeDocument/2006/relationships/header" Target="header146.xml"/><Relationship Id="rId400" Type="http://schemas.openxmlformats.org/officeDocument/2006/relationships/header" Target="header196.xml"/><Relationship Id="rId421" Type="http://schemas.openxmlformats.org/officeDocument/2006/relationships/footer" Target="footer206.xml"/><Relationship Id="rId442" Type="http://schemas.openxmlformats.org/officeDocument/2006/relationships/header" Target="header217.xml"/><Relationship Id="rId463" Type="http://schemas.openxmlformats.org/officeDocument/2006/relationships/footer" Target="footer227.xml"/><Relationship Id="rId484" Type="http://schemas.openxmlformats.org/officeDocument/2006/relationships/header" Target="header238.xml"/><Relationship Id="rId519" Type="http://schemas.openxmlformats.org/officeDocument/2006/relationships/footer" Target="footer255.xml"/><Relationship Id="rId116" Type="http://schemas.openxmlformats.org/officeDocument/2006/relationships/footer" Target="footer54.xml"/><Relationship Id="rId137" Type="http://schemas.openxmlformats.org/officeDocument/2006/relationships/footer" Target="footer64.xml"/><Relationship Id="rId158" Type="http://schemas.openxmlformats.org/officeDocument/2006/relationships/footer" Target="footer75.xml"/><Relationship Id="rId302" Type="http://schemas.openxmlformats.org/officeDocument/2006/relationships/footer" Target="footer147.xml"/><Relationship Id="rId323" Type="http://schemas.openxmlformats.org/officeDocument/2006/relationships/footer" Target="footer157.xml"/><Relationship Id="rId344" Type="http://schemas.openxmlformats.org/officeDocument/2006/relationships/footer" Target="footer168.xml"/><Relationship Id="rId530" Type="http://schemas.openxmlformats.org/officeDocument/2006/relationships/header" Target="header261.xml"/><Relationship Id="rId20" Type="http://schemas.openxmlformats.org/officeDocument/2006/relationships/footer" Target="footer6.xml"/><Relationship Id="rId41" Type="http://schemas.openxmlformats.org/officeDocument/2006/relationships/footer" Target="footer16.xml"/><Relationship Id="rId62" Type="http://schemas.openxmlformats.org/officeDocument/2006/relationships/footer" Target="footer27.xml"/><Relationship Id="rId83" Type="http://schemas.openxmlformats.org/officeDocument/2006/relationships/footer" Target="footer37.xml"/><Relationship Id="rId179" Type="http://schemas.openxmlformats.org/officeDocument/2006/relationships/footer" Target="footer85.xml"/><Relationship Id="rId365" Type="http://schemas.openxmlformats.org/officeDocument/2006/relationships/footer" Target="footer178.xml"/><Relationship Id="rId386" Type="http://schemas.openxmlformats.org/officeDocument/2006/relationships/header" Target="header189.xml"/><Relationship Id="rId551" Type="http://schemas.openxmlformats.org/officeDocument/2006/relationships/header" Target="header272.xml"/><Relationship Id="rId572" Type="http://schemas.openxmlformats.org/officeDocument/2006/relationships/header" Target="header282.xml"/><Relationship Id="rId593" Type="http://schemas.openxmlformats.org/officeDocument/2006/relationships/header" Target="header293.xml"/><Relationship Id="rId607" Type="http://schemas.openxmlformats.org/officeDocument/2006/relationships/footer" Target="footer299.xml"/><Relationship Id="rId628" Type="http://schemas.openxmlformats.org/officeDocument/2006/relationships/header" Target="header310.xml"/><Relationship Id="rId649" Type="http://schemas.openxmlformats.org/officeDocument/2006/relationships/footer" Target="footer320.xml"/><Relationship Id="rId190" Type="http://schemas.openxmlformats.org/officeDocument/2006/relationships/header" Target="header92.xml"/><Relationship Id="rId204" Type="http://schemas.openxmlformats.org/officeDocument/2006/relationships/footer" Target="footer98.xml"/><Relationship Id="rId225" Type="http://schemas.openxmlformats.org/officeDocument/2006/relationships/header" Target="header109.xml"/><Relationship Id="rId246" Type="http://schemas.openxmlformats.org/officeDocument/2006/relationships/footer" Target="footer119.xml"/><Relationship Id="rId267" Type="http://schemas.openxmlformats.org/officeDocument/2006/relationships/header" Target="header130.xml"/><Relationship Id="rId288" Type="http://schemas.openxmlformats.org/officeDocument/2006/relationships/footer" Target="footer140.xml"/><Relationship Id="rId411" Type="http://schemas.openxmlformats.org/officeDocument/2006/relationships/footer" Target="footer201.xml"/><Relationship Id="rId432" Type="http://schemas.openxmlformats.org/officeDocument/2006/relationships/footer" Target="footer211.xml"/><Relationship Id="rId453" Type="http://schemas.openxmlformats.org/officeDocument/2006/relationships/footer" Target="footer222.xml"/><Relationship Id="rId474" Type="http://schemas.openxmlformats.org/officeDocument/2006/relationships/footer" Target="footer232.xml"/><Relationship Id="rId509" Type="http://schemas.openxmlformats.org/officeDocument/2006/relationships/header" Target="header251.xml"/><Relationship Id="rId106" Type="http://schemas.openxmlformats.org/officeDocument/2006/relationships/header" Target="header50.xml"/><Relationship Id="rId127" Type="http://schemas.openxmlformats.org/officeDocument/2006/relationships/header" Target="header60.xml"/><Relationship Id="rId313" Type="http://schemas.openxmlformats.org/officeDocument/2006/relationships/header" Target="header153.xml"/><Relationship Id="rId495" Type="http://schemas.openxmlformats.org/officeDocument/2006/relationships/footer" Target="footer243.xml"/><Relationship Id="rId10" Type="http://schemas.openxmlformats.org/officeDocument/2006/relationships/header" Target="header2.xml"/><Relationship Id="rId31" Type="http://schemas.openxmlformats.org/officeDocument/2006/relationships/header" Target="header12.xml"/><Relationship Id="rId52" Type="http://schemas.openxmlformats.org/officeDocument/2006/relationships/header" Target="header23.xml"/><Relationship Id="rId73" Type="http://schemas.openxmlformats.org/officeDocument/2006/relationships/header" Target="header33.xml"/><Relationship Id="rId94" Type="http://schemas.openxmlformats.org/officeDocument/2006/relationships/header" Target="header44.xml"/><Relationship Id="rId148" Type="http://schemas.openxmlformats.org/officeDocument/2006/relationships/header" Target="header71.xml"/><Relationship Id="rId169" Type="http://schemas.openxmlformats.org/officeDocument/2006/relationships/header" Target="header81.xml"/><Relationship Id="rId334" Type="http://schemas.openxmlformats.org/officeDocument/2006/relationships/header" Target="header164.xml"/><Relationship Id="rId355" Type="http://schemas.openxmlformats.org/officeDocument/2006/relationships/header" Target="header174.xml"/><Relationship Id="rId376" Type="http://schemas.openxmlformats.org/officeDocument/2006/relationships/header" Target="header184.xml"/><Relationship Id="rId397" Type="http://schemas.openxmlformats.org/officeDocument/2006/relationships/footer" Target="footer194.xml"/><Relationship Id="rId520" Type="http://schemas.openxmlformats.org/officeDocument/2006/relationships/header" Target="header256.xml"/><Relationship Id="rId541" Type="http://schemas.openxmlformats.org/officeDocument/2006/relationships/footer" Target="footer266.xml"/><Relationship Id="rId562" Type="http://schemas.openxmlformats.org/officeDocument/2006/relationships/header" Target="header277.xml"/><Relationship Id="rId583" Type="http://schemas.openxmlformats.org/officeDocument/2006/relationships/footer" Target="footer287.xml"/><Relationship Id="rId618" Type="http://schemas.openxmlformats.org/officeDocument/2006/relationships/footer" Target="footer304.xml"/><Relationship Id="rId639" Type="http://schemas.openxmlformats.org/officeDocument/2006/relationships/footer" Target="footer315.xml"/><Relationship Id="rId4" Type="http://schemas.openxmlformats.org/officeDocument/2006/relationships/settings" Target="settings.xml"/><Relationship Id="rId180" Type="http://schemas.openxmlformats.org/officeDocument/2006/relationships/footer" Target="footer86.xml"/><Relationship Id="rId215" Type="http://schemas.openxmlformats.org/officeDocument/2006/relationships/footer" Target="footer103.xml"/><Relationship Id="rId236" Type="http://schemas.openxmlformats.org/officeDocument/2006/relationships/footer" Target="footer114.xml"/><Relationship Id="rId257" Type="http://schemas.openxmlformats.org/officeDocument/2006/relationships/footer" Target="footer124.xml"/><Relationship Id="rId278" Type="http://schemas.openxmlformats.org/officeDocument/2006/relationships/footer" Target="footer135.xml"/><Relationship Id="rId401" Type="http://schemas.openxmlformats.org/officeDocument/2006/relationships/header" Target="header197.xml"/><Relationship Id="rId422" Type="http://schemas.openxmlformats.org/officeDocument/2006/relationships/header" Target="header207.xml"/><Relationship Id="rId443" Type="http://schemas.openxmlformats.org/officeDocument/2006/relationships/header" Target="header218.xml"/><Relationship Id="rId464" Type="http://schemas.openxmlformats.org/officeDocument/2006/relationships/header" Target="header228.xml"/><Relationship Id="rId650" Type="http://schemas.openxmlformats.org/officeDocument/2006/relationships/header" Target="header321.xml"/><Relationship Id="rId303" Type="http://schemas.openxmlformats.org/officeDocument/2006/relationships/header" Target="header148.xml"/><Relationship Id="rId485" Type="http://schemas.openxmlformats.org/officeDocument/2006/relationships/header" Target="header239.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header" Target="header169.xml"/><Relationship Id="rId387" Type="http://schemas.openxmlformats.org/officeDocument/2006/relationships/footer" Target="footer189.xml"/><Relationship Id="rId510" Type="http://schemas.openxmlformats.org/officeDocument/2006/relationships/footer" Target="footer250.xml"/><Relationship Id="rId552" Type="http://schemas.openxmlformats.org/officeDocument/2006/relationships/footer" Target="footer271.xml"/><Relationship Id="rId594" Type="http://schemas.openxmlformats.org/officeDocument/2006/relationships/footer" Target="footer292.xml"/><Relationship Id="rId608" Type="http://schemas.openxmlformats.org/officeDocument/2006/relationships/header" Target="header300.xml"/><Relationship Id="rId191" Type="http://schemas.openxmlformats.org/officeDocument/2006/relationships/footer" Target="footer91.xml"/><Relationship Id="rId205" Type="http://schemas.openxmlformats.org/officeDocument/2006/relationships/header" Target="header99.xml"/><Relationship Id="rId247" Type="http://schemas.openxmlformats.org/officeDocument/2006/relationships/header" Target="header120.xml"/><Relationship Id="rId412" Type="http://schemas.openxmlformats.org/officeDocument/2006/relationships/header" Target="header202.xml"/><Relationship Id="rId107" Type="http://schemas.openxmlformats.org/officeDocument/2006/relationships/footer" Target="footer49.xml"/><Relationship Id="rId289" Type="http://schemas.openxmlformats.org/officeDocument/2006/relationships/header" Target="header141.xml"/><Relationship Id="rId454" Type="http://schemas.openxmlformats.org/officeDocument/2006/relationships/header" Target="header223.xml"/><Relationship Id="rId496" Type="http://schemas.openxmlformats.org/officeDocument/2006/relationships/header" Target="header244.xml"/><Relationship Id="rId11" Type="http://schemas.openxmlformats.org/officeDocument/2006/relationships/footer" Target="footer1.xml"/><Relationship Id="rId53" Type="http://schemas.openxmlformats.org/officeDocument/2006/relationships/footer" Target="footer22.xml"/><Relationship Id="rId149" Type="http://schemas.openxmlformats.org/officeDocument/2006/relationships/footer" Target="footer70.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header" Target="header195.xml"/><Relationship Id="rId521" Type="http://schemas.openxmlformats.org/officeDocument/2006/relationships/header" Target="header257.xml"/><Relationship Id="rId563" Type="http://schemas.openxmlformats.org/officeDocument/2006/relationships/header" Target="header278.xml"/><Relationship Id="rId619" Type="http://schemas.openxmlformats.org/officeDocument/2006/relationships/footer" Target="footer305.xml"/><Relationship Id="rId95" Type="http://schemas.openxmlformats.org/officeDocument/2006/relationships/footer" Target="footer43.xml"/><Relationship Id="rId160" Type="http://schemas.openxmlformats.org/officeDocument/2006/relationships/header" Target="header77.xml"/><Relationship Id="rId216" Type="http://schemas.openxmlformats.org/officeDocument/2006/relationships/footer" Target="footer104.xml"/><Relationship Id="rId423" Type="http://schemas.openxmlformats.org/officeDocument/2006/relationships/footer" Target="footer207.xml"/><Relationship Id="rId258" Type="http://schemas.openxmlformats.org/officeDocument/2006/relationships/footer" Target="footer125.xml"/><Relationship Id="rId465" Type="http://schemas.openxmlformats.org/officeDocument/2006/relationships/footer" Target="footer228.xml"/><Relationship Id="rId630" Type="http://schemas.openxmlformats.org/officeDocument/2006/relationships/footer" Target="footer310.xml"/><Relationship Id="rId22" Type="http://schemas.openxmlformats.org/officeDocument/2006/relationships/header" Target="header8.xml"/><Relationship Id="rId64" Type="http://schemas.openxmlformats.org/officeDocument/2006/relationships/header" Target="header29.xml"/><Relationship Id="rId118" Type="http://schemas.openxmlformats.org/officeDocument/2006/relationships/header" Target="header56.xml"/><Relationship Id="rId325" Type="http://schemas.openxmlformats.org/officeDocument/2006/relationships/header" Target="header159.xml"/><Relationship Id="rId367" Type="http://schemas.openxmlformats.org/officeDocument/2006/relationships/header" Target="header180.xml"/><Relationship Id="rId532" Type="http://schemas.openxmlformats.org/officeDocument/2006/relationships/header" Target="header262.xml"/><Relationship Id="rId574" Type="http://schemas.openxmlformats.org/officeDocument/2006/relationships/header" Target="header283.xml"/><Relationship Id="rId171" Type="http://schemas.openxmlformats.org/officeDocument/2006/relationships/header" Target="header82.xml"/><Relationship Id="rId227" Type="http://schemas.openxmlformats.org/officeDocument/2006/relationships/footer" Target="footer109.xml"/><Relationship Id="rId269" Type="http://schemas.openxmlformats.org/officeDocument/2006/relationships/footer" Target="footer130.xml"/><Relationship Id="rId434" Type="http://schemas.openxmlformats.org/officeDocument/2006/relationships/header" Target="header213.xml"/><Relationship Id="rId476" Type="http://schemas.openxmlformats.org/officeDocument/2006/relationships/header" Target="header234.xml"/><Relationship Id="rId641" Type="http://schemas.openxmlformats.org/officeDocument/2006/relationships/header" Target="header317.xml"/><Relationship Id="rId33" Type="http://schemas.openxmlformats.org/officeDocument/2006/relationships/header" Target="header13.xml"/><Relationship Id="rId129" Type="http://schemas.openxmlformats.org/officeDocument/2006/relationships/header" Target="header61.xml"/><Relationship Id="rId280" Type="http://schemas.openxmlformats.org/officeDocument/2006/relationships/header" Target="header137.xml"/><Relationship Id="rId336" Type="http://schemas.openxmlformats.org/officeDocument/2006/relationships/footer" Target="footer164.xml"/><Relationship Id="rId501" Type="http://schemas.openxmlformats.org/officeDocument/2006/relationships/footer" Target="footer246.xml"/><Relationship Id="rId543" Type="http://schemas.openxmlformats.org/officeDocument/2006/relationships/footer" Target="footer267.xml"/><Relationship Id="rId75" Type="http://schemas.openxmlformats.org/officeDocument/2006/relationships/header" Target="header34.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footer" Target="footer184.xml"/><Relationship Id="rId403" Type="http://schemas.openxmlformats.org/officeDocument/2006/relationships/footer" Target="footer197.xml"/><Relationship Id="rId585" Type="http://schemas.openxmlformats.org/officeDocument/2006/relationships/footer" Target="footer288.xml"/><Relationship Id="rId6" Type="http://schemas.openxmlformats.org/officeDocument/2006/relationships/footnotes" Target="footnotes.xml"/><Relationship Id="rId238" Type="http://schemas.openxmlformats.org/officeDocument/2006/relationships/header" Target="header116.xml"/><Relationship Id="rId445" Type="http://schemas.openxmlformats.org/officeDocument/2006/relationships/footer" Target="footer218.xml"/><Relationship Id="rId487" Type="http://schemas.openxmlformats.org/officeDocument/2006/relationships/footer" Target="footer239.xml"/><Relationship Id="rId610" Type="http://schemas.openxmlformats.org/officeDocument/2006/relationships/header" Target="header301.xml"/><Relationship Id="rId652" Type="http://schemas.openxmlformats.org/officeDocument/2006/relationships/header" Target="header322.xml"/><Relationship Id="rId291" Type="http://schemas.openxmlformats.org/officeDocument/2006/relationships/header" Target="header142.xml"/><Relationship Id="rId305" Type="http://schemas.openxmlformats.org/officeDocument/2006/relationships/footer" Target="footer148.xml"/><Relationship Id="rId347" Type="http://schemas.openxmlformats.org/officeDocument/2006/relationships/footer" Target="footer169.xml"/><Relationship Id="rId512" Type="http://schemas.openxmlformats.org/officeDocument/2006/relationships/header" Target="header252.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2.xml"/><Relationship Id="rId389" Type="http://schemas.openxmlformats.org/officeDocument/2006/relationships/header" Target="header191.xml"/><Relationship Id="rId554" Type="http://schemas.openxmlformats.org/officeDocument/2006/relationships/header" Target="header273.xml"/><Relationship Id="rId596" Type="http://schemas.openxmlformats.org/officeDocument/2006/relationships/header" Target="header294.xml"/><Relationship Id="rId193" Type="http://schemas.openxmlformats.org/officeDocument/2006/relationships/header" Target="header93.xml"/><Relationship Id="rId207" Type="http://schemas.openxmlformats.org/officeDocument/2006/relationships/header" Target="header100.xml"/><Relationship Id="rId249" Type="http://schemas.openxmlformats.org/officeDocument/2006/relationships/header" Target="header121.xml"/><Relationship Id="rId414" Type="http://schemas.openxmlformats.org/officeDocument/2006/relationships/footer" Target="footer202.xml"/><Relationship Id="rId456" Type="http://schemas.openxmlformats.org/officeDocument/2006/relationships/footer" Target="footer223.xml"/><Relationship Id="rId498" Type="http://schemas.openxmlformats.org/officeDocument/2006/relationships/footer" Target="footer244.xml"/><Relationship Id="rId621" Type="http://schemas.openxmlformats.org/officeDocument/2006/relationships/footer" Target="footer306.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footer" Target="footer126.xml"/><Relationship Id="rId316" Type="http://schemas.openxmlformats.org/officeDocument/2006/relationships/header" Target="header155.xml"/><Relationship Id="rId523" Type="http://schemas.openxmlformats.org/officeDocument/2006/relationships/footer" Target="footer257.xml"/><Relationship Id="rId55" Type="http://schemas.openxmlformats.org/officeDocument/2006/relationships/header" Target="header24.xml"/><Relationship Id="rId97" Type="http://schemas.openxmlformats.org/officeDocument/2006/relationships/header" Target="header45.xml"/><Relationship Id="rId120" Type="http://schemas.openxmlformats.org/officeDocument/2006/relationships/footer" Target="footer56.xml"/><Relationship Id="rId358" Type="http://schemas.openxmlformats.org/officeDocument/2006/relationships/header" Target="header176.xml"/><Relationship Id="rId565" Type="http://schemas.openxmlformats.org/officeDocument/2006/relationships/footer" Target="footer278.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header" Target="header209.xml"/><Relationship Id="rId467" Type="http://schemas.openxmlformats.org/officeDocument/2006/relationships/header" Target="header230.xml"/><Relationship Id="rId632" Type="http://schemas.openxmlformats.org/officeDocument/2006/relationships/header" Target="header312.xml"/><Relationship Id="rId271" Type="http://schemas.openxmlformats.org/officeDocument/2006/relationships/header" Target="header132.xml"/><Relationship Id="rId24" Type="http://schemas.openxmlformats.org/officeDocument/2006/relationships/footer" Target="footer8.xml"/><Relationship Id="rId66" Type="http://schemas.openxmlformats.org/officeDocument/2006/relationships/footer" Target="footer29.xml"/><Relationship Id="rId131" Type="http://schemas.openxmlformats.org/officeDocument/2006/relationships/footer" Target="footer61.xml"/><Relationship Id="rId327" Type="http://schemas.openxmlformats.org/officeDocument/2006/relationships/header" Target="header160.xml"/><Relationship Id="rId369" Type="http://schemas.openxmlformats.org/officeDocument/2006/relationships/hyperlink" Target="https://euc-word-edit.officeapps.live.com/we/wordeditorframe.aspx?ui=en%2DUS&amp;rs=en%2DIE&amp;wopisrc=https%3A%2F%2Feceuropaeu.sharepoint.com%2Fteams%2FGRP-SGRECOVERCommonCountryTeam%2F_vti_bin%2Fwopi.ashx%2Ffiles%2F93809a66540847d1a862c3176ceab456&amp;wdenableroaming=1&amp;mscc=1&amp;hid=9E5F9AA0-90A5-6000-3203-1D22B9D36D4F&amp;wdorigin=ItemsView&amp;wdhostclicktime=1677516935686&amp;jsapi=1&amp;jsapiver=v1&amp;newsession=1&amp;corrid=cd9edc1c-75ea-40df-b422-7d133c4261a2&amp;usid=cd9edc1c-75ea-40df-b422-7d133c4261a2&amp;sftc=1&amp;cac=1&amp;mtf=1&amp;sfp=1&amp;instantedit=1&amp;wopicomplete=1&amp;wdredirectionreason=Unified_SingleFlush&amp;rct=Normal&amp;ctp=LeastProtected" TargetMode="External"/><Relationship Id="rId534" Type="http://schemas.openxmlformats.org/officeDocument/2006/relationships/footer" Target="footer262.xml"/><Relationship Id="rId576" Type="http://schemas.openxmlformats.org/officeDocument/2006/relationships/footer" Target="footer283.xml"/><Relationship Id="rId173" Type="http://schemas.openxmlformats.org/officeDocument/2006/relationships/footer" Target="footer82.xml"/><Relationship Id="rId229" Type="http://schemas.openxmlformats.org/officeDocument/2006/relationships/header" Target="header111.xml"/><Relationship Id="rId380" Type="http://schemas.openxmlformats.org/officeDocument/2006/relationships/header" Target="header186.xml"/><Relationship Id="rId436" Type="http://schemas.openxmlformats.org/officeDocument/2006/relationships/header" Target="header214.xml"/><Relationship Id="rId601" Type="http://schemas.openxmlformats.org/officeDocument/2006/relationships/footer" Target="footer296.xml"/><Relationship Id="rId643" Type="http://schemas.openxmlformats.org/officeDocument/2006/relationships/footer" Target="footer317.xml"/><Relationship Id="rId240" Type="http://schemas.openxmlformats.org/officeDocument/2006/relationships/footer" Target="footer116.xml"/><Relationship Id="rId478" Type="http://schemas.openxmlformats.org/officeDocument/2006/relationships/header" Target="header235.xml"/><Relationship Id="rId35" Type="http://schemas.openxmlformats.org/officeDocument/2006/relationships/footer" Target="footer13.xml"/><Relationship Id="rId77" Type="http://schemas.openxmlformats.org/officeDocument/2006/relationships/footer" Target="footer34.xml"/><Relationship Id="rId100" Type="http://schemas.openxmlformats.org/officeDocument/2006/relationships/header" Target="header47.xml"/><Relationship Id="rId282" Type="http://schemas.openxmlformats.org/officeDocument/2006/relationships/footer" Target="footer137.xml"/><Relationship Id="rId338" Type="http://schemas.openxmlformats.org/officeDocument/2006/relationships/footer" Target="footer165.xml"/><Relationship Id="rId503" Type="http://schemas.openxmlformats.org/officeDocument/2006/relationships/header" Target="header248.xml"/><Relationship Id="rId545" Type="http://schemas.openxmlformats.org/officeDocument/2006/relationships/header" Target="header269.xml"/><Relationship Id="rId587" Type="http://schemas.openxmlformats.org/officeDocument/2006/relationships/header" Target="header290.xml"/><Relationship Id="rId8" Type="http://schemas.openxmlformats.org/officeDocument/2006/relationships/image" Target="media/image1.emf"/><Relationship Id="rId142" Type="http://schemas.openxmlformats.org/officeDocument/2006/relationships/header" Target="header68.xml"/><Relationship Id="rId184" Type="http://schemas.openxmlformats.org/officeDocument/2006/relationships/header" Target="header89.xml"/><Relationship Id="rId391" Type="http://schemas.openxmlformats.org/officeDocument/2006/relationships/footer" Target="footer191.xml"/><Relationship Id="rId405" Type="http://schemas.openxmlformats.org/officeDocument/2006/relationships/footer" Target="footer198.xml"/><Relationship Id="rId447" Type="http://schemas.openxmlformats.org/officeDocument/2006/relationships/footer" Target="footer219.xml"/><Relationship Id="rId612" Type="http://schemas.openxmlformats.org/officeDocument/2006/relationships/footer" Target="footer301.xml"/><Relationship Id="rId251" Type="http://schemas.openxmlformats.org/officeDocument/2006/relationships/footer" Target="footer121.xml"/><Relationship Id="rId489" Type="http://schemas.openxmlformats.org/officeDocument/2006/relationships/footer" Target="footer240.xml"/><Relationship Id="rId654" Type="http://schemas.openxmlformats.org/officeDocument/2006/relationships/footer" Target="footer322.xml"/><Relationship Id="rId46" Type="http://schemas.openxmlformats.org/officeDocument/2006/relationships/header" Target="header20.xml"/><Relationship Id="rId293" Type="http://schemas.openxmlformats.org/officeDocument/2006/relationships/footer" Target="footer142.xml"/><Relationship Id="rId307" Type="http://schemas.openxmlformats.org/officeDocument/2006/relationships/header" Target="header150.xml"/><Relationship Id="rId349" Type="http://schemas.openxmlformats.org/officeDocument/2006/relationships/header" Target="header171.xml"/><Relationship Id="rId514" Type="http://schemas.openxmlformats.org/officeDocument/2006/relationships/header" Target="header253.xml"/><Relationship Id="rId556" Type="http://schemas.openxmlformats.org/officeDocument/2006/relationships/header" Target="header274.xml"/><Relationship Id="rId88" Type="http://schemas.openxmlformats.org/officeDocument/2006/relationships/header" Target="header41.xml"/><Relationship Id="rId111" Type="http://schemas.openxmlformats.org/officeDocument/2006/relationships/header" Target="header52.xml"/><Relationship Id="rId153" Type="http://schemas.openxmlformats.org/officeDocument/2006/relationships/header" Target="header73.xml"/><Relationship Id="rId195" Type="http://schemas.openxmlformats.org/officeDocument/2006/relationships/header" Target="header94.xml"/><Relationship Id="rId209" Type="http://schemas.openxmlformats.org/officeDocument/2006/relationships/footer" Target="footer100.xml"/><Relationship Id="rId360" Type="http://schemas.openxmlformats.org/officeDocument/2006/relationships/footer" Target="footer176.xml"/><Relationship Id="rId416" Type="http://schemas.openxmlformats.org/officeDocument/2006/relationships/header" Target="header204.xml"/><Relationship Id="rId598" Type="http://schemas.openxmlformats.org/officeDocument/2006/relationships/header" Target="header295.xml"/><Relationship Id="rId220" Type="http://schemas.openxmlformats.org/officeDocument/2006/relationships/header" Target="header107.xml"/><Relationship Id="rId458" Type="http://schemas.openxmlformats.org/officeDocument/2006/relationships/header" Target="header225.xml"/><Relationship Id="rId623" Type="http://schemas.openxmlformats.org/officeDocument/2006/relationships/header" Target="header308.xml"/><Relationship Id="rId15" Type="http://schemas.openxmlformats.org/officeDocument/2006/relationships/header" Target="header4.xml"/><Relationship Id="rId57" Type="http://schemas.openxmlformats.org/officeDocument/2006/relationships/header" Target="header25.xml"/><Relationship Id="rId262" Type="http://schemas.openxmlformats.org/officeDocument/2006/relationships/header" Target="header128.xml"/><Relationship Id="rId318" Type="http://schemas.openxmlformats.org/officeDocument/2006/relationships/footer" Target="footer155.xml"/><Relationship Id="rId525" Type="http://schemas.openxmlformats.org/officeDocument/2006/relationships/footer" Target="footer258.xml"/><Relationship Id="rId567" Type="http://schemas.openxmlformats.org/officeDocument/2006/relationships/footer" Target="footer279.xml"/><Relationship Id="rId99" Type="http://schemas.openxmlformats.org/officeDocument/2006/relationships/header" Target="header46.xml"/><Relationship Id="rId122" Type="http://schemas.openxmlformats.org/officeDocument/2006/relationships/footer" Target="footer57.xml"/><Relationship Id="rId164" Type="http://schemas.openxmlformats.org/officeDocument/2006/relationships/footer" Target="footer78.xml"/><Relationship Id="rId371" Type="http://schemas.openxmlformats.org/officeDocument/2006/relationships/header" Target="header182.xml"/><Relationship Id="rId427" Type="http://schemas.openxmlformats.org/officeDocument/2006/relationships/footer" Target="footer209.xml"/><Relationship Id="rId469" Type="http://schemas.openxmlformats.org/officeDocument/2006/relationships/footer" Target="footer230.xml"/><Relationship Id="rId634" Type="http://schemas.openxmlformats.org/officeDocument/2006/relationships/header" Target="header313.xml"/><Relationship Id="rId26" Type="http://schemas.openxmlformats.org/officeDocument/2006/relationships/footer" Target="footer9.xml"/><Relationship Id="rId231" Type="http://schemas.openxmlformats.org/officeDocument/2006/relationships/header" Target="header112.xml"/><Relationship Id="rId273" Type="http://schemas.openxmlformats.org/officeDocument/2006/relationships/header" Target="header133.xml"/><Relationship Id="rId329" Type="http://schemas.openxmlformats.org/officeDocument/2006/relationships/footer" Target="footer160.xml"/><Relationship Id="rId480" Type="http://schemas.openxmlformats.org/officeDocument/2006/relationships/footer" Target="footer235.xml"/><Relationship Id="rId536" Type="http://schemas.openxmlformats.org/officeDocument/2006/relationships/header" Target="header264.xml"/><Relationship Id="rId68" Type="http://schemas.openxmlformats.org/officeDocument/2006/relationships/footer" Target="footer30.xml"/><Relationship Id="rId133" Type="http://schemas.openxmlformats.org/officeDocument/2006/relationships/header" Target="header63.xml"/><Relationship Id="rId175" Type="http://schemas.openxmlformats.org/officeDocument/2006/relationships/header" Target="header84.xml"/><Relationship Id="rId340" Type="http://schemas.openxmlformats.org/officeDocument/2006/relationships/header" Target="header167.xml"/><Relationship Id="rId578" Type="http://schemas.openxmlformats.org/officeDocument/2006/relationships/header" Target="header285.xml"/><Relationship Id="rId200" Type="http://schemas.openxmlformats.org/officeDocument/2006/relationships/footer" Target="footer96.xml"/><Relationship Id="rId382" Type="http://schemas.openxmlformats.org/officeDocument/2006/relationships/header" Target="header187.xml"/><Relationship Id="rId438" Type="http://schemas.openxmlformats.org/officeDocument/2006/relationships/footer" Target="footer214.xml"/><Relationship Id="rId603" Type="http://schemas.openxmlformats.org/officeDocument/2006/relationships/footer" Target="footer297.xml"/><Relationship Id="rId645" Type="http://schemas.openxmlformats.org/officeDocument/2006/relationships/footer" Target="footer318.xml"/><Relationship Id="rId242" Type="http://schemas.openxmlformats.org/officeDocument/2006/relationships/footer" Target="footer117.xml"/><Relationship Id="rId284" Type="http://schemas.openxmlformats.org/officeDocument/2006/relationships/footer" Target="footer138.xml"/><Relationship Id="rId491" Type="http://schemas.openxmlformats.org/officeDocument/2006/relationships/header" Target="header242.xml"/><Relationship Id="rId505" Type="http://schemas.openxmlformats.org/officeDocument/2006/relationships/footer" Target="footer248.xml"/><Relationship Id="rId37" Type="http://schemas.openxmlformats.org/officeDocument/2006/relationships/header" Target="header15.xml"/><Relationship Id="rId79" Type="http://schemas.openxmlformats.org/officeDocument/2006/relationships/header" Target="header36.xml"/><Relationship Id="rId102" Type="http://schemas.openxmlformats.org/officeDocument/2006/relationships/footer" Target="footer47.xml"/><Relationship Id="rId144" Type="http://schemas.openxmlformats.org/officeDocument/2006/relationships/footer" Target="footer68.xml"/><Relationship Id="rId547" Type="http://schemas.openxmlformats.org/officeDocument/2006/relationships/footer" Target="footer269.xml"/><Relationship Id="rId589" Type="http://schemas.openxmlformats.org/officeDocument/2006/relationships/footer" Target="footer290.xml"/><Relationship Id="rId90" Type="http://schemas.openxmlformats.org/officeDocument/2006/relationships/footer" Target="footer41.xml"/><Relationship Id="rId186" Type="http://schemas.openxmlformats.org/officeDocument/2006/relationships/footer" Target="footer89.xml"/><Relationship Id="rId351" Type="http://schemas.openxmlformats.org/officeDocument/2006/relationships/header" Target="header172.xml"/><Relationship Id="rId393" Type="http://schemas.openxmlformats.org/officeDocument/2006/relationships/footer" Target="footer192.xml"/><Relationship Id="rId407" Type="http://schemas.openxmlformats.org/officeDocument/2006/relationships/header" Target="header200.xml"/><Relationship Id="rId449" Type="http://schemas.openxmlformats.org/officeDocument/2006/relationships/header" Target="header221.xml"/><Relationship Id="rId614" Type="http://schemas.openxmlformats.org/officeDocument/2006/relationships/header" Target="header303.xml"/><Relationship Id="rId656" Type="http://schemas.openxmlformats.org/officeDocument/2006/relationships/header" Target="header324.xml"/><Relationship Id="rId211" Type="http://schemas.openxmlformats.org/officeDocument/2006/relationships/header" Target="header102.xml"/><Relationship Id="rId253" Type="http://schemas.openxmlformats.org/officeDocument/2006/relationships/header" Target="header123.xml"/><Relationship Id="rId295" Type="http://schemas.openxmlformats.org/officeDocument/2006/relationships/header" Target="header144.xml"/><Relationship Id="rId309" Type="http://schemas.openxmlformats.org/officeDocument/2006/relationships/header" Target="header151.xml"/><Relationship Id="rId460" Type="http://schemas.openxmlformats.org/officeDocument/2006/relationships/header" Target="header226.xml"/><Relationship Id="rId516" Type="http://schemas.openxmlformats.org/officeDocument/2006/relationships/footer" Target="footer253.xml"/><Relationship Id="rId48" Type="http://schemas.openxmlformats.org/officeDocument/2006/relationships/footer" Target="footer20.xml"/><Relationship Id="rId113" Type="http://schemas.openxmlformats.org/officeDocument/2006/relationships/footer" Target="footer52.xml"/><Relationship Id="rId320" Type="http://schemas.openxmlformats.org/officeDocument/2006/relationships/footer" Target="footer156.xml"/><Relationship Id="rId558" Type="http://schemas.openxmlformats.org/officeDocument/2006/relationships/footer" Target="footer274.xml"/><Relationship Id="rId155" Type="http://schemas.openxmlformats.org/officeDocument/2006/relationships/footer" Target="footer73.xml"/><Relationship Id="rId197" Type="http://schemas.openxmlformats.org/officeDocument/2006/relationships/footer" Target="footer94.xml"/><Relationship Id="rId362" Type="http://schemas.openxmlformats.org/officeDocument/2006/relationships/footer" Target="footer177.xml"/><Relationship Id="rId418" Type="http://schemas.openxmlformats.org/officeDocument/2006/relationships/header" Target="header205.xml"/><Relationship Id="rId625" Type="http://schemas.openxmlformats.org/officeDocument/2006/relationships/footer" Target="footer308.xml"/><Relationship Id="rId222" Type="http://schemas.openxmlformats.org/officeDocument/2006/relationships/footer" Target="footer107.xml"/><Relationship Id="rId264" Type="http://schemas.openxmlformats.org/officeDocument/2006/relationships/footer" Target="footer128.xml"/><Relationship Id="rId471" Type="http://schemas.openxmlformats.org/officeDocument/2006/relationships/footer" Target="footer231.xml"/><Relationship Id="rId17" Type="http://schemas.openxmlformats.org/officeDocument/2006/relationships/footer" Target="footer4.xml"/><Relationship Id="rId59" Type="http://schemas.openxmlformats.org/officeDocument/2006/relationships/footer" Target="footer25.xml"/><Relationship Id="rId124" Type="http://schemas.openxmlformats.org/officeDocument/2006/relationships/header" Target="header59.xml"/><Relationship Id="rId527" Type="http://schemas.openxmlformats.org/officeDocument/2006/relationships/header" Target="header260.xml"/><Relationship Id="rId569" Type="http://schemas.openxmlformats.org/officeDocument/2006/relationships/header" Target="header281.xml"/><Relationship Id="rId70" Type="http://schemas.openxmlformats.org/officeDocument/2006/relationships/header" Target="header32.xml"/><Relationship Id="rId166" Type="http://schemas.openxmlformats.org/officeDocument/2006/relationships/header" Target="header80.xml"/><Relationship Id="rId331" Type="http://schemas.openxmlformats.org/officeDocument/2006/relationships/header" Target="header162.xml"/><Relationship Id="rId373" Type="http://schemas.openxmlformats.org/officeDocument/2006/relationships/footer" Target="footer182.xml"/><Relationship Id="rId429" Type="http://schemas.openxmlformats.org/officeDocument/2006/relationships/footer" Target="footer210.xml"/><Relationship Id="rId580" Type="http://schemas.openxmlformats.org/officeDocument/2006/relationships/header" Target="header286.xml"/><Relationship Id="rId636" Type="http://schemas.openxmlformats.org/officeDocument/2006/relationships/footer" Target="footer313.xml"/><Relationship Id="rId1" Type="http://schemas.openxmlformats.org/officeDocument/2006/relationships/customXml" Target="../customXml/item1.xml"/><Relationship Id="rId233" Type="http://schemas.openxmlformats.org/officeDocument/2006/relationships/footer" Target="footer112.xml"/><Relationship Id="rId440" Type="http://schemas.openxmlformats.org/officeDocument/2006/relationships/header" Target="header216.xml"/><Relationship Id="rId28" Type="http://schemas.openxmlformats.org/officeDocument/2006/relationships/header" Target="header11.xml"/><Relationship Id="rId275" Type="http://schemas.openxmlformats.org/officeDocument/2006/relationships/footer" Target="footer133.xml"/><Relationship Id="rId300" Type="http://schemas.openxmlformats.org/officeDocument/2006/relationships/footer" Target="footer146.xml"/><Relationship Id="rId482" Type="http://schemas.openxmlformats.org/officeDocument/2006/relationships/header" Target="header237.xml"/><Relationship Id="rId538" Type="http://schemas.openxmlformats.org/officeDocument/2006/relationships/header" Target="header265.xml"/></Relationships>
</file>

<file path=word/_rels/footnotes.xml.rels><?xml version="1.0" encoding="UTF-8" standalone="yes"?>
<Relationships xmlns="http://schemas.openxmlformats.org/package/2006/relationships"><Relationship Id="rId2" Type="http://schemas.openxmlformats.org/officeDocument/2006/relationships/hyperlink" Target="https://www.congreso.es/public_oficiales/L14/CONG/BOCG/D/BOCG-14-D-175.PDF" TargetMode="External"/><Relationship Id="rId1" Type="http://schemas.openxmlformats.org/officeDocument/2006/relationships/hyperlink" Target="https://digital-strategy.ec.europa.eu/en/activities/digital-program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B21D1D-AB9C-4CA7-A095-D0710E1C6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170130</Words>
  <Characters>969746</Characters>
  <Application>Microsoft Office Word</Application>
  <DocSecurity>0</DocSecurity>
  <Lines>8081</Lines>
  <Paragraphs>2275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2024-04-25T12:04:00Z</dcterms:created>
  <dcterms:modified xsi:type="dcterms:W3CDTF">2024-04-25T14:31:00Z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First annex">
    <vt:lpwstr>1</vt:lpwstr>
  </property>
  <property fmtid="{D5CDD505-2E9C-101B-9397-08002B2CF9AE}" pid="4" name="Last annex">
    <vt:lpwstr>1</vt:lpwstr>
  </property>
  <property fmtid="{D5CDD505-2E9C-101B-9397-08002B2CF9AE}" pid="5" name="Unique annex">
    <vt:lpwstr>1</vt:lpwstr>
  </property>
  <property fmtid="{D5CDD505-2E9C-101B-9397-08002B2CF9AE}" pid="6" name="Part">
    <vt:lpwstr>1</vt:lpwstr>
  </property>
  <property fmtid="{D5CDD505-2E9C-101B-9397-08002B2CF9AE}" pid="7" name="Total parts">
    <vt:lpwstr>1</vt:lpwstr>
  </property>
  <property fmtid="{D5CDD505-2E9C-101B-9397-08002B2CF9AE}" pid="8" name="DocStatus">
    <vt:lpwstr>Green</vt:lpwstr>
  </property>
  <property fmtid="{D5CDD505-2E9C-101B-9397-08002B2CF9AE}" pid="9" name="CPTemplateID">
    <vt:lpwstr>CP-036</vt:lpwstr>
  </property>
  <property fmtid="{D5CDD505-2E9C-101B-9397-08002B2CF9AE}" pid="10" name="Last edited using">
    <vt:lpwstr>LW 9.0, Build 20230317</vt:lpwstr>
  </property>
  <property fmtid="{D5CDD505-2E9C-101B-9397-08002B2CF9AE}" pid="11" name="MSIP_Label_6bd9ddd1-4d20-43f6-abfa-fc3c07406f94_Enabled">
    <vt:lpwstr>true</vt:lpwstr>
  </property>
  <property fmtid="{D5CDD505-2E9C-101B-9397-08002B2CF9AE}" pid="12" name="MSIP_Label_6bd9ddd1-4d20-43f6-abfa-fc3c07406f94_SetDate">
    <vt:lpwstr>2024-04-25T12:05:51Z</vt:lpwstr>
  </property>
  <property fmtid="{D5CDD505-2E9C-101B-9397-08002B2CF9AE}" pid="13" name="MSIP_Label_6bd9ddd1-4d20-43f6-abfa-fc3c07406f94_Method">
    <vt:lpwstr>Standard</vt:lpwstr>
  </property>
  <property fmtid="{D5CDD505-2E9C-101B-9397-08002B2CF9AE}" pid="14" name="MSIP_Label_6bd9ddd1-4d20-43f6-abfa-fc3c07406f94_Name">
    <vt:lpwstr>Commission Use</vt:lpwstr>
  </property>
  <property fmtid="{D5CDD505-2E9C-101B-9397-08002B2CF9AE}" pid="15" name="MSIP_Label_6bd9ddd1-4d20-43f6-abfa-fc3c07406f94_SiteId">
    <vt:lpwstr>b24c8b06-522c-46fe-9080-70926f8dddb1</vt:lpwstr>
  </property>
  <property fmtid="{D5CDD505-2E9C-101B-9397-08002B2CF9AE}" pid="16" name="MSIP_Label_6bd9ddd1-4d20-43f6-abfa-fc3c07406f94_ActionId">
    <vt:lpwstr>8e75e73b-2da3-479e-b73c-6843b7f718c7</vt:lpwstr>
  </property>
  <property fmtid="{D5CDD505-2E9C-101B-9397-08002B2CF9AE}" pid="17" name="MSIP_Label_6bd9ddd1-4d20-43f6-abfa-fc3c07406f94_ContentBits">
    <vt:lpwstr>0</vt:lpwstr>
  </property>
</Properties>
</file>