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43A" w:rsidRPr="00EC0B54" w:rsidRDefault="003F20DB" w:rsidP="003F20DB">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6AD87A4E-E21A-4C8F-9CC6-B401AEA1CB97" style="width:455.25pt;height:438.75pt">
            <v:imagedata r:id="rId8" o:title=""/>
          </v:shape>
        </w:pict>
      </w:r>
    </w:p>
    <w:p w:rsidR="000B170E" w:rsidRPr="00EC0B54" w:rsidRDefault="000B170E" w:rsidP="000B170E">
      <w:pPr>
        <w:rPr>
          <w:noProof/>
        </w:rPr>
        <w:sectPr w:rsidR="000B170E" w:rsidRPr="00EC0B54" w:rsidSect="003F20DB">
          <w:footerReference w:type="even" r:id="rId9"/>
          <w:footerReference w:type="default" r:id="rId10"/>
          <w:pgSz w:w="11907" w:h="16839"/>
          <w:pgMar w:top="1134" w:right="1417" w:bottom="1134" w:left="1417" w:header="709" w:footer="709" w:gutter="0"/>
          <w:pgNumType w:start="0"/>
          <w:cols w:space="720"/>
          <w:docGrid w:linePitch="360"/>
        </w:sectPr>
      </w:pPr>
    </w:p>
    <w:p w:rsidR="00297DAC" w:rsidRPr="00EC0B54" w:rsidRDefault="00297DAC" w:rsidP="00297DAC">
      <w:pPr>
        <w:pStyle w:val="Exposdesmotifstitre"/>
        <w:rPr>
          <w:noProof/>
        </w:rPr>
      </w:pPr>
      <w:bookmarkStart w:id="0" w:name="_GoBack"/>
      <w:bookmarkEnd w:id="0"/>
      <w:r w:rsidRPr="00EC0B54">
        <w:rPr>
          <w:noProof/>
        </w:rPr>
        <w:lastRenderedPageBreak/>
        <w:t>BEGRÜNDUNG</w:t>
      </w:r>
    </w:p>
    <w:p w:rsidR="00E7443A" w:rsidRPr="00EC0B54" w:rsidRDefault="005E18BE">
      <w:pPr>
        <w:pStyle w:val="ManualHeading1"/>
        <w:rPr>
          <w:noProof/>
        </w:rPr>
      </w:pPr>
      <w:r w:rsidRPr="00EC0B54">
        <w:rPr>
          <w:noProof/>
        </w:rPr>
        <w:t>1.</w:t>
      </w:r>
      <w:r w:rsidRPr="00EC0B54">
        <w:rPr>
          <w:noProof/>
        </w:rPr>
        <w:tab/>
        <w:t>Gegenstand des Vorschlags</w:t>
      </w:r>
    </w:p>
    <w:p w:rsidR="00E7443A" w:rsidRPr="00EC0B54" w:rsidRDefault="005E18BE">
      <w:pPr>
        <w:rPr>
          <w:noProof/>
          <w:highlight w:val="yellow"/>
        </w:rPr>
      </w:pPr>
      <w:r w:rsidRPr="00EC0B54">
        <w:rPr>
          <w:noProof/>
        </w:rPr>
        <w:t xml:space="preserve">Dieser Vorschlag betrifft den Beschluss zur Festlegung des Standpunkts, der im Namen der Union in dem mit dem umfassenden Wirtschafts- und Handelsabkommen (CETA) zwischen Kanada einerseits und der Europäischen Union und ihren Mitgliedstaaten andererseits eingesetzten Gemischten CETA-Ausschuss hinsichtlich der geplanten Annahme eines Beschlusses zu vertreten ist, mit dem ergänzende Vorschriften betreffend beschleunigte Verfahren - insbesondere für natürliche Personen sowie kleine und mittlere Unternehmen (KMU) - zur Beilegung von Investitionsstreitigkeiten zwischen Investoren und Staaten festgelegt werden. </w:t>
      </w:r>
    </w:p>
    <w:p w:rsidR="00E7443A" w:rsidRPr="00EC0B54" w:rsidRDefault="005E18BE">
      <w:pPr>
        <w:pStyle w:val="ManualHeading1"/>
        <w:rPr>
          <w:noProof/>
        </w:rPr>
      </w:pPr>
      <w:r w:rsidRPr="00EC0B54">
        <w:rPr>
          <w:noProof/>
        </w:rPr>
        <w:t>2.</w:t>
      </w:r>
      <w:r w:rsidRPr="00EC0B54">
        <w:rPr>
          <w:noProof/>
        </w:rPr>
        <w:tab/>
        <w:t>Kontext des Vorschlags</w:t>
      </w:r>
    </w:p>
    <w:p w:rsidR="00E7443A" w:rsidRPr="00EC0B54" w:rsidRDefault="005E18BE">
      <w:pPr>
        <w:pStyle w:val="ManualHeading2"/>
        <w:rPr>
          <w:noProof/>
        </w:rPr>
      </w:pPr>
      <w:r w:rsidRPr="00EC0B54">
        <w:rPr>
          <w:noProof/>
        </w:rPr>
        <w:t>2.1.</w:t>
      </w:r>
      <w:r w:rsidRPr="00EC0B54">
        <w:rPr>
          <w:noProof/>
        </w:rPr>
        <w:tab/>
        <w:t>Das umfassende Wirtschafts- und Handelsabkommen (CETA) zwischen Kanada einerseits und der Europäischen Union und ihren Mitgliedstaaten andererseits</w:t>
      </w:r>
    </w:p>
    <w:p w:rsidR="00E7443A" w:rsidRPr="00EC0B54" w:rsidRDefault="005E18BE">
      <w:pPr>
        <w:rPr>
          <w:noProof/>
        </w:rPr>
      </w:pPr>
      <w:r w:rsidRPr="00EC0B54">
        <w:rPr>
          <w:noProof/>
        </w:rPr>
        <w:t>Das umfassende Wirtschafts- und Handelsabkommen (CETA) zwischen Kanada einerseits und der Europäischen Union und ihren Mitgliedstaaten andererseits (im Folgenden „Abkommen“) zielt darauf ab, Handel und Investitionen zu liberalisieren und zu erleichtern sowie engere Wirtschaftsbeziehungen zwischen der Europäischen Union und Kanada (im Folgenden „Vertragsparteien“) zu fördern. Das Abkommen wurde am 30. Oktober 2016 unterzeichnet und wird seit dem 21. September 2017 vorläufig angewandt.</w:t>
      </w:r>
    </w:p>
    <w:p w:rsidR="00E7443A" w:rsidRPr="00EC0B54" w:rsidRDefault="005E18BE">
      <w:pPr>
        <w:pStyle w:val="ManualHeading2"/>
        <w:rPr>
          <w:noProof/>
        </w:rPr>
      </w:pPr>
      <w:r w:rsidRPr="00EC0B54">
        <w:rPr>
          <w:noProof/>
        </w:rPr>
        <w:t>2.2.</w:t>
      </w:r>
      <w:r w:rsidRPr="00EC0B54">
        <w:rPr>
          <w:noProof/>
        </w:rPr>
        <w:tab/>
        <w:t xml:space="preserve">Der Gemischte CETA-Ausschuss </w:t>
      </w:r>
    </w:p>
    <w:p w:rsidR="00E7443A" w:rsidRPr="00EC0B54" w:rsidRDefault="005E18BE">
      <w:pPr>
        <w:rPr>
          <w:noProof/>
        </w:rPr>
      </w:pPr>
      <w:r w:rsidRPr="00EC0B54">
        <w:rPr>
          <w:noProof/>
        </w:rPr>
        <w:t>Der Gemischte CETA-Ausschuss wurde nach Artikel 26.1 des Abkommens eingesetzt, in dem vorgesehen ist, dass sich der Ausschuss aus Vertretern der Europäischen Union und Vertretern Kanadas zusammensetzt und dass der Vorsitz gemeinsam vom kanadischen Minister for International Trade und von dem für Handel zuständigen Mitglied der Europäischen Kommission oder ihren jeweiligen Vertretern geführt wird. Der Gemischte CETA-Ausschuss tritt einmal jährlich oder auf Ersuchen einer Vertragspartei zusammen und legt seinen Sitzungskalender und die Tagesordnungen der Sitzungen fest. Der Gemischte CETA-Ausschuss ist für alle Fragen zuständig, welche die Handels- und Investitionstätigkeit zwischen den Vertragsparteien und die Umsetzung und Anwendung dieses Abkommens betreffen. Die Vertragsparteien können den Gemischten CETA-Ausschuss mit allen Fragen der Durchführung und Auslegung dieses Abkommens und allen sonstigen Fragen befassen, welche die Handels- und Investitionstätigkeit zwischen den Vertragsparteien betreffen.</w:t>
      </w:r>
    </w:p>
    <w:p w:rsidR="00E7443A" w:rsidRPr="00EC0B54" w:rsidRDefault="005E18BE">
      <w:pPr>
        <w:rPr>
          <w:rFonts w:eastAsia="Arial Unicode MS"/>
          <w:noProof/>
        </w:rPr>
      </w:pPr>
      <w:r w:rsidRPr="00EC0B54">
        <w:rPr>
          <w:noProof/>
        </w:rPr>
        <w:t>Nach Artikel 26.3 des Abkommens ist der Gemischte CETA-Ausschuss befugt, einvernehmliche Beschlüsse in allen Angelegenheiten zu fassen, in denen das Abkommen dies vorsieht. Die Beschlüsse des Gemischten CETA-Ausschusses sind für die Vertragsparteien – vorbehaltlich der Erfüllung etwaiger interner Anforderungen und des Abschlusses etwaiger interner Verfahren – bindend und von ihnen umzusetzen.</w:t>
      </w:r>
    </w:p>
    <w:p w:rsidR="00E7443A" w:rsidRPr="00EC0B54" w:rsidRDefault="005E18BE">
      <w:pPr>
        <w:rPr>
          <w:noProof/>
        </w:rPr>
      </w:pPr>
      <w:r w:rsidRPr="00EC0B54">
        <w:rPr>
          <w:noProof/>
        </w:rPr>
        <w:t>Gemäß Artikel 10 Absatz 2 der Geschäftsordnung des Gemischten CETA-Ausschusses und der Sonderausschüsse</w:t>
      </w:r>
      <w:r w:rsidRPr="00EC0B54">
        <w:rPr>
          <w:rStyle w:val="FootnoteReference"/>
          <w:noProof/>
        </w:rPr>
        <w:footnoteReference w:id="1"/>
      </w:r>
      <w:r w:rsidRPr="00EC0B54">
        <w:rPr>
          <w:noProof/>
        </w:rPr>
        <w:t xml:space="preserve"> kann der Gemischte CETA-Ausschuss zwischen den Sitzungen im schriftlichen Verfahren Beschlüsse oder Empfehlungen erlassen, sofern die Vertragsparteien des Abkommens dies einvernehmlich entscheiden. Zu diesem Zweck übermitteln die Ko-</w:t>
      </w:r>
      <w:r w:rsidRPr="00EC0B54">
        <w:rPr>
          <w:noProof/>
        </w:rPr>
        <w:lastRenderedPageBreak/>
        <w:t>Vorsitzenden im Einklang mit Artikel 7 den Wortlaut des Vorschlags den Mitgliedern des Gemischten CETA-Ausschusses, die innerhalb einer vorgegebenen Frist ihre etwaigen Vorbehalte oder Änderungswünsche äußern können. Nach Ablauf der Frist werden die angenommenen Vorschläge nach Artikel 7 mitgeteilt und ins Protokoll der nächsten Sitzung aufgenommen.</w:t>
      </w:r>
    </w:p>
    <w:p w:rsidR="00E7443A" w:rsidRPr="00EC0B54" w:rsidRDefault="005E18BE">
      <w:pPr>
        <w:pStyle w:val="ManualHeading2"/>
        <w:rPr>
          <w:noProof/>
        </w:rPr>
      </w:pPr>
      <w:r w:rsidRPr="00EC0B54">
        <w:rPr>
          <w:noProof/>
        </w:rPr>
        <w:t>2.3.</w:t>
      </w:r>
      <w:r w:rsidRPr="00EC0B54">
        <w:rPr>
          <w:noProof/>
        </w:rPr>
        <w:tab/>
        <w:t xml:space="preserve">Vorgesehener Akt des Gemischten CETA-Ausschusses </w:t>
      </w:r>
    </w:p>
    <w:p w:rsidR="00E7443A" w:rsidRPr="00EC0B54" w:rsidRDefault="005E18BE">
      <w:pPr>
        <w:rPr>
          <w:noProof/>
        </w:rPr>
      </w:pPr>
      <w:r w:rsidRPr="00EC0B54">
        <w:rPr>
          <w:noProof/>
        </w:rPr>
        <w:t>Der Gemischte CETA-Ausschuss erlässt nach Artikel 8.39 Absatz 6 des Abkommens einen Beschluss, mit dem ergänzende Vorschriften zur Verringerung der finanziellen Belastung für Kläger, bei denen es sich um natürliche Personen oder um kleine und mittlere Unternehmen handelt, festgelegt werden (im Folgenden „vorgesehener Akt“).</w:t>
      </w:r>
    </w:p>
    <w:p w:rsidR="00E7443A" w:rsidRPr="00EC0B54" w:rsidRDefault="005E18BE">
      <w:pPr>
        <w:rPr>
          <w:noProof/>
        </w:rPr>
      </w:pPr>
      <w:r w:rsidRPr="00EC0B54">
        <w:rPr>
          <w:noProof/>
        </w:rPr>
        <w:t>Der vorgesehene Akt wird für die Vertragsparteien bindend sein. In Artikel 26.3 Absatz 2 des Abkommens heißt es: „Die Beschlüsse des Gemischten CETA-Ausschusses sind für die Vertragsparteien – vorbehaltlich der Erfüllung etwaiger interner Anforderungen und des Abschlusses etwaiger interner Verfahren – bindend und von ihnen umzusetzen.“</w:t>
      </w:r>
    </w:p>
    <w:p w:rsidR="00E7443A" w:rsidRPr="00EC0B54" w:rsidRDefault="005E18BE">
      <w:pPr>
        <w:pStyle w:val="ManualHeading1"/>
        <w:rPr>
          <w:noProof/>
        </w:rPr>
      </w:pPr>
      <w:r w:rsidRPr="00EC0B54">
        <w:rPr>
          <w:noProof/>
        </w:rPr>
        <w:t>3.</w:t>
      </w:r>
      <w:r w:rsidRPr="00EC0B54">
        <w:rPr>
          <w:noProof/>
        </w:rPr>
        <w:tab/>
        <w:t>Im Namen der Union zu vertretender Standpunkt</w:t>
      </w:r>
    </w:p>
    <w:p w:rsidR="00E7443A" w:rsidRPr="00EC0B54" w:rsidRDefault="005E18BE">
      <w:pPr>
        <w:rPr>
          <w:noProof/>
        </w:rPr>
      </w:pPr>
      <w:r w:rsidRPr="00EC0B54">
        <w:rPr>
          <w:noProof/>
        </w:rPr>
        <w:t>Wie in Gliederungspunkt 6 Buchstabe f des Gemeinsamen Auslegungsinstruments zum Abkommen</w:t>
      </w:r>
      <w:r w:rsidRPr="00EC0B54">
        <w:rPr>
          <w:rStyle w:val="FootnoteReference"/>
          <w:noProof/>
        </w:rPr>
        <w:footnoteReference w:id="2"/>
      </w:r>
      <w:r w:rsidRPr="00EC0B54">
        <w:rPr>
          <w:noProof/>
        </w:rPr>
        <w:t xml:space="preserve"> vorgesehen, haben die Europäische Union und ihre Mitgliedstaaten und Kanada vereinbart, weiter an der Durchführung der im Abkommen enthaltenen Bestimmungen über die Beilegung von Investitionsstreitigkeiten (sogenanntes Investitionsgerichtssystem) zu arbeiten.</w:t>
      </w:r>
    </w:p>
    <w:p w:rsidR="00E7443A" w:rsidRPr="00EC0B54" w:rsidRDefault="005E18BE">
      <w:pPr>
        <w:rPr>
          <w:noProof/>
        </w:rPr>
      </w:pPr>
      <w:r w:rsidRPr="00EC0B54">
        <w:rPr>
          <w:noProof/>
        </w:rPr>
        <w:t>In Artikel 8.39 Absatz 6 des Abkommens heißt es: „Der Gemischte CETA-Ausschuss prüft die Einführung ergänzender Vorschriften zur Verringerung der finanziellen Belastung für Kläger, bei denen es sich um natürliche Personen oder um kleine und mittlere Unternehmen handelt. Mit entsprechenden ergänzenden Vorschriften kann insbesondere den finanziellen Ressourcen solcher Kläger und der Höhe des geforderten Schadensersatzes Rechnung getragen werden.“</w:t>
      </w:r>
    </w:p>
    <w:p w:rsidR="001C1611" w:rsidRPr="00EC0B54" w:rsidRDefault="005E18BE">
      <w:pPr>
        <w:rPr>
          <w:noProof/>
        </w:rPr>
      </w:pPr>
      <w:r w:rsidRPr="00EC0B54">
        <w:rPr>
          <w:noProof/>
        </w:rPr>
        <w:t xml:space="preserve">In Gliederungspunkt 6 Buchstabe h des Gemeinsamen Auslegungsinstruments zum Abkommen heißt es: „Kanada und die Europäische Union und ihre Mitgliedstaaten verpflichten sich, die konkrete Anwendung all dieser Investitionsvorschriften laufend zu überwachen, etwaige Defizite gegebenenfalls unverzüglich zu beheben und nach Möglichkeiten zu suchen, um die Anwendung der Vorschriften im Laufe der Zeit kontinuierlich zu verbessern.“ Darüber hinaus sieht die Erklärung Nr. 36 der Kommission und des Rates, die anlässlich der Annahme des Ratsbeschlusses über die Unterzeichnung – im Namen der Union – des CETA in das Ratsprotokoll aufgenommen wurde, Folgendes vor: „Der Zugang zu dieser neuen Gerichtsbarkeit für die schwächsten Parteien, das heißt für KMU und Privatpersonen, wird verbessert und erleichtert. Zu diesem Zweck geschieht Folgendes: Die Annahme ergänzender Vorschriften durch den gemischten Ausschuss gemäß Artikel 8.39.6 des CETA zur Verringerung der finanziellen Belastung für Kläger, bei denen es sich um natürliche Personen oder um kleine und mittlere Unternehmen handelt, wird vorangetrieben, damit diese ergänzenden Vorschriften so rasch wie möglich angenommen werden können. Unabhängig vom Ausgang der Gespräche im gemischten Ausschuss wird die Kommission angemessene Maßnahmen zur öffentlichen (Ko-)finanzierung von Klagen </w:t>
      </w:r>
      <w:r w:rsidRPr="00EC0B54">
        <w:rPr>
          <w:noProof/>
        </w:rPr>
        <w:lastRenderedPageBreak/>
        <w:t>kleiner und mittlerer Unternehmen vor dieser Gerichtsbarkeit sowie die Bereitstellung technischer Hilfe vorschlagen.“</w:t>
      </w:r>
      <w:r w:rsidRPr="00EC0B54">
        <w:rPr>
          <w:rStyle w:val="FootnoteReference"/>
          <w:noProof/>
        </w:rPr>
        <w:footnoteReference w:id="3"/>
      </w:r>
      <w:r w:rsidRPr="00EC0B54">
        <w:rPr>
          <w:noProof/>
        </w:rPr>
        <w:t xml:space="preserve"> </w:t>
      </w:r>
    </w:p>
    <w:p w:rsidR="00E7443A" w:rsidRPr="00EC0B54" w:rsidRDefault="00745599">
      <w:pPr>
        <w:rPr>
          <w:noProof/>
        </w:rPr>
      </w:pPr>
      <w:r w:rsidRPr="00EC0B54">
        <w:rPr>
          <w:noProof/>
        </w:rPr>
        <w:t>Darüber hinaus heißt es im Gutachten 1/17 des Gerichtshofs der Europäischen Union: „Mit dieser Erklärung verpflichten sich die Kommission und der Rat, Art. 8.39 Abs. 6 CETA schnell und adäquat umzusetzen und die Zugänglichkeit der geplanten Gerichte für kleine und mittlere Unternehmen zu gewährleisten, sogar in dem Fall, dass die Bemühungen im Gemischten CETA-Ausschuss scheitern sollten. Im Rahmen des vorliegenden Gutachtenverfahrens genügt diese Verpflichtung für die Feststellung, dass das CETA als ‚geplante Übereinkunft‘ im Sinne von Art. 218 Abs. 11 AEUV mit dem Erfordernis der Zugänglichkeit der geplanten Gerichte vereinbar ist. Den Erklärungen, zu denen die Erklärung Nr. 36 gehört, ist nämlich zur Erläuterung folgender Satz vorangestellt: ‚Die folgenden Erklärungen sind integraler Bestandteil des Kontextes, in dem der Rat den Beschluss über die Unterzeichnung des CETA im Namen der Union annimmt. Sie werden bei dieser Gelegenheit in das Ratsprotokoll aufgenommen.‘ Die Verpflichtung der Union, zu gewährleisten, dass sämtliche Investoren der Union, für die das CETA gilt, tatsächlich Zugang zu den im CETA vorgesehenen Gerichten haben, ist also eine Voraussetzung für die Genehmigung des CETA durch die Union. Nach der Erklärung Nr. 36 gehört diese Verpflichtung nämlich zu den ‚Grundsätzen‘, nach denen die Kommission verfährt, wenn sie ‚[sich] … verpflichtet …, die Überarbeitung des Streitbeilegungsmechanismus … unverzüglich und so fristgerecht fortzusetzen, dass die Mitgliedstaaten sie bei ihren Ratifizierungsverfahren berücksichtigen können‘. In der Erklärung Nr. 36 heißt es in dem Absatz davor, dass der Rat und die Kommission bestätigen, dass die Vorschriften von Kapitel acht Abschnitt F des CETA nicht in Kraft treten werden, bevor alle Mitgliedstaaten das CETA ratifiziert haben. Mithin ist der Abschluss des CETA durch den Rat unter der Annahme geplant, dass die finanzielle Zugänglichkeit des CETA-Gerichts und der CETA-Rechtsbehelfsinstanz für sämtliche Investoren der Union, für die das CETA gilt, bis dahin gewährleistet sein wird.“</w:t>
      </w:r>
      <w:r w:rsidRPr="00EC0B54">
        <w:rPr>
          <w:rStyle w:val="FootnoteReference"/>
          <w:noProof/>
        </w:rPr>
        <w:footnoteReference w:id="4"/>
      </w:r>
    </w:p>
    <w:p w:rsidR="00C37DEC" w:rsidRPr="00EC0B54" w:rsidRDefault="005E18BE">
      <w:pPr>
        <w:rPr>
          <w:noProof/>
        </w:rPr>
      </w:pPr>
      <w:r w:rsidRPr="00EC0B54">
        <w:rPr>
          <w:noProof/>
        </w:rPr>
        <w:t>Mit dem vorgesehenen Akt werden die vorstehend aufgeführten Punkte umgesetzt, indem detaillierte Vorschriften für die Beilegung von Investitionsstreitigkeiten festgelegt werden, nach denen insbesondere KMU und natürliche Personen ein beschleunigtes Verfahren im Rahmen der Investitionsgerichtsbarkeit beantragen können (Artikel 2). Darüber hinaus sieht der Akt detaillierte Bestimmungen über die Zusammensetzung des Gerichts (Artikel 3), die erste Sitzung im beschleunigten Verfahren (Artikel 4), den Verfahrenszeitplan im beschleunigten Verfahren (Artikel 5), die Verbindung von Klagen im Rahmen des Beschlusses (Artikel 6), Mediation (Artikel 7) und die Überprüfung des Beschlusses (Artikel 8) vor. Der vorgesehene Akt wird am Tag des Inkrafttretens von Kapitel acht Abschnitt F des Abkommens in Kraft treten (Artikel 10).</w:t>
      </w:r>
    </w:p>
    <w:p w:rsidR="00E7443A" w:rsidRPr="00EC0B54" w:rsidRDefault="005E18BE">
      <w:pPr>
        <w:spacing w:before="0" w:after="240"/>
        <w:rPr>
          <w:noProof/>
        </w:rPr>
      </w:pPr>
      <w:r w:rsidRPr="00EC0B54">
        <w:rPr>
          <w:noProof/>
        </w:rPr>
        <w:t xml:space="preserve">Der Vorschlag fügt sich in eine Reihe anderer Initiativen zur Umsetzung des CETA-Investitionsgerichtssystems ein. Im Januar 2021 nahmen die Vertragsparteien insbesondere vier Beschlüsse an, die Folgendes betrafen: </w:t>
      </w:r>
    </w:p>
    <w:p w:rsidR="00E7443A" w:rsidRPr="00EC0B54" w:rsidRDefault="005E18BE" w:rsidP="000860D7">
      <w:pPr>
        <w:pStyle w:val="Tiret0"/>
        <w:numPr>
          <w:ilvl w:val="0"/>
          <w:numId w:val="10"/>
        </w:numPr>
        <w:rPr>
          <w:noProof/>
        </w:rPr>
      </w:pPr>
      <w:r w:rsidRPr="00EC0B54">
        <w:rPr>
          <w:noProof/>
        </w:rPr>
        <w:t xml:space="preserve">Vorschriften zur Regelung administrativer und organisatorischer Aspekte der Arbeitsweise der Rechtsbehelfsinstanz gemäß Artikel 8.28 Absatz 7 des Abkommens, </w:t>
      </w:r>
    </w:p>
    <w:p w:rsidR="00E7443A" w:rsidRPr="00EC0B54" w:rsidRDefault="005E18BE">
      <w:pPr>
        <w:pStyle w:val="Tiret0"/>
        <w:rPr>
          <w:noProof/>
        </w:rPr>
      </w:pPr>
      <w:r w:rsidRPr="00EC0B54">
        <w:rPr>
          <w:noProof/>
        </w:rPr>
        <w:t xml:space="preserve">Verhaltenskodex für Mitglieder des Gerichts, Mitglieder der Rechtsbehelfsinstanz und Mediatoren gemäß Artikel 8.44 Absatz 2 des Abkommens, </w:t>
      </w:r>
    </w:p>
    <w:p w:rsidR="00E7443A" w:rsidRPr="00EC0B54" w:rsidRDefault="005E18BE">
      <w:pPr>
        <w:pStyle w:val="Tiret0"/>
        <w:rPr>
          <w:noProof/>
        </w:rPr>
      </w:pPr>
      <w:r w:rsidRPr="00EC0B54">
        <w:rPr>
          <w:noProof/>
        </w:rPr>
        <w:lastRenderedPageBreak/>
        <w:t xml:space="preserve">Mediationsregeln gemäß Artikel 8.44 Absatz 3 Buchstabe c des Abkommens, die von den Streitparteien anzuwenden sind, und </w:t>
      </w:r>
    </w:p>
    <w:p w:rsidR="00E7443A" w:rsidRPr="00EC0B54" w:rsidRDefault="005E18BE">
      <w:pPr>
        <w:pStyle w:val="Tiret0"/>
        <w:rPr>
          <w:noProof/>
        </w:rPr>
      </w:pPr>
      <w:r w:rsidRPr="00EC0B54">
        <w:rPr>
          <w:noProof/>
        </w:rPr>
        <w:t>Regeln für das Verfahren für die Annahme von Auslegungen gemäß Artikel 8.31 Absatz 3 und Artikel 8.44 Absatz 3 Buchstabe a des Abkommens.</w:t>
      </w:r>
    </w:p>
    <w:p w:rsidR="00E7443A" w:rsidRPr="00EC0B54" w:rsidRDefault="005E18BE">
      <w:pPr>
        <w:rPr>
          <w:noProof/>
        </w:rPr>
      </w:pPr>
      <w:r w:rsidRPr="00EC0B54">
        <w:rPr>
          <w:noProof/>
        </w:rPr>
        <w:t>Es ist daher angezeigt, den im Namen der Union im Gemischten CETA-Ausschuss zu vertretenden Standpunkt zu dem vorgesehenen Akt festzulegen, damit die wirksame Durchführung des Abkommens gewährleistet ist.</w:t>
      </w:r>
    </w:p>
    <w:p w:rsidR="00E7443A" w:rsidRPr="00EC0B54" w:rsidRDefault="005E18BE">
      <w:pPr>
        <w:pStyle w:val="ManualHeading1"/>
        <w:rPr>
          <w:noProof/>
        </w:rPr>
      </w:pPr>
      <w:r w:rsidRPr="00EC0B54">
        <w:rPr>
          <w:noProof/>
        </w:rPr>
        <w:t>4.</w:t>
      </w:r>
      <w:r w:rsidRPr="00EC0B54">
        <w:rPr>
          <w:noProof/>
        </w:rPr>
        <w:tab/>
        <w:t>Rechtsgrundlage</w:t>
      </w:r>
    </w:p>
    <w:p w:rsidR="00E7443A" w:rsidRPr="00EC0B54" w:rsidRDefault="005E18BE">
      <w:pPr>
        <w:pStyle w:val="ManualHeading2"/>
        <w:rPr>
          <w:noProof/>
        </w:rPr>
      </w:pPr>
      <w:r w:rsidRPr="00EC0B54">
        <w:rPr>
          <w:noProof/>
        </w:rPr>
        <w:t>4.1.</w:t>
      </w:r>
      <w:r w:rsidRPr="00EC0B54">
        <w:rPr>
          <w:noProof/>
        </w:rPr>
        <w:tab/>
        <w:t>Verfahrensrechtliche Grundlage</w:t>
      </w:r>
    </w:p>
    <w:p w:rsidR="00E7443A" w:rsidRPr="00EC0B54" w:rsidRDefault="005E18BE">
      <w:pPr>
        <w:pStyle w:val="ManualHeading3"/>
        <w:rPr>
          <w:noProof/>
        </w:rPr>
      </w:pPr>
      <w:r w:rsidRPr="00EC0B54">
        <w:rPr>
          <w:noProof/>
        </w:rPr>
        <w:t>4.1.1.</w:t>
      </w:r>
      <w:r w:rsidRPr="00EC0B54">
        <w:rPr>
          <w:noProof/>
        </w:rPr>
        <w:tab/>
        <w:t>Grundsätze</w:t>
      </w:r>
    </w:p>
    <w:p w:rsidR="00E7443A" w:rsidRPr="00EC0B54" w:rsidRDefault="005E18BE">
      <w:pPr>
        <w:rPr>
          <w:noProof/>
        </w:rPr>
      </w:pPr>
      <w:r w:rsidRPr="00EC0B54">
        <w:rPr>
          <w:noProof/>
        </w:rPr>
        <w:t>Nach Artikel 218 Absatz 9 des Vertrags über die Arbeitsweise der Europäischen Union (AEUV) werden die „Standpunkte, die im Namen der Union in einem durch eine Übereinkunft eingesetzten Gremium zu vertreten sind, sofern dieses Gremium rechtswirksame Akte, mit Ausnahme von Rechtsakten zur Ergänzung oder Änderung des institutionellen Rahmens der betreffenden Übereinkunft, zu erlassen hat“, mit Beschlüssen festgelegt.</w:t>
      </w:r>
    </w:p>
    <w:p w:rsidR="00E7443A" w:rsidRPr="00EC0B54" w:rsidRDefault="005E18BE">
      <w:pPr>
        <w:rPr>
          <w:noProof/>
        </w:rPr>
      </w:pPr>
      <w:r w:rsidRPr="00EC0B54">
        <w:rPr>
          <w:noProof/>
        </w:rPr>
        <w:t>Der Begriff „rechtswirksame Akte“ erfasst auch Akte, die kraft völkerrechtlicher Regelungen, denen das jeweilige Gremium unterliegt, Rechtswirkung entfalten. Darunter fallen auch Instrumente, die völkerrechtlich nicht bindend, aber geeignet sind, „den Inhalt der vom Unionsgesetzgeber … erlassenen Regelung maßgeblich zu beeinflussen“</w:t>
      </w:r>
      <w:r w:rsidRPr="00EC0B54">
        <w:rPr>
          <w:rStyle w:val="FootnoteReference"/>
          <w:noProof/>
        </w:rPr>
        <w:footnoteReference w:id="5"/>
      </w:r>
      <w:r w:rsidRPr="00EC0B54">
        <w:rPr>
          <w:noProof/>
        </w:rPr>
        <w:t>.</w:t>
      </w:r>
    </w:p>
    <w:p w:rsidR="00E7443A" w:rsidRPr="00EC0B54" w:rsidRDefault="005E18BE">
      <w:pPr>
        <w:pStyle w:val="ManualHeading3"/>
        <w:rPr>
          <w:noProof/>
        </w:rPr>
      </w:pPr>
      <w:r w:rsidRPr="00EC0B54">
        <w:rPr>
          <w:noProof/>
        </w:rPr>
        <w:t>4.1.2.</w:t>
      </w:r>
      <w:r w:rsidRPr="00EC0B54">
        <w:rPr>
          <w:noProof/>
        </w:rPr>
        <w:tab/>
        <w:t>Anwendung auf den vorliegenden Fall</w:t>
      </w:r>
    </w:p>
    <w:p w:rsidR="00E7443A" w:rsidRPr="00EC0B54" w:rsidRDefault="005E18BE">
      <w:pPr>
        <w:rPr>
          <w:noProof/>
        </w:rPr>
      </w:pPr>
      <w:r w:rsidRPr="00EC0B54">
        <w:rPr>
          <w:noProof/>
        </w:rPr>
        <w:t>Beim Gemischten CETA-Ausschuss handelt es sich um ein Gremium, das durch eine Übereinkunft – nämlich das umfassende Wirtschafts- und Handelsabkommen (CETA) zwischen Kanada einerseits und der Europäischen Union und ihren Mitgliedstaaten andererseits (im Folgenden „Abkommen“) – eingesetzt wurde.</w:t>
      </w:r>
    </w:p>
    <w:p w:rsidR="00E7443A" w:rsidRPr="00EC0B54" w:rsidRDefault="005E18BE">
      <w:pPr>
        <w:rPr>
          <w:noProof/>
        </w:rPr>
      </w:pPr>
      <w:r w:rsidRPr="00EC0B54">
        <w:rPr>
          <w:noProof/>
        </w:rPr>
        <w:t xml:space="preserve">Bei dem Akt, den der Gemischte CETA-Ausschuss annehmen soll, handelt es sich um einen rechtswirksamen Akt. Der vorgesehene Akt wird nach Artikel 26.3 Absatz 2 des Abkommens für die Vertragsparteien völkerrechtlich bindend sein. </w:t>
      </w:r>
    </w:p>
    <w:p w:rsidR="00E7443A" w:rsidRPr="00EC0B54" w:rsidRDefault="005E18BE">
      <w:pPr>
        <w:rPr>
          <w:noProof/>
        </w:rPr>
      </w:pPr>
      <w:r w:rsidRPr="00EC0B54">
        <w:rPr>
          <w:noProof/>
        </w:rPr>
        <w:t>Durch den vorgesehenen Akt wird der institutionelle Rahmen des Abkommens weder ergänzt noch geändert.</w:t>
      </w:r>
    </w:p>
    <w:p w:rsidR="00E7443A" w:rsidRPr="00EC0B54" w:rsidRDefault="005E18BE">
      <w:pPr>
        <w:rPr>
          <w:noProof/>
        </w:rPr>
      </w:pPr>
      <w:r w:rsidRPr="00EC0B54">
        <w:rPr>
          <w:noProof/>
        </w:rPr>
        <w:t>Die verfahrensrechtliche Grundlage für den vorgesehenen Beschluss ist daher Artikel 218 Absatz 9 AEUV.</w:t>
      </w:r>
    </w:p>
    <w:p w:rsidR="00E7443A" w:rsidRPr="00EC0B54" w:rsidRDefault="005E18BE">
      <w:pPr>
        <w:pStyle w:val="ManualHeading2"/>
        <w:rPr>
          <w:noProof/>
        </w:rPr>
      </w:pPr>
      <w:r w:rsidRPr="00EC0B54">
        <w:rPr>
          <w:noProof/>
        </w:rPr>
        <w:t>4.2.</w:t>
      </w:r>
      <w:r w:rsidRPr="00EC0B54">
        <w:rPr>
          <w:noProof/>
        </w:rPr>
        <w:tab/>
        <w:t>Materielle Rechtsgrundlage</w:t>
      </w:r>
    </w:p>
    <w:p w:rsidR="00E7443A" w:rsidRPr="00EC0B54" w:rsidRDefault="005E18BE">
      <w:pPr>
        <w:pStyle w:val="ManualHeading3"/>
        <w:rPr>
          <w:noProof/>
        </w:rPr>
      </w:pPr>
      <w:r w:rsidRPr="00EC0B54">
        <w:rPr>
          <w:noProof/>
        </w:rPr>
        <w:t>4.2.1.</w:t>
      </w:r>
      <w:r w:rsidRPr="00EC0B54">
        <w:rPr>
          <w:noProof/>
        </w:rPr>
        <w:tab/>
        <w:t>Grundsätze</w:t>
      </w:r>
    </w:p>
    <w:p w:rsidR="00E7443A" w:rsidRPr="00EC0B54" w:rsidRDefault="005E18BE">
      <w:pPr>
        <w:rPr>
          <w:noProof/>
        </w:rPr>
      </w:pPr>
      <w:r w:rsidRPr="00EC0B54">
        <w:rPr>
          <w:noProof/>
        </w:rPr>
        <w:t xml:space="preserve">Welche die materielle Rechtsgrundlage für einen Beschluss nach Artikel 218 Absatz 9 AEUV ist, hängt in erster Linie vom Ziel und Inhalt des vorgesehenen Akts ab, zu dem ein im Namen der Union zu vertretender Standpunkt festgelegt wird. Liegt dem vorgesehenen Akt ein doppelter Zweck oder Gegenstand zugrunde und ist einer davon der wesentliche, während der andere von untergeordneter Bedeutung ist, so muss der Beschluss nach Artikel 218 Absatz 9 </w:t>
      </w:r>
      <w:r w:rsidRPr="00EC0B54">
        <w:rPr>
          <w:noProof/>
        </w:rPr>
        <w:lastRenderedPageBreak/>
        <w:t>AEUV auf eine einzige materielle Rechtsgrundlage gestützt werden, nämlich auf diejenige, die der wesentliche oder vorrangige Zweck oder Gegenstand verlangt.</w:t>
      </w:r>
    </w:p>
    <w:p w:rsidR="00E7443A" w:rsidRPr="00EC0B54" w:rsidRDefault="005E18BE">
      <w:pPr>
        <w:pStyle w:val="ManualHeading3"/>
        <w:rPr>
          <w:noProof/>
        </w:rPr>
      </w:pPr>
      <w:r w:rsidRPr="00EC0B54">
        <w:rPr>
          <w:noProof/>
        </w:rPr>
        <w:t>4.2.2.</w:t>
      </w:r>
      <w:r w:rsidRPr="00EC0B54">
        <w:rPr>
          <w:noProof/>
        </w:rPr>
        <w:tab/>
        <w:t>Anwendung auf den vorliegenden Fall</w:t>
      </w:r>
    </w:p>
    <w:p w:rsidR="00E7443A" w:rsidRPr="00EC0B54" w:rsidRDefault="005E18BE">
      <w:pPr>
        <w:rPr>
          <w:noProof/>
        </w:rPr>
      </w:pPr>
      <w:r w:rsidRPr="00EC0B54">
        <w:rPr>
          <w:noProof/>
        </w:rPr>
        <w:t>Hauptziel und -inhalt des vorgesehenen Akts betreffen die gemeinsame Handelspolitik.</w:t>
      </w:r>
    </w:p>
    <w:p w:rsidR="00E7443A" w:rsidRPr="00EC0B54" w:rsidRDefault="005E18BE">
      <w:pPr>
        <w:rPr>
          <w:noProof/>
        </w:rPr>
      </w:pPr>
      <w:r w:rsidRPr="00EC0B54">
        <w:rPr>
          <w:noProof/>
        </w:rPr>
        <w:t xml:space="preserve">Die materiellen Rechtsgrundlagen des vorgeschlagenen Beschlusses sind daher Artikel 207 Absatz 3 sowie Artikel 207 Absatz 4 Unterabsatz 1 AEUV. </w:t>
      </w:r>
    </w:p>
    <w:p w:rsidR="00E7443A" w:rsidRPr="00EC0B54" w:rsidRDefault="005E18BE">
      <w:pPr>
        <w:pStyle w:val="ManualHeading2"/>
        <w:rPr>
          <w:noProof/>
        </w:rPr>
      </w:pPr>
      <w:r w:rsidRPr="00EC0B54">
        <w:rPr>
          <w:noProof/>
        </w:rPr>
        <w:t>4.3.</w:t>
      </w:r>
      <w:r w:rsidRPr="00EC0B54">
        <w:rPr>
          <w:noProof/>
        </w:rPr>
        <w:tab/>
        <w:t>Schlussfolgerung</w:t>
      </w:r>
    </w:p>
    <w:p w:rsidR="00E7443A" w:rsidRPr="00EC0B54" w:rsidRDefault="005E18BE">
      <w:pPr>
        <w:rPr>
          <w:noProof/>
        </w:rPr>
      </w:pPr>
      <w:r w:rsidRPr="00EC0B54">
        <w:rPr>
          <w:noProof/>
        </w:rPr>
        <w:t>Die Rechtsgrundlagen für den vorgeschlagenen Beschluss sollten Artikel 207 Absatz 3 und Artikel 207 Absatz 4 Unterabsatz 1 in Verbindung mit Artikel 218 Absatz 9 AEUV sein.</w:t>
      </w:r>
    </w:p>
    <w:p w:rsidR="00E7443A" w:rsidRPr="00EC0B54" w:rsidRDefault="005E18BE">
      <w:pPr>
        <w:pStyle w:val="ManualHeading1"/>
        <w:rPr>
          <w:noProof/>
        </w:rPr>
      </w:pPr>
      <w:r w:rsidRPr="00EC0B54">
        <w:rPr>
          <w:noProof/>
        </w:rPr>
        <w:t>5.</w:t>
      </w:r>
      <w:r w:rsidRPr="00EC0B54">
        <w:rPr>
          <w:noProof/>
        </w:rPr>
        <w:tab/>
        <w:t>Verbindliche Sprachfassungen und Veröffentlichung des vorgesehenen Akts</w:t>
      </w:r>
    </w:p>
    <w:p w:rsidR="00E7443A" w:rsidRPr="00EC0B54" w:rsidRDefault="005E18BE">
      <w:pPr>
        <w:rPr>
          <w:noProof/>
        </w:rPr>
      </w:pPr>
      <w:r w:rsidRPr="00EC0B54">
        <w:rPr>
          <w:noProof/>
        </w:rPr>
        <w:t>Da der Akt des Gemischten CETA-Ausschusses der Durchführung des Abkommens in Bezug auf die Beilegung von Investitionsstreitigkeiten zwischen Investoren und Staaten dienen wird, ist es angezeigt, ihn in allen Sprachen anzunehmen, in denen eine verbindliche Fassung des Abkommens vorliegt</w:t>
      </w:r>
      <w:r w:rsidRPr="00EC0B54">
        <w:rPr>
          <w:rStyle w:val="FootnoteReference"/>
          <w:noProof/>
        </w:rPr>
        <w:footnoteReference w:id="6"/>
      </w:r>
      <w:r w:rsidRPr="00EC0B54">
        <w:rPr>
          <w:noProof/>
        </w:rPr>
        <w:t xml:space="preserve">, und nach seiner Annahme im </w:t>
      </w:r>
      <w:r w:rsidRPr="00EC0B54">
        <w:rPr>
          <w:i/>
          <w:noProof/>
        </w:rPr>
        <w:t>Amtsblatt der Europäischen Union</w:t>
      </w:r>
      <w:r w:rsidRPr="00EC0B54">
        <w:rPr>
          <w:noProof/>
        </w:rPr>
        <w:t xml:space="preserve"> zu veröffentlichen.</w:t>
      </w:r>
    </w:p>
    <w:p w:rsidR="00E7443A" w:rsidRPr="00EC0B54" w:rsidRDefault="00E7443A">
      <w:pPr>
        <w:rPr>
          <w:noProof/>
        </w:rPr>
        <w:sectPr w:rsidR="00E7443A" w:rsidRPr="00EC0B54" w:rsidSect="003F20DB">
          <w:headerReference w:type="even" r:id="rId11"/>
          <w:footerReference w:type="even" r:id="rId12"/>
          <w:footerReference w:type="default" r:id="rId13"/>
          <w:headerReference w:type="first" r:id="rId14"/>
          <w:footerReference w:type="first" r:id="rId15"/>
          <w:pgSz w:w="11907" w:h="16839"/>
          <w:pgMar w:top="1134" w:right="1417" w:bottom="1134" w:left="1417" w:header="709" w:footer="709" w:gutter="0"/>
          <w:cols w:space="720"/>
          <w:docGrid w:linePitch="360"/>
        </w:sectPr>
      </w:pPr>
    </w:p>
    <w:p w:rsidR="00B62945" w:rsidRDefault="00353960">
      <w:pPr>
        <w:pStyle w:val="Rfrenceinterinstitutionnelle"/>
        <w:rPr>
          <w:noProof/>
        </w:rPr>
      </w:pPr>
      <w:r>
        <w:rPr>
          <w:noProof/>
        </w:rPr>
        <w:lastRenderedPageBreak/>
        <w:t>2024/0097 (NLE)</w:t>
      </w:r>
    </w:p>
    <w:p w:rsidR="00E7443A" w:rsidRPr="00EC0B54" w:rsidRDefault="00EC0B54" w:rsidP="00EC0B54">
      <w:pPr>
        <w:pStyle w:val="Statut"/>
        <w:rPr>
          <w:noProof/>
        </w:rPr>
      </w:pPr>
      <w:r w:rsidRPr="00EC0B54">
        <w:rPr>
          <w:noProof/>
        </w:rPr>
        <w:t>Vorschlag für einen</w:t>
      </w:r>
    </w:p>
    <w:p w:rsidR="00E7443A" w:rsidRPr="00EC0B54" w:rsidRDefault="00EC0B54" w:rsidP="00EC0B54">
      <w:pPr>
        <w:pStyle w:val="Typedudocument"/>
        <w:rPr>
          <w:noProof/>
        </w:rPr>
      </w:pPr>
      <w:r w:rsidRPr="00EC0B54">
        <w:rPr>
          <w:noProof/>
        </w:rPr>
        <w:t>BESCHLUSS DES RATES</w:t>
      </w:r>
    </w:p>
    <w:p w:rsidR="00E7443A" w:rsidRPr="00EC0B54" w:rsidRDefault="00EC0B54" w:rsidP="00EC0B54">
      <w:pPr>
        <w:pStyle w:val="Titreobjet"/>
        <w:rPr>
          <w:noProof/>
        </w:rPr>
      </w:pPr>
      <w:r w:rsidRPr="00EC0B54">
        <w:rPr>
          <w:noProof/>
        </w:rPr>
        <w:t>über den Standpunkt, der im Namen der Europäischen Union in dem mit dem umfassenden Wirtschafts- und Handelsabkommen (CETA) zwischen Kanada einerseits und der Europäischen Union und ihren Mitgliedstaaten andererseits eingesetzten Gemischten CETA-Ausschuss hinsichtlich der Annahme eines Beschlusses zu vertreten ist, mit dem ergänzende Vorschriften betreffend beschleunigte Verfahren – insbesondere für natürliche Personen sowie kleine und mittlere Unternehmen (KMU) – zur Beilegung von Investitionsstreitigkeiten zwischen Investoren und Staaten festgelegt werden</w:t>
      </w:r>
    </w:p>
    <w:p w:rsidR="00E7443A" w:rsidRPr="00EC0B54" w:rsidRDefault="005E18BE" w:rsidP="008B2924">
      <w:pPr>
        <w:pStyle w:val="Institutionquiagit"/>
        <w:rPr>
          <w:noProof/>
        </w:rPr>
      </w:pPr>
      <w:r w:rsidRPr="00EC0B54">
        <w:rPr>
          <w:noProof/>
        </w:rPr>
        <w:t>DER RAT DER EUROPÄISCHEN UNION —</w:t>
      </w:r>
    </w:p>
    <w:p w:rsidR="00E7443A" w:rsidRPr="00EC0B54" w:rsidRDefault="005E18BE">
      <w:pPr>
        <w:rPr>
          <w:noProof/>
        </w:rPr>
      </w:pPr>
      <w:r w:rsidRPr="00EC0B54">
        <w:rPr>
          <w:noProof/>
        </w:rPr>
        <w:t>gestützt auf den Vertrag über die Arbeitsweise der Europäischen Union, insbesondere auf Artikel 207 Absatz 3 und Artikel 207 Absatz 4 Unterabsatz 1 in Verbindung mit Artikel 218 Absatz 9,</w:t>
      </w:r>
    </w:p>
    <w:p w:rsidR="00E7443A" w:rsidRPr="00EC0B54" w:rsidRDefault="005E18BE">
      <w:pPr>
        <w:rPr>
          <w:noProof/>
        </w:rPr>
      </w:pPr>
      <w:r w:rsidRPr="00EC0B54">
        <w:rPr>
          <w:noProof/>
        </w:rPr>
        <w:t>auf Vorschlag der Europäischen Kommission,</w:t>
      </w:r>
    </w:p>
    <w:p w:rsidR="00E7443A" w:rsidRPr="00EC0B54" w:rsidRDefault="005E18BE">
      <w:pPr>
        <w:rPr>
          <w:noProof/>
        </w:rPr>
      </w:pPr>
      <w:r w:rsidRPr="00EC0B54">
        <w:rPr>
          <w:noProof/>
        </w:rPr>
        <w:t>in Erwägung nachstehender Gründe:</w:t>
      </w:r>
    </w:p>
    <w:p w:rsidR="00E7443A" w:rsidRPr="00EC0B54" w:rsidRDefault="005E18BE">
      <w:pPr>
        <w:pStyle w:val="ManualConsidrant"/>
        <w:rPr>
          <w:noProof/>
        </w:rPr>
      </w:pPr>
      <w:r w:rsidRPr="00EC0B54">
        <w:rPr>
          <w:noProof/>
        </w:rPr>
        <w:t>(1)</w:t>
      </w:r>
      <w:r w:rsidRPr="00EC0B54">
        <w:rPr>
          <w:noProof/>
        </w:rPr>
        <w:tab/>
        <w:t>Im Beschluss (EU) 2017/37 des Rates</w:t>
      </w:r>
      <w:r w:rsidRPr="00EC0B54">
        <w:rPr>
          <w:rStyle w:val="FootnoteReference"/>
          <w:noProof/>
        </w:rPr>
        <w:footnoteReference w:id="7"/>
      </w:r>
      <w:r w:rsidRPr="00EC0B54">
        <w:rPr>
          <w:noProof/>
        </w:rPr>
        <w:t xml:space="preserve"> ist die Unterzeichnung – im Namen der Europäischen Union – des umfassenden Wirtschafts- und Handelsabkommens (CETA) zwischen Kanada einerseits und der Europäischen Union und ihren Mitgliedstaaten andererseits (im Folgenden „Abkommen“) vorgesehen. Das Abkommen wurde am 30. Oktober 2016 unterzeichnet.</w:t>
      </w:r>
    </w:p>
    <w:p w:rsidR="00E7443A" w:rsidRPr="00EC0B54" w:rsidRDefault="005E18BE">
      <w:pPr>
        <w:pStyle w:val="ManualConsidrant"/>
        <w:rPr>
          <w:noProof/>
        </w:rPr>
      </w:pPr>
      <w:r w:rsidRPr="00EC0B54">
        <w:rPr>
          <w:noProof/>
        </w:rPr>
        <w:t>(2)</w:t>
      </w:r>
      <w:r w:rsidRPr="00EC0B54">
        <w:rPr>
          <w:noProof/>
        </w:rPr>
        <w:tab/>
        <w:t>Im Beschluss (EU) 2017/38 des Rates</w:t>
      </w:r>
      <w:r w:rsidRPr="00EC0B54">
        <w:rPr>
          <w:rStyle w:val="FootnoteReference"/>
          <w:noProof/>
        </w:rPr>
        <w:footnoteReference w:id="8"/>
      </w:r>
      <w:r w:rsidRPr="00EC0B54">
        <w:rPr>
          <w:noProof/>
        </w:rPr>
        <w:t xml:space="preserve"> ist die vorläufige Anwendung von Teilen des Abkommens, einschließlich der Bestimmungen hinsichtlich der Einsetzung des Gemischten CETA-Ausschusses, vorgesehen. Das Abkommen wird seit dem 21. September 2017 vorläufig angewandt.</w:t>
      </w:r>
    </w:p>
    <w:p w:rsidR="00E7443A" w:rsidRPr="00EC0B54" w:rsidRDefault="005E18BE">
      <w:pPr>
        <w:pStyle w:val="ManualConsidrant"/>
        <w:rPr>
          <w:noProof/>
        </w:rPr>
      </w:pPr>
      <w:r w:rsidRPr="00EC0B54">
        <w:rPr>
          <w:noProof/>
        </w:rPr>
        <w:t>(3)</w:t>
      </w:r>
      <w:r w:rsidRPr="00EC0B54">
        <w:rPr>
          <w:noProof/>
        </w:rPr>
        <w:tab/>
        <w:t>Nach Artikel 26.3 Absatz 1 des Abkommens ist der Gemischte CETA-Ausschuss zur Verwirklichung der Ziele des Abkommens befugt, in allen Angelegenheiten Beschlüsse zu fassen, bei denen dies im Abkommen vorgesehen ist.</w:t>
      </w:r>
    </w:p>
    <w:p w:rsidR="00E7443A" w:rsidRPr="00EC0B54" w:rsidRDefault="005E18BE">
      <w:pPr>
        <w:pStyle w:val="ManualConsidrant"/>
        <w:rPr>
          <w:noProof/>
        </w:rPr>
      </w:pPr>
      <w:r w:rsidRPr="00EC0B54">
        <w:rPr>
          <w:noProof/>
        </w:rPr>
        <w:t>(4)</w:t>
      </w:r>
      <w:r w:rsidRPr="00EC0B54">
        <w:rPr>
          <w:noProof/>
        </w:rPr>
        <w:tab/>
        <w:t>Nach Artikel 26.3 Absatz 2 des Abkommens sind die Beschlüsse des Gemischten CETA-Ausschusses für die Vertragsparteien – vorbehaltlich der Erfüllung etwaiger interner Anforderungen und des Abschlusses etwaiger interner Verfahren – bindend und von ihnen umzusetzen.</w:t>
      </w:r>
    </w:p>
    <w:p w:rsidR="00E7443A" w:rsidRPr="00EC0B54" w:rsidRDefault="005E18BE">
      <w:pPr>
        <w:pStyle w:val="ManualConsidrant"/>
        <w:rPr>
          <w:noProof/>
        </w:rPr>
      </w:pPr>
      <w:r w:rsidRPr="00EC0B54">
        <w:rPr>
          <w:noProof/>
        </w:rPr>
        <w:lastRenderedPageBreak/>
        <w:t>(5)</w:t>
      </w:r>
      <w:r w:rsidRPr="00EC0B54">
        <w:rPr>
          <w:noProof/>
        </w:rPr>
        <w:tab/>
        <w:t>Im Einklang mit Artikel 8.39 Absatz 6 erlässt der Gemischte CETA-Ausschuss einen Beschluss, mit dem ergänzende Vorschriften zur Verringerung der finanziellen Belastung für Kläger, bei denen es sich um natürliche Personen oder um kleine und mittlere Unternehmen handelt, festgelegt werden.</w:t>
      </w:r>
    </w:p>
    <w:p w:rsidR="00E7443A" w:rsidRPr="00EC0B54" w:rsidRDefault="005E18BE">
      <w:pPr>
        <w:pStyle w:val="ManualConsidrant"/>
        <w:rPr>
          <w:noProof/>
        </w:rPr>
      </w:pPr>
      <w:r w:rsidRPr="00EC0B54">
        <w:rPr>
          <w:noProof/>
        </w:rPr>
        <w:t>(6)</w:t>
      </w:r>
      <w:r w:rsidRPr="00EC0B54">
        <w:rPr>
          <w:noProof/>
        </w:rPr>
        <w:tab/>
        <w:t>Daher ist es angezeigt, den im Namen der Union im Gemischten CETA-Ausschuss zu vertretenden Standpunkt auf der Grundlage des beigefügten Entwurfs eines Beschlusses des Gemischten CETA-Ausschusses über ergänzende Vorschriften betreffend beschleunigte Verfahren – insbesondere für natürliche Personen sowie kleine und mittlere Unternehmen – zur Beilegung von Investitionsstreitigkeiten zwischen Investoren und Staaten, festzulegen, damit eine wirksame Durchführung des Abkommens gewährleistet ist —</w:t>
      </w:r>
    </w:p>
    <w:p w:rsidR="00E7443A" w:rsidRPr="00EC0B54" w:rsidRDefault="005E18BE" w:rsidP="008B2924">
      <w:pPr>
        <w:pStyle w:val="Formuledadoption"/>
        <w:rPr>
          <w:noProof/>
        </w:rPr>
      </w:pPr>
      <w:r w:rsidRPr="00EC0B54">
        <w:rPr>
          <w:noProof/>
        </w:rPr>
        <w:t>HAT FOLGENDEN BESCHLUSS ERLASSEN:</w:t>
      </w:r>
    </w:p>
    <w:p w:rsidR="00E7443A" w:rsidRPr="00EC0B54" w:rsidRDefault="005E18BE">
      <w:pPr>
        <w:pStyle w:val="Titrearticle"/>
        <w:rPr>
          <w:noProof/>
        </w:rPr>
      </w:pPr>
      <w:r w:rsidRPr="00EC0B54">
        <w:rPr>
          <w:noProof/>
        </w:rPr>
        <w:t>Artikel 1</w:t>
      </w:r>
    </w:p>
    <w:p w:rsidR="00E7443A" w:rsidRPr="00EC0B54" w:rsidRDefault="005E18BE">
      <w:pPr>
        <w:rPr>
          <w:noProof/>
        </w:rPr>
      </w:pPr>
      <w:r w:rsidRPr="00EC0B54">
        <w:rPr>
          <w:noProof/>
        </w:rPr>
        <w:t>Der Standpunkt, der im Namen der Europäischen Union im Gemischten CETA-Ausschuss hinsichtlich der Annahme eines Beschlusses über ergänzende Vorschriften betreffend beschleunigte Verfahren – insbesondere für natürliche Personen sowie kleine und mittlere Unternehmen – zur Beilegung von Investitionsstreitigkeiten zwischen Investoren und Staaten, zu vertreten ist, stützt sich auf den diesem Beschluss des Rates beigefügten Entwurf eines Beschlusses des Gemischten CETA-Ausschusses.</w:t>
      </w:r>
    </w:p>
    <w:p w:rsidR="00E7443A" w:rsidRPr="00EC0B54" w:rsidRDefault="005E18BE">
      <w:pPr>
        <w:pStyle w:val="Titrearticle"/>
        <w:rPr>
          <w:noProof/>
        </w:rPr>
      </w:pPr>
      <w:r w:rsidRPr="00EC0B54">
        <w:rPr>
          <w:noProof/>
        </w:rPr>
        <w:t>Artikel 2</w:t>
      </w:r>
    </w:p>
    <w:p w:rsidR="00E7443A" w:rsidRPr="00EC0B54" w:rsidRDefault="005E18BE">
      <w:pPr>
        <w:pStyle w:val="ManualNumPar1"/>
        <w:rPr>
          <w:noProof/>
        </w:rPr>
      </w:pPr>
      <w:r w:rsidRPr="00EC0B54">
        <w:rPr>
          <w:noProof/>
        </w:rPr>
        <w:t>(1)</w:t>
      </w:r>
      <w:r w:rsidRPr="00EC0B54">
        <w:rPr>
          <w:noProof/>
        </w:rPr>
        <w:tab/>
        <w:t xml:space="preserve">Der Beschluss des Gemischten CETA-Ausschusses wird in allen Sprachen angenommen, in denen eine verbindliche Fassung des Abkommens vorliegt. </w:t>
      </w:r>
    </w:p>
    <w:p w:rsidR="00E7443A" w:rsidRPr="00EC0B54" w:rsidRDefault="005E18BE" w:rsidP="00CF45EC">
      <w:pPr>
        <w:pStyle w:val="ManualNumPar1"/>
        <w:spacing w:after="240"/>
        <w:rPr>
          <w:noProof/>
        </w:rPr>
      </w:pPr>
      <w:r w:rsidRPr="00EC0B54">
        <w:rPr>
          <w:noProof/>
        </w:rPr>
        <w:t>(2)</w:t>
      </w:r>
      <w:r w:rsidRPr="00EC0B54">
        <w:rPr>
          <w:noProof/>
        </w:rPr>
        <w:tab/>
        <w:t xml:space="preserve">Der Beschluss des Gemischten CETA-Ausschusses wird im </w:t>
      </w:r>
      <w:r w:rsidRPr="00EC0B54">
        <w:rPr>
          <w:i/>
          <w:noProof/>
        </w:rPr>
        <w:t>Amtsblatt der Europäischen Union</w:t>
      </w:r>
      <w:r w:rsidRPr="00EC0B54">
        <w:rPr>
          <w:noProof/>
        </w:rPr>
        <w:t xml:space="preserve"> veröffentlicht.</w:t>
      </w:r>
    </w:p>
    <w:p w:rsidR="00E7443A" w:rsidRPr="00EC0B54" w:rsidRDefault="00EC0B54" w:rsidP="002C06E3">
      <w:pPr>
        <w:pStyle w:val="Fait"/>
        <w:rPr>
          <w:noProof/>
        </w:rPr>
      </w:pPr>
      <w:r>
        <w:rPr>
          <w:noProof/>
        </w:rPr>
        <w:t xml:space="preserve">Geschehen zu Brüssel am </w:t>
      </w:r>
      <w:r>
        <w:rPr>
          <w:rStyle w:val="Marker"/>
          <w:noProof/>
        </w:rPr>
        <w:t>[…]</w:t>
      </w:r>
    </w:p>
    <w:p w:rsidR="00E7443A" w:rsidRPr="00EC0B54" w:rsidRDefault="005E18BE" w:rsidP="002C06E3">
      <w:pPr>
        <w:pStyle w:val="Institutionquisigne"/>
        <w:rPr>
          <w:noProof/>
        </w:rPr>
      </w:pPr>
      <w:r w:rsidRPr="00EC0B54">
        <w:rPr>
          <w:noProof/>
        </w:rPr>
        <w:tab/>
        <w:t>Im Namen des Rates</w:t>
      </w:r>
    </w:p>
    <w:p w:rsidR="00B160EA" w:rsidRPr="00EC0B54" w:rsidRDefault="005E18BE" w:rsidP="00CF45EC">
      <w:pPr>
        <w:pStyle w:val="Personnequisigne"/>
        <w:rPr>
          <w:i w:val="0"/>
          <w:noProof/>
        </w:rPr>
      </w:pPr>
      <w:r w:rsidRPr="00EC0B54">
        <w:rPr>
          <w:noProof/>
        </w:rPr>
        <w:tab/>
        <w:t>Der Präsident /// Die Präsidentin</w:t>
      </w:r>
    </w:p>
    <w:sectPr w:rsidR="00B160EA" w:rsidRPr="00EC0B54" w:rsidSect="003F20DB">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7C4" w:rsidRDefault="00AB27C4">
      <w:pPr>
        <w:spacing w:before="0" w:after="0"/>
      </w:pPr>
      <w:r>
        <w:separator/>
      </w:r>
    </w:p>
  </w:endnote>
  <w:endnote w:type="continuationSeparator" w:id="0">
    <w:p w:rsidR="00AB27C4" w:rsidRDefault="00AB27C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0DB" w:rsidRPr="003F20DB" w:rsidRDefault="003F20DB" w:rsidP="003F20DB">
    <w:pPr>
      <w:pStyle w:val="Footer"/>
      <w:rPr>
        <w:rFonts w:ascii="Arial" w:hAnsi="Arial" w:cs="Arial"/>
        <w:b/>
        <w:sz w:val="48"/>
      </w:rPr>
    </w:pPr>
    <w:r w:rsidRPr="003F20DB">
      <w:rPr>
        <w:rFonts w:ascii="Arial" w:hAnsi="Arial" w:cs="Arial"/>
        <w:b/>
        <w:sz w:val="48"/>
      </w:rPr>
      <w:t>DE</w:t>
    </w:r>
    <w:r w:rsidRPr="003F20DB">
      <w:rPr>
        <w:rFonts w:ascii="Arial" w:hAnsi="Arial" w:cs="Arial"/>
        <w:b/>
        <w:sz w:val="48"/>
      </w:rPr>
      <w:tab/>
    </w:r>
    <w:r w:rsidRPr="003F20DB">
      <w:rPr>
        <w:rFonts w:ascii="Arial" w:hAnsi="Arial" w:cs="Arial"/>
        <w:b/>
        <w:sz w:val="48"/>
      </w:rPr>
      <w:tab/>
    </w:r>
    <w:r w:rsidRPr="003F20DB">
      <w:tab/>
    </w:r>
    <w:r w:rsidRPr="003F20DB">
      <w:rPr>
        <w:rFonts w:ascii="Arial" w:hAnsi="Arial" w:cs="Arial"/>
        <w:b/>
        <w:sz w:val="48"/>
      </w:rPr>
      <w:t>DE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0DB" w:rsidRPr="003F20DB" w:rsidRDefault="003F20DB" w:rsidP="003F20DB">
    <w:pPr>
      <w:pStyle w:val="Footer"/>
      <w:rPr>
        <w:rFonts w:ascii="Arial" w:hAnsi="Arial" w:cs="Arial"/>
        <w:b/>
        <w:sz w:val="48"/>
      </w:rPr>
    </w:pPr>
    <w:r w:rsidRPr="003F20DB">
      <w:rPr>
        <w:rFonts w:ascii="Arial" w:hAnsi="Arial" w:cs="Arial"/>
        <w:b/>
        <w:sz w:val="48"/>
      </w:rPr>
      <w:t>DE</w:t>
    </w:r>
    <w:r w:rsidRPr="003F20DB">
      <w:rPr>
        <w:rFonts w:ascii="Arial" w:hAnsi="Arial" w:cs="Arial"/>
        <w:b/>
        <w:sz w:val="48"/>
      </w:rPr>
      <w:tab/>
    </w:r>
    <w:r w:rsidRPr="003F20DB">
      <w:rPr>
        <w:rFonts w:ascii="Arial" w:hAnsi="Arial" w:cs="Arial"/>
        <w:b/>
        <w:sz w:val="48"/>
      </w:rPr>
      <w:tab/>
    </w:r>
    <w:r w:rsidRPr="003F20DB">
      <w:tab/>
    </w:r>
    <w:r w:rsidRPr="003F20DB">
      <w:rPr>
        <w:rFonts w:ascii="Arial" w:hAnsi="Arial" w:cs="Arial"/>
        <w:b/>
        <w:sz w:val="48"/>
      </w:rPr>
      <w:t>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0DB" w:rsidRDefault="003F20D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0DB" w:rsidRPr="003F20DB" w:rsidRDefault="003F20DB" w:rsidP="003F20DB">
    <w:pPr>
      <w:pStyle w:val="Footer"/>
      <w:rPr>
        <w:rFonts w:ascii="Arial" w:hAnsi="Arial" w:cs="Arial"/>
        <w:b/>
        <w:sz w:val="48"/>
      </w:rPr>
    </w:pPr>
    <w:r w:rsidRPr="003F20DB">
      <w:rPr>
        <w:rFonts w:ascii="Arial" w:hAnsi="Arial" w:cs="Arial"/>
        <w:b/>
        <w:sz w:val="48"/>
      </w:rPr>
      <w:t>DE</w:t>
    </w:r>
    <w:r w:rsidRPr="003F20DB">
      <w:rPr>
        <w:rFonts w:ascii="Arial" w:hAnsi="Arial" w:cs="Arial"/>
        <w:b/>
        <w:sz w:val="48"/>
      </w:rPr>
      <w:tab/>
    </w:r>
    <w:r>
      <w:fldChar w:fldCharType="begin"/>
    </w:r>
    <w:r>
      <w:instrText xml:space="preserve"> PAGE  \* MERGEFORMAT </w:instrText>
    </w:r>
    <w:r>
      <w:fldChar w:fldCharType="separate"/>
    </w:r>
    <w:r w:rsidR="002C06E3">
      <w:rPr>
        <w:noProof/>
      </w:rPr>
      <w:t>7</w:t>
    </w:r>
    <w:r>
      <w:fldChar w:fldCharType="end"/>
    </w:r>
    <w:r>
      <w:tab/>
    </w:r>
    <w:r w:rsidRPr="003F20DB">
      <w:tab/>
    </w:r>
    <w:r w:rsidRPr="003F20DB">
      <w:rPr>
        <w:rFonts w:ascii="Arial" w:hAnsi="Arial" w:cs="Arial"/>
        <w:b/>
        <w:sz w:val="48"/>
      </w:rPr>
      <w:t>DE</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0DB" w:rsidRDefault="003F20DB" w:rsidP="003F20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7C4" w:rsidRDefault="00AB27C4">
      <w:pPr>
        <w:spacing w:before="0" w:after="0"/>
      </w:pPr>
      <w:r>
        <w:separator/>
      </w:r>
    </w:p>
  </w:footnote>
  <w:footnote w:type="continuationSeparator" w:id="0">
    <w:p w:rsidR="00AB27C4" w:rsidRDefault="00AB27C4">
      <w:pPr>
        <w:spacing w:before="0" w:after="0"/>
      </w:pPr>
      <w:r>
        <w:continuationSeparator/>
      </w:r>
    </w:p>
  </w:footnote>
  <w:footnote w:id="1">
    <w:p w:rsidR="00E7443A" w:rsidRPr="00EC0B54" w:rsidRDefault="005E18BE">
      <w:pPr>
        <w:pStyle w:val="FootnoteText"/>
      </w:pPr>
      <w:bookmarkStart w:id="1" w:name="_Hlk163555335"/>
      <w:r>
        <w:rPr>
          <w:rStyle w:val="FootnoteReference"/>
        </w:rPr>
        <w:footnoteRef/>
      </w:r>
      <w:r w:rsidRPr="00EC0B54">
        <w:tab/>
      </w:r>
      <w:bookmarkStart w:id="2" w:name="_Hlk163480663"/>
      <w:r w:rsidRPr="00EC0B54">
        <w:t>Beschluss 001/2018 des Gemischten CETA-Ausschusses vom 26. September 2018 zur Annahme seiner eigenen Geschäftsordnung und der Geschäftsordnung der Sonderausschüsse.</w:t>
      </w:r>
      <w:bookmarkEnd w:id="2"/>
      <w:bookmarkEnd w:id="1"/>
    </w:p>
  </w:footnote>
  <w:footnote w:id="2">
    <w:p w:rsidR="00E7443A" w:rsidRPr="00EC0B54" w:rsidRDefault="005E18BE">
      <w:pPr>
        <w:pStyle w:val="FootnoteText"/>
      </w:pPr>
      <w:r>
        <w:rPr>
          <w:rStyle w:val="FootnoteReference"/>
        </w:rPr>
        <w:footnoteRef/>
      </w:r>
      <w:r w:rsidRPr="00EC0B54">
        <w:tab/>
        <w:t>Gemeinsames Auslegungsinstrument zum umfassenden Wirtschafts- und Handelsabkommen (CETA) zwischen Kanada und der Europäischen Union und ihren Mitgliedstaaten (ABl. L 11 vom 14.1.2017, S. 4).</w:t>
      </w:r>
    </w:p>
  </w:footnote>
  <w:footnote w:id="3">
    <w:p w:rsidR="00E7443A" w:rsidRPr="00EC0B54" w:rsidRDefault="005E18BE">
      <w:pPr>
        <w:pStyle w:val="FootnoteText"/>
      </w:pPr>
      <w:r>
        <w:rPr>
          <w:rStyle w:val="FootnoteReference"/>
        </w:rPr>
        <w:footnoteRef/>
      </w:r>
      <w:r w:rsidRPr="00EC0B54">
        <w:tab/>
        <w:t xml:space="preserve">Erklärungen für das Ratsprotokoll (ABl. L 11 vom 14.1.2017, S. 20). </w:t>
      </w:r>
    </w:p>
  </w:footnote>
  <w:footnote w:id="4">
    <w:p w:rsidR="009632B8" w:rsidRPr="00EC0B54" w:rsidRDefault="009632B8">
      <w:pPr>
        <w:pStyle w:val="FootnoteText"/>
      </w:pPr>
      <w:r>
        <w:rPr>
          <w:rStyle w:val="FootnoteReference"/>
        </w:rPr>
        <w:footnoteRef/>
      </w:r>
      <w:r w:rsidRPr="00EC0B54">
        <w:tab/>
        <w:t>Gutachten 1/17 des Gerichtshofs der Europäischen Union vom 30. April 2019, ECLI:EU:C:2019:341, Rn. 214 bis 221.</w:t>
      </w:r>
    </w:p>
  </w:footnote>
  <w:footnote w:id="5">
    <w:p w:rsidR="00E7443A" w:rsidRPr="00EC0B54" w:rsidRDefault="005E18BE">
      <w:pPr>
        <w:pStyle w:val="FootnoteText"/>
      </w:pPr>
      <w:r>
        <w:rPr>
          <w:rStyle w:val="FootnoteReference"/>
        </w:rPr>
        <w:footnoteRef/>
      </w:r>
      <w:r w:rsidRPr="00EC0B54">
        <w:tab/>
        <w:t xml:space="preserve">Urteil des Gerichtshofs vom 7. Oktober 2014, Deutschland/Rat, C-399/12, ECLI:EU:C:2014:2258, Rn. 61 bis 64. </w:t>
      </w:r>
    </w:p>
  </w:footnote>
  <w:footnote w:id="6">
    <w:p w:rsidR="00E7443A" w:rsidRPr="00EC0B54" w:rsidRDefault="005E18BE">
      <w:pPr>
        <w:pStyle w:val="FootnoteText"/>
      </w:pPr>
      <w:r>
        <w:rPr>
          <w:rStyle w:val="FootnoteReference"/>
        </w:rPr>
        <w:footnoteRef/>
      </w:r>
      <w:r w:rsidRPr="00EC0B54">
        <w:tab/>
        <w:t>Nach Artikel 30.11 (Verbindlicher Wortlaut) des Abkommens ist das Abkommen in zwei Urschriften in bulgarischer, dänischer, deutscher, englischer, estnischer, finnischer, französischer, griechischer, italienischer, kroatischer, lettischer, litauischer, maltesischer, niederländischer, polnischer, portugiesischer, rumänischer, schwedischer, slowakischer, slowenischer, spanischer, tschechischer und ungarischer Sprache abgefasst, wobei alle Fassungen gleichermaßen verbindlich sind.</w:t>
      </w:r>
    </w:p>
  </w:footnote>
  <w:footnote w:id="7">
    <w:p w:rsidR="00E7443A" w:rsidRPr="00EC0B54" w:rsidRDefault="005E18BE">
      <w:pPr>
        <w:pStyle w:val="FootnoteText"/>
      </w:pPr>
      <w:r>
        <w:rPr>
          <w:rStyle w:val="FootnoteReference"/>
        </w:rPr>
        <w:footnoteRef/>
      </w:r>
      <w:r w:rsidRPr="00EC0B54">
        <w:tab/>
        <w:t>Beschluss (EU) 2017/37 des Rates vom 28. Oktober 2016 über die Unterzeichnung – im Namen der Europäischen Union – des umfassenden Wirtschafts- und Handelsabkommens (CETA) zwischen Kanada einerseits und der Europäischen Union und ihren Mitgliedstaaten andererseits (ABl. L 11 vom 14.1.2017, S. 1).</w:t>
      </w:r>
    </w:p>
  </w:footnote>
  <w:footnote w:id="8">
    <w:p w:rsidR="00E7443A" w:rsidRDefault="005E18BE">
      <w:pPr>
        <w:pStyle w:val="FootnoteText"/>
      </w:pPr>
      <w:r>
        <w:rPr>
          <w:rStyle w:val="FootnoteReference"/>
        </w:rPr>
        <w:footnoteRef/>
      </w:r>
      <w:r w:rsidRPr="00EC0B54">
        <w:tab/>
        <w:t xml:space="preserve">Beschluss (EU) 2017/38 des Rates vom 28. Oktober 2016 über die vorläufige Anwendung des umfassenden Wirtschafts- und Handelsabkommens (CETA) zwischen Kanada einerseits und der Europäischen Union und ihren Mitgliedstaaten andererseits (ABl. </w:t>
      </w:r>
      <w:r>
        <w:t>L 11 vom 14.1.2017, S. 1080).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0DB" w:rsidRDefault="003F20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0DB" w:rsidRDefault="003F20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B45E0918"/>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75AA8260"/>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C57A8222"/>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3A96185C"/>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E86F7A0"/>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12826F02"/>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8C344F8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1F069C4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6"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2"/>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20"/>
    <w:lvlOverride w:ilvl="0">
      <w:startOverride w:val="1"/>
    </w:lvlOverride>
  </w:num>
  <w:num w:numId="11">
    <w:abstractNumId w:val="20"/>
  </w:num>
  <w:num w:numId="12">
    <w:abstractNumId w:val="13"/>
  </w:num>
  <w:num w:numId="13">
    <w:abstractNumId w:val="22"/>
  </w:num>
  <w:num w:numId="14">
    <w:abstractNumId w:val="11"/>
  </w:num>
  <w:num w:numId="15">
    <w:abstractNumId w:val="14"/>
  </w:num>
  <w:num w:numId="16">
    <w:abstractNumId w:val="15"/>
  </w:num>
  <w:num w:numId="17">
    <w:abstractNumId w:val="9"/>
  </w:num>
  <w:num w:numId="18">
    <w:abstractNumId w:val="21"/>
  </w:num>
  <w:num w:numId="19">
    <w:abstractNumId w:val="8"/>
  </w:num>
  <w:num w:numId="20">
    <w:abstractNumId w:val="16"/>
  </w:num>
  <w:num w:numId="21">
    <w:abstractNumId w:val="18"/>
  </w:num>
  <w:num w:numId="22">
    <w:abstractNumId w:val="19"/>
  </w:num>
  <w:num w:numId="23">
    <w:abstractNumId w:val="10"/>
  </w:num>
  <w:num w:numId="24">
    <w:abstractNumId w:val="17"/>
  </w:num>
  <w:num w:numId="25">
    <w:abstractNumId w:val="23"/>
  </w:num>
  <w:num w:numId="26">
    <w:abstractNumId w:val="20"/>
  </w:num>
  <w:num w:numId="27">
    <w:abstractNumId w:val="13"/>
  </w:num>
  <w:num w:numId="28">
    <w:abstractNumId w:val="22"/>
  </w:num>
  <w:num w:numId="29">
    <w:abstractNumId w:val="11"/>
  </w:num>
  <w:num w:numId="30">
    <w:abstractNumId w:val="14"/>
  </w:num>
  <w:num w:numId="31">
    <w:abstractNumId w:val="15"/>
  </w:num>
  <w:num w:numId="32">
    <w:abstractNumId w:val="9"/>
  </w:num>
  <w:num w:numId="33">
    <w:abstractNumId w:val="21"/>
  </w:num>
  <w:num w:numId="34">
    <w:abstractNumId w:val="8"/>
  </w:num>
  <w:num w:numId="35">
    <w:abstractNumId w:val="16"/>
  </w:num>
  <w:num w:numId="36">
    <w:abstractNumId w:val="18"/>
  </w:num>
  <w:num w:numId="37">
    <w:abstractNumId w:val="19"/>
  </w:num>
  <w:num w:numId="38">
    <w:abstractNumId w:val="10"/>
  </w:num>
  <w:num w:numId="39">
    <w:abstractNumId w:val="17"/>
  </w:num>
  <w:num w:numId="40">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4-04-26 09:17:57"/>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6AD87A4E-E21A-4C8F-9CC6-B401AEA1CB97"/>
    <w:docVar w:name="LW_COVERPAGE_TYPE" w:val="1"/>
    <w:docVar w:name="LW_CROSSREFERENCE" w:val="&lt;UNUSED&gt;"/>
    <w:docVar w:name="LW_DocType" w:val="COM"/>
    <w:docVar w:name="LW_EMISSION" w:val="26.4.2024"/>
    <w:docVar w:name="LW_EMISSION_ISODATE" w:val="2024-04-26"/>
    <w:docVar w:name="LW_EMISSION_LOCATION" w:val="BRX"/>
    <w:docVar w:name="LW_EMISSION_PREFIX" w:val="Brüssel, den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DE"/>
    <w:docVar w:name="LW_LEVEL_OF_SENSITIVITY" w:val="Standard treatment"/>
    <w:docVar w:name="LW_NOM.INST" w:val="EUROPÄISCHE KOMMISSION"/>
    <w:docVar w:name="LW_NOM.INST_JOINTDOC" w:val="&lt;EMPTY&gt;"/>
    <w:docVar w:name="LW_PART_NBR" w:val="1"/>
    <w:docVar w:name="LW_PART_NBR_TOTAL" w:val="1"/>
    <w:docVar w:name="LW_REF.II.NEW.CP" w:val="NLE"/>
    <w:docVar w:name="LW_REF.II.NEW.CP_NUMBER" w:val="0097"/>
    <w:docVar w:name="LW_REF.II.NEW.CP_YEAR" w:val="2024"/>
    <w:docVar w:name="LW_REF.INST.NEW" w:val="COM"/>
    <w:docVar w:name="LW_REF.INST.NEW_ADOPTED" w:val="final"/>
    <w:docVar w:name="LW_REF.INST.NEW_TEXT" w:val="(2024) 178"/>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Vorschlag für einen"/>
    <w:docVar w:name="LW_SUPERTITRE" w:val="&lt;UNUSED&gt;"/>
    <w:docVar w:name="LW_TITRE.OBJ.CP" w:val="über den Standpunkt, der im Namen der Europäischen Union in dem mit dem umfassenden Wirtschafts- und Handelsabkommen (CETA) zwischen Kanada einerseits und der Europäischen Union und ihren Mitgliedstaaten andererseits eingesetzten Gemischten CETA-Ausschuss hinsichtlich der Annahme eines Beschlusses zu vertreten ist, mit dem ergänzende Vorschriften betreffend beschleunigte Verfahren \u8211? insbesondere für natürliche Personen sowie kleine und mittlere Unternehmen (KMU) \u8211? zur Beilegung von Investitionsstreitigkeiten zwischen Investoren und Staaten festgelegt werden"/>
    <w:docVar w:name="LW_TYPE.DOC.CP" w:val="BESCHLUSS DES RATES"/>
    <w:docVar w:name="LwApiVersions" w:val="LW4CoDe 1.24.5.0; LW 9.0, Build 20240221"/>
  </w:docVars>
  <w:rsids>
    <w:rsidRoot w:val="00E7443A"/>
    <w:rsid w:val="00025D6D"/>
    <w:rsid w:val="000572A1"/>
    <w:rsid w:val="000756DE"/>
    <w:rsid w:val="000860D7"/>
    <w:rsid w:val="000A2F60"/>
    <w:rsid w:val="000B170E"/>
    <w:rsid w:val="000B2F49"/>
    <w:rsid w:val="000C4CC2"/>
    <w:rsid w:val="000E490F"/>
    <w:rsid w:val="000E5453"/>
    <w:rsid w:val="00102997"/>
    <w:rsid w:val="00110861"/>
    <w:rsid w:val="00114FD9"/>
    <w:rsid w:val="00131155"/>
    <w:rsid w:val="00141244"/>
    <w:rsid w:val="00155A84"/>
    <w:rsid w:val="00167950"/>
    <w:rsid w:val="00175C84"/>
    <w:rsid w:val="001807FD"/>
    <w:rsid w:val="001C07FD"/>
    <w:rsid w:val="001C1611"/>
    <w:rsid w:val="00232E5B"/>
    <w:rsid w:val="00250770"/>
    <w:rsid w:val="002554B9"/>
    <w:rsid w:val="00283A91"/>
    <w:rsid w:val="00297DAC"/>
    <w:rsid w:val="002C06E3"/>
    <w:rsid w:val="002E7C09"/>
    <w:rsid w:val="003262DF"/>
    <w:rsid w:val="00354A43"/>
    <w:rsid w:val="00365C89"/>
    <w:rsid w:val="003830F1"/>
    <w:rsid w:val="003B4D2C"/>
    <w:rsid w:val="003B517C"/>
    <w:rsid w:val="003F20DB"/>
    <w:rsid w:val="003F4A91"/>
    <w:rsid w:val="00430FC1"/>
    <w:rsid w:val="00441DD3"/>
    <w:rsid w:val="00475EF6"/>
    <w:rsid w:val="0058144C"/>
    <w:rsid w:val="005D57B6"/>
    <w:rsid w:val="005E18BE"/>
    <w:rsid w:val="005E7F70"/>
    <w:rsid w:val="00607EA8"/>
    <w:rsid w:val="00623968"/>
    <w:rsid w:val="0063274E"/>
    <w:rsid w:val="00656757"/>
    <w:rsid w:val="006B1DCB"/>
    <w:rsid w:val="006C146F"/>
    <w:rsid w:val="00703CD7"/>
    <w:rsid w:val="0074416E"/>
    <w:rsid w:val="00745599"/>
    <w:rsid w:val="00782AE6"/>
    <w:rsid w:val="007872D4"/>
    <w:rsid w:val="0079107D"/>
    <w:rsid w:val="007B215E"/>
    <w:rsid w:val="008367A6"/>
    <w:rsid w:val="008461B5"/>
    <w:rsid w:val="0088390D"/>
    <w:rsid w:val="008B2924"/>
    <w:rsid w:val="008B62CD"/>
    <w:rsid w:val="008B651E"/>
    <w:rsid w:val="009435C1"/>
    <w:rsid w:val="009632B8"/>
    <w:rsid w:val="009909AA"/>
    <w:rsid w:val="00A21384"/>
    <w:rsid w:val="00A42AD2"/>
    <w:rsid w:val="00A50E0C"/>
    <w:rsid w:val="00A61959"/>
    <w:rsid w:val="00A74A85"/>
    <w:rsid w:val="00AB27C4"/>
    <w:rsid w:val="00AB49D8"/>
    <w:rsid w:val="00AB7672"/>
    <w:rsid w:val="00AF07BD"/>
    <w:rsid w:val="00B160EA"/>
    <w:rsid w:val="00B62945"/>
    <w:rsid w:val="00BC4653"/>
    <w:rsid w:val="00BD3DF4"/>
    <w:rsid w:val="00C13CEB"/>
    <w:rsid w:val="00C1633F"/>
    <w:rsid w:val="00C16C3E"/>
    <w:rsid w:val="00C346C6"/>
    <w:rsid w:val="00C37DEC"/>
    <w:rsid w:val="00C944C0"/>
    <w:rsid w:val="00CC268B"/>
    <w:rsid w:val="00CF45EC"/>
    <w:rsid w:val="00D03427"/>
    <w:rsid w:val="00D25D12"/>
    <w:rsid w:val="00DB48E2"/>
    <w:rsid w:val="00DD6D84"/>
    <w:rsid w:val="00DF49ED"/>
    <w:rsid w:val="00E34084"/>
    <w:rsid w:val="00E7443A"/>
    <w:rsid w:val="00EA3287"/>
    <w:rsid w:val="00EC0B54"/>
    <w:rsid w:val="00F5015F"/>
    <w:rsid w:val="00F841FA"/>
    <w:rsid w:val="00FA01AF"/>
    <w:rsid w:val="00FB2E92"/>
    <w:rsid w:val="00FB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5:docId w15:val="{9DD81B01-4CF8-47DF-BAF7-5AA73BB17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3"/>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3"/>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3"/>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de-D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de-DE"/>
    </w:rPr>
  </w:style>
  <w:style w:type="paragraph" w:customStyle="1" w:styleId="LegalNumPar">
    <w:name w:val="LegalNumPar"/>
    <w:basedOn w:val="Normal"/>
    <w:pPr>
      <w:numPr>
        <w:numId w:val="1"/>
      </w:numPr>
      <w:spacing w:line="360" w:lineRule="auto"/>
    </w:pPr>
  </w:style>
  <w:style w:type="paragraph" w:customStyle="1" w:styleId="LegalNumPar2">
    <w:name w:val="LegalNumPar2"/>
    <w:basedOn w:val="Normal"/>
    <w:pPr>
      <w:numPr>
        <w:ilvl w:val="1"/>
        <w:numId w:val="1"/>
      </w:numPr>
      <w:spacing w:line="360" w:lineRule="auto"/>
    </w:pPr>
  </w:style>
  <w:style w:type="paragraph" w:customStyle="1" w:styleId="LegalNumPar3">
    <w:name w:val="LegalNumPar3"/>
    <w:basedOn w:val="Normal"/>
    <w:pPr>
      <w:numPr>
        <w:ilvl w:val="2"/>
        <w:numId w:val="1"/>
      </w:numPr>
      <w:spacing w:line="360" w:lineRule="auto"/>
    </w:pPr>
  </w:style>
  <w:style w:type="paragraph" w:customStyle="1" w:styleId="Normal2">
    <w:name w:val="Normal2"/>
    <w:basedOn w:val="Normal"/>
    <w:pPr>
      <w:spacing w:before="100" w:beforeAutospacing="1" w:after="100" w:afterAutospacing="1"/>
      <w:jc w:val="left"/>
    </w:pPr>
    <w:rPr>
      <w:rFonts w:eastAsia="Times New Roman"/>
      <w:szCs w:val="24"/>
      <w:lang w:eastAsia="en-GB"/>
    </w:rPr>
  </w:style>
  <w:style w:type="character" w:styleId="Hyperlink">
    <w:name w:val="Hyperlink"/>
    <w:basedOn w:val="DefaultParagraphFont"/>
    <w:uiPriority w:val="99"/>
    <w:unhideWhenUsed/>
    <w:rPr>
      <w:color w:val="0000FF" w:themeColor="hyperlink"/>
      <w:u w:val="single"/>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Revision">
    <w:name w:val="Revision"/>
    <w:hidden/>
    <w:uiPriority w:val="99"/>
    <w:semiHidden/>
    <w:rsid w:val="007B215E"/>
    <w:pPr>
      <w:spacing w:after="0" w:line="240" w:lineRule="auto"/>
    </w:pPr>
    <w:rPr>
      <w:rFonts w:ascii="Times New Roman" w:hAnsi="Times New Roman" w:cs="Times New Roman"/>
      <w:sz w:val="24"/>
    </w:rPr>
  </w:style>
  <w:style w:type="character" w:styleId="FollowedHyperlink">
    <w:name w:val="FollowedHyperlink"/>
    <w:basedOn w:val="DefaultParagraphFont"/>
    <w:uiPriority w:val="99"/>
    <w:semiHidden/>
    <w:unhideWhenUsed/>
    <w:rsid w:val="00A42AD2"/>
    <w:rPr>
      <w:color w:val="800080" w:themeColor="followedHyperlink"/>
      <w:u w:val="single"/>
    </w:rPr>
  </w:style>
  <w:style w:type="character" w:customStyle="1" w:styleId="UnresolvedMention">
    <w:name w:val="Unresolved Mention"/>
    <w:basedOn w:val="DefaultParagraphFont"/>
    <w:uiPriority w:val="99"/>
    <w:semiHidden/>
    <w:unhideWhenUsed/>
    <w:rsid w:val="00A50E0C"/>
    <w:rPr>
      <w:color w:val="605E5C"/>
      <w:shd w:val="clear" w:color="auto" w:fill="E1DFDD"/>
    </w:rPr>
  </w:style>
  <w:style w:type="character" w:customStyle="1" w:styleId="HeaderChar">
    <w:name w:val="Header Char"/>
    <w:basedOn w:val="DefaultParagraphFont"/>
    <w:link w:val="Header"/>
    <w:uiPriority w:val="99"/>
    <w:rsid w:val="003F20DB"/>
    <w:rPr>
      <w:rFonts w:ascii="Times New Roman" w:hAnsi="Times New Roman" w:cs="Times New Roman"/>
      <w:sz w:val="24"/>
      <w:lang w:val="de-DE"/>
    </w:rPr>
  </w:style>
  <w:style w:type="character" w:customStyle="1" w:styleId="FooterChar">
    <w:name w:val="Footer Char"/>
    <w:basedOn w:val="DefaultParagraphFont"/>
    <w:link w:val="Footer"/>
    <w:uiPriority w:val="99"/>
    <w:rsid w:val="003F20DB"/>
    <w:rPr>
      <w:rFonts w:ascii="Times New Roman" w:hAnsi="Times New Roman" w:cs="Times New Roman"/>
      <w:sz w:val="24"/>
      <w:lang w:val="de-D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3F20DB"/>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3F20DB"/>
    <w:pPr>
      <w:spacing w:before="0"/>
      <w:jc w:val="right"/>
    </w:pPr>
    <w:rPr>
      <w:sz w:val="28"/>
    </w:rPr>
  </w:style>
  <w:style w:type="paragraph" w:customStyle="1" w:styleId="FooterSensitivity">
    <w:name w:val="Footer Sensitivity"/>
    <w:basedOn w:val="Normal"/>
    <w:rsid w:val="003F20DB"/>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Tiret5">
    <w:name w:val="Tiret 5"/>
    <w:basedOn w:val="Point5"/>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NumPar5">
    <w:name w:val="NumPar 5"/>
    <w:basedOn w:val="Normal"/>
    <w:next w:val="Text2"/>
    <w:pPr>
      <w:numPr>
        <w:ilvl w:val="4"/>
        <w:numId w:val="32"/>
      </w:numPr>
    </w:pPr>
  </w:style>
  <w:style w:type="paragraph" w:customStyle="1" w:styleId="NumPar6">
    <w:name w:val="NumPar 6"/>
    <w:basedOn w:val="Normal"/>
    <w:next w:val="Text2"/>
    <w:pPr>
      <w:numPr>
        <w:ilvl w:val="5"/>
        <w:numId w:val="32"/>
      </w:numPr>
    </w:pPr>
  </w:style>
  <w:style w:type="paragraph" w:customStyle="1" w:styleId="NumPar7">
    <w:name w:val="NumPar 7"/>
    <w:basedOn w:val="Normal"/>
    <w:next w:val="Text2"/>
    <w:pPr>
      <w:numPr>
        <w:ilvl w:val="6"/>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Header">
    <w:name w:val="header"/>
    <w:basedOn w:val="Normal"/>
    <w:link w:val="HeaderChar"/>
    <w:uiPriority w:val="99"/>
    <w:unhideWhenUsed/>
    <w:rsid w:val="003F20DB"/>
    <w:pPr>
      <w:tabs>
        <w:tab w:val="center" w:pos="4535"/>
        <w:tab w:val="right" w:pos="9071"/>
      </w:tabs>
      <w:spacing w:before="0"/>
    </w:pPr>
  </w:style>
  <w:style w:type="paragraph" w:customStyle="1" w:styleId="HeaderLandscape">
    <w:name w:val="HeaderLandscape"/>
    <w:basedOn w:val="Normal"/>
    <w:rsid w:val="003F20DB"/>
    <w:pPr>
      <w:tabs>
        <w:tab w:val="center" w:pos="7285"/>
        <w:tab w:val="right" w:pos="14003"/>
      </w:tabs>
      <w:spacing w:before="0"/>
    </w:pPr>
  </w:style>
  <w:style w:type="paragraph" w:styleId="Footer">
    <w:name w:val="footer"/>
    <w:basedOn w:val="Normal"/>
    <w:link w:val="FooterChar"/>
    <w:uiPriority w:val="99"/>
    <w:unhideWhenUsed/>
    <w:rsid w:val="003F20DB"/>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3F20DB"/>
    <w:pPr>
      <w:tabs>
        <w:tab w:val="center" w:pos="7285"/>
        <w:tab w:val="center" w:pos="10913"/>
        <w:tab w:val="right" w:pos="15137"/>
      </w:tabs>
      <w:spacing w:before="360" w:after="0"/>
      <w:ind w:left="-567" w:righ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415">
      <w:bodyDiv w:val="1"/>
      <w:marLeft w:val="0"/>
      <w:marRight w:val="0"/>
      <w:marTop w:val="0"/>
      <w:marBottom w:val="0"/>
      <w:divBdr>
        <w:top w:val="none" w:sz="0" w:space="0" w:color="auto"/>
        <w:left w:val="none" w:sz="0" w:space="0" w:color="auto"/>
        <w:bottom w:val="none" w:sz="0" w:space="0" w:color="auto"/>
        <w:right w:val="none" w:sz="0" w:space="0" w:color="auto"/>
      </w:divBdr>
    </w:div>
    <w:div w:id="93287216">
      <w:bodyDiv w:val="1"/>
      <w:marLeft w:val="0"/>
      <w:marRight w:val="0"/>
      <w:marTop w:val="0"/>
      <w:marBottom w:val="0"/>
      <w:divBdr>
        <w:top w:val="none" w:sz="0" w:space="0" w:color="auto"/>
        <w:left w:val="none" w:sz="0" w:space="0" w:color="auto"/>
        <w:bottom w:val="none" w:sz="0" w:space="0" w:color="auto"/>
        <w:right w:val="none" w:sz="0" w:space="0" w:color="auto"/>
      </w:divBdr>
    </w:div>
    <w:div w:id="425612245">
      <w:bodyDiv w:val="1"/>
      <w:marLeft w:val="0"/>
      <w:marRight w:val="0"/>
      <w:marTop w:val="0"/>
      <w:marBottom w:val="0"/>
      <w:divBdr>
        <w:top w:val="none" w:sz="0" w:space="0" w:color="auto"/>
        <w:left w:val="none" w:sz="0" w:space="0" w:color="auto"/>
        <w:bottom w:val="none" w:sz="0" w:space="0" w:color="auto"/>
        <w:right w:val="none" w:sz="0" w:space="0" w:color="auto"/>
      </w:divBdr>
    </w:div>
    <w:div w:id="604264191">
      <w:bodyDiv w:val="1"/>
      <w:marLeft w:val="0"/>
      <w:marRight w:val="0"/>
      <w:marTop w:val="0"/>
      <w:marBottom w:val="0"/>
      <w:divBdr>
        <w:top w:val="none" w:sz="0" w:space="0" w:color="auto"/>
        <w:left w:val="none" w:sz="0" w:space="0" w:color="auto"/>
        <w:bottom w:val="none" w:sz="0" w:space="0" w:color="auto"/>
        <w:right w:val="none" w:sz="0" w:space="0" w:color="auto"/>
      </w:divBdr>
    </w:div>
    <w:div w:id="959454950">
      <w:bodyDiv w:val="1"/>
      <w:marLeft w:val="0"/>
      <w:marRight w:val="0"/>
      <w:marTop w:val="0"/>
      <w:marBottom w:val="0"/>
      <w:divBdr>
        <w:top w:val="none" w:sz="0" w:space="0" w:color="auto"/>
        <w:left w:val="none" w:sz="0" w:space="0" w:color="auto"/>
        <w:bottom w:val="none" w:sz="0" w:space="0" w:color="auto"/>
        <w:right w:val="none" w:sz="0" w:space="0" w:color="auto"/>
      </w:divBdr>
    </w:div>
    <w:div w:id="965818622">
      <w:bodyDiv w:val="1"/>
      <w:marLeft w:val="0"/>
      <w:marRight w:val="0"/>
      <w:marTop w:val="0"/>
      <w:marBottom w:val="0"/>
      <w:divBdr>
        <w:top w:val="none" w:sz="0" w:space="0" w:color="auto"/>
        <w:left w:val="none" w:sz="0" w:space="0" w:color="auto"/>
        <w:bottom w:val="none" w:sz="0" w:space="0" w:color="auto"/>
        <w:right w:val="none" w:sz="0" w:space="0" w:color="auto"/>
      </w:divBdr>
    </w:div>
    <w:div w:id="1186408145">
      <w:bodyDiv w:val="1"/>
      <w:marLeft w:val="0"/>
      <w:marRight w:val="0"/>
      <w:marTop w:val="0"/>
      <w:marBottom w:val="0"/>
      <w:divBdr>
        <w:top w:val="none" w:sz="0" w:space="0" w:color="auto"/>
        <w:left w:val="none" w:sz="0" w:space="0" w:color="auto"/>
        <w:bottom w:val="none" w:sz="0" w:space="0" w:color="auto"/>
        <w:right w:val="none" w:sz="0" w:space="0" w:color="auto"/>
      </w:divBdr>
    </w:div>
    <w:div w:id="1196894508">
      <w:bodyDiv w:val="1"/>
      <w:marLeft w:val="0"/>
      <w:marRight w:val="0"/>
      <w:marTop w:val="0"/>
      <w:marBottom w:val="0"/>
      <w:divBdr>
        <w:top w:val="none" w:sz="0" w:space="0" w:color="auto"/>
        <w:left w:val="none" w:sz="0" w:space="0" w:color="auto"/>
        <w:bottom w:val="none" w:sz="0" w:space="0" w:color="auto"/>
        <w:right w:val="none" w:sz="0" w:space="0" w:color="auto"/>
      </w:divBdr>
    </w:div>
    <w:div w:id="1589921832">
      <w:bodyDiv w:val="1"/>
      <w:marLeft w:val="0"/>
      <w:marRight w:val="0"/>
      <w:marTop w:val="0"/>
      <w:marBottom w:val="0"/>
      <w:divBdr>
        <w:top w:val="none" w:sz="0" w:space="0" w:color="auto"/>
        <w:left w:val="none" w:sz="0" w:space="0" w:color="auto"/>
        <w:bottom w:val="none" w:sz="0" w:space="0" w:color="auto"/>
        <w:right w:val="none" w:sz="0" w:space="0" w:color="auto"/>
      </w:divBdr>
    </w:div>
    <w:div w:id="213335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5D74A-E0E3-4780-A4AE-76F4D9A1A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27</TotalTime>
  <Pages>8</Pages>
  <Words>2568</Words>
  <Characters>14640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28</cp:revision>
  <cp:lastPrinted>2024-02-14T15:18:00Z</cp:lastPrinted>
  <dcterms:created xsi:type="dcterms:W3CDTF">2024-04-09T09:26:00Z</dcterms:created>
  <dcterms:modified xsi:type="dcterms:W3CDTF">2024-04-26T07:17:00Z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9.0, Build 20230317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MSIP_Label_6bd9ddd1-4d20-43f6-abfa-fc3c07406f94_Enabled">
    <vt:lpwstr>true</vt:lpwstr>
  </property>
  <property fmtid="{D5CDD505-2E9C-101B-9397-08002B2CF9AE}" pid="11" name="MSIP_Label_6bd9ddd1-4d20-43f6-abfa-fc3c07406f94_SetDate">
    <vt:lpwstr>2024-01-05T12:49:54Z</vt:lpwstr>
  </property>
  <property fmtid="{D5CDD505-2E9C-101B-9397-08002B2CF9AE}" pid="12" name="MSIP_Label_6bd9ddd1-4d20-43f6-abfa-fc3c07406f94_Method">
    <vt:lpwstr>Standard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7f9f217e-2bdb-4bf4-94b6-0f87a01686f1</vt:lpwstr>
  </property>
  <property fmtid="{D5CDD505-2E9C-101B-9397-08002B2CF9AE}" pid="16" name="MSIP_Label_6bd9ddd1-4d20-43f6-abfa-fc3c07406f94_ContentBits">
    <vt:lpwstr>0</vt:lpwstr>
  </property>
  <property fmtid="{D5CDD505-2E9C-101B-9397-08002B2CF9AE}" pid="17" name="DQCStatus">
    <vt:lpwstr>Green (DQC version 03)</vt:lpwstr>
  </property>
</Properties>
</file>